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722.65pt;width:198pt;height:18pt;z-index:1;mso-position-horizontal-relative:margin" filled="f" stroked="f">
            <v:textbox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GE.02-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46429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ab/>
                    <w:t xml:space="preserve">230103   </w:t>
                  </w:r>
                  <w:r>
                    <w:rPr>
                      <w:lang w:val="en-US"/>
                    </w:rPr>
                    <w:t>060203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7"/>
            </w:pPr>
            <w:r>
              <w:t>CAT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1.5pt;height:50.25pt" fillcolor="window">
                  <v:imagedata r:id="rId7" o:title=""/>
                </v:shape>
              </w:pic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  <w:rPr>
                <w:b/>
                <w:sz w:val="30"/>
              </w:rPr>
            </w:pPr>
            <w:r>
              <w:rPr>
                <w:b/>
                <w:sz w:val="30"/>
              </w:rPr>
              <w:t>Конвенция против пыток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  <w:rPr>
                <w:b/>
                <w:sz w:val="30"/>
              </w:rPr>
            </w:pPr>
            <w:r>
              <w:rPr>
                <w:b/>
                <w:sz w:val="30"/>
              </w:rPr>
              <w:t>и других жестоких, бесчеловечных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  <w:rPr>
                <w:b/>
                <w:sz w:val="30"/>
              </w:rPr>
            </w:pPr>
            <w:r>
              <w:rPr>
                <w:b/>
                <w:sz w:val="30"/>
              </w:rPr>
              <w:t>или унижающих достоинство видов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>обращения и наказания</w:t>
            </w:r>
          </w:p>
        </w:tc>
        <w:tc>
          <w:tcPr>
            <w:tcW w:w="2835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0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0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FILLIN "Символ документа" \* MERGEFORMAT </w:instrText>
            </w:r>
            <w:r>
              <w:rPr>
                <w:sz w:val="22"/>
              </w:rPr>
              <w:fldChar w:fldCharType="separate"/>
            </w:r>
            <w:proofErr w:type="spellStart"/>
            <w:r>
              <w:rPr>
                <w:sz w:val="22"/>
              </w:rPr>
              <w:t>CAT</w:t>
            </w:r>
            <w:proofErr w:type="spellEnd"/>
            <w:r>
              <w:rPr>
                <w:sz w:val="22"/>
              </w:rPr>
              <w:t>/</w:t>
            </w:r>
            <w:proofErr w:type="spellStart"/>
            <w:r>
              <w:rPr>
                <w:sz w:val="22"/>
              </w:rPr>
              <w:t>C</w:t>
            </w:r>
            <w:proofErr w:type="spellEnd"/>
            <w:r>
              <w:rPr>
                <w:sz w:val="22"/>
              </w:rPr>
              <w:t>/</w:t>
            </w:r>
            <w:proofErr w:type="spellStart"/>
            <w:r>
              <w:rPr>
                <w:sz w:val="22"/>
              </w:rPr>
              <w:t>CR</w:t>
            </w:r>
            <w:proofErr w:type="spellEnd"/>
            <w:r>
              <w:rPr>
                <w:sz w:val="22"/>
              </w:rPr>
              <w:t>/29/2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FILLIN "Дата документа"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</w:rPr>
              <w:t xml:space="preserve">23 </w:t>
            </w:r>
            <w:proofErr w:type="spellStart"/>
            <w:r>
              <w:rPr>
                <w:sz w:val="22"/>
              </w:rPr>
              <w:t>December</w:t>
            </w:r>
            <w:proofErr w:type="spellEnd"/>
            <w:r>
              <w:rPr>
                <w:sz w:val="22"/>
              </w:rPr>
              <w:t xml:space="preserve"> 2002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RUSSIAN</w:t>
            </w:r>
            <w:proofErr w:type="spellEnd"/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t xml:space="preserve">Original: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result w:val="2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1" w:name="ПолеСоСписком3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rPr>
          <w:lang w:val="en-US"/>
        </w:rPr>
      </w:pPr>
    </w:p>
    <w:p w:rsidR="00000000" w:rsidRDefault="00000000">
      <w:r>
        <w:t>КОМИТЕТ ПРОТИВ ПЫТОК</w:t>
      </w:r>
    </w:p>
    <w:p w:rsidR="00000000" w:rsidRDefault="00000000">
      <w:r>
        <w:t>Двадцать девятая сессия</w:t>
      </w:r>
    </w:p>
    <w:p w:rsidR="00000000" w:rsidRDefault="00000000">
      <w:r>
        <w:t>11-22 ноября 2002 года</w:t>
      </w:r>
    </w:p>
    <w:p w:rsidR="00000000" w:rsidRDefault="00000000">
      <w:pPr>
        <w:pStyle w:val="10"/>
        <w:rPr>
          <w:bCs/>
          <w:lang w:val="en-US"/>
        </w:rPr>
      </w:pPr>
    </w:p>
    <w:p w:rsidR="00000000" w:rsidRDefault="00000000">
      <w:pPr>
        <w:pStyle w:val="10"/>
        <w:rPr>
          <w:bCs/>
          <w:lang w:val="en-US"/>
        </w:rPr>
      </w:pPr>
    </w:p>
    <w:p w:rsidR="00000000" w:rsidRDefault="00000000">
      <w:pPr>
        <w:ind w:left="567"/>
      </w:pPr>
      <w:r>
        <w:t>РАССМОТРЕНИЕ ДОКЛАДОВ, ПРЕДСТАВЛЕННЫХ ГОСУДАРСТВАМИ-УЧАСТНИКАМИ В СООТВЕТСТВИИ СО СТАТЬЕЙ 19 КОНВЕНЦИИ</w:t>
      </w:r>
    </w:p>
    <w:p w:rsidR="00000000" w:rsidRDefault="00000000"/>
    <w:p w:rsidR="00000000" w:rsidRDefault="00000000">
      <w:pPr>
        <w:pStyle w:val="10"/>
        <w:rPr>
          <w:b w:val="0"/>
          <w:bCs/>
          <w:u w:val="single"/>
        </w:rPr>
      </w:pPr>
      <w:r>
        <w:rPr>
          <w:b w:val="0"/>
          <w:bCs/>
          <w:u w:val="single"/>
        </w:rPr>
        <w:t>Выводы и рекомендации Комитета против пыток</w:t>
      </w:r>
    </w:p>
    <w:p w:rsidR="00000000" w:rsidRDefault="00000000"/>
    <w:p w:rsidR="00000000" w:rsidRDefault="00000000">
      <w:pPr>
        <w:pStyle w:val="10"/>
        <w:rPr>
          <w:b w:val="0"/>
        </w:rPr>
      </w:pPr>
      <w:r>
        <w:rPr>
          <w:b w:val="0"/>
        </w:rPr>
        <w:t>ВЕНЕСУЭЛА</w:t>
      </w:r>
    </w:p>
    <w:p w:rsidR="00000000" w:rsidRDefault="00000000">
      <w:pPr>
        <w:pStyle w:val="10"/>
        <w:rPr>
          <w:bCs/>
          <w:lang w:val="en-US"/>
        </w:rPr>
      </w:pPr>
    </w:p>
    <w:p w:rsidR="00000000" w:rsidRDefault="00000000">
      <w:pPr>
        <w:pStyle w:val="10"/>
        <w:rPr>
          <w:bCs/>
          <w:lang w:val="en-US"/>
        </w:rPr>
      </w:pPr>
    </w:p>
    <w:p w:rsidR="00000000" w:rsidRDefault="00000000">
      <w:r>
        <w:t>1.</w:t>
      </w:r>
      <w:r>
        <w:tab/>
        <w:t>Комитет рассмотрел второй периодический доклад Венесуэлы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/33/</w:t>
      </w:r>
      <w:r>
        <w:rPr>
          <w:lang w:val="en-US"/>
        </w:rPr>
        <w:t>Add</w:t>
      </w:r>
      <w:r>
        <w:t>.5) на</w:t>
      </w:r>
      <w:r>
        <w:rPr>
          <w:lang w:val="en-US"/>
        </w:rPr>
        <w:t> </w:t>
      </w:r>
      <w:r>
        <w:t>своих 538, 541 и 545-м заседаниях, состоявшихся 18, 19 и 21 ноября 2002 года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.538, 541 и 545), и принял следующие выводы и рекомендации.</w:t>
      </w:r>
    </w:p>
    <w:p w:rsidR="00000000" w:rsidRDefault="00000000"/>
    <w:p w:rsidR="00000000" w:rsidRDefault="00000000">
      <w:pPr>
        <w:pStyle w:val="10"/>
        <w:rPr>
          <w:bCs/>
        </w:rPr>
      </w:pPr>
      <w:r>
        <w:rPr>
          <w:bCs/>
        </w:rPr>
        <w:t>А.</w:t>
      </w:r>
      <w:r>
        <w:rPr>
          <w:bCs/>
        </w:rPr>
        <w:tab/>
        <w:t>Введение</w:t>
      </w:r>
    </w:p>
    <w:p w:rsidR="00000000" w:rsidRDefault="00000000">
      <w:pPr>
        <w:pStyle w:val="10"/>
        <w:rPr>
          <w:bCs/>
        </w:rPr>
      </w:pPr>
    </w:p>
    <w:p w:rsidR="00000000" w:rsidRDefault="00000000">
      <w:r>
        <w:t>2.</w:t>
      </w:r>
      <w:r>
        <w:tab/>
        <w:t>Комитет с удовлетворением отмечает представление второго периодического доклада Венесуэлы, подлежавшего представлению в августе 1996 года, полученного в сентябре 2000 года и обновленного в сентябре 2002 года, в котором содержится информация, подлежавшая включению в третий доклад, который должен был быть представлен в августе 2000 года</w:t>
      </w:r>
      <w:r>
        <w:rPr>
          <w:rStyle w:val="FootnoteReference"/>
        </w:rPr>
        <w:footnoteReference w:id="1"/>
      </w:r>
      <w:r>
        <w:t xml:space="preserve">.  </w:t>
      </w:r>
    </w:p>
    <w:p w:rsidR="00000000" w:rsidRDefault="00000000"/>
    <w:p w:rsidR="00000000" w:rsidRDefault="00000000">
      <w:r>
        <w:br w:type="page"/>
        <w:t>3.</w:t>
      </w:r>
      <w:r>
        <w:tab/>
        <w:t>Комитет отмечает, что, хотя в докладе приводится развернутая информация о юридических нормах, вступивших в силу после представления предшествующего доклада, в нем тем не менее отсутствует адекватная информация по вопросам, касающимся практического применения Конвенции против пыток и других жестоких, бесчеловечных или унижающих достоинство видов обращения и наказания.  Так, в докладе не приводится информация о случаях и делах, доведенных до сведения и рассмотренных судебными, административными или иными органами, правомочными рассматривать ситуации, относящиеся к сфере применения Конвенции.</w:t>
      </w:r>
    </w:p>
    <w:p w:rsidR="00000000" w:rsidRDefault="00000000"/>
    <w:p w:rsidR="00000000" w:rsidRDefault="00000000">
      <w:r>
        <w:t>4.</w:t>
      </w:r>
      <w:r>
        <w:tab/>
        <w:t>Кроме того, на рассмотрение Комитета государством-участником был представлен дополнительный материал и специальный доклад, подготовленный Канцелярией народного защитника.  Содержащиеся в этом докладе и приложениях к нему сведения представляются весьма полезными для целей оценки выполнения обязательств государства-участника по Конвенции.</w:t>
      </w:r>
    </w:p>
    <w:p w:rsidR="00000000" w:rsidRDefault="00000000"/>
    <w:p w:rsidR="00000000" w:rsidRDefault="00000000">
      <w:r>
        <w:t>5.</w:t>
      </w:r>
      <w:r>
        <w:tab/>
        <w:t>Комитет выражает государству-участнику благодарность за направление квалифицированной и многочисленной делегации в составе представителей правительства и Канцелярии народного защитника, с членами которой он провел откровенный и конструктивный диалог, способствовавший рассмотрению доклада.</w:t>
      </w:r>
    </w:p>
    <w:p w:rsidR="00000000" w:rsidRDefault="00000000">
      <w:pPr>
        <w:pStyle w:val="Header"/>
        <w:tabs>
          <w:tab w:val="clear" w:pos="4153"/>
          <w:tab w:val="clear" w:pos="8306"/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</w:pPr>
    </w:p>
    <w:p w:rsidR="00000000" w:rsidRDefault="00000000">
      <w:pPr>
        <w:pStyle w:val="14"/>
        <w:rPr>
          <w:bCs/>
          <w:u w:val="none"/>
        </w:rPr>
      </w:pPr>
      <w:r>
        <w:rPr>
          <w:bCs/>
          <w:u w:val="none"/>
        </w:rPr>
        <w:t>В.</w:t>
      </w:r>
      <w:r>
        <w:rPr>
          <w:bCs/>
          <w:u w:val="none"/>
        </w:rPr>
        <w:tab/>
        <w:t>Позитивные аспекты</w:t>
      </w:r>
    </w:p>
    <w:p w:rsidR="00000000" w:rsidRDefault="00000000">
      <w:pPr>
        <w:pStyle w:val="14"/>
        <w:rPr>
          <w:bCs/>
        </w:rPr>
      </w:pPr>
    </w:p>
    <w:p w:rsidR="00000000" w:rsidRDefault="00000000">
      <w:r>
        <w:t>6.</w:t>
      </w:r>
      <w:r>
        <w:tab/>
        <w:t>Комитет с удовлетворением принимает к сведению вступление в силу 30 декабря 1999 года новой Конституции Боливарианской Республики Венесуэла, положения которой свидетельствуют о прогрессе в контексте нормотворческой деятельности в области прав человека.  Комитет, в частности, считает позитивным, что Конституция:</w:t>
      </w:r>
    </w:p>
    <w:p w:rsidR="00000000" w:rsidRDefault="00000000"/>
    <w:p w:rsidR="00000000" w:rsidRDefault="00000000">
      <w:r>
        <w:tab/>
        <w:t>а)</w:t>
      </w:r>
      <w:r>
        <w:tab/>
        <w:t>наделяет конституционным статусом договоры, пакты и конвенции в области прав человека, закрепляет их примат в рамках внутриправовой системы, предписывает их незамедлительное и непосредственное применение и оговаривает, что отсутствие закона, определяющего порядок применения этих прав, не должно препятствовать их осуществлению;</w:t>
      </w:r>
    </w:p>
    <w:p w:rsidR="00000000" w:rsidRDefault="00000000"/>
    <w:p w:rsidR="00000000" w:rsidRDefault="00000000">
      <w:r>
        <w:tab/>
      </w:r>
      <w:r>
        <w:rPr>
          <w:lang w:val="en-US"/>
        </w:rPr>
        <w:t>b</w:t>
      </w:r>
      <w:r>
        <w:t>)</w:t>
      </w:r>
      <w:r>
        <w:tab/>
        <w:t>признает право каждого человека направлять ходатайства или жалобы в международные органы, созданные в этой связи с целью возбуждения процедуры ампаро для защиты своих прав человека, что соответствует заявлению, сделанному государством-участником в 1994 году согласно статье 22 Конвенции;</w:t>
      </w:r>
    </w:p>
    <w:p w:rsidR="00000000" w:rsidRDefault="00000000"/>
    <w:p w:rsidR="00000000" w:rsidRDefault="00000000">
      <w:r>
        <w:tab/>
        <w:t>с)</w:t>
      </w:r>
      <w:r>
        <w:tab/>
        <w:t>налагает на государство обязательство проводить расследования и наказывать виновных в связи с преступлениями против прав человека, объявляет действия по привлечению виновных к ответственности не подлежащими сроку давности и исключает в этой связи применение любых норм, способных привести к безнаказанности, например в форме амнистии или помилования;</w:t>
      </w:r>
    </w:p>
    <w:p w:rsidR="00000000" w:rsidRDefault="00000000"/>
    <w:p w:rsidR="00000000" w:rsidRDefault="00000000">
      <w:r>
        <w:tab/>
      </w:r>
      <w:r>
        <w:rPr>
          <w:lang w:val="en-US"/>
        </w:rPr>
        <w:t>d</w:t>
      </w:r>
      <w:r>
        <w:t>)</w:t>
      </w:r>
      <w:r>
        <w:tab/>
        <w:t>наделяет обычные суды полномочиями по проведению судебных разбирательств в связи с нарушениями прав человека и преступлениями против человечности;</w:t>
      </w:r>
    </w:p>
    <w:p w:rsidR="00000000" w:rsidRDefault="00000000"/>
    <w:p w:rsidR="00000000" w:rsidRDefault="00000000">
      <w:r>
        <w:tab/>
        <w:t>е)</w:t>
      </w:r>
      <w:r>
        <w:tab/>
        <w:t>налагает на государство обязанность предоставлять полное возмещение жертвам нарушений прав человека и признает право жертв пыток и других видов жестокого, бесчеловечного и унижающего достоинство обращения, применяемых государственными должностными лицами или с их попустительства, на реабилитацию;</w:t>
      </w:r>
    </w:p>
    <w:p w:rsidR="00000000" w:rsidRDefault="00000000"/>
    <w:p w:rsidR="00000000" w:rsidRDefault="00000000">
      <w:r>
        <w:tab/>
      </w:r>
      <w:r>
        <w:rPr>
          <w:lang w:val="en-US"/>
        </w:rPr>
        <w:t>f</w:t>
      </w:r>
      <w:r>
        <w:t>)</w:t>
      </w:r>
      <w:r>
        <w:tab/>
        <w:t>предусматривает надлежащие гарантии в связи с задержанием, включая, в частности, требование о наличии судебного распоряжения для целей проведения любого ареста или задержания, за исключением случаев задержания преступника на месте преступления;  введение в качестве конституционной категории 48-часового срока для целей доставки задержанного в судебные органы, как это уже предусматривается в Органическом уголовно-процессуальном кодексе;  принцип, согласно которому свобода подсудимого является общим правилом, а его предварительное заключение под стражу рассматривается в качестве чрезвычайной меры;</w:t>
      </w:r>
    </w:p>
    <w:p w:rsidR="00000000" w:rsidRDefault="00000000"/>
    <w:p w:rsidR="00000000" w:rsidRDefault="00000000">
      <w:r>
        <w:tab/>
      </w:r>
      <w:r>
        <w:rPr>
          <w:lang w:val="en-US"/>
        </w:rPr>
        <w:t>g</w:t>
      </w:r>
      <w:r>
        <w:t>)</w:t>
      </w:r>
      <w:r>
        <w:tab/>
        <w:t>закрепляет за задержанными ряд прав, включая право на доступ к адвокату с момента задержания и запрет на получение показаний с помощью пыток;</w:t>
      </w:r>
    </w:p>
    <w:p w:rsidR="00000000" w:rsidRDefault="00000000"/>
    <w:p w:rsidR="00000000" w:rsidRDefault="00000000">
      <w:r>
        <w:tab/>
      </w:r>
      <w:r>
        <w:rPr>
          <w:lang w:val="en-US"/>
        </w:rPr>
        <w:t>h</w:t>
      </w:r>
      <w:r>
        <w:t>)</w:t>
      </w:r>
      <w:r>
        <w:tab/>
        <w:t>предусматривает обязательную выдачу лиц, обвиняемых в нарушении прав человека, и для судебного рассмотрения подобных дел располагает системой публичного, устного и оперативного судебного разбирательства.</w:t>
      </w:r>
    </w:p>
    <w:p w:rsidR="00000000" w:rsidRDefault="00000000"/>
    <w:p w:rsidR="00000000" w:rsidRDefault="00000000">
      <w:r>
        <w:t>7.</w:t>
      </w:r>
      <w:r>
        <w:tab/>
        <w:t>Комитет придает особое значение тому, что Конституцией предусматривается создание в качестве автономного органа Канцелярии народного защитника, обязанности которой заключаются в поощрении, защите и надзоре за соблюдением прав и гарантий, закрепленных в Конституции и в ратифицированных Венесуэлой международных договорах по правам человека.</w:t>
      </w:r>
    </w:p>
    <w:p w:rsidR="00000000" w:rsidRDefault="00000000"/>
    <w:p w:rsidR="00000000" w:rsidRDefault="00000000">
      <w:r>
        <w:br w:type="page"/>
        <w:t>8.</w:t>
      </w:r>
      <w:r>
        <w:tab/>
        <w:t>Комитет с удовлетворением отмечает принятие целого ряда законодательных норм и создание ряда подразделений в составе различных государственных административных структур, что свидетельствует о важном значении, которое государство придает деятельности по обеспечению более эффективной защиты и укреплению прав человека.  К числу наиболее важных из упомянутых нормативных актов относятся органические законы о чрезвычайном положении, о беженцах и просителях убежища, о государственной прокуратуре и о защите прав детей и подростков.  К числу вышеупомянутых подразделений относится Управление по правам человека в министерстве внутренних дел и юстиции.</w:t>
      </w:r>
    </w:p>
    <w:p w:rsidR="00000000" w:rsidRDefault="00000000"/>
    <w:p w:rsidR="00000000" w:rsidRDefault="00000000">
      <w:r>
        <w:t>9.</w:t>
      </w:r>
      <w:r>
        <w:tab/>
        <w:t>Кроме того, Комитет с удовлетворением принимает к сведению ратификацию государством-участником в декабре 2000 года Римского статута Международного уголовного суда.</w:t>
      </w:r>
    </w:p>
    <w:p w:rsidR="00000000" w:rsidRDefault="00000000"/>
    <w:p w:rsidR="00000000" w:rsidRDefault="00000000">
      <w:pPr>
        <w:pStyle w:val="Heading2"/>
        <w:jc w:val="center"/>
        <w:rPr>
          <w:b/>
          <w:bCs/>
        </w:rPr>
      </w:pPr>
      <w:r>
        <w:rPr>
          <w:b/>
          <w:bCs/>
          <w:u w:val="none"/>
        </w:rPr>
        <w:t>С.</w:t>
      </w:r>
      <w:r>
        <w:rPr>
          <w:b/>
          <w:bCs/>
          <w:u w:val="none"/>
        </w:rPr>
        <w:tab/>
        <w:t>Проблемы, вызывающие озабоченность</w:t>
      </w:r>
    </w:p>
    <w:p w:rsidR="00000000" w:rsidRDefault="00000000">
      <w:pPr>
        <w:pStyle w:val="Heading2"/>
        <w:jc w:val="center"/>
        <w:rPr>
          <w:b/>
          <w:bCs/>
        </w:rPr>
      </w:pPr>
    </w:p>
    <w:p w:rsidR="00000000" w:rsidRDefault="00000000">
      <w:r>
        <w:t>10.</w:t>
      </w:r>
      <w:r>
        <w:tab/>
        <w:t>Предметом обеспокоенности Комитета является следующее:</w:t>
      </w:r>
    </w:p>
    <w:p w:rsidR="00000000" w:rsidRDefault="00000000"/>
    <w:p w:rsidR="00000000" w:rsidRDefault="00000000">
      <w:r>
        <w:tab/>
        <w:t>а)</w:t>
      </w:r>
      <w:r>
        <w:tab/>
        <w:t>непринятие мер, несмотря на проведенные государством-участником обширные правовые реформы, для целей квалификации в национальном законодательстве акта пытки в качестве конкретного преступления в соответствии со статьей 1 Конвенции;</w:t>
      </w:r>
    </w:p>
    <w:p w:rsidR="00000000" w:rsidRDefault="00000000"/>
    <w:p w:rsidR="00000000" w:rsidRDefault="00000000">
      <w:r>
        <w:tab/>
        <w:t>b)</w:t>
      </w:r>
      <w:r>
        <w:tab/>
        <w:t>многочисленные заявления о пытках, жестоком, бесчеловечном или унижающем достоинство обращении, злоупотреблении властью, произвольных и неправомерных действиях со стороны сотрудников государственных правоохранительных органов, что лишает всякой эффективности гарантии, закрепленные в Конституции и Органическом уголовно-процессуальном кодексе;</w:t>
      </w:r>
    </w:p>
    <w:p w:rsidR="00000000" w:rsidRDefault="00000000"/>
    <w:p w:rsidR="00000000" w:rsidRDefault="00000000">
      <w:r>
        <w:tab/>
        <w:t>с)</w:t>
      </w:r>
      <w:r>
        <w:tab/>
        <w:t>заявления о злоупотреблении властью и чрезмерном применении силы в качестве метода усмирения, в частности в ходе манифестаций и акций протеста;</w:t>
      </w:r>
    </w:p>
    <w:p w:rsidR="00000000" w:rsidRDefault="00000000"/>
    <w:p w:rsidR="00000000" w:rsidRDefault="00000000">
      <w:r>
        <w:tab/>
        <w:t>d)</w:t>
      </w:r>
      <w:r>
        <w:tab/>
        <w:t>заявления об угрозах и физических посягательствах на представителей сексуальных меньшинств и активистов движения транссексуалов, в частности в штате Карабобо;</w:t>
      </w:r>
    </w:p>
    <w:p w:rsidR="00000000" w:rsidRDefault="00000000"/>
    <w:p w:rsidR="00000000" w:rsidRDefault="00000000">
      <w:r>
        <w:tab/>
        <w:t>е)</w:t>
      </w:r>
      <w:r>
        <w:tab/>
        <w:t>наличие информации об угрозах и преследовании лиц, которые представляют жалобы в связи с жестоким обращением со стороны государственных служащих, и отсутствие надлежащей защиты свидетелей и пострадавших;</w:t>
      </w:r>
    </w:p>
    <w:p w:rsidR="00000000" w:rsidRDefault="00000000"/>
    <w:p w:rsidR="00000000" w:rsidRDefault="00000000">
      <w:r>
        <w:tab/>
        <w:t>f)</w:t>
      </w:r>
      <w:r>
        <w:tab/>
        <w:t>непринятие мер с целью проведения оперативных и беспристрастных расследований жалоб на применение пыток и жестокого, бесчеловечного и унижающего достоинство обращения, а также отсутствие институционально оформленного и общедоступного механизма, призванного гарантировать жертвам пыток право на справедливое адекватное возмещение и компенсацию, как это предусматривается в статье 14 Конвенции;</w:t>
      </w:r>
    </w:p>
    <w:p w:rsidR="00000000" w:rsidRDefault="00000000"/>
    <w:p w:rsidR="00000000" w:rsidRDefault="00000000">
      <w:r>
        <w:tab/>
        <w:t>g)</w:t>
      </w:r>
      <w:r>
        <w:tab/>
        <w:t>широкое распространение насилия в тюрьмах как в среде самих заключенных, так и со стороны сотрудников пенитенциарных учреждений, что приводит к тяжким телесным повреждениям и в некоторых случаях - к смерти пострадавших.  Кроме того, Комитет выражает обеспокоенность в связи с неблагоприятными условиями содержания в пенитенциарных учреждениях;</w:t>
      </w:r>
    </w:p>
    <w:p w:rsidR="00000000" w:rsidRDefault="00000000"/>
    <w:p w:rsidR="00000000" w:rsidRDefault="00000000">
      <w:r>
        <w:tab/>
        <w:t>h)</w:t>
      </w:r>
      <w:r>
        <w:tab/>
        <w:t>отсутствие информации, включая статистические данные о пытках и других видах жестокого, бесчеловечного или унижающего достоинство обращения и наказания в разбивке по полу, этническим группам, географическим регионам, видам задержания и местам содержания под стражей.</w:t>
      </w:r>
    </w:p>
    <w:p w:rsidR="00000000" w:rsidRDefault="00000000"/>
    <w:p w:rsidR="00000000" w:rsidRDefault="00000000">
      <w:pPr>
        <w:pStyle w:val="14"/>
        <w:keepNext/>
        <w:rPr>
          <w:bCs/>
          <w:u w:val="none"/>
        </w:rPr>
      </w:pPr>
      <w:r>
        <w:rPr>
          <w:bCs/>
          <w:u w:val="none"/>
        </w:rPr>
        <w:t>D.</w:t>
      </w:r>
      <w:r>
        <w:rPr>
          <w:bCs/>
          <w:u w:val="none"/>
        </w:rPr>
        <w:tab/>
        <w:t>Рекомендации</w:t>
      </w:r>
    </w:p>
    <w:p w:rsidR="00000000" w:rsidRDefault="00000000"/>
    <w:p w:rsidR="00000000" w:rsidRDefault="00000000">
      <w:r>
        <w:t>11.</w:t>
      </w:r>
      <w:r>
        <w:tab/>
        <w:t>Комитет рекомендует государству-участнику:</w:t>
      </w:r>
    </w:p>
    <w:p w:rsidR="00000000" w:rsidRDefault="00000000"/>
    <w:p w:rsidR="00000000" w:rsidRDefault="00000000">
      <w:r>
        <w:tab/>
        <w:t>а)</w:t>
      </w:r>
      <w:r>
        <w:tab/>
        <w:t>принять законодательство о наказании в связи с применением пыток в соответствии с переходной статьей 4 новой Конституции, в которой говорится, что соответствующая норма будет принята на основании специального закона или в ходе пересмотра Уголовного кодекса в течение одного года с момента учреждения Национальной ассамблеи, однако этот срок давно истек;</w:t>
      </w:r>
    </w:p>
    <w:p w:rsidR="00000000" w:rsidRDefault="00000000"/>
    <w:p w:rsidR="00000000" w:rsidRDefault="00000000">
      <w:r>
        <w:tab/>
        <w:t>b)</w:t>
      </w:r>
      <w:r>
        <w:tab/>
        <w:t>принять все необходимые меры, с тем чтобы гарантировать незамедлительное и беспристрастное расследование любых жалоб на применение пыток и жестокого, бесчеловечного или унижающего достоинство обращения.  На период проведения такого расследования подозреваемые должностные лица должны отстраняться от выполнения своих служебных обязанностей;</w:t>
      </w:r>
    </w:p>
    <w:p w:rsidR="00000000" w:rsidRDefault="00000000"/>
    <w:p w:rsidR="00000000" w:rsidRDefault="00000000">
      <w:r>
        <w:tab/>
        <w:t>с)</w:t>
      </w:r>
      <w:r>
        <w:tab/>
        <w:t>принять меры, определяющие порядок и систему реализации права жертв пыток на получение справедливого и адекватного возмещения, а также ввести в действие программы, обеспечивающие максимально полную физическую и психическую реабилитацию пострадавших лиц, как это уже рекомендовалось Комитетом в его предшествующих выводах и рекомендациях;</w:t>
      </w:r>
    </w:p>
    <w:p w:rsidR="00000000" w:rsidRDefault="00000000"/>
    <w:p w:rsidR="00000000" w:rsidRDefault="00000000">
      <w:r>
        <w:tab/>
        <w:t>d)</w:t>
      </w:r>
      <w:r>
        <w:tab/>
        <w:t>активизировать учебно-пропагандистскую деятельность по вопросам прав человека, включая, в частности, запрещение пыток, охватывающую сотрудников правоохранительных органов и медицинский персонал;</w:t>
      </w:r>
    </w:p>
    <w:p w:rsidR="00000000" w:rsidRDefault="00000000"/>
    <w:p w:rsidR="00000000" w:rsidRDefault="00000000">
      <w:r>
        <w:tab/>
        <w:t>е)</w:t>
      </w:r>
      <w:r>
        <w:tab/>
        <w:t>принять меры с целью улучшения условий содержания под стражей в тюрьмах и пресекать случаи насилия как между заключенными, так и со стороны сотрудников пенитенциарных учреждений в отношении заключенных.  Кроме того, государству-участнику рекомендуется доработать процедуры, предусматривающие проведение независимых инспекционных проверок в тюрьмах.</w:t>
      </w:r>
    </w:p>
    <w:p w:rsidR="00000000" w:rsidRDefault="00000000"/>
    <w:p w:rsidR="00000000" w:rsidRDefault="00000000">
      <w:r>
        <w:t>12.</w:t>
      </w:r>
      <w:r>
        <w:tab/>
        <w:t>Комитет просит государство-участник включить в свой следующий периодический доклад статистические данные в разбивке, в частности, по гражданству, возрасту и полу жертв и функциональной принадлежности виновных, информацию о случаях, подпадающих под сферу применения Конвенции и рассмотренных внутренними инстанциями, включая результаты проведенных расследований и их последствия для жертв с точки зрения возмещения и репарации.</w:t>
      </w:r>
    </w:p>
    <w:p w:rsidR="00000000" w:rsidRDefault="00000000"/>
    <w:p w:rsidR="00000000" w:rsidRDefault="00000000">
      <w:r>
        <w:t>13.</w:t>
      </w:r>
      <w:r>
        <w:tab/>
        <w:t>Комитет предлагает государству-участнику представить свой четвертый периодический доклад не позднее 20 августа 2004 года и обеспечить широкое распространение настоящих выводов и рекомендаций.</w:t>
      </w:r>
    </w:p>
    <w:p w:rsidR="00000000" w:rsidRDefault="00000000"/>
    <w:p w:rsidR="00000000" w:rsidRDefault="00000000"/>
    <w:p w:rsidR="00000000" w:rsidRDefault="00000000">
      <w:pPr>
        <w:pStyle w:val="16"/>
      </w:pPr>
      <w:r>
        <w:t>-----</w:t>
      </w:r>
    </w:p>
    <w:p w:rsidR="00000000" w:rsidRDefault="00000000"/>
    <w:p w:rsidR="00000000" w:rsidRDefault="00000000">
      <w:pPr>
        <w:tabs>
          <w:tab w:val="left" w:pos="0"/>
        </w:tabs>
        <w:suppressAutoHyphens/>
        <w:rPr>
          <w:lang w:val="en-US"/>
        </w:rPr>
      </w:pPr>
    </w:p>
    <w:sectPr w:rsidR="00000000">
      <w:headerReference w:type="even" r:id="rId8"/>
      <w:headerReference w:type="default" r:id="rId9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  <w:footnote w:id="1">
    <w:p w:rsidR="00000000" w:rsidRDefault="0000000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 xml:space="preserve">В результате этого Комитет постановил рассмотреть документ </w:t>
      </w:r>
      <w:r>
        <w:rPr>
          <w:lang w:val="en-US"/>
        </w:rPr>
        <w:t>CAT/C/33/Add.5</w:t>
      </w:r>
      <w:r>
        <w:t xml:space="preserve"> в качестве второго и третьего периодических докладов Венесуэлы.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CAT/C/CR/29/2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7655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CAT/C/CR/29/2</w:t>
    </w:r>
  </w:p>
  <w:p w:rsidR="00000000" w:rsidRDefault="00000000">
    <w:pPr>
      <w:pStyle w:val="Header"/>
      <w:tabs>
        <w:tab w:val="left" w:pos="7655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7655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  <w:tab w:val="left" w:pos="7655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71"/>
  <w:activeWritingStyle w:appName="MSWord" w:lang="ru-RU" w:vendorID="1" w:dllVersion="512" w:checkStyle="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semiHidden/>
    <w:pPr>
      <w:numPr>
        <w:numId w:val="3"/>
      </w:numPr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1</TotalTime>
  <Pages>1</Pages>
  <Words>1571</Words>
  <Characters>8955</Characters>
  <Application>Microsoft Office Word</Application>
  <DocSecurity>4</DocSecurity>
  <Lines>74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10997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>Muraviev</dc:subject>
  <dc:creator>Tatiana Chvets</dc:creator>
  <cp:keywords/>
  <dc:description/>
  <cp:lastModifiedBy>Tatiana Chvets</cp:lastModifiedBy>
  <cp:revision>3</cp:revision>
  <cp:lastPrinted>2003-02-06T14:51:00Z</cp:lastPrinted>
  <dcterms:created xsi:type="dcterms:W3CDTF">2003-02-06T14:51:00Z</dcterms:created>
  <dcterms:modified xsi:type="dcterms:W3CDTF">2003-02-06T14:52:00Z</dcterms:modified>
</cp:coreProperties>
</file>