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43149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</w:t>
                  </w:r>
                  <w:r>
                    <w:t>310707     310707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088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proofErr w:type="spellStart"/>
            <w:r>
              <w:rPr>
                <w:sz w:val="22"/>
                <w:lang w:val="en-US"/>
              </w:rPr>
              <w:t>POL</w:t>
            </w:r>
            <w:proofErr w:type="spellEnd"/>
            <w:r>
              <w:rPr>
                <w:sz w:val="22"/>
                <w:lang w:val="en-US"/>
              </w:rPr>
              <w:t>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12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восьмая сессия</w:t>
      </w:r>
    </w:p>
    <w:p w:rsidR="00000000" w:rsidRDefault="00000000">
      <w:r>
        <w:t>Женева, 30 апреля - 18 мая 2007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ПОЛЬША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Польши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/67/</w:t>
      </w:r>
      <w:r>
        <w:rPr>
          <w:lang w:val="en-US"/>
        </w:rPr>
        <w:t>Add</w:t>
      </w:r>
      <w:r>
        <w:t>.5) на своих 769-м и 772-м заседаниях, состоявшихся 10 и 11 мая 2007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.769 и 772), и на своем 776-м заседании, состоявшемся 15 мая 2007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.776), и принял следующие заключительные замечания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выражает удовлетворение в связи с представлением государством-участником четвертого периодического доклада и содержащейся в нем информацией.  Комитет высоко оценивает диалог с делегацией государства-участника и представление в письменном виде подробных ответов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POL</w:t>
      </w:r>
      <w:proofErr w:type="spellEnd"/>
      <w:r>
        <w:t>/</w:t>
      </w:r>
      <w:r>
        <w:rPr>
          <w:lang w:val="en-US"/>
        </w:rPr>
        <w:t>Q</w:t>
      </w:r>
      <w:r>
        <w:t>/4/</w:t>
      </w:r>
      <w:r>
        <w:rPr>
          <w:lang w:val="en-US"/>
        </w:rPr>
        <w:t>Rev</w:t>
      </w:r>
      <w:r>
        <w:t>.1/</w:t>
      </w:r>
      <w:r>
        <w:rPr>
          <w:lang w:val="en-US"/>
        </w:rPr>
        <w:t>Add</w:t>
      </w:r>
      <w:r>
        <w:t xml:space="preserve">.1), что способствовало проведению обсуждения между членами делегации и Комитетом.  </w:t>
      </w:r>
    </w:p>
    <w:p w:rsidR="00000000" w:rsidRDefault="00000000"/>
    <w:p w:rsidR="00000000" w:rsidRDefault="00000000">
      <w:r>
        <w:t>3.</w:t>
      </w:r>
      <w:r>
        <w:tab/>
        <w:t>Комитет выражает удовлетворение в связи с участием в дискуссии делегации высокого уровня, состоящей из представителей нескольких министерств государства-участника, и усилиями, предпринятыми в целях представления дополнительной информации, что способствовало конструктивному диалогу в процессе рассмотрения доклада.</w:t>
      </w:r>
    </w:p>
    <w:p w:rsidR="00000000" w:rsidRDefault="00000000">
      <w:pPr>
        <w:rPr>
          <w:sz w:val="16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отмечает, что за время, прошедшее с момента рассмотрения последнего периодического доклада, государство-участник ратифицировало следующие международные конвенции и протоколы по правам человека:</w:t>
      </w:r>
    </w:p>
    <w:p w:rsidR="00000000" w:rsidRDefault="00000000"/>
    <w:p w:rsidR="00000000" w:rsidRDefault="00000000">
      <w:r>
        <w:tab/>
        <w:t>а)</w:t>
      </w:r>
      <w:r>
        <w:tab/>
        <w:t>Факультативный протокол к Конвенции о правах ребенка, касающийся участия детей в вооруженных конфликтах, 7 мая 2005 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Факультативный протокол к Конвенции о правах ребенка, касающийся торговли детьми, детской проституции и детской порнографии, 4 марта 2005 года;</w:t>
      </w:r>
    </w:p>
    <w:p w:rsidR="00000000" w:rsidRDefault="00000000"/>
    <w:p w:rsidR="00000000" w:rsidRDefault="00000000">
      <w:r>
        <w:tab/>
        <w:t>с)</w:t>
      </w:r>
      <w:r>
        <w:tab/>
        <w:t>Факультативный протокол к Конвенции о ликвидации всех форм дискриминации в отношении женщин 22 марта 2004 года;</w:t>
      </w:r>
    </w:p>
    <w:p w:rsidR="00000000" w:rsidRDefault="00000000"/>
    <w:p w:rsidR="00000000" w:rsidRDefault="00000000">
      <w:r>
        <w:tab/>
      </w:r>
      <w:r>
        <w:rPr>
          <w:lang w:val="fr-CH"/>
        </w:rPr>
        <w:t>d</w:t>
      </w:r>
      <w:r>
        <w:t>)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 14 сентября 2005 года;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Римский статут Международного уголовного суда 1 июля 2002 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Конвенцию Организации Объединенных Наций против транснациональной организованной преступности 29 сентября 2003 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 xml:space="preserve">Протокол </w:t>
      </w:r>
      <w:r>
        <w:rPr>
          <w:rStyle w:val="Strong"/>
          <w:b w:val="0"/>
          <w:bCs w:val="0"/>
        </w:rPr>
        <w:t xml:space="preserve">о предупреждении и пресечении торговли людьми, особенно женщинами и детьми, и наказании за нее, дополняющий </w:t>
      </w:r>
      <w:r>
        <w:t>Конвенцию Организации Объединенных Наций против транснациональной организованной преступности, 25 декабря 2003 года;  и</w:t>
      </w:r>
    </w:p>
    <w:p w:rsidR="00000000" w:rsidRDefault="00000000"/>
    <w:p w:rsidR="00000000" w:rsidRDefault="00000000">
      <w:pPr>
        <w:rPr>
          <w:szCs w:val="19"/>
        </w:rPr>
      </w:pPr>
      <w:r>
        <w:tab/>
      </w:r>
      <w:r>
        <w:rPr>
          <w:lang w:val="en-US"/>
        </w:rPr>
        <w:t>h</w:t>
      </w:r>
      <w:r>
        <w:t>)</w:t>
      </w:r>
      <w:r>
        <w:tab/>
      </w:r>
      <w:r>
        <w:rPr>
          <w:szCs w:val="19"/>
        </w:rPr>
        <w:t>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преступности, 28 января 2004 года.</w:t>
      </w:r>
    </w:p>
    <w:p w:rsidR="00000000" w:rsidRDefault="00000000">
      <w:pPr>
        <w:rPr>
          <w:szCs w:val="19"/>
        </w:rPr>
      </w:pPr>
    </w:p>
    <w:p w:rsidR="00000000" w:rsidRDefault="00000000">
      <w:r>
        <w:rPr>
          <w:szCs w:val="19"/>
        </w:rPr>
        <w:t>5.</w:t>
      </w:r>
      <w:r>
        <w:rPr>
          <w:szCs w:val="19"/>
        </w:rPr>
        <w:tab/>
      </w:r>
      <w:r>
        <w:t>Комитет также высоко оценивает предпринимаемые на государственном уровне усилия по реформированию законодательства, политики и процедур в целях обеспечения большей защищенности прав человека, включая право не подвергаться пыткам и другим жестоким, бесчеловечным или унижающим достоинство видам обращения и наказания, включая, в частности:</w:t>
      </w:r>
    </w:p>
    <w:p w:rsidR="00000000" w:rsidRDefault="00000000"/>
    <w:p w:rsidR="00000000" w:rsidRDefault="00000000">
      <w:r>
        <w:rPr>
          <w:b/>
          <w:bCs/>
        </w:rPr>
        <w:tab/>
      </w:r>
      <w:r>
        <w:t>а)</w:t>
      </w:r>
      <w:r>
        <w:tab/>
        <w:t>принятие в июне 2003 года Закона о предоставлении защиты иностранцам на территории Республики Польша;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принятие в январе 2005 года Закона о национальных и этнических меньшинствах и региональных языках;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продолжение реализации Национального плана по предотвращению торговли людьми и борьбе с ней;</w:t>
      </w:r>
    </w:p>
    <w:p w:rsidR="00000000" w:rsidRDefault="00000000"/>
    <w:p w:rsidR="00000000" w:rsidRDefault="00000000">
      <w:r>
        <w:tab/>
      </w:r>
      <w:r>
        <w:rPr>
          <w:lang w:val="fr-CH"/>
        </w:rPr>
        <w:t>d</w:t>
      </w:r>
      <w:r>
        <w:t>)</w:t>
      </w:r>
      <w:r>
        <w:tab/>
        <w:t>принятие в 2003 году Национальной программы по предотвращению расовой дискриминации, ксенофобии и связанной с ними нетерпимости;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 xml:space="preserve">учреждение в 2006 году института </w:t>
      </w:r>
      <w:proofErr w:type="spellStart"/>
      <w:r>
        <w:t>омбудсмена</w:t>
      </w:r>
      <w:proofErr w:type="spellEnd"/>
      <w:r>
        <w:t xml:space="preserve"> по правам пациентов психиатрических больниц;  и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принятие в феврале 2006 года Национальной программы по защите жертв преступлений.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Определение понятия "пытка"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Комитет выражает сожаление в связи с тем, что государство-участник не изменило своей позиции относительно отказа инкорпорировать положения Конвенции во внутреннее законодательство и подтверждает обеспокоенность, сформулированную в предыдущих заключительных замечаниях и рекомендациях (А/55/44, пункты 85-95), относительно отсутствия в национальном законодательстве отдельного преступления в форме пытки в соответствии со статьей 1 и пунктом 2  статьи 4 Конвенции (статьи 1 и 4).</w:t>
      </w:r>
    </w:p>
    <w:p w:rsidR="00000000" w:rsidRDefault="00000000"/>
    <w:p w:rsidR="00000000" w:rsidRDefault="00000000">
      <w:pPr>
        <w:tabs>
          <w:tab w:val="clear" w:pos="1134"/>
        </w:tabs>
        <w:ind w:left="567"/>
        <w:rPr>
          <w:b/>
          <w:bCs/>
        </w:rPr>
      </w:pPr>
      <w:r>
        <w:rPr>
          <w:b/>
          <w:bCs/>
        </w:rPr>
        <w:t>Комитет, ссылаясь на свои предыдущие рекомендации (А/55/44, пункты 85-95), вновь призывает государство-участник включить в Уголовный кодекс конкретное преступление в форме пыток в соответствии с определением статьи 1 Конвенции и предусмотреть уголовное наказание за его совершение, как это установлено в пункте 2 статьи 4 Конвенции.</w:t>
      </w:r>
    </w:p>
    <w:p w:rsidR="00000000" w:rsidRDefault="00000000">
      <w:pPr>
        <w:ind w:left="1122"/>
        <w:rPr>
          <w:b/>
          <w:bCs/>
        </w:rPr>
      </w:pPr>
    </w:p>
    <w:p w:rsidR="00000000" w:rsidRDefault="00000000">
      <w:pPr>
        <w:keepNext/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br w:type="page"/>
        <w:t>Предварительное содержание под стражей</w:t>
      </w:r>
    </w:p>
    <w:p w:rsidR="00000000" w:rsidRDefault="00000000">
      <w:pPr>
        <w:keepNext/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keepNext/>
        <w:tabs>
          <w:tab w:val="clear" w:pos="1134"/>
          <w:tab w:val="left" w:pos="1309"/>
        </w:tabs>
      </w:pPr>
      <w:r>
        <w:t>7.</w:t>
      </w:r>
      <w:r>
        <w:tab/>
        <w:t>Комитет выражает обеспокоенность в связи с продолжительностью предварительного содержания под стражей до суда, срок которого в соответствии с Уголовно-процессуальным кодексом может достигать двух лет, а также в связи с тем, что в польском законодательстве не установлено временное ограничение предварительного заключения с момента начала рассмотрения дела в суде (статьи 2 и 11).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соответствующие меры в целях приведения условий предварительного заключения в соответствие с международными стандартами и обеспечить его применение в качестве исключительной меры на ограниченный период времени.  Государству-участнику следует рассмотреть возможность применения мер, альтернативных заключению под стражу.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Основные правовые гарантии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8.</w:t>
      </w:r>
      <w:r>
        <w:tab/>
        <w:t xml:space="preserve">Комитет обеспокоен наличием ограничений, которые могут применяться в отношении основных правовых гарантий, предусмотренных для лиц, задержанных полицией, в частности их права на доступ к адвокату с момента задержания, в том числе на стадии предварительного расследования, а также на встречи с адвокатом наедине (статьи 2 и 11). 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эффективные меры с целью обеспечения всех основных правовых гарантий лицам, задержанным полицией, в частности права на доступ к адвокату и на встречу с ним наедине с момента задержания, в том числе на стадии предварительного расследования.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9.</w:t>
      </w:r>
      <w:r>
        <w:tab/>
        <w:t>Комитет отмечает введение процедуры "ускоренного производства" в процессе пересмотра Уголовно-процессуального кодекса (статья 387) и высказывает обеспокоенность в связи с возможностью оказания давления на подозреваемых, с тем чтобы принудить их воспользоваться этой процедурой (статья 2).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все необходимые меры для обеспечения добровольного характера таких соглашений.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br w:type="page"/>
        <w:t>10.</w:t>
      </w:r>
      <w:r>
        <w:tab/>
        <w:t>Комитет выражает сожаление в связи с отсутствием в Польше эффективной системы предоставления юридической помощи, и в частности в связи с задержкой в представлении на рассмотрение парламента (сейма) законопроекта о доступе к бесплатной юридической помощи, учитывая последствия, которые такая задержка может иметь для защиты малоимущих лиц (статья 2).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 xml:space="preserve">Государству-участнику следует принять эффективные меры, </w:t>
      </w:r>
      <w:r>
        <w:rPr>
          <w:b/>
          <w:bCs/>
          <w:lang w:val="en-US"/>
        </w:rPr>
        <w:t>c</w:t>
      </w:r>
      <w:r>
        <w:rPr>
          <w:b/>
          <w:bCs/>
        </w:rPr>
        <w:t xml:space="preserve"> тем чтобы ускорить принятие закона о бесплатной юридической помощи в целях обеспечения надлежащей защиты и доступа к правовой системе малоимущих лиц.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11.</w:t>
      </w:r>
      <w:r>
        <w:tab/>
        <w:t>Комитет выражает озабоченность в связи с постоянными утверждениями о том, что в Польше практикуются чрезвычайные выдачи в контексте борьбы с международным терроризмом.  С другой стороны, Комитет принимает во внимание заявление польской делегации о том, что Польша никогда не участвовала и не участвует в какой бы то ни было форме в чрезвычайных выдачах лиц, подозреваемых в терроризме (статьи 2 и 3).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Государству-участнику следует гарантировать принцип невозвращения в отношении всех лиц, содержащихся под стражей, и принять необходимые меры для недопущения и пресечения практики выдачи подозреваемых в государства, где для них существует реальная угроза пыток, с тем чтобы обеспечить выполнение своих обязательств в рамках статьи 3 Конвенции.  Государству-участнику следует во всех случаях обеспечивать, чтобы у подозреваемых была возможность обжалования решений о возвращении.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Задержание просителей убежища и других категорий неграждан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12.</w:t>
      </w:r>
      <w:r>
        <w:tab/>
        <w:t>Комитет с обеспокоенностью обращает внимание на отсутствие конкретных законов, регулирующих процедуру задержания иностранцев после истечения срока, установленного для их высылки, и на тот факт, что некоторые из таких лиц помещаются без санкции суда под стражу в транзитных зонах на срок, превышающий предельный период, установленный для их высылки (статьи 3 и 11).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 xml:space="preserve">Государству-участнику следует принять необходимые меры для разрешения этой проблемы и обеспечить, чтобы содержание иностранцев под стражей не было чрезмерно затянутым, и продлевалось в случае необходимости на несколько дней только на основании соответствующего судебного решения.  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13.</w:t>
      </w:r>
      <w:r>
        <w:tab/>
        <w:t>Комитет также с озабоченностью обращает внимание на режим и условия содержания под стражей в транзитных зонах или центрах заключения для лиц, подлежащих высылке, куда помещаются иностранные граждане, ожидающие высылки в соответствии с законодательством об иностранцах (статьи 3 и 11).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Государству-участнику следует пересмотреть режим и условия содержания в центрах заключения для лиц, подлежащих высылке, в целях обеспечения их соответствия минимальным международным стандартам, включая размер камер и распорядок дня заключенных.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Чрезмерное применение силы сотрудниками правоохранительных органов, включая убийства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14.</w:t>
      </w:r>
      <w:r>
        <w:tab/>
        <w:t>Комитет обеспокоен сообщениями о чрезмерном применении силы сотрудниками правоохранительных органов, в частности в связи с инцидентами, произошедшими в мае 2004 года в Лодзи во время студенческих каникул, в ходе которых "по ошибке" были применены боеприпасы проникающего действия</w:t>
      </w:r>
      <w:r>
        <w:rPr>
          <w:rStyle w:val="FootnoteReference"/>
        </w:rPr>
        <w:footnoteReference w:id="1"/>
      </w:r>
      <w:r>
        <w:t>.  Комитет особенно обеспокоен тем фактом, что расследование все еще не завершено, а также отсутствием информации о дисциплинарных санкциях в отношении сотрудников полиции, привлеченных к ответственности и находящихся в настоящее время под следствием (статьи 10 и 12).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обеспечивать быстрое, беспристрастное и эффективное расследование всех заявлений о неправомерном поведении должностных лиц правоохранительных структур, особенно когда оно приводит к гибели или телесным повреждениям пострадавших.  Что касается явных случаев применения пыток, то в период расследования обвиняемых надлежит отстранять от исполнения должностных обязанностей или переводить на другую должность, если существует опасность, что они будут препятствовать проведению расследования;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b)</w:t>
      </w:r>
      <w:r>
        <w:rPr>
          <w:b/>
          <w:bCs/>
        </w:rPr>
        <w:tab/>
        <w:t>привлекать к судебной ответственности лиц, виновных в совершении подобных актов, выносить в отношении виновных надлежащие приговоры и обеспечивать адекватное возмещение жертвам, чтобы устранить фактическую безнаказанность сотрудников правоохранительных органов, виновных в нарушении положений Конвенции;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с)</w:t>
      </w:r>
      <w:r>
        <w:rPr>
          <w:b/>
          <w:bCs/>
        </w:rPr>
        <w:tab/>
      </w:r>
      <w:r>
        <w:rPr>
          <w:b/>
          <w:bCs/>
        </w:rPr>
        <w:tab/>
        <w:t>пересмотреть и активизировать программы обучения и профессиональной подготовки по вопросам применения силы и оружия сотрудниками правоохранительных органов в целях обеспечения применения ими силы в строго ограниченных пределах, необходимых для выполнения должностных обязанностей.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Профессиональная подготовка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15.</w:t>
      </w:r>
      <w:r>
        <w:tab/>
        <w:t>Принимая к сведению осуществление широкого круга программ обучения для сотрудников правоохранительных органов, тюремного персонала, пограничников и медицинских работников, Комитет вместе с тем с обеспокоенностью отмечает отсутствие программ для оценки результатов обучения и его эффективности с точки зрения сокращения численности случаев пыток, насилия и жестокого обращения (статья 10).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Государству-участнику следует разработать и применять методологию для оценки эффективности программ обучения/профессиональной подготовки и их воздействия на сокращение случаев пыток, насилия и жестокого обращения.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Своевременное и беспристрастное расследование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16.</w:t>
      </w:r>
      <w:r>
        <w:tab/>
        <w:t>Комитет обеспокоен утверждениями о наличии на территории Польши секретных мест содержания под стражей для иностранцев, подозреваемых в терроризме.  Комитет отмечает заявление польской делегации, категорически опровергающее все утверждения о функционировании на его территории секретных мест заключения (статьи 3, 12 и 16).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Комитет призывает государство-участник представить информацию об охвате, методах и результатах  расследований, проведенных польским парламентом по фактам указанных утверждений, с тем чтобы закрыть этот вопрос.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Условия содержания в тюрьмах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17.</w:t>
      </w:r>
      <w:r>
        <w:tab/>
        <w:t>Признавая усилия, прилагаемые государством-участником по решению проблемы переполненности тюрем, Комитет выражает обеспокоенность в связи с некоторыми мерами, принятыми в этой связи, и их возможным воздействием на материальные условия</w:t>
      </w:r>
    </w:p>
    <w:p w:rsidR="00000000" w:rsidRDefault="00000000">
      <w:pPr>
        <w:tabs>
          <w:tab w:val="clear" w:pos="1134"/>
          <w:tab w:val="left" w:pos="1309"/>
        </w:tabs>
      </w:pPr>
      <w:r>
        <w:br w:type="page"/>
        <w:t>содержания в тюрьмах.  Комитет озабочен, в частности, переоборудованием в жилые камеры общинных центров, спортзалов, актовых залов и других объектов общего пользования (статья 11).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  <w:r>
        <w:rPr>
          <w:b/>
          <w:bCs/>
        </w:rPr>
        <w:t>Государству-участнику следует принять необходимые меры для устранения проблемы переполненности тюрем без ущерба для действующего режима и материальных условий содержания заключенных.  Государство-участник должно обеспечить необходимые материальные, людские и финансовые ресурсы для приведения условий содержания в тюрьмах в соответствие с международными стандартами.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Торговля людьми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18.</w:t>
      </w:r>
      <w:r>
        <w:tab/>
        <w:t>Принимая к сведению усилия государства-участника по предотвращению торговли людьми и борьбе с ней, заключающиеся в принятии нового законодательства и практических мер, Комитет сохраняет обеспокоенность в связи с отсутствием в Уголовном кодексе определения торговли людьми.  Комитет также выражает сожаление в связи с отсутствием информации о количестве уголовных дел, находящихся на рассмотрении судов, и о наказаниях, назначенных виновным (статья 16).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включить в Уголовный кодекс определение торговли людьми по смыслу Проток</w:t>
      </w:r>
      <w:r>
        <w:rPr>
          <w:b/>
          <w:bCs/>
        </w:rPr>
        <w:t>о</w:t>
      </w:r>
      <w:r>
        <w:rPr>
          <w:b/>
          <w:bCs/>
        </w:rPr>
        <w:t>ла о предупреждении и пресечении торговли людьми, особенно женщин</w:t>
      </w:r>
      <w:r>
        <w:rPr>
          <w:b/>
          <w:bCs/>
        </w:rPr>
        <w:t>а</w:t>
      </w:r>
      <w:r>
        <w:rPr>
          <w:b/>
          <w:bCs/>
        </w:rPr>
        <w:t>ми и детьми, и наказании за нее (</w:t>
      </w:r>
      <w:proofErr w:type="spellStart"/>
      <w:r>
        <w:rPr>
          <w:b/>
          <w:bCs/>
          <w:lang w:val="en-US"/>
        </w:rPr>
        <w:t>CEDAW</w:t>
      </w:r>
      <w:proofErr w:type="spellEnd"/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</w:t>
      </w:r>
      <w:proofErr w:type="spellStart"/>
      <w:r>
        <w:rPr>
          <w:b/>
          <w:bCs/>
          <w:lang w:val="en-US"/>
        </w:rPr>
        <w:t>POL</w:t>
      </w:r>
      <w:proofErr w:type="spellEnd"/>
      <w:r>
        <w:rPr>
          <w:b/>
          <w:bCs/>
        </w:rPr>
        <w:t>/</w:t>
      </w:r>
      <w:r>
        <w:rPr>
          <w:b/>
          <w:bCs/>
          <w:lang w:val="en-US"/>
        </w:rPr>
        <w:t>CO</w:t>
      </w:r>
      <w:r>
        <w:rPr>
          <w:b/>
          <w:bCs/>
        </w:rPr>
        <w:t>/6).</w:t>
      </w:r>
    </w:p>
    <w:p w:rsidR="00000000" w:rsidRDefault="00000000">
      <w:pPr>
        <w:tabs>
          <w:tab w:val="clear" w:pos="1134"/>
          <w:tab w:val="left" w:pos="1309"/>
        </w:tabs>
        <w:ind w:left="561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представить подробную информацию и статистические данные о количестве дел, переданных на рассмотрение судов, и о назначенных в надлежащих случаях наказаниях виновным.</w:t>
      </w:r>
    </w:p>
    <w:p w:rsidR="00000000" w:rsidRDefault="00000000">
      <w:pPr>
        <w:tabs>
          <w:tab w:val="clear" w:pos="1134"/>
          <w:tab w:val="left" w:pos="1309"/>
        </w:tabs>
        <w:spacing w:line="240" w:lineRule="auto"/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"</w:t>
      </w:r>
      <w:proofErr w:type="spellStart"/>
      <w:r>
        <w:rPr>
          <w:b/>
          <w:bCs/>
        </w:rPr>
        <w:t>Дедовщина</w:t>
      </w:r>
      <w:proofErr w:type="spellEnd"/>
      <w:r>
        <w:rPr>
          <w:b/>
          <w:bCs/>
        </w:rPr>
        <w:t>" в армии</w:t>
      </w:r>
    </w:p>
    <w:p w:rsidR="00000000" w:rsidRDefault="00000000">
      <w:pPr>
        <w:tabs>
          <w:tab w:val="clear" w:pos="1134"/>
          <w:tab w:val="left" w:pos="1309"/>
        </w:tabs>
        <w:spacing w:line="240" w:lineRule="auto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19.</w:t>
      </w:r>
      <w:r>
        <w:tab/>
        <w:t>Комитет отмечает прогресс, достигнутый государством-участником по уменьшению числа случаев насилия в отношении призывников в армии, но по</w:t>
      </w:r>
      <w:r>
        <w:noBreakHyphen/>
        <w:t>прежнему обеспокоен большим количеством сообщений о таких случаях (статьи 2 и 16).</w:t>
      </w:r>
    </w:p>
    <w:p w:rsidR="00000000" w:rsidRDefault="00000000">
      <w:pPr>
        <w:tabs>
          <w:tab w:val="clear" w:pos="1134"/>
          <w:tab w:val="left" w:pos="1309"/>
        </w:tabs>
        <w:spacing w:line="240" w:lineRule="auto"/>
      </w:pP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 xml:space="preserve">Государству-участнику следует принять меры по пресечению практики </w:t>
      </w:r>
      <w:proofErr w:type="spellStart"/>
      <w:r>
        <w:rPr>
          <w:b/>
          <w:bCs/>
        </w:rPr>
        <w:t>дедовщины</w:t>
      </w:r>
      <w:proofErr w:type="spellEnd"/>
      <w:r>
        <w:rPr>
          <w:b/>
          <w:bCs/>
        </w:rPr>
        <w:t xml:space="preserve"> в вооруженных силах;  продолжить осуществление превентивных мер, а также обеспечить оперативное, беспристрастное и эффективное расследование таких случаев и возбуждение уголовного преследования;  и предать гласности результаты таких преследований.</w:t>
      </w: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 xml:space="preserve">Государству-участнику следует гарантировать реабилитацию для жертв, включая соответствующую медицинскую и психологическую помощь.  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Меньшинства и другие уязвимые группы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20.</w:t>
      </w:r>
      <w:r>
        <w:tab/>
        <w:t>Комитет с обеспокоенностью отмечает сообщения о проявлениях нетерпимости и ненависти в отношении меньшинств и других уязвимых групп, проживающих в Польше, в том числе утверждения об имевших место в недавнее время устных заявлениях, разжигающих вражду и нетерпимость в отношении гомосексуалистов и лесбиянок (статья 16).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включить в Уголовный кодекс статью, предусматривающую наказание за преступления, связанные с разжиганием ненависти, такие как проявление нетерпимости и возбуждение вражды и насилия по признаку сексуальной ориентации.  Кроме того, государству-участнику следует продолжать проявлять бдительность в отношении обеспечения неукоснительного соблюдения соответствующих правовых и административных мер, а также обеспечить, чтобы программы профессиональной подготовки и административные директивы постоянно обращали внимание персонала на недопустимость словесных оскорблений и физической жестокости, за совершение которых будут применяться предусмотренные наказания.</w:t>
      </w: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представить подробную информацию и статистику о количестве и видах преступлений, связанных с разжиганием ненависти, а также об административных и судебных мерах, принятых с целью расследования таких преступлений, и назначенных наказаниях.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  <w:r>
        <w:rPr>
          <w:b/>
          <w:bCs/>
        </w:rPr>
        <w:t>Сбор информации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</w:pPr>
      <w:r>
        <w:t>21.</w:t>
      </w:r>
      <w:r>
        <w:tab/>
        <w:t>Комитет сожалеет о том, что по различным областям, охватываемым Конвенцией, государство-участник не смогло представить статистические данные или произвести надлежащую разбивку тех данных, которые оно представило (например, по возрасту, полу и/или этнической принадлежности).  Во время состоявшегося диалога это, например, касалось информации о насилии в отношении женщин, включая изнасилования и сексуальные домогательства, и о насилии на почве расовой вражды, в частности, в отношении рома.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такие меры, которые могут оказаться необходимыми для обеспечения того, чтобы его компетентные органы, а также Комитет имели полную и подробную информацию для целей оценки соблюдения государством-участником его обязательств по Конвенции.</w:t>
      </w:r>
    </w:p>
    <w:p w:rsidR="00000000" w:rsidRDefault="00000000">
      <w:pPr>
        <w:tabs>
          <w:tab w:val="clear" w:pos="1134"/>
          <w:tab w:val="left" w:pos="1309"/>
        </w:tabs>
        <w:ind w:left="1122"/>
        <w:rPr>
          <w:b/>
          <w:bCs/>
        </w:rPr>
      </w:pPr>
    </w:p>
    <w:p w:rsidR="00000000" w:rsidRDefault="00000000">
      <w:pPr>
        <w:tabs>
          <w:tab w:val="clear" w:pos="1134"/>
          <w:tab w:val="left" w:pos="1309"/>
        </w:tabs>
        <w:rPr>
          <w:color w:val="000000"/>
        </w:rPr>
      </w:pPr>
      <w:r>
        <w:t>22.</w:t>
      </w:r>
      <w:r>
        <w:tab/>
        <w:t xml:space="preserve">Комитет выражает удовлетворение по поводу взносов государства-участника в </w:t>
      </w:r>
      <w:r>
        <w:rPr>
          <w:color w:val="000000"/>
        </w:rPr>
        <w:t>Фонд добровольных взносов Организации Объединенных Наций для жертв пыток в период между 1999 и 2005 годами и призывает государство-участник продолжать делать взносы в Фонд.</w:t>
      </w:r>
    </w:p>
    <w:p w:rsidR="00000000" w:rsidRDefault="00000000">
      <w:pPr>
        <w:tabs>
          <w:tab w:val="clear" w:pos="1134"/>
          <w:tab w:val="left" w:pos="1309"/>
        </w:tabs>
        <w:rPr>
          <w:color w:val="000000"/>
        </w:rPr>
      </w:pPr>
    </w:p>
    <w:p w:rsidR="00000000" w:rsidRDefault="00000000">
      <w:pPr>
        <w:tabs>
          <w:tab w:val="clear" w:pos="1134"/>
          <w:tab w:val="left" w:pos="1309"/>
        </w:tabs>
        <w:rPr>
          <w:color w:val="000000"/>
        </w:rPr>
      </w:pPr>
      <w:r>
        <w:rPr>
          <w:color w:val="000000"/>
        </w:rPr>
        <w:t>23.</w:t>
      </w:r>
      <w:r>
        <w:rPr>
          <w:color w:val="000000"/>
        </w:rPr>
        <w:tab/>
        <w:t>Комитет просит государство-участник представить в своем следующем периодическом докладе подробную статистическую информацию в разбивке по преступлениям, этнической принадлежности, возрасту и полу о жалобах, касающихся пыток и жестокого обращения, предположительно совершаемых сотрудниками правоохранительных органов, и о соответствующих расследованиях, уголовных делах и уголовных или административных санкциях.</w:t>
      </w:r>
    </w:p>
    <w:p w:rsidR="00000000" w:rsidRDefault="00000000">
      <w:pPr>
        <w:tabs>
          <w:tab w:val="clear" w:pos="1134"/>
          <w:tab w:val="left" w:pos="1309"/>
        </w:tabs>
        <w:rPr>
          <w:color w:val="000000"/>
        </w:rPr>
      </w:pPr>
    </w:p>
    <w:p w:rsidR="00000000" w:rsidRDefault="00000000">
      <w:pPr>
        <w:tabs>
          <w:tab w:val="clear" w:pos="1134"/>
          <w:tab w:val="left" w:pos="1309"/>
        </w:tabs>
      </w:pPr>
      <w:r>
        <w:rPr>
          <w:color w:val="000000"/>
        </w:rPr>
        <w:t>24.</w:t>
      </w:r>
      <w:r>
        <w:rPr>
          <w:color w:val="000000"/>
        </w:rPr>
        <w:tab/>
      </w:r>
      <w:r>
        <w:t xml:space="preserve">Государству-участнику предлагается обеспечить широкое распространение докладов и ответов на перечень вопросов, представленных Польшей Комитету, а также выводов и рекомендаций на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</w:pPr>
      <w:r>
        <w:t>25.</w:t>
      </w:r>
      <w:r>
        <w:tab/>
        <w:t>Комитет предлагает государству-участнику представить базовый документ в соответствии с требованиями, установленными в Согласованных руководящих принципах представления докладов, принятых международными договорными органами по правам человека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 xml:space="preserve">/2006/3 и </w:t>
      </w:r>
      <w:proofErr w:type="spellStart"/>
      <w:r>
        <w:rPr>
          <w:lang w:val="en-US"/>
        </w:rPr>
        <w:t>Corr</w:t>
      </w:r>
      <w:proofErr w:type="spellEnd"/>
      <w:r>
        <w:t>.1).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</w:pPr>
      <w:r>
        <w:t>26.</w:t>
      </w:r>
      <w:r>
        <w:tab/>
        <w:t>Комитет просит государство-участник представить в течение одного года информацию о мерах, принятых им во исполнение рекомендаций Комитета, содержащихся выше в пунктах 8, 9, 15, 18 и 19.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</w:pPr>
      <w:r>
        <w:t>27.</w:t>
      </w:r>
      <w:r>
        <w:tab/>
        <w:t>Государству-участнику предлагается представить шестой периодический доклад к 30 июня 2011 года.</w:t>
      </w: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</w:pPr>
    </w:p>
    <w:p w:rsidR="00000000" w:rsidRDefault="00000000">
      <w:pPr>
        <w:tabs>
          <w:tab w:val="clear" w:pos="1134"/>
          <w:tab w:val="left" w:pos="1309"/>
        </w:tabs>
        <w:jc w:val="center"/>
        <w:rPr>
          <w:b/>
          <w:bCs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Также известны как боеприпасы, пробивающие бронежилет.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CAT/C/POL/CO/4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CAT/C/POL/CO/4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character" w:styleId="Strong">
    <w:name w:val="Strong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2690</Words>
  <Characters>15336</Characters>
  <Application>Microsoft Office Word</Application>
  <DocSecurity>4</DocSecurity>
  <Lines>127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Сафонова</cp:lastModifiedBy>
  <cp:revision>3</cp:revision>
  <cp:lastPrinted>2007-07-31T14:27:00Z</cp:lastPrinted>
  <dcterms:created xsi:type="dcterms:W3CDTF">2007-07-31T14:26:00Z</dcterms:created>
  <dcterms:modified xsi:type="dcterms:W3CDTF">2007-07-31T14:27:00Z</dcterms:modified>
</cp:coreProperties>
</file>