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8DE5FD9" w14:textId="77777777" w:rsidTr="008F3CA0">
        <w:trPr>
          <w:trHeight w:hRule="exact" w:val="851"/>
        </w:trPr>
        <w:tc>
          <w:tcPr>
            <w:tcW w:w="1276" w:type="dxa"/>
            <w:tcBorders>
              <w:bottom w:val="single" w:sz="4" w:space="0" w:color="auto"/>
            </w:tcBorders>
          </w:tcPr>
          <w:p w14:paraId="396F2FCB" w14:textId="77777777" w:rsidR="000354E9" w:rsidRPr="00DB58B5" w:rsidRDefault="000354E9" w:rsidP="00825B7B"/>
        </w:tc>
        <w:tc>
          <w:tcPr>
            <w:tcW w:w="2268" w:type="dxa"/>
            <w:tcBorders>
              <w:bottom w:val="single" w:sz="4" w:space="0" w:color="auto"/>
            </w:tcBorders>
            <w:vAlign w:val="bottom"/>
          </w:tcPr>
          <w:p w14:paraId="7989434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E7E8E5" w14:textId="6128D8E1" w:rsidR="000354E9" w:rsidRPr="00DB58B5" w:rsidRDefault="00825B7B" w:rsidP="00825B7B">
            <w:pPr>
              <w:jc w:val="right"/>
            </w:pPr>
            <w:r w:rsidRPr="00825B7B">
              <w:rPr>
                <w:sz w:val="40"/>
              </w:rPr>
              <w:t>CRC</w:t>
            </w:r>
            <w:r>
              <w:t>/C/87/D/69/2018</w:t>
            </w:r>
          </w:p>
        </w:tc>
      </w:tr>
      <w:tr w:rsidR="000354E9" w:rsidRPr="00DB58B5" w14:paraId="326111C4" w14:textId="77777777" w:rsidTr="008F3CA0">
        <w:trPr>
          <w:trHeight w:hRule="exact" w:val="2835"/>
        </w:trPr>
        <w:tc>
          <w:tcPr>
            <w:tcW w:w="1276" w:type="dxa"/>
            <w:tcBorders>
              <w:top w:val="single" w:sz="4" w:space="0" w:color="auto"/>
              <w:bottom w:val="single" w:sz="12" w:space="0" w:color="auto"/>
            </w:tcBorders>
          </w:tcPr>
          <w:p w14:paraId="660FECAF" w14:textId="77777777" w:rsidR="000354E9" w:rsidRPr="00DB58B5" w:rsidRDefault="000354E9" w:rsidP="008F3CA0">
            <w:pPr>
              <w:spacing w:before="120"/>
              <w:jc w:val="center"/>
            </w:pPr>
            <w:r>
              <w:rPr>
                <w:noProof/>
                <w:lang w:eastAsia="fr-CH"/>
              </w:rPr>
              <w:drawing>
                <wp:inline distT="0" distB="0" distL="0" distR="0" wp14:anchorId="060228C0" wp14:editId="1BE2103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F7E226"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8BB9AB7" w14:textId="77777777" w:rsidR="000354E9" w:rsidRDefault="00825B7B" w:rsidP="008F3CA0">
            <w:pPr>
              <w:spacing w:before="240"/>
            </w:pPr>
            <w:proofErr w:type="spellStart"/>
            <w:r>
              <w:t>Distr</w:t>
            </w:r>
            <w:proofErr w:type="spellEnd"/>
            <w:r>
              <w:t>. générale</w:t>
            </w:r>
          </w:p>
          <w:p w14:paraId="69444261" w14:textId="77777777" w:rsidR="00825B7B" w:rsidRDefault="00825B7B" w:rsidP="00825B7B">
            <w:pPr>
              <w:spacing w:line="240" w:lineRule="exact"/>
            </w:pPr>
            <w:r>
              <w:t>6 juillet 2021</w:t>
            </w:r>
          </w:p>
          <w:p w14:paraId="2D2338A7" w14:textId="77777777" w:rsidR="00825B7B" w:rsidRDefault="00825B7B" w:rsidP="00825B7B">
            <w:pPr>
              <w:spacing w:line="240" w:lineRule="exact"/>
            </w:pPr>
            <w:r>
              <w:t>Français</w:t>
            </w:r>
          </w:p>
          <w:p w14:paraId="3FAB86D9" w14:textId="4D78638C" w:rsidR="00825B7B" w:rsidRPr="00DB58B5" w:rsidRDefault="00825B7B" w:rsidP="00825B7B">
            <w:pPr>
              <w:spacing w:line="240" w:lineRule="exact"/>
            </w:pPr>
            <w:r>
              <w:t>Original : espagnol</w:t>
            </w:r>
          </w:p>
        </w:tc>
      </w:tr>
    </w:tbl>
    <w:p w14:paraId="50F36B5D" w14:textId="77777777" w:rsidR="002D14A3" w:rsidRDefault="002D14A3" w:rsidP="002D14A3">
      <w:pPr>
        <w:spacing w:before="120"/>
        <w:rPr>
          <w:b/>
          <w:sz w:val="24"/>
          <w:szCs w:val="24"/>
        </w:rPr>
      </w:pPr>
      <w:r w:rsidRPr="00DA3BE9">
        <w:rPr>
          <w:b/>
          <w:sz w:val="24"/>
          <w:szCs w:val="24"/>
        </w:rPr>
        <w:t>Comité des droits de l’enfant</w:t>
      </w:r>
    </w:p>
    <w:p w14:paraId="5FFB9378" w14:textId="63D71F1B" w:rsidR="00825B7B" w:rsidRPr="00AA1987" w:rsidRDefault="00825B7B" w:rsidP="00825B7B">
      <w:pPr>
        <w:pStyle w:val="HChG"/>
        <w:tabs>
          <w:tab w:val="clear" w:pos="851"/>
        </w:tabs>
        <w:rPr>
          <w:b w:val="0"/>
          <w:sz w:val="20"/>
          <w:lang w:val="fr-FR"/>
        </w:rPr>
      </w:pPr>
      <w:r>
        <w:rPr>
          <w:lang w:val="fr-FR"/>
        </w:rPr>
        <w:tab/>
      </w:r>
      <w:r>
        <w:rPr>
          <w:lang w:val="fr-FR"/>
        </w:rPr>
        <w:tab/>
        <w:t xml:space="preserve">Décision adoptée par le Comité au titre du Protocole facultatif à la Convention relative aux droits de l’enfant </w:t>
      </w:r>
      <w:r w:rsidRPr="00825B7B">
        <w:rPr>
          <w:spacing w:val="-3"/>
          <w:lang w:val="fr-FR"/>
        </w:rPr>
        <w:t>établissant une procédure de présentation de communications,</w:t>
      </w:r>
      <w:r>
        <w:rPr>
          <w:lang w:val="fr-FR"/>
        </w:rPr>
        <w:t xml:space="preserve"> concernant la communication </w:t>
      </w:r>
      <w:r w:rsidRPr="00825B7B">
        <w:rPr>
          <w:rFonts w:eastAsia="MS Mincho"/>
          <w:lang w:val="fr-FR"/>
        </w:rPr>
        <w:t>n</w:t>
      </w:r>
      <w:r w:rsidRPr="00825B7B">
        <w:rPr>
          <w:rFonts w:eastAsia="MS Mincho"/>
          <w:vertAlign w:val="superscript"/>
          <w:lang w:val="fr-FR"/>
        </w:rPr>
        <w:t>o</w:t>
      </w:r>
      <w:r>
        <w:rPr>
          <w:lang w:val="fr-FR"/>
        </w:rPr>
        <w:t> </w:t>
      </w:r>
      <w:r>
        <w:rPr>
          <w:lang w:val="fr-FR"/>
        </w:rPr>
        <w:t>69/2018</w:t>
      </w:r>
      <w:r w:rsidRPr="00825B7B">
        <w:rPr>
          <w:rStyle w:val="Appelnotedebasdep"/>
          <w:b w:val="0"/>
          <w:sz w:val="20"/>
          <w:vertAlign w:val="baseline"/>
          <w:lang w:val="fr-FR"/>
        </w:rPr>
        <w:footnoteReference w:customMarkFollows="1" w:id="2"/>
        <w:t>*</w:t>
      </w:r>
      <w:r w:rsidRPr="00825B7B">
        <w:rPr>
          <w:b w:val="0"/>
          <w:bCs/>
          <w:sz w:val="20"/>
          <w:vertAlign w:val="superscript"/>
          <w:lang w:val="fr-FR"/>
        </w:rPr>
        <w:t>,</w:t>
      </w:r>
      <w:r>
        <w:rPr>
          <w:b w:val="0"/>
          <w:sz w:val="20"/>
          <w:lang w:val="fr-FR"/>
        </w:rPr>
        <w:t xml:space="preserve"> </w:t>
      </w:r>
      <w:r w:rsidRPr="00825B7B">
        <w:rPr>
          <w:rStyle w:val="Appelnotedebasdep"/>
          <w:b w:val="0"/>
          <w:sz w:val="20"/>
          <w:vertAlign w:val="baseline"/>
          <w:lang w:val="fr-FR"/>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695"/>
        <w:gridCol w:w="4110"/>
      </w:tblGrid>
      <w:tr w:rsidR="00825B7B" w:rsidRPr="00342C45" w14:paraId="6722D96E" w14:textId="77777777" w:rsidTr="00825B7B">
        <w:tc>
          <w:tcPr>
            <w:tcW w:w="2695" w:type="dxa"/>
            <w:shd w:val="clear" w:color="auto" w:fill="auto"/>
          </w:tcPr>
          <w:p w14:paraId="51553AC9" w14:textId="77777777" w:rsidR="00825B7B" w:rsidRPr="005144EC" w:rsidRDefault="00825B7B" w:rsidP="004F4B2F">
            <w:pPr>
              <w:pStyle w:val="SingleTxtG"/>
              <w:ind w:left="0" w:right="0"/>
              <w:jc w:val="left"/>
              <w:rPr>
                <w:i/>
              </w:rPr>
            </w:pPr>
            <w:r>
              <w:rPr>
                <w:i/>
                <w:iCs/>
                <w:lang w:val="fr-FR"/>
              </w:rPr>
              <w:t>Communication présentée par </w:t>
            </w:r>
            <w:r w:rsidRPr="00B976F9">
              <w:rPr>
                <w:lang w:val="fr-FR"/>
              </w:rPr>
              <w:t>:</w:t>
            </w:r>
          </w:p>
        </w:tc>
        <w:tc>
          <w:tcPr>
            <w:tcW w:w="4110" w:type="dxa"/>
            <w:shd w:val="clear" w:color="auto" w:fill="auto"/>
          </w:tcPr>
          <w:p w14:paraId="4DBD02D7" w14:textId="77777777" w:rsidR="00825B7B" w:rsidRPr="00AA1987" w:rsidRDefault="00825B7B" w:rsidP="004F4B2F">
            <w:pPr>
              <w:pStyle w:val="SingleTxtG"/>
              <w:ind w:left="0" w:right="0"/>
              <w:jc w:val="left"/>
              <w:rPr>
                <w:lang w:val="fr-FR"/>
              </w:rPr>
            </w:pPr>
            <w:r>
              <w:rPr>
                <w:lang w:val="fr-FR"/>
              </w:rPr>
              <w:t>H. B. (représenté par un conseil, Vanessa Hernández Delgado)</w:t>
            </w:r>
          </w:p>
        </w:tc>
      </w:tr>
      <w:tr w:rsidR="00825B7B" w14:paraId="4B4EABD3" w14:textId="77777777" w:rsidTr="00825B7B">
        <w:tc>
          <w:tcPr>
            <w:tcW w:w="2695" w:type="dxa"/>
            <w:shd w:val="clear" w:color="auto" w:fill="auto"/>
          </w:tcPr>
          <w:p w14:paraId="3EFC3D4F" w14:textId="77777777" w:rsidR="00825B7B" w:rsidRPr="005144EC" w:rsidRDefault="00825B7B" w:rsidP="004F4B2F">
            <w:pPr>
              <w:pStyle w:val="SingleTxtG"/>
              <w:ind w:left="0" w:right="0"/>
              <w:jc w:val="left"/>
              <w:rPr>
                <w:i/>
              </w:rPr>
            </w:pPr>
            <w:r>
              <w:rPr>
                <w:i/>
                <w:iCs/>
                <w:lang w:val="fr-FR"/>
              </w:rPr>
              <w:t>Victime(s) présumée(s</w:t>
            </w:r>
            <w:r w:rsidRPr="00B976F9">
              <w:rPr>
                <w:lang w:val="fr-FR"/>
              </w:rPr>
              <w:t>)</w:t>
            </w:r>
            <w:r>
              <w:rPr>
                <w:lang w:val="fr-FR"/>
              </w:rPr>
              <w:t> </w:t>
            </w:r>
            <w:r w:rsidRPr="00B976F9">
              <w:rPr>
                <w:lang w:val="fr-FR"/>
              </w:rPr>
              <w:t>:</w:t>
            </w:r>
          </w:p>
        </w:tc>
        <w:tc>
          <w:tcPr>
            <w:tcW w:w="4110" w:type="dxa"/>
            <w:shd w:val="clear" w:color="auto" w:fill="auto"/>
          </w:tcPr>
          <w:p w14:paraId="6DC8CC33" w14:textId="77777777" w:rsidR="00825B7B" w:rsidRDefault="00825B7B" w:rsidP="004F4B2F">
            <w:pPr>
              <w:pStyle w:val="SingleTxtG"/>
              <w:ind w:left="0" w:right="0"/>
              <w:jc w:val="left"/>
            </w:pPr>
            <w:r>
              <w:rPr>
                <w:lang w:val="fr-FR"/>
              </w:rPr>
              <w:t>L’auteur</w:t>
            </w:r>
          </w:p>
        </w:tc>
      </w:tr>
      <w:tr w:rsidR="00825B7B" w14:paraId="5B3EAEAE" w14:textId="77777777" w:rsidTr="00825B7B">
        <w:tc>
          <w:tcPr>
            <w:tcW w:w="2695" w:type="dxa"/>
            <w:shd w:val="clear" w:color="auto" w:fill="auto"/>
          </w:tcPr>
          <w:p w14:paraId="24229BB0" w14:textId="77777777" w:rsidR="00825B7B" w:rsidRPr="005144EC" w:rsidRDefault="00825B7B" w:rsidP="004F4B2F">
            <w:pPr>
              <w:pStyle w:val="SingleTxtG"/>
              <w:ind w:left="0" w:right="0"/>
              <w:jc w:val="left"/>
              <w:rPr>
                <w:i/>
              </w:rPr>
            </w:pPr>
            <w:r>
              <w:rPr>
                <w:i/>
                <w:iCs/>
                <w:lang w:val="fr-FR"/>
              </w:rPr>
              <w:t>État partie </w:t>
            </w:r>
            <w:r w:rsidRPr="00B976F9">
              <w:rPr>
                <w:lang w:val="fr-FR"/>
              </w:rPr>
              <w:t>:</w:t>
            </w:r>
          </w:p>
        </w:tc>
        <w:tc>
          <w:tcPr>
            <w:tcW w:w="4110" w:type="dxa"/>
            <w:shd w:val="clear" w:color="auto" w:fill="auto"/>
          </w:tcPr>
          <w:p w14:paraId="5EBB8734" w14:textId="77777777" w:rsidR="00825B7B" w:rsidRDefault="00825B7B" w:rsidP="004F4B2F">
            <w:pPr>
              <w:pStyle w:val="SingleTxtG"/>
              <w:ind w:left="0" w:right="0"/>
              <w:jc w:val="left"/>
            </w:pPr>
            <w:r>
              <w:rPr>
                <w:lang w:val="fr-FR"/>
              </w:rPr>
              <w:t>Espagne</w:t>
            </w:r>
          </w:p>
        </w:tc>
      </w:tr>
      <w:tr w:rsidR="00825B7B" w:rsidRPr="00342C45" w14:paraId="04A55F6B" w14:textId="77777777" w:rsidTr="00825B7B">
        <w:tc>
          <w:tcPr>
            <w:tcW w:w="2695" w:type="dxa"/>
            <w:shd w:val="clear" w:color="auto" w:fill="auto"/>
          </w:tcPr>
          <w:p w14:paraId="0EC02C6B" w14:textId="77777777" w:rsidR="00825B7B" w:rsidRPr="005144EC" w:rsidRDefault="00825B7B" w:rsidP="004F4B2F">
            <w:pPr>
              <w:pStyle w:val="SingleTxtG"/>
              <w:ind w:left="0" w:right="0"/>
              <w:jc w:val="left"/>
              <w:rPr>
                <w:i/>
              </w:rPr>
            </w:pPr>
            <w:r>
              <w:rPr>
                <w:i/>
                <w:iCs/>
                <w:lang w:val="fr-FR"/>
              </w:rPr>
              <w:t>Date de la communication </w:t>
            </w:r>
            <w:r w:rsidRPr="00B976F9">
              <w:rPr>
                <w:lang w:val="fr-FR"/>
              </w:rPr>
              <w:t>:</w:t>
            </w:r>
          </w:p>
        </w:tc>
        <w:tc>
          <w:tcPr>
            <w:tcW w:w="4110" w:type="dxa"/>
            <w:shd w:val="clear" w:color="auto" w:fill="auto"/>
          </w:tcPr>
          <w:p w14:paraId="7D74CB3A" w14:textId="77777777" w:rsidR="00825B7B" w:rsidRPr="00AA1987" w:rsidRDefault="00825B7B" w:rsidP="004F4B2F">
            <w:pPr>
              <w:pStyle w:val="SingleTxtG"/>
              <w:ind w:left="0" w:right="0"/>
              <w:jc w:val="left"/>
              <w:rPr>
                <w:lang w:val="fr-FR"/>
              </w:rPr>
            </w:pPr>
            <w:r>
              <w:rPr>
                <w:lang w:val="fr-FR"/>
              </w:rPr>
              <w:t>28 décembre 2018 (date de la lettre initiale)</w:t>
            </w:r>
          </w:p>
        </w:tc>
      </w:tr>
      <w:tr w:rsidR="00825B7B" w:rsidRPr="00342C45" w14:paraId="754B7320" w14:textId="77777777" w:rsidTr="00825B7B">
        <w:tc>
          <w:tcPr>
            <w:tcW w:w="2695" w:type="dxa"/>
            <w:shd w:val="clear" w:color="auto" w:fill="auto"/>
          </w:tcPr>
          <w:p w14:paraId="574A3C59" w14:textId="77777777" w:rsidR="00825B7B" w:rsidRPr="005144EC" w:rsidRDefault="00825B7B" w:rsidP="004F4B2F">
            <w:pPr>
              <w:pStyle w:val="SingleTxtG"/>
              <w:ind w:left="0" w:right="0"/>
              <w:jc w:val="left"/>
              <w:rPr>
                <w:i/>
              </w:rPr>
            </w:pPr>
            <w:r>
              <w:rPr>
                <w:i/>
                <w:iCs/>
                <w:lang w:val="fr-FR"/>
              </w:rPr>
              <w:t>Objet </w:t>
            </w:r>
            <w:r w:rsidRPr="00B976F9">
              <w:rPr>
                <w:lang w:val="fr-FR"/>
              </w:rPr>
              <w:t>:</w:t>
            </w:r>
          </w:p>
        </w:tc>
        <w:tc>
          <w:tcPr>
            <w:tcW w:w="4110" w:type="dxa"/>
            <w:shd w:val="clear" w:color="auto" w:fill="auto"/>
            <w:vAlign w:val="bottom"/>
          </w:tcPr>
          <w:p w14:paraId="55FA102D" w14:textId="77777777" w:rsidR="00825B7B" w:rsidRPr="00AA1987" w:rsidRDefault="00825B7B" w:rsidP="004F4B2F">
            <w:pPr>
              <w:pStyle w:val="SingleTxtG"/>
              <w:ind w:left="0" w:right="0"/>
              <w:jc w:val="left"/>
              <w:rPr>
                <w:lang w:val="fr-FR"/>
              </w:rPr>
            </w:pPr>
            <w:r>
              <w:rPr>
                <w:lang w:val="fr-FR"/>
              </w:rPr>
              <w:t>Procédure de détermination de l’âge d’un mineur non accompagné</w:t>
            </w:r>
          </w:p>
        </w:tc>
      </w:tr>
      <w:tr w:rsidR="00825B7B" w:rsidRPr="00342C45" w14:paraId="0B218225" w14:textId="77777777" w:rsidTr="00825B7B">
        <w:tc>
          <w:tcPr>
            <w:tcW w:w="2695" w:type="dxa"/>
            <w:shd w:val="clear" w:color="auto" w:fill="auto"/>
          </w:tcPr>
          <w:p w14:paraId="6A8C783A" w14:textId="77777777" w:rsidR="00825B7B" w:rsidRPr="005144EC" w:rsidRDefault="00825B7B" w:rsidP="004F4B2F">
            <w:pPr>
              <w:pStyle w:val="SingleTxtG"/>
              <w:ind w:left="0" w:right="0"/>
              <w:jc w:val="left"/>
              <w:rPr>
                <w:i/>
              </w:rPr>
            </w:pPr>
            <w:r>
              <w:rPr>
                <w:i/>
                <w:iCs/>
                <w:lang w:val="fr-FR"/>
              </w:rPr>
              <w:t>Question(s) de fond </w:t>
            </w:r>
            <w:r w:rsidRPr="00B976F9">
              <w:rPr>
                <w:lang w:val="fr-FR"/>
              </w:rPr>
              <w:t>:</w:t>
            </w:r>
          </w:p>
        </w:tc>
        <w:tc>
          <w:tcPr>
            <w:tcW w:w="4110" w:type="dxa"/>
            <w:shd w:val="clear" w:color="auto" w:fill="auto"/>
            <w:vAlign w:val="bottom"/>
          </w:tcPr>
          <w:p w14:paraId="29ED2E9A" w14:textId="77777777" w:rsidR="00825B7B" w:rsidRPr="00AA1987" w:rsidRDefault="00825B7B" w:rsidP="004F4B2F">
            <w:pPr>
              <w:pStyle w:val="SingleTxtG"/>
              <w:ind w:left="0" w:right="0"/>
              <w:jc w:val="left"/>
              <w:rPr>
                <w:lang w:val="fr-FR"/>
              </w:rPr>
            </w:pPr>
            <w:r>
              <w:rPr>
                <w:lang w:val="fr-FR"/>
              </w:rPr>
              <w:t>Intérêt supérieur de l’enfant, droit à l’identité, droit d’être entendu, droit à un tuteur, droit au développement, droit à une protection et à une assistance spéciales de la part de l’État.</w:t>
            </w:r>
          </w:p>
        </w:tc>
      </w:tr>
      <w:tr w:rsidR="00825B7B" w14:paraId="779CCB7B" w14:textId="77777777" w:rsidTr="00825B7B">
        <w:tc>
          <w:tcPr>
            <w:tcW w:w="2695" w:type="dxa"/>
            <w:shd w:val="clear" w:color="auto" w:fill="auto"/>
          </w:tcPr>
          <w:p w14:paraId="1F8A81C3" w14:textId="77777777" w:rsidR="00825B7B" w:rsidRPr="00AA1987" w:rsidRDefault="00825B7B" w:rsidP="004F4B2F">
            <w:pPr>
              <w:pStyle w:val="SingleTxtG"/>
              <w:ind w:left="0" w:right="0"/>
              <w:jc w:val="left"/>
              <w:rPr>
                <w:i/>
                <w:lang w:val="fr-FR"/>
              </w:rPr>
            </w:pPr>
            <w:r>
              <w:rPr>
                <w:i/>
                <w:iCs/>
                <w:lang w:val="fr-FR"/>
              </w:rPr>
              <w:t>Article(s) de la Convention </w:t>
            </w:r>
            <w:r w:rsidRPr="00B976F9">
              <w:rPr>
                <w:lang w:val="fr-FR"/>
              </w:rPr>
              <w:t>:</w:t>
            </w:r>
          </w:p>
        </w:tc>
        <w:tc>
          <w:tcPr>
            <w:tcW w:w="4110" w:type="dxa"/>
            <w:shd w:val="clear" w:color="auto" w:fill="auto"/>
            <w:vAlign w:val="bottom"/>
          </w:tcPr>
          <w:p w14:paraId="1FA0D1C9" w14:textId="77777777" w:rsidR="00825B7B" w:rsidRDefault="00825B7B" w:rsidP="004F4B2F">
            <w:pPr>
              <w:pStyle w:val="SingleTxtG"/>
              <w:ind w:left="0" w:right="0"/>
              <w:jc w:val="left"/>
            </w:pPr>
            <w:r>
              <w:rPr>
                <w:lang w:val="fr-FR"/>
              </w:rPr>
              <w:t>3, 8, 18 (par. 2), 20, 27 et 29</w:t>
            </w:r>
          </w:p>
        </w:tc>
      </w:tr>
    </w:tbl>
    <w:p w14:paraId="5537281E" w14:textId="77777777" w:rsidR="00825B7B" w:rsidRPr="00AA1987" w:rsidRDefault="00825B7B" w:rsidP="00825B7B">
      <w:pPr>
        <w:pStyle w:val="SingleTxtG"/>
        <w:spacing w:before="240"/>
        <w:rPr>
          <w:lang w:val="fr-FR"/>
        </w:rPr>
      </w:pPr>
      <w:r>
        <w:rPr>
          <w:lang w:val="fr-FR"/>
        </w:rPr>
        <w:t>1.</w:t>
      </w:r>
      <w:r>
        <w:rPr>
          <w:lang w:val="fr-FR"/>
        </w:rPr>
        <w:tab/>
        <w:t>L’auteur de la communication est H. B., de nationalité marocaine, âgé de 15 ans au moment de la présentation de la communication. Il affirme que l’État partie a violé les droits qu’il tient des articles 3, 8, 18 (par. 2), 20, 27 et 29 de la Convention. Il est représenté par un conseil. Le Protocole facultatif est entré en vigueur pour l’État partie le 14 avril 2014.</w:t>
      </w:r>
    </w:p>
    <w:p w14:paraId="400AD93F" w14:textId="77777777" w:rsidR="00825B7B" w:rsidRPr="00AA1987" w:rsidRDefault="00825B7B" w:rsidP="00825B7B">
      <w:pPr>
        <w:pStyle w:val="SingleTxtG"/>
        <w:rPr>
          <w:lang w:val="fr-FR"/>
        </w:rPr>
      </w:pPr>
      <w:r>
        <w:rPr>
          <w:lang w:val="fr-FR"/>
        </w:rPr>
        <w:t>2.</w:t>
      </w:r>
      <w:r>
        <w:rPr>
          <w:lang w:val="fr-FR"/>
        </w:rPr>
        <w:tab/>
        <w:t xml:space="preserve">Le 8 octobre 2018, la Guardia Civil d’Arrecife a arrêté l’auteur à proximité de la plage de </w:t>
      </w:r>
      <w:proofErr w:type="spellStart"/>
      <w:r>
        <w:rPr>
          <w:lang w:val="fr-FR"/>
        </w:rPr>
        <w:t>Famara</w:t>
      </w:r>
      <w:proofErr w:type="spellEnd"/>
      <w:r>
        <w:rPr>
          <w:lang w:val="fr-FR"/>
        </w:rPr>
        <w:t>, à Lanzarote, alors qu’il venait d’arriver sur le territoire de l’État partie à bord d’une embarcation de fortune. Il n’était muni d’aucun document mais a déclaré être mineur. Le même jour, il a été transféré au centre d’accueil La Santa, à Lanzarote.</w:t>
      </w:r>
    </w:p>
    <w:p w14:paraId="7B3D1143" w14:textId="08584574" w:rsidR="00825B7B" w:rsidRPr="00AA1987" w:rsidRDefault="00825B7B" w:rsidP="00825B7B">
      <w:pPr>
        <w:pStyle w:val="SingleTxtG"/>
        <w:rPr>
          <w:lang w:val="fr-FR"/>
        </w:rPr>
      </w:pPr>
      <w:r>
        <w:rPr>
          <w:lang w:val="fr-FR"/>
        </w:rPr>
        <w:t>3.</w:t>
      </w:r>
      <w:r>
        <w:rPr>
          <w:lang w:val="fr-FR"/>
        </w:rPr>
        <w:tab/>
        <w:t>Le 8 novembre 2018, l’auteur a été informé d’une décision du parquet de la province de Las Palmas le déclarant majeur sur la base d’examens médicaux qui ne figuraient pas dans son dossier. Il affirme qu’à aucun moment il n’a été avisé des résultats desdits examens. Le 9 novembre 2018, il a été informé de la décision de renvoi rendue par la Sous-Délégation du Gouvernement de la Direction insulaire de Lanzarote. Le 11 novembre 2018, le tribunal d’instruction n</w:t>
      </w:r>
      <w:r w:rsidRPr="00504D2D">
        <w:rPr>
          <w:vertAlign w:val="superscript"/>
          <w:lang w:val="fr-FR"/>
        </w:rPr>
        <w:t>o</w:t>
      </w:r>
      <w:r>
        <w:rPr>
          <w:lang w:val="fr-FR"/>
        </w:rPr>
        <w:t> </w:t>
      </w:r>
      <w:r>
        <w:rPr>
          <w:lang w:val="fr-FR"/>
        </w:rPr>
        <w:t xml:space="preserve">3 d’Arrecife a approuvé, par ordonnance, le placement de l’auteur dans le centre de détention pour étrangers de Hoya </w:t>
      </w:r>
      <w:proofErr w:type="spellStart"/>
      <w:r>
        <w:rPr>
          <w:lang w:val="fr-FR"/>
        </w:rPr>
        <w:t>Fría</w:t>
      </w:r>
      <w:proofErr w:type="spellEnd"/>
      <w:r>
        <w:rPr>
          <w:lang w:val="fr-FR"/>
        </w:rPr>
        <w:t xml:space="preserve">, à Santa Cruz de Tenerife, où il a été transféré </w:t>
      </w:r>
      <w:r>
        <w:rPr>
          <w:lang w:val="fr-FR"/>
        </w:rPr>
        <w:lastRenderedPageBreak/>
        <w:t>le lendemain. Dans sa déclaration devant le juge, l’auteur a de nouveau indiqué qu’il était mineur.</w:t>
      </w:r>
    </w:p>
    <w:p w14:paraId="70CC2D33" w14:textId="54E95C37" w:rsidR="00825B7B" w:rsidRPr="00AA1987" w:rsidRDefault="00825B7B" w:rsidP="00825B7B">
      <w:pPr>
        <w:pStyle w:val="SingleTxtG"/>
        <w:rPr>
          <w:lang w:val="fr-FR"/>
        </w:rPr>
      </w:pPr>
      <w:r>
        <w:rPr>
          <w:lang w:val="fr-FR"/>
        </w:rPr>
        <w:t>4.</w:t>
      </w:r>
      <w:r>
        <w:rPr>
          <w:lang w:val="fr-FR"/>
        </w:rPr>
        <w:tab/>
        <w:t xml:space="preserve">Le 5 décembre 2018, des bénévoles de Médecins du Monde ont indiqué à l’avocat de l’auteur que, lors de l’une de leurs visites, l’auteur avait déclaré être mineur et avoir en sa possession un acte de naissance qui le prouvait. L’avocat de l’auteur a demandé le dossier de l’intéressé, qui ne contenait ni la décision du parquet ni les rapports médicaux. Il a également demandé le dossier du Centre de détention pour étrangers de Hoya </w:t>
      </w:r>
      <w:proofErr w:type="spellStart"/>
      <w:r>
        <w:rPr>
          <w:lang w:val="fr-FR"/>
        </w:rPr>
        <w:t>Fría</w:t>
      </w:r>
      <w:proofErr w:type="spellEnd"/>
      <w:r>
        <w:rPr>
          <w:lang w:val="fr-FR"/>
        </w:rPr>
        <w:t xml:space="preserve">, qui ne contenait pas non plus la décision du parquet. Dans ce dossier, il a trouvé une lettre du directeur du centre de détention pour étrangers adressée au tribunal </w:t>
      </w:r>
      <w:r w:rsidRPr="00825B7B">
        <w:rPr>
          <w:rFonts w:eastAsia="MS Mincho"/>
          <w:lang w:val="fr-FR"/>
        </w:rPr>
        <w:t>n</w:t>
      </w:r>
      <w:r w:rsidRPr="00825B7B">
        <w:rPr>
          <w:rFonts w:eastAsia="MS Mincho"/>
          <w:vertAlign w:val="superscript"/>
          <w:lang w:val="fr-FR"/>
        </w:rPr>
        <w:t>o</w:t>
      </w:r>
      <w:r w:rsidRPr="00825B7B">
        <w:rPr>
          <w:lang w:val="fr-FR"/>
        </w:rPr>
        <w:t> </w:t>
      </w:r>
      <w:r w:rsidRPr="00825B7B">
        <w:rPr>
          <w:lang w:val="fr-FR"/>
        </w:rPr>
        <w:t>3</w:t>
      </w:r>
      <w:r>
        <w:rPr>
          <w:lang w:val="fr-FR"/>
        </w:rPr>
        <w:t xml:space="preserve"> d’Arrecife, indiquant que l’auteur disposait d’un certificat de naissance de son pays d’origine indiquant qu’il était né le 6 janvier 2003. Toutefois, le tribunal a estimé, au vu des résultats des examens médicaux, que l’auteur était majeur.</w:t>
      </w:r>
    </w:p>
    <w:p w14:paraId="63EEF317" w14:textId="77777777" w:rsidR="00825B7B" w:rsidRPr="00AA1987" w:rsidRDefault="00825B7B" w:rsidP="00825B7B">
      <w:pPr>
        <w:pStyle w:val="SingleTxtG"/>
        <w:rPr>
          <w:lang w:val="fr-FR"/>
        </w:rPr>
      </w:pPr>
      <w:r>
        <w:rPr>
          <w:lang w:val="fr-FR"/>
        </w:rPr>
        <w:t>5.</w:t>
      </w:r>
      <w:r>
        <w:rPr>
          <w:lang w:val="fr-FR"/>
        </w:rPr>
        <w:tab/>
        <w:t>L’auteur affirme qu’une radiographie de son poignet et un panoramique dentaire ont été pratiqués sans son consentement et en l’absence d’interprète, et qu’il n’a pas été assisté par un professionnel spécialisé lors de la détermination de l’âge, ni par un conseil pendant la procédure.</w:t>
      </w:r>
    </w:p>
    <w:p w14:paraId="60F0930B" w14:textId="77777777" w:rsidR="00825B7B" w:rsidRPr="00AA1987" w:rsidRDefault="00825B7B" w:rsidP="00825B7B">
      <w:pPr>
        <w:pStyle w:val="SingleTxtG"/>
        <w:rPr>
          <w:lang w:val="fr-FR"/>
        </w:rPr>
      </w:pPr>
      <w:r>
        <w:rPr>
          <w:lang w:val="fr-FR"/>
        </w:rPr>
        <w:t>6.</w:t>
      </w:r>
      <w:r>
        <w:rPr>
          <w:lang w:val="fr-FR"/>
        </w:rPr>
        <w:tab/>
        <w:t>Le 31 décembre 2018, le Groupe de travail des communications, agissant au nom du Comité et se fondant sur l’article 6 du Protocole facultatif, a décidé d’enregistrer la communication et de demander à l’État partie de prendre des mesures provisoires consistant à suspendre l’exécution de la décision d’expulsion visant l’auteur tant que sa communication serait à l’examen et à placer l’intéressé dans un centre de protection pour mineurs.</w:t>
      </w:r>
      <w:bookmarkStart w:id="0" w:name="_Hlk75366629"/>
      <w:bookmarkEnd w:id="0"/>
    </w:p>
    <w:p w14:paraId="0845F719" w14:textId="18189C3C" w:rsidR="00825B7B" w:rsidRPr="00AA1987" w:rsidRDefault="00825B7B" w:rsidP="00825B7B">
      <w:pPr>
        <w:pStyle w:val="SingleTxtG"/>
        <w:rPr>
          <w:lang w:val="fr-FR"/>
        </w:rPr>
      </w:pPr>
      <w:r>
        <w:rPr>
          <w:lang w:val="fr-FR"/>
        </w:rPr>
        <w:t>7.</w:t>
      </w:r>
      <w:r>
        <w:rPr>
          <w:lang w:val="fr-FR"/>
        </w:rPr>
        <w:tab/>
        <w:t>Le 29 mars 2019, l’État partie a présenté ses observations sur la recevabilité et le fond de la communication. Le 6</w:t>
      </w:r>
      <w:r>
        <w:rPr>
          <w:lang w:val="fr-FR"/>
        </w:rPr>
        <w:t> </w:t>
      </w:r>
      <w:r>
        <w:rPr>
          <w:lang w:val="fr-FR"/>
        </w:rPr>
        <w:t>septembre 2019, l’avocate de l’auteur a présenté des commentaires sur les observations de l’État partie concernant la recevabilité et le fond.</w:t>
      </w:r>
    </w:p>
    <w:p w14:paraId="7F253559" w14:textId="77777777" w:rsidR="00825B7B" w:rsidRPr="00AA1987" w:rsidRDefault="00825B7B" w:rsidP="00825B7B">
      <w:pPr>
        <w:pStyle w:val="SingleTxtG"/>
        <w:rPr>
          <w:lang w:val="fr-FR"/>
        </w:rPr>
      </w:pPr>
      <w:r>
        <w:rPr>
          <w:lang w:val="fr-FR"/>
        </w:rPr>
        <w:t>8.</w:t>
      </w:r>
      <w:r>
        <w:rPr>
          <w:lang w:val="fr-FR"/>
        </w:rPr>
        <w:tab/>
        <w:t>Le 11 février 2020, l’avocate de l’auteur a indiqué que l’auteur avait pu obtenir son passeport marocain, qui confirmait qu’il était mineur, et qu’il avait été transféré dans un centre de protection pour mineurs. Le 6 mai 2020, l’État partie a confirmé cette information et demandé qu’il soit mis fin à l’examen de la communication. Le 27 septembre 2020, l’avocate de l’auteur s’est opposée à ce qu’il soit mis fin à l’examen de la communication, faisant valoir que l’État partie avait injustement traité l’auteur comme un adulte pendant plus d’un an, jusqu’à ce qu’il obtienne son passeport.</w:t>
      </w:r>
    </w:p>
    <w:p w14:paraId="1BB48FD8" w14:textId="401E9C3F" w:rsidR="007341B7" w:rsidRDefault="00825B7B" w:rsidP="00825B7B">
      <w:pPr>
        <w:pStyle w:val="SingleTxtG"/>
        <w:rPr>
          <w:lang w:val="fr-FR"/>
        </w:rPr>
      </w:pPr>
      <w:r>
        <w:rPr>
          <w:lang w:val="fr-FR"/>
        </w:rPr>
        <w:t>9.</w:t>
      </w:r>
      <w:r>
        <w:rPr>
          <w:lang w:val="fr-FR"/>
        </w:rPr>
        <w:tab/>
        <w:t>Réuni le 31 mai 2021, le Comité, ayant examiné les informations supplémentaires soumises par l’avocate de l’auteur et la demande présentée par l’État partie tendant à ce qu’il soit mis fin à l’examen de la communication, a noté que l’auteur avait été reconnu comme mineur et qu’il relevait désormais du système de protection de l’enfance. Même si cela ne constituait pas en soi une pleine réparation du préjudice subi du fait des violations alléguées de la Convention, il a estimé que la reconnaissance de la minorité de l’auteur et son placement dans le système de protection de l’enfance rendaient la communication sans objet et a décidé de mettre fin à l’examen de la communication n</w:t>
      </w:r>
      <w:r w:rsidRPr="00FA027F">
        <w:rPr>
          <w:vertAlign w:val="superscript"/>
          <w:lang w:val="fr-FR"/>
        </w:rPr>
        <w:t>o</w:t>
      </w:r>
      <w:r>
        <w:rPr>
          <w:lang w:val="fr-FR"/>
        </w:rPr>
        <w:t> </w:t>
      </w:r>
      <w:r>
        <w:rPr>
          <w:lang w:val="fr-FR"/>
        </w:rPr>
        <w:t>69/2018, conformément à l’article 26 de son règlement intérieur au titre du Protocole facultatif à la Convention relative aux droits de l’enfant établissant une procédure de présentation de communications.</w:t>
      </w:r>
    </w:p>
    <w:p w14:paraId="1A7B283A" w14:textId="01C2F012" w:rsidR="00825B7B" w:rsidRPr="00825B7B" w:rsidRDefault="00825B7B" w:rsidP="00825B7B">
      <w:pPr>
        <w:pStyle w:val="SingleTxtG"/>
        <w:spacing w:before="240" w:after="0"/>
        <w:jc w:val="center"/>
        <w:rPr>
          <w:u w:val="single"/>
        </w:rPr>
      </w:pPr>
      <w:r>
        <w:rPr>
          <w:u w:val="single"/>
        </w:rPr>
        <w:tab/>
      </w:r>
      <w:r>
        <w:rPr>
          <w:u w:val="single"/>
        </w:rPr>
        <w:tab/>
      </w:r>
      <w:r>
        <w:rPr>
          <w:u w:val="single"/>
        </w:rPr>
        <w:tab/>
      </w:r>
    </w:p>
    <w:sectPr w:rsidR="00825B7B" w:rsidRPr="00825B7B" w:rsidSect="00825B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1A45C8" w14:textId="77777777" w:rsidR="00CE6882" w:rsidRDefault="00CE6882" w:rsidP="00F95C08">
      <w:pPr>
        <w:spacing w:line="240" w:lineRule="auto"/>
      </w:pPr>
    </w:p>
  </w:endnote>
  <w:endnote w:type="continuationSeparator" w:id="0">
    <w:p w14:paraId="62E91D27" w14:textId="77777777" w:rsidR="00CE6882" w:rsidRPr="00AC3823" w:rsidRDefault="00CE6882" w:rsidP="00AC3823">
      <w:pPr>
        <w:pStyle w:val="Pieddepage"/>
      </w:pPr>
    </w:p>
  </w:endnote>
  <w:endnote w:type="continuationNotice" w:id="1">
    <w:p w14:paraId="1EDCA015" w14:textId="77777777" w:rsidR="00CE6882" w:rsidRDefault="00CE68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079497" w14:textId="0FB2AD42" w:rsidR="00825B7B" w:rsidRPr="00825B7B" w:rsidRDefault="00825B7B" w:rsidP="00825B7B">
    <w:pPr>
      <w:pStyle w:val="Pieddepage"/>
      <w:tabs>
        <w:tab w:val="right" w:pos="9638"/>
      </w:tabs>
    </w:pPr>
    <w:r w:rsidRPr="00825B7B">
      <w:rPr>
        <w:b/>
        <w:sz w:val="18"/>
      </w:rPr>
      <w:fldChar w:fldCharType="begin"/>
    </w:r>
    <w:r w:rsidRPr="00825B7B">
      <w:rPr>
        <w:b/>
        <w:sz w:val="18"/>
      </w:rPr>
      <w:instrText xml:space="preserve"> PAGE  \* MERGEFORMAT </w:instrText>
    </w:r>
    <w:r w:rsidRPr="00825B7B">
      <w:rPr>
        <w:b/>
        <w:sz w:val="18"/>
      </w:rPr>
      <w:fldChar w:fldCharType="separate"/>
    </w:r>
    <w:r w:rsidRPr="00825B7B">
      <w:rPr>
        <w:b/>
        <w:noProof/>
        <w:sz w:val="18"/>
      </w:rPr>
      <w:t>2</w:t>
    </w:r>
    <w:r w:rsidRPr="00825B7B">
      <w:rPr>
        <w:b/>
        <w:sz w:val="18"/>
      </w:rPr>
      <w:fldChar w:fldCharType="end"/>
    </w:r>
    <w:r>
      <w:rPr>
        <w:b/>
        <w:sz w:val="18"/>
      </w:rPr>
      <w:tab/>
    </w:r>
    <w:r>
      <w:t>GE.21-09226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701A47" w14:textId="38042C7F" w:rsidR="00825B7B" w:rsidRPr="00825B7B" w:rsidRDefault="00825B7B" w:rsidP="00825B7B">
    <w:pPr>
      <w:pStyle w:val="Pieddepage"/>
      <w:tabs>
        <w:tab w:val="right" w:pos="9638"/>
      </w:tabs>
      <w:rPr>
        <w:b/>
        <w:sz w:val="18"/>
      </w:rPr>
    </w:pPr>
    <w:r>
      <w:t>GE.21-09226</w:t>
    </w:r>
    <w:r>
      <w:tab/>
    </w:r>
    <w:r w:rsidRPr="00825B7B">
      <w:rPr>
        <w:b/>
        <w:sz w:val="18"/>
      </w:rPr>
      <w:fldChar w:fldCharType="begin"/>
    </w:r>
    <w:r w:rsidRPr="00825B7B">
      <w:rPr>
        <w:b/>
        <w:sz w:val="18"/>
      </w:rPr>
      <w:instrText xml:space="preserve"> PAGE  \* MERGEFORMAT </w:instrText>
    </w:r>
    <w:r w:rsidRPr="00825B7B">
      <w:rPr>
        <w:b/>
        <w:sz w:val="18"/>
      </w:rPr>
      <w:fldChar w:fldCharType="separate"/>
    </w:r>
    <w:r w:rsidRPr="00825B7B">
      <w:rPr>
        <w:b/>
        <w:noProof/>
        <w:sz w:val="18"/>
      </w:rPr>
      <w:t>3</w:t>
    </w:r>
    <w:r w:rsidRPr="00825B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F23786" w14:textId="7C42A88E" w:rsidR="002D14A3" w:rsidRPr="00825B7B" w:rsidRDefault="00825B7B" w:rsidP="00825B7B">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6BDBB5A" wp14:editId="1F3E541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21-09226  (F)</w:t>
    </w:r>
    <w:r>
      <w:rPr>
        <w:noProof/>
        <w:sz w:val="20"/>
      </w:rPr>
      <w:drawing>
        <wp:anchor distT="0" distB="0" distL="114300" distR="114300" simplePos="0" relativeHeight="251660288" behindDoc="0" locked="0" layoutInCell="1" allowOverlap="1" wp14:anchorId="3B819C91" wp14:editId="4C1A04F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221021    251021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94C5E0" w14:textId="77777777" w:rsidR="00CE6882" w:rsidRPr="00AC3823" w:rsidRDefault="00CE6882" w:rsidP="00AC3823">
      <w:pPr>
        <w:pStyle w:val="Pieddepage"/>
        <w:tabs>
          <w:tab w:val="right" w:pos="2155"/>
        </w:tabs>
        <w:spacing w:after="80" w:line="240" w:lineRule="atLeast"/>
        <w:ind w:left="680"/>
        <w:rPr>
          <w:u w:val="single"/>
        </w:rPr>
      </w:pPr>
      <w:r>
        <w:rPr>
          <w:u w:val="single"/>
        </w:rPr>
        <w:tab/>
      </w:r>
    </w:p>
  </w:footnote>
  <w:footnote w:type="continuationSeparator" w:id="0">
    <w:p w14:paraId="40F93A49" w14:textId="77777777" w:rsidR="00CE6882" w:rsidRPr="00AC3823" w:rsidRDefault="00CE6882" w:rsidP="00AC3823">
      <w:pPr>
        <w:pStyle w:val="Pieddepage"/>
        <w:tabs>
          <w:tab w:val="right" w:pos="2155"/>
        </w:tabs>
        <w:spacing w:after="80" w:line="240" w:lineRule="atLeast"/>
        <w:ind w:left="680"/>
        <w:rPr>
          <w:u w:val="single"/>
        </w:rPr>
      </w:pPr>
      <w:r>
        <w:rPr>
          <w:u w:val="single"/>
        </w:rPr>
        <w:tab/>
      </w:r>
    </w:p>
  </w:footnote>
  <w:footnote w:type="continuationNotice" w:id="1">
    <w:p w14:paraId="45CDF4FD" w14:textId="77777777" w:rsidR="00CE6882" w:rsidRPr="00AC3823" w:rsidRDefault="00CE6882">
      <w:pPr>
        <w:spacing w:line="240" w:lineRule="auto"/>
        <w:rPr>
          <w:sz w:val="2"/>
          <w:szCs w:val="2"/>
        </w:rPr>
      </w:pPr>
    </w:p>
  </w:footnote>
  <w:footnote w:id="2">
    <w:p w14:paraId="31F3E9EE" w14:textId="77777777" w:rsidR="00825B7B" w:rsidRPr="00AA1987" w:rsidRDefault="00825B7B" w:rsidP="00825B7B">
      <w:pPr>
        <w:pStyle w:val="Notedebasdepage"/>
        <w:rPr>
          <w:lang w:val="fr-FR"/>
        </w:rPr>
      </w:pPr>
      <w:r w:rsidRPr="00825B7B">
        <w:rPr>
          <w:sz w:val="20"/>
          <w:lang w:val="fr-FR"/>
        </w:rPr>
        <w:tab/>
        <w:t>*</w:t>
      </w:r>
      <w:r w:rsidRPr="00825B7B">
        <w:rPr>
          <w:sz w:val="20"/>
          <w:lang w:val="fr-FR"/>
        </w:rPr>
        <w:tab/>
      </w:r>
      <w:r>
        <w:rPr>
          <w:lang w:val="fr-FR"/>
        </w:rPr>
        <w:t>Adoptée par le Comité à sa quatre-vingt-septième session (17 mai-4 juin 2021).</w:t>
      </w:r>
    </w:p>
  </w:footnote>
  <w:footnote w:id="3">
    <w:p w14:paraId="75622C38" w14:textId="77777777" w:rsidR="00825B7B" w:rsidRPr="00AA1987" w:rsidRDefault="00825B7B" w:rsidP="00825B7B">
      <w:pPr>
        <w:pStyle w:val="Notedebasdepage"/>
        <w:rPr>
          <w:szCs w:val="18"/>
          <w:lang w:val="fr-FR"/>
        </w:rPr>
      </w:pPr>
      <w:r w:rsidRPr="00825B7B">
        <w:rPr>
          <w:sz w:val="20"/>
          <w:lang w:val="fr-FR"/>
        </w:rPr>
        <w:tab/>
        <w:t>**</w:t>
      </w:r>
      <w:r w:rsidRPr="00825B7B">
        <w:rPr>
          <w:sz w:val="20"/>
          <w:lang w:val="fr-FR"/>
        </w:rPr>
        <w:tab/>
      </w:r>
      <w:r>
        <w:rPr>
          <w:lang w:val="fr-FR"/>
        </w:rPr>
        <w:t xml:space="preserve">Les membres du Comité dont le nom suit ont participé à l’examen de la communication : Suzanne Aho </w:t>
      </w:r>
      <w:proofErr w:type="spellStart"/>
      <w:r>
        <w:rPr>
          <w:lang w:val="fr-FR"/>
        </w:rPr>
        <w:t>Assouma</w:t>
      </w:r>
      <w:proofErr w:type="spellEnd"/>
      <w:r>
        <w:rPr>
          <w:lang w:val="fr-FR"/>
        </w:rPr>
        <w:t xml:space="preserve">, Hynd </w:t>
      </w:r>
      <w:proofErr w:type="spellStart"/>
      <w:r>
        <w:rPr>
          <w:lang w:val="fr-FR"/>
        </w:rPr>
        <w:t>Ayoubi</w:t>
      </w:r>
      <w:proofErr w:type="spellEnd"/>
      <w:r>
        <w:rPr>
          <w:lang w:val="fr-FR"/>
        </w:rPr>
        <w:t xml:space="preserve"> Idrissi, </w:t>
      </w:r>
      <w:proofErr w:type="spellStart"/>
      <w:r>
        <w:rPr>
          <w:lang w:val="fr-FR"/>
        </w:rPr>
        <w:t>Rinchen</w:t>
      </w:r>
      <w:proofErr w:type="spellEnd"/>
      <w:r>
        <w:rPr>
          <w:lang w:val="fr-FR"/>
        </w:rPr>
        <w:t xml:space="preserve"> </w:t>
      </w:r>
      <w:proofErr w:type="spellStart"/>
      <w:r>
        <w:rPr>
          <w:lang w:val="fr-FR"/>
        </w:rPr>
        <w:t>Chophel</w:t>
      </w:r>
      <w:proofErr w:type="spellEnd"/>
      <w:r>
        <w:rPr>
          <w:lang w:val="fr-FR"/>
        </w:rPr>
        <w:t xml:space="preserve">, Bragi </w:t>
      </w:r>
      <w:proofErr w:type="spellStart"/>
      <w:r>
        <w:rPr>
          <w:lang w:val="fr-FR"/>
        </w:rPr>
        <w:t>Gudbrandsson</w:t>
      </w:r>
      <w:proofErr w:type="spellEnd"/>
      <w:r>
        <w:rPr>
          <w:lang w:val="fr-FR"/>
        </w:rPr>
        <w:t xml:space="preserve">, Philip Jaffé, </w:t>
      </w:r>
      <w:proofErr w:type="spellStart"/>
      <w:r>
        <w:rPr>
          <w:lang w:val="fr-FR"/>
        </w:rPr>
        <w:t>Sopio</w:t>
      </w:r>
      <w:proofErr w:type="spellEnd"/>
      <w:r>
        <w:rPr>
          <w:lang w:val="fr-FR"/>
        </w:rPr>
        <w:t xml:space="preserve"> </w:t>
      </w:r>
      <w:proofErr w:type="spellStart"/>
      <w:r>
        <w:rPr>
          <w:lang w:val="fr-FR"/>
        </w:rPr>
        <w:t>Kiladze</w:t>
      </w:r>
      <w:proofErr w:type="spellEnd"/>
      <w:r>
        <w:rPr>
          <w:lang w:val="fr-FR"/>
        </w:rPr>
        <w:t xml:space="preserve">, </w:t>
      </w:r>
      <w:proofErr w:type="spellStart"/>
      <w:r>
        <w:rPr>
          <w:lang w:val="fr-FR"/>
        </w:rPr>
        <w:t>Gehad</w:t>
      </w:r>
      <w:proofErr w:type="spellEnd"/>
      <w:r>
        <w:rPr>
          <w:lang w:val="fr-FR"/>
        </w:rPr>
        <w:t xml:space="preserve"> Madi, Faith Marshall-Harris, </w:t>
      </w:r>
      <w:proofErr w:type="spellStart"/>
      <w:r>
        <w:rPr>
          <w:lang w:val="fr-FR"/>
        </w:rPr>
        <w:t>Benyam</w:t>
      </w:r>
      <w:proofErr w:type="spellEnd"/>
      <w:r>
        <w:rPr>
          <w:lang w:val="fr-FR"/>
        </w:rPr>
        <w:t xml:space="preserve"> </w:t>
      </w:r>
      <w:proofErr w:type="spellStart"/>
      <w:r>
        <w:rPr>
          <w:lang w:val="fr-FR"/>
        </w:rPr>
        <w:t>Dawit</w:t>
      </w:r>
      <w:proofErr w:type="spellEnd"/>
      <w:r>
        <w:rPr>
          <w:lang w:val="fr-FR"/>
        </w:rPr>
        <w:t xml:space="preserve"> </w:t>
      </w:r>
      <w:proofErr w:type="spellStart"/>
      <w:r>
        <w:rPr>
          <w:lang w:val="fr-FR"/>
        </w:rPr>
        <w:t>Mezmur</w:t>
      </w:r>
      <w:proofErr w:type="spellEnd"/>
      <w:r>
        <w:rPr>
          <w:lang w:val="fr-FR"/>
        </w:rPr>
        <w:t xml:space="preserve">, </w:t>
      </w:r>
      <w:proofErr w:type="spellStart"/>
      <w:r>
        <w:rPr>
          <w:lang w:val="fr-FR"/>
        </w:rPr>
        <w:t>Otani</w:t>
      </w:r>
      <w:proofErr w:type="spellEnd"/>
      <w:r>
        <w:rPr>
          <w:lang w:val="fr-FR"/>
        </w:rPr>
        <w:t xml:space="preserve"> </w:t>
      </w:r>
      <w:proofErr w:type="spellStart"/>
      <w:r>
        <w:rPr>
          <w:lang w:val="fr-FR"/>
        </w:rPr>
        <w:t>Mikiko</w:t>
      </w:r>
      <w:proofErr w:type="spellEnd"/>
      <w:r>
        <w:rPr>
          <w:lang w:val="fr-FR"/>
        </w:rPr>
        <w:t xml:space="preserve">, Luis Ernesto </w:t>
      </w:r>
      <w:proofErr w:type="spellStart"/>
      <w:r>
        <w:rPr>
          <w:lang w:val="fr-FR"/>
        </w:rPr>
        <w:t>Pedernera</w:t>
      </w:r>
      <w:proofErr w:type="spellEnd"/>
      <w:r>
        <w:rPr>
          <w:lang w:val="fr-FR"/>
        </w:rPr>
        <w:t xml:space="preserve"> </w:t>
      </w:r>
      <w:proofErr w:type="spellStart"/>
      <w:r>
        <w:rPr>
          <w:lang w:val="fr-FR"/>
        </w:rPr>
        <w:t>Reyna</w:t>
      </w:r>
      <w:proofErr w:type="spellEnd"/>
      <w:r>
        <w:rPr>
          <w:lang w:val="fr-FR"/>
        </w:rPr>
        <w:t xml:space="preserve">, Zara </w:t>
      </w:r>
      <w:proofErr w:type="spellStart"/>
      <w:r>
        <w:rPr>
          <w:lang w:val="fr-FR"/>
        </w:rPr>
        <w:t>Ratou</w:t>
      </w:r>
      <w:proofErr w:type="spellEnd"/>
      <w:r>
        <w:rPr>
          <w:lang w:val="fr-FR"/>
        </w:rPr>
        <w:t xml:space="preserve">, Aïssatou Alassane </w:t>
      </w:r>
      <w:proofErr w:type="spellStart"/>
      <w:r>
        <w:rPr>
          <w:lang w:val="fr-FR"/>
        </w:rPr>
        <w:t>Sidikou</w:t>
      </w:r>
      <w:proofErr w:type="spellEnd"/>
      <w:r>
        <w:rPr>
          <w:lang w:val="fr-FR"/>
        </w:rPr>
        <w:t xml:space="preserve">, Ann Marie Skelton, Velina </w:t>
      </w:r>
      <w:proofErr w:type="spellStart"/>
      <w:r>
        <w:rPr>
          <w:lang w:val="fr-FR"/>
        </w:rPr>
        <w:t>Todorova</w:t>
      </w:r>
      <w:proofErr w:type="spellEnd"/>
      <w:r>
        <w:rPr>
          <w:lang w:val="fr-FR"/>
        </w:rPr>
        <w:t xml:space="preserve"> et </w:t>
      </w:r>
      <w:proofErr w:type="spellStart"/>
      <w:r>
        <w:rPr>
          <w:lang w:val="fr-FR"/>
        </w:rPr>
        <w:t>Benoit</w:t>
      </w:r>
      <w:proofErr w:type="spellEnd"/>
      <w:r>
        <w:rPr>
          <w:lang w:val="fr-FR"/>
        </w:rPr>
        <w:t xml:space="preserve"> Van </w:t>
      </w:r>
      <w:proofErr w:type="spellStart"/>
      <w:r>
        <w:rPr>
          <w:lang w:val="fr-FR"/>
        </w:rPr>
        <w:t>Keirsbilck</w:t>
      </w:r>
      <w:proofErr w:type="spellEnd"/>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57926" w14:textId="5A972D7D" w:rsidR="00825B7B" w:rsidRPr="00825B7B" w:rsidRDefault="00825B7B">
    <w:pPr>
      <w:pStyle w:val="En-tte"/>
    </w:pPr>
    <w:fldSimple w:instr=" TITLE  \* MERGEFORMAT ">
      <w:r w:rsidR="0029041B">
        <w:t>CRC/C/87/D/69/2018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4DEB02" w14:textId="78649EB7" w:rsidR="00825B7B" w:rsidRPr="00825B7B" w:rsidRDefault="00825B7B" w:rsidP="00825B7B">
    <w:pPr>
      <w:pStyle w:val="En-tte"/>
      <w:jc w:val="right"/>
    </w:pPr>
    <w:fldSimple w:instr=" TITLE  \* MERGEFORMAT ">
      <w:r w:rsidR="0029041B">
        <w:t>CRC/C/87/D/69/2018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882"/>
    <w:rsid w:val="00017F94"/>
    <w:rsid w:val="00023842"/>
    <w:rsid w:val="000334F9"/>
    <w:rsid w:val="000354E9"/>
    <w:rsid w:val="0007796D"/>
    <w:rsid w:val="000B7790"/>
    <w:rsid w:val="00111F2F"/>
    <w:rsid w:val="0014365E"/>
    <w:rsid w:val="00176178"/>
    <w:rsid w:val="001F525A"/>
    <w:rsid w:val="00223272"/>
    <w:rsid w:val="0024779E"/>
    <w:rsid w:val="00260A30"/>
    <w:rsid w:val="0029041B"/>
    <w:rsid w:val="002D14A3"/>
    <w:rsid w:val="00311E81"/>
    <w:rsid w:val="00340ED0"/>
    <w:rsid w:val="00393B9E"/>
    <w:rsid w:val="00411C8E"/>
    <w:rsid w:val="00446FE5"/>
    <w:rsid w:val="00452396"/>
    <w:rsid w:val="00485B35"/>
    <w:rsid w:val="004D7A2C"/>
    <w:rsid w:val="005505B7"/>
    <w:rsid w:val="00573BE5"/>
    <w:rsid w:val="00586ED3"/>
    <w:rsid w:val="00596AA9"/>
    <w:rsid w:val="0071601D"/>
    <w:rsid w:val="007341B7"/>
    <w:rsid w:val="00760CBC"/>
    <w:rsid w:val="007A62E6"/>
    <w:rsid w:val="007F61AD"/>
    <w:rsid w:val="0080684C"/>
    <w:rsid w:val="00825B7B"/>
    <w:rsid w:val="00840413"/>
    <w:rsid w:val="00871C75"/>
    <w:rsid w:val="008776DC"/>
    <w:rsid w:val="008C54BD"/>
    <w:rsid w:val="008F3CA0"/>
    <w:rsid w:val="009705C8"/>
    <w:rsid w:val="00A30353"/>
    <w:rsid w:val="00AC3823"/>
    <w:rsid w:val="00AE323C"/>
    <w:rsid w:val="00B00181"/>
    <w:rsid w:val="00B24A9B"/>
    <w:rsid w:val="00B765F7"/>
    <w:rsid w:val="00BA0CA9"/>
    <w:rsid w:val="00C02897"/>
    <w:rsid w:val="00CE6882"/>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719999F"/>
  <w15:docId w15:val="{48D663A8-ECF1-41EE-A49A-5B3572253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tref,Footnotes refss"/>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Text Char1 Char1 Car,Footnote Text Char1 Char Char Char Char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825B7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862</Words>
  <Characters>4908</Characters>
  <Application>Microsoft Office Word</Application>
  <DocSecurity>0</DocSecurity>
  <Lines>545</Lines>
  <Paragraphs>230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CRC/C/87/D/69/2018</dc:title>
  <dc:subject/>
  <dc:creator>Maud DARICHE</dc:creator>
  <cp:keywords/>
  <cp:lastModifiedBy>Maud Dariche</cp:lastModifiedBy>
  <cp:revision>3</cp:revision>
  <cp:lastPrinted>2021-10-25T06:35:00Z</cp:lastPrinted>
  <dcterms:created xsi:type="dcterms:W3CDTF">2021-10-25T06:35:00Z</dcterms:created>
  <dcterms:modified xsi:type="dcterms:W3CDTF">2021-10-25T06:36:00Z</dcterms:modified>
</cp:coreProperties>
</file>