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6D03F7" w14:textId="77777777" w:rsidR="00D909AF" w:rsidRDefault="00D909AF" w:rsidP="00D909AF">
      <w:pPr>
        <w:spacing w:line="60" w:lineRule="exact"/>
        <w:rPr>
          <w:sz w:val="2"/>
        </w:rPr>
        <w:sectPr w:rsidR="00D909AF" w:rsidSect="000658B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9"/>
        </w:rPr>
        <w:commentReference w:id="0"/>
      </w:r>
      <w:bookmarkStart w:id="1" w:name="_GoBack"/>
      <w:bookmarkEnd w:id="1"/>
    </w:p>
    <w:p w14:paraId="56C7EF1B" w14:textId="77777777" w:rsidR="000658B1" w:rsidRDefault="000658B1" w:rsidP="000658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Pr>
          <w:rFonts w:hint="eastAsia"/>
        </w:rPr>
        <w:t>消除对妇女歧视委员会</w:t>
      </w:r>
    </w:p>
    <w:p w14:paraId="4F2CD0A0" w14:textId="307DF8F2" w:rsidR="000658B1" w:rsidRDefault="000658B1" w:rsidP="00B54AA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2531" w:right="1260" w:hanging="1267"/>
        <w:jc w:val="left"/>
      </w:pPr>
      <w:r>
        <w:rPr>
          <w:rFonts w:hint="eastAsia"/>
        </w:rPr>
        <w:t>关于危地马拉第八次和第九次合并定期报告的结论性意见</w:t>
      </w:r>
      <w:r w:rsidR="00500BFC" w:rsidRPr="00500BFC">
        <w:rPr>
          <w:rStyle w:val="a3"/>
          <w:sz w:val="21"/>
        </w:rPr>
        <w:footnoteReference w:customMarkFollows="1" w:id="1"/>
        <w:t>*</w:t>
      </w:r>
    </w:p>
    <w:p w14:paraId="6B40442D" w14:textId="7E2BDCA7" w:rsidR="00B31E9D" w:rsidRDefault="000658B1" w:rsidP="000658B1">
      <w:pPr>
        <w:pStyle w:val="SingleTxt"/>
      </w:pPr>
      <w:r>
        <w:rPr>
          <w:rFonts w:hint="eastAsia"/>
        </w:rPr>
        <w:t>1.</w:t>
      </w:r>
      <w:r>
        <w:tab/>
      </w:r>
      <w:r>
        <w:rPr>
          <w:rFonts w:hint="eastAsia"/>
        </w:rPr>
        <w:t>2017</w:t>
      </w:r>
      <w:r>
        <w:rPr>
          <w:rFonts w:hint="eastAsia"/>
        </w:rPr>
        <w:t>年</w:t>
      </w:r>
      <w:r>
        <w:rPr>
          <w:rFonts w:hint="eastAsia"/>
        </w:rPr>
        <w:t>11</w:t>
      </w:r>
      <w:r>
        <w:rPr>
          <w:rFonts w:hint="eastAsia"/>
        </w:rPr>
        <w:t>月</w:t>
      </w:r>
      <w:r>
        <w:rPr>
          <w:rFonts w:hint="eastAsia"/>
        </w:rPr>
        <w:t>10</w:t>
      </w:r>
      <w:r>
        <w:rPr>
          <w:rFonts w:hint="eastAsia"/>
        </w:rPr>
        <w:t>日，委员会第</w:t>
      </w:r>
      <w:r>
        <w:rPr>
          <w:rFonts w:hint="eastAsia"/>
        </w:rPr>
        <w:t>1558</w:t>
      </w:r>
      <w:r>
        <w:rPr>
          <w:rFonts w:hint="eastAsia"/>
        </w:rPr>
        <w:t>次和第</w:t>
      </w:r>
      <w:r>
        <w:rPr>
          <w:rFonts w:hint="eastAsia"/>
        </w:rPr>
        <w:t>1559</w:t>
      </w:r>
      <w:r>
        <w:rPr>
          <w:rFonts w:hint="eastAsia"/>
        </w:rPr>
        <w:t>次会议</w:t>
      </w:r>
      <w:r>
        <w:rPr>
          <w:rFonts w:hint="eastAsia"/>
        </w:rPr>
        <w:t>(</w:t>
      </w:r>
      <w:r>
        <w:rPr>
          <w:rFonts w:hint="eastAsia"/>
        </w:rPr>
        <w:t>见</w:t>
      </w:r>
      <w:r w:rsidR="008C519D">
        <w:fldChar w:fldCharType="begin"/>
      </w:r>
      <w:r w:rsidR="008C519D">
        <w:instrText xml:space="preserve"> HYPERLINK "https://undocs.org/ch/CEDAW/C/SR.1558" </w:instrText>
      </w:r>
      <w:r w:rsidR="008C519D">
        <w:fldChar w:fldCharType="separate"/>
      </w:r>
      <w:r w:rsidRPr="00BD041A">
        <w:rPr>
          <w:rStyle w:val="ad"/>
          <w:rFonts w:hint="eastAsia"/>
        </w:rPr>
        <w:t>CEDAW/C/SR.1558</w:t>
      </w:r>
      <w:r w:rsidR="008C519D">
        <w:rPr>
          <w:rStyle w:val="ad"/>
        </w:rPr>
        <w:fldChar w:fldCharType="end"/>
      </w:r>
      <w:r>
        <w:rPr>
          <w:rFonts w:hint="eastAsia"/>
        </w:rPr>
        <w:t>和</w:t>
      </w:r>
      <w:r w:rsidR="008C519D">
        <w:fldChar w:fldCharType="begin"/>
      </w:r>
      <w:r w:rsidR="008C519D">
        <w:instrText xml:space="preserve"> HYPERLINK "https://undocs.org/ch/CEDAW/C/SR.1559" </w:instrText>
      </w:r>
      <w:r w:rsidR="008C519D">
        <w:fldChar w:fldCharType="separate"/>
      </w:r>
      <w:r w:rsidRPr="00BD041A">
        <w:rPr>
          <w:rStyle w:val="ad"/>
          <w:rFonts w:hint="eastAsia"/>
        </w:rPr>
        <w:t>CEDAW/C/SR.1559</w:t>
      </w:r>
      <w:r w:rsidR="008C519D">
        <w:rPr>
          <w:rStyle w:val="ad"/>
        </w:rPr>
        <w:fldChar w:fldCharType="end"/>
      </w:r>
      <w:r>
        <w:rPr>
          <w:rFonts w:hint="eastAsia"/>
        </w:rPr>
        <w:t>)</w:t>
      </w:r>
      <w:r>
        <w:rPr>
          <w:rFonts w:hint="eastAsia"/>
        </w:rPr>
        <w:t>审议了危地马拉第八次和第九次合并定期报告</w:t>
      </w:r>
      <w:r>
        <w:rPr>
          <w:rFonts w:hint="eastAsia"/>
        </w:rPr>
        <w:t>(</w:t>
      </w:r>
      <w:hyperlink r:id="rId16" w:history="1">
        <w:r w:rsidRPr="00BD041A">
          <w:rPr>
            <w:rStyle w:val="ad"/>
            <w:rFonts w:hint="eastAsia"/>
          </w:rPr>
          <w:t>CEDAW/C/GTM/8-9</w:t>
        </w:r>
      </w:hyperlink>
      <w:r>
        <w:rPr>
          <w:rFonts w:hint="eastAsia"/>
        </w:rPr>
        <w:t>)</w:t>
      </w:r>
      <w:r>
        <w:rPr>
          <w:rFonts w:hint="eastAsia"/>
        </w:rPr>
        <w:t>。委员会的议题和问题清单载于</w:t>
      </w:r>
      <w:r w:rsidR="008C519D">
        <w:fldChar w:fldCharType="begin"/>
      </w:r>
      <w:r w:rsidR="008C519D">
        <w:instrText xml:space="preserve"> HYPERLINK "https://undocs.org/ch/CEDAW/C/GTM/Q/8-9" </w:instrText>
      </w:r>
      <w:r w:rsidR="008C519D">
        <w:fldChar w:fldCharType="separate"/>
      </w:r>
      <w:r w:rsidRPr="00BD041A">
        <w:rPr>
          <w:rStyle w:val="ad"/>
          <w:rFonts w:hint="eastAsia"/>
        </w:rPr>
        <w:t>CEDAW/C/GTM/Q/8-9</w:t>
      </w:r>
      <w:r w:rsidR="008C519D">
        <w:rPr>
          <w:rStyle w:val="ad"/>
        </w:rPr>
        <w:fldChar w:fldCharType="end"/>
      </w:r>
      <w:r>
        <w:rPr>
          <w:rFonts w:hint="eastAsia"/>
        </w:rPr>
        <w:t>，危地马拉的答复载于</w:t>
      </w:r>
      <w:r w:rsidR="008C519D">
        <w:fldChar w:fldCharType="begin"/>
      </w:r>
      <w:r w:rsidR="008C519D">
        <w:instrText xml:space="preserve"> HYPERLINK "https://undocs.org/ch/CEDAW/C/GTM/Q/8" </w:instrText>
      </w:r>
      <w:r w:rsidR="008C519D">
        <w:fldChar w:fldCharType="separate"/>
      </w:r>
      <w:r w:rsidRPr="00BD041A">
        <w:rPr>
          <w:rStyle w:val="ad"/>
          <w:rFonts w:hint="eastAsia"/>
        </w:rPr>
        <w:t>CEDAW/C/GTM/Q/8-9/Add.</w:t>
      </w:r>
      <w:r w:rsidRPr="00BD041A">
        <w:rPr>
          <w:rStyle w:val="ad"/>
        </w:rPr>
        <w:t>1</w:t>
      </w:r>
      <w:r w:rsidR="008C519D">
        <w:rPr>
          <w:rStyle w:val="ad"/>
        </w:rPr>
        <w:fldChar w:fldCharType="end"/>
      </w:r>
      <w:r>
        <w:rPr>
          <w:rFonts w:hint="eastAsia"/>
        </w:rPr>
        <w:t>。</w:t>
      </w:r>
    </w:p>
    <w:p w14:paraId="5BA3C89F" w14:textId="6D7DF01B" w:rsidR="00B54AAB" w:rsidRDefault="00B54AAB" w:rsidP="00B54A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A.</w:t>
      </w:r>
      <w:r>
        <w:rPr>
          <w:rFonts w:hint="eastAsia"/>
        </w:rPr>
        <w:tab/>
        <w:t>导言</w:t>
      </w:r>
    </w:p>
    <w:p w14:paraId="35547153" w14:textId="613E1E8A" w:rsidR="00B54AAB" w:rsidRDefault="00B54AAB" w:rsidP="00B54AAB">
      <w:pPr>
        <w:pStyle w:val="SingleTxt"/>
      </w:pPr>
      <w:r>
        <w:rPr>
          <w:rFonts w:hint="eastAsia"/>
        </w:rPr>
        <w:t>2.</w:t>
      </w:r>
      <w:r>
        <w:rPr>
          <w:rFonts w:hint="eastAsia"/>
        </w:rPr>
        <w:tab/>
      </w:r>
      <w:r w:rsidRPr="00BD041A">
        <w:rPr>
          <w:rFonts w:hint="eastAsia"/>
          <w:spacing w:val="4"/>
        </w:rPr>
        <w:t>委员会赞赏缔约国提交其第八次和第九次合并定期报告。委员会还赞赏缔约</w:t>
      </w:r>
      <w:r w:rsidRPr="00B54AAB">
        <w:rPr>
          <w:rFonts w:hint="eastAsia"/>
          <w:spacing w:val="-2"/>
        </w:rPr>
        <w:t>国针对关于第七次定期报告的结论性意见提交后续信息</w:t>
      </w:r>
      <w:r w:rsidRPr="00B54AAB">
        <w:rPr>
          <w:rFonts w:hint="eastAsia"/>
          <w:spacing w:val="-2"/>
        </w:rPr>
        <w:t>(</w:t>
      </w:r>
      <w:hyperlink r:id="rId17" w:history="1">
        <w:r w:rsidRPr="00BD041A">
          <w:rPr>
            <w:rStyle w:val="ad"/>
            <w:rFonts w:hint="eastAsia"/>
            <w:spacing w:val="-2"/>
          </w:rPr>
          <w:t>CEDAW/C/GUA/CO/7/Add.1</w:t>
        </w:r>
      </w:hyperlink>
      <w:r w:rsidRPr="00B54AAB">
        <w:rPr>
          <w:rFonts w:hint="eastAsia"/>
          <w:spacing w:val="-2"/>
        </w:rPr>
        <w:t>)</w:t>
      </w:r>
      <w:r w:rsidRPr="00B54AAB">
        <w:rPr>
          <w:rFonts w:hint="eastAsia"/>
          <w:spacing w:val="-2"/>
        </w:rPr>
        <w:t>，对会前工作组提出的议题和问题清单做出书面答复，以及代表团进行口头介绍并对委员会在对话期间口头提出的问题做进一步澄清。</w:t>
      </w:r>
    </w:p>
    <w:p w14:paraId="038C56C5" w14:textId="3561BFE8" w:rsidR="00B54AAB" w:rsidRDefault="00B54AAB" w:rsidP="00B54AAB">
      <w:pPr>
        <w:pStyle w:val="SingleTxt"/>
      </w:pPr>
      <w:r>
        <w:rPr>
          <w:rFonts w:hint="eastAsia"/>
        </w:rPr>
        <w:t>3.</w:t>
      </w:r>
      <w:r>
        <w:tab/>
      </w:r>
      <w:r>
        <w:rPr>
          <w:rFonts w:hint="eastAsia"/>
        </w:rPr>
        <w:t>委员会赞扬缔约国由总统妇女事务秘书安娜·莱蒂西亚·阿吉拉尔·泰森率领的大规模高级别代表团。代表团成员还包括劳动和社会保障部部长以及总统妇女事务秘书处、最高法院、宪法法院、公共卫生和社会援助部、良政部、国会及国会妇女委员会、女议员论坛、总统人权事务行政政策协调委员会、针对土著人民的歧视和种族主义问题总统委员会、外交部人权事务局以及危地马拉常驻联合国日内瓦办事处和其他国际组织代表团的代表。</w:t>
      </w:r>
    </w:p>
    <w:p w14:paraId="39E98055" w14:textId="396FCD4A" w:rsidR="00B54AAB" w:rsidRDefault="00B54AAB" w:rsidP="00B54A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B.</w:t>
      </w:r>
      <w:r>
        <w:rPr>
          <w:rFonts w:hint="eastAsia"/>
        </w:rPr>
        <w:tab/>
        <w:t>积极方面</w:t>
      </w:r>
    </w:p>
    <w:p w14:paraId="4DED22A2" w14:textId="3FC987EA" w:rsidR="00B54AAB" w:rsidRDefault="00B54AAB" w:rsidP="00B54AAB">
      <w:pPr>
        <w:pStyle w:val="SingleTxt"/>
      </w:pPr>
      <w:r>
        <w:rPr>
          <w:rFonts w:hint="eastAsia"/>
        </w:rPr>
        <w:t>4.</w:t>
      </w:r>
      <w:r>
        <w:rPr>
          <w:rFonts w:hint="eastAsia"/>
        </w:rPr>
        <w:tab/>
      </w:r>
      <w:r>
        <w:rPr>
          <w:rFonts w:hint="eastAsia"/>
        </w:rPr>
        <w:t>委员会欢迎自</w:t>
      </w:r>
      <w:r>
        <w:rPr>
          <w:rFonts w:hint="eastAsia"/>
        </w:rPr>
        <w:t>2009</w:t>
      </w:r>
      <w:r>
        <w:rPr>
          <w:rFonts w:hint="eastAsia"/>
        </w:rPr>
        <w:t>年审议缔约国第七次定期报告</w:t>
      </w:r>
      <w:r>
        <w:rPr>
          <w:rFonts w:hint="eastAsia"/>
        </w:rPr>
        <w:t>(</w:t>
      </w:r>
      <w:hyperlink r:id="rId18" w:history="1">
        <w:r w:rsidRPr="00BD041A">
          <w:rPr>
            <w:rStyle w:val="ad"/>
            <w:rFonts w:hint="eastAsia"/>
          </w:rPr>
          <w:t>CEDAW/C/GUA/7</w:t>
        </w:r>
      </w:hyperlink>
      <w:r>
        <w:rPr>
          <w:rFonts w:hint="eastAsia"/>
        </w:rPr>
        <w:t>)</w:t>
      </w:r>
      <w:r>
        <w:rPr>
          <w:rFonts w:hint="eastAsia"/>
        </w:rPr>
        <w:t>以来该国在开展立法改革方面取得的进展，特别是通过了：</w:t>
      </w:r>
    </w:p>
    <w:p w14:paraId="1D566DF5" w14:textId="0051FDE3" w:rsidR="00B54AAB" w:rsidRDefault="00B54AAB" w:rsidP="00B54AAB">
      <w:pPr>
        <w:pStyle w:val="SingleTxt"/>
      </w:pPr>
      <w:r>
        <w:tab/>
      </w:r>
      <w:r>
        <w:rPr>
          <w:rFonts w:hint="eastAsia"/>
        </w:rPr>
        <w:t>(a)</w:t>
      </w:r>
      <w:r>
        <w:tab/>
      </w:r>
      <w:r>
        <w:rPr>
          <w:rFonts w:hint="eastAsia"/>
        </w:rPr>
        <w:t>第</w:t>
      </w:r>
      <w:r>
        <w:rPr>
          <w:rFonts w:hint="eastAsia"/>
        </w:rPr>
        <w:t>13-2017</w:t>
      </w:r>
      <w:r>
        <w:rPr>
          <w:rFonts w:hint="eastAsia"/>
        </w:rPr>
        <w:t>号法令，对《民法》做出修订，规定男女最低结婚或结合年龄为</w:t>
      </w:r>
      <w:r>
        <w:rPr>
          <w:rFonts w:hint="eastAsia"/>
        </w:rPr>
        <w:t>18</w:t>
      </w:r>
      <w:r>
        <w:rPr>
          <w:rFonts w:hint="eastAsia"/>
        </w:rPr>
        <w:t>岁，没有例外；</w:t>
      </w:r>
    </w:p>
    <w:p w14:paraId="17C4FFF6" w14:textId="7167099B" w:rsidR="00B54AAB" w:rsidRDefault="00B54AAB" w:rsidP="00B54AAB">
      <w:pPr>
        <w:pStyle w:val="SingleTxt"/>
      </w:pPr>
      <w:r>
        <w:tab/>
      </w:r>
      <w:r>
        <w:rPr>
          <w:rFonts w:hint="eastAsia"/>
        </w:rPr>
        <w:t>(b)</w:t>
      </w:r>
      <w:r>
        <w:tab/>
      </w:r>
      <w:r>
        <w:rPr>
          <w:rFonts w:hint="eastAsia"/>
        </w:rPr>
        <w:t>第</w:t>
      </w:r>
      <w:r>
        <w:rPr>
          <w:rFonts w:hint="eastAsia"/>
        </w:rPr>
        <w:t>9-2016</w:t>
      </w:r>
      <w:r>
        <w:rPr>
          <w:rFonts w:hint="eastAsia"/>
        </w:rPr>
        <w:t>号法令，规定立即搜寻失踪妇女并建立相关机制；</w:t>
      </w:r>
    </w:p>
    <w:p w14:paraId="7B9C3D6E" w14:textId="14D5F54D" w:rsidR="00B54AAB" w:rsidRDefault="00B54AAB" w:rsidP="00B54AAB">
      <w:pPr>
        <w:pStyle w:val="SingleTxt"/>
      </w:pPr>
      <w:r>
        <w:lastRenderedPageBreak/>
        <w:tab/>
      </w:r>
      <w:r>
        <w:rPr>
          <w:rFonts w:hint="eastAsia"/>
        </w:rPr>
        <w:t>(c)</w:t>
      </w:r>
      <w:r>
        <w:tab/>
      </w:r>
      <w:r>
        <w:rPr>
          <w:rFonts w:hint="eastAsia"/>
        </w:rPr>
        <w:t>第</w:t>
      </w:r>
      <w:r>
        <w:rPr>
          <w:rFonts w:hint="eastAsia"/>
        </w:rPr>
        <w:t xml:space="preserve">18-2016 </w:t>
      </w:r>
      <w:r>
        <w:rPr>
          <w:rFonts w:hint="eastAsia"/>
        </w:rPr>
        <w:t>号法令，在检察署内设立负责起诉贩运人口和杀害妇女犯罪的专门检察官职位；</w:t>
      </w:r>
    </w:p>
    <w:p w14:paraId="33EDA697" w14:textId="593DF227" w:rsidR="00B54AAB" w:rsidRDefault="00B54AAB" w:rsidP="00B54AAB">
      <w:pPr>
        <w:pStyle w:val="SingleTxt"/>
      </w:pPr>
      <w:r>
        <w:tab/>
      </w:r>
      <w:r>
        <w:rPr>
          <w:rFonts w:hint="eastAsia"/>
        </w:rPr>
        <w:t>(d)</w:t>
      </w:r>
      <w:r>
        <w:tab/>
      </w:r>
      <w:r>
        <w:rPr>
          <w:rFonts w:hint="eastAsia"/>
        </w:rPr>
        <w:t>第</w:t>
      </w:r>
      <w:r>
        <w:rPr>
          <w:rFonts w:hint="eastAsia"/>
        </w:rPr>
        <w:t>27-2010</w:t>
      </w:r>
      <w:r>
        <w:rPr>
          <w:rFonts w:hint="eastAsia"/>
        </w:rPr>
        <w:t>号法令，对《民法》和《刑法》做出修订，消除在婚姻、离婚和父亲身份推定方面歧视妇女的规定。</w:t>
      </w:r>
    </w:p>
    <w:p w14:paraId="3F1CAB9F" w14:textId="6565FBF6" w:rsidR="00B54AAB" w:rsidRDefault="00B54AAB" w:rsidP="00B54AAB">
      <w:pPr>
        <w:pStyle w:val="SingleTxt"/>
      </w:pPr>
      <w:r>
        <w:rPr>
          <w:rFonts w:hint="eastAsia"/>
        </w:rPr>
        <w:t>5.</w:t>
      </w:r>
      <w:r>
        <w:rPr>
          <w:rFonts w:hint="eastAsia"/>
        </w:rPr>
        <w:tab/>
      </w:r>
      <w:r>
        <w:rPr>
          <w:rFonts w:hint="eastAsia"/>
        </w:rPr>
        <w:t>委员会欢迎在</w:t>
      </w:r>
      <w:r>
        <w:rPr>
          <w:rFonts w:hint="eastAsia"/>
        </w:rPr>
        <w:t>2009</w:t>
      </w:r>
      <w:r>
        <w:rPr>
          <w:rFonts w:hint="eastAsia"/>
        </w:rPr>
        <w:t>年通过了提高妇女地位及其整体发展的国家政策以及平等机会计划</w:t>
      </w:r>
      <w:r>
        <w:rPr>
          <w:rFonts w:hint="eastAsia"/>
        </w:rPr>
        <w:t>(2008-2023</w:t>
      </w:r>
      <w:r>
        <w:rPr>
          <w:rFonts w:hint="eastAsia"/>
        </w:rPr>
        <w:t>年</w:t>
      </w:r>
      <w:r>
        <w:rPr>
          <w:rFonts w:hint="eastAsia"/>
        </w:rPr>
        <w:t>)</w:t>
      </w:r>
      <w:r>
        <w:rPr>
          <w:rFonts w:hint="eastAsia"/>
        </w:rPr>
        <w:t>。委员会还赞赏地注意到，在</w:t>
      </w:r>
      <w:r>
        <w:rPr>
          <w:rFonts w:hint="eastAsia"/>
        </w:rPr>
        <w:t>2016</w:t>
      </w:r>
      <w:r>
        <w:rPr>
          <w:rFonts w:hint="eastAsia"/>
        </w:rPr>
        <w:t>年通过了执行安全理事会关于妇女与和平与安全的第</w:t>
      </w:r>
      <w:r w:rsidR="008C519D">
        <w:fldChar w:fldCharType="begin"/>
      </w:r>
      <w:r w:rsidR="008C519D">
        <w:instrText xml:space="preserve"> HYPERLINK "https://undocs.org/ch/S/RES/1325(2000)" </w:instrText>
      </w:r>
      <w:r w:rsidR="008C519D">
        <w:fldChar w:fldCharType="separate"/>
      </w:r>
      <w:r w:rsidRPr="00BD041A">
        <w:rPr>
          <w:rStyle w:val="ad"/>
          <w:rFonts w:hint="eastAsia"/>
        </w:rPr>
        <w:t>1325(2000)</w:t>
      </w:r>
      <w:r w:rsidR="008C519D">
        <w:rPr>
          <w:rStyle w:val="ad"/>
        </w:rPr>
        <w:fldChar w:fldCharType="end"/>
      </w:r>
      <w:r>
        <w:rPr>
          <w:rFonts w:hint="eastAsia"/>
        </w:rPr>
        <w:t>号决议的国家行动计划。</w:t>
      </w:r>
    </w:p>
    <w:p w14:paraId="49F0D884" w14:textId="77777777" w:rsidR="00B54AAB" w:rsidRDefault="00B54AAB" w:rsidP="00B54AAB">
      <w:pPr>
        <w:pStyle w:val="SingleTxt"/>
      </w:pPr>
      <w:r>
        <w:rPr>
          <w:rFonts w:hint="eastAsia"/>
        </w:rPr>
        <w:t>6.</w:t>
      </w:r>
      <w:r>
        <w:rPr>
          <w:rFonts w:hint="eastAsia"/>
        </w:rPr>
        <w:tab/>
      </w:r>
      <w:r>
        <w:rPr>
          <w:rFonts w:hint="eastAsia"/>
        </w:rPr>
        <w:t>委员会对上次报告审议以来缔约国批准或加入了以下国际文书表示欢迎：</w:t>
      </w:r>
    </w:p>
    <w:p w14:paraId="37AF0D0E" w14:textId="3DE93970" w:rsidR="00B54AAB" w:rsidRDefault="00B54AAB" w:rsidP="00B54AAB">
      <w:pPr>
        <w:pStyle w:val="SingleTxt"/>
      </w:pPr>
      <w:r>
        <w:tab/>
      </w:r>
      <w:r>
        <w:rPr>
          <w:rFonts w:hint="eastAsia"/>
        </w:rPr>
        <w:t>(a)</w:t>
      </w:r>
      <w:r>
        <w:tab/>
      </w:r>
      <w:r>
        <w:rPr>
          <w:rFonts w:hint="eastAsia"/>
        </w:rPr>
        <w:t>《残疾人权利公约》，</w:t>
      </w:r>
      <w:r>
        <w:rPr>
          <w:rFonts w:hint="eastAsia"/>
        </w:rPr>
        <w:t>2009</w:t>
      </w:r>
      <w:r>
        <w:rPr>
          <w:rFonts w:hint="eastAsia"/>
        </w:rPr>
        <w:t>年；</w:t>
      </w:r>
    </w:p>
    <w:p w14:paraId="5194A867" w14:textId="4BF1F135" w:rsidR="00B54AAB" w:rsidRDefault="00B54AAB" w:rsidP="00B54AAB">
      <w:pPr>
        <w:pStyle w:val="SingleTxt"/>
      </w:pPr>
      <w:r>
        <w:tab/>
      </w:r>
      <w:r>
        <w:rPr>
          <w:rFonts w:hint="eastAsia"/>
        </w:rPr>
        <w:t>(b)</w:t>
      </w:r>
      <w:r>
        <w:tab/>
      </w:r>
      <w:r>
        <w:rPr>
          <w:rFonts w:hint="eastAsia"/>
        </w:rPr>
        <w:t>《国际刑事法院罗马规约》，</w:t>
      </w:r>
      <w:r>
        <w:rPr>
          <w:rFonts w:hint="eastAsia"/>
        </w:rPr>
        <w:t>2012</w:t>
      </w:r>
      <w:r>
        <w:rPr>
          <w:rFonts w:hint="eastAsia"/>
        </w:rPr>
        <w:t>年，</w:t>
      </w:r>
    </w:p>
    <w:p w14:paraId="4F0D5AD9" w14:textId="77777777" w:rsidR="00B54AAB" w:rsidRDefault="00B54AAB" w:rsidP="00B54AAB">
      <w:pPr>
        <w:pStyle w:val="SingleTxt"/>
      </w:pPr>
      <w:r>
        <w:rPr>
          <w:rFonts w:hint="eastAsia"/>
        </w:rPr>
        <w:t>7.</w:t>
      </w:r>
      <w:r>
        <w:rPr>
          <w:rFonts w:hint="eastAsia"/>
        </w:rPr>
        <w:tab/>
      </w:r>
      <w:r>
        <w:rPr>
          <w:rFonts w:hint="eastAsia"/>
        </w:rPr>
        <w:t>委员会满意地注意到，缔约国承诺落实可持续发展目标，提出题为“</w:t>
      </w:r>
      <w:r>
        <w:rPr>
          <w:rFonts w:hint="eastAsia"/>
        </w:rPr>
        <w:t>K</w:t>
      </w:r>
      <w:r>
        <w:rPr>
          <w:rFonts w:hint="eastAsia"/>
        </w:rPr>
        <w:t>´</w:t>
      </w:r>
      <w:proofErr w:type="spellStart"/>
      <w:r>
        <w:rPr>
          <w:rFonts w:hint="eastAsia"/>
        </w:rPr>
        <w:t>atun</w:t>
      </w:r>
      <w:proofErr w:type="spellEnd"/>
      <w:r>
        <w:rPr>
          <w:rFonts w:hint="eastAsia"/>
        </w:rPr>
        <w:t>：我们的危地马拉</w:t>
      </w:r>
      <w:r>
        <w:rPr>
          <w:rFonts w:hint="eastAsia"/>
        </w:rPr>
        <w:t>2032</w:t>
      </w:r>
      <w:r>
        <w:rPr>
          <w:rFonts w:hint="eastAsia"/>
        </w:rPr>
        <w:t>年”的国家发展计划，特别是要解决男女在获得教育、就业和政治代表权方面的差异。</w:t>
      </w:r>
    </w:p>
    <w:p w14:paraId="4E631218" w14:textId="4A03FCDB" w:rsidR="00B54AAB" w:rsidRDefault="00B54AAB" w:rsidP="00B54A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C.</w:t>
      </w:r>
      <w:r>
        <w:rPr>
          <w:rFonts w:hint="eastAsia"/>
        </w:rPr>
        <w:tab/>
        <w:t>妨碍有效执行《公约》的因素和困难</w:t>
      </w:r>
    </w:p>
    <w:p w14:paraId="49BA05B3" w14:textId="77777777" w:rsidR="00B54AAB" w:rsidRDefault="00B54AAB" w:rsidP="00B54AAB">
      <w:pPr>
        <w:pStyle w:val="SingleTxt"/>
      </w:pPr>
      <w:r>
        <w:rPr>
          <w:rFonts w:hint="eastAsia"/>
        </w:rPr>
        <w:t xml:space="preserve">8. </w:t>
      </w:r>
      <w:r>
        <w:rPr>
          <w:rFonts w:hint="eastAsia"/>
        </w:rPr>
        <w:t>委员会承认，缔约国面临重重挑战，妨碍其解决妇女，特别是土著妇女、加里富纳和非加里富纳非洲裔妇女持续遭受经济社会不平等、贫穷、排斥、无法获得土地和生产性资源问题的原因，以及迫切需要增加税收和提高税收效率，以资助社会支出。委员会注意到，国内冲突期间性暴力的受害妇女迟迟得不到正义伸张和赔偿。委员会又注意到，继续出现对腐败和有罪不罚的指控，这些问题阻碍在缔约国加强法治的努力。委员会表示注意到，针对妇女的种族主义和歧视根深蒂固，促使暴力延续。委员会还注意到来自抵制妇女权利团体的压力，以及在实现妇女实质性平等方面出现挫折和倒退的风险越来越大。</w:t>
      </w:r>
    </w:p>
    <w:p w14:paraId="00797BD9" w14:textId="0E5BD1B2" w:rsidR="00B54AAB" w:rsidRDefault="00B54AAB" w:rsidP="00B54A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D.</w:t>
      </w:r>
      <w:r>
        <w:rPr>
          <w:rFonts w:hint="eastAsia"/>
        </w:rPr>
        <w:tab/>
        <w:t>议会</w:t>
      </w:r>
    </w:p>
    <w:p w14:paraId="4F90E2D0" w14:textId="77777777" w:rsidR="00B54AAB" w:rsidRPr="00B54AAB" w:rsidRDefault="00B54AAB" w:rsidP="00B54AAB">
      <w:pPr>
        <w:pStyle w:val="SingleTxt"/>
        <w:rPr>
          <w:rFonts w:ascii="黑体" w:eastAsia="黑体"/>
        </w:rPr>
      </w:pPr>
      <w:r>
        <w:rPr>
          <w:rFonts w:hint="eastAsia"/>
        </w:rPr>
        <w:t>9.</w:t>
      </w:r>
      <w:r>
        <w:rPr>
          <w:rFonts w:hint="eastAsia"/>
        </w:rPr>
        <w:tab/>
      </w:r>
      <w:r w:rsidRPr="00B54AAB">
        <w:rPr>
          <w:rFonts w:ascii="黑体" w:eastAsia="黑体" w:hint="eastAsia"/>
        </w:rPr>
        <w:t>委员会强调立法权在确保全面执行《公约》方面发挥关键作用(见委员会关于其与议员关系的声明，2010年第四十五届会议通过)。委员会请国会根据其任务授权，在《公约》规定的下一次报告期前，采取必要步骤落实本结论性意见。</w:t>
      </w:r>
    </w:p>
    <w:p w14:paraId="045A1B23" w14:textId="3E555071" w:rsidR="00B54AAB" w:rsidRDefault="00B54AAB" w:rsidP="00B54A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pPr>
      <w:r>
        <w:tab/>
      </w:r>
      <w:r>
        <w:rPr>
          <w:rFonts w:hint="eastAsia"/>
        </w:rPr>
        <w:t>E.</w:t>
      </w:r>
      <w:r>
        <w:rPr>
          <w:rFonts w:hint="eastAsia"/>
        </w:rPr>
        <w:tab/>
        <w:t>主要关切领域和建议</w:t>
      </w:r>
    </w:p>
    <w:p w14:paraId="0FCFB6EE" w14:textId="3BF2EACC" w:rsidR="00B54AAB" w:rsidRPr="00B54AAB" w:rsidRDefault="00B54AAB" w:rsidP="00B54AAB">
      <w:pPr>
        <w:pStyle w:val="SingleTxt"/>
        <w:rPr>
          <w:rFonts w:ascii="黑体" w:eastAsia="黑体"/>
        </w:rPr>
      </w:pPr>
      <w:r w:rsidRPr="00B54AAB">
        <w:rPr>
          <w:rFonts w:ascii="黑体" w:eastAsia="黑体" w:hint="eastAsia"/>
        </w:rPr>
        <w:t>歧视的定义和立法框架</w:t>
      </w:r>
    </w:p>
    <w:p w14:paraId="2EA97831" w14:textId="04C26DB1" w:rsidR="00B54AAB" w:rsidRDefault="00B54AAB" w:rsidP="00B54AAB">
      <w:pPr>
        <w:pStyle w:val="SingleTxt"/>
      </w:pPr>
      <w:r>
        <w:rPr>
          <w:rFonts w:hint="eastAsia"/>
        </w:rPr>
        <w:t>10.</w:t>
      </w:r>
      <w:r>
        <w:rPr>
          <w:rFonts w:hint="eastAsia"/>
        </w:rPr>
        <w:tab/>
      </w:r>
      <w:r>
        <w:rPr>
          <w:rFonts w:hint="eastAsia"/>
        </w:rPr>
        <w:t>委员会赞赏地注意到，《宪法》第</w:t>
      </w:r>
      <w:r>
        <w:rPr>
          <w:rFonts w:hint="eastAsia"/>
        </w:rPr>
        <w:t>4</w:t>
      </w:r>
      <w:r>
        <w:rPr>
          <w:rFonts w:hint="eastAsia"/>
        </w:rPr>
        <w:t>条规定了平等权，以及缔约国努力为提高妇女地位制定法律和机制。但是，委员会仍感关切的是，没有依照《公约》第一条和第二条</w:t>
      </w:r>
      <w:r>
        <w:rPr>
          <w:rFonts w:hint="eastAsia"/>
        </w:rPr>
        <w:t>(b)</w:t>
      </w:r>
      <w:r>
        <w:rPr>
          <w:rFonts w:hint="eastAsia"/>
        </w:rPr>
        <w:t>款，在《宪法》中纳入关于不受歧视权利的全面条款，而且没有关于禁止一切形式歧视的法律，包括对歧视的惩罚措施。委员会还感到关切的是，没有采取足够措施来修改或废止现有的歧视性法律规章，此外，《公约》在缔约国执行乏力并缺乏可见度。</w:t>
      </w:r>
    </w:p>
    <w:p w14:paraId="3674BE54" w14:textId="3A4DBB5A" w:rsidR="00B54AAB" w:rsidRPr="00B54AAB" w:rsidRDefault="00B54AAB" w:rsidP="00B54AAB">
      <w:pPr>
        <w:pStyle w:val="SingleTxt"/>
        <w:rPr>
          <w:spacing w:val="-2"/>
        </w:rPr>
      </w:pPr>
      <w:r>
        <w:rPr>
          <w:rFonts w:hint="eastAsia"/>
        </w:rPr>
        <w:lastRenderedPageBreak/>
        <w:t>11.</w:t>
      </w:r>
      <w:r>
        <w:tab/>
      </w:r>
      <w:r w:rsidRPr="00B54AAB">
        <w:rPr>
          <w:rFonts w:ascii="黑体" w:eastAsia="黑体" w:hint="eastAsia"/>
          <w:spacing w:val="-2"/>
        </w:rPr>
        <w:t>委员会回顾其关于缔约国在《公约》第二条之下的核心义务的第28(2010)号一般性建议，重申先前的建议(</w:t>
      </w:r>
      <w:hyperlink r:id="rId19" w:history="1">
        <w:r w:rsidRPr="00BD041A">
          <w:rPr>
            <w:rStyle w:val="ad"/>
            <w:rFonts w:ascii="黑体" w:eastAsia="黑体" w:hint="eastAsia"/>
            <w:spacing w:val="-2"/>
          </w:rPr>
          <w:t>CEDAW/C/GUA/CO/7</w:t>
        </w:r>
      </w:hyperlink>
      <w:r w:rsidRPr="00B54AAB">
        <w:rPr>
          <w:rFonts w:ascii="黑体" w:eastAsia="黑体" w:hint="eastAsia"/>
          <w:spacing w:val="-2"/>
        </w:rPr>
        <w:t>，第12段)，并促请缔约国：</w:t>
      </w:r>
    </w:p>
    <w:p w14:paraId="37B65DC7" w14:textId="1BE10B77" w:rsidR="00B54AAB" w:rsidRPr="00B54AAB" w:rsidRDefault="00B54AAB" w:rsidP="00B54AAB">
      <w:pPr>
        <w:pStyle w:val="SingleTxt"/>
        <w:rPr>
          <w:rFonts w:ascii="黑体" w:eastAsia="黑体"/>
        </w:rPr>
      </w:pPr>
      <w:r>
        <w:tab/>
      </w:r>
      <w:r>
        <w:rPr>
          <w:rFonts w:hint="eastAsia"/>
        </w:rPr>
        <w:t>(a)</w:t>
      </w:r>
      <w:r>
        <w:tab/>
      </w:r>
      <w:r w:rsidRPr="00B54AAB">
        <w:rPr>
          <w:rFonts w:ascii="黑体" w:eastAsia="黑体" w:hint="eastAsia"/>
        </w:rPr>
        <w:t>在立法中采用《公约》第一条载列的对妇女和女童歧视的全面定义，根据第二条(b)款，禁止对妇女的一切歧视，并确保立法涵盖所有禁止歧视理由，包括在公共和私人领域保护土著妇女、加里富纳妇女、残疾妇女、女同性恋、双性恋和变性妇女以及双性人免受歧视，并涵盖交叉形式的歧视；</w:t>
      </w:r>
    </w:p>
    <w:p w14:paraId="6A387D26" w14:textId="26824F6D" w:rsidR="00B54AAB" w:rsidRDefault="00B54AAB" w:rsidP="00B54AAB">
      <w:pPr>
        <w:pStyle w:val="SingleTxt"/>
      </w:pPr>
      <w:r>
        <w:tab/>
      </w:r>
      <w:r>
        <w:rPr>
          <w:rFonts w:hint="eastAsia"/>
        </w:rPr>
        <w:t>(b)</w:t>
      </w:r>
      <w:r>
        <w:tab/>
      </w:r>
      <w:r w:rsidRPr="00B54AAB">
        <w:rPr>
          <w:rFonts w:ascii="黑体" w:eastAsia="黑体" w:hint="eastAsia"/>
        </w:rPr>
        <w:t>审查立法，特别是《民法》和《刑法》，确保符合《公约》，并废除任何歧视妇女的规定；</w:t>
      </w:r>
    </w:p>
    <w:p w14:paraId="1425FD30" w14:textId="621D38A4" w:rsidR="00B54AAB" w:rsidRDefault="00B54AAB" w:rsidP="00B54AAB">
      <w:pPr>
        <w:pStyle w:val="SingleTxt"/>
      </w:pPr>
      <w:r>
        <w:tab/>
      </w:r>
      <w:r>
        <w:rPr>
          <w:rFonts w:hint="eastAsia"/>
        </w:rPr>
        <w:t>(c)</w:t>
      </w:r>
      <w:r>
        <w:tab/>
      </w:r>
      <w:r w:rsidRPr="00B54AAB">
        <w:rPr>
          <w:rFonts w:ascii="黑体" w:eastAsia="黑体" w:hint="eastAsia"/>
        </w:rPr>
        <w:t>提高对《公约》和妇女权利的认识，特别是在妇女以及在所有公务员和广大公众中提高认识。</w:t>
      </w:r>
    </w:p>
    <w:p w14:paraId="106EE0E0" w14:textId="50B00BE4" w:rsidR="00B54AAB" w:rsidRPr="00B54AAB" w:rsidRDefault="00B54AAB" w:rsidP="00B54AAB">
      <w:pPr>
        <w:pStyle w:val="SingleTxt"/>
        <w:rPr>
          <w:rFonts w:ascii="黑体" w:eastAsia="黑体"/>
        </w:rPr>
      </w:pPr>
      <w:r w:rsidRPr="00B54AAB">
        <w:rPr>
          <w:rFonts w:ascii="黑体" w:eastAsia="黑体" w:hint="eastAsia"/>
        </w:rPr>
        <w:t>司法救助和补救措施</w:t>
      </w:r>
    </w:p>
    <w:p w14:paraId="08B59AF7" w14:textId="77777777" w:rsidR="00B54AAB" w:rsidRDefault="00B54AAB" w:rsidP="00B54AAB">
      <w:pPr>
        <w:pStyle w:val="SingleTxt"/>
      </w:pPr>
      <w:r>
        <w:rPr>
          <w:rFonts w:hint="eastAsia"/>
        </w:rPr>
        <w:t>12.</w:t>
      </w:r>
      <w:r>
        <w:rPr>
          <w:rFonts w:hint="eastAsia"/>
        </w:rPr>
        <w:tab/>
      </w:r>
      <w:r>
        <w:rPr>
          <w:rFonts w:hint="eastAsia"/>
        </w:rPr>
        <w:t>委员会赞扬检察署与消除危地马拉国内有罪不罚现象国际委员会和民间组织合作，努力终止有罪不罚和打击腐败，并增加妇女诉诸法律的机会。委员会注意到，缔约国通过了土著人民向检察署申诉的政策，并努力建立专门的司法系统，提供口译服务，以加强土著妇女诉诸法律的机会。但是，委员会关切地注意到：</w:t>
      </w:r>
    </w:p>
    <w:p w14:paraId="3A06A1F0" w14:textId="29965C7C" w:rsidR="00B54AAB" w:rsidRDefault="00B54AAB" w:rsidP="00B54AAB">
      <w:pPr>
        <w:pStyle w:val="SingleTxt"/>
      </w:pPr>
      <w:r>
        <w:tab/>
      </w:r>
      <w:r>
        <w:rPr>
          <w:rFonts w:hint="eastAsia"/>
        </w:rPr>
        <w:t>(a)</w:t>
      </w:r>
      <w:r>
        <w:tab/>
      </w:r>
      <w:r>
        <w:rPr>
          <w:rFonts w:hint="eastAsia"/>
        </w:rPr>
        <w:t>妇女在诉诸法律方面面临多重障碍，包括司法系统覆盖范围有限，特别是在偏远地点，以及贫穷和语言障碍，这些因素阻碍妇女提出指控，此外，在地方一级，警察局、保健中心、学校、教堂等妇女可以获得司法系统救助的切入点很少；</w:t>
      </w:r>
    </w:p>
    <w:p w14:paraId="2B7F5479" w14:textId="73AB17D4" w:rsidR="00B54AAB" w:rsidRDefault="00B54AAB" w:rsidP="00B54AAB">
      <w:pPr>
        <w:pStyle w:val="SingleTxt"/>
      </w:pPr>
      <w:r>
        <w:tab/>
      </w:r>
      <w:r>
        <w:rPr>
          <w:rFonts w:hint="eastAsia"/>
        </w:rPr>
        <w:t>(b)</w:t>
      </w:r>
      <w:r>
        <w:tab/>
      </w:r>
      <w:r>
        <w:rPr>
          <w:rFonts w:hint="eastAsia"/>
        </w:rPr>
        <w:t>在司法系统中，持续存在对妇女、特别是土著妇女的社会成见、定型观念和歧视；</w:t>
      </w:r>
    </w:p>
    <w:p w14:paraId="4ED86918" w14:textId="02D8CE6E" w:rsidR="00B54AAB" w:rsidRDefault="00B54AAB" w:rsidP="00B54AAB">
      <w:pPr>
        <w:pStyle w:val="SingleTxt"/>
      </w:pPr>
      <w:r>
        <w:tab/>
      </w:r>
      <w:r>
        <w:rPr>
          <w:rFonts w:hint="eastAsia"/>
        </w:rPr>
        <w:t>(c)</w:t>
      </w:r>
      <w:r>
        <w:tab/>
      </w:r>
      <w:r>
        <w:rPr>
          <w:rFonts w:hint="eastAsia"/>
        </w:rPr>
        <w:t>执法人员调查和起诉案件的能力不足，导致大量对妇女实施性别暴力的犯罪者不受惩罚，原因常常是腐败，缺乏司法独立，或是强大的非国家行为体对法官施加影响，包括为此采取暗杀和暴力威胁等手段。</w:t>
      </w:r>
    </w:p>
    <w:p w14:paraId="5F448DF7" w14:textId="6F1B09DA" w:rsidR="00B54AAB" w:rsidRPr="00B54AAB" w:rsidRDefault="00B54AAB" w:rsidP="00B54AAB">
      <w:pPr>
        <w:pStyle w:val="SingleTxt"/>
        <w:rPr>
          <w:rFonts w:ascii="黑体" w:eastAsia="黑体"/>
        </w:rPr>
      </w:pPr>
      <w:r>
        <w:rPr>
          <w:rFonts w:hint="eastAsia"/>
        </w:rPr>
        <w:t>13.</w:t>
      </w:r>
      <w:r>
        <w:rPr>
          <w:rFonts w:hint="eastAsia"/>
        </w:rPr>
        <w:tab/>
      </w:r>
      <w:r w:rsidRPr="00B54AAB">
        <w:rPr>
          <w:rFonts w:ascii="黑体" w:eastAsia="黑体" w:hint="eastAsia"/>
        </w:rPr>
        <w:t>委员会回顾其关于妇女获得司法救助的第</w:t>
      </w:r>
      <w:r>
        <w:rPr>
          <w:rFonts w:hint="eastAsia"/>
        </w:rPr>
        <w:t>33(2015)</w:t>
      </w:r>
      <w:r w:rsidRPr="00B54AAB">
        <w:rPr>
          <w:rFonts w:ascii="黑体" w:eastAsia="黑体" w:hint="eastAsia"/>
        </w:rPr>
        <w:t>号一般性建议，建议缔约国：</w:t>
      </w:r>
    </w:p>
    <w:p w14:paraId="64072B2C" w14:textId="0D4D93D9" w:rsidR="00B54AAB" w:rsidRDefault="00B54AAB" w:rsidP="00B54AAB">
      <w:pPr>
        <w:pStyle w:val="SingleTxt"/>
      </w:pPr>
      <w:r>
        <w:tab/>
      </w:r>
      <w:r>
        <w:rPr>
          <w:rFonts w:hint="eastAsia"/>
        </w:rPr>
        <w:t>(a)</w:t>
      </w:r>
      <w:r>
        <w:tab/>
      </w:r>
      <w:r w:rsidRPr="00B54AAB">
        <w:rPr>
          <w:rFonts w:ascii="黑体" w:eastAsia="黑体" w:hint="eastAsia"/>
        </w:rPr>
        <w:t>确保妇女可以诉诸法律，包括为此增拨资源，增强妇女获得法律援助和免费口译服务的机会，为改善司法救助采用并执行提供服务议定书，其中考虑到土著妇女以及加里富纳和非加里富纳非洲裔妇女的具体需求；</w:t>
      </w:r>
    </w:p>
    <w:p w14:paraId="02102D27" w14:textId="11ACDDB4" w:rsidR="00B54AAB" w:rsidRPr="00B54AAB" w:rsidRDefault="00B54AAB" w:rsidP="00B54AAB">
      <w:pPr>
        <w:pStyle w:val="SingleTxt"/>
        <w:rPr>
          <w:rFonts w:ascii="黑体" w:eastAsia="黑体"/>
        </w:rPr>
      </w:pPr>
      <w:r>
        <w:tab/>
      </w:r>
      <w:r>
        <w:rPr>
          <w:rFonts w:hint="eastAsia"/>
        </w:rPr>
        <w:t>(b)</w:t>
      </w:r>
      <w:r>
        <w:tab/>
      </w:r>
      <w:r w:rsidRPr="00B54AAB">
        <w:rPr>
          <w:rFonts w:ascii="黑体" w:eastAsia="黑体" w:hint="eastAsia"/>
        </w:rPr>
        <w:t>向法官、律师、执法人员和其他相关专业人员提供强制性能力建设活动，说明妇女获得司法救助的权利，以及寻求司法救助的妇女可用的补救措施；</w:t>
      </w:r>
    </w:p>
    <w:p w14:paraId="41A0CF70" w14:textId="3D1042F5" w:rsidR="00B54AAB" w:rsidRPr="00B54AAB" w:rsidRDefault="00B54AAB" w:rsidP="00B54AAB">
      <w:pPr>
        <w:pStyle w:val="SingleTxt"/>
        <w:rPr>
          <w:rFonts w:ascii="黑体" w:eastAsia="黑体"/>
        </w:rPr>
      </w:pPr>
      <w:r>
        <w:tab/>
      </w:r>
      <w:r>
        <w:rPr>
          <w:rFonts w:hint="eastAsia"/>
        </w:rPr>
        <w:t>(c)</w:t>
      </w:r>
      <w:r>
        <w:tab/>
      </w:r>
      <w:r w:rsidRPr="00B54AAB">
        <w:rPr>
          <w:rFonts w:ascii="黑体" w:eastAsia="黑体" w:hint="eastAsia"/>
        </w:rPr>
        <w:t>继续努力加强司法系统的独立性和实效，调查、起诉和惩罚侵害妇女罪行的犯罪者，确保不遵守涉及起诉犯罪者的国际和国家人权法律框架的官员受到适当处罚。</w:t>
      </w:r>
    </w:p>
    <w:p w14:paraId="5142E437" w14:textId="36B90FC3" w:rsidR="00B54AAB" w:rsidRPr="00B54AAB" w:rsidRDefault="00B54AAB" w:rsidP="00B54AAB">
      <w:pPr>
        <w:pStyle w:val="SingleTxt"/>
        <w:rPr>
          <w:rFonts w:ascii="黑体" w:eastAsia="黑体"/>
        </w:rPr>
      </w:pPr>
      <w:r w:rsidRPr="00B54AAB">
        <w:rPr>
          <w:rFonts w:ascii="黑体" w:eastAsia="黑体" w:hint="eastAsia"/>
        </w:rPr>
        <w:t>提高妇女地位的国家机构</w:t>
      </w:r>
    </w:p>
    <w:p w14:paraId="0E39EB60" w14:textId="2978B265" w:rsidR="00B54AAB" w:rsidRDefault="00B54AAB" w:rsidP="00B54AAB">
      <w:pPr>
        <w:pStyle w:val="SingleTxt"/>
      </w:pPr>
      <w:r>
        <w:rPr>
          <w:rFonts w:hint="eastAsia"/>
        </w:rPr>
        <w:lastRenderedPageBreak/>
        <w:t>14.</w:t>
      </w:r>
      <w:r>
        <w:rPr>
          <w:rFonts w:hint="eastAsia"/>
        </w:rPr>
        <w:tab/>
      </w:r>
      <w:r>
        <w:rPr>
          <w:rFonts w:hint="eastAsia"/>
        </w:rPr>
        <w:t>委员会赞赏地注意到，在</w:t>
      </w:r>
      <w:r>
        <w:rPr>
          <w:rFonts w:hint="eastAsia"/>
        </w:rPr>
        <w:t>2012</w:t>
      </w:r>
      <w:r>
        <w:rPr>
          <w:rFonts w:hint="eastAsia"/>
        </w:rPr>
        <w:t>年至</w:t>
      </w:r>
      <w:r>
        <w:rPr>
          <w:rFonts w:hint="eastAsia"/>
        </w:rPr>
        <w:t>2015</w:t>
      </w:r>
      <w:r>
        <w:rPr>
          <w:rFonts w:hint="eastAsia"/>
        </w:rPr>
        <w:t>年三个提高妇女地位的主要机构受到削弱后，总统妇女事务秘书处现已恢复，成为提高妇女地位的主要机构，其</w:t>
      </w:r>
      <w:r>
        <w:rPr>
          <w:rFonts w:hint="eastAsia"/>
        </w:rPr>
        <w:t>2018-2022</w:t>
      </w:r>
      <w:r>
        <w:rPr>
          <w:rFonts w:hint="eastAsia"/>
        </w:rPr>
        <w:t>年战略机构计划也得到核准。但委员会关切地注意到，缔约国不愿通过立法草案，把总统妇女事务秘书处提升为部级机构。委员会依然感到关切的是，秘书处的资源、权威和能力有限，其他负责促进妇女权利的专门机构也是如此，包括维护土著妇女权利办事处以及全国预防家庭暴力和暴力侵害妇女行为协调办公室。委员会关切地注意到，为加强机构以及执行提高妇女地位及其整体发展国家政策、平等机会计划等政策分配的预算不足，部分原因是税收不足。</w:t>
      </w:r>
    </w:p>
    <w:p w14:paraId="5F0769BC" w14:textId="77777777" w:rsidR="00B54AAB" w:rsidRDefault="00B54AAB" w:rsidP="00B54AAB">
      <w:pPr>
        <w:pStyle w:val="SingleTxt"/>
      </w:pPr>
      <w:r>
        <w:rPr>
          <w:rFonts w:hint="eastAsia"/>
        </w:rPr>
        <w:t>15.</w:t>
      </w:r>
      <w:r>
        <w:rPr>
          <w:rFonts w:hint="eastAsia"/>
        </w:rPr>
        <w:tab/>
      </w:r>
      <w:r w:rsidRPr="00B54AAB">
        <w:rPr>
          <w:rFonts w:ascii="黑体" w:eastAsia="黑体" w:hint="eastAsia"/>
        </w:rPr>
        <w:t>委员会建议缔约国：</w:t>
      </w:r>
    </w:p>
    <w:p w14:paraId="3A70436A" w14:textId="3965EEC2" w:rsidR="00B54AAB" w:rsidRDefault="00B54AAB" w:rsidP="00B54AAB">
      <w:pPr>
        <w:pStyle w:val="SingleTxt"/>
      </w:pPr>
      <w:r>
        <w:tab/>
      </w:r>
      <w:r>
        <w:rPr>
          <w:rFonts w:hint="eastAsia"/>
        </w:rPr>
        <w:t>(a)</w:t>
      </w:r>
      <w:r>
        <w:tab/>
      </w:r>
      <w:r w:rsidRPr="00B54AAB">
        <w:rPr>
          <w:rFonts w:ascii="黑体" w:eastAsia="黑体" w:hint="eastAsia"/>
        </w:rPr>
        <w:t>加强总统妇女事务秘书处的授权，将其提升为部级机构，为其分配足够资源，提高其业务效率；</w:t>
      </w:r>
    </w:p>
    <w:p w14:paraId="7FD7057B" w14:textId="7736F3DF" w:rsidR="00B54AAB" w:rsidRPr="00B54AAB" w:rsidRDefault="00B54AAB" w:rsidP="00B54AAB">
      <w:pPr>
        <w:pStyle w:val="SingleTxt"/>
        <w:rPr>
          <w:rFonts w:ascii="黑体" w:eastAsia="黑体"/>
        </w:rPr>
      </w:pPr>
      <w:r>
        <w:tab/>
      </w:r>
      <w:r>
        <w:rPr>
          <w:rFonts w:hint="eastAsia"/>
        </w:rPr>
        <w:t>(b)</w:t>
      </w:r>
      <w:r>
        <w:tab/>
      </w:r>
      <w:r w:rsidRPr="00B54AAB">
        <w:rPr>
          <w:rFonts w:ascii="黑体" w:eastAsia="黑体" w:hint="eastAsia"/>
        </w:rPr>
        <w:t>增加总统妇女事务秘书处、维护土著妇女权利办事处以及全国预防家庭暴力和暴力侵害妇女行为协调办公室提高妇女地位的能力和资源，确保加大这些机构之间的协调，并在总统秘书处下加快恢复全国协调办公室；</w:t>
      </w:r>
    </w:p>
    <w:p w14:paraId="76FA46ED" w14:textId="11B773F0" w:rsidR="00B54AAB" w:rsidRPr="00B54AAB" w:rsidRDefault="00B54AAB" w:rsidP="00B54AAB">
      <w:pPr>
        <w:pStyle w:val="SingleTxt"/>
        <w:rPr>
          <w:rFonts w:ascii="黑体" w:eastAsia="黑体"/>
        </w:rPr>
      </w:pPr>
      <w:r>
        <w:tab/>
      </w:r>
      <w:r>
        <w:rPr>
          <w:rFonts w:hint="eastAsia"/>
        </w:rPr>
        <w:t>(c)</w:t>
      </w:r>
      <w:r>
        <w:tab/>
      </w:r>
      <w:r w:rsidRPr="00B54AAB">
        <w:rPr>
          <w:rFonts w:ascii="黑体" w:eastAsia="黑体" w:hint="eastAsia"/>
        </w:rPr>
        <w:t>增加公共财政收入，确保提供必要资源用于公共开支，包括用于执行提高妇女地位及其整体发展的国家政策；</w:t>
      </w:r>
    </w:p>
    <w:p w14:paraId="7A7FED0D" w14:textId="66E50CAD" w:rsidR="00B54AAB" w:rsidRPr="00B54AAB" w:rsidRDefault="00B54AAB" w:rsidP="00B54AAB">
      <w:pPr>
        <w:pStyle w:val="SingleTxt"/>
        <w:rPr>
          <w:rFonts w:ascii="黑体" w:eastAsia="黑体"/>
        </w:rPr>
      </w:pPr>
      <w:r>
        <w:tab/>
      </w:r>
      <w:r>
        <w:rPr>
          <w:rFonts w:hint="eastAsia"/>
        </w:rPr>
        <w:t>(d)</w:t>
      </w:r>
      <w:r>
        <w:tab/>
      </w:r>
      <w:r w:rsidRPr="00B54AAB">
        <w:rPr>
          <w:rFonts w:ascii="黑体" w:eastAsia="黑体" w:hint="eastAsia"/>
        </w:rPr>
        <w:t>继续加紧努力，在国家预算中采用促进性别平等的预算编制办法分配公共资源，加快实现男女实质性平等。</w:t>
      </w:r>
    </w:p>
    <w:p w14:paraId="18B60EC6" w14:textId="74CC3932" w:rsidR="00B54AAB" w:rsidRPr="00B54AAB" w:rsidRDefault="00B54AAB" w:rsidP="00B54AAB">
      <w:pPr>
        <w:pStyle w:val="SingleTxt"/>
        <w:rPr>
          <w:rFonts w:ascii="黑体" w:eastAsia="黑体"/>
        </w:rPr>
      </w:pPr>
      <w:r w:rsidRPr="00B54AAB">
        <w:rPr>
          <w:rFonts w:ascii="黑体" w:eastAsia="黑体" w:hint="eastAsia"/>
        </w:rPr>
        <w:t>暂行特别措施</w:t>
      </w:r>
    </w:p>
    <w:p w14:paraId="1B618FEF" w14:textId="4E802502" w:rsidR="00B54AAB" w:rsidRDefault="00B54AAB" w:rsidP="00B54AAB">
      <w:pPr>
        <w:pStyle w:val="SingleTxt"/>
      </w:pPr>
      <w:r>
        <w:rPr>
          <w:rFonts w:hint="eastAsia"/>
        </w:rPr>
        <w:t>16.</w:t>
      </w:r>
      <w:r>
        <w:rPr>
          <w:rFonts w:hint="eastAsia"/>
        </w:rPr>
        <w:tab/>
      </w:r>
      <w:r>
        <w:rPr>
          <w:rFonts w:hint="eastAsia"/>
        </w:rPr>
        <w:t>委员会关切地注意到，缔约国没有依照《公约》第四条</w:t>
      </w:r>
      <w:r>
        <w:rPr>
          <w:rFonts w:hint="eastAsia"/>
        </w:rPr>
        <w:t>(1)</w:t>
      </w:r>
      <w:r>
        <w:rPr>
          <w:rFonts w:hint="eastAsia"/>
        </w:rPr>
        <w:t>款，充分考虑旨在加快实现男女实质性平等的暂行特别措施的性质、范围和必要性。委员会还感到关切的是，没有为加快在政治和公共生活、教育、就业方面实现男女实质性平等采取暂行特别措施。</w:t>
      </w:r>
    </w:p>
    <w:p w14:paraId="08DB7AAD" w14:textId="650ACD3E" w:rsidR="00B54AAB" w:rsidRPr="00B54AAB" w:rsidRDefault="00B54AAB" w:rsidP="00B54AAB">
      <w:pPr>
        <w:pStyle w:val="SingleTxt"/>
        <w:rPr>
          <w:rFonts w:ascii="黑体" w:eastAsia="黑体"/>
        </w:rPr>
      </w:pPr>
      <w:r>
        <w:rPr>
          <w:rFonts w:hint="eastAsia"/>
        </w:rPr>
        <w:t>17.</w:t>
      </w:r>
      <w:r>
        <w:rPr>
          <w:rFonts w:hint="eastAsia"/>
        </w:rPr>
        <w:tab/>
      </w:r>
      <w:r w:rsidRPr="00B54AAB">
        <w:rPr>
          <w:rFonts w:ascii="黑体" w:eastAsia="黑体" w:hint="eastAsia"/>
        </w:rPr>
        <w:t>委员会建议，缔约国依照《公约》第四条(1)款，采取并执行暂行特别措施 ，并拟订具体目标和时限，以便在妇女(包括土著妇女、非洲裔妇女和残疾妇女)继续处于不利地位或代表性不足的所有领域，如政治和公共生活、教育和就业方面，加快实现男女实质性平等。在这方面，委员会提请缔约国注意关于暂行特别措施的委员会第25(2004)号一般性建议。</w:t>
      </w:r>
    </w:p>
    <w:p w14:paraId="66FDF0D3" w14:textId="7ACFCC11" w:rsidR="00B54AAB" w:rsidRPr="00B54AAB" w:rsidRDefault="00B54AAB" w:rsidP="00B54AAB">
      <w:pPr>
        <w:pStyle w:val="SingleTxt"/>
        <w:rPr>
          <w:rFonts w:ascii="黑体" w:eastAsia="黑体"/>
        </w:rPr>
      </w:pPr>
      <w:r w:rsidRPr="00B54AAB">
        <w:rPr>
          <w:rFonts w:ascii="黑体" w:eastAsia="黑体" w:hint="eastAsia"/>
        </w:rPr>
        <w:t>陈规定型观念</w:t>
      </w:r>
    </w:p>
    <w:p w14:paraId="370CAE69" w14:textId="77777777" w:rsidR="00B54AAB" w:rsidRDefault="00B54AAB" w:rsidP="00B54AAB">
      <w:pPr>
        <w:pStyle w:val="SingleTxt"/>
      </w:pPr>
      <w:r>
        <w:rPr>
          <w:rFonts w:hint="eastAsia"/>
        </w:rPr>
        <w:t>18.</w:t>
      </w:r>
      <w:r>
        <w:rPr>
          <w:rFonts w:hint="eastAsia"/>
        </w:rPr>
        <w:tab/>
      </w:r>
      <w:r>
        <w:rPr>
          <w:rFonts w:hint="eastAsia"/>
        </w:rPr>
        <w:t>委员会关切地注意到，在缔约国持续存在对男女在家庭和社会中的角色与责任的歧视性定型观念，妇女被普遍认为低于男子。此类定型观念助长长期存在大量暴力侵害妇女和女童行为，包括杀害妇女、性暴力和家庭暴力、骚扰和虐待。</w:t>
      </w:r>
    </w:p>
    <w:p w14:paraId="7C8BD13A" w14:textId="444E4B6E" w:rsidR="00B54AAB" w:rsidRDefault="00B54AAB" w:rsidP="00B54AAB">
      <w:pPr>
        <w:pStyle w:val="SingleTxt"/>
      </w:pPr>
      <w:r>
        <w:rPr>
          <w:rFonts w:hint="eastAsia"/>
        </w:rPr>
        <w:t>19.</w:t>
      </w:r>
      <w:r>
        <w:rPr>
          <w:rFonts w:hint="eastAsia"/>
        </w:rPr>
        <w:tab/>
      </w:r>
      <w:r w:rsidRPr="009A4F8C">
        <w:rPr>
          <w:rFonts w:ascii="黑体" w:eastAsia="黑体" w:hint="eastAsia"/>
        </w:rPr>
        <w:t>委员会再次建议，缔约国应采取全面措施，改变和转变对男女在家庭和社会各个层面的角色与责任的歧视性定型观念，消除歧视性的性别陈规定型观念(见</w:t>
      </w:r>
      <w:r w:rsidR="008C519D">
        <w:fldChar w:fldCharType="begin"/>
      </w:r>
      <w:r w:rsidR="008C519D">
        <w:instrText xml:space="preserve"> HYPERLINK "https://undocs.org/ch/CEDAW/C/GUA/CO/7" </w:instrText>
      </w:r>
      <w:r w:rsidR="008C519D">
        <w:fldChar w:fldCharType="separate"/>
      </w:r>
      <w:r w:rsidRPr="00BD041A">
        <w:rPr>
          <w:rStyle w:val="ad"/>
          <w:rFonts w:ascii="黑体" w:eastAsia="黑体" w:hint="eastAsia"/>
        </w:rPr>
        <w:t>CEDAW/C/GUA/CO/7</w:t>
      </w:r>
      <w:r w:rsidR="008C519D">
        <w:rPr>
          <w:rStyle w:val="ad"/>
          <w:rFonts w:ascii="黑体" w:eastAsia="黑体"/>
        </w:rPr>
        <w:fldChar w:fldCharType="end"/>
      </w:r>
      <w:r w:rsidRPr="009A4F8C">
        <w:rPr>
          <w:rFonts w:ascii="黑体" w:eastAsia="黑体" w:hint="eastAsia"/>
        </w:rPr>
        <w:t>，第20段)。委员会建议，缔约国作为全面战略的一部分，就如何加快实现男女事实上的平等以及消除对妇女和女童的交叉形式歧视，培训各</w:t>
      </w:r>
      <w:r w:rsidRPr="009A4F8C">
        <w:rPr>
          <w:rFonts w:ascii="黑体" w:eastAsia="黑体" w:hint="eastAsia"/>
        </w:rPr>
        <w:lastRenderedPageBreak/>
        <w:t>部门的公务人员。在这方面，委员会建议缔约国取消在教科书和学校课程中的歧视性性别陈规定型观念。</w:t>
      </w:r>
    </w:p>
    <w:p w14:paraId="1AE68B2B" w14:textId="6D8F2170" w:rsidR="00B54AAB" w:rsidRPr="00B54AAB" w:rsidRDefault="00B54AAB" w:rsidP="00B54AAB">
      <w:pPr>
        <w:pStyle w:val="SingleTxt"/>
        <w:rPr>
          <w:rFonts w:ascii="黑体" w:eastAsia="黑体"/>
        </w:rPr>
      </w:pPr>
      <w:r w:rsidRPr="00B54AAB">
        <w:rPr>
          <w:rFonts w:ascii="黑体" w:eastAsia="黑体" w:hint="eastAsia"/>
        </w:rPr>
        <w:t>针对妇女的性别暴力</w:t>
      </w:r>
    </w:p>
    <w:p w14:paraId="1975B615" w14:textId="77777777" w:rsidR="00B54AAB" w:rsidRDefault="00B54AAB" w:rsidP="00B54AAB">
      <w:pPr>
        <w:pStyle w:val="SingleTxt"/>
      </w:pPr>
      <w:r>
        <w:rPr>
          <w:rFonts w:hint="eastAsia"/>
        </w:rPr>
        <w:t>20.</w:t>
      </w:r>
      <w:r>
        <w:rPr>
          <w:rFonts w:hint="eastAsia"/>
        </w:rPr>
        <w:tab/>
      </w:r>
      <w:r>
        <w:rPr>
          <w:rFonts w:hint="eastAsia"/>
        </w:rPr>
        <w:t>委员会赞赏地注意到，缔约国设立了对杀害妇女犯罪有全国管辖权的检察署分支机构，以及专门审理杀害妇女和其他形式对妇女的暴力犯罪的法院。鉴于负责保护妇女免受暴力的机构以及在上一个报告期提出的措施出现倒退，委员会欢迎最近重新启动全国预防家庭暴力和暴力侵害妇女行为协调办公室，以及在女童和少女性暴力、强迫怀孕和强迫生育案件中提供体面和转变性赔偿的政策。但委员会仍对以下方面感到关切：</w:t>
      </w:r>
    </w:p>
    <w:p w14:paraId="53D705B7" w14:textId="4EC848FC" w:rsidR="00B54AAB" w:rsidRDefault="00B54AAB" w:rsidP="00B54AAB">
      <w:pPr>
        <w:pStyle w:val="SingleTxt"/>
      </w:pPr>
      <w:r>
        <w:tab/>
      </w:r>
      <w:r>
        <w:rPr>
          <w:rFonts w:hint="eastAsia"/>
        </w:rPr>
        <w:t>(a)</w:t>
      </w:r>
      <w:r>
        <w:tab/>
      </w:r>
      <w:r>
        <w:rPr>
          <w:rFonts w:hint="eastAsia"/>
        </w:rPr>
        <w:t>在缔约国普遍存在针对妇女和女童的性别暴力，其中，杀害妇女、针对女同性恋、双性恋和变性妇女以及双性人的仇恨犯罪、家庭暴力、强奸和乱伦导致的强迫怀孕的比率惊人并不断增加，缺乏可靠的分类数据和有效的预防性策略；</w:t>
      </w:r>
    </w:p>
    <w:p w14:paraId="7B031F42" w14:textId="731FC8C5" w:rsidR="00B54AAB" w:rsidRDefault="00B54AAB" w:rsidP="00B54AAB">
      <w:pPr>
        <w:pStyle w:val="SingleTxt"/>
      </w:pPr>
      <w:r>
        <w:tab/>
      </w:r>
      <w:r>
        <w:rPr>
          <w:rFonts w:hint="eastAsia"/>
        </w:rPr>
        <w:t>(b)</w:t>
      </w:r>
      <w:r>
        <w:tab/>
      </w:r>
      <w:r>
        <w:rPr>
          <w:rFonts w:hint="eastAsia"/>
        </w:rPr>
        <w:t>犯罪者很少受到起诉，对犯罪者从轻处罚，造成系统性有罪不惩现象，受害者得不到赔偿；</w:t>
      </w:r>
    </w:p>
    <w:p w14:paraId="41D328C1" w14:textId="7E795E94" w:rsidR="00B54AAB" w:rsidRDefault="00B54AAB" w:rsidP="00B54AAB">
      <w:pPr>
        <w:pStyle w:val="SingleTxt"/>
      </w:pPr>
      <w:r>
        <w:tab/>
      </w:r>
      <w:r>
        <w:rPr>
          <w:rFonts w:hint="eastAsia"/>
        </w:rPr>
        <w:t>(c)</w:t>
      </w:r>
      <w:r>
        <w:tab/>
      </w:r>
      <w:r>
        <w:rPr>
          <w:rFonts w:hint="eastAsia"/>
        </w:rPr>
        <w:t>向预防此类暴力以及向庇护所等受害人支助服务分配的资源不足；</w:t>
      </w:r>
    </w:p>
    <w:p w14:paraId="5CCF3EAA" w14:textId="60C40711" w:rsidR="00B54AAB" w:rsidRDefault="00B54AAB" w:rsidP="00B54AAB">
      <w:pPr>
        <w:pStyle w:val="SingleTxt"/>
      </w:pPr>
      <w:r>
        <w:tab/>
      </w:r>
      <w:r>
        <w:rPr>
          <w:rFonts w:hint="eastAsia"/>
        </w:rPr>
        <w:t>(d)</w:t>
      </w:r>
      <w:r>
        <w:tab/>
      </w:r>
      <w:r>
        <w:rPr>
          <w:rFonts w:hint="eastAsia"/>
        </w:rPr>
        <w:t>有报告显示，医务人员实施性暴力以及对残疾妇女进行强迫绝育，包括费德里科·莫拉精神病院收治的妇女；</w:t>
      </w:r>
    </w:p>
    <w:p w14:paraId="15A3F5B3" w14:textId="5CE8605B" w:rsidR="00B54AAB" w:rsidRDefault="00B54AAB" w:rsidP="00B54AAB">
      <w:pPr>
        <w:pStyle w:val="SingleTxt"/>
      </w:pPr>
      <w:r>
        <w:tab/>
      </w:r>
      <w:r>
        <w:rPr>
          <w:rFonts w:hint="eastAsia"/>
        </w:rPr>
        <w:t>(e)</w:t>
      </w:r>
      <w:r>
        <w:tab/>
      </w:r>
      <w:r>
        <w:rPr>
          <w:rFonts w:hint="eastAsia"/>
        </w:rPr>
        <w:t>对于调查和起诉针对妇女和女童的性别暴力案件，缺乏对性别敏感的标准规程，在全国各地，专门审理杀害妇女和其他形式对妇女的暴力犯罪的法院的能力和普遍性不足。</w:t>
      </w:r>
    </w:p>
    <w:p w14:paraId="4E1583C2" w14:textId="099575C6" w:rsidR="00B54AAB" w:rsidRPr="009A4F8C" w:rsidRDefault="00B54AAB" w:rsidP="00B54AAB">
      <w:pPr>
        <w:pStyle w:val="SingleTxt"/>
        <w:rPr>
          <w:rFonts w:ascii="黑体" w:eastAsia="黑体"/>
        </w:rPr>
      </w:pPr>
      <w:r>
        <w:rPr>
          <w:rFonts w:hint="eastAsia"/>
        </w:rPr>
        <w:t>21.</w:t>
      </w:r>
      <w:r>
        <w:rPr>
          <w:rFonts w:hint="eastAsia"/>
        </w:rPr>
        <w:tab/>
      </w:r>
      <w:r w:rsidRPr="009A4F8C">
        <w:rPr>
          <w:rFonts w:ascii="黑体" w:eastAsia="黑体" w:hint="eastAsia"/>
        </w:rPr>
        <w:t>委员会回顾其关于基于性别的暴力侵害妇女行为的第35(2017)号一般性建议(更新了第19号一般性建议)，建议缔约国执行先前有关这一问题的建议，加强全国预防家庭暴力和暴力侵害妇女行为协调办公室(</w:t>
      </w:r>
      <w:hyperlink r:id="rId20" w:history="1">
        <w:r w:rsidRPr="00BD041A">
          <w:rPr>
            <w:rStyle w:val="ad"/>
            <w:rFonts w:ascii="黑体" w:eastAsia="黑体" w:hint="eastAsia"/>
          </w:rPr>
          <w:t>CEDAW/C/GUA/CO/7</w:t>
        </w:r>
      </w:hyperlink>
      <w:r w:rsidRPr="009A4F8C">
        <w:rPr>
          <w:rFonts w:ascii="黑体" w:eastAsia="黑体" w:hint="eastAsia"/>
        </w:rPr>
        <w:t>，第22段)。委员会还建议缔约国：</w:t>
      </w:r>
    </w:p>
    <w:p w14:paraId="1E447FA1" w14:textId="3B9BFCFF" w:rsidR="00B54AAB" w:rsidRPr="009A4F8C" w:rsidRDefault="00B54AAB" w:rsidP="00B54AAB">
      <w:pPr>
        <w:pStyle w:val="SingleTxt"/>
        <w:rPr>
          <w:rFonts w:ascii="黑体" w:eastAsia="黑体"/>
        </w:rPr>
      </w:pPr>
      <w:r>
        <w:tab/>
      </w:r>
      <w:r>
        <w:rPr>
          <w:rFonts w:hint="eastAsia"/>
        </w:rPr>
        <w:t>(a)</w:t>
      </w:r>
      <w:r>
        <w:tab/>
      </w:r>
      <w:r w:rsidRPr="009A4F8C">
        <w:rPr>
          <w:rFonts w:ascii="黑体" w:eastAsia="黑体" w:hint="eastAsia"/>
        </w:rPr>
        <w:t>作为优先事项并在具体时限内，实施防止针对妇女，包括土著妇女和非洲裔妇女、贫穷妇女、残疾妇女、女同性恋、双性恋和变性妇女以及双性人的性别暴力的国家计划，并建立一个中央系统，收集关于针对妇女的性别暴力的数据，按年龄以及受害人与犯罪人的关系分列；</w:t>
      </w:r>
    </w:p>
    <w:p w14:paraId="44E0FEFB" w14:textId="599BDF5A" w:rsidR="00B54AAB" w:rsidRPr="009A4F8C" w:rsidRDefault="00B54AAB" w:rsidP="00B54AAB">
      <w:pPr>
        <w:pStyle w:val="SingleTxt"/>
        <w:rPr>
          <w:rFonts w:ascii="黑体" w:eastAsia="黑体"/>
        </w:rPr>
      </w:pPr>
      <w:r>
        <w:tab/>
      </w:r>
      <w:r>
        <w:rPr>
          <w:rFonts w:hint="eastAsia"/>
        </w:rPr>
        <w:t>(b)</w:t>
      </w:r>
      <w:r>
        <w:tab/>
      </w:r>
      <w:r w:rsidRPr="009A4F8C">
        <w:rPr>
          <w:rFonts w:ascii="黑体" w:eastAsia="黑体" w:hint="eastAsia"/>
        </w:rPr>
        <w:t>确保对妇女和女童实施的所有犯罪、特别是杀害妇女罪行都受到警察调查，确保犯罪者受到起诉和适当惩罚，并确保受害者得到适当赔偿；</w:t>
      </w:r>
    </w:p>
    <w:p w14:paraId="06A2C591" w14:textId="222C5961" w:rsidR="00B54AAB" w:rsidRPr="009A4F8C" w:rsidRDefault="00B54AAB" w:rsidP="00B54AAB">
      <w:pPr>
        <w:pStyle w:val="SingleTxt"/>
        <w:rPr>
          <w:rFonts w:ascii="黑体" w:eastAsia="黑体"/>
        </w:rPr>
      </w:pPr>
      <w:r>
        <w:tab/>
      </w:r>
      <w:r>
        <w:rPr>
          <w:rFonts w:hint="eastAsia"/>
        </w:rPr>
        <w:t>(c)</w:t>
      </w:r>
      <w:r>
        <w:tab/>
      </w:r>
      <w:r w:rsidRPr="009A4F8C">
        <w:rPr>
          <w:rFonts w:ascii="黑体" w:eastAsia="黑体" w:hint="eastAsia"/>
        </w:rPr>
        <w:t>分配足够的资源，确保在缔约国各地面向性别暴力受害妇女的庇护所全面运作，确保性别暴力的受害妇女能够有效获得医疗治疗、心理咨询、法律援助和其他支助服务；</w:t>
      </w:r>
    </w:p>
    <w:p w14:paraId="2D82121C" w14:textId="6F01E2FE" w:rsidR="00B54AAB" w:rsidRPr="009A4F8C" w:rsidRDefault="00B54AAB" w:rsidP="00B54AAB">
      <w:pPr>
        <w:pStyle w:val="SingleTxt"/>
        <w:rPr>
          <w:rFonts w:ascii="黑体" w:eastAsia="黑体"/>
        </w:rPr>
      </w:pPr>
      <w:r>
        <w:lastRenderedPageBreak/>
        <w:tab/>
      </w:r>
      <w:r>
        <w:rPr>
          <w:rFonts w:hint="eastAsia"/>
        </w:rPr>
        <w:t>(d)</w:t>
      </w:r>
      <w:r>
        <w:tab/>
      </w:r>
      <w:r w:rsidRPr="009A4F8C">
        <w:rPr>
          <w:rFonts w:ascii="黑体" w:eastAsia="黑体" w:hint="eastAsia"/>
        </w:rPr>
        <w:t>依照国际标准，确保对残疾妇女和女童实施的所有性暴力和强制绝育案件得到应有调查，确保犯罪者受到起诉和适当惩罚，并确保只有经有关人员的自由知情同意，才能执行医疗程序；</w:t>
      </w:r>
    </w:p>
    <w:p w14:paraId="71FD8C1E" w14:textId="3E1942CF" w:rsidR="00B54AAB" w:rsidRPr="009A4F8C" w:rsidRDefault="00B54AAB" w:rsidP="00B54AAB">
      <w:pPr>
        <w:pStyle w:val="SingleTxt"/>
        <w:rPr>
          <w:rFonts w:ascii="黑体" w:eastAsia="黑体"/>
        </w:rPr>
      </w:pPr>
      <w:r>
        <w:tab/>
      </w:r>
      <w:r>
        <w:rPr>
          <w:rFonts w:hint="eastAsia"/>
        </w:rPr>
        <w:t>(e)</w:t>
      </w:r>
      <w:r>
        <w:tab/>
      </w:r>
      <w:r w:rsidRPr="009A4F8C">
        <w:rPr>
          <w:rFonts w:ascii="黑体" w:eastAsia="黑体" w:hint="eastAsia"/>
        </w:rPr>
        <w:t>分配足够的人力、技术和资金，以加强并扩大专门审理杀害妇女和其他形式对妇女的暴力犯罪的法院的地域覆盖范围，统一关于针对妇女的性别暴力的不同法律规章，加强不同的负责执行机构之间的协调，使用《拉丁美洲调查与性别有关的杀害妇女行为示范议定书》，确保以对性别敏感的方式，调查和起诉所有针对妇女和女童的性别暴力案件。</w:t>
      </w:r>
    </w:p>
    <w:p w14:paraId="26F553D6" w14:textId="23090DBC" w:rsidR="00B54AAB" w:rsidRPr="00B54AAB" w:rsidRDefault="00B54AAB" w:rsidP="00B54AAB">
      <w:pPr>
        <w:pStyle w:val="SingleTxt"/>
        <w:rPr>
          <w:rFonts w:ascii="黑体" w:eastAsia="黑体"/>
        </w:rPr>
      </w:pPr>
      <w:r w:rsidRPr="00B54AAB">
        <w:rPr>
          <w:rFonts w:ascii="黑体" w:eastAsia="黑体" w:hint="eastAsia"/>
        </w:rPr>
        <w:t>在国内冲突期间实施的针对妇女的性别暴力</w:t>
      </w:r>
    </w:p>
    <w:p w14:paraId="2C9DF2D0" w14:textId="0100F22E" w:rsidR="00B54AAB" w:rsidRDefault="00B54AAB" w:rsidP="00B54AAB">
      <w:pPr>
        <w:pStyle w:val="SingleTxt"/>
      </w:pPr>
      <w:r>
        <w:rPr>
          <w:rFonts w:hint="eastAsia"/>
        </w:rPr>
        <w:t>22.</w:t>
      </w:r>
      <w:r>
        <w:rPr>
          <w:rFonts w:hint="eastAsia"/>
        </w:rPr>
        <w:tab/>
      </w:r>
      <w:r>
        <w:rPr>
          <w:rFonts w:hint="eastAsia"/>
        </w:rPr>
        <w:t>委员会赞赏地注意到，民间社会团体、特别是妇女团体对缔约国的和平进程做出宝贵贡献。委员会赞扬</w:t>
      </w:r>
      <w:proofErr w:type="spellStart"/>
      <w:r>
        <w:rPr>
          <w:rFonts w:hint="eastAsia"/>
        </w:rPr>
        <w:t>Sepur</w:t>
      </w:r>
      <w:proofErr w:type="spellEnd"/>
      <w:r>
        <w:rPr>
          <w:rFonts w:hint="eastAsia"/>
        </w:rPr>
        <w:t xml:space="preserve"> </w:t>
      </w:r>
      <w:proofErr w:type="spellStart"/>
      <w:r>
        <w:rPr>
          <w:rFonts w:hint="eastAsia"/>
        </w:rPr>
        <w:t>Zarco</w:t>
      </w:r>
      <w:proofErr w:type="spellEnd"/>
      <w:r>
        <w:rPr>
          <w:rFonts w:hint="eastAsia"/>
        </w:rPr>
        <w:t>村罪行的土著妇女受害者和证人对该案做出的贡献。</w:t>
      </w:r>
      <w:r w:rsidR="00500BFC">
        <w:rPr>
          <w:rStyle w:val="a3"/>
        </w:rPr>
        <w:footnoteReference w:id="2"/>
      </w:r>
      <w:r>
        <w:rPr>
          <w:rFonts w:hint="eastAsia"/>
        </w:rPr>
        <w:t xml:space="preserve"> </w:t>
      </w:r>
      <w:r>
        <w:rPr>
          <w:rFonts w:hint="eastAsia"/>
        </w:rPr>
        <w:t>委员会欢迎在</w:t>
      </w:r>
      <w:r>
        <w:rPr>
          <w:rFonts w:hint="eastAsia"/>
        </w:rPr>
        <w:t>2016</w:t>
      </w:r>
      <w:r>
        <w:rPr>
          <w:rFonts w:hint="eastAsia"/>
        </w:rPr>
        <w:t>年通过了执行安全理事会关于妇女与和平与安全的第</w:t>
      </w:r>
      <w:r w:rsidR="008C519D">
        <w:fldChar w:fldCharType="begin"/>
      </w:r>
      <w:r w:rsidR="008C519D">
        <w:instrText xml:space="preserve"> HYPERLINK "https://undocs.org/ch/S/RES/1325(2000)" </w:instrText>
      </w:r>
      <w:r w:rsidR="008C519D">
        <w:fldChar w:fldCharType="separate"/>
      </w:r>
      <w:r w:rsidRPr="00BD041A">
        <w:rPr>
          <w:rStyle w:val="ad"/>
          <w:rFonts w:hint="eastAsia"/>
        </w:rPr>
        <w:t>1325(2000)</w:t>
      </w:r>
      <w:r w:rsidR="008C519D">
        <w:rPr>
          <w:rStyle w:val="ad"/>
        </w:rPr>
        <w:fldChar w:fldCharType="end"/>
      </w:r>
      <w:r>
        <w:rPr>
          <w:rFonts w:hint="eastAsia"/>
        </w:rPr>
        <w:t>号决议的国家行动计划。然而，委员会感到关切的是，迟迟没有执行《稳固持久和平协定》，特别是为在国内冲突期间妇女遭受的罪行提供赔偿以及履行关于提高妇女地位的承诺。委员会还感到关切的是，分配给和平秘书处和国家赔偿方案的资金不足。</w:t>
      </w:r>
    </w:p>
    <w:p w14:paraId="4278E6A3" w14:textId="0EA6B17F" w:rsidR="00B54AAB" w:rsidRPr="009A4F8C" w:rsidRDefault="00B54AAB" w:rsidP="00B54AAB">
      <w:pPr>
        <w:pStyle w:val="SingleTxt"/>
        <w:rPr>
          <w:rFonts w:ascii="黑体" w:eastAsia="黑体"/>
        </w:rPr>
      </w:pPr>
      <w:r>
        <w:rPr>
          <w:rFonts w:hint="eastAsia"/>
        </w:rPr>
        <w:t>23.</w:t>
      </w:r>
      <w:r>
        <w:rPr>
          <w:rFonts w:hint="eastAsia"/>
        </w:rPr>
        <w:tab/>
      </w:r>
      <w:r w:rsidRPr="009A4F8C">
        <w:rPr>
          <w:rFonts w:ascii="黑体" w:eastAsia="黑体" w:hint="eastAsia"/>
        </w:rPr>
        <w:t>委员会回顾其关于妇女在预防冲突、冲突及冲突后局势中的作用的第30(2013)号一般性建议 ，建议缔约国：</w:t>
      </w:r>
    </w:p>
    <w:p w14:paraId="3334C339" w14:textId="332A2C0F" w:rsidR="00B54AAB" w:rsidRPr="009A4F8C" w:rsidRDefault="00B54AAB" w:rsidP="00B54AAB">
      <w:pPr>
        <w:pStyle w:val="SingleTxt"/>
        <w:rPr>
          <w:rFonts w:ascii="黑体" w:eastAsia="黑体"/>
        </w:rPr>
      </w:pPr>
      <w:r>
        <w:tab/>
      </w:r>
      <w:r>
        <w:rPr>
          <w:rFonts w:hint="eastAsia"/>
        </w:rPr>
        <w:t>(a)</w:t>
      </w:r>
      <w:r>
        <w:tab/>
      </w:r>
      <w:r w:rsidRPr="009A4F8C">
        <w:rPr>
          <w:rFonts w:ascii="黑体" w:eastAsia="黑体" w:hint="eastAsia"/>
        </w:rPr>
        <w:t>确保迅速执行《稳固持久和平协定》；</w:t>
      </w:r>
    </w:p>
    <w:p w14:paraId="0A322A8A" w14:textId="079FADAD" w:rsidR="00B54AAB" w:rsidRPr="009A4F8C" w:rsidRDefault="00B54AAB" w:rsidP="00B54AAB">
      <w:pPr>
        <w:pStyle w:val="SingleTxt"/>
        <w:rPr>
          <w:rFonts w:ascii="黑体" w:eastAsia="黑体"/>
        </w:rPr>
      </w:pPr>
      <w:r>
        <w:tab/>
      </w:r>
      <w:r>
        <w:rPr>
          <w:rFonts w:hint="eastAsia"/>
        </w:rPr>
        <w:t>(b)</w:t>
      </w:r>
      <w:r>
        <w:tab/>
      </w:r>
      <w:r w:rsidRPr="009A4F8C">
        <w:rPr>
          <w:rFonts w:ascii="黑体" w:eastAsia="黑体" w:hint="eastAsia"/>
        </w:rPr>
        <w:t>调查过去实施的侵犯人权行为，并为遭受的伤害向性别暴力受害妇女提供补救；</w:t>
      </w:r>
    </w:p>
    <w:p w14:paraId="4196B8E3" w14:textId="19BDBDE7" w:rsidR="00B54AAB" w:rsidRDefault="00B54AAB" w:rsidP="00B54AAB">
      <w:pPr>
        <w:pStyle w:val="SingleTxt"/>
      </w:pPr>
      <w:r>
        <w:tab/>
      </w:r>
      <w:r>
        <w:rPr>
          <w:rFonts w:hint="eastAsia"/>
        </w:rPr>
        <w:t>(c)</w:t>
      </w:r>
      <w:r>
        <w:tab/>
      </w:r>
      <w:r w:rsidRPr="009A4F8C">
        <w:rPr>
          <w:rFonts w:ascii="黑体" w:eastAsia="黑体" w:hint="eastAsia"/>
        </w:rPr>
        <w:t>提高妇女对真相、和解和赔偿程序(包括与</w:t>
      </w:r>
      <w:r>
        <w:rPr>
          <w:rFonts w:hint="eastAsia"/>
        </w:rPr>
        <w:t>“</w:t>
      </w:r>
      <w:proofErr w:type="spellStart"/>
      <w:r>
        <w:rPr>
          <w:rFonts w:hint="eastAsia"/>
        </w:rPr>
        <w:t>Sepur</w:t>
      </w:r>
      <w:proofErr w:type="spellEnd"/>
      <w:r>
        <w:rPr>
          <w:rFonts w:hint="eastAsia"/>
        </w:rPr>
        <w:t xml:space="preserve"> </w:t>
      </w:r>
      <w:proofErr w:type="spellStart"/>
      <w:r>
        <w:rPr>
          <w:rFonts w:hint="eastAsia"/>
        </w:rPr>
        <w:t>Zarco</w:t>
      </w:r>
      <w:proofErr w:type="spellEnd"/>
      <w:r>
        <w:rPr>
          <w:rFonts w:hint="eastAsia"/>
        </w:rPr>
        <w:t>”</w:t>
      </w:r>
      <w:r w:rsidRPr="009A4F8C">
        <w:rPr>
          <w:rFonts w:ascii="黑体" w:eastAsia="黑体" w:hint="eastAsia"/>
        </w:rPr>
        <w:t>案件及判决有关的程序)的认识，以便妇女认识到她们有权提出案件并寻求公正；</w:t>
      </w:r>
    </w:p>
    <w:p w14:paraId="4E3FC49D" w14:textId="77EB73D1" w:rsidR="00B54AAB" w:rsidRDefault="00B54AAB" w:rsidP="00B54AAB">
      <w:pPr>
        <w:pStyle w:val="SingleTxt"/>
      </w:pPr>
      <w:r>
        <w:tab/>
      </w:r>
      <w:r>
        <w:rPr>
          <w:rFonts w:hint="eastAsia"/>
        </w:rPr>
        <w:t>(d)</w:t>
      </w:r>
      <w:r>
        <w:tab/>
      </w:r>
      <w:r w:rsidRPr="009A4F8C">
        <w:rPr>
          <w:rFonts w:ascii="黑体" w:eastAsia="黑体" w:hint="eastAsia"/>
        </w:rPr>
        <w:t>分配足够的资源，以根据国家赔偿方案，赔偿侵犯人权行为的受害妇女，以及落实执行安全理事会第</w:t>
      </w:r>
      <w:r w:rsidR="008C519D">
        <w:fldChar w:fldCharType="begin"/>
      </w:r>
      <w:r w:rsidR="008C519D">
        <w:instrText xml:space="preserve"> HYPERLINK</w:instrText>
      </w:r>
      <w:r w:rsidR="008C519D">
        <w:instrText xml:space="preserve"> "https://undocs.org/ch/S/RES/1325(2000)" </w:instrText>
      </w:r>
      <w:r w:rsidR="008C519D">
        <w:fldChar w:fldCharType="separate"/>
      </w:r>
      <w:r w:rsidRPr="00BD041A">
        <w:rPr>
          <w:rStyle w:val="ad"/>
          <w:rFonts w:ascii="黑体" w:eastAsia="黑体" w:hint="eastAsia"/>
        </w:rPr>
        <w:t>1325(2000)</w:t>
      </w:r>
      <w:r w:rsidR="008C519D">
        <w:rPr>
          <w:rStyle w:val="ad"/>
          <w:rFonts w:ascii="黑体" w:eastAsia="黑体"/>
        </w:rPr>
        <w:fldChar w:fldCharType="end"/>
      </w:r>
      <w:r w:rsidRPr="009A4F8C">
        <w:rPr>
          <w:rFonts w:ascii="黑体" w:eastAsia="黑体" w:hint="eastAsia"/>
        </w:rPr>
        <w:t>号决议的国家行动计划。</w:t>
      </w:r>
    </w:p>
    <w:p w14:paraId="7F66A74E" w14:textId="287E7775" w:rsidR="00B54AAB" w:rsidRPr="00B54AAB" w:rsidRDefault="00B54AAB" w:rsidP="00B54AAB">
      <w:pPr>
        <w:pStyle w:val="SingleTxt"/>
        <w:rPr>
          <w:rFonts w:ascii="黑体" w:eastAsia="黑体"/>
        </w:rPr>
      </w:pPr>
      <w:r w:rsidRPr="00B54AAB">
        <w:rPr>
          <w:rFonts w:ascii="黑体" w:eastAsia="黑体" w:hint="eastAsia"/>
        </w:rPr>
        <w:t>贩运和性剥削</w:t>
      </w:r>
    </w:p>
    <w:p w14:paraId="202D473C" w14:textId="77777777" w:rsidR="00B54AAB" w:rsidRDefault="00B54AAB" w:rsidP="00B54AAB">
      <w:pPr>
        <w:pStyle w:val="SingleTxt"/>
      </w:pPr>
      <w:r>
        <w:rPr>
          <w:rFonts w:hint="eastAsia"/>
        </w:rPr>
        <w:t>24.</w:t>
      </w:r>
      <w:r>
        <w:rPr>
          <w:rFonts w:hint="eastAsia"/>
        </w:rPr>
        <w:tab/>
      </w:r>
      <w:r>
        <w:rPr>
          <w:rFonts w:hint="eastAsia"/>
        </w:rPr>
        <w:t>委员会欢迎缔约国努力加强应对贩运的举措。委员会注意到劳工部为希望脱离卖淫的妇女提供替代创收机会的举措。然而，委员会感到关切的是，频繁发生为强迫劳动和性剥削目的贩运妇女和女童的事件，特别是贩运土著妇女、非洲裔妇女和农村妇女。委员会也关切地注意到：</w:t>
      </w:r>
    </w:p>
    <w:p w14:paraId="041291DB" w14:textId="5404C4B8" w:rsidR="00B54AAB" w:rsidRDefault="00B54AAB" w:rsidP="00B54AAB">
      <w:pPr>
        <w:pStyle w:val="SingleTxt"/>
      </w:pPr>
      <w:r>
        <w:tab/>
      </w:r>
      <w:r>
        <w:rPr>
          <w:rFonts w:hint="eastAsia"/>
        </w:rPr>
        <w:t>(a)</w:t>
      </w:r>
      <w:r>
        <w:tab/>
      </w:r>
      <w:r>
        <w:rPr>
          <w:rFonts w:hint="eastAsia"/>
        </w:rPr>
        <w:t>贩运妇女和女童的犯罪者很少受到起诉和判决，此外，报告的案例显示，在贩运和利用卖淫营利案件中，犯罪者与公职人员勾结，包括在儿童保护机构、医院等国营机构；</w:t>
      </w:r>
    </w:p>
    <w:p w14:paraId="577235DB" w14:textId="7EF0EEFA" w:rsidR="00B54AAB" w:rsidRDefault="00B54AAB" w:rsidP="00B54AAB">
      <w:pPr>
        <w:pStyle w:val="SingleTxt"/>
      </w:pPr>
      <w:r>
        <w:lastRenderedPageBreak/>
        <w:tab/>
      </w:r>
      <w:r>
        <w:rPr>
          <w:rFonts w:hint="eastAsia"/>
        </w:rPr>
        <w:t>(b)</w:t>
      </w:r>
      <w:r>
        <w:tab/>
      </w:r>
      <w:r>
        <w:rPr>
          <w:rFonts w:hint="eastAsia"/>
        </w:rPr>
        <w:t>在面向弱势儿童的国有寄宿机构“</w:t>
      </w:r>
      <w:proofErr w:type="spellStart"/>
      <w:r>
        <w:rPr>
          <w:rFonts w:hint="eastAsia"/>
        </w:rPr>
        <w:t>Hogar</w:t>
      </w:r>
      <w:proofErr w:type="spellEnd"/>
      <w:r>
        <w:rPr>
          <w:rFonts w:hint="eastAsia"/>
        </w:rPr>
        <w:t xml:space="preserve"> Seguro Virgen de la </w:t>
      </w:r>
      <w:proofErr w:type="spellStart"/>
      <w:r>
        <w:rPr>
          <w:rFonts w:hint="eastAsia"/>
        </w:rPr>
        <w:t>Asunci</w:t>
      </w:r>
      <w:proofErr w:type="spellEnd"/>
      <w:r>
        <w:rPr>
          <w:rFonts w:hint="eastAsia"/>
        </w:rPr>
        <w:t>ó</w:t>
      </w:r>
      <w:r>
        <w:rPr>
          <w:rFonts w:hint="eastAsia"/>
        </w:rPr>
        <w:t>n</w:t>
      </w:r>
      <w:r>
        <w:rPr>
          <w:rFonts w:hint="eastAsia"/>
        </w:rPr>
        <w:t>”，出现女童受到虐待和贩运的指控，据报当局参与共谋，在该机构，由于管理人员、工作人员和警卫的疏忽，</w:t>
      </w:r>
      <w:r>
        <w:rPr>
          <w:rFonts w:hint="eastAsia"/>
        </w:rPr>
        <w:t>41</w:t>
      </w:r>
      <w:r>
        <w:rPr>
          <w:rFonts w:hint="eastAsia"/>
        </w:rPr>
        <w:t>名女童在一次火灾中丧生，另有多人受伤；</w:t>
      </w:r>
    </w:p>
    <w:p w14:paraId="5388EE58" w14:textId="71C6F70F" w:rsidR="00B54AAB" w:rsidRDefault="00B54AAB" w:rsidP="00B54AAB">
      <w:pPr>
        <w:pStyle w:val="SingleTxt"/>
      </w:pPr>
      <w:r>
        <w:tab/>
      </w:r>
      <w:r>
        <w:rPr>
          <w:rFonts w:hint="eastAsia"/>
        </w:rPr>
        <w:t>(c)</w:t>
      </w:r>
      <w:r>
        <w:tab/>
      </w:r>
      <w:r>
        <w:rPr>
          <w:rFonts w:hint="eastAsia"/>
        </w:rPr>
        <w:t>境内流离失所妇女及其家人和被驱逐回缔约国的妇女容易受到以劳工或性剥削为目的的贩运；</w:t>
      </w:r>
    </w:p>
    <w:p w14:paraId="472C935D" w14:textId="771C4E6B" w:rsidR="00B54AAB" w:rsidRDefault="00B54AAB" w:rsidP="00B54AAB">
      <w:pPr>
        <w:pStyle w:val="SingleTxt"/>
      </w:pPr>
      <w:r>
        <w:tab/>
      </w:r>
      <w:r>
        <w:rPr>
          <w:rFonts w:hint="eastAsia"/>
        </w:rPr>
        <w:t>(d)</w:t>
      </w:r>
      <w:r>
        <w:tab/>
      </w:r>
      <w:r>
        <w:rPr>
          <w:rFonts w:hint="eastAsia"/>
        </w:rPr>
        <w:t>在缔约国，专门庇护所数量不足，特别是在农村地区；</w:t>
      </w:r>
    </w:p>
    <w:p w14:paraId="141EDC0E" w14:textId="16794766" w:rsidR="000658B1" w:rsidRDefault="00B54AAB" w:rsidP="00B54AAB">
      <w:pPr>
        <w:pStyle w:val="SingleTxt"/>
      </w:pPr>
      <w:r>
        <w:tab/>
      </w:r>
      <w:r>
        <w:rPr>
          <w:rFonts w:hint="eastAsia"/>
        </w:rPr>
        <w:t>(e)</w:t>
      </w:r>
      <w:r>
        <w:tab/>
      </w:r>
      <w:r>
        <w:rPr>
          <w:rFonts w:hint="eastAsia"/>
        </w:rPr>
        <w:t>缔约国及早查明贩运受害者并将其转至适当服务机构的能力不足。</w:t>
      </w:r>
    </w:p>
    <w:p w14:paraId="6495029C" w14:textId="77777777" w:rsidR="00500BFC" w:rsidRDefault="00500BFC" w:rsidP="00500BFC">
      <w:pPr>
        <w:pStyle w:val="SingleTxt"/>
      </w:pPr>
      <w:r>
        <w:rPr>
          <w:rFonts w:hint="eastAsia"/>
        </w:rPr>
        <w:t>25.</w:t>
      </w:r>
      <w:r>
        <w:rPr>
          <w:rFonts w:hint="eastAsia"/>
        </w:rPr>
        <w:tab/>
      </w:r>
      <w:r w:rsidRPr="007959E9">
        <w:rPr>
          <w:rFonts w:ascii="黑体" w:eastAsia="黑体" w:hint="eastAsia"/>
        </w:rPr>
        <w:t>委员会建议缔约国改革现有的儿童保护制度，以确保所有女童的尊严和身心福祉。委员会还建议缔约国为想摆脱性工作的妇女继续提供出路，包括其他创收机会。委员会还建议缔约国：</w:t>
      </w:r>
    </w:p>
    <w:p w14:paraId="53F1C99E" w14:textId="6A91A296" w:rsidR="00500BFC" w:rsidRPr="007959E9" w:rsidRDefault="00500BFC" w:rsidP="00500BFC">
      <w:pPr>
        <w:pStyle w:val="SingleTxt"/>
        <w:rPr>
          <w:rFonts w:ascii="黑体" w:eastAsia="黑体"/>
        </w:rPr>
      </w:pPr>
      <w:r>
        <w:tab/>
      </w:r>
      <w:r>
        <w:rPr>
          <w:rFonts w:hint="eastAsia"/>
        </w:rPr>
        <w:t>(a)</w:t>
      </w:r>
      <w:r>
        <w:tab/>
      </w:r>
      <w:r w:rsidRPr="007959E9">
        <w:rPr>
          <w:rFonts w:ascii="黑体" w:eastAsia="黑体" w:hint="eastAsia"/>
        </w:rPr>
        <w:t>建设司法机构和警察部门对以强迫劳动和性剥削为目的的贩运人口的案件进行对性别问题有敏感认识的调查，并起诉和适当惩处犯罪者；</w:t>
      </w:r>
    </w:p>
    <w:p w14:paraId="7DD09C92" w14:textId="6A32BE90" w:rsidR="00500BFC" w:rsidRPr="007959E9" w:rsidRDefault="00500BFC" w:rsidP="00500BFC">
      <w:pPr>
        <w:pStyle w:val="SingleTxt"/>
        <w:rPr>
          <w:rFonts w:ascii="黑体" w:eastAsia="黑体"/>
        </w:rPr>
      </w:pPr>
      <w:r>
        <w:tab/>
      </w:r>
      <w:r>
        <w:rPr>
          <w:rFonts w:hint="eastAsia"/>
        </w:rPr>
        <w:t>(b)</w:t>
      </w:r>
      <w:r>
        <w:tab/>
      </w:r>
      <w:r w:rsidRPr="007959E9">
        <w:rPr>
          <w:rFonts w:ascii="黑体" w:eastAsia="黑体" w:hint="eastAsia"/>
        </w:rPr>
        <w:t>着手迅速调查指称在</w:t>
      </w:r>
      <w:proofErr w:type="spellStart"/>
      <w:r>
        <w:rPr>
          <w:rFonts w:hint="eastAsia"/>
        </w:rPr>
        <w:t>Hogar</w:t>
      </w:r>
      <w:proofErr w:type="spellEnd"/>
      <w:r>
        <w:rPr>
          <w:rFonts w:hint="eastAsia"/>
        </w:rPr>
        <w:t xml:space="preserve"> Seguro Virgen de la </w:t>
      </w:r>
      <w:proofErr w:type="spellStart"/>
      <w:r>
        <w:rPr>
          <w:rFonts w:hint="eastAsia"/>
        </w:rPr>
        <w:t>Asunci</w:t>
      </w:r>
      <w:proofErr w:type="spellEnd"/>
      <w:r>
        <w:rPr>
          <w:rFonts w:hint="eastAsia"/>
        </w:rPr>
        <w:t>ó</w:t>
      </w:r>
      <w:r>
        <w:rPr>
          <w:rFonts w:hint="eastAsia"/>
        </w:rPr>
        <w:t xml:space="preserve">n </w:t>
      </w:r>
      <w:r w:rsidRPr="007959E9">
        <w:rPr>
          <w:rFonts w:ascii="黑体" w:eastAsia="黑体" w:hint="eastAsia"/>
        </w:rPr>
        <w:t>收容院发生的虐待和贩运，并将那些对女童死亡和受伤事件负责者绳之以法，使犯罪者应受到应有惩罚，确保这类事件不再重演；</w:t>
      </w:r>
    </w:p>
    <w:p w14:paraId="471375A4" w14:textId="7F07C9DE" w:rsidR="00500BFC" w:rsidRPr="007959E9" w:rsidRDefault="00500BFC" w:rsidP="00500BFC">
      <w:pPr>
        <w:pStyle w:val="SingleTxt"/>
        <w:rPr>
          <w:rFonts w:ascii="黑体" w:eastAsia="黑体"/>
        </w:rPr>
      </w:pPr>
      <w:r>
        <w:tab/>
      </w:r>
      <w:r>
        <w:rPr>
          <w:rFonts w:hint="eastAsia"/>
        </w:rPr>
        <w:t>(c)</w:t>
      </w:r>
      <w:r>
        <w:tab/>
      </w:r>
      <w:r w:rsidRPr="007959E9">
        <w:rPr>
          <w:rFonts w:ascii="黑体" w:eastAsia="黑体" w:hint="eastAsia"/>
        </w:rPr>
        <w:t>承认并采取措施救助需要特别关注的弱势群体，包括移徙妇女、境内流离失所妇女及其家人和被驱逐到缔约国的妇女，提高执法人员及早发现、迅速识别贩运受害者并协助将她们转交适当服务部门的能力；</w:t>
      </w:r>
    </w:p>
    <w:p w14:paraId="5094DDEF" w14:textId="0523D3F1" w:rsidR="00500BFC" w:rsidRPr="007959E9" w:rsidRDefault="00500BFC" w:rsidP="00500BFC">
      <w:pPr>
        <w:pStyle w:val="SingleTxt"/>
        <w:rPr>
          <w:rFonts w:ascii="黑体" w:eastAsia="黑体"/>
        </w:rPr>
      </w:pPr>
      <w:r>
        <w:tab/>
      </w:r>
      <w:r>
        <w:rPr>
          <w:rFonts w:hint="eastAsia"/>
        </w:rPr>
        <w:t>(d)</w:t>
      </w:r>
      <w:r>
        <w:tab/>
      </w:r>
      <w:r w:rsidRPr="007959E9">
        <w:rPr>
          <w:rFonts w:ascii="黑体" w:eastAsia="黑体" w:hint="eastAsia"/>
        </w:rPr>
        <w:t>确保成为贩运受害者的妇女和女童得到保护，并为她们提供免费和立即进入专门的庇护所、医疗保健、社会心理咨询、法律援助、康复和重新融入社会的服务部门的途径；</w:t>
      </w:r>
    </w:p>
    <w:p w14:paraId="7A12ECFE" w14:textId="21A8DB6B" w:rsidR="00500BFC" w:rsidRPr="007959E9" w:rsidRDefault="00500BFC" w:rsidP="00500BFC">
      <w:pPr>
        <w:pStyle w:val="SingleTxt"/>
        <w:rPr>
          <w:rFonts w:ascii="黑体" w:eastAsia="黑体"/>
        </w:rPr>
      </w:pPr>
      <w:r>
        <w:tab/>
      </w:r>
      <w:r>
        <w:rPr>
          <w:rFonts w:hint="eastAsia"/>
        </w:rPr>
        <w:t>(e)</w:t>
      </w:r>
      <w:r>
        <w:tab/>
      </w:r>
      <w:r w:rsidRPr="007959E9">
        <w:rPr>
          <w:rFonts w:ascii="黑体" w:eastAsia="黑体" w:hint="eastAsia"/>
        </w:rPr>
        <w:t>加强与过境国和目的地国的区域合作，以通过情报交流防止贩运活动，并加强劳动监察员、警察和边境官员的能力和资源，以查明强迫劳动、贩运活动及侵害妇女和女童的相关罪行。</w:t>
      </w:r>
    </w:p>
    <w:p w14:paraId="431ABDF1" w14:textId="66C592DF" w:rsidR="00500BFC" w:rsidRPr="00500BFC" w:rsidRDefault="00500BFC" w:rsidP="00500BFC">
      <w:pPr>
        <w:pStyle w:val="SingleTxt"/>
        <w:rPr>
          <w:rFonts w:ascii="黑体" w:eastAsia="黑体"/>
        </w:rPr>
      </w:pPr>
      <w:r w:rsidRPr="00500BFC">
        <w:rPr>
          <w:rFonts w:ascii="黑体" w:eastAsia="黑体" w:hint="eastAsia"/>
        </w:rPr>
        <w:t>参与政治和公共生活</w:t>
      </w:r>
    </w:p>
    <w:p w14:paraId="73F58F27" w14:textId="63555211" w:rsidR="00500BFC" w:rsidRDefault="00500BFC" w:rsidP="00500BFC">
      <w:pPr>
        <w:pStyle w:val="SingleTxt"/>
      </w:pPr>
      <w:r>
        <w:rPr>
          <w:rFonts w:hint="eastAsia"/>
        </w:rPr>
        <w:t>26.</w:t>
      </w:r>
      <w:r>
        <w:tab/>
      </w:r>
      <w:r>
        <w:rPr>
          <w:rFonts w:hint="eastAsia"/>
        </w:rPr>
        <w:t>委员会感到关切的是，尽管宪法法院作出了两项有利的决定，性别平等、政党内提名候选人方面男女均等和轮流原则没有包括在《选举和政党法》的最近修正案中，并且竞选公职的妇女、包括土著妇女和非洲裔妇女继续面临障碍。委员会还感到关切的是，妇女在选举和任命的决策职位任职的人数仍然较低；妇女只担任两个部长职位，并仅占外交事务特派团团长的</w:t>
      </w:r>
      <w:r>
        <w:rPr>
          <w:rFonts w:hint="eastAsia"/>
        </w:rPr>
        <w:t>27%</w:t>
      </w:r>
      <w:r>
        <w:rPr>
          <w:rFonts w:hint="eastAsia"/>
        </w:rPr>
        <w:t>，议员的</w:t>
      </w:r>
      <w:r>
        <w:rPr>
          <w:rFonts w:hint="eastAsia"/>
        </w:rPr>
        <w:t>16%</w:t>
      </w:r>
      <w:r>
        <w:rPr>
          <w:rFonts w:hint="eastAsia"/>
        </w:rPr>
        <w:t>，市长的不到</w:t>
      </w:r>
      <w:r>
        <w:rPr>
          <w:rFonts w:hint="eastAsia"/>
        </w:rPr>
        <w:t>3%</w:t>
      </w:r>
      <w:r>
        <w:rPr>
          <w:rFonts w:hint="eastAsia"/>
        </w:rPr>
        <w:t>。</w:t>
      </w:r>
    </w:p>
    <w:p w14:paraId="2E81CBBF" w14:textId="57263B24" w:rsidR="00500BFC" w:rsidRPr="007959E9" w:rsidRDefault="00500BFC" w:rsidP="00500BFC">
      <w:pPr>
        <w:pStyle w:val="SingleTxt"/>
        <w:rPr>
          <w:rFonts w:ascii="黑体" w:eastAsia="黑体"/>
        </w:rPr>
      </w:pPr>
      <w:r>
        <w:rPr>
          <w:rFonts w:hint="eastAsia"/>
        </w:rPr>
        <w:t>27.</w:t>
      </w:r>
      <w:r>
        <w:rPr>
          <w:rFonts w:hint="eastAsia"/>
        </w:rPr>
        <w:tab/>
      </w:r>
      <w:r w:rsidRPr="007959E9">
        <w:rPr>
          <w:rFonts w:ascii="黑体" w:eastAsia="黑体" w:hint="eastAsia"/>
        </w:rPr>
        <w:t>委员会重申其委员会先前的结论性意见(</w:t>
      </w:r>
      <w:hyperlink r:id="rId21" w:history="1">
        <w:r w:rsidRPr="00BD041A">
          <w:rPr>
            <w:rStyle w:val="ad"/>
            <w:rFonts w:ascii="黑体" w:eastAsia="黑体" w:hint="eastAsia"/>
          </w:rPr>
          <w:t>CEDAW/C/GUA/CO/7</w:t>
        </w:r>
      </w:hyperlink>
      <w:r w:rsidRPr="007959E9">
        <w:rPr>
          <w:rFonts w:ascii="黑体" w:eastAsia="黑体" w:hint="eastAsia"/>
        </w:rPr>
        <w:t>)第26段中所载建议，并建议缔约国：</w:t>
      </w:r>
    </w:p>
    <w:p w14:paraId="6B236EEA" w14:textId="5EDE255B" w:rsidR="00500BFC" w:rsidRDefault="00500BFC" w:rsidP="00500BFC">
      <w:pPr>
        <w:pStyle w:val="SingleTxt"/>
      </w:pPr>
      <w:r>
        <w:tab/>
      </w:r>
      <w:r>
        <w:rPr>
          <w:rFonts w:hint="eastAsia"/>
        </w:rPr>
        <w:t>(a)</w:t>
      </w:r>
      <w:r>
        <w:tab/>
      </w:r>
      <w:r w:rsidRPr="007959E9">
        <w:rPr>
          <w:rFonts w:ascii="黑体" w:eastAsia="黑体" w:hint="eastAsia"/>
        </w:rPr>
        <w:t>根据《公约》第4条第(1)款、第7条和第8条和委员会关于妇女参与政治和公共生活的第23(1997)号一般性建议和关于采取暂行特别措施的第</w:t>
      </w:r>
      <w:r w:rsidRPr="007959E9">
        <w:rPr>
          <w:rFonts w:ascii="黑体" w:eastAsia="黑体" w:hint="eastAsia"/>
        </w:rPr>
        <w:lastRenderedPageBreak/>
        <w:t>25(2004)号一般性建议，采取持久措施，包括暂行特别措施，如修正《选举和政党法》，对妇女担任选举和任命的决策职位实行法定配额，在政党内提名候选人方面执行男女轮流政策，并向选举名单上同级职位男女数量相等的政党提供财政奖励，以加快妇女在政治和公共生活的所有领域任职，包括在选举产生的机构和各级政府和国际级别职位任职；</w:t>
      </w:r>
    </w:p>
    <w:p w14:paraId="4962FD78" w14:textId="4C354027" w:rsidR="00500BFC" w:rsidRDefault="00500BFC" w:rsidP="00500BFC">
      <w:pPr>
        <w:pStyle w:val="SingleTxt"/>
      </w:pPr>
      <w:r>
        <w:tab/>
      </w:r>
      <w:r>
        <w:rPr>
          <w:rFonts w:hint="eastAsia"/>
        </w:rPr>
        <w:t>(b)</w:t>
      </w:r>
      <w:r>
        <w:tab/>
      </w:r>
      <w:r w:rsidRPr="007959E9">
        <w:rPr>
          <w:rFonts w:ascii="黑体" w:eastAsia="黑体" w:hint="eastAsia"/>
        </w:rPr>
        <w:t>增加对希望参与政治生活或担任公职的妇女、包括土著妇女和非洲裔妇女的培训和能力建设方案；</w:t>
      </w:r>
    </w:p>
    <w:p w14:paraId="75A2C52C" w14:textId="6EE082C1" w:rsidR="00500BFC" w:rsidRDefault="00500BFC" w:rsidP="00500BFC">
      <w:pPr>
        <w:pStyle w:val="SingleTxt"/>
      </w:pPr>
      <w:r>
        <w:tab/>
      </w:r>
      <w:r>
        <w:rPr>
          <w:rFonts w:hint="eastAsia"/>
        </w:rPr>
        <w:t>(c)</w:t>
      </w:r>
      <w:r>
        <w:tab/>
      </w:r>
      <w:r w:rsidRPr="007959E9">
        <w:rPr>
          <w:rFonts w:ascii="黑体" w:eastAsia="黑体" w:hint="eastAsia"/>
          <w:spacing w:val="2"/>
        </w:rPr>
        <w:t>加强媒体能力，不要继续维持有关妇女在公共和政治生活中的定型观念，确保男女候选人和选举产生代表获得平等的报道，特别是在选举期间；</w:t>
      </w:r>
    </w:p>
    <w:p w14:paraId="00732E5C" w14:textId="03D38D0C" w:rsidR="00500BFC" w:rsidRDefault="00500BFC" w:rsidP="00500BFC">
      <w:pPr>
        <w:pStyle w:val="SingleTxt"/>
      </w:pPr>
      <w:r>
        <w:tab/>
      </w:r>
      <w:r>
        <w:rPr>
          <w:rFonts w:hint="eastAsia"/>
        </w:rPr>
        <w:t>(d)</w:t>
      </w:r>
      <w:r>
        <w:tab/>
      </w:r>
      <w:r w:rsidRPr="007959E9">
        <w:rPr>
          <w:rFonts w:ascii="黑体" w:eastAsia="黑体" w:hint="eastAsia"/>
        </w:rPr>
        <w:t>提高政治家、媒体、传统领袖和公众的认识，即妇女与男子在平等基础上充分、平等、自由和民主地参与政治和公共生活是有效执行《公约》、实现该国政治稳定和经济发展的一项必要条件。</w:t>
      </w:r>
    </w:p>
    <w:p w14:paraId="5DC63F2F" w14:textId="57E55308" w:rsidR="00500BFC" w:rsidRPr="00500BFC" w:rsidRDefault="00500BFC" w:rsidP="00500BFC">
      <w:pPr>
        <w:pStyle w:val="SingleTxt"/>
        <w:rPr>
          <w:rFonts w:ascii="黑体" w:eastAsia="黑体"/>
        </w:rPr>
      </w:pPr>
      <w:r w:rsidRPr="00500BFC">
        <w:rPr>
          <w:rFonts w:ascii="黑体" w:eastAsia="黑体" w:hint="eastAsia"/>
        </w:rPr>
        <w:t>妇女人权维护者</w:t>
      </w:r>
    </w:p>
    <w:p w14:paraId="1972DE05" w14:textId="023845F9" w:rsidR="00500BFC" w:rsidRDefault="00500BFC" w:rsidP="00500BFC">
      <w:pPr>
        <w:pStyle w:val="SingleTxt"/>
      </w:pPr>
      <w:r>
        <w:rPr>
          <w:rFonts w:hint="eastAsia"/>
        </w:rPr>
        <w:t>28.</w:t>
      </w:r>
      <w:r>
        <w:tab/>
      </w:r>
      <w:r>
        <w:rPr>
          <w:rFonts w:hint="eastAsia"/>
        </w:rPr>
        <w:t>委员会注意到缔约国提供的关于正在拟订保护人权维护者的公共政策的资料。委员会关切地注意到，缔约国的妇女人权维护者，包括保护土地权和环境资源的土著妇女、支持防止性别暴力的妇女和捍卫女同性恋者、双性恋和变性妇女和双性人人权的妇女，正在越来越多地受到攻击、性暴力、恫吓、污名化、对其活动的刑事定罪、非法拘留和诽谤活动的侵害。委员会还感到关切的是，通过对妇女活动家使用基于性别的暴力，包括性暴力侵害，压制社会抗议。委员会关切地注意到对性别暴力犯罪者和其他侵害妇女人权维护者的侵权行为有罪不罚的整体现象以及执法官员和犯罪者据称相互勾结的情况。</w:t>
      </w:r>
    </w:p>
    <w:p w14:paraId="66BC32FE" w14:textId="77777777" w:rsidR="00500BFC" w:rsidRPr="007959E9" w:rsidRDefault="00500BFC" w:rsidP="00500BFC">
      <w:pPr>
        <w:pStyle w:val="SingleTxt"/>
        <w:rPr>
          <w:rFonts w:ascii="黑体" w:eastAsia="黑体"/>
        </w:rPr>
      </w:pPr>
      <w:r>
        <w:rPr>
          <w:rFonts w:hint="eastAsia"/>
        </w:rPr>
        <w:t>29.</w:t>
      </w:r>
      <w:r>
        <w:rPr>
          <w:rFonts w:hint="eastAsia"/>
        </w:rPr>
        <w:tab/>
      </w:r>
      <w:r w:rsidRPr="007959E9">
        <w:rPr>
          <w:rFonts w:ascii="黑体" w:eastAsia="黑体" w:hint="eastAsia"/>
        </w:rPr>
        <w:t>委员会建议缔约国：</w:t>
      </w:r>
    </w:p>
    <w:p w14:paraId="5CFD178F" w14:textId="767E3D3D" w:rsidR="00500BFC" w:rsidRDefault="00500BFC" w:rsidP="00500BFC">
      <w:pPr>
        <w:pStyle w:val="SingleTxt"/>
      </w:pPr>
      <w:r>
        <w:tab/>
      </w:r>
      <w:r>
        <w:rPr>
          <w:rFonts w:hint="eastAsia"/>
        </w:rPr>
        <w:t>(a)</w:t>
      </w:r>
      <w:r>
        <w:tab/>
      </w:r>
      <w:r w:rsidRPr="007959E9">
        <w:rPr>
          <w:rFonts w:ascii="黑体" w:eastAsia="黑体" w:hint="eastAsia"/>
        </w:rPr>
        <w:t>确保保护妇女人权维护者免受暴力侵害和恐吓，包括为此采纳和实施保护人权维护者的公共政策以及检察官办公室关于调查侵害人权维护者权利情况的议定书；</w:t>
      </w:r>
    </w:p>
    <w:p w14:paraId="747DA841" w14:textId="0BF10572" w:rsidR="00500BFC" w:rsidRPr="007959E9" w:rsidRDefault="00500BFC" w:rsidP="00500BFC">
      <w:pPr>
        <w:pStyle w:val="SingleTxt"/>
        <w:rPr>
          <w:rFonts w:ascii="黑体" w:eastAsia="黑体"/>
        </w:rPr>
      </w:pPr>
      <w:r>
        <w:tab/>
      </w:r>
      <w:r>
        <w:rPr>
          <w:rFonts w:hint="eastAsia"/>
        </w:rPr>
        <w:t>(b)</w:t>
      </w:r>
      <w:r>
        <w:tab/>
      </w:r>
      <w:r w:rsidRPr="007959E9">
        <w:rPr>
          <w:rFonts w:ascii="黑体" w:eastAsia="黑体" w:hint="eastAsia"/>
        </w:rPr>
        <w:t>确保迅速调查、起诉和惩处所有虐待妇女人权维护者的行为，同时考虑到妇女面临的具体风险；</w:t>
      </w:r>
    </w:p>
    <w:p w14:paraId="13ACC79E" w14:textId="2DB6A17D" w:rsidR="00500BFC" w:rsidRPr="007959E9" w:rsidRDefault="00500BFC" w:rsidP="00500BFC">
      <w:pPr>
        <w:pStyle w:val="SingleTxt"/>
        <w:rPr>
          <w:rFonts w:ascii="黑体" w:eastAsia="黑体"/>
        </w:rPr>
      </w:pPr>
      <w:r>
        <w:tab/>
      </w:r>
      <w:r>
        <w:rPr>
          <w:rFonts w:hint="eastAsia"/>
        </w:rPr>
        <w:t>(c)</w:t>
      </w:r>
      <w:r>
        <w:tab/>
      </w:r>
      <w:r w:rsidRPr="007959E9">
        <w:rPr>
          <w:rFonts w:ascii="黑体" w:eastAsia="黑体" w:hint="eastAsia"/>
        </w:rPr>
        <w:t>保证妇女人权维护者和活动家能够自由地开展保护妇女人权的工作，并行使自己的和平集会和结社自由的权利。</w:t>
      </w:r>
    </w:p>
    <w:p w14:paraId="6672B191" w14:textId="77777777" w:rsidR="00500BFC" w:rsidRPr="00500BFC" w:rsidRDefault="00500BFC" w:rsidP="00500BFC">
      <w:pPr>
        <w:pStyle w:val="SingleTxt"/>
        <w:rPr>
          <w:rFonts w:ascii="黑体" w:eastAsia="黑体"/>
        </w:rPr>
      </w:pPr>
      <w:r w:rsidRPr="00500BFC">
        <w:rPr>
          <w:rFonts w:ascii="黑体" w:eastAsia="黑体" w:hint="eastAsia"/>
        </w:rPr>
        <w:t>国籍</w:t>
      </w:r>
    </w:p>
    <w:p w14:paraId="5912F838" w14:textId="77777777" w:rsidR="00500BFC" w:rsidRDefault="00500BFC" w:rsidP="00500BFC">
      <w:pPr>
        <w:pStyle w:val="SingleTxt"/>
      </w:pPr>
      <w:r>
        <w:rPr>
          <w:rFonts w:hint="eastAsia"/>
        </w:rPr>
        <w:t>30.</w:t>
      </w:r>
      <w:r>
        <w:rPr>
          <w:rFonts w:hint="eastAsia"/>
        </w:rPr>
        <w:tab/>
      </w:r>
      <w:r>
        <w:rPr>
          <w:rFonts w:hint="eastAsia"/>
        </w:rPr>
        <w:t>委员会感到关切的是，缔约国没有实现普遍出生登记。</w:t>
      </w:r>
    </w:p>
    <w:p w14:paraId="47C94F70" w14:textId="42C28D71" w:rsidR="00500BFC" w:rsidRDefault="00500BFC" w:rsidP="00500BFC">
      <w:pPr>
        <w:pStyle w:val="SingleTxt"/>
        <w:rPr>
          <w:rFonts w:ascii="黑体" w:eastAsia="黑体"/>
        </w:rPr>
      </w:pPr>
      <w:r>
        <w:rPr>
          <w:rFonts w:hint="eastAsia"/>
        </w:rPr>
        <w:t>31.</w:t>
      </w:r>
      <w:r>
        <w:rPr>
          <w:rFonts w:hint="eastAsia"/>
        </w:rPr>
        <w:tab/>
      </w:r>
      <w:r w:rsidRPr="007959E9">
        <w:rPr>
          <w:rFonts w:ascii="黑体" w:eastAsia="黑体" w:hint="eastAsia"/>
        </w:rPr>
        <w:t>委员会建议缔约国继续努力，实现民事登记办事处的现代化和权力下放，提高其在农村地区和在土著语言占主导地位的地区提供服务的能力。</w:t>
      </w:r>
    </w:p>
    <w:p w14:paraId="3CB90A49" w14:textId="2ABE91FB" w:rsidR="007959E9" w:rsidRDefault="007959E9" w:rsidP="00500BFC">
      <w:pPr>
        <w:pStyle w:val="SingleTxt"/>
        <w:rPr>
          <w:rFonts w:ascii="黑体" w:eastAsia="黑体"/>
        </w:rPr>
      </w:pPr>
    </w:p>
    <w:p w14:paraId="6BF31C3A" w14:textId="77777777" w:rsidR="007959E9" w:rsidRPr="007959E9" w:rsidRDefault="007959E9" w:rsidP="00500BFC">
      <w:pPr>
        <w:pStyle w:val="SingleTxt"/>
        <w:rPr>
          <w:rFonts w:ascii="黑体" w:eastAsia="黑体"/>
        </w:rPr>
      </w:pPr>
    </w:p>
    <w:p w14:paraId="10F96663" w14:textId="77777777" w:rsidR="00500BFC" w:rsidRPr="00500BFC" w:rsidRDefault="00500BFC" w:rsidP="00500BFC">
      <w:pPr>
        <w:pStyle w:val="SingleTxt"/>
        <w:rPr>
          <w:rFonts w:ascii="黑体" w:eastAsia="黑体"/>
        </w:rPr>
      </w:pPr>
      <w:r w:rsidRPr="00500BFC">
        <w:rPr>
          <w:rFonts w:ascii="黑体" w:eastAsia="黑体" w:hint="eastAsia"/>
        </w:rPr>
        <w:lastRenderedPageBreak/>
        <w:t>教育</w:t>
      </w:r>
    </w:p>
    <w:p w14:paraId="4AD9B09E" w14:textId="508D3485" w:rsidR="00500BFC" w:rsidRDefault="00500BFC" w:rsidP="00500BFC">
      <w:pPr>
        <w:pStyle w:val="SingleTxt"/>
      </w:pPr>
      <w:r>
        <w:rPr>
          <w:rFonts w:hint="eastAsia"/>
        </w:rPr>
        <w:t>32.</w:t>
      </w:r>
      <w:r>
        <w:tab/>
      </w:r>
      <w:r>
        <w:rPr>
          <w:rFonts w:hint="eastAsia"/>
        </w:rPr>
        <w:t>委员会赞赏地注意到，缔约国努力建立一个双语教育制度，并向女童和男童提供在文化上适当的教育。然而，委员会仍然关切的是，在女童和妇女、特别是土著女童和妇女中不识字情况大量存在，算术水平很差。委员会感到关切的是，女童在教育系统中入学率过低，并且辍学率过高，原因多种多样，包括贫困、在前往学校途中和在学校遭到暴力和骚扰、早孕、需要履行家庭和照护义务和被招募成为家庭佣工。委员会还感到关切的是，土著和农村女童和妇女接受中学教育的机会有限，进行双语和跨文化教育并使土著社区可以广泛接受此种教育的资源不足。委员会关切地注意到，迟迟未通过有关与年龄相适应的性健康和生殖健康教育及权利的公共政策，并且没有执行全面的性教育方案。</w:t>
      </w:r>
    </w:p>
    <w:p w14:paraId="1C597046" w14:textId="77777777" w:rsidR="00500BFC" w:rsidRPr="007959E9" w:rsidRDefault="00500BFC" w:rsidP="00500BFC">
      <w:pPr>
        <w:pStyle w:val="SingleTxt"/>
        <w:rPr>
          <w:rFonts w:ascii="黑体" w:eastAsia="黑体"/>
        </w:rPr>
      </w:pPr>
      <w:r>
        <w:rPr>
          <w:rFonts w:hint="eastAsia"/>
        </w:rPr>
        <w:t>33.</w:t>
      </w:r>
      <w:r>
        <w:rPr>
          <w:rFonts w:hint="eastAsia"/>
        </w:rPr>
        <w:tab/>
      </w:r>
      <w:r w:rsidRPr="007959E9">
        <w:rPr>
          <w:rFonts w:ascii="黑体" w:eastAsia="黑体" w:hint="eastAsia"/>
        </w:rPr>
        <w:t>委员会建议缔约国通过教育部加紧努力，增加女童入学和将女童留在学校，特别是中学阶段，并特别关注土著女童。委员会还建议缔约国：</w:t>
      </w:r>
    </w:p>
    <w:p w14:paraId="2E34DCDC" w14:textId="0E2B022C" w:rsidR="00500BFC" w:rsidRPr="00474F12" w:rsidRDefault="00500BFC" w:rsidP="00500BFC">
      <w:pPr>
        <w:pStyle w:val="SingleTxt"/>
        <w:rPr>
          <w:rFonts w:ascii="黑体" w:eastAsia="黑体"/>
          <w:spacing w:val="-4"/>
        </w:rPr>
      </w:pPr>
      <w:r>
        <w:tab/>
      </w:r>
      <w:r>
        <w:rPr>
          <w:rFonts w:hint="eastAsia"/>
        </w:rPr>
        <w:t>(a)</w:t>
      </w:r>
      <w:r>
        <w:tab/>
      </w:r>
      <w:r w:rsidRPr="00474F12">
        <w:rPr>
          <w:rFonts w:ascii="黑体" w:eastAsia="黑体" w:hint="eastAsia"/>
          <w:spacing w:val="-4"/>
        </w:rPr>
        <w:t>采纳和实施各项具有针对性的措施，包括暂行特别措施，以加快女童和妇女</w:t>
      </w:r>
      <w:r w:rsidR="007959E9" w:rsidRPr="00474F12">
        <w:rPr>
          <w:rFonts w:ascii="黑体" w:eastAsia="黑体" w:hint="eastAsia"/>
          <w:spacing w:val="-4"/>
        </w:rPr>
        <w:t>(</w:t>
      </w:r>
      <w:r w:rsidRPr="00474F12">
        <w:rPr>
          <w:rFonts w:ascii="黑体" w:eastAsia="黑体" w:hint="eastAsia"/>
          <w:spacing w:val="-4"/>
        </w:rPr>
        <w:t>包括土著儿童、非裔女童和残疾女童</w:t>
      </w:r>
      <w:r w:rsidR="007959E9" w:rsidRPr="00474F12">
        <w:rPr>
          <w:rFonts w:ascii="黑体" w:eastAsia="黑体" w:hint="eastAsia"/>
          <w:spacing w:val="-4"/>
        </w:rPr>
        <w:t>)</w:t>
      </w:r>
      <w:r w:rsidRPr="00474F12">
        <w:rPr>
          <w:rFonts w:ascii="黑体" w:eastAsia="黑体" w:hint="eastAsia"/>
          <w:spacing w:val="-4"/>
        </w:rPr>
        <w:t>在强制教育阶段平等获得免费高质教育；</w:t>
      </w:r>
    </w:p>
    <w:p w14:paraId="3D09BCF0" w14:textId="0AAA0A7F" w:rsidR="00500BFC" w:rsidRPr="007959E9" w:rsidRDefault="00500BFC" w:rsidP="00500BFC">
      <w:pPr>
        <w:pStyle w:val="SingleTxt"/>
        <w:rPr>
          <w:rFonts w:ascii="黑体" w:eastAsia="黑体"/>
        </w:rPr>
      </w:pPr>
      <w:r>
        <w:tab/>
      </w:r>
      <w:r>
        <w:rPr>
          <w:rFonts w:hint="eastAsia"/>
        </w:rPr>
        <w:t>(b)</w:t>
      </w:r>
      <w:r>
        <w:tab/>
      </w:r>
      <w:r w:rsidRPr="007959E9">
        <w:rPr>
          <w:rFonts w:ascii="黑体" w:eastAsia="黑体" w:hint="eastAsia"/>
        </w:rPr>
        <w:t>加强努力，包括通过提供奖学金和免费校餐，帮助女童留在学校，并确保年轻母亲能够在分娩后返回学校和完成学业；</w:t>
      </w:r>
    </w:p>
    <w:p w14:paraId="39A214EF" w14:textId="721729EC" w:rsidR="00500BFC" w:rsidRPr="007959E9" w:rsidRDefault="00500BFC" w:rsidP="00500BFC">
      <w:pPr>
        <w:pStyle w:val="SingleTxt"/>
        <w:rPr>
          <w:rFonts w:ascii="黑体" w:eastAsia="黑体"/>
        </w:rPr>
      </w:pPr>
      <w:r>
        <w:tab/>
      </w:r>
      <w:r>
        <w:rPr>
          <w:rFonts w:hint="eastAsia"/>
        </w:rPr>
        <w:t>(c)</w:t>
      </w:r>
      <w:r>
        <w:tab/>
      </w:r>
      <w:r w:rsidRPr="007959E9">
        <w:rPr>
          <w:rFonts w:ascii="黑体" w:eastAsia="黑体" w:hint="eastAsia"/>
        </w:rPr>
        <w:t>加强农村和偏远地区学校基础设施，以促进女童得到高质教育，并提高远程教育的质量；</w:t>
      </w:r>
    </w:p>
    <w:p w14:paraId="1A09F52F" w14:textId="35A7988B" w:rsidR="00500BFC" w:rsidRPr="007959E9" w:rsidRDefault="00500BFC" w:rsidP="00500BFC">
      <w:pPr>
        <w:pStyle w:val="SingleTxt"/>
        <w:rPr>
          <w:rFonts w:ascii="黑体" w:eastAsia="黑体"/>
        </w:rPr>
      </w:pPr>
      <w:r>
        <w:tab/>
      </w:r>
      <w:r>
        <w:rPr>
          <w:rFonts w:hint="eastAsia"/>
        </w:rPr>
        <w:t>(d)</w:t>
      </w:r>
      <w:r>
        <w:tab/>
      </w:r>
      <w:r w:rsidRPr="007959E9">
        <w:rPr>
          <w:rFonts w:ascii="黑体" w:eastAsia="黑体" w:hint="eastAsia"/>
        </w:rPr>
        <w:t>建立有效报告和问责机制，对女童在学校环境中受到性虐待和性骚扰的情况进行调查和起诉。</w:t>
      </w:r>
    </w:p>
    <w:p w14:paraId="0B0FD62F" w14:textId="73EB843A" w:rsidR="00500BFC" w:rsidRPr="007959E9" w:rsidRDefault="00500BFC" w:rsidP="00500BFC">
      <w:pPr>
        <w:pStyle w:val="SingleTxt"/>
        <w:rPr>
          <w:rFonts w:ascii="黑体" w:eastAsia="黑体"/>
        </w:rPr>
      </w:pPr>
      <w:r>
        <w:tab/>
      </w:r>
      <w:r>
        <w:rPr>
          <w:rFonts w:hint="eastAsia"/>
        </w:rPr>
        <w:t>(e)</w:t>
      </w:r>
      <w:r>
        <w:tab/>
      </w:r>
      <w:r w:rsidRPr="007959E9">
        <w:rPr>
          <w:rFonts w:ascii="黑体" w:eastAsia="黑体" w:hint="eastAsia"/>
        </w:rPr>
        <w:t>加强教师向土著社区和农村社区提供双语和跨文化教育的能力；</w:t>
      </w:r>
    </w:p>
    <w:p w14:paraId="79986ED6" w14:textId="505C772D" w:rsidR="00500BFC" w:rsidRPr="007959E9" w:rsidRDefault="00500BFC" w:rsidP="00500BFC">
      <w:pPr>
        <w:pStyle w:val="SingleTxt"/>
        <w:rPr>
          <w:rFonts w:ascii="黑体" w:eastAsia="黑体"/>
        </w:rPr>
      </w:pPr>
      <w:r>
        <w:tab/>
      </w:r>
      <w:r>
        <w:rPr>
          <w:rFonts w:hint="eastAsia"/>
        </w:rPr>
        <w:t>(f)</w:t>
      </w:r>
      <w:r>
        <w:tab/>
      </w:r>
      <w:r w:rsidRPr="007959E9">
        <w:rPr>
          <w:rFonts w:ascii="黑体" w:eastAsia="黑体" w:hint="eastAsia"/>
        </w:rPr>
        <w:t>在女童和男童所有各级教育中纳入有关全面性教育的适龄课程，内容包括性健康和生殖健康及权利、负责任的性行为以及预防早孕和性传播感染，并培训教师以提供这些课程；</w:t>
      </w:r>
    </w:p>
    <w:p w14:paraId="67E0F68F" w14:textId="53BE74D6" w:rsidR="00500BFC" w:rsidRPr="007959E9" w:rsidRDefault="00500BFC" w:rsidP="00500BFC">
      <w:pPr>
        <w:pStyle w:val="SingleTxt"/>
        <w:rPr>
          <w:rFonts w:ascii="黑体" w:eastAsia="黑体"/>
        </w:rPr>
      </w:pPr>
      <w:r>
        <w:tab/>
      </w:r>
      <w:r>
        <w:rPr>
          <w:rFonts w:hint="eastAsia"/>
        </w:rPr>
        <w:t>(g)</w:t>
      </w:r>
      <w:r>
        <w:tab/>
      </w:r>
      <w:r w:rsidRPr="007959E9">
        <w:rPr>
          <w:rFonts w:ascii="黑体" w:eastAsia="黑体" w:hint="eastAsia"/>
        </w:rPr>
        <w:t>除其他外，加强与民间社会组织、私营部门和媒体的合作和伙伴关系，确保向妇女和女童提供高质量的教育。</w:t>
      </w:r>
    </w:p>
    <w:p w14:paraId="3C5FBEAA" w14:textId="20ED9446" w:rsidR="00500BFC" w:rsidRPr="00500BFC" w:rsidRDefault="00500BFC" w:rsidP="00500BFC">
      <w:pPr>
        <w:pStyle w:val="SingleTxt"/>
        <w:rPr>
          <w:rFonts w:ascii="黑体" w:eastAsia="黑体"/>
        </w:rPr>
      </w:pPr>
      <w:r w:rsidRPr="00500BFC">
        <w:rPr>
          <w:rFonts w:ascii="黑体" w:eastAsia="黑体" w:hint="eastAsia"/>
        </w:rPr>
        <w:t>就业</w:t>
      </w:r>
    </w:p>
    <w:p w14:paraId="40225D1E" w14:textId="77777777" w:rsidR="00500BFC" w:rsidRDefault="00500BFC" w:rsidP="00500BFC">
      <w:pPr>
        <w:pStyle w:val="SingleTxt"/>
      </w:pPr>
      <w:r>
        <w:rPr>
          <w:rFonts w:hint="eastAsia"/>
        </w:rPr>
        <w:t>34.</w:t>
      </w:r>
      <w:r>
        <w:rPr>
          <w:rFonts w:hint="eastAsia"/>
        </w:rPr>
        <w:tab/>
      </w:r>
      <w:r>
        <w:rPr>
          <w:rFonts w:hint="eastAsia"/>
        </w:rPr>
        <w:t>委员会重申，它感到关切的是，在就业方面妇女面临歧视，由于妇女在农业、边境加工产业和当地粮食生产行业的工作性质不稳定使其缺乏社会和劳动保护，大多数妇女被分配到收入最低的职业，特别是非正式职业，包括家务劳动。委员会还感到关切的是，持续存在童工现象，并且有关消除贫穷战略的资料有限。委员会关切地注意到，没有法律条款明确禁止工作场所的性骚扰行为，并对歧视性和非法做法表示关切，如在职位遴选程序期间对妇女进行艾滋病毒</w:t>
      </w:r>
      <w:r>
        <w:rPr>
          <w:rFonts w:hint="eastAsia"/>
        </w:rPr>
        <w:t>/</w:t>
      </w:r>
      <w:r>
        <w:rPr>
          <w:rFonts w:hint="eastAsia"/>
        </w:rPr>
        <w:t>艾滋病检测和怀孕检测。</w:t>
      </w:r>
    </w:p>
    <w:p w14:paraId="015B2E2E" w14:textId="77777777" w:rsidR="00500BFC" w:rsidRPr="007959E9" w:rsidRDefault="00500BFC" w:rsidP="00500BFC">
      <w:pPr>
        <w:pStyle w:val="SingleTxt"/>
        <w:rPr>
          <w:rFonts w:ascii="黑体" w:eastAsia="黑体"/>
        </w:rPr>
      </w:pPr>
      <w:r>
        <w:rPr>
          <w:rFonts w:hint="eastAsia"/>
        </w:rPr>
        <w:lastRenderedPageBreak/>
        <w:t>35.</w:t>
      </w:r>
      <w:r>
        <w:rPr>
          <w:rFonts w:hint="eastAsia"/>
        </w:rPr>
        <w:tab/>
      </w:r>
      <w:r w:rsidRPr="007959E9">
        <w:rPr>
          <w:rFonts w:ascii="黑体" w:eastAsia="黑体" w:hint="eastAsia"/>
        </w:rPr>
        <w:t>委员会建议缔约国消除职业上的横向和纵向隔离，包括采取暂行特别措施，促进妇女获得就业机会，并且：</w:t>
      </w:r>
    </w:p>
    <w:p w14:paraId="22074BDE" w14:textId="57C92BE7" w:rsidR="00500BFC" w:rsidRPr="007959E9" w:rsidRDefault="00500BFC" w:rsidP="00500BFC">
      <w:pPr>
        <w:pStyle w:val="SingleTxt"/>
        <w:rPr>
          <w:rFonts w:ascii="黑体" w:eastAsia="黑体"/>
        </w:rPr>
      </w:pPr>
      <w:r>
        <w:tab/>
      </w:r>
      <w:r>
        <w:rPr>
          <w:rFonts w:hint="eastAsia"/>
        </w:rPr>
        <w:t>(a)</w:t>
      </w:r>
      <w:r>
        <w:tab/>
      </w:r>
      <w:r w:rsidRPr="007959E9">
        <w:rPr>
          <w:rFonts w:ascii="黑体" w:eastAsia="黑体" w:hint="eastAsia"/>
        </w:rPr>
        <w:t>增加妇女获得体面工作的机会，并促进她们从在收入最低的行业工作转到在正规部门就业，并确保受雇于非正规部门和农业部门的妇女得到社会和劳动保护；</w:t>
      </w:r>
    </w:p>
    <w:p w14:paraId="0CF63D20" w14:textId="10E944F4" w:rsidR="00500BFC" w:rsidRPr="007959E9" w:rsidRDefault="00500BFC" w:rsidP="00500BFC">
      <w:pPr>
        <w:pStyle w:val="SingleTxt"/>
        <w:rPr>
          <w:rFonts w:ascii="黑体" w:eastAsia="黑体"/>
        </w:rPr>
      </w:pPr>
      <w:r>
        <w:tab/>
      </w:r>
      <w:r>
        <w:rPr>
          <w:rFonts w:hint="eastAsia"/>
        </w:rPr>
        <w:t>(b)</w:t>
      </w:r>
      <w:r>
        <w:tab/>
      </w:r>
      <w:r w:rsidRPr="007959E9">
        <w:rPr>
          <w:rFonts w:ascii="黑体" w:eastAsia="黑体" w:hint="eastAsia"/>
        </w:rPr>
        <w:t>加快批准国际劳工组织</w:t>
      </w:r>
      <w:r w:rsidR="007959E9">
        <w:rPr>
          <w:rFonts w:ascii="黑体" w:eastAsia="黑体" w:hint="eastAsia"/>
        </w:rPr>
        <w:t>(</w:t>
      </w:r>
      <w:r w:rsidRPr="007959E9">
        <w:rPr>
          <w:rFonts w:ascii="黑体" w:eastAsia="黑体" w:hint="eastAsia"/>
        </w:rPr>
        <w:t>劳工组织</w:t>
      </w:r>
      <w:r w:rsidR="007959E9">
        <w:rPr>
          <w:rFonts w:ascii="黑体" w:eastAsia="黑体" w:hint="eastAsia"/>
        </w:rPr>
        <w:t>)</w:t>
      </w:r>
      <w:r w:rsidRPr="007959E9">
        <w:rPr>
          <w:rFonts w:ascii="黑体" w:eastAsia="黑体" w:hint="eastAsia"/>
        </w:rPr>
        <w:t>2011年《家政工人公约》</w:t>
      </w:r>
      <w:r w:rsidR="007959E9">
        <w:rPr>
          <w:rFonts w:ascii="黑体" w:eastAsia="黑体" w:hint="eastAsia"/>
        </w:rPr>
        <w:t>(</w:t>
      </w:r>
      <w:r w:rsidRPr="007959E9">
        <w:rPr>
          <w:rFonts w:ascii="黑体" w:eastAsia="黑体" w:hint="eastAsia"/>
        </w:rPr>
        <w:t>第189号</w:t>
      </w:r>
      <w:r w:rsidR="007959E9">
        <w:rPr>
          <w:rFonts w:ascii="黑体" w:eastAsia="黑体" w:hint="eastAsia"/>
        </w:rPr>
        <w:t>)</w:t>
      </w:r>
      <w:r w:rsidRPr="007959E9">
        <w:rPr>
          <w:rFonts w:ascii="黑体" w:eastAsia="黑体" w:hint="eastAsia"/>
        </w:rPr>
        <w:t>，并在法律中为所有工人规定最低工资和提供社会保障；</w:t>
      </w:r>
    </w:p>
    <w:p w14:paraId="5D939973" w14:textId="0E22B082" w:rsidR="00500BFC" w:rsidRDefault="00500BFC" w:rsidP="00500BFC">
      <w:pPr>
        <w:pStyle w:val="SingleTxt"/>
      </w:pPr>
      <w:r>
        <w:tab/>
      </w:r>
      <w:r>
        <w:rPr>
          <w:rFonts w:hint="eastAsia"/>
        </w:rPr>
        <w:t>(c)</w:t>
      </w:r>
      <w:r>
        <w:tab/>
      </w:r>
      <w:r w:rsidRPr="007959E9">
        <w:rPr>
          <w:rFonts w:ascii="黑体" w:eastAsia="黑体" w:hint="eastAsia"/>
          <w:spacing w:val="2"/>
        </w:rPr>
        <w:t>加强劳动检查，以发现使用童工情况和起诉为剥削目的招募女童的雇主，主要是在非正式部门和农业部门；</w:t>
      </w:r>
    </w:p>
    <w:p w14:paraId="0272C868" w14:textId="5AB2A03C" w:rsidR="00500BFC" w:rsidRPr="007959E9" w:rsidRDefault="00500BFC" w:rsidP="00500BFC">
      <w:pPr>
        <w:pStyle w:val="SingleTxt"/>
        <w:rPr>
          <w:rFonts w:ascii="黑体" w:eastAsia="黑体"/>
        </w:rPr>
      </w:pPr>
      <w:r>
        <w:tab/>
      </w:r>
      <w:r>
        <w:rPr>
          <w:rFonts w:hint="eastAsia"/>
        </w:rPr>
        <w:t>(d)</w:t>
      </w:r>
      <w:r>
        <w:tab/>
      </w:r>
      <w:r w:rsidRPr="007959E9">
        <w:rPr>
          <w:rFonts w:ascii="黑体" w:eastAsia="黑体" w:hint="eastAsia"/>
        </w:rPr>
        <w:t>通过立法明确禁止工作场所的性骚扰，包括通过制定劳动法和刑法，并规定适当的惩罚和向性骚扰受害者提供补救。</w:t>
      </w:r>
    </w:p>
    <w:p w14:paraId="087EDDB4" w14:textId="7D0947DB" w:rsidR="00500BFC" w:rsidRPr="00500BFC" w:rsidRDefault="00500BFC" w:rsidP="00500BFC">
      <w:pPr>
        <w:pStyle w:val="SingleTxt"/>
        <w:rPr>
          <w:rFonts w:ascii="黑体" w:eastAsia="黑体"/>
        </w:rPr>
      </w:pPr>
      <w:r w:rsidRPr="00500BFC">
        <w:rPr>
          <w:rFonts w:ascii="黑体" w:eastAsia="黑体" w:hint="eastAsia"/>
        </w:rPr>
        <w:t>卫生</w:t>
      </w:r>
    </w:p>
    <w:p w14:paraId="060C0469" w14:textId="77777777" w:rsidR="00500BFC" w:rsidRPr="00474F12" w:rsidRDefault="00500BFC" w:rsidP="00500BFC">
      <w:pPr>
        <w:pStyle w:val="SingleTxt"/>
        <w:rPr>
          <w:spacing w:val="-2"/>
        </w:rPr>
      </w:pPr>
      <w:r>
        <w:rPr>
          <w:rFonts w:hint="eastAsia"/>
        </w:rPr>
        <w:t>36.</w:t>
      </w:r>
      <w:r>
        <w:rPr>
          <w:rFonts w:hint="eastAsia"/>
        </w:rPr>
        <w:tab/>
      </w:r>
      <w:r w:rsidRPr="00474F12">
        <w:rPr>
          <w:rFonts w:hint="eastAsia"/>
          <w:spacing w:val="-2"/>
        </w:rPr>
        <w:t>委员会赞赏地注意到，缔约国承认传统做法和土著知识对妇女的健康，特别是孕产妇健康所作的重要贡献。委员会还注意到，缔约国批准了一项旨在保证妇女生命和健康的有关治疗性流产的议定书。但是，委员会仍然对下列现象表示关切：</w:t>
      </w:r>
    </w:p>
    <w:p w14:paraId="1611D53A" w14:textId="08D4403B" w:rsidR="00500BFC" w:rsidRDefault="00500BFC" w:rsidP="00500BFC">
      <w:pPr>
        <w:pStyle w:val="SingleTxt"/>
      </w:pPr>
      <w:r>
        <w:tab/>
      </w:r>
      <w:r>
        <w:rPr>
          <w:rFonts w:hint="eastAsia"/>
        </w:rPr>
        <w:t>(a)</w:t>
      </w:r>
      <w:r>
        <w:tab/>
      </w:r>
      <w:r>
        <w:rPr>
          <w:rFonts w:hint="eastAsia"/>
        </w:rPr>
        <w:t>缔约国对卫生的公共投资水平低，由于成本、地理因素和保健服务人员的歧视，各地医疗保健服务覆盖面和妇女、特别是在农村地区的妇女获得保健服务的途径有限；</w:t>
      </w:r>
    </w:p>
    <w:p w14:paraId="452DD948" w14:textId="17EDD695" w:rsidR="00500BFC" w:rsidRPr="00500BFC" w:rsidRDefault="00500BFC" w:rsidP="00500BFC">
      <w:pPr>
        <w:pStyle w:val="SingleTxt"/>
        <w:rPr>
          <w:spacing w:val="2"/>
        </w:rPr>
      </w:pPr>
      <w:r>
        <w:tab/>
      </w:r>
      <w:r>
        <w:rPr>
          <w:rFonts w:hint="eastAsia"/>
        </w:rPr>
        <w:t>(b)</w:t>
      </w:r>
      <w:r>
        <w:tab/>
      </w:r>
      <w:r w:rsidRPr="00500BFC">
        <w:rPr>
          <w:rFonts w:hint="eastAsia"/>
          <w:spacing w:val="2"/>
        </w:rPr>
        <w:t>孕产妇死亡、早孕和营养不良率居高不下，在土著妇女和女童中尤其如此；</w:t>
      </w:r>
    </w:p>
    <w:p w14:paraId="0AF56F7C" w14:textId="1E51326F" w:rsidR="00500BFC" w:rsidRDefault="00500BFC" w:rsidP="00500BFC">
      <w:pPr>
        <w:pStyle w:val="SingleTxt"/>
      </w:pPr>
      <w:r>
        <w:tab/>
      </w:r>
      <w:r>
        <w:rPr>
          <w:rFonts w:hint="eastAsia"/>
        </w:rPr>
        <w:t>(c)</w:t>
      </w:r>
      <w:r>
        <w:tab/>
      </w:r>
      <w:r>
        <w:rPr>
          <w:rFonts w:hint="eastAsia"/>
        </w:rPr>
        <w:t>在缔约国，缺乏关于性和生殖健康及权利以及计划生育服务的全面教育，获得现代避孕药具的机会有限；</w:t>
      </w:r>
    </w:p>
    <w:p w14:paraId="04C290BD" w14:textId="19F02D89" w:rsidR="00500BFC" w:rsidRDefault="00500BFC" w:rsidP="00500BFC">
      <w:pPr>
        <w:pStyle w:val="SingleTxt"/>
      </w:pPr>
      <w:r>
        <w:tab/>
      </w:r>
      <w:r>
        <w:rPr>
          <w:rFonts w:hint="eastAsia"/>
        </w:rPr>
        <w:t>(d)</w:t>
      </w:r>
      <w:r>
        <w:tab/>
      </w:r>
      <w:r>
        <w:rPr>
          <w:rFonts w:hint="eastAsia"/>
        </w:rPr>
        <w:t>越来越多的妇女感染艾滋病毒</w:t>
      </w:r>
      <w:r>
        <w:rPr>
          <w:rFonts w:hint="eastAsia"/>
        </w:rPr>
        <w:t>/</w:t>
      </w:r>
      <w:r>
        <w:rPr>
          <w:rFonts w:hint="eastAsia"/>
        </w:rPr>
        <w:t>艾滋病，尽管在整个人口中该比率有所下降；</w:t>
      </w:r>
    </w:p>
    <w:p w14:paraId="373747FA" w14:textId="7DE0F200" w:rsidR="00500BFC" w:rsidRDefault="00500BFC" w:rsidP="00500BFC">
      <w:pPr>
        <w:pStyle w:val="SingleTxt"/>
      </w:pPr>
      <w:r>
        <w:tab/>
      </w:r>
      <w:r>
        <w:rPr>
          <w:rFonts w:hint="eastAsia"/>
        </w:rPr>
        <w:t>(e)</w:t>
      </w:r>
      <w:r>
        <w:tab/>
      </w:r>
      <w:r>
        <w:rPr>
          <w:rFonts w:hint="eastAsia"/>
        </w:rPr>
        <w:t>没有采取措施落实委员会以往有关修订立法、将堕胎定为刑事犯罪并防止不安全人工流产的建议</w:t>
      </w:r>
      <w:r>
        <w:rPr>
          <w:rFonts w:hint="eastAsia"/>
        </w:rPr>
        <w:t>(</w:t>
      </w:r>
      <w:hyperlink r:id="rId22" w:history="1">
        <w:r w:rsidRPr="00BD041A">
          <w:rPr>
            <w:rStyle w:val="ad"/>
            <w:rFonts w:hint="eastAsia"/>
          </w:rPr>
          <w:t>CEDAW/C/GUA/CO/7</w:t>
        </w:r>
      </w:hyperlink>
      <w:r>
        <w:rPr>
          <w:rFonts w:hint="eastAsia"/>
        </w:rPr>
        <w:t>，第</w:t>
      </w:r>
      <w:r>
        <w:rPr>
          <w:rFonts w:hint="eastAsia"/>
        </w:rPr>
        <w:t>36</w:t>
      </w:r>
      <w:r>
        <w:rPr>
          <w:rFonts w:hint="eastAsia"/>
        </w:rPr>
        <w:t>段</w:t>
      </w:r>
      <w:r>
        <w:rPr>
          <w:rFonts w:hint="eastAsia"/>
        </w:rPr>
        <w:t>)</w:t>
      </w:r>
      <w:r>
        <w:rPr>
          <w:rFonts w:hint="eastAsia"/>
        </w:rPr>
        <w:t>。</w:t>
      </w:r>
    </w:p>
    <w:p w14:paraId="5ED106D4" w14:textId="77777777" w:rsidR="00500BFC" w:rsidRDefault="00500BFC" w:rsidP="00500BFC">
      <w:pPr>
        <w:pStyle w:val="SingleTxt"/>
      </w:pPr>
      <w:r>
        <w:rPr>
          <w:rFonts w:hint="eastAsia"/>
        </w:rPr>
        <w:t>37.</w:t>
      </w:r>
      <w:r>
        <w:rPr>
          <w:rFonts w:hint="eastAsia"/>
        </w:rPr>
        <w:tab/>
      </w:r>
      <w:r w:rsidRPr="007959E9">
        <w:rPr>
          <w:rFonts w:ascii="黑体" w:eastAsia="黑体" w:hint="eastAsia"/>
        </w:rPr>
        <w:t>委员会建议缔约国：</w:t>
      </w:r>
    </w:p>
    <w:p w14:paraId="13FFD806" w14:textId="6FA6BD1E" w:rsidR="00500BFC" w:rsidRPr="007959E9" w:rsidRDefault="00500BFC" w:rsidP="00500BFC">
      <w:pPr>
        <w:pStyle w:val="SingleTxt"/>
        <w:rPr>
          <w:rFonts w:ascii="黑体" w:eastAsia="黑体"/>
        </w:rPr>
      </w:pPr>
      <w:r>
        <w:tab/>
      </w:r>
      <w:r>
        <w:rPr>
          <w:rFonts w:hint="eastAsia"/>
        </w:rPr>
        <w:t>(a)</w:t>
      </w:r>
      <w:r>
        <w:tab/>
      </w:r>
      <w:r w:rsidRPr="007959E9">
        <w:rPr>
          <w:rFonts w:ascii="黑体" w:eastAsia="黑体" w:hint="eastAsia"/>
        </w:rPr>
        <w:t>增加卫生支出，并在其整个领土扩大医疗服务覆盖面和获得途径；</w:t>
      </w:r>
    </w:p>
    <w:p w14:paraId="590F0BF6" w14:textId="6698FC8F" w:rsidR="00500BFC" w:rsidRDefault="00500BFC" w:rsidP="00500BFC">
      <w:pPr>
        <w:pStyle w:val="SingleTxt"/>
      </w:pPr>
      <w:r>
        <w:tab/>
      </w:r>
      <w:r>
        <w:rPr>
          <w:rFonts w:hint="eastAsia"/>
        </w:rPr>
        <w:t>(b)</w:t>
      </w:r>
      <w:r>
        <w:tab/>
      </w:r>
      <w:r w:rsidRPr="007959E9">
        <w:rPr>
          <w:rFonts w:ascii="黑体" w:eastAsia="黑体" w:hint="eastAsia"/>
        </w:rPr>
        <w:t>根据可持续发展目标的具体目标3.1和3.7，降低孕产妇死亡的发生率，包括为此与传统助产士合作和培训卫生专业人员，特别是在农村地区，确保所有分娩都有熟练卫生人员照护，并作出协调一致的努力，以战略性、对性别问题有敏感认识的和文化上适当的方式解决营养不良问题；</w:t>
      </w:r>
    </w:p>
    <w:p w14:paraId="314AB588" w14:textId="6C43A654" w:rsidR="00500BFC" w:rsidRPr="007959E9" w:rsidRDefault="00500BFC" w:rsidP="00500BFC">
      <w:pPr>
        <w:pStyle w:val="SingleTxt"/>
        <w:rPr>
          <w:rFonts w:ascii="黑体" w:eastAsia="黑体"/>
        </w:rPr>
      </w:pPr>
      <w:r>
        <w:lastRenderedPageBreak/>
        <w:tab/>
      </w:r>
      <w:r>
        <w:rPr>
          <w:rFonts w:hint="eastAsia"/>
        </w:rPr>
        <w:t>(c)</w:t>
      </w:r>
      <w:r>
        <w:tab/>
      </w:r>
      <w:r w:rsidRPr="007959E9">
        <w:rPr>
          <w:rFonts w:ascii="黑体" w:eastAsia="黑体" w:hint="eastAsia"/>
        </w:rPr>
        <w:t>确保所有妇女都能获得高质量的性保健和生殖保健服务，包括在学校中开展适龄性教育和以当地语言进行关于计划生育和预防早孕和性传播疾病的提高认识运动，并确保所有妇女都能获得负担得起的现代避孕药具；</w:t>
      </w:r>
    </w:p>
    <w:p w14:paraId="1A230218" w14:textId="6AD1D1CE" w:rsidR="00500BFC" w:rsidRPr="007959E9" w:rsidRDefault="00500BFC" w:rsidP="00500BFC">
      <w:pPr>
        <w:pStyle w:val="SingleTxt"/>
        <w:rPr>
          <w:rFonts w:ascii="黑体" w:eastAsia="黑体"/>
        </w:rPr>
      </w:pPr>
      <w:r>
        <w:tab/>
      </w:r>
      <w:r>
        <w:rPr>
          <w:rFonts w:hint="eastAsia"/>
        </w:rPr>
        <w:t>(d)</w:t>
      </w:r>
      <w:r>
        <w:tab/>
      </w:r>
      <w:r w:rsidRPr="007959E9">
        <w:rPr>
          <w:rFonts w:ascii="黑体" w:eastAsia="黑体" w:hint="eastAsia"/>
        </w:rPr>
        <w:t>确保成为性虐待受害者的妇女和女童能够立即获得紧急保健服务，从而达到减少不安全堕胎造成伤害的风险等目的；</w:t>
      </w:r>
    </w:p>
    <w:p w14:paraId="4C140479" w14:textId="116D446B" w:rsidR="00500BFC" w:rsidRPr="007959E9" w:rsidRDefault="00500BFC" w:rsidP="00500BFC">
      <w:pPr>
        <w:pStyle w:val="SingleTxt"/>
        <w:rPr>
          <w:rFonts w:ascii="黑体" w:eastAsia="黑体"/>
        </w:rPr>
      </w:pPr>
      <w:r>
        <w:tab/>
      </w:r>
      <w:r>
        <w:rPr>
          <w:rFonts w:hint="eastAsia"/>
        </w:rPr>
        <w:t>(e)</w:t>
      </w:r>
      <w:r>
        <w:tab/>
      </w:r>
      <w:r w:rsidRPr="007959E9">
        <w:rPr>
          <w:rFonts w:ascii="黑体" w:eastAsia="黑体" w:hint="eastAsia"/>
        </w:rPr>
        <w:t>确保男女平等获得艾滋病毒和艾滋病治疗和预防途径，并确保妇女和女童能免费获得抗逆转录病毒药物以防止母婴传播；</w:t>
      </w:r>
    </w:p>
    <w:p w14:paraId="36FC60D0" w14:textId="5086E9FC" w:rsidR="00500BFC" w:rsidRPr="007959E9" w:rsidRDefault="00500BFC" w:rsidP="00500BFC">
      <w:pPr>
        <w:pStyle w:val="SingleTxt"/>
        <w:rPr>
          <w:rFonts w:ascii="黑体" w:eastAsia="黑体"/>
        </w:rPr>
      </w:pPr>
      <w:r>
        <w:tab/>
      </w:r>
      <w:r>
        <w:rPr>
          <w:rFonts w:hint="eastAsia"/>
        </w:rPr>
        <w:t>(f)</w:t>
      </w:r>
      <w:r>
        <w:tab/>
      </w:r>
      <w:r w:rsidRPr="007959E9">
        <w:rPr>
          <w:rFonts w:ascii="黑体" w:eastAsia="黑体" w:hint="eastAsia"/>
        </w:rPr>
        <w:t>使妇女在健康受到威胁、强奸、乱伦或胎儿严重受损情况下的堕胎合法化，将所有其他情况下的堕胎非刑罪化，并采取有效措施，使妇女可以进行治疗性堕胎。</w:t>
      </w:r>
    </w:p>
    <w:p w14:paraId="0B1AD0A6" w14:textId="0027403A" w:rsidR="00500BFC" w:rsidRPr="00500BFC" w:rsidRDefault="00500BFC" w:rsidP="00500BFC">
      <w:pPr>
        <w:pStyle w:val="SingleTxt"/>
        <w:rPr>
          <w:rFonts w:ascii="黑体" w:eastAsia="黑体"/>
        </w:rPr>
      </w:pPr>
      <w:r w:rsidRPr="00500BFC">
        <w:rPr>
          <w:rFonts w:ascii="黑体" w:eastAsia="黑体" w:hint="eastAsia"/>
        </w:rPr>
        <w:t>经济和社会福利与增强妇女经济权能</w:t>
      </w:r>
    </w:p>
    <w:p w14:paraId="1EC335EA" w14:textId="55B9974B" w:rsidR="00500BFC" w:rsidRDefault="00500BFC" w:rsidP="00500BFC">
      <w:pPr>
        <w:pStyle w:val="SingleTxt"/>
      </w:pPr>
      <w:r>
        <w:rPr>
          <w:rFonts w:hint="eastAsia"/>
        </w:rPr>
        <w:t>38.</w:t>
      </w:r>
      <w:r>
        <w:tab/>
      </w:r>
      <w:r>
        <w:rPr>
          <w:rFonts w:hint="eastAsia"/>
        </w:rPr>
        <w:t>委员会欢迎国家经济政策界定增强妇女的经济权能方面的优先事项。然而，委员会感到关切的是，妇女贫穷人数过多，并且没有采取措施增加用于社会支出的税收。委员会感到关切的是，对发展进程的管理不足，小型社会发展方案没有得到充分监测和评价并且不成体系，缺乏一个连贯一致的社会保护政策和对妇女、尤其是女户主进行补偿的方案。委员会还感到关切的是，大多数在非正规部门就业的妇女不能享受国家社会保障系统、社会保护或补偿方案。委员会还感到关切的是，妇女在获得金融服务方面面临壁垒，例如有关提供稳定收入或就业或财产所有权证明的要求。</w:t>
      </w:r>
    </w:p>
    <w:p w14:paraId="41F82208" w14:textId="77777777" w:rsidR="00500BFC" w:rsidRDefault="00500BFC" w:rsidP="00500BFC">
      <w:pPr>
        <w:pStyle w:val="SingleTxt"/>
      </w:pPr>
      <w:r>
        <w:rPr>
          <w:rFonts w:hint="eastAsia"/>
        </w:rPr>
        <w:t>39.</w:t>
      </w:r>
      <w:r>
        <w:rPr>
          <w:rFonts w:hint="eastAsia"/>
        </w:rPr>
        <w:tab/>
      </w:r>
      <w:r w:rsidRPr="007959E9">
        <w:rPr>
          <w:rFonts w:ascii="黑体" w:eastAsia="黑体" w:hint="eastAsia"/>
        </w:rPr>
        <w:t>委员会建议缔约国：</w:t>
      </w:r>
    </w:p>
    <w:p w14:paraId="673E6672" w14:textId="441E6FF6" w:rsidR="00500BFC" w:rsidRDefault="00500BFC" w:rsidP="00500BFC">
      <w:pPr>
        <w:pStyle w:val="SingleTxt"/>
      </w:pPr>
      <w:r>
        <w:tab/>
      </w:r>
      <w:r>
        <w:rPr>
          <w:rFonts w:hint="eastAsia"/>
        </w:rPr>
        <w:t>(a)</w:t>
      </w:r>
      <w:r>
        <w:tab/>
      </w:r>
      <w:r w:rsidRPr="007959E9">
        <w:rPr>
          <w:rFonts w:ascii="黑体" w:eastAsia="黑体" w:hint="eastAsia"/>
        </w:rPr>
        <w:t>增加税收和改善税收管理；</w:t>
      </w:r>
    </w:p>
    <w:p w14:paraId="5FECFF93" w14:textId="22F52C64" w:rsidR="00500BFC" w:rsidRDefault="00500BFC" w:rsidP="00500BFC">
      <w:pPr>
        <w:pStyle w:val="SingleTxt"/>
      </w:pPr>
      <w:r>
        <w:tab/>
      </w:r>
      <w:r>
        <w:rPr>
          <w:rFonts w:hint="eastAsia"/>
        </w:rPr>
        <w:t>(b)</w:t>
      </w:r>
      <w:r>
        <w:tab/>
      </w:r>
      <w:r w:rsidRPr="007959E9">
        <w:rPr>
          <w:rFonts w:ascii="黑体" w:eastAsia="黑体" w:hint="eastAsia"/>
        </w:rPr>
        <w:t>采取措施，减少妇女贫穷和改善妇女的经济权能，特别是土著妇女和非洲裔妇女；</w:t>
      </w:r>
    </w:p>
    <w:p w14:paraId="22159447" w14:textId="115D57D3" w:rsidR="00500BFC" w:rsidRPr="007959E9" w:rsidRDefault="00500BFC" w:rsidP="00500BFC">
      <w:pPr>
        <w:pStyle w:val="SingleTxt"/>
        <w:rPr>
          <w:rFonts w:ascii="黑体" w:eastAsia="黑体"/>
        </w:rPr>
      </w:pPr>
      <w:r>
        <w:tab/>
      </w:r>
      <w:r>
        <w:rPr>
          <w:rFonts w:hint="eastAsia"/>
        </w:rPr>
        <w:t>(c)</w:t>
      </w:r>
      <w:r>
        <w:tab/>
      </w:r>
      <w:r w:rsidRPr="007959E9">
        <w:rPr>
          <w:rFonts w:ascii="黑体" w:eastAsia="黑体" w:hint="eastAsia"/>
        </w:rPr>
        <w:t>增加妇女享受国家社会保障系统的机会，为妇女制定协调一致的社会保护和补偿方案，改变发展进程的过时管理并使其现代化；</w:t>
      </w:r>
    </w:p>
    <w:p w14:paraId="30E63485" w14:textId="74D0F4C2" w:rsidR="00500BFC" w:rsidRPr="007959E9" w:rsidRDefault="00500BFC" w:rsidP="00500BFC">
      <w:pPr>
        <w:pStyle w:val="SingleTxt"/>
        <w:rPr>
          <w:rFonts w:ascii="黑体" w:eastAsia="黑体"/>
        </w:rPr>
      </w:pPr>
      <w:r>
        <w:tab/>
      </w:r>
      <w:r>
        <w:rPr>
          <w:rFonts w:hint="eastAsia"/>
        </w:rPr>
        <w:t>(d)</w:t>
      </w:r>
      <w:r>
        <w:tab/>
      </w:r>
      <w:r w:rsidRPr="007959E9">
        <w:rPr>
          <w:rFonts w:ascii="黑体" w:eastAsia="黑体" w:hint="eastAsia"/>
        </w:rPr>
        <w:t>建立适当的机制，以监测、评价针对妇女的社会发展方案并对其进行影响分析，确保妇女参与实现2030年可持续发展议程目标的工作；</w:t>
      </w:r>
    </w:p>
    <w:p w14:paraId="0A79AC29" w14:textId="477C72B8" w:rsidR="00500BFC" w:rsidRPr="007959E9" w:rsidRDefault="00500BFC" w:rsidP="00500BFC">
      <w:pPr>
        <w:pStyle w:val="SingleTxt"/>
        <w:rPr>
          <w:rFonts w:ascii="黑体" w:eastAsia="黑体"/>
        </w:rPr>
      </w:pPr>
      <w:r>
        <w:tab/>
      </w:r>
      <w:r>
        <w:rPr>
          <w:rFonts w:hint="eastAsia"/>
        </w:rPr>
        <w:t>(e)</w:t>
      </w:r>
      <w:r>
        <w:tab/>
      </w:r>
      <w:r w:rsidRPr="007959E9">
        <w:rPr>
          <w:rFonts w:ascii="黑体" w:eastAsia="黑体" w:hint="eastAsia"/>
        </w:rPr>
        <w:t>促进采取有针对性的措施，增加妇女获得金融服务的机会，包括低息信贷和储蓄计划，并通过向其提供技术援助和咨询服务促进其创业活动。</w:t>
      </w:r>
    </w:p>
    <w:p w14:paraId="78CE4C33" w14:textId="47266C07" w:rsidR="00500BFC" w:rsidRPr="00500BFC" w:rsidRDefault="00500BFC" w:rsidP="00500BFC">
      <w:pPr>
        <w:pStyle w:val="SingleTxt"/>
        <w:rPr>
          <w:rFonts w:ascii="黑体" w:eastAsia="黑体"/>
        </w:rPr>
      </w:pPr>
      <w:r w:rsidRPr="00500BFC">
        <w:rPr>
          <w:rFonts w:ascii="黑体" w:eastAsia="黑体" w:hint="eastAsia"/>
        </w:rPr>
        <w:t>农村、土著和加里富纳妇女</w:t>
      </w:r>
    </w:p>
    <w:p w14:paraId="1D4E4048" w14:textId="0F964597" w:rsidR="00500BFC" w:rsidRDefault="00500BFC" w:rsidP="00500BFC">
      <w:pPr>
        <w:pStyle w:val="SingleTxt"/>
      </w:pPr>
      <w:r>
        <w:rPr>
          <w:rFonts w:hint="eastAsia"/>
        </w:rPr>
        <w:t>40.</w:t>
      </w:r>
      <w:r>
        <w:tab/>
      </w:r>
      <w:r>
        <w:rPr>
          <w:rFonts w:hint="eastAsia"/>
        </w:rPr>
        <w:t>委员会赞赏地注意到缔约国通过了性别平等政策和农业部</w:t>
      </w:r>
      <w:r>
        <w:rPr>
          <w:rFonts w:hint="eastAsia"/>
        </w:rPr>
        <w:t>2014</w:t>
      </w:r>
      <w:r w:rsidR="00A21BA3">
        <w:rPr>
          <w:rFonts w:hint="eastAsia"/>
        </w:rPr>
        <w:t>-</w:t>
      </w:r>
      <w:r>
        <w:rPr>
          <w:rFonts w:hint="eastAsia"/>
        </w:rPr>
        <w:t>2023</w:t>
      </w:r>
      <w:r>
        <w:rPr>
          <w:rFonts w:hint="eastAsia"/>
        </w:rPr>
        <w:t>年期间战略执行计划。但是，委员会对农村发展的目前趋势和农村地区、特别是土著和加里富纳人社区的生活条件退化感到关切。委员会关切地注意到，农村妇女继续在住房、基本服务和基础设施、包括安全饮水和适当的卫生设施方面受到限制或无法获得这些资源，并且土地所有权仍然集中在少数人手中，这限制了妇女的生</w:t>
      </w:r>
      <w:r>
        <w:rPr>
          <w:rFonts w:hint="eastAsia"/>
        </w:rPr>
        <w:lastRenderedPageBreak/>
        <w:t>计和就业机会。委员会对强行驱逐感到关切，妇女和女童在此种驱逐中成为公共和私营保安人员过度暴力、骚扰和性侵犯行为的受害者。委员会还感到关切的是，使用杀虫剂、化肥和农用化学品对妇女健康产生有害影响。</w:t>
      </w:r>
    </w:p>
    <w:p w14:paraId="5E04D874" w14:textId="77777777" w:rsidR="00500BFC" w:rsidRPr="007959E9" w:rsidRDefault="00500BFC" w:rsidP="00500BFC">
      <w:pPr>
        <w:pStyle w:val="SingleTxt"/>
        <w:rPr>
          <w:rFonts w:ascii="黑体" w:eastAsia="黑体"/>
        </w:rPr>
      </w:pPr>
      <w:r>
        <w:rPr>
          <w:rFonts w:hint="eastAsia"/>
        </w:rPr>
        <w:t>41.</w:t>
      </w:r>
      <w:r>
        <w:rPr>
          <w:rFonts w:hint="eastAsia"/>
        </w:rPr>
        <w:tab/>
      </w:r>
      <w:r w:rsidRPr="007959E9">
        <w:rPr>
          <w:rFonts w:ascii="黑体" w:eastAsia="黑体" w:hint="eastAsia"/>
        </w:rPr>
        <w:t>根据其关于农村妇女权利的第34(2016)号一般性建议，委员会建议缔约国：</w:t>
      </w:r>
    </w:p>
    <w:p w14:paraId="7AF0D339" w14:textId="6FD4C7EB" w:rsidR="00500BFC" w:rsidRPr="007959E9" w:rsidRDefault="00500BFC" w:rsidP="00500BFC">
      <w:pPr>
        <w:pStyle w:val="SingleTxt"/>
        <w:rPr>
          <w:rFonts w:ascii="黑体" w:eastAsia="黑体"/>
        </w:rPr>
      </w:pPr>
      <w:r>
        <w:tab/>
      </w:r>
      <w:r>
        <w:rPr>
          <w:rFonts w:hint="eastAsia"/>
        </w:rPr>
        <w:t>(a)</w:t>
      </w:r>
      <w:r>
        <w:tab/>
      </w:r>
      <w:r w:rsidRPr="007959E9">
        <w:rPr>
          <w:rFonts w:ascii="黑体" w:eastAsia="黑体" w:hint="eastAsia"/>
        </w:rPr>
        <w:t>确保农村、土著和加里富纳妇女参与农村组织和制定和实施旨在促进她们的就业机会和增强经济权能的政策、方案和举措；</w:t>
      </w:r>
    </w:p>
    <w:p w14:paraId="03E41FEE" w14:textId="2AC3BEEC" w:rsidR="00500BFC" w:rsidRPr="007959E9" w:rsidRDefault="00500BFC" w:rsidP="00500BFC">
      <w:pPr>
        <w:pStyle w:val="SingleTxt"/>
        <w:rPr>
          <w:rFonts w:ascii="黑体" w:eastAsia="黑体"/>
        </w:rPr>
      </w:pPr>
      <w:r>
        <w:tab/>
      </w:r>
      <w:r>
        <w:rPr>
          <w:rFonts w:hint="eastAsia"/>
        </w:rPr>
        <w:t>(b)</w:t>
      </w:r>
      <w:r>
        <w:tab/>
      </w:r>
      <w:r w:rsidRPr="007959E9">
        <w:rPr>
          <w:rFonts w:ascii="黑体" w:eastAsia="黑体" w:hint="eastAsia"/>
        </w:rPr>
        <w:t>扩大和促进农村、土著和加里富纳妇女获得土地所有权和妇女参与关于土地利用和发展规划的决策进程；</w:t>
      </w:r>
    </w:p>
    <w:p w14:paraId="61A9A86E" w14:textId="07CAF8AB" w:rsidR="00500BFC" w:rsidRPr="007959E9" w:rsidRDefault="00500BFC" w:rsidP="00500BFC">
      <w:pPr>
        <w:pStyle w:val="SingleTxt"/>
        <w:rPr>
          <w:rFonts w:ascii="黑体" w:eastAsia="黑体"/>
        </w:rPr>
      </w:pPr>
      <w:r>
        <w:tab/>
      </w:r>
      <w:r>
        <w:rPr>
          <w:rFonts w:hint="eastAsia"/>
        </w:rPr>
        <w:t>(c)</w:t>
      </w:r>
      <w:r>
        <w:tab/>
      </w:r>
      <w:r w:rsidRPr="007959E9">
        <w:rPr>
          <w:rFonts w:ascii="黑体" w:eastAsia="黑体" w:hint="eastAsia"/>
        </w:rPr>
        <w:t>根据劳工组织1989年《土著和部落人民公约》</w:t>
      </w:r>
      <w:r w:rsidR="007959E9" w:rsidRPr="007959E9">
        <w:rPr>
          <w:rFonts w:ascii="黑体" w:eastAsia="黑体" w:hint="eastAsia"/>
        </w:rPr>
        <w:t>(</w:t>
      </w:r>
      <w:r w:rsidRPr="007959E9">
        <w:rPr>
          <w:rFonts w:ascii="黑体" w:eastAsia="黑体" w:hint="eastAsia"/>
        </w:rPr>
        <w:t>第169号</w:t>
      </w:r>
      <w:r w:rsidR="007959E9" w:rsidRPr="007959E9">
        <w:rPr>
          <w:rFonts w:ascii="黑体" w:eastAsia="黑体" w:hint="eastAsia"/>
        </w:rPr>
        <w:t>)</w:t>
      </w:r>
      <w:r w:rsidRPr="007959E9">
        <w:rPr>
          <w:rFonts w:ascii="黑体" w:eastAsia="黑体" w:hint="eastAsia"/>
        </w:rPr>
        <w:t>，采取法律和其他措施，以防止对妇女进行强行驱逐和袭击，有效保护强迫驱逐时遭受骚扰和暴力的妇女，将犯罪者绳之以法，并就在土著妇女传统土地上任何拟开展的集约农业、开发或采掘项目和活动与其协商事先征得其自由知情同意，并确保她们得到充分的替代生计，从任何此类活动中受益；</w:t>
      </w:r>
    </w:p>
    <w:p w14:paraId="44AF5BED" w14:textId="7A005FEA" w:rsidR="00500BFC" w:rsidRPr="007959E9" w:rsidRDefault="00500BFC" w:rsidP="00500BFC">
      <w:pPr>
        <w:pStyle w:val="SingleTxt"/>
        <w:rPr>
          <w:rFonts w:ascii="黑体" w:eastAsia="黑体"/>
        </w:rPr>
      </w:pPr>
      <w:r>
        <w:tab/>
      </w:r>
      <w:r>
        <w:rPr>
          <w:rFonts w:hint="eastAsia"/>
        </w:rPr>
        <w:t>(d)</w:t>
      </w:r>
      <w:r>
        <w:tab/>
      </w:r>
      <w:r w:rsidRPr="007959E9">
        <w:rPr>
          <w:rFonts w:ascii="黑体" w:eastAsia="黑体" w:hint="eastAsia"/>
        </w:rPr>
        <w:t>保证农村、土著和加里富纳妇女获得基本服务和住房、安全饮水和适当的卫生设施，并迅速调查农村妇女有关杀虫剂、化肥和农用化学品的有害使用的申诉。</w:t>
      </w:r>
    </w:p>
    <w:p w14:paraId="16667661" w14:textId="67847B0B" w:rsidR="00500BFC" w:rsidRPr="00500BFC" w:rsidRDefault="00500BFC" w:rsidP="00500BFC">
      <w:pPr>
        <w:pStyle w:val="SingleTxt"/>
        <w:rPr>
          <w:rFonts w:ascii="黑体" w:eastAsia="黑体"/>
        </w:rPr>
      </w:pPr>
      <w:r w:rsidRPr="00500BFC">
        <w:rPr>
          <w:rFonts w:ascii="黑体" w:eastAsia="黑体" w:hint="eastAsia"/>
        </w:rPr>
        <w:t>移徙妇女和境内流离失所妇女</w:t>
      </w:r>
    </w:p>
    <w:p w14:paraId="73D83490" w14:textId="268C0D21" w:rsidR="00500BFC" w:rsidRDefault="00500BFC" w:rsidP="00500BFC">
      <w:pPr>
        <w:pStyle w:val="SingleTxt"/>
      </w:pPr>
      <w:r>
        <w:rPr>
          <w:rFonts w:hint="eastAsia"/>
        </w:rPr>
        <w:t>42.</w:t>
      </w:r>
      <w:r>
        <w:rPr>
          <w:rFonts w:hint="eastAsia"/>
        </w:rPr>
        <w:tab/>
      </w:r>
      <w:r>
        <w:rPr>
          <w:rFonts w:hint="eastAsia"/>
        </w:rPr>
        <w:t>委员会欢迎批准《移徙法》</w:t>
      </w:r>
      <w:r w:rsidR="007959E9">
        <w:rPr>
          <w:rFonts w:hint="eastAsia"/>
        </w:rPr>
        <w:t>(</w:t>
      </w:r>
      <w:r>
        <w:rPr>
          <w:rFonts w:hint="eastAsia"/>
        </w:rPr>
        <w:t>第</w:t>
      </w:r>
      <w:r>
        <w:rPr>
          <w:rFonts w:hint="eastAsia"/>
        </w:rPr>
        <w:t>44-2016</w:t>
      </w:r>
      <w:r>
        <w:rPr>
          <w:rFonts w:hint="eastAsia"/>
        </w:rPr>
        <w:t>号法令</w:t>
      </w:r>
      <w:r w:rsidR="007959E9">
        <w:rPr>
          <w:rFonts w:hint="eastAsia"/>
        </w:rPr>
        <w:t>)</w:t>
      </w:r>
      <w:r>
        <w:rPr>
          <w:rFonts w:hint="eastAsia"/>
        </w:rPr>
        <w:t>，其中包含立足人权的方针，并反映移徙妇女的具体状况。但委员会仍对以下方面感到关切：</w:t>
      </w:r>
    </w:p>
    <w:p w14:paraId="48656389" w14:textId="7B42FF1B" w:rsidR="00500BFC" w:rsidRDefault="00500BFC" w:rsidP="00500BFC">
      <w:pPr>
        <w:pStyle w:val="SingleTxt"/>
      </w:pPr>
      <w:r>
        <w:tab/>
      </w:r>
      <w:r>
        <w:rPr>
          <w:rFonts w:hint="eastAsia"/>
        </w:rPr>
        <w:t>(a)</w:t>
      </w:r>
      <w:r>
        <w:tab/>
      </w:r>
      <w:r>
        <w:rPr>
          <w:rFonts w:hint="eastAsia"/>
        </w:rPr>
        <w:t>没有执行《移徙法》的条例；</w:t>
      </w:r>
    </w:p>
    <w:p w14:paraId="74A855E9" w14:textId="6579B38A" w:rsidR="00500BFC" w:rsidRDefault="00500BFC" w:rsidP="00500BFC">
      <w:pPr>
        <w:pStyle w:val="SingleTxt"/>
      </w:pPr>
      <w:r>
        <w:tab/>
      </w:r>
      <w:r>
        <w:rPr>
          <w:rFonts w:hint="eastAsia"/>
        </w:rPr>
        <w:t>(b)</w:t>
      </w:r>
      <w:r>
        <w:tab/>
      </w:r>
      <w:r>
        <w:rPr>
          <w:rFonts w:hint="eastAsia"/>
        </w:rPr>
        <w:t>没有一项保护移徙女工权利的政策；</w:t>
      </w:r>
    </w:p>
    <w:p w14:paraId="78F4AEFF" w14:textId="1A6DDB35" w:rsidR="00500BFC" w:rsidRDefault="00500BFC" w:rsidP="00500BFC">
      <w:pPr>
        <w:pStyle w:val="SingleTxt"/>
      </w:pPr>
      <w:r>
        <w:tab/>
      </w:r>
      <w:r>
        <w:rPr>
          <w:rFonts w:hint="eastAsia"/>
        </w:rPr>
        <w:t>(c)</w:t>
      </w:r>
      <w:r>
        <w:tab/>
      </w:r>
      <w:r>
        <w:rPr>
          <w:rFonts w:hint="eastAsia"/>
        </w:rPr>
        <w:t>缺乏关于境内流离失所妇女及其家人的境况和造成其流离失所的多种原因的数据，这些原因包括强迫将其迁离土地、国家和私人行为体或公司或有组织犯罪集团或团伙对她们施加的暴力和威胁以及环境退化。</w:t>
      </w:r>
    </w:p>
    <w:p w14:paraId="5DEA6771" w14:textId="77777777" w:rsidR="00500BFC" w:rsidRPr="007959E9" w:rsidRDefault="00500BFC" w:rsidP="00500BFC">
      <w:pPr>
        <w:pStyle w:val="SingleTxt"/>
        <w:rPr>
          <w:rFonts w:ascii="黑体" w:eastAsia="黑体"/>
        </w:rPr>
      </w:pPr>
      <w:r>
        <w:rPr>
          <w:rFonts w:hint="eastAsia"/>
        </w:rPr>
        <w:t>43.</w:t>
      </w:r>
      <w:r>
        <w:rPr>
          <w:rFonts w:hint="eastAsia"/>
        </w:rPr>
        <w:tab/>
      </w:r>
      <w:r w:rsidRPr="007959E9">
        <w:rPr>
          <w:rFonts w:ascii="黑体" w:eastAsia="黑体" w:hint="eastAsia"/>
        </w:rPr>
        <w:t>委员会建议缔约国：</w:t>
      </w:r>
    </w:p>
    <w:p w14:paraId="048F4F2B" w14:textId="5250D93C" w:rsidR="00500BFC" w:rsidRPr="007959E9" w:rsidRDefault="00500BFC" w:rsidP="00500BFC">
      <w:pPr>
        <w:pStyle w:val="SingleTxt"/>
        <w:rPr>
          <w:rFonts w:ascii="黑体" w:eastAsia="黑体"/>
        </w:rPr>
      </w:pPr>
      <w:r>
        <w:tab/>
      </w:r>
      <w:r>
        <w:rPr>
          <w:rFonts w:hint="eastAsia"/>
        </w:rPr>
        <w:t>(a)</w:t>
      </w:r>
      <w:r>
        <w:tab/>
      </w:r>
      <w:r w:rsidRPr="007959E9">
        <w:rPr>
          <w:rFonts w:ascii="黑体" w:eastAsia="黑体" w:hint="eastAsia"/>
        </w:rPr>
        <w:t>依照国际标准通过有效执行《移徙法》的法规，包括遵守不驱回原则，将非正常入境非刑罪化和援助所有需要国际保护的妇女；</w:t>
      </w:r>
    </w:p>
    <w:p w14:paraId="08DCD46E" w14:textId="5730C864" w:rsidR="00500BFC" w:rsidRPr="007959E9" w:rsidRDefault="00500BFC" w:rsidP="00500BFC">
      <w:pPr>
        <w:pStyle w:val="SingleTxt"/>
        <w:rPr>
          <w:rFonts w:ascii="黑体" w:eastAsia="黑体"/>
        </w:rPr>
      </w:pPr>
      <w:r>
        <w:tab/>
      </w:r>
      <w:r>
        <w:rPr>
          <w:rFonts w:hint="eastAsia"/>
        </w:rPr>
        <w:t>(b)</w:t>
      </w:r>
      <w:r>
        <w:tab/>
      </w:r>
      <w:r w:rsidRPr="007959E9">
        <w:rPr>
          <w:rFonts w:ascii="黑体" w:eastAsia="黑体" w:hint="eastAsia"/>
        </w:rPr>
        <w:t>与本区域各国合作，制定和执行政策，保护和促进移徙女工的权利；</w:t>
      </w:r>
    </w:p>
    <w:p w14:paraId="1ACE2F18" w14:textId="3564368F" w:rsidR="00500BFC" w:rsidRPr="007959E9" w:rsidRDefault="00500BFC" w:rsidP="00500BFC">
      <w:pPr>
        <w:pStyle w:val="SingleTxt"/>
        <w:rPr>
          <w:rFonts w:ascii="黑体" w:eastAsia="黑体"/>
        </w:rPr>
      </w:pPr>
      <w:r>
        <w:tab/>
      </w:r>
      <w:r>
        <w:rPr>
          <w:rFonts w:hint="eastAsia"/>
        </w:rPr>
        <w:t>(c)</w:t>
      </w:r>
      <w:r>
        <w:tab/>
      </w:r>
      <w:r w:rsidRPr="007959E9">
        <w:rPr>
          <w:rFonts w:ascii="黑体" w:eastAsia="黑体" w:hint="eastAsia"/>
        </w:rPr>
        <w:t>对妇女移徙和境内流离失所问题的多种原因开展分析研究，并以其为基础，制定适当的应对政策，以在国际移徙背景下保障妇女的人权，并消除境内流离失所问题的根源。</w:t>
      </w:r>
    </w:p>
    <w:p w14:paraId="72F168DC" w14:textId="10BB334D" w:rsidR="00500BFC" w:rsidRPr="00500BFC" w:rsidRDefault="00500BFC" w:rsidP="00500BFC">
      <w:pPr>
        <w:pStyle w:val="SingleTxt"/>
        <w:rPr>
          <w:rFonts w:ascii="黑体" w:eastAsia="黑体"/>
        </w:rPr>
      </w:pPr>
      <w:r w:rsidRPr="00500BFC">
        <w:rPr>
          <w:rFonts w:ascii="黑体" w:eastAsia="黑体" w:hint="eastAsia"/>
        </w:rPr>
        <w:t>被拘留妇女</w:t>
      </w:r>
    </w:p>
    <w:p w14:paraId="3250A227" w14:textId="77777777" w:rsidR="00500BFC" w:rsidRDefault="00500BFC" w:rsidP="00500BFC">
      <w:pPr>
        <w:pStyle w:val="SingleTxt"/>
      </w:pPr>
      <w:r>
        <w:rPr>
          <w:rFonts w:hint="eastAsia"/>
        </w:rPr>
        <w:t>44.</w:t>
      </w:r>
      <w:r>
        <w:rPr>
          <w:rFonts w:hint="eastAsia"/>
        </w:rPr>
        <w:tab/>
      </w:r>
      <w:r>
        <w:rPr>
          <w:rFonts w:hint="eastAsia"/>
        </w:rPr>
        <w:t>委员会赞赏地注意到最近的监狱改革试点举措，包括使用电子监控镯等妇女和男子审前拘留的非监禁替代措施，这些举措已经得到国际社会的支持。然而，</w:t>
      </w:r>
      <w:r>
        <w:rPr>
          <w:rFonts w:hint="eastAsia"/>
        </w:rPr>
        <w:lastRenderedPageBreak/>
        <w:t>委员会感到关切的是，</w:t>
      </w:r>
      <w:r>
        <w:rPr>
          <w:rFonts w:hint="eastAsia"/>
        </w:rPr>
        <w:t>50%</w:t>
      </w:r>
      <w:r>
        <w:rPr>
          <w:rFonts w:hint="eastAsia"/>
        </w:rPr>
        <w:t>的被拘留妇女是受到审前防范性羁押。委员会关切地注意到妇女拘留场所拥挤和恶劣的条件、所报告的性别暴力案件、女同性恋和变性妇女被剥夺伴侣探视权和将隔离用作惩罚手段。委员会还关切地注意到，孕妇及与子女一起被拘留的妇女住宿条件不足。</w:t>
      </w:r>
    </w:p>
    <w:p w14:paraId="5A69911A" w14:textId="77777777" w:rsidR="00500BFC" w:rsidRPr="007959E9" w:rsidRDefault="00500BFC" w:rsidP="00500BFC">
      <w:pPr>
        <w:pStyle w:val="SingleTxt"/>
        <w:rPr>
          <w:rFonts w:ascii="黑体" w:eastAsia="黑体"/>
        </w:rPr>
      </w:pPr>
      <w:r>
        <w:rPr>
          <w:rFonts w:hint="eastAsia"/>
        </w:rPr>
        <w:t>45.</w:t>
      </w:r>
      <w:r>
        <w:rPr>
          <w:rFonts w:hint="eastAsia"/>
        </w:rPr>
        <w:tab/>
      </w:r>
      <w:r w:rsidRPr="007959E9">
        <w:rPr>
          <w:rFonts w:ascii="黑体" w:eastAsia="黑体" w:hint="eastAsia"/>
        </w:rPr>
        <w:t>委员会回顾《联合国女性囚犯待遇和女性罪犯非拘禁措施规则》和《联合国囚犯待遇最低限度标准规则》，并建议缔约国：</w:t>
      </w:r>
    </w:p>
    <w:p w14:paraId="1EF0719B" w14:textId="5AECBC9C" w:rsidR="00500BFC" w:rsidRDefault="00500BFC" w:rsidP="00500BFC">
      <w:pPr>
        <w:pStyle w:val="SingleTxt"/>
      </w:pPr>
      <w:r>
        <w:tab/>
      </w:r>
      <w:r>
        <w:rPr>
          <w:rFonts w:hint="eastAsia"/>
        </w:rPr>
        <w:t>(a)</w:t>
      </w:r>
      <w:r>
        <w:tab/>
      </w:r>
      <w:r w:rsidRPr="007959E9">
        <w:rPr>
          <w:rFonts w:ascii="黑体" w:eastAsia="黑体" w:hint="eastAsia"/>
        </w:rPr>
        <w:t>继续监狱改革，并通过推动审前拘留的非监禁替代措施，努力减少监狱过度拥挤状况；</w:t>
      </w:r>
    </w:p>
    <w:p w14:paraId="09431503" w14:textId="53499EE2" w:rsidR="00500BFC" w:rsidRPr="007959E9" w:rsidRDefault="00500BFC" w:rsidP="00500BFC">
      <w:pPr>
        <w:pStyle w:val="SingleTxt"/>
        <w:rPr>
          <w:rFonts w:ascii="黑体" w:eastAsia="黑体"/>
        </w:rPr>
      </w:pPr>
      <w:r>
        <w:tab/>
      </w:r>
      <w:r>
        <w:rPr>
          <w:rFonts w:hint="eastAsia"/>
        </w:rPr>
        <w:t>(b)</w:t>
      </w:r>
      <w:r>
        <w:tab/>
      </w:r>
      <w:r w:rsidRPr="007959E9">
        <w:rPr>
          <w:rFonts w:ascii="黑体" w:eastAsia="黑体" w:hint="eastAsia"/>
        </w:rPr>
        <w:t>确保被拘留妇女获得足够的保健、营养和卫生；</w:t>
      </w:r>
    </w:p>
    <w:p w14:paraId="6D89D56D" w14:textId="415325C7" w:rsidR="00500BFC" w:rsidRPr="007959E9" w:rsidRDefault="00500BFC" w:rsidP="00500BFC">
      <w:pPr>
        <w:pStyle w:val="SingleTxt"/>
        <w:rPr>
          <w:rFonts w:ascii="黑体" w:eastAsia="黑体"/>
        </w:rPr>
      </w:pPr>
      <w:r>
        <w:tab/>
      </w:r>
      <w:r>
        <w:rPr>
          <w:rFonts w:hint="eastAsia"/>
        </w:rPr>
        <w:t>(c)</w:t>
      </w:r>
      <w:r>
        <w:tab/>
      </w:r>
      <w:r w:rsidRPr="007959E9">
        <w:rPr>
          <w:rFonts w:ascii="黑体" w:eastAsia="黑体" w:hint="eastAsia"/>
        </w:rPr>
        <w:t>迅速调查所有指称的对被拘留妇女实施虐待和暴力案件，并确保伴侣探视权得到尊重，对同性恋和变性妇女一视同仁；</w:t>
      </w:r>
    </w:p>
    <w:p w14:paraId="5BCD9F6C" w14:textId="7DB67ED3" w:rsidR="00500BFC" w:rsidRPr="007959E9" w:rsidRDefault="00500BFC" w:rsidP="00500BFC">
      <w:pPr>
        <w:pStyle w:val="SingleTxt"/>
        <w:rPr>
          <w:rFonts w:ascii="黑体" w:eastAsia="黑体"/>
        </w:rPr>
      </w:pPr>
      <w:r>
        <w:tab/>
      </w:r>
      <w:r>
        <w:rPr>
          <w:rFonts w:hint="eastAsia"/>
        </w:rPr>
        <w:t>(d)</w:t>
      </w:r>
      <w:r>
        <w:tab/>
      </w:r>
      <w:r w:rsidRPr="007959E9">
        <w:rPr>
          <w:rFonts w:ascii="黑体" w:eastAsia="黑体" w:hint="eastAsia"/>
        </w:rPr>
        <w:t>对怀孕妇女和幼儿母亲提供替代拘留的办法，考虑到儿童的最大利益；</w:t>
      </w:r>
    </w:p>
    <w:p w14:paraId="7A69D091" w14:textId="627E4C94" w:rsidR="00500BFC" w:rsidRPr="00500BFC" w:rsidRDefault="00500BFC" w:rsidP="00500BFC">
      <w:pPr>
        <w:pStyle w:val="SingleTxt"/>
        <w:rPr>
          <w:rFonts w:ascii="黑体" w:eastAsia="黑体"/>
        </w:rPr>
      </w:pPr>
      <w:r w:rsidRPr="00500BFC">
        <w:rPr>
          <w:rFonts w:ascii="黑体" w:eastAsia="黑体" w:hint="eastAsia"/>
        </w:rPr>
        <w:t>婚姻和家庭关系</w:t>
      </w:r>
    </w:p>
    <w:p w14:paraId="48733ED1" w14:textId="6D8BD645" w:rsidR="00500BFC" w:rsidRDefault="00500BFC" w:rsidP="00500BFC">
      <w:pPr>
        <w:pStyle w:val="SingleTxt"/>
      </w:pPr>
      <w:r>
        <w:rPr>
          <w:rFonts w:hint="eastAsia"/>
        </w:rPr>
        <w:t>46.</w:t>
      </w:r>
      <w:r>
        <w:rPr>
          <w:rFonts w:hint="eastAsia"/>
        </w:rPr>
        <w:tab/>
      </w:r>
      <w:r>
        <w:rPr>
          <w:rFonts w:hint="eastAsia"/>
        </w:rPr>
        <w:t>委员会欢迎缔约国修订法律，将最低结婚年龄提高到</w:t>
      </w:r>
      <w:r>
        <w:rPr>
          <w:rFonts w:hint="eastAsia"/>
        </w:rPr>
        <w:t>18</w:t>
      </w:r>
      <w:r>
        <w:rPr>
          <w:rFonts w:hint="eastAsia"/>
        </w:rPr>
        <w:t>岁，并删除对这一年龄规定的任何豁免</w:t>
      </w:r>
      <w:r w:rsidR="007959E9">
        <w:rPr>
          <w:rFonts w:hint="eastAsia"/>
        </w:rPr>
        <w:t>(</w:t>
      </w:r>
      <w:r>
        <w:rPr>
          <w:rFonts w:hint="eastAsia"/>
        </w:rPr>
        <w:t>第</w:t>
      </w:r>
      <w:r>
        <w:rPr>
          <w:rFonts w:hint="eastAsia"/>
        </w:rPr>
        <w:t>8-2015</w:t>
      </w:r>
      <w:r>
        <w:rPr>
          <w:rFonts w:hint="eastAsia"/>
        </w:rPr>
        <w:t>号和</w:t>
      </w:r>
      <w:r>
        <w:rPr>
          <w:rFonts w:hint="eastAsia"/>
        </w:rPr>
        <w:t>13-2017</w:t>
      </w:r>
      <w:r>
        <w:rPr>
          <w:rFonts w:hint="eastAsia"/>
        </w:rPr>
        <w:t>号法令</w:t>
      </w:r>
      <w:r w:rsidR="007959E9">
        <w:rPr>
          <w:rFonts w:hint="eastAsia"/>
        </w:rPr>
        <w:t>)</w:t>
      </w:r>
      <w:r>
        <w:rPr>
          <w:rFonts w:hint="eastAsia"/>
        </w:rPr>
        <w:t>。然而，委员会感到关切的是，许多女童仍在结婚或建立结合关系，这对她们的健康和教育带来严重的消极后果。委员会关切地注意到，没有为确保</w:t>
      </w:r>
      <w:r>
        <w:rPr>
          <w:rFonts w:hint="eastAsia"/>
        </w:rPr>
        <w:t>14</w:t>
      </w:r>
      <w:r>
        <w:rPr>
          <w:rFonts w:hint="eastAsia"/>
        </w:rPr>
        <w:t>岁至</w:t>
      </w:r>
      <w:r>
        <w:rPr>
          <w:rFonts w:hint="eastAsia"/>
        </w:rPr>
        <w:t>18</w:t>
      </w:r>
      <w:r>
        <w:rPr>
          <w:rFonts w:hint="eastAsia"/>
        </w:rPr>
        <w:t>岁女童受到保护统一《刑法》中有关同意性行为年龄的规定。委员会还感到关切的是，有大量未登记婚姻。</w:t>
      </w:r>
    </w:p>
    <w:p w14:paraId="083DA063" w14:textId="03F27B80" w:rsidR="00500BFC" w:rsidRPr="007959E9" w:rsidRDefault="00500BFC" w:rsidP="00500BFC">
      <w:pPr>
        <w:pStyle w:val="SingleTxt"/>
        <w:rPr>
          <w:rFonts w:ascii="黑体" w:eastAsia="黑体"/>
          <w:spacing w:val="-2"/>
        </w:rPr>
      </w:pPr>
      <w:r>
        <w:rPr>
          <w:rFonts w:hint="eastAsia"/>
        </w:rPr>
        <w:t>47.</w:t>
      </w:r>
      <w:r>
        <w:tab/>
      </w:r>
      <w:r w:rsidRPr="007959E9">
        <w:rPr>
          <w:rFonts w:ascii="黑体" w:eastAsia="黑体" w:hint="eastAsia"/>
          <w:spacing w:val="-2"/>
        </w:rPr>
        <w:t>委员会建议缔约国确保严格执行第8-2015和13-2017号法令。委员会还建议缔约国统一《刑法》有关性同意年龄的规定(第173条和173条之二)。委员会建议缔约国从根本原因上解决早婚问题，并为终止这种做法开展提高公众认识的方案，包括宣传早孕和早婚对女童教育和健康的负面后果的活动。委员会还建议缔约国采取措施，保护已在童婚和结合关系中的女童的权利，并确保所有婚姻登记。</w:t>
      </w:r>
    </w:p>
    <w:p w14:paraId="3F3E9BE1" w14:textId="3472E4CC" w:rsidR="00500BFC" w:rsidRPr="00500BFC" w:rsidRDefault="00500BFC" w:rsidP="00500BFC">
      <w:pPr>
        <w:pStyle w:val="SingleTxt"/>
        <w:rPr>
          <w:rFonts w:ascii="黑体" w:eastAsia="黑体"/>
        </w:rPr>
      </w:pPr>
      <w:r w:rsidRPr="00500BFC">
        <w:rPr>
          <w:rFonts w:ascii="黑体" w:eastAsia="黑体" w:hint="eastAsia"/>
        </w:rPr>
        <w:t>数据收集与分析</w:t>
      </w:r>
    </w:p>
    <w:p w14:paraId="5FEEDD21" w14:textId="6B49CB5D" w:rsidR="00500BFC" w:rsidRDefault="00500BFC" w:rsidP="00500BFC">
      <w:pPr>
        <w:pStyle w:val="SingleTxt"/>
      </w:pPr>
      <w:r>
        <w:rPr>
          <w:rFonts w:hint="eastAsia"/>
        </w:rPr>
        <w:t>48.</w:t>
      </w:r>
      <w:r>
        <w:tab/>
      </w:r>
      <w:r>
        <w:rPr>
          <w:rFonts w:hint="eastAsia"/>
        </w:rPr>
        <w:t>委员会赞赏地注意到，缔约国将在</w:t>
      </w:r>
      <w:r>
        <w:rPr>
          <w:rFonts w:hint="eastAsia"/>
        </w:rPr>
        <w:t>2018</w:t>
      </w:r>
      <w:r>
        <w:rPr>
          <w:rFonts w:hint="eastAsia"/>
        </w:rPr>
        <w:t>年</w:t>
      </w:r>
      <w:r>
        <w:rPr>
          <w:rFonts w:hint="eastAsia"/>
        </w:rPr>
        <w:t>4</w:t>
      </w:r>
      <w:r>
        <w:rPr>
          <w:rFonts w:hint="eastAsia"/>
        </w:rPr>
        <w:t>月进行下一次人口普查。然而，委员会感到遗憾的是，现有的数据并不有助于充分理解生活条件和现有的不平等现象，因为这些数据不充分并且过时。委员会还感到遗憾的是，在《公约》涉及的许多领域没有提供足够的按性别分列的数据。委员会感到关切的是，没有提供充分资料说明采取了何种措施，以提高国家统计局提供按性别分列的统计数据、以更清晰地显示妇女状况方面能力。</w:t>
      </w:r>
    </w:p>
    <w:p w14:paraId="69A62562" w14:textId="615517D1" w:rsidR="00500BFC" w:rsidRPr="007959E9" w:rsidRDefault="00500BFC" w:rsidP="00500BFC">
      <w:pPr>
        <w:pStyle w:val="SingleTxt"/>
        <w:rPr>
          <w:rFonts w:ascii="黑体" w:eastAsia="黑体"/>
        </w:rPr>
      </w:pPr>
      <w:r>
        <w:rPr>
          <w:rFonts w:hint="eastAsia"/>
        </w:rPr>
        <w:t>49.</w:t>
      </w:r>
      <w:r>
        <w:tab/>
      </w:r>
      <w:r w:rsidRPr="007959E9">
        <w:rPr>
          <w:rFonts w:ascii="黑体" w:eastAsia="黑体" w:hint="eastAsia"/>
        </w:rPr>
        <w:t>委员会建议缔约国确保2018年的下一次人口普查包括供答复者自我确认为土著妇女、加里富纳妇女和非洲裔非加里富纳妇女使用的标准，以期协助她们的身份确认和识别。在这方面，委员会还建议，民间社会组织，包括代表上述群体的妇女组织，参与所有收集信息进程，并为社区和所有负责设计方法和收集和分析信息的人设立提高认识方案。委员会还建议缔约国采取措施，在《公约》涵盖的所有领域加强国家统计局的能力，以改善按性别、年龄、种族、族裔、地理位</w:t>
      </w:r>
      <w:r w:rsidRPr="007959E9">
        <w:rPr>
          <w:rFonts w:ascii="黑体" w:eastAsia="黑体" w:hint="eastAsia"/>
        </w:rPr>
        <w:lastRenderedPageBreak/>
        <w:t>置和社会经济背景分列的统计数据的收集和分析，特别是在受到交叉歧视的妇女群体方面，以便评估在实现事实上的平等方面取得的进展、所采取的措施产生的影响和取得的成果。</w:t>
      </w:r>
    </w:p>
    <w:p w14:paraId="25F51E1C" w14:textId="2D02799D" w:rsidR="00500BFC" w:rsidRPr="00500BFC" w:rsidRDefault="00500BFC" w:rsidP="00500BFC">
      <w:pPr>
        <w:pStyle w:val="SingleTxt"/>
        <w:rPr>
          <w:rFonts w:ascii="黑体" w:eastAsia="黑体"/>
        </w:rPr>
      </w:pPr>
      <w:r w:rsidRPr="00500BFC">
        <w:rPr>
          <w:rFonts w:ascii="黑体" w:eastAsia="黑体" w:hint="eastAsia"/>
        </w:rPr>
        <w:t>《北京宣言》和《行动纲要》</w:t>
      </w:r>
    </w:p>
    <w:p w14:paraId="4790D52A" w14:textId="77777777" w:rsidR="00500BFC" w:rsidRPr="007959E9" w:rsidRDefault="00500BFC" w:rsidP="00500BFC">
      <w:pPr>
        <w:pStyle w:val="SingleTxt"/>
        <w:rPr>
          <w:rFonts w:ascii="黑体" w:eastAsia="黑体"/>
          <w:spacing w:val="2"/>
        </w:rPr>
      </w:pPr>
      <w:r>
        <w:rPr>
          <w:rFonts w:hint="eastAsia"/>
        </w:rPr>
        <w:t>50.</w:t>
      </w:r>
      <w:r>
        <w:rPr>
          <w:rFonts w:hint="eastAsia"/>
        </w:rPr>
        <w:tab/>
      </w:r>
      <w:r w:rsidRPr="007959E9">
        <w:rPr>
          <w:rFonts w:ascii="黑体" w:eastAsia="黑体" w:hint="eastAsia"/>
          <w:spacing w:val="2"/>
        </w:rPr>
        <w:t>委员会呼吁缔约国在努力执行《公约》条款时利用《北京宣言》和《行动纲要》。</w:t>
      </w:r>
    </w:p>
    <w:p w14:paraId="1A4E808E" w14:textId="772C1210" w:rsidR="00500BFC" w:rsidRPr="00500BFC" w:rsidRDefault="00500BFC" w:rsidP="00500BFC">
      <w:pPr>
        <w:pStyle w:val="SingleTxt"/>
        <w:rPr>
          <w:rFonts w:ascii="黑体" w:eastAsia="黑体"/>
        </w:rPr>
      </w:pPr>
      <w:r w:rsidRPr="00500BFC">
        <w:rPr>
          <w:rFonts w:ascii="黑体" w:eastAsia="黑体" w:hint="eastAsia"/>
        </w:rPr>
        <w:t>《2030年可持续发展议程》</w:t>
      </w:r>
    </w:p>
    <w:p w14:paraId="50A68853" w14:textId="77777777" w:rsidR="00500BFC" w:rsidRPr="007959E9" w:rsidRDefault="00500BFC" w:rsidP="00500BFC">
      <w:pPr>
        <w:pStyle w:val="SingleTxt"/>
        <w:rPr>
          <w:rFonts w:ascii="黑体" w:eastAsia="黑体"/>
        </w:rPr>
      </w:pPr>
      <w:r>
        <w:rPr>
          <w:rFonts w:hint="eastAsia"/>
        </w:rPr>
        <w:t>51.</w:t>
      </w:r>
      <w:r>
        <w:rPr>
          <w:rFonts w:hint="eastAsia"/>
        </w:rPr>
        <w:tab/>
      </w:r>
      <w:r w:rsidRPr="007959E9">
        <w:rPr>
          <w:rFonts w:ascii="黑体" w:eastAsia="黑体" w:hint="eastAsia"/>
        </w:rPr>
        <w:t>委员会呼吁在执行《2030年可持续发展议程》整个过程中，按照《公约》规定实现实质性的性别平等。</w:t>
      </w:r>
    </w:p>
    <w:p w14:paraId="1FC8AF99" w14:textId="2BBB2188" w:rsidR="00500BFC" w:rsidRPr="00500BFC" w:rsidRDefault="00500BFC" w:rsidP="00500BFC">
      <w:pPr>
        <w:pStyle w:val="SingleTxt"/>
        <w:rPr>
          <w:rFonts w:ascii="黑体" w:eastAsia="黑体"/>
        </w:rPr>
      </w:pPr>
      <w:r w:rsidRPr="00500BFC">
        <w:rPr>
          <w:rFonts w:ascii="黑体" w:eastAsia="黑体" w:hint="eastAsia"/>
        </w:rPr>
        <w:t>传播</w:t>
      </w:r>
    </w:p>
    <w:p w14:paraId="71053315" w14:textId="77777777" w:rsidR="00500BFC" w:rsidRPr="007959E9" w:rsidRDefault="00500BFC" w:rsidP="00500BFC">
      <w:pPr>
        <w:pStyle w:val="SingleTxt"/>
        <w:rPr>
          <w:rFonts w:ascii="黑体" w:eastAsia="黑体"/>
        </w:rPr>
      </w:pPr>
      <w:r>
        <w:rPr>
          <w:rFonts w:hint="eastAsia"/>
        </w:rPr>
        <w:t>52.</w:t>
      </w:r>
      <w:r>
        <w:rPr>
          <w:rFonts w:hint="eastAsia"/>
        </w:rPr>
        <w:tab/>
      </w:r>
      <w:r w:rsidRPr="007959E9">
        <w:rPr>
          <w:rFonts w:ascii="黑体" w:eastAsia="黑体" w:hint="eastAsia"/>
        </w:rPr>
        <w:t>委员会请缔约国确保以缔约国的正式语文及时向各级(国家、区域和地方)有关国家机构传播本结论性意见，特别是政府、各部委、国会和司法部门，以便使其得到全面执行。</w:t>
      </w:r>
    </w:p>
    <w:p w14:paraId="6F8596CD" w14:textId="6288359A" w:rsidR="00500BFC" w:rsidRPr="00500BFC" w:rsidRDefault="00500BFC" w:rsidP="00500BFC">
      <w:pPr>
        <w:pStyle w:val="SingleTxt"/>
        <w:rPr>
          <w:rFonts w:ascii="黑体" w:eastAsia="黑体"/>
        </w:rPr>
      </w:pPr>
      <w:r w:rsidRPr="00500BFC">
        <w:rPr>
          <w:rFonts w:ascii="黑体" w:eastAsia="黑体" w:hint="eastAsia"/>
        </w:rPr>
        <w:t>技术援助</w:t>
      </w:r>
    </w:p>
    <w:p w14:paraId="72F71F25" w14:textId="77777777" w:rsidR="00500BFC" w:rsidRPr="007959E9" w:rsidRDefault="00500BFC" w:rsidP="00500BFC">
      <w:pPr>
        <w:pStyle w:val="SingleTxt"/>
        <w:rPr>
          <w:rFonts w:ascii="黑体" w:eastAsia="黑体"/>
        </w:rPr>
      </w:pPr>
      <w:r>
        <w:rPr>
          <w:rFonts w:hint="eastAsia"/>
        </w:rPr>
        <w:t>53.</w:t>
      </w:r>
      <w:r>
        <w:rPr>
          <w:rFonts w:hint="eastAsia"/>
        </w:rPr>
        <w:tab/>
      </w:r>
      <w:r w:rsidRPr="007959E9">
        <w:rPr>
          <w:rFonts w:ascii="黑体" w:eastAsia="黑体" w:hint="eastAsia"/>
        </w:rPr>
        <w:t>委员会建议缔约国把执行《公约》与本国的发展努力结合起来，并在这方面利用区域或国际技术援助。</w:t>
      </w:r>
    </w:p>
    <w:p w14:paraId="0D72C535" w14:textId="5FDB9CFE" w:rsidR="00500BFC" w:rsidRPr="00500BFC" w:rsidRDefault="00500BFC" w:rsidP="00500BFC">
      <w:pPr>
        <w:pStyle w:val="SingleTxt"/>
        <w:rPr>
          <w:rFonts w:ascii="黑体" w:eastAsia="黑体"/>
        </w:rPr>
      </w:pPr>
      <w:r w:rsidRPr="00500BFC">
        <w:rPr>
          <w:rFonts w:ascii="黑体" w:eastAsia="黑体" w:hint="eastAsia"/>
        </w:rPr>
        <w:t>批准其他条约</w:t>
      </w:r>
    </w:p>
    <w:p w14:paraId="070431FD" w14:textId="745AD17F" w:rsidR="00500BFC" w:rsidRPr="007959E9" w:rsidRDefault="00500BFC" w:rsidP="00500BFC">
      <w:pPr>
        <w:pStyle w:val="SingleTxt"/>
        <w:rPr>
          <w:rFonts w:ascii="黑体" w:eastAsia="黑体"/>
        </w:rPr>
      </w:pPr>
      <w:r>
        <w:rPr>
          <w:rFonts w:hint="eastAsia"/>
        </w:rPr>
        <w:t>54.</w:t>
      </w:r>
      <w:r>
        <w:rPr>
          <w:rFonts w:hint="eastAsia"/>
        </w:rPr>
        <w:tab/>
      </w:r>
      <w:r w:rsidRPr="007959E9">
        <w:rPr>
          <w:rFonts w:ascii="黑体" w:eastAsia="黑体" w:hint="eastAsia"/>
        </w:rPr>
        <w:t>委员会注意到缔约国加入了九项主要的国际人权文书， 这将促进妇女在生活各方面享有其人权和基本自由。</w:t>
      </w:r>
      <w:r w:rsidR="002750DE" w:rsidRPr="007959E9">
        <w:rPr>
          <w:rStyle w:val="a3"/>
          <w:rFonts w:ascii="黑体" w:eastAsia="黑体"/>
        </w:rPr>
        <w:footnoteReference w:id="3"/>
      </w:r>
      <w:r w:rsidRPr="007959E9">
        <w:rPr>
          <w:rFonts w:ascii="黑体" w:eastAsia="黑体" w:hint="eastAsia"/>
        </w:rPr>
        <w:t xml:space="preserve"> 因此，委员会鼓励该缔约国批准其尚未加入的《保护所有人免遭强迫失踪国际公约》。</w:t>
      </w:r>
    </w:p>
    <w:p w14:paraId="46FE5F12" w14:textId="2F6C60E1" w:rsidR="00500BFC" w:rsidRPr="00500BFC" w:rsidRDefault="00500BFC" w:rsidP="00500BFC">
      <w:pPr>
        <w:pStyle w:val="SingleTxt"/>
        <w:rPr>
          <w:rFonts w:ascii="黑体" w:eastAsia="黑体"/>
        </w:rPr>
      </w:pPr>
      <w:r w:rsidRPr="00500BFC">
        <w:rPr>
          <w:rFonts w:ascii="黑体" w:eastAsia="黑体" w:hint="eastAsia"/>
        </w:rPr>
        <w:t>结论性意见的后续行动</w:t>
      </w:r>
    </w:p>
    <w:p w14:paraId="27921D2B" w14:textId="263F1810" w:rsidR="00500BFC" w:rsidRPr="007959E9" w:rsidRDefault="00500BFC" w:rsidP="00500BFC">
      <w:pPr>
        <w:pStyle w:val="SingleTxt"/>
        <w:rPr>
          <w:rFonts w:ascii="黑体" w:eastAsia="黑体"/>
        </w:rPr>
      </w:pPr>
      <w:r>
        <w:rPr>
          <w:rFonts w:hint="eastAsia"/>
        </w:rPr>
        <w:t>55.</w:t>
      </w:r>
      <w:r>
        <w:rPr>
          <w:rFonts w:hint="eastAsia"/>
        </w:rPr>
        <w:tab/>
      </w:r>
      <w:r w:rsidRPr="007959E9">
        <w:rPr>
          <w:rFonts w:ascii="黑体" w:eastAsia="黑体" w:hint="eastAsia"/>
        </w:rPr>
        <w:t>委员会请缔约国在两年内提供书面资料，说明为执行上文第15(a)、第25(b)、第35(b)以及第41(a)段所载建议而采取的步骤。</w:t>
      </w:r>
    </w:p>
    <w:p w14:paraId="2B75B61E" w14:textId="61E58431" w:rsidR="00500BFC" w:rsidRPr="00500BFC" w:rsidRDefault="00500BFC" w:rsidP="00500BFC">
      <w:pPr>
        <w:pStyle w:val="SingleTxt"/>
        <w:rPr>
          <w:rFonts w:ascii="黑体" w:eastAsia="黑体"/>
        </w:rPr>
      </w:pPr>
      <w:r w:rsidRPr="00500BFC">
        <w:rPr>
          <w:rFonts w:ascii="黑体" w:eastAsia="黑体" w:hint="eastAsia"/>
        </w:rPr>
        <w:t>编写下次报告</w:t>
      </w:r>
    </w:p>
    <w:p w14:paraId="5DD858EA" w14:textId="77777777" w:rsidR="00500BFC" w:rsidRPr="007959E9" w:rsidRDefault="00500BFC" w:rsidP="00500BFC">
      <w:pPr>
        <w:pStyle w:val="SingleTxt"/>
        <w:rPr>
          <w:rFonts w:ascii="黑体" w:eastAsia="黑体"/>
        </w:rPr>
      </w:pPr>
      <w:r>
        <w:rPr>
          <w:rFonts w:hint="eastAsia"/>
        </w:rPr>
        <w:t>56.</w:t>
      </w:r>
      <w:r>
        <w:rPr>
          <w:rFonts w:hint="eastAsia"/>
        </w:rPr>
        <w:tab/>
      </w:r>
      <w:r w:rsidRPr="007959E9">
        <w:rPr>
          <w:rFonts w:ascii="黑体" w:eastAsia="黑体" w:hint="eastAsia"/>
        </w:rPr>
        <w:t>委员会请缔约国按照约定于2021年11月提交其第十次定期报告。该报告应准时提交，并涵盖截至提交之时的整个期间。</w:t>
      </w:r>
    </w:p>
    <w:p w14:paraId="4FD7F5CE" w14:textId="755DD02F" w:rsidR="00500BFC" w:rsidRPr="007959E9" w:rsidRDefault="00500BFC" w:rsidP="00500BFC">
      <w:pPr>
        <w:pStyle w:val="SingleTxt"/>
        <w:rPr>
          <w:rFonts w:ascii="黑体" w:eastAsia="黑体"/>
        </w:rPr>
      </w:pPr>
      <w:r>
        <w:rPr>
          <w:rFonts w:hint="eastAsia"/>
        </w:rPr>
        <w:t>57.</w:t>
      </w:r>
      <w:r>
        <w:rPr>
          <w:rFonts w:hint="eastAsia"/>
        </w:rPr>
        <w:tab/>
      </w:r>
      <w:r w:rsidRPr="007959E9">
        <w:rPr>
          <w:rFonts w:ascii="黑体" w:eastAsia="黑体" w:hint="eastAsia"/>
        </w:rPr>
        <w:t>委员会请缔约国遵守包括共同核心文件和条约专要文件准则在内的根据国际人权条约统一提交报告准则(</w:t>
      </w:r>
      <w:hyperlink r:id="rId23" w:history="1">
        <w:r w:rsidRPr="00BD041A">
          <w:rPr>
            <w:rStyle w:val="ad"/>
            <w:rFonts w:ascii="黑体" w:eastAsia="黑体" w:hint="eastAsia"/>
          </w:rPr>
          <w:t>HRI/GEN/2/Rev.6</w:t>
        </w:r>
      </w:hyperlink>
      <w:r w:rsidRPr="007959E9">
        <w:rPr>
          <w:rFonts w:ascii="黑体" w:eastAsia="黑体" w:hint="eastAsia"/>
        </w:rPr>
        <w:t>，第一章)。</w:t>
      </w:r>
    </w:p>
    <w:p w14:paraId="710DB68A" w14:textId="25ED0DD4" w:rsidR="00500BFC" w:rsidRPr="00500BFC" w:rsidRDefault="00500BFC" w:rsidP="00500BFC">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123839E3" wp14:editId="2131A8BC">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F1C45F"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500BFC" w:rsidRPr="00500BFC" w:rsidSect="000658B1">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6T12:18:00Z" w:initials="Start">
    <w:p w14:paraId="7F216972" w14:textId="77777777" w:rsidR="00D909AF" w:rsidRDefault="00D909AF">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NO&gt;&gt;N1739407C&lt;&lt;ODS JOB NO&gt;&gt;</w:t>
      </w:r>
    </w:p>
    <w:p w14:paraId="3FD72663" w14:textId="77777777" w:rsidR="00D909AF" w:rsidRDefault="00D909AF">
      <w:pPr>
        <w:pStyle w:val="a7"/>
      </w:pPr>
      <w:r>
        <w:t>&lt;&lt;ODS DOC SYMBOL1&gt;&gt;CEDAW/C/GTM/CO/8-9&lt;&lt;ODS DOC SYMBOL1&gt;&gt;</w:t>
      </w:r>
    </w:p>
    <w:p w14:paraId="3BE87410" w14:textId="77777777" w:rsidR="00D909AF" w:rsidRDefault="00D909AF">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E8741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B1D48" w14:textId="77777777" w:rsidR="008762EF" w:rsidRDefault="008762EF">
      <w:r>
        <w:separator/>
      </w:r>
    </w:p>
  </w:endnote>
  <w:endnote w:type="continuationSeparator" w:id="0">
    <w:p w14:paraId="14D9016A" w14:textId="77777777" w:rsidR="008762EF" w:rsidRDefault="00876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altName w:val="微软雅黑"/>
    <w:panose1 w:val="02010609030101010101"/>
    <w:charset w:val="86"/>
    <w:family w:val="modern"/>
    <w:pitch w:val="fixed"/>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D909AF" w14:paraId="6EB3EF40" w14:textId="77777777" w:rsidTr="00D909AF">
      <w:tc>
        <w:tcPr>
          <w:tcW w:w="4920" w:type="dxa"/>
          <w:shd w:val="clear" w:color="auto" w:fill="auto"/>
        </w:tcPr>
        <w:p w14:paraId="3876B7CC" w14:textId="77777777" w:rsidR="00D909AF" w:rsidRPr="00D909AF" w:rsidRDefault="00D909AF" w:rsidP="00D909AF">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17-20383 (C)</w:t>
          </w:r>
          <w:r>
            <w:rPr>
              <w:b w:val="0"/>
              <w:w w:val="103"/>
              <w:sz w:val="14"/>
            </w:rPr>
            <w:fldChar w:fldCharType="end"/>
          </w:r>
        </w:p>
      </w:tc>
      <w:tc>
        <w:tcPr>
          <w:tcW w:w="4920" w:type="dxa"/>
          <w:shd w:val="clear" w:color="auto" w:fill="auto"/>
        </w:tcPr>
        <w:p w14:paraId="3D75E3E0" w14:textId="557592DD" w:rsidR="00D909AF" w:rsidRPr="00D909AF" w:rsidRDefault="00D909AF" w:rsidP="00D909AF">
          <w:pPr>
            <w:pStyle w:val="ac"/>
            <w:jc w:val="left"/>
            <w:rPr>
              <w:w w:val="103"/>
            </w:rPr>
          </w:pPr>
          <w:r>
            <w:rPr>
              <w:w w:val="103"/>
            </w:rPr>
            <w:fldChar w:fldCharType="begin"/>
          </w:r>
          <w:r>
            <w:rPr>
              <w:w w:val="103"/>
            </w:rPr>
            <w:instrText xml:space="preserve"> PAGE  \* Arabic  \* MERGEFORMAT </w:instrText>
          </w:r>
          <w:r>
            <w:rPr>
              <w:w w:val="103"/>
            </w:rPr>
            <w:fldChar w:fldCharType="separate"/>
          </w:r>
          <w:r w:rsidR="008C519D">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C519D">
            <w:rPr>
              <w:w w:val="103"/>
            </w:rPr>
            <w:t>14</w:t>
          </w:r>
          <w:r>
            <w:rPr>
              <w:w w:val="103"/>
            </w:rPr>
            <w:fldChar w:fldCharType="end"/>
          </w:r>
        </w:p>
      </w:tc>
    </w:tr>
  </w:tbl>
  <w:p w14:paraId="07EE5327" w14:textId="77777777" w:rsidR="00D909AF" w:rsidRPr="00D909AF" w:rsidRDefault="00D909AF" w:rsidP="00D909AF">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D909AF" w14:paraId="61E83FA4" w14:textId="77777777" w:rsidTr="00D909AF">
      <w:tc>
        <w:tcPr>
          <w:tcW w:w="4920" w:type="dxa"/>
          <w:shd w:val="clear" w:color="auto" w:fill="auto"/>
        </w:tcPr>
        <w:p w14:paraId="4D9F21F5" w14:textId="1E7D0510" w:rsidR="00D909AF" w:rsidRPr="00D909AF" w:rsidRDefault="00D909AF" w:rsidP="00D909AF">
          <w:pPr>
            <w:pStyle w:val="ac"/>
            <w:jc w:val="right"/>
          </w:pPr>
          <w:r>
            <w:fldChar w:fldCharType="begin"/>
          </w:r>
          <w:r>
            <w:instrText xml:space="preserve"> PAGE  \* Arabic  \* MERGEFORMAT </w:instrText>
          </w:r>
          <w:r>
            <w:fldChar w:fldCharType="separate"/>
          </w:r>
          <w:r w:rsidR="008C519D">
            <w:t>13</w:t>
          </w:r>
          <w:r>
            <w:fldChar w:fldCharType="end"/>
          </w:r>
          <w:r>
            <w:t>/</w:t>
          </w:r>
          <w:r w:rsidR="008C519D">
            <w:fldChar w:fldCharType="begin"/>
          </w:r>
          <w:r w:rsidR="008C519D">
            <w:instrText xml:space="preserve"> NUMPAGES  \* Arabic  \* MERGEFORMAT </w:instrText>
          </w:r>
          <w:r w:rsidR="008C519D">
            <w:fldChar w:fldCharType="separate"/>
          </w:r>
          <w:r w:rsidR="008C519D">
            <w:t>14</w:t>
          </w:r>
          <w:r w:rsidR="008C519D">
            <w:fldChar w:fldCharType="end"/>
          </w:r>
        </w:p>
      </w:tc>
      <w:tc>
        <w:tcPr>
          <w:tcW w:w="4920" w:type="dxa"/>
          <w:shd w:val="clear" w:color="auto" w:fill="auto"/>
        </w:tcPr>
        <w:p w14:paraId="6CE680CE" w14:textId="77777777" w:rsidR="00D909AF" w:rsidRPr="00D909AF" w:rsidRDefault="00D909AF" w:rsidP="00D909AF">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17-20383 (C)</w:t>
          </w:r>
          <w:r>
            <w:rPr>
              <w:b w:val="0"/>
              <w:w w:val="103"/>
              <w:sz w:val="14"/>
            </w:rPr>
            <w:fldChar w:fldCharType="end"/>
          </w:r>
        </w:p>
      </w:tc>
    </w:tr>
  </w:tbl>
  <w:p w14:paraId="25DE6A7E" w14:textId="77777777" w:rsidR="00D909AF" w:rsidRPr="00D909AF" w:rsidRDefault="00D909AF" w:rsidP="00D909AF">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D909AF" w14:paraId="781A62E0" w14:textId="77777777" w:rsidTr="00D909AF">
      <w:tc>
        <w:tcPr>
          <w:tcW w:w="3744" w:type="dxa"/>
        </w:tcPr>
        <w:p w14:paraId="5F97891A" w14:textId="1934B514" w:rsidR="00D909AF" w:rsidRDefault="00D909AF" w:rsidP="00D909AF">
          <w:pPr>
            <w:pStyle w:val="Release"/>
          </w:pPr>
          <w:r>
            <w:rPr>
              <w:noProof/>
            </w:rPr>
            <w:drawing>
              <wp:anchor distT="0" distB="0" distL="114300" distR="114300" simplePos="0" relativeHeight="251658240" behindDoc="0" locked="0" layoutInCell="1" allowOverlap="1" wp14:anchorId="726C8CF8" wp14:editId="4968F18A">
                <wp:simplePos x="0" y="0"/>
                <wp:positionH relativeFrom="column">
                  <wp:posOffset>5527040</wp:posOffset>
                </wp:positionH>
                <wp:positionV relativeFrom="paragraph">
                  <wp:posOffset>-187960</wp:posOffset>
                </wp:positionV>
                <wp:extent cx="694690" cy="694690"/>
                <wp:effectExtent l="0" t="0" r="0" b="0"/>
                <wp:wrapNone/>
                <wp:docPr id="3" name="图片 3" descr="https://undocs.org/m2/QRCode2.ashx?DS=CEDAW/C/GTM/CO/8-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TM/CO/8-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C519D">
            <w:fldChar w:fldCharType="begin"/>
          </w:r>
          <w:r w:rsidR="008C519D">
            <w:instrText xml:space="preserve"> DOCVARIABLE "jobn" \* MERGEFORMAT </w:instrText>
          </w:r>
          <w:r w:rsidR="008C519D">
            <w:fldChar w:fldCharType="separate"/>
          </w:r>
          <w:r>
            <w:t>17-20383 (C)</w:t>
          </w:r>
          <w:r w:rsidR="008C519D">
            <w:fldChar w:fldCharType="end"/>
          </w:r>
          <w:r>
            <w:t xml:space="preserve">    1</w:t>
          </w:r>
          <w:r w:rsidR="000658B1">
            <w:rPr>
              <w:rFonts w:hint="eastAsia"/>
            </w:rPr>
            <w:t>5</w:t>
          </w:r>
          <w:r>
            <w:t>0118    1</w:t>
          </w:r>
          <w:r w:rsidR="000658B1">
            <w:rPr>
              <w:rFonts w:hint="eastAsia"/>
            </w:rPr>
            <w:t>7</w:t>
          </w:r>
          <w:r>
            <w:t>0118</w:t>
          </w:r>
        </w:p>
        <w:p w14:paraId="5373A148" w14:textId="77777777" w:rsidR="00D909AF" w:rsidRPr="00D909AF" w:rsidRDefault="00D909AF" w:rsidP="00D909AF">
          <w:pPr>
            <w:spacing w:before="80" w:line="210" w:lineRule="exact"/>
            <w:rPr>
              <w:rFonts w:ascii="Barcode 3 of 9 by request" w:hAnsi="Barcode 3 of 9 by request"/>
              <w:sz w:val="24"/>
            </w:rPr>
          </w:pPr>
          <w:r>
            <w:rPr>
              <w:rFonts w:ascii="Barcode 3 of 9 by request" w:hAnsi="Barcode 3 of 9 by request"/>
              <w:sz w:val="24"/>
            </w:rPr>
            <w:t>*1720383*</w:t>
          </w:r>
        </w:p>
      </w:tc>
      <w:tc>
        <w:tcPr>
          <w:tcW w:w="4920" w:type="dxa"/>
        </w:tcPr>
        <w:p w14:paraId="15FF2425" w14:textId="77777777" w:rsidR="00D909AF" w:rsidRDefault="00D909AF" w:rsidP="00D909AF">
          <w:pPr>
            <w:pStyle w:val="ac"/>
            <w:jc w:val="right"/>
            <w:rPr>
              <w:b w:val="0"/>
              <w:sz w:val="21"/>
            </w:rPr>
          </w:pPr>
          <w:r>
            <w:rPr>
              <w:b w:val="0"/>
              <w:sz w:val="21"/>
            </w:rPr>
            <w:drawing>
              <wp:inline distT="0" distB="0" distL="0" distR="0" wp14:anchorId="5A072741" wp14:editId="5F79C69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7501780" w14:textId="77777777" w:rsidR="00D909AF" w:rsidRPr="00D909AF" w:rsidRDefault="00D909AF" w:rsidP="00D909AF">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0A3D4" w14:textId="6243F707" w:rsidR="008762EF" w:rsidRPr="00500BFC" w:rsidRDefault="00500BFC" w:rsidP="00500BFC">
      <w:pPr>
        <w:pStyle w:val="ac"/>
        <w:spacing w:after="80"/>
        <w:ind w:left="792"/>
        <w:rPr>
          <w:sz w:val="16"/>
        </w:rPr>
      </w:pPr>
      <w:r w:rsidRPr="00500BFC">
        <w:rPr>
          <w:sz w:val="16"/>
        </w:rPr>
        <w:t>__________________</w:t>
      </w:r>
    </w:p>
  </w:footnote>
  <w:footnote w:type="continuationSeparator" w:id="0">
    <w:p w14:paraId="26D387E9" w14:textId="5EA0F130" w:rsidR="008762EF" w:rsidRPr="00500BFC" w:rsidRDefault="00500BFC" w:rsidP="00500BFC">
      <w:pPr>
        <w:pStyle w:val="ac"/>
        <w:spacing w:after="80"/>
        <w:ind w:left="792"/>
        <w:rPr>
          <w:sz w:val="16"/>
        </w:rPr>
      </w:pPr>
      <w:r w:rsidRPr="00500BFC">
        <w:rPr>
          <w:sz w:val="16"/>
        </w:rPr>
        <w:t>__________________</w:t>
      </w:r>
    </w:p>
  </w:footnote>
  <w:footnote w:id="1">
    <w:p w14:paraId="1D8847D6" w14:textId="5A7AF00A" w:rsidR="00500BFC" w:rsidRDefault="00500BFC" w:rsidP="00500BFC">
      <w:pPr>
        <w:pStyle w:val="a5"/>
        <w:tabs>
          <w:tab w:val="clear" w:pos="418"/>
          <w:tab w:val="right" w:pos="1195"/>
          <w:tab w:val="left" w:pos="1264"/>
          <w:tab w:val="left" w:pos="1695"/>
          <w:tab w:val="left" w:pos="2126"/>
          <w:tab w:val="left" w:pos="2557"/>
        </w:tabs>
        <w:ind w:left="1264" w:right="1264" w:hanging="432"/>
      </w:pPr>
      <w:r>
        <w:tab/>
      </w:r>
      <w:r>
        <w:rPr>
          <w:rStyle w:val="a3"/>
        </w:rPr>
        <w:t>*</w:t>
      </w:r>
      <w:r>
        <w:tab/>
      </w:r>
      <w:r w:rsidRPr="00500BFC">
        <w:rPr>
          <w:rFonts w:hint="eastAsia"/>
        </w:rPr>
        <w:t>委员会第六十八届会议</w:t>
      </w:r>
      <w:r>
        <w:rPr>
          <w:rFonts w:hint="eastAsia"/>
        </w:rPr>
        <w:t>(</w:t>
      </w:r>
      <w:r w:rsidRPr="00500BFC">
        <w:rPr>
          <w:rFonts w:hint="eastAsia"/>
        </w:rPr>
        <w:t>2017</w:t>
      </w:r>
      <w:r w:rsidRPr="00500BFC">
        <w:rPr>
          <w:rFonts w:hint="eastAsia"/>
        </w:rPr>
        <w:t>年</w:t>
      </w:r>
      <w:r w:rsidRPr="00500BFC">
        <w:rPr>
          <w:rFonts w:hint="eastAsia"/>
        </w:rPr>
        <w:t>10</w:t>
      </w:r>
      <w:r w:rsidRPr="00500BFC">
        <w:rPr>
          <w:rFonts w:hint="eastAsia"/>
        </w:rPr>
        <w:t>月</w:t>
      </w:r>
      <w:r w:rsidRPr="00500BFC">
        <w:rPr>
          <w:rFonts w:hint="eastAsia"/>
        </w:rPr>
        <w:t>23</w:t>
      </w:r>
      <w:r w:rsidRPr="00500BFC">
        <w:rPr>
          <w:rFonts w:hint="eastAsia"/>
        </w:rPr>
        <w:t>日至</w:t>
      </w:r>
      <w:r w:rsidRPr="00500BFC">
        <w:rPr>
          <w:rFonts w:hint="eastAsia"/>
        </w:rPr>
        <w:t>11</w:t>
      </w:r>
      <w:r w:rsidRPr="00500BFC">
        <w:rPr>
          <w:rFonts w:hint="eastAsia"/>
        </w:rPr>
        <w:t>月</w:t>
      </w:r>
      <w:r w:rsidRPr="00500BFC">
        <w:rPr>
          <w:rFonts w:hint="eastAsia"/>
        </w:rPr>
        <w:t>17</w:t>
      </w:r>
      <w:r w:rsidRPr="00500BFC">
        <w:rPr>
          <w:rFonts w:hint="eastAsia"/>
        </w:rPr>
        <w:t>日</w:t>
      </w:r>
      <w:r>
        <w:rPr>
          <w:rFonts w:hint="eastAsia"/>
        </w:rPr>
        <w:t>)</w:t>
      </w:r>
      <w:r w:rsidRPr="00500BFC">
        <w:rPr>
          <w:rFonts w:hint="eastAsia"/>
        </w:rPr>
        <w:t>通过。</w:t>
      </w:r>
    </w:p>
  </w:footnote>
  <w:footnote w:id="2">
    <w:p w14:paraId="03B173CE" w14:textId="327AB692" w:rsidR="00500BFC" w:rsidRDefault="00500BFC" w:rsidP="00500BFC">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500BFC">
        <w:rPr>
          <w:rFonts w:hint="eastAsia"/>
        </w:rPr>
        <w:t>危地马拉高风险犯罪法院，“</w:t>
      </w:r>
      <w:r w:rsidRPr="00500BFC">
        <w:rPr>
          <w:rFonts w:hint="eastAsia"/>
        </w:rPr>
        <w:t>Sepur Zarco</w:t>
      </w:r>
      <w:r w:rsidRPr="00500BFC">
        <w:rPr>
          <w:rFonts w:hint="eastAsia"/>
        </w:rPr>
        <w:t>”案</w:t>
      </w:r>
      <w:r>
        <w:rPr>
          <w:rFonts w:hint="eastAsia"/>
        </w:rPr>
        <w:t>(</w:t>
      </w:r>
      <w:r w:rsidRPr="00500BFC">
        <w:rPr>
          <w:rFonts w:hint="eastAsia"/>
        </w:rPr>
        <w:t>编号</w:t>
      </w:r>
      <w:r w:rsidRPr="00500BFC">
        <w:rPr>
          <w:rFonts w:hint="eastAsia"/>
        </w:rPr>
        <w:t>C-01076-2012-00021</w:t>
      </w:r>
      <w:r>
        <w:rPr>
          <w:rFonts w:hint="eastAsia"/>
        </w:rPr>
        <w:t>)</w:t>
      </w:r>
      <w:r w:rsidRPr="00500BFC">
        <w:rPr>
          <w:rFonts w:hint="eastAsia"/>
        </w:rPr>
        <w:t>，</w:t>
      </w:r>
      <w:r w:rsidRPr="00500BFC">
        <w:rPr>
          <w:rFonts w:hint="eastAsia"/>
        </w:rPr>
        <w:t>2016</w:t>
      </w:r>
      <w:r w:rsidRPr="00500BFC">
        <w:rPr>
          <w:rFonts w:hint="eastAsia"/>
        </w:rPr>
        <w:t>年</w:t>
      </w:r>
      <w:r w:rsidRPr="00500BFC">
        <w:rPr>
          <w:rFonts w:hint="eastAsia"/>
        </w:rPr>
        <w:t>2</w:t>
      </w:r>
      <w:r w:rsidRPr="00500BFC">
        <w:rPr>
          <w:rFonts w:hint="eastAsia"/>
        </w:rPr>
        <w:t>月</w:t>
      </w:r>
      <w:r w:rsidRPr="00500BFC">
        <w:rPr>
          <w:rFonts w:hint="eastAsia"/>
        </w:rPr>
        <w:t>26</w:t>
      </w:r>
      <w:r w:rsidRPr="00500BFC">
        <w:rPr>
          <w:rFonts w:hint="eastAsia"/>
        </w:rPr>
        <w:t>日判决。</w:t>
      </w:r>
    </w:p>
  </w:footnote>
  <w:footnote w:id="3">
    <w:p w14:paraId="5B23EE25" w14:textId="2F9FFBE5" w:rsidR="002750DE" w:rsidRDefault="002750DE" w:rsidP="002750D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2750DE">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民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D909AF" w14:paraId="2BD86377" w14:textId="77777777" w:rsidTr="00D909AF">
      <w:trPr>
        <w:trHeight w:hRule="exact" w:val="864"/>
      </w:trPr>
      <w:tc>
        <w:tcPr>
          <w:tcW w:w="4838" w:type="dxa"/>
          <w:shd w:val="clear" w:color="auto" w:fill="auto"/>
          <w:vAlign w:val="bottom"/>
        </w:tcPr>
        <w:p w14:paraId="07330F51" w14:textId="77777777" w:rsidR="00D909AF" w:rsidRPr="00D909AF" w:rsidRDefault="00D909AF" w:rsidP="00D909AF">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CEDAW/C/GTM/CO/8-9</w:t>
          </w:r>
          <w:r>
            <w:rPr>
              <w:b/>
              <w:sz w:val="17"/>
            </w:rPr>
            <w:fldChar w:fldCharType="end"/>
          </w:r>
        </w:p>
      </w:tc>
      <w:tc>
        <w:tcPr>
          <w:tcW w:w="4920" w:type="dxa"/>
          <w:shd w:val="clear" w:color="auto" w:fill="auto"/>
          <w:vAlign w:val="bottom"/>
        </w:tcPr>
        <w:p w14:paraId="4CDF4149" w14:textId="77777777" w:rsidR="00D909AF" w:rsidRDefault="00D909AF" w:rsidP="00D909AF">
          <w:pPr>
            <w:pStyle w:val="ab"/>
          </w:pPr>
        </w:p>
      </w:tc>
    </w:tr>
  </w:tbl>
  <w:p w14:paraId="276C8CD2" w14:textId="77777777" w:rsidR="00D909AF" w:rsidRPr="00D909AF" w:rsidRDefault="00D909AF" w:rsidP="00D909AF">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D909AF" w14:paraId="485D9E0B" w14:textId="77777777" w:rsidTr="00D909AF">
      <w:trPr>
        <w:trHeight w:hRule="exact" w:val="864"/>
      </w:trPr>
      <w:tc>
        <w:tcPr>
          <w:tcW w:w="4838" w:type="dxa"/>
          <w:shd w:val="clear" w:color="auto" w:fill="auto"/>
          <w:vAlign w:val="bottom"/>
        </w:tcPr>
        <w:p w14:paraId="177AD5DB" w14:textId="77777777" w:rsidR="00D909AF" w:rsidRDefault="00D909AF" w:rsidP="00D909AF">
          <w:pPr>
            <w:pStyle w:val="ab"/>
          </w:pPr>
        </w:p>
      </w:tc>
      <w:tc>
        <w:tcPr>
          <w:tcW w:w="4920" w:type="dxa"/>
          <w:shd w:val="clear" w:color="auto" w:fill="auto"/>
          <w:vAlign w:val="bottom"/>
        </w:tcPr>
        <w:p w14:paraId="5E6AF59E" w14:textId="77777777" w:rsidR="00D909AF" w:rsidRPr="00D909AF" w:rsidRDefault="00D909AF" w:rsidP="00D909AF">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CEDAW/C/GTM/CO/8-9</w:t>
          </w:r>
          <w:r>
            <w:rPr>
              <w:b/>
              <w:sz w:val="17"/>
            </w:rPr>
            <w:fldChar w:fldCharType="end"/>
          </w:r>
        </w:p>
      </w:tc>
    </w:tr>
  </w:tbl>
  <w:p w14:paraId="4A84D833" w14:textId="77777777" w:rsidR="00D909AF" w:rsidRPr="00D909AF" w:rsidRDefault="00D909AF" w:rsidP="00D909AF">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909AF" w14:paraId="5BAC0872" w14:textId="77777777" w:rsidTr="00D909AF">
      <w:trPr>
        <w:trHeight w:hRule="exact" w:val="864"/>
      </w:trPr>
      <w:tc>
        <w:tcPr>
          <w:tcW w:w="1267" w:type="dxa"/>
          <w:tcBorders>
            <w:bottom w:val="single" w:sz="4" w:space="0" w:color="auto"/>
          </w:tcBorders>
          <w:shd w:val="clear" w:color="auto" w:fill="auto"/>
          <w:vAlign w:val="bottom"/>
        </w:tcPr>
        <w:p w14:paraId="314DA1D6" w14:textId="77777777" w:rsidR="00D909AF" w:rsidRDefault="00D909AF" w:rsidP="00D909AF">
          <w:pPr>
            <w:pStyle w:val="ab"/>
            <w:spacing w:after="120"/>
          </w:pPr>
        </w:p>
      </w:tc>
      <w:tc>
        <w:tcPr>
          <w:tcW w:w="1872" w:type="dxa"/>
          <w:tcBorders>
            <w:bottom w:val="single" w:sz="4" w:space="0" w:color="auto"/>
          </w:tcBorders>
          <w:shd w:val="clear" w:color="auto" w:fill="auto"/>
          <w:vAlign w:val="bottom"/>
        </w:tcPr>
        <w:p w14:paraId="0A466C42" w14:textId="77777777" w:rsidR="00D909AF" w:rsidRPr="00D909AF" w:rsidRDefault="00D909AF" w:rsidP="00D909AF">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AB3C777" w14:textId="77777777" w:rsidR="00D909AF" w:rsidRDefault="00D909AF" w:rsidP="00D909AF">
          <w:pPr>
            <w:pStyle w:val="ab"/>
            <w:spacing w:after="120"/>
          </w:pPr>
        </w:p>
      </w:tc>
      <w:tc>
        <w:tcPr>
          <w:tcW w:w="6437" w:type="dxa"/>
          <w:gridSpan w:val="3"/>
          <w:tcBorders>
            <w:bottom w:val="single" w:sz="4" w:space="0" w:color="auto"/>
          </w:tcBorders>
          <w:shd w:val="clear" w:color="auto" w:fill="auto"/>
          <w:vAlign w:val="bottom"/>
        </w:tcPr>
        <w:p w14:paraId="6DF7EF81" w14:textId="77777777" w:rsidR="00D909AF" w:rsidRPr="00D909AF" w:rsidRDefault="00D909AF" w:rsidP="00D909AF">
          <w:pPr>
            <w:spacing w:after="80" w:line="240" w:lineRule="auto"/>
            <w:jc w:val="right"/>
            <w:rPr>
              <w:position w:val="-4"/>
            </w:rPr>
          </w:pPr>
          <w:r>
            <w:rPr>
              <w:position w:val="-4"/>
              <w:sz w:val="40"/>
            </w:rPr>
            <w:t>CEDAW</w:t>
          </w:r>
          <w:r>
            <w:rPr>
              <w:position w:val="-4"/>
            </w:rPr>
            <w:t>/C/GTM/CO/8-9</w:t>
          </w:r>
        </w:p>
      </w:tc>
    </w:tr>
    <w:tr w:rsidR="00D909AF" w:rsidRPr="00D909AF" w14:paraId="440AD118" w14:textId="77777777" w:rsidTr="00D909AF">
      <w:trPr>
        <w:trHeight w:hRule="exact" w:val="2880"/>
      </w:trPr>
      <w:tc>
        <w:tcPr>
          <w:tcW w:w="1267" w:type="dxa"/>
          <w:tcBorders>
            <w:top w:val="single" w:sz="4" w:space="0" w:color="auto"/>
            <w:bottom w:val="single" w:sz="12" w:space="0" w:color="auto"/>
          </w:tcBorders>
          <w:shd w:val="clear" w:color="auto" w:fill="auto"/>
        </w:tcPr>
        <w:p w14:paraId="71CCDC7F" w14:textId="77777777" w:rsidR="00D909AF" w:rsidRPr="00D909AF" w:rsidRDefault="00D909AF" w:rsidP="00D909AF">
          <w:pPr>
            <w:pStyle w:val="ab"/>
            <w:spacing w:before="109"/>
            <w:ind w:left="-72"/>
          </w:pPr>
          <w:r>
            <w:t xml:space="preserve"> </w:t>
          </w:r>
          <w:r>
            <w:drawing>
              <wp:inline distT="0" distB="0" distL="0" distR="0" wp14:anchorId="7607AD77" wp14:editId="1F96ACB6">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33E13B" w14:textId="77777777" w:rsidR="00D909AF" w:rsidRPr="00D909AF" w:rsidRDefault="00D909AF" w:rsidP="00D909A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0548041" w14:textId="77777777" w:rsidR="00D909AF" w:rsidRPr="00D909AF" w:rsidRDefault="00D909AF" w:rsidP="00D909AF">
          <w:pPr>
            <w:pStyle w:val="ab"/>
            <w:spacing w:before="109"/>
          </w:pPr>
        </w:p>
      </w:tc>
      <w:tc>
        <w:tcPr>
          <w:tcW w:w="3080" w:type="dxa"/>
          <w:tcBorders>
            <w:top w:val="single" w:sz="4" w:space="0" w:color="auto"/>
            <w:bottom w:val="single" w:sz="12" w:space="0" w:color="auto"/>
          </w:tcBorders>
          <w:shd w:val="clear" w:color="auto" w:fill="auto"/>
        </w:tcPr>
        <w:p w14:paraId="74C9260F" w14:textId="77777777" w:rsidR="00D909AF" w:rsidRDefault="00D909AF" w:rsidP="00D909AF">
          <w:pPr>
            <w:pStyle w:val="Distr"/>
          </w:pPr>
          <w:r>
            <w:t>Distr.: General</w:t>
          </w:r>
        </w:p>
        <w:p w14:paraId="63C615BE" w14:textId="77777777" w:rsidR="00D909AF" w:rsidRDefault="00D909AF" w:rsidP="00D909AF">
          <w:pPr>
            <w:pStyle w:val="Publication"/>
          </w:pPr>
          <w:r>
            <w:t>22 November 2017</w:t>
          </w:r>
        </w:p>
        <w:p w14:paraId="413D0373" w14:textId="77777777" w:rsidR="00D909AF" w:rsidRDefault="00D909AF" w:rsidP="00D909AF">
          <w:pPr>
            <w:spacing w:line="240" w:lineRule="exact"/>
          </w:pPr>
          <w:r>
            <w:t>Chinese</w:t>
          </w:r>
        </w:p>
        <w:p w14:paraId="5CBA1C0E" w14:textId="77777777" w:rsidR="00D909AF" w:rsidRDefault="00D909AF" w:rsidP="00D909AF">
          <w:pPr>
            <w:pStyle w:val="Original"/>
          </w:pPr>
          <w:r>
            <w:t>Original: English</w:t>
          </w:r>
        </w:p>
        <w:p w14:paraId="6AD337A6" w14:textId="77777777" w:rsidR="00D909AF" w:rsidRPr="00D909AF" w:rsidRDefault="00D909AF" w:rsidP="00D909AF"/>
      </w:tc>
    </w:tr>
  </w:tbl>
  <w:p w14:paraId="6E044DDF" w14:textId="77777777" w:rsidR="00D909AF" w:rsidRPr="00D909AF" w:rsidRDefault="00D909AF" w:rsidP="00D909AF">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5121"/>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3*"/>
    <w:docVar w:name="CreationDt" w:val="16/01/2018 12:18:22"/>
    <w:docVar w:name="DocCategory" w:val="Doc"/>
    <w:docVar w:name="DocType" w:val="Final"/>
    <w:docVar w:name="DutyStation" w:val="New York"/>
    <w:docVar w:name="FooterJN" w:val="17-20383 (C)"/>
    <w:docVar w:name="jobn" w:val="17-20383 (C)"/>
    <w:docVar w:name="jobnDT" w:val="17-20383 (C)   160118"/>
    <w:docVar w:name="jobnDTDT" w:val="17-20383 (C)   160118   160118"/>
    <w:docVar w:name="JobNo" w:val="1720383C"/>
    <w:docVar w:name="LocalDrive" w:val="0"/>
    <w:docVar w:name="OandT" w:val="CHF"/>
    <w:docVar w:name="sss1" w:val="CEDAW/C/GTM/CO/8-9"/>
    <w:docVar w:name="sss2" w:val="-"/>
    <w:docVar w:name="Symbol1" w:val="CEDAW/C/GTM/CO/8-9"/>
    <w:docVar w:name="Symbol2" w:val="-"/>
  </w:docVars>
  <w:rsids>
    <w:rsidRoot w:val="008762EF"/>
    <w:rsid w:val="00000689"/>
    <w:rsid w:val="0000304F"/>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0956"/>
    <w:rsid w:val="0004231D"/>
    <w:rsid w:val="00044CA4"/>
    <w:rsid w:val="00044EE9"/>
    <w:rsid w:val="00045EFE"/>
    <w:rsid w:val="00050CCF"/>
    <w:rsid w:val="00054631"/>
    <w:rsid w:val="00056952"/>
    <w:rsid w:val="000571F8"/>
    <w:rsid w:val="000658B1"/>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9772A"/>
    <w:rsid w:val="000A31F9"/>
    <w:rsid w:val="000A756F"/>
    <w:rsid w:val="000B04CB"/>
    <w:rsid w:val="000C1786"/>
    <w:rsid w:val="000C4C08"/>
    <w:rsid w:val="000C4DDE"/>
    <w:rsid w:val="000C5208"/>
    <w:rsid w:val="000D32BA"/>
    <w:rsid w:val="000E240F"/>
    <w:rsid w:val="000E4181"/>
    <w:rsid w:val="000E49A4"/>
    <w:rsid w:val="000E4FFB"/>
    <w:rsid w:val="000F1058"/>
    <w:rsid w:val="000F55DC"/>
    <w:rsid w:val="001015E4"/>
    <w:rsid w:val="00101C4E"/>
    <w:rsid w:val="00101D5B"/>
    <w:rsid w:val="00101F86"/>
    <w:rsid w:val="0010703A"/>
    <w:rsid w:val="00107895"/>
    <w:rsid w:val="00111360"/>
    <w:rsid w:val="001113F8"/>
    <w:rsid w:val="00114578"/>
    <w:rsid w:val="00114C03"/>
    <w:rsid w:val="00114F57"/>
    <w:rsid w:val="001212F9"/>
    <w:rsid w:val="00121328"/>
    <w:rsid w:val="00121E97"/>
    <w:rsid w:val="00124677"/>
    <w:rsid w:val="00125D3C"/>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0DE"/>
    <w:rsid w:val="0027574F"/>
    <w:rsid w:val="00277AAE"/>
    <w:rsid w:val="00280671"/>
    <w:rsid w:val="002807DF"/>
    <w:rsid w:val="002814F9"/>
    <w:rsid w:val="00281A61"/>
    <w:rsid w:val="00281E2B"/>
    <w:rsid w:val="00282D17"/>
    <w:rsid w:val="00285A12"/>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2664"/>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74F12"/>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BBB"/>
    <w:rsid w:val="004F4EFB"/>
    <w:rsid w:val="004F5333"/>
    <w:rsid w:val="004F5E26"/>
    <w:rsid w:val="00500BFC"/>
    <w:rsid w:val="0050413E"/>
    <w:rsid w:val="00512841"/>
    <w:rsid w:val="00515657"/>
    <w:rsid w:val="00515859"/>
    <w:rsid w:val="0051592B"/>
    <w:rsid w:val="005162C0"/>
    <w:rsid w:val="00521144"/>
    <w:rsid w:val="00521275"/>
    <w:rsid w:val="005219FA"/>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59E9"/>
    <w:rsid w:val="007A6A3A"/>
    <w:rsid w:val="007B2492"/>
    <w:rsid w:val="007B394B"/>
    <w:rsid w:val="007B6BAE"/>
    <w:rsid w:val="007C10AC"/>
    <w:rsid w:val="007C5623"/>
    <w:rsid w:val="007C6FC5"/>
    <w:rsid w:val="007C74B9"/>
    <w:rsid w:val="007D38F7"/>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762EF"/>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519D"/>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36F"/>
    <w:rsid w:val="00946C87"/>
    <w:rsid w:val="0095023C"/>
    <w:rsid w:val="0095295A"/>
    <w:rsid w:val="00957134"/>
    <w:rsid w:val="0096193C"/>
    <w:rsid w:val="00974D7C"/>
    <w:rsid w:val="009769E1"/>
    <w:rsid w:val="00977E0D"/>
    <w:rsid w:val="00980D2E"/>
    <w:rsid w:val="0098143C"/>
    <w:rsid w:val="00982D5C"/>
    <w:rsid w:val="00986132"/>
    <w:rsid w:val="00986C04"/>
    <w:rsid w:val="009932F9"/>
    <w:rsid w:val="009A02E7"/>
    <w:rsid w:val="009A11E3"/>
    <w:rsid w:val="009A2F76"/>
    <w:rsid w:val="009A4F8C"/>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691"/>
    <w:rsid w:val="00A07CEC"/>
    <w:rsid w:val="00A1297E"/>
    <w:rsid w:val="00A13398"/>
    <w:rsid w:val="00A158E7"/>
    <w:rsid w:val="00A171EB"/>
    <w:rsid w:val="00A17A85"/>
    <w:rsid w:val="00A20856"/>
    <w:rsid w:val="00A21BA3"/>
    <w:rsid w:val="00A24399"/>
    <w:rsid w:val="00A24CA5"/>
    <w:rsid w:val="00A252DF"/>
    <w:rsid w:val="00A27DEC"/>
    <w:rsid w:val="00A27E35"/>
    <w:rsid w:val="00A31815"/>
    <w:rsid w:val="00A33D4D"/>
    <w:rsid w:val="00A33D6D"/>
    <w:rsid w:val="00A343D8"/>
    <w:rsid w:val="00A36AEC"/>
    <w:rsid w:val="00A37345"/>
    <w:rsid w:val="00A40AAE"/>
    <w:rsid w:val="00A40EA9"/>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6919"/>
    <w:rsid w:val="00AA759D"/>
    <w:rsid w:val="00AB1592"/>
    <w:rsid w:val="00AB2786"/>
    <w:rsid w:val="00AB5BEE"/>
    <w:rsid w:val="00AC2EAA"/>
    <w:rsid w:val="00AC373F"/>
    <w:rsid w:val="00AC550F"/>
    <w:rsid w:val="00AD4308"/>
    <w:rsid w:val="00AD5C5E"/>
    <w:rsid w:val="00AD6611"/>
    <w:rsid w:val="00AE6719"/>
    <w:rsid w:val="00AE6C5D"/>
    <w:rsid w:val="00AE733F"/>
    <w:rsid w:val="00AF021F"/>
    <w:rsid w:val="00AF114B"/>
    <w:rsid w:val="00AF2A33"/>
    <w:rsid w:val="00AF3D09"/>
    <w:rsid w:val="00AF4C2D"/>
    <w:rsid w:val="00AF4FD7"/>
    <w:rsid w:val="00AF51A0"/>
    <w:rsid w:val="00AF78C3"/>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AB"/>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3079"/>
    <w:rsid w:val="00BA51C0"/>
    <w:rsid w:val="00BA64A9"/>
    <w:rsid w:val="00BB23A4"/>
    <w:rsid w:val="00BB57A7"/>
    <w:rsid w:val="00BB6332"/>
    <w:rsid w:val="00BC0F5C"/>
    <w:rsid w:val="00BC2276"/>
    <w:rsid w:val="00BD041A"/>
    <w:rsid w:val="00BD1B08"/>
    <w:rsid w:val="00BD1BFF"/>
    <w:rsid w:val="00BD2150"/>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1778"/>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9AF"/>
    <w:rsid w:val="00D925C7"/>
    <w:rsid w:val="00D92B5D"/>
    <w:rsid w:val="00D935C0"/>
    <w:rsid w:val="00D950BE"/>
    <w:rsid w:val="00D9586D"/>
    <w:rsid w:val="00D95A8C"/>
    <w:rsid w:val="00D964B9"/>
    <w:rsid w:val="00D9749C"/>
    <w:rsid w:val="00DA0CB0"/>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9D3"/>
    <w:rsid w:val="00DF5B53"/>
    <w:rsid w:val="00DF742A"/>
    <w:rsid w:val="00E030F5"/>
    <w:rsid w:val="00E041F4"/>
    <w:rsid w:val="00E050BA"/>
    <w:rsid w:val="00E06CBE"/>
    <w:rsid w:val="00E076AC"/>
    <w:rsid w:val="00E12EFA"/>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372E"/>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D5669"/>
    <w:rsid w:val="00EE0913"/>
    <w:rsid w:val="00EF23C4"/>
    <w:rsid w:val="00EF2DB0"/>
    <w:rsid w:val="00EF2DD4"/>
    <w:rsid w:val="00EF36AA"/>
    <w:rsid w:val="00EF5D84"/>
    <w:rsid w:val="00EF695D"/>
    <w:rsid w:val="00EF6CA2"/>
    <w:rsid w:val="00F01440"/>
    <w:rsid w:val="00F020E7"/>
    <w:rsid w:val="00F03676"/>
    <w:rsid w:val="00F04C64"/>
    <w:rsid w:val="00F057A4"/>
    <w:rsid w:val="00F12F23"/>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DC3C6B3"/>
  <w15:chartTrackingRefBased/>
  <w15:docId w15:val="{A933CBCA-F7E3-4FF5-A0B9-D5F06BBE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AF51A0"/>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styleId="af0">
    <w:name w:val="Unresolved Mention"/>
    <w:basedOn w:val="a0"/>
    <w:uiPriority w:val="99"/>
    <w:semiHidden/>
    <w:unhideWhenUsed/>
    <w:rsid w:val="00BD041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GUA/7" TargetMode="External"/><Relationship Id="rId3" Type="http://schemas.openxmlformats.org/officeDocument/2006/relationships/styles" Target="styles.xml"/><Relationship Id="rId21" Type="http://schemas.openxmlformats.org/officeDocument/2006/relationships/hyperlink" Target="https://undocs.org/ch/CEDAW/C/GUA/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GUA/CO/7/Add.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CEDAW/C/GTM/8-9" TargetMode="External"/><Relationship Id="rId20" Type="http://schemas.openxmlformats.org/officeDocument/2006/relationships/hyperlink" Target="https://undocs.org/ch/CEDAW/C/GUA/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GUA/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GUA/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4407F-B1FB-4B45-A779-DF042EBCD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2157</Words>
  <Characters>12300</Characters>
  <Application>Microsoft Office Word</Application>
  <DocSecurity>0</DocSecurity>
  <Lines>102</Lines>
  <Paragraphs>28</Paragraphs>
  <ScaleCrop>false</ScaleCrop>
  <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Ho-Fung Chan</dc:creator>
  <cp:keywords/>
  <dc:description/>
  <cp:lastModifiedBy>Bin Guo</cp:lastModifiedBy>
  <cp:revision>2</cp:revision>
  <dcterms:created xsi:type="dcterms:W3CDTF">2018-01-17T17:18:00Z</dcterms:created>
  <dcterms:modified xsi:type="dcterms:W3CDTF">2018-01-17T17:18:00Z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1720383</vt:lpwstr>
  </property>
  <property fmtid="{D5CDD505-2E9C-101B-9397-08002B2CF9AE}" pid="3" name="ODSRefJobNo">
    <vt:lpwstr>1739407C</vt:lpwstr>
  </property>
  <property fmtid="{D5CDD505-2E9C-101B-9397-08002B2CF9AE}" pid="4" name="Symbol1">
    <vt:lpwstr>CEDAW/C/GTM/CO/8-9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CHF</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关于危地马拉第八次和第九次合并定期报告的结论性意见*_x000d_</vt:lpwstr>
  </property>
</Properties>
</file>