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25C378E" w14:textId="77777777" w:rsidTr="000D59FF">
        <w:trPr>
          <w:trHeight w:hRule="exact" w:val="851"/>
        </w:trPr>
        <w:tc>
          <w:tcPr>
            <w:tcW w:w="1280" w:type="dxa"/>
            <w:tcBorders>
              <w:bottom w:val="single" w:sz="4" w:space="0" w:color="auto"/>
            </w:tcBorders>
          </w:tcPr>
          <w:p w14:paraId="066EE4E9" w14:textId="77777777" w:rsidR="002D5AAC" w:rsidRPr="003067C5" w:rsidRDefault="002D5AAC" w:rsidP="000D59FF">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67508048"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656287E" w14:textId="73CDE214" w:rsidR="002D5AAC" w:rsidRDefault="000D59FF" w:rsidP="000D59FF">
            <w:pPr>
              <w:jc w:val="right"/>
            </w:pPr>
            <w:r w:rsidRPr="000D59FF">
              <w:rPr>
                <w:sz w:val="40"/>
              </w:rPr>
              <w:t>CAT</w:t>
            </w:r>
            <w:r>
              <w:t>/C/HND/CO/3</w:t>
            </w:r>
            <w:r w:rsidR="006F6D65" w:rsidRPr="006F6D65">
              <w:rPr>
                <w:rStyle w:val="Refdenotaalpie"/>
                <w:sz w:val="20"/>
                <w:vertAlign w:val="baseline"/>
              </w:rPr>
              <w:footnoteReference w:customMarkFollows="1" w:id="1"/>
              <w:t>*</w:t>
            </w:r>
          </w:p>
        </w:tc>
      </w:tr>
      <w:tr w:rsidR="002D5AAC" w14:paraId="7F46B2E9" w14:textId="77777777" w:rsidTr="000D59FF">
        <w:trPr>
          <w:trHeight w:hRule="exact" w:val="2835"/>
        </w:trPr>
        <w:tc>
          <w:tcPr>
            <w:tcW w:w="1280" w:type="dxa"/>
            <w:tcBorders>
              <w:top w:val="single" w:sz="4" w:space="0" w:color="auto"/>
              <w:bottom w:val="single" w:sz="12" w:space="0" w:color="auto"/>
            </w:tcBorders>
          </w:tcPr>
          <w:p w14:paraId="26CBE488" w14:textId="77777777" w:rsidR="002D5AAC" w:rsidRDefault="00FD6905" w:rsidP="00462E81">
            <w:pPr>
              <w:spacing w:before="120"/>
              <w:jc w:val="center"/>
            </w:pPr>
            <w:r>
              <w:rPr>
                <w:noProof/>
              </w:rPr>
              <w:drawing>
                <wp:inline distT="0" distB="0" distL="0" distR="0" wp14:anchorId="2AC79C1E" wp14:editId="46BCE1D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70AF3B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5AC790C7" w14:textId="77777777" w:rsidR="002D5AAC" w:rsidRDefault="000D59FF" w:rsidP="00462E81">
            <w:pPr>
              <w:spacing w:before="240"/>
            </w:pPr>
            <w:r>
              <w:t>Distr. general</w:t>
            </w:r>
          </w:p>
          <w:p w14:paraId="62220F99" w14:textId="24FC39A2" w:rsidR="000D59FF" w:rsidRDefault="000D59FF" w:rsidP="000D59FF">
            <w:pPr>
              <w:spacing w:line="240" w:lineRule="exact"/>
            </w:pPr>
            <w:r>
              <w:t>2</w:t>
            </w:r>
            <w:r w:rsidR="00983ECA">
              <w:t>7</w:t>
            </w:r>
            <w:r>
              <w:t xml:space="preserve"> de mayo de 2024</w:t>
            </w:r>
          </w:p>
          <w:p w14:paraId="65100CCC" w14:textId="663A63C0" w:rsidR="000D59FF" w:rsidRDefault="000D59FF" w:rsidP="000D59FF">
            <w:pPr>
              <w:spacing w:line="240" w:lineRule="exact"/>
            </w:pPr>
          </w:p>
          <w:p w14:paraId="7A35DC05" w14:textId="12AA82D0" w:rsidR="000D59FF" w:rsidRDefault="000D59FF" w:rsidP="000D59FF">
            <w:pPr>
              <w:spacing w:line="240" w:lineRule="exact"/>
            </w:pPr>
            <w:r>
              <w:t>Original: español</w:t>
            </w:r>
          </w:p>
        </w:tc>
      </w:tr>
    </w:tbl>
    <w:p w14:paraId="58C373AD" w14:textId="240C80C9" w:rsidR="000D59FF" w:rsidRPr="00176E2F" w:rsidRDefault="000D59FF" w:rsidP="000D59FF">
      <w:pPr>
        <w:spacing w:before="120"/>
        <w:rPr>
          <w:b/>
          <w:sz w:val="24"/>
          <w:szCs w:val="24"/>
          <w:lang w:val="es-SV"/>
        </w:rPr>
      </w:pPr>
      <w:r w:rsidRPr="00176E2F">
        <w:rPr>
          <w:b/>
          <w:sz w:val="24"/>
          <w:szCs w:val="24"/>
          <w:lang w:val="es-SV"/>
        </w:rPr>
        <w:t>Comité contra la Tortura</w:t>
      </w:r>
    </w:p>
    <w:p w14:paraId="5D39A344" w14:textId="21B93FD8" w:rsidR="000D59FF" w:rsidRDefault="000D59FF" w:rsidP="000D59FF">
      <w:pPr>
        <w:pStyle w:val="HChG"/>
        <w:rPr>
          <w:lang w:val="es-SV"/>
        </w:rPr>
      </w:pPr>
      <w:r w:rsidRPr="00176E2F">
        <w:rPr>
          <w:lang w:val="es-SV"/>
        </w:rPr>
        <w:tab/>
      </w:r>
      <w:r w:rsidRPr="00176E2F">
        <w:rPr>
          <w:lang w:val="es-SV"/>
        </w:rPr>
        <w:tab/>
      </w:r>
      <w:r w:rsidRPr="00322592">
        <w:rPr>
          <w:lang w:val="es-ES_tradnl"/>
        </w:rPr>
        <w:t>Observaciones finales sobre el tercer informe periódico de Honduras</w:t>
      </w:r>
      <w:r w:rsidR="006F6D65" w:rsidRPr="006F6D65">
        <w:rPr>
          <w:rStyle w:val="Refdenotaalpie"/>
          <w:b w:val="0"/>
          <w:bCs/>
          <w:sz w:val="20"/>
          <w:vertAlign w:val="baseline"/>
          <w:lang w:val="es-ES_tradnl"/>
        </w:rPr>
        <w:footnoteReference w:customMarkFollows="1" w:id="2"/>
        <w:t>**</w:t>
      </w:r>
    </w:p>
    <w:p w14:paraId="0739455E" w14:textId="68546D11" w:rsidR="000D59FF" w:rsidRPr="00322592" w:rsidRDefault="000D59FF" w:rsidP="000D59FF">
      <w:pPr>
        <w:pStyle w:val="SingleTxtG"/>
        <w:rPr>
          <w:lang w:val="es-ES_tradnl"/>
        </w:rPr>
      </w:pPr>
      <w:r w:rsidRPr="00322592">
        <w:rPr>
          <w:lang w:val="es-ES_tradnl"/>
        </w:rPr>
        <w:t>1.</w:t>
      </w:r>
      <w:r w:rsidRPr="00322592">
        <w:rPr>
          <w:lang w:val="es-ES_tradnl"/>
        </w:rPr>
        <w:tab/>
        <w:t>El Comité examinó el tercer informe periódico de Honduras</w:t>
      </w:r>
      <w:r w:rsidRPr="00DB743B">
        <w:rPr>
          <w:rStyle w:val="Refdenotaalfinal"/>
        </w:rPr>
        <w:footnoteReference w:id="3"/>
      </w:r>
      <w:r w:rsidRPr="00322592">
        <w:rPr>
          <w:lang w:val="es-ES_tradnl"/>
        </w:rPr>
        <w:t xml:space="preserve"> en sus sesiones 2076ª y 2079ª</w:t>
      </w:r>
      <w:r w:rsidRPr="00DB743B">
        <w:rPr>
          <w:rStyle w:val="Refdenotaalfinal"/>
        </w:rPr>
        <w:footnoteReference w:id="4"/>
      </w:r>
      <w:r w:rsidRPr="00322592">
        <w:rPr>
          <w:lang w:val="es-ES_tradnl"/>
        </w:rPr>
        <w:t>, celebradas los días 17 y 18 de abril de 2024, y aprobó en su</w:t>
      </w:r>
      <w:r>
        <w:rPr>
          <w:lang w:val="es-ES_tradnl"/>
        </w:rPr>
        <w:t xml:space="preserve"> 2098</w:t>
      </w:r>
      <w:r w:rsidRPr="00322592">
        <w:rPr>
          <w:lang w:val="es-ES_tradnl"/>
        </w:rPr>
        <w:t>ª sesión, celebrada el</w:t>
      </w:r>
      <w:r>
        <w:rPr>
          <w:lang w:val="es-ES_tradnl"/>
        </w:rPr>
        <w:t xml:space="preserve"> 2</w:t>
      </w:r>
      <w:r w:rsidRPr="00322592">
        <w:rPr>
          <w:lang w:val="es-ES_tradnl"/>
        </w:rPr>
        <w:t xml:space="preserve"> de mayo de 2024, las presentes observaciones finales.</w:t>
      </w:r>
    </w:p>
    <w:p w14:paraId="3B26DC93" w14:textId="77777777" w:rsidR="000D59FF" w:rsidRPr="00322592" w:rsidRDefault="000D59FF" w:rsidP="000D59FF">
      <w:pPr>
        <w:pStyle w:val="H1G"/>
        <w:rPr>
          <w:lang w:val="es-ES_tradnl"/>
        </w:rPr>
      </w:pPr>
      <w:r w:rsidRPr="00322592">
        <w:rPr>
          <w:lang w:val="es-ES_tradnl"/>
        </w:rPr>
        <w:tab/>
        <w:t>A.</w:t>
      </w:r>
      <w:r w:rsidRPr="00322592">
        <w:rPr>
          <w:lang w:val="es-ES_tradnl"/>
        </w:rPr>
        <w:tab/>
        <w:t>Introducción</w:t>
      </w:r>
    </w:p>
    <w:p w14:paraId="5CE8BA6F" w14:textId="77777777" w:rsidR="000D59FF" w:rsidRPr="00322592" w:rsidRDefault="000D59FF" w:rsidP="000D59FF">
      <w:pPr>
        <w:pStyle w:val="SingleTxtG"/>
        <w:rPr>
          <w:lang w:val="es-ES_tradnl"/>
        </w:rPr>
      </w:pPr>
      <w:r w:rsidRPr="00322592">
        <w:rPr>
          <w:lang w:val="es-ES_tradnl"/>
        </w:rPr>
        <w:t>2.</w:t>
      </w:r>
      <w:r w:rsidRPr="00322592">
        <w:rPr>
          <w:lang w:val="es-ES_tradnl"/>
        </w:rPr>
        <w:tab/>
        <w:t>El Comité expresa su reconocimiento al Estado parte por haber aceptado el procedimiento simplificado de presentación de informes y haber presentado su informe periódico con arreglo a dicho procedimiento, ya que ello mejora la cooperación entre el Estado parte y el Comité y permite centrar mejor el examen del informe y el diálogo con la delegación.</w:t>
      </w:r>
    </w:p>
    <w:p w14:paraId="674515A7" w14:textId="77777777" w:rsidR="000D59FF" w:rsidRPr="00322592" w:rsidRDefault="000D59FF" w:rsidP="000D59FF">
      <w:pPr>
        <w:pStyle w:val="SingleTxtG"/>
        <w:rPr>
          <w:lang w:val="es-ES_tradnl"/>
        </w:rPr>
      </w:pPr>
      <w:r w:rsidRPr="00322592">
        <w:rPr>
          <w:lang w:val="es-ES_tradnl"/>
        </w:rPr>
        <w:t>3.</w:t>
      </w:r>
      <w:r w:rsidRPr="00322592">
        <w:rPr>
          <w:lang w:val="es-ES_tradnl"/>
        </w:rPr>
        <w:tab/>
        <w:t>El Comité agradece haber tenido la oportunidad de entablar un diálogo constructivo con la delegación del Estado parte, así como la información proporcionada en respuesta a las preguntas y preocupaciones planteadas en el transcurso del examen del informe.</w:t>
      </w:r>
    </w:p>
    <w:p w14:paraId="605CA5FF" w14:textId="77777777" w:rsidR="000D59FF" w:rsidRPr="00322592" w:rsidRDefault="000D59FF" w:rsidP="000D59FF">
      <w:pPr>
        <w:pStyle w:val="H1G"/>
        <w:rPr>
          <w:lang w:val="es-ES_tradnl"/>
        </w:rPr>
      </w:pPr>
      <w:r w:rsidRPr="00322592">
        <w:rPr>
          <w:lang w:val="es-ES_tradnl"/>
        </w:rPr>
        <w:tab/>
        <w:t>B.</w:t>
      </w:r>
      <w:r w:rsidRPr="00322592">
        <w:rPr>
          <w:lang w:val="es-ES_tradnl"/>
        </w:rPr>
        <w:tab/>
        <w:t xml:space="preserve">Aspectos positivos </w:t>
      </w:r>
    </w:p>
    <w:p w14:paraId="5D590AEA" w14:textId="77777777" w:rsidR="000D59FF" w:rsidRPr="00750042" w:rsidRDefault="000D59FF" w:rsidP="000D59FF">
      <w:pPr>
        <w:pStyle w:val="SingleTxtG"/>
        <w:rPr>
          <w:lang w:val="es-SV"/>
        </w:rPr>
      </w:pPr>
      <w:r w:rsidRPr="00322592">
        <w:rPr>
          <w:lang w:val="es-ES_tradnl"/>
        </w:rPr>
        <w:t>4.</w:t>
      </w:r>
      <w:r w:rsidRPr="00322592">
        <w:rPr>
          <w:lang w:val="es-ES_tradnl"/>
        </w:rPr>
        <w:tab/>
        <w:t xml:space="preserve">El Comité acoge con beneplácito </w:t>
      </w:r>
      <w:r>
        <w:rPr>
          <w:lang w:val="es-ES_tradnl"/>
        </w:rPr>
        <w:t xml:space="preserve">la adhesión del Estado parte </w:t>
      </w:r>
      <w:r w:rsidRPr="00322592">
        <w:rPr>
          <w:lang w:val="es-ES_tradnl"/>
        </w:rPr>
        <w:t xml:space="preserve">el 16 de enero de 2018 al Protocolo Facultativo del Pacto Internacional de Derechos Económicos, Sociales y Culturales para recibir y examinar comunicaciones individuales. </w:t>
      </w:r>
    </w:p>
    <w:p w14:paraId="3C04A6B3" w14:textId="77777777" w:rsidR="000D59FF" w:rsidRPr="00322592" w:rsidRDefault="000D59FF" w:rsidP="000D59FF">
      <w:pPr>
        <w:pStyle w:val="SingleTxtG"/>
        <w:rPr>
          <w:lang w:val="es-ES_tradnl"/>
        </w:rPr>
      </w:pPr>
      <w:r w:rsidRPr="00322592">
        <w:rPr>
          <w:lang w:val="es-ES_tradnl"/>
        </w:rPr>
        <w:t>5.</w:t>
      </w:r>
      <w:r w:rsidRPr="00322592">
        <w:rPr>
          <w:lang w:val="es-ES_tradnl"/>
        </w:rPr>
        <w:tab/>
        <w:t xml:space="preserve">El Comité celebra que el Estado parte haya adoptado las siguientes medidas legislativas en ámbitos relacionados con la Convención: </w:t>
      </w:r>
    </w:p>
    <w:p w14:paraId="197BE5E4" w14:textId="77777777" w:rsidR="000D59FF" w:rsidRPr="00322592" w:rsidRDefault="000D59FF" w:rsidP="000D59FF">
      <w:pPr>
        <w:pStyle w:val="SingleTxtG"/>
        <w:rPr>
          <w:lang w:val="es-ES_tradnl"/>
        </w:rPr>
      </w:pPr>
      <w:r w:rsidRPr="00322592">
        <w:rPr>
          <w:lang w:val="es"/>
        </w:rPr>
        <w:tab/>
        <w:t>a)</w:t>
      </w:r>
      <w:r w:rsidRPr="00322592">
        <w:rPr>
          <w:lang w:val="es"/>
        </w:rPr>
        <w:tab/>
        <w:t xml:space="preserve">La aprobación de la Ley de Casas Refugio para </w:t>
      </w:r>
      <w:r>
        <w:rPr>
          <w:lang w:val="es"/>
        </w:rPr>
        <w:t xml:space="preserve">mujeres </w:t>
      </w:r>
      <w:r w:rsidRPr="00322592">
        <w:rPr>
          <w:lang w:val="es"/>
        </w:rPr>
        <w:t xml:space="preserve">víctimas de violencia </w:t>
      </w:r>
      <w:r>
        <w:rPr>
          <w:lang w:val="es"/>
        </w:rPr>
        <w:t>de</w:t>
      </w:r>
      <w:r w:rsidRPr="00322592">
        <w:rPr>
          <w:lang w:val="es"/>
        </w:rPr>
        <w:t xml:space="preserve"> género, en 2024;</w:t>
      </w:r>
    </w:p>
    <w:p w14:paraId="412F0C88" w14:textId="77777777" w:rsidR="000D59FF" w:rsidRPr="00322592" w:rsidRDefault="000D59FF" w:rsidP="000D59FF">
      <w:pPr>
        <w:pStyle w:val="SingleTxtG"/>
        <w:rPr>
          <w:lang w:val="es-ES_tradnl"/>
        </w:rPr>
      </w:pPr>
      <w:r w:rsidRPr="00322592">
        <w:rPr>
          <w:lang w:val="es-ES_tradnl"/>
        </w:rPr>
        <w:tab/>
        <w:t>b)</w:t>
      </w:r>
      <w:r w:rsidRPr="00322592">
        <w:rPr>
          <w:lang w:val="es-ES_tradnl"/>
        </w:rPr>
        <w:tab/>
        <w:t>La aprobación de la Ley del Sistema Nacional de Bases de Datos de ADN, en</w:t>
      </w:r>
      <w:r>
        <w:rPr>
          <w:lang w:val="es-ES_tradnl"/>
        </w:rPr>
        <w:t> </w:t>
      </w:r>
      <w:r w:rsidRPr="00322592">
        <w:rPr>
          <w:lang w:val="es-ES_tradnl"/>
        </w:rPr>
        <w:t>2023;</w:t>
      </w:r>
      <w:r w:rsidRPr="00750042">
        <w:rPr>
          <w:sz w:val="24"/>
          <w:szCs w:val="24"/>
          <w:lang w:val="es-SV"/>
        </w:rPr>
        <w:t xml:space="preserve"> </w:t>
      </w:r>
    </w:p>
    <w:p w14:paraId="450099CB" w14:textId="77777777" w:rsidR="000D59FF" w:rsidRPr="00322592" w:rsidRDefault="000D59FF" w:rsidP="000D59FF">
      <w:pPr>
        <w:pStyle w:val="SingleTxtG"/>
        <w:rPr>
          <w:lang w:val="es-ES_tradnl"/>
        </w:rPr>
      </w:pPr>
      <w:r w:rsidRPr="00322592">
        <w:rPr>
          <w:lang w:val="es-ES_tradnl"/>
        </w:rPr>
        <w:tab/>
        <w:t>c)</w:t>
      </w:r>
      <w:r w:rsidRPr="00322592">
        <w:rPr>
          <w:lang w:val="es-ES_tradnl"/>
        </w:rPr>
        <w:tab/>
        <w:t>La derogación de la Ley para la Clasificación de Documentos Públicos Relacionados con la Seguridad y Defensa Nacional, en 2022;</w:t>
      </w:r>
    </w:p>
    <w:p w14:paraId="4318D929" w14:textId="77777777" w:rsidR="000D59FF" w:rsidRPr="00750042" w:rsidRDefault="000D59FF" w:rsidP="000D59FF">
      <w:pPr>
        <w:pStyle w:val="SingleTxtG"/>
        <w:rPr>
          <w:lang w:val="es-SV"/>
        </w:rPr>
      </w:pPr>
      <w:r w:rsidRPr="00750042">
        <w:rPr>
          <w:lang w:val="es-SV"/>
        </w:rPr>
        <w:tab/>
        <w:t>d)</w:t>
      </w:r>
      <w:r w:rsidRPr="00750042">
        <w:rPr>
          <w:lang w:val="es-SV"/>
        </w:rPr>
        <w:tab/>
        <w:t xml:space="preserve">La aprobación de la Ley Especial de Organización y Funcionamiento de la Junta Nominadora para la Proposición de Candidatos </w:t>
      </w:r>
      <w:r>
        <w:rPr>
          <w:lang w:val="es-SV"/>
        </w:rPr>
        <w:t xml:space="preserve">a Magistrados </w:t>
      </w:r>
      <w:r w:rsidRPr="00750042">
        <w:rPr>
          <w:lang w:val="es-SV"/>
        </w:rPr>
        <w:t>a la Corte Suprema de Justicia, en 2022;</w:t>
      </w:r>
    </w:p>
    <w:p w14:paraId="2B4FE09F" w14:textId="77777777" w:rsidR="000D59FF" w:rsidRPr="00322592" w:rsidRDefault="000D59FF" w:rsidP="000D59FF">
      <w:pPr>
        <w:pStyle w:val="SingleTxtG"/>
        <w:rPr>
          <w:rFonts w:eastAsia="Calibri"/>
          <w:lang w:val="es-ES_tradnl"/>
        </w:rPr>
      </w:pPr>
      <w:r w:rsidRPr="00750042">
        <w:rPr>
          <w:lang w:val="es-SV"/>
        </w:rPr>
        <w:lastRenderedPageBreak/>
        <w:tab/>
        <w:t>e)</w:t>
      </w:r>
      <w:r w:rsidRPr="00750042">
        <w:rPr>
          <w:lang w:val="es-SV"/>
        </w:rPr>
        <w:tab/>
        <w:t>La adopción de la Ley para la Prevención, Atención y Protección de las Personas Desplazadas Internamente, en 2022</w:t>
      </w:r>
      <w:r w:rsidRPr="00322592">
        <w:rPr>
          <w:rFonts w:eastAsia="Calibri"/>
          <w:lang w:val="es-ES_tradnl"/>
        </w:rPr>
        <w:t>;</w:t>
      </w:r>
    </w:p>
    <w:p w14:paraId="32690EBA" w14:textId="77777777" w:rsidR="000D59FF" w:rsidRPr="00FB22AF" w:rsidRDefault="000D59FF" w:rsidP="000D59FF">
      <w:pPr>
        <w:pStyle w:val="SingleTxtG"/>
        <w:rPr>
          <w:rFonts w:eastAsia="Calibri"/>
          <w:lang w:val="es-ES_tradnl"/>
        </w:rPr>
      </w:pPr>
      <w:r w:rsidRPr="0051074D">
        <w:rPr>
          <w:lang w:val="es"/>
        </w:rPr>
        <w:tab/>
        <w:t>f)</w:t>
      </w:r>
      <w:r w:rsidRPr="0051074D">
        <w:rPr>
          <w:lang w:val="es"/>
        </w:rPr>
        <w:tab/>
        <w:t>La aprobación de la Ley para la Reconstrucción del Estado Constitucional de Derecho y para que los Hechos No se Repitan, en 2022;</w:t>
      </w:r>
    </w:p>
    <w:p w14:paraId="0366BCAE" w14:textId="77777777" w:rsidR="000D59FF" w:rsidRPr="00FB22AF" w:rsidRDefault="000D59FF" w:rsidP="000D59FF">
      <w:pPr>
        <w:pStyle w:val="SingleTxtG"/>
        <w:rPr>
          <w:rFonts w:eastAsia="Calibri"/>
          <w:shd w:val="clear" w:color="auto" w:fill="FFFFFF"/>
          <w:lang w:val="es-ES_tradnl"/>
        </w:rPr>
      </w:pPr>
      <w:r w:rsidRPr="0051074D">
        <w:rPr>
          <w:rFonts w:eastAsia="Calibri"/>
          <w:lang w:val="es-ES_tradnl"/>
        </w:rPr>
        <w:tab/>
        <w:t>g)</w:t>
      </w:r>
      <w:r w:rsidRPr="0051074D">
        <w:rPr>
          <w:rFonts w:eastAsia="Calibri"/>
          <w:lang w:val="es-ES_tradnl"/>
        </w:rPr>
        <w:tab/>
        <w:t>L</w:t>
      </w:r>
      <w:r w:rsidRPr="0051074D">
        <w:rPr>
          <w:lang w:val="es-SV"/>
        </w:rPr>
        <w:t>a aprobación del Decreto Legislativo núm. 99-2020, sobre las medidas especiales de difusión, prevención y atención de la violencia contra la mujer y acciones para garantizar la igualdad de género durante la vigencia de la emergencia nacional declarada a raíz de la pandemia de enfermedad por coronavirus (COVID-19);</w:t>
      </w:r>
    </w:p>
    <w:p w14:paraId="17612127" w14:textId="77777777" w:rsidR="000D59FF" w:rsidRPr="0051074D" w:rsidRDefault="000D59FF" w:rsidP="000D59FF">
      <w:pPr>
        <w:pStyle w:val="SingleTxtG"/>
        <w:rPr>
          <w:lang w:val="es-SV"/>
        </w:rPr>
      </w:pPr>
      <w:r w:rsidRPr="00FB22AF">
        <w:rPr>
          <w:rFonts w:eastAsia="Calibri"/>
          <w:lang w:val="es-ES_tradnl"/>
        </w:rPr>
        <w:tab/>
      </w:r>
      <w:r w:rsidRPr="0051074D">
        <w:rPr>
          <w:rFonts w:eastAsia="Calibri"/>
          <w:lang w:val="es-ES_tradnl"/>
        </w:rPr>
        <w:t>h</w:t>
      </w:r>
      <w:r w:rsidRPr="0051074D">
        <w:rPr>
          <w:lang w:val="es-SV"/>
        </w:rPr>
        <w:t>)</w:t>
      </w:r>
      <w:r w:rsidRPr="0051074D">
        <w:rPr>
          <w:lang w:val="es-SV"/>
        </w:rPr>
        <w:tab/>
        <w:t>La introducción del artículo 209 del Código Penal, por el que se tipifica el delito de violencia contra la mujer, en 2017;</w:t>
      </w:r>
    </w:p>
    <w:p w14:paraId="044182A7" w14:textId="77777777" w:rsidR="000D59FF" w:rsidRPr="00FB22AF" w:rsidRDefault="000D59FF" w:rsidP="000D59FF">
      <w:pPr>
        <w:pStyle w:val="SingleTxtG"/>
        <w:rPr>
          <w:rFonts w:eastAsia="Calibri"/>
          <w:lang w:val="es-ES_tradnl"/>
        </w:rPr>
      </w:pPr>
      <w:r w:rsidRPr="00322592">
        <w:rPr>
          <w:lang w:val="es"/>
        </w:rPr>
        <w:tab/>
      </w:r>
      <w:r w:rsidRPr="00750042">
        <w:rPr>
          <w:lang w:val="es-SV"/>
        </w:rPr>
        <w:t>i)</w:t>
      </w:r>
      <w:r w:rsidRPr="00750042">
        <w:rPr>
          <w:lang w:val="es-SV"/>
        </w:rPr>
        <w:tab/>
        <w:t xml:space="preserve">La promulgación de la </w:t>
      </w:r>
      <w:r>
        <w:rPr>
          <w:lang w:val="es-SV"/>
        </w:rPr>
        <w:t>L</w:t>
      </w:r>
      <w:r w:rsidRPr="00750042">
        <w:rPr>
          <w:lang w:val="es-SV"/>
        </w:rPr>
        <w:t xml:space="preserve">ey </w:t>
      </w:r>
      <w:r>
        <w:rPr>
          <w:lang w:val="es-SV"/>
        </w:rPr>
        <w:t xml:space="preserve">Orgánica de la Secretaría de Estado en el Despacho </w:t>
      </w:r>
      <w:r w:rsidRPr="00D462E8">
        <w:rPr>
          <w:lang w:val="es-SV"/>
        </w:rPr>
        <w:t>de Seguridad y de la Policía Nacional de Honduras sobre la Secretaría de Seguridad, e</w:t>
      </w:r>
      <w:r w:rsidRPr="00D462E8">
        <w:rPr>
          <w:rFonts w:eastAsia="Calibri"/>
          <w:lang w:val="es-ES_tradnl"/>
        </w:rPr>
        <w:t xml:space="preserve">n 2017, </w:t>
      </w:r>
      <w:r w:rsidRPr="00D462E8">
        <w:rPr>
          <w:lang w:val="es-SV"/>
        </w:rPr>
        <w:t>y la Ley de la Carrera Policial, en 2017, por medio de las cuales se contribuyó al proceso de profesionalización de la policía y se aumentó el número total de oficiales de policía</w:t>
      </w:r>
      <w:r w:rsidRPr="00D462E8">
        <w:rPr>
          <w:rFonts w:eastAsia="Calibri"/>
          <w:lang w:val="es-ES_tradnl"/>
        </w:rPr>
        <w:t xml:space="preserve">. </w:t>
      </w:r>
    </w:p>
    <w:p w14:paraId="603DFDF5" w14:textId="77777777" w:rsidR="000D59FF" w:rsidRPr="00D462E8" w:rsidRDefault="000D59FF" w:rsidP="000D59FF">
      <w:pPr>
        <w:pStyle w:val="SingleTxtG"/>
        <w:rPr>
          <w:rFonts w:eastAsia="Calibri"/>
          <w:lang w:val="es-ES_tradnl"/>
        </w:rPr>
      </w:pPr>
      <w:r w:rsidRPr="00D462E8">
        <w:rPr>
          <w:lang w:val="es-ES_tradnl"/>
        </w:rPr>
        <w:t>6</w:t>
      </w:r>
      <w:r w:rsidRPr="00D462E8">
        <w:rPr>
          <w:rFonts w:eastAsia="Calibri"/>
          <w:lang w:val="es-ES_tradnl"/>
        </w:rPr>
        <w:t>.</w:t>
      </w:r>
      <w:r w:rsidRPr="00D462E8">
        <w:rPr>
          <w:rFonts w:eastAsia="Calibri"/>
          <w:lang w:val="es-ES_tradnl"/>
        </w:rPr>
        <w:tab/>
        <w:t>El Comité celebra también las iniciativas emprendidas por el Estado parte para modificar sus políticas y procedimientos a fin de mejorar la protección de los derechos humanos y aplicar las disposiciones de la Convención, en particular:</w:t>
      </w:r>
    </w:p>
    <w:p w14:paraId="4544902C" w14:textId="77777777" w:rsidR="000D59FF" w:rsidRPr="00D462E8" w:rsidRDefault="000D59FF" w:rsidP="000D59FF">
      <w:pPr>
        <w:pStyle w:val="SingleTxtG"/>
        <w:rPr>
          <w:lang w:val="es-ES_tradnl"/>
        </w:rPr>
      </w:pPr>
      <w:r w:rsidRPr="00D462E8">
        <w:rPr>
          <w:lang w:val="es-ES_tradnl"/>
        </w:rPr>
        <w:tab/>
        <w:t>a)</w:t>
      </w:r>
      <w:r w:rsidRPr="00D462E8">
        <w:rPr>
          <w:lang w:val="es-ES_tradnl"/>
        </w:rPr>
        <w:tab/>
        <w:t>La creación de la Secretaría de Estado en los Despachos de Niñez, Adolescencia y Familia, de la Secretaría de Estado en el Despacho de Desarrollo Social y de la Secretaría de Estado en el Despacho de Asuntos de la Mujer, en 2023;</w:t>
      </w:r>
    </w:p>
    <w:p w14:paraId="725BBE99" w14:textId="77777777" w:rsidR="000D59FF" w:rsidRPr="00D462E8" w:rsidRDefault="000D59FF" w:rsidP="000D59FF">
      <w:pPr>
        <w:pStyle w:val="SingleTxtG"/>
        <w:rPr>
          <w:rFonts w:eastAsia="Calibri"/>
          <w:lang w:val="es-ES_tradnl"/>
        </w:rPr>
      </w:pPr>
      <w:r w:rsidRPr="00D462E8">
        <w:rPr>
          <w:rFonts w:eastAsia="Calibri"/>
          <w:lang w:val="es-ES_tradnl"/>
        </w:rPr>
        <w:tab/>
        <w:t>b)</w:t>
      </w:r>
      <w:r w:rsidRPr="00D462E8">
        <w:rPr>
          <w:rFonts w:eastAsia="Calibri"/>
          <w:lang w:val="es-ES_tradnl"/>
        </w:rPr>
        <w:tab/>
        <w:t>La apertura de la oficina regional de la Unidad de Seguimiento y Reporte de Desaparecidos en la ciudad de San Pedro Sula (Cortés), en 2022;</w:t>
      </w:r>
    </w:p>
    <w:p w14:paraId="44ABF2E3" w14:textId="77777777" w:rsidR="000D59FF" w:rsidRPr="00D462E8" w:rsidRDefault="000D59FF" w:rsidP="000D59FF">
      <w:pPr>
        <w:pStyle w:val="SingleTxtG"/>
        <w:rPr>
          <w:lang w:val="es-SV"/>
        </w:rPr>
      </w:pPr>
      <w:r w:rsidRPr="00D462E8">
        <w:rPr>
          <w:lang w:val="es-ES_tradnl"/>
        </w:rPr>
        <w:tab/>
        <w:t>c)</w:t>
      </w:r>
      <w:r w:rsidRPr="00D462E8">
        <w:rPr>
          <w:lang w:val="es-ES_tradnl"/>
        </w:rPr>
        <w:tab/>
      </w:r>
      <w:r w:rsidRPr="00D462E8">
        <w:rPr>
          <w:lang w:val="es-SV"/>
        </w:rPr>
        <w:t>La negociación de un memorándum de entendimiento entre el Estado parte y las Naciones Unidas para la constitución de la Comisión Internacional contra la Corrupción y la Impunidad en Honduras, en diciembre de 2022;</w:t>
      </w:r>
    </w:p>
    <w:p w14:paraId="1391B952" w14:textId="77777777" w:rsidR="000D59FF" w:rsidRPr="00D462E8" w:rsidRDefault="000D59FF" w:rsidP="000D59FF">
      <w:pPr>
        <w:pStyle w:val="SingleTxtG"/>
        <w:rPr>
          <w:lang w:val="es-SV"/>
        </w:rPr>
      </w:pPr>
      <w:r w:rsidRPr="00D462E8">
        <w:rPr>
          <w:lang w:val="es-SV"/>
        </w:rPr>
        <w:tab/>
        <w:t>d)</w:t>
      </w:r>
      <w:r w:rsidRPr="00D462E8">
        <w:rPr>
          <w:lang w:val="es-SV"/>
        </w:rPr>
        <w:tab/>
        <w:t>La creación de los módulos de atención integral especializada en el marco del Plan Estratégico Institucional 2015-2020 del Ministerio Público, dirigidos a fortalecer la protección de las mujeres víctimas de alguna forma de violencia en las zonas del país que no cuentan con juzgados especializados;</w:t>
      </w:r>
    </w:p>
    <w:p w14:paraId="587F43DF" w14:textId="77777777" w:rsidR="000D59FF" w:rsidRPr="00D462E8" w:rsidRDefault="000D59FF" w:rsidP="000D59FF">
      <w:pPr>
        <w:pStyle w:val="SingleTxtG"/>
        <w:rPr>
          <w:lang w:val="es-SV"/>
        </w:rPr>
      </w:pPr>
      <w:r w:rsidRPr="00D462E8">
        <w:rPr>
          <w:lang w:val="es-SV"/>
        </w:rPr>
        <w:tab/>
        <w:t>e)</w:t>
      </w:r>
      <w:r w:rsidRPr="00D462E8">
        <w:rPr>
          <w:lang w:val="es-SV"/>
        </w:rPr>
        <w:tab/>
        <w:t xml:space="preserve">La elaboración del Protocolo de Reinserción Social y Laboral en el sistema penitenciario, en 2019; </w:t>
      </w:r>
    </w:p>
    <w:p w14:paraId="255BADFC" w14:textId="77777777" w:rsidR="000D59FF" w:rsidRPr="00D462E8" w:rsidRDefault="000D59FF" w:rsidP="000D59FF">
      <w:pPr>
        <w:pStyle w:val="SingleTxtG"/>
        <w:rPr>
          <w:lang w:val="es-SV"/>
        </w:rPr>
      </w:pPr>
      <w:r w:rsidRPr="00D462E8">
        <w:rPr>
          <w:rFonts w:eastAsia="Calibri"/>
          <w:lang w:val="es-ES_tradnl"/>
        </w:rPr>
        <w:tab/>
        <w:t>f)</w:t>
      </w:r>
      <w:r w:rsidRPr="00D462E8">
        <w:rPr>
          <w:rFonts w:eastAsia="Calibri"/>
          <w:lang w:val="es-ES_tradnl"/>
        </w:rPr>
        <w:tab/>
      </w:r>
      <w:r w:rsidRPr="00D462E8">
        <w:rPr>
          <w:lang w:val="es-SV"/>
        </w:rPr>
        <w:t>El establecimiento de la Unidad de Actuaciones de la Defensa Pública para garantizar un defensor desde el momento de la detención de menores en conflicto con la ley, en 2019;</w:t>
      </w:r>
    </w:p>
    <w:p w14:paraId="492E6C92" w14:textId="77777777" w:rsidR="000D59FF" w:rsidRPr="00D462E8" w:rsidRDefault="000D59FF" w:rsidP="000D59FF">
      <w:pPr>
        <w:pStyle w:val="SingleTxtG"/>
        <w:rPr>
          <w:rFonts w:eastAsia="Calibri"/>
          <w:lang w:val="es-ES_tradnl"/>
        </w:rPr>
      </w:pPr>
      <w:r w:rsidRPr="00D462E8">
        <w:rPr>
          <w:lang w:val="es-SV"/>
        </w:rPr>
        <w:tab/>
        <w:t>g)</w:t>
      </w:r>
      <w:r w:rsidRPr="00D462E8">
        <w:rPr>
          <w:lang w:val="es-SV"/>
        </w:rPr>
        <w:tab/>
        <w:t xml:space="preserve">La </w:t>
      </w:r>
      <w:r w:rsidRPr="00FB22AF">
        <w:rPr>
          <w:lang w:val="es-ES_tradnl"/>
        </w:rPr>
        <w:t>creaci</w:t>
      </w:r>
      <w:r w:rsidRPr="00CC13E2">
        <w:rPr>
          <w:rFonts w:eastAsia="Calibri"/>
          <w:lang w:val="es-ES_tradnl"/>
        </w:rPr>
        <w:t>ón</w:t>
      </w:r>
      <w:r w:rsidRPr="00D462E8">
        <w:rPr>
          <w:rFonts w:eastAsia="Calibri"/>
          <w:lang w:val="es-ES_tradnl"/>
        </w:rPr>
        <w:t xml:space="preserve"> de </w:t>
      </w:r>
      <w:r w:rsidRPr="00D462E8">
        <w:rPr>
          <w:lang w:val="es-SV"/>
        </w:rPr>
        <w:t>la Unidad de Reinserción Social y Laboral del Instituto Nacional Penitenciario en 2018, responsable de promover la reinserción laboral de las personas privadas de libertad y brindarles atención tras su puesta en libertad</w:t>
      </w:r>
      <w:r w:rsidRPr="00D462E8">
        <w:rPr>
          <w:rFonts w:eastAsia="Calibri"/>
          <w:lang w:val="es-ES_tradnl"/>
        </w:rPr>
        <w:t xml:space="preserve">; </w:t>
      </w:r>
    </w:p>
    <w:p w14:paraId="1507F695" w14:textId="77777777" w:rsidR="000D59FF" w:rsidRPr="00D462E8" w:rsidRDefault="000D59FF" w:rsidP="000D59FF">
      <w:pPr>
        <w:pStyle w:val="SingleTxtG"/>
        <w:rPr>
          <w:lang w:val="es-SV"/>
        </w:rPr>
      </w:pPr>
      <w:r w:rsidRPr="00D462E8">
        <w:rPr>
          <w:lang w:val="es-SV"/>
        </w:rPr>
        <w:tab/>
        <w:t>h</w:t>
      </w:r>
      <w:r w:rsidRPr="00D462E8">
        <w:rPr>
          <w:rFonts w:eastAsia="Calibri"/>
          <w:lang w:val="es-ES_tradnl"/>
        </w:rPr>
        <w:t>)</w:t>
      </w:r>
      <w:r w:rsidRPr="00D462E8">
        <w:rPr>
          <w:rFonts w:eastAsia="Calibri"/>
          <w:lang w:val="es-ES_tradnl"/>
        </w:rPr>
        <w:tab/>
        <w:t xml:space="preserve">La creación </w:t>
      </w:r>
      <w:r w:rsidRPr="00D462E8">
        <w:rPr>
          <w:lang w:val="es-SV"/>
        </w:rPr>
        <w:t>de la Fiscalía Especial para la Protección de los Defensores de Derechos Humanos, Periodistas, Comunicadores Sociales y Operadores de Justicia para garantizar la investigación y enjuiciamiento de presuntas amenazas y agresiones a defensores de derechos humanos, periodistas y miembros de organizaciones de la sociedad civil, en</w:t>
      </w:r>
      <w:r>
        <w:rPr>
          <w:lang w:val="es-SV"/>
        </w:rPr>
        <w:t> </w:t>
      </w:r>
      <w:r w:rsidRPr="00D462E8">
        <w:rPr>
          <w:lang w:val="es-SV"/>
        </w:rPr>
        <w:t xml:space="preserve">2018; </w:t>
      </w:r>
    </w:p>
    <w:p w14:paraId="6D8B67ED" w14:textId="77777777" w:rsidR="000D59FF" w:rsidRPr="00D462E8" w:rsidRDefault="000D59FF" w:rsidP="000D59FF">
      <w:pPr>
        <w:pStyle w:val="SingleTxtG"/>
        <w:rPr>
          <w:rFonts w:eastAsia="Calibri"/>
          <w:lang w:val="es-ES_tradnl"/>
        </w:rPr>
      </w:pPr>
      <w:r w:rsidRPr="00D462E8">
        <w:rPr>
          <w:lang w:val="es-SV"/>
        </w:rPr>
        <w:tab/>
        <w:t>i)</w:t>
      </w:r>
      <w:r w:rsidRPr="00D462E8">
        <w:rPr>
          <w:lang w:val="es-SV"/>
        </w:rPr>
        <w:tab/>
        <w:t xml:space="preserve">La creación del Instituto Nacional para la Atención a Menores Infractores, en virtud del Decreto Ejecutivo núm. PCM-061-2017, en 2017;  </w:t>
      </w:r>
    </w:p>
    <w:p w14:paraId="181ED8F9" w14:textId="77777777" w:rsidR="000D59FF" w:rsidRPr="00D462E8" w:rsidRDefault="000D59FF" w:rsidP="000D59FF">
      <w:pPr>
        <w:pStyle w:val="SingleTxtG"/>
        <w:rPr>
          <w:rFonts w:eastAsia="Calibri"/>
          <w:lang w:val="es-ES_tradnl"/>
        </w:rPr>
      </w:pPr>
      <w:r w:rsidRPr="00D462E8">
        <w:rPr>
          <w:rFonts w:eastAsia="Calibri"/>
          <w:lang w:val="es-ES_tradnl"/>
        </w:rPr>
        <w:tab/>
        <w:t>j)</w:t>
      </w:r>
      <w:r w:rsidRPr="00D462E8">
        <w:rPr>
          <w:rFonts w:eastAsia="Calibri"/>
          <w:lang w:val="es-ES_tradnl"/>
        </w:rPr>
        <w:tab/>
      </w:r>
      <w:r w:rsidRPr="00D462E8">
        <w:rPr>
          <w:lang w:val="es-ES_tradnl"/>
        </w:rPr>
        <w:t xml:space="preserve">El establecimiento </w:t>
      </w:r>
      <w:r w:rsidRPr="00D462E8">
        <w:rPr>
          <w:lang w:val="es-SV"/>
        </w:rPr>
        <w:t>de la Secretaría de Derechos Humanos mediante el Decreto Ejecutivo núm. PCM-055-2017,</w:t>
      </w:r>
      <w:r w:rsidRPr="00D462E8">
        <w:rPr>
          <w:rFonts w:eastAsia="Calibri"/>
          <w:lang w:val="es-ES_tradnl"/>
        </w:rPr>
        <w:t xml:space="preserve"> en 2017; </w:t>
      </w:r>
    </w:p>
    <w:p w14:paraId="72769541" w14:textId="77777777" w:rsidR="000D59FF" w:rsidRPr="00D462E8" w:rsidRDefault="000D59FF" w:rsidP="000D59FF">
      <w:pPr>
        <w:pStyle w:val="SingleTxtG"/>
        <w:rPr>
          <w:lang w:val="es-SV"/>
        </w:rPr>
      </w:pPr>
      <w:r w:rsidRPr="00D462E8">
        <w:rPr>
          <w:rFonts w:eastAsia="Calibri"/>
          <w:lang w:val="es-SV"/>
        </w:rPr>
        <w:tab/>
        <w:t>k</w:t>
      </w:r>
      <w:r w:rsidRPr="00D462E8">
        <w:rPr>
          <w:rFonts w:eastAsia="Calibri"/>
          <w:lang w:val="es-ES_tradnl"/>
        </w:rPr>
        <w:t>)</w:t>
      </w:r>
      <w:r w:rsidRPr="00D462E8">
        <w:rPr>
          <w:rFonts w:eastAsia="Calibri"/>
          <w:lang w:val="es-ES_tradnl"/>
        </w:rPr>
        <w:tab/>
        <w:t xml:space="preserve">La adopción del </w:t>
      </w:r>
      <w:r w:rsidRPr="00D462E8">
        <w:rPr>
          <w:lang w:val="es-SV"/>
        </w:rPr>
        <w:t xml:space="preserve">Plan de Fortalecimiento y Profesionalización de la Policía Nacional, sobre la base de la Ley de la Carrera Policial aprobada en 2017; </w:t>
      </w:r>
    </w:p>
    <w:p w14:paraId="4A48E5C9" w14:textId="77777777" w:rsidR="000D59FF" w:rsidRPr="00D462E8" w:rsidRDefault="000D59FF" w:rsidP="000D59FF">
      <w:pPr>
        <w:pStyle w:val="SingleTxtG"/>
        <w:rPr>
          <w:rFonts w:eastAsia="Calibri"/>
          <w:lang w:val="es-ES_tradnl"/>
        </w:rPr>
      </w:pPr>
      <w:r w:rsidRPr="00D462E8">
        <w:rPr>
          <w:rFonts w:eastAsia="Calibri"/>
          <w:lang w:val="es-ES_tradnl"/>
        </w:rPr>
        <w:tab/>
        <w:t>l)</w:t>
      </w:r>
      <w:r w:rsidRPr="00D462E8">
        <w:rPr>
          <w:rFonts w:eastAsia="Calibri"/>
          <w:lang w:val="es-ES_tradnl"/>
        </w:rPr>
        <w:tab/>
        <w:t xml:space="preserve">La creación de </w:t>
      </w:r>
      <w:r w:rsidRPr="00D462E8">
        <w:rPr>
          <w:lang w:val="es-SV"/>
        </w:rPr>
        <w:t xml:space="preserve">la Unidad de Investigación de Muertes Violentas de Mujeres y Femicidios, adscrita a la Agencia Técnica de Investigación Criminal y la Comisión </w:t>
      </w:r>
      <w:r w:rsidRPr="00D462E8">
        <w:rPr>
          <w:lang w:val="es-SV"/>
        </w:rPr>
        <w:lastRenderedPageBreak/>
        <w:t>Interinstitucional de Seguimiento a las Investigaciones de las Muertes Violentas de Mujeres y Femicidios, del Ministerio Público, en virtud del Decreto Legislativo núm. 106-2016</w:t>
      </w:r>
      <w:r w:rsidRPr="00D462E8">
        <w:rPr>
          <w:rFonts w:eastAsia="Calibri"/>
          <w:lang w:val="es-ES_tradnl"/>
        </w:rPr>
        <w:t xml:space="preserve">; </w:t>
      </w:r>
    </w:p>
    <w:p w14:paraId="69A41D91" w14:textId="77777777" w:rsidR="000D59FF" w:rsidRPr="00FB22AF" w:rsidRDefault="000D59FF" w:rsidP="000D59FF">
      <w:pPr>
        <w:pStyle w:val="SingleTxtG"/>
        <w:rPr>
          <w:rFonts w:eastAsia="Calibri"/>
          <w:lang w:val="es-ES_tradnl"/>
        </w:rPr>
      </w:pPr>
      <w:r w:rsidRPr="00D462E8">
        <w:rPr>
          <w:rFonts w:eastAsia="Calibri"/>
          <w:lang w:val="es-ES_tradnl"/>
        </w:rPr>
        <w:tab/>
        <w:t>m)</w:t>
      </w:r>
      <w:r w:rsidRPr="00D462E8">
        <w:rPr>
          <w:rFonts w:eastAsia="Calibri"/>
          <w:lang w:val="es-ES_tradnl"/>
        </w:rPr>
        <w:tab/>
        <w:t>La aprobación del</w:t>
      </w:r>
      <w:r w:rsidRPr="00D462E8">
        <w:rPr>
          <w:lang w:val="es-SV"/>
        </w:rPr>
        <w:t xml:space="preserve"> Plan Estratégico contra la Explotación Sexual Comercial y Trata de Personas 2016-2022 para prevenir, investigar y sancionar el delito de trata de personas, así como asegurar la atención y protección integral a las víctimas, y la creación del Protocolo de Actuación del Equipo de Respuesta Inmediata para la Atención de Víctimas de Explotación Sexual Comercial y Trata de Personas en Honduras por la Comisión Interinstitucional contra la Explotación Sexual Comercial y Trata de Personas.</w:t>
      </w:r>
    </w:p>
    <w:p w14:paraId="580F43CD" w14:textId="77777777" w:rsidR="000D59FF" w:rsidRPr="00322592" w:rsidRDefault="000D59FF" w:rsidP="000D59FF">
      <w:pPr>
        <w:pStyle w:val="H1G"/>
        <w:rPr>
          <w:lang w:val="es-ES_tradnl"/>
        </w:rPr>
      </w:pPr>
      <w:r w:rsidRPr="00322592">
        <w:rPr>
          <w:lang w:val="es-ES_tradnl"/>
        </w:rPr>
        <w:tab/>
        <w:t>C.</w:t>
      </w:r>
      <w:r w:rsidRPr="00322592">
        <w:rPr>
          <w:lang w:val="es-ES_tradnl"/>
        </w:rPr>
        <w:tab/>
        <w:t>Principales motivos de preocupación y recomendaciones</w:t>
      </w:r>
    </w:p>
    <w:p w14:paraId="5CA9008A" w14:textId="77777777" w:rsidR="000D59FF" w:rsidRPr="00322592" w:rsidRDefault="000D59FF" w:rsidP="000D59FF">
      <w:pPr>
        <w:pStyle w:val="H23G"/>
        <w:rPr>
          <w:lang w:val="es-ES_tradnl"/>
        </w:rPr>
      </w:pPr>
      <w:r w:rsidRPr="00322592">
        <w:rPr>
          <w:lang w:val="es-ES_tradnl"/>
        </w:rPr>
        <w:tab/>
      </w:r>
      <w:r w:rsidRPr="00322592">
        <w:rPr>
          <w:lang w:val="es-ES_tradnl"/>
        </w:rPr>
        <w:tab/>
        <w:t>Cuestiones de seguimiento pendientes del anterior ciclo de presentación</w:t>
      </w:r>
      <w:r w:rsidRPr="00322592">
        <w:rPr>
          <w:lang w:val="es-ES_tradnl"/>
        </w:rPr>
        <w:br/>
        <w:t>de informes</w:t>
      </w:r>
    </w:p>
    <w:p w14:paraId="5A868BA4" w14:textId="77777777" w:rsidR="000D59FF" w:rsidRPr="00B3342F" w:rsidRDefault="000D59FF" w:rsidP="000D59FF">
      <w:pPr>
        <w:pStyle w:val="SingleTxtG"/>
        <w:rPr>
          <w:lang w:val="es-ES_tradnl"/>
        </w:rPr>
      </w:pPr>
      <w:r w:rsidRPr="00322592">
        <w:rPr>
          <w:lang w:val="es-ES_tradnl"/>
        </w:rPr>
        <w:t>7.</w:t>
      </w:r>
      <w:r w:rsidRPr="00322592">
        <w:rPr>
          <w:lang w:val="es-ES_tradnl"/>
        </w:rPr>
        <w:tab/>
        <w:t>En sus anteriores observaciones finales</w:t>
      </w:r>
      <w:r w:rsidRPr="00DB743B">
        <w:rPr>
          <w:rStyle w:val="Refdenotaalfinal"/>
        </w:rPr>
        <w:footnoteReference w:id="5"/>
      </w:r>
      <w:r w:rsidRPr="00322592">
        <w:rPr>
          <w:lang w:val="es-ES_tradnl"/>
        </w:rPr>
        <w:t xml:space="preserve">, el Comité solicitó al Estado parte que proporcionase información sobre el seguimiento dado a las recomendaciones relativas al control y gestión del sistema penitenciario, </w:t>
      </w:r>
      <w:r>
        <w:rPr>
          <w:lang w:val="es-ES_tradnl"/>
        </w:rPr>
        <w:t xml:space="preserve">las </w:t>
      </w:r>
      <w:r w:rsidRPr="00322592">
        <w:rPr>
          <w:lang w:val="es-ES_tradnl"/>
        </w:rPr>
        <w:t xml:space="preserve">condiciones de reclusión, </w:t>
      </w:r>
      <w:r>
        <w:rPr>
          <w:lang w:val="es-ES_tradnl"/>
        </w:rPr>
        <w:t xml:space="preserve">el </w:t>
      </w:r>
      <w:r w:rsidRPr="00322592">
        <w:rPr>
          <w:lang w:val="es-ES_tradnl"/>
        </w:rPr>
        <w:t>mecanismo nacional de prevención, y l</w:t>
      </w:r>
      <w:r>
        <w:rPr>
          <w:lang w:val="es-ES_tradnl"/>
        </w:rPr>
        <w:t>a protección de</w:t>
      </w:r>
      <w:r w:rsidRPr="00322592">
        <w:rPr>
          <w:lang w:val="es-ES_tradnl"/>
        </w:rPr>
        <w:t xml:space="preserve"> defensores de derechos humanos y otros representantes de la sociedad civil en situación de riesgo</w:t>
      </w:r>
      <w:r w:rsidRPr="00DB743B">
        <w:rPr>
          <w:rStyle w:val="Refdenotaalfinal"/>
        </w:rPr>
        <w:footnoteReference w:id="6"/>
      </w:r>
      <w:r w:rsidRPr="00322592">
        <w:rPr>
          <w:bCs/>
          <w:lang w:val="es-ES_tradnl"/>
        </w:rPr>
        <w:t xml:space="preserve">. </w:t>
      </w:r>
      <w:r w:rsidRPr="00322592">
        <w:rPr>
          <w:lang w:val="es-ES_tradnl"/>
        </w:rPr>
        <w:t>Habida cuenta de la información incluida al respecto en el informe de seguimiento remitido por el Estado parte el 14 de agosto de 2017</w:t>
      </w:r>
      <w:r w:rsidRPr="00DB743B">
        <w:rPr>
          <w:rStyle w:val="Refdenotaalfinal"/>
        </w:rPr>
        <w:footnoteReference w:id="7"/>
      </w:r>
      <w:r w:rsidRPr="00322592">
        <w:rPr>
          <w:lang w:val="es-ES_tradnl"/>
        </w:rPr>
        <w:t xml:space="preserve">, </w:t>
      </w:r>
      <w:r w:rsidRPr="003E7D9F">
        <w:rPr>
          <w:rStyle w:val="ui-provider"/>
          <w:rFonts w:eastAsia="SimSun"/>
        </w:rPr>
        <w:t xml:space="preserve">y haciendo referencia a la carta de fecha 20 de agosto de 2018 del </w:t>
      </w:r>
      <w:r>
        <w:rPr>
          <w:rStyle w:val="ui-provider"/>
          <w:rFonts w:eastAsia="SimSun"/>
        </w:rPr>
        <w:t>R</w:t>
      </w:r>
      <w:r w:rsidRPr="003E7D9F">
        <w:rPr>
          <w:rStyle w:val="ui-provider"/>
          <w:rFonts w:eastAsia="SimSun"/>
        </w:rPr>
        <w:t>elator para el seguimiento de las observaciones finales</w:t>
      </w:r>
      <w:r w:rsidRPr="00DB743B">
        <w:t xml:space="preserve"> </w:t>
      </w:r>
      <w:r w:rsidRPr="000F72E0">
        <w:rPr>
          <w:rStyle w:val="ui-provider"/>
          <w:rFonts w:eastAsia="SimSun"/>
        </w:rPr>
        <w:t>del Comité</w:t>
      </w:r>
      <w:r w:rsidRPr="00DB743B">
        <w:rPr>
          <w:rStyle w:val="Refdenotaalfinal"/>
        </w:rPr>
        <w:footnoteReference w:id="8"/>
      </w:r>
      <w:r w:rsidRPr="003E7D9F">
        <w:rPr>
          <w:rStyle w:val="ui-provider"/>
          <w:rFonts w:eastAsia="SimSun"/>
        </w:rPr>
        <w:t>, el Comité considera que las recomendaciones que figuran en los párrafos 16, 20 a) y c), 30 y 44 han sido aplicadas parcialmente</w:t>
      </w:r>
      <w:r w:rsidRPr="00322592">
        <w:rPr>
          <w:lang w:val="es-ES_tradnl"/>
        </w:rPr>
        <w:t xml:space="preserve">. Esas cuestiones pendientes se abordan en los párrafos 16 a 21 y 30 y 31 del presente documento. </w:t>
      </w:r>
    </w:p>
    <w:p w14:paraId="27196906" w14:textId="77777777" w:rsidR="000D59FF" w:rsidRPr="00322592" w:rsidRDefault="000D59FF" w:rsidP="000D59FF">
      <w:pPr>
        <w:pStyle w:val="H23G"/>
        <w:rPr>
          <w:u w:color="000000"/>
          <w:bdr w:val="nil"/>
          <w:lang w:val="es-ES_tradnl"/>
        </w:rPr>
      </w:pPr>
      <w:bookmarkStart w:id="0" w:name="_Hlk132300366"/>
      <w:r>
        <w:rPr>
          <w:u w:color="000000"/>
          <w:bdr w:val="nil"/>
          <w:lang w:val="es-ES_tradnl"/>
        </w:rPr>
        <w:tab/>
      </w:r>
      <w:r>
        <w:rPr>
          <w:u w:color="000000"/>
          <w:bdr w:val="nil"/>
          <w:lang w:val="es-ES_tradnl"/>
        </w:rPr>
        <w:tab/>
      </w:r>
      <w:r w:rsidRPr="00322592">
        <w:rPr>
          <w:u w:color="000000"/>
          <w:bdr w:val="nil"/>
          <w:lang w:val="es-ES_tradnl"/>
        </w:rPr>
        <w:t>Tipificación del delito de tortura</w:t>
      </w:r>
    </w:p>
    <w:p w14:paraId="14DEC58D" w14:textId="77777777" w:rsidR="000D59FF" w:rsidRPr="00322592" w:rsidRDefault="000D59FF" w:rsidP="000D59FF">
      <w:pPr>
        <w:pStyle w:val="SingleTxtG"/>
        <w:rPr>
          <w:lang w:val="es-ES_tradnl"/>
        </w:rPr>
      </w:pPr>
      <w:r w:rsidRPr="00322592">
        <w:rPr>
          <w:lang w:val="es-ES_tradnl"/>
        </w:rPr>
        <w:t>8.</w:t>
      </w:r>
      <w:r w:rsidRPr="00322592">
        <w:rPr>
          <w:lang w:val="es-ES_tradnl"/>
        </w:rPr>
        <w:tab/>
      </w:r>
      <w:bookmarkEnd w:id="0"/>
      <w:r w:rsidRPr="00322592">
        <w:rPr>
          <w:lang w:val="es-ES_tradnl"/>
        </w:rPr>
        <w:t>El Comité considera que la nueva tipificación del delito de tortura introducida por el Decreto Legislativo núm.</w:t>
      </w:r>
      <w:r>
        <w:rPr>
          <w:lang w:val="es-ES_tradnl"/>
        </w:rPr>
        <w:t> </w:t>
      </w:r>
      <w:r w:rsidRPr="00322592">
        <w:rPr>
          <w:lang w:val="es-ES_tradnl"/>
        </w:rPr>
        <w:t>130-2017 en el artículo 216 del Código Penal corresponde en buena medida a lo dispuesto en el artículo 1 de la Convención y toma nota del proceso en curso de su</w:t>
      </w:r>
      <w:r>
        <w:rPr>
          <w:lang w:val="es-ES_tradnl"/>
        </w:rPr>
        <w:t xml:space="preserve"> nueva</w:t>
      </w:r>
      <w:r w:rsidRPr="00322592">
        <w:rPr>
          <w:lang w:val="es-ES_tradnl"/>
        </w:rPr>
        <w:t xml:space="preserve"> revisión</w:t>
      </w:r>
      <w:r w:rsidRPr="00C510A2">
        <w:rPr>
          <w:lang w:val="es-SV"/>
        </w:rPr>
        <w:t xml:space="preserve">. </w:t>
      </w:r>
      <w:r w:rsidRPr="00322592">
        <w:rPr>
          <w:lang w:val="es-ES_tradnl"/>
        </w:rPr>
        <w:t>No obstante, esta disposición no abarca</w:t>
      </w:r>
      <w:r>
        <w:rPr>
          <w:lang w:val="es-ES_tradnl"/>
        </w:rPr>
        <w:t xml:space="preserve"> expresamente</w:t>
      </w:r>
      <w:r w:rsidRPr="00322592">
        <w:rPr>
          <w:lang w:val="es-ES_tradnl"/>
        </w:rPr>
        <w:t xml:space="preserve"> los actos de tortura cometidos por terceros </w:t>
      </w:r>
      <w:r w:rsidRPr="006D38F8">
        <w:rPr>
          <w:lang w:val="es-ES_tradnl"/>
        </w:rPr>
        <w:t xml:space="preserve">a instigación de un funcionario público </w:t>
      </w:r>
      <w:r w:rsidRPr="00322592">
        <w:rPr>
          <w:lang w:val="es-ES_tradnl"/>
        </w:rPr>
        <w:t>u otra persona en el ejercicio de funciones públicas</w:t>
      </w:r>
      <w:r w:rsidRPr="006D38F8">
        <w:rPr>
          <w:lang w:val="es-ES_tradnl"/>
        </w:rPr>
        <w:t xml:space="preserve"> o con su consentimiento o aquiescencia</w:t>
      </w:r>
      <w:r w:rsidRPr="00322592" w:rsidDel="006D38F8">
        <w:rPr>
          <w:lang w:val="es-ES_tradnl"/>
        </w:rPr>
        <w:t>.</w:t>
      </w:r>
      <w:r w:rsidRPr="00322592">
        <w:rPr>
          <w:lang w:val="es-ES_tradnl"/>
        </w:rPr>
        <w:t xml:space="preserve"> Asimismo, preocupa que el párrafo segundo del artículo 216 del Código Penal reduzca la pena máxima de prisión de </w:t>
      </w:r>
      <w:r>
        <w:rPr>
          <w:lang w:val="es-ES_tradnl"/>
        </w:rPr>
        <w:t>15</w:t>
      </w:r>
      <w:r w:rsidRPr="00322592">
        <w:rPr>
          <w:lang w:val="es-ES_tradnl"/>
        </w:rPr>
        <w:t xml:space="preserve"> a </w:t>
      </w:r>
      <w:r>
        <w:rPr>
          <w:lang w:val="es-ES_tradnl"/>
        </w:rPr>
        <w:t>10</w:t>
      </w:r>
      <w:r w:rsidRPr="00322592">
        <w:rPr>
          <w:lang w:val="es-ES_tradnl"/>
        </w:rPr>
        <w:t xml:space="preserve"> años para el delito de tortura autónomo cometido por </w:t>
      </w:r>
      <w:r>
        <w:rPr>
          <w:lang w:val="es-ES_tradnl"/>
        </w:rPr>
        <w:t xml:space="preserve">un </w:t>
      </w:r>
      <w:r w:rsidRPr="00322592">
        <w:rPr>
          <w:lang w:val="es-ES_tradnl"/>
        </w:rPr>
        <w:t xml:space="preserve">funcionario público. Además, las circunstancias agravantes </w:t>
      </w:r>
      <w:r>
        <w:rPr>
          <w:lang w:val="es-ES_tradnl"/>
        </w:rPr>
        <w:t xml:space="preserve">en función de la víctima de los actos de tortura </w:t>
      </w:r>
      <w:r w:rsidRPr="00322592">
        <w:rPr>
          <w:lang w:val="es-ES_tradnl"/>
        </w:rPr>
        <w:t xml:space="preserve">previstas </w:t>
      </w:r>
      <w:r>
        <w:rPr>
          <w:lang w:val="es-ES_tradnl"/>
        </w:rPr>
        <w:t xml:space="preserve">en el párrafo </w:t>
      </w:r>
      <w:r w:rsidRPr="00322592">
        <w:rPr>
          <w:lang w:val="es-ES_tradnl"/>
        </w:rPr>
        <w:t>quinto del artículo</w:t>
      </w:r>
      <w:r>
        <w:rPr>
          <w:lang w:val="es-ES_tradnl"/>
        </w:rPr>
        <w:t xml:space="preserve"> </w:t>
      </w:r>
      <w:r w:rsidRPr="00322592">
        <w:rPr>
          <w:lang w:val="es-ES_tradnl"/>
        </w:rPr>
        <w:t>216 se limitan a ciertas categorías de personas y no toma en cuenta otras situaciones de vulnerabilidad en las que pueden encontrarse otras personas</w:t>
      </w:r>
      <w:r>
        <w:rPr>
          <w:lang w:val="es-ES_tradnl"/>
        </w:rPr>
        <w:t xml:space="preserve">, por ejemplo, </w:t>
      </w:r>
      <w:r w:rsidRPr="007028ED">
        <w:rPr>
          <w:lang w:val="es-ES_tradnl"/>
        </w:rPr>
        <w:t xml:space="preserve">las personas lesbianas, bisexuales, gais y </w:t>
      </w:r>
      <w:r>
        <w:rPr>
          <w:lang w:val="es-ES_tradnl"/>
        </w:rPr>
        <w:t>transgénero</w:t>
      </w:r>
      <w:r w:rsidRPr="007028ED">
        <w:rPr>
          <w:lang w:val="es-ES_tradnl"/>
        </w:rPr>
        <w:t>, las personas indígenas y otras minorías nacionales o étnicas</w:t>
      </w:r>
      <w:r w:rsidRPr="00322592">
        <w:rPr>
          <w:lang w:val="es-ES_tradnl"/>
        </w:rPr>
        <w:t>. El Código Penal tampoco reconoce que los actos de tortura pued</w:t>
      </w:r>
      <w:r>
        <w:rPr>
          <w:lang w:val="es-ES_tradnl"/>
        </w:rPr>
        <w:t>a</w:t>
      </w:r>
      <w:r w:rsidRPr="00322592">
        <w:rPr>
          <w:lang w:val="es-ES_tradnl"/>
        </w:rPr>
        <w:t xml:space="preserve">n producirse tanto por acción como por omisión. Por último, el Comité toma nota de las explicaciones del Estado parte </w:t>
      </w:r>
      <w:r>
        <w:rPr>
          <w:lang w:val="es-ES_tradnl"/>
        </w:rPr>
        <w:t>relativas a la aplicación d</w:t>
      </w:r>
      <w:r w:rsidRPr="00322592">
        <w:rPr>
          <w:lang w:val="es-ES_tradnl"/>
        </w:rPr>
        <w:t>el artículo 216 del Código Penal a los actos cometidos por agentes de las fuerzas armadas (arts. 1 y 4).</w:t>
      </w:r>
    </w:p>
    <w:p w14:paraId="414D78CE" w14:textId="26C8F395" w:rsidR="000D59FF" w:rsidRPr="00322592" w:rsidRDefault="000D59FF" w:rsidP="000D59FF">
      <w:pPr>
        <w:pStyle w:val="SingleTxtG"/>
        <w:rPr>
          <w:lang w:val="es-ES_tradnl"/>
        </w:rPr>
      </w:pPr>
      <w:r w:rsidRPr="00322592">
        <w:rPr>
          <w:lang w:val="es-ES_tradnl"/>
        </w:rPr>
        <w:t>9.</w:t>
      </w:r>
      <w:r w:rsidRPr="00322592">
        <w:rPr>
          <w:lang w:val="es-ES_tradnl"/>
        </w:rPr>
        <w:tab/>
      </w:r>
      <w:r w:rsidRPr="00322592">
        <w:rPr>
          <w:b/>
          <w:bCs/>
          <w:lang w:val="es-ES_tradnl"/>
        </w:rPr>
        <w:t xml:space="preserve">El Estado parte </w:t>
      </w:r>
      <w:r>
        <w:rPr>
          <w:b/>
          <w:bCs/>
          <w:lang w:val="es-ES_tradnl"/>
        </w:rPr>
        <w:t>debería promover la revisión d</w:t>
      </w:r>
      <w:r w:rsidRPr="00322592">
        <w:rPr>
          <w:b/>
          <w:bCs/>
          <w:lang w:val="es-ES_tradnl"/>
        </w:rPr>
        <w:t xml:space="preserve">el contenido del artículo 216 del Código Penal a fin de que la tipificación del delito de tortura </w:t>
      </w:r>
      <w:r>
        <w:rPr>
          <w:b/>
          <w:bCs/>
          <w:lang w:val="es-ES_tradnl"/>
        </w:rPr>
        <w:t>abarque</w:t>
      </w:r>
      <w:r w:rsidRPr="00322592">
        <w:rPr>
          <w:b/>
          <w:bCs/>
          <w:lang w:val="es-ES_tradnl"/>
        </w:rPr>
        <w:t xml:space="preserve"> todos los elementos que figuran en </w:t>
      </w:r>
      <w:r>
        <w:rPr>
          <w:b/>
          <w:bCs/>
          <w:lang w:val="es-ES_tradnl"/>
        </w:rPr>
        <w:t>la definición contenida en el</w:t>
      </w:r>
      <w:r w:rsidRPr="00322592">
        <w:rPr>
          <w:b/>
          <w:bCs/>
          <w:lang w:val="es-ES_tradnl"/>
        </w:rPr>
        <w:t xml:space="preserve"> artículo</w:t>
      </w:r>
      <w:r>
        <w:rPr>
          <w:b/>
          <w:bCs/>
          <w:lang w:val="es-ES_tradnl"/>
        </w:rPr>
        <w:t xml:space="preserve"> </w:t>
      </w:r>
      <w:r w:rsidRPr="00322592">
        <w:rPr>
          <w:b/>
          <w:bCs/>
          <w:lang w:val="es-ES_tradnl"/>
        </w:rPr>
        <w:t xml:space="preserve">1 de la Convención. En particular, </w:t>
      </w:r>
      <w:r>
        <w:rPr>
          <w:b/>
          <w:bCs/>
          <w:lang w:val="es-ES_tradnl"/>
        </w:rPr>
        <w:t xml:space="preserve">dicho precepto </w:t>
      </w:r>
      <w:r w:rsidRPr="00322592">
        <w:rPr>
          <w:b/>
          <w:bCs/>
          <w:lang w:val="es-ES_tradnl"/>
        </w:rPr>
        <w:t>debe</w:t>
      </w:r>
      <w:r>
        <w:rPr>
          <w:b/>
          <w:bCs/>
          <w:lang w:val="es-ES_tradnl"/>
        </w:rPr>
        <w:t>ría</w:t>
      </w:r>
      <w:r w:rsidRPr="00322592">
        <w:rPr>
          <w:b/>
          <w:bCs/>
          <w:lang w:val="es-ES_tradnl"/>
        </w:rPr>
        <w:t xml:space="preserve"> incluir específicamente </w:t>
      </w:r>
      <w:r w:rsidRPr="00C33A38">
        <w:rPr>
          <w:b/>
          <w:bCs/>
          <w:lang w:val="es-ES_tradnl"/>
        </w:rPr>
        <w:t>los actos de tortura cometidos por terceros a instigación o con el consentimiento o aquiescencia de un funcionario público</w:t>
      </w:r>
      <w:r w:rsidRPr="00D2382C">
        <w:rPr>
          <w:b/>
          <w:bCs/>
          <w:lang w:val="es-ES_tradnl"/>
        </w:rPr>
        <w:t xml:space="preserve"> </w:t>
      </w:r>
      <w:r w:rsidRPr="00322592">
        <w:rPr>
          <w:b/>
          <w:bCs/>
          <w:lang w:val="es-ES_tradnl"/>
        </w:rPr>
        <w:t>u otra persona en el ejercicio de funciones públicas</w:t>
      </w:r>
      <w:r>
        <w:rPr>
          <w:b/>
          <w:bCs/>
          <w:lang w:val="es-ES_tradnl"/>
        </w:rPr>
        <w:t xml:space="preserve">. </w:t>
      </w:r>
      <w:r w:rsidRPr="00322592">
        <w:rPr>
          <w:b/>
          <w:bCs/>
          <w:lang w:val="es-ES_tradnl"/>
        </w:rPr>
        <w:t xml:space="preserve">El Estado parte debe garantizar también que los delitos de tortura se castiguen con penas adecuadas en las que se tenga en cuenta su gravedad, de conformidad con lo establecido en el </w:t>
      </w:r>
      <w:r w:rsidRPr="00322592">
        <w:rPr>
          <w:b/>
          <w:bCs/>
          <w:lang w:val="es-ES_tradnl"/>
        </w:rPr>
        <w:lastRenderedPageBreak/>
        <w:t>artículo</w:t>
      </w:r>
      <w:r>
        <w:rPr>
          <w:b/>
          <w:bCs/>
          <w:lang w:val="es-ES_tradnl"/>
        </w:rPr>
        <w:t> </w:t>
      </w:r>
      <w:r w:rsidRPr="00322592">
        <w:rPr>
          <w:b/>
          <w:bCs/>
          <w:lang w:val="es-ES_tradnl"/>
        </w:rPr>
        <w:t>4</w:t>
      </w:r>
      <w:r>
        <w:rPr>
          <w:b/>
          <w:bCs/>
          <w:lang w:val="es-ES_tradnl"/>
        </w:rPr>
        <w:t>, párrafo 2,</w:t>
      </w:r>
      <w:r w:rsidRPr="00322592">
        <w:rPr>
          <w:b/>
          <w:bCs/>
          <w:lang w:val="es-ES_tradnl"/>
        </w:rPr>
        <w:t xml:space="preserve"> de la Convención. El Comité recomienda al Estado parte que considere extender las circunstancias agravantes </w:t>
      </w:r>
      <w:r>
        <w:rPr>
          <w:b/>
          <w:bCs/>
          <w:lang w:val="es-ES_tradnl"/>
        </w:rPr>
        <w:t xml:space="preserve">cuando las víctimas son </w:t>
      </w:r>
      <w:r w:rsidRPr="00322592">
        <w:rPr>
          <w:b/>
          <w:bCs/>
          <w:lang w:val="es-ES_tradnl"/>
        </w:rPr>
        <w:t>personas que se pueden encontrar en situación de vulnerabilidad</w:t>
      </w:r>
      <w:r w:rsidRPr="00D15AC8">
        <w:rPr>
          <w:b/>
          <w:bCs/>
          <w:lang w:val="es-ES_tradnl"/>
        </w:rPr>
        <w:t xml:space="preserve">, por ejemplo, las personas lesbianas, bisexuales, gais y </w:t>
      </w:r>
      <w:r>
        <w:rPr>
          <w:b/>
          <w:bCs/>
          <w:lang w:val="es-ES_tradnl"/>
        </w:rPr>
        <w:t>transgénero</w:t>
      </w:r>
      <w:r w:rsidRPr="00D15AC8">
        <w:rPr>
          <w:b/>
          <w:bCs/>
          <w:lang w:val="es-ES_tradnl"/>
        </w:rPr>
        <w:t>, las personas indígenas y otras minorías nacionales o étnicas.</w:t>
      </w:r>
      <w:r w:rsidRPr="00322592">
        <w:rPr>
          <w:b/>
          <w:bCs/>
          <w:lang w:val="es-ES_tradnl"/>
        </w:rPr>
        <w:t xml:space="preserve"> El</w:t>
      </w:r>
      <w:r>
        <w:rPr>
          <w:b/>
          <w:bCs/>
          <w:lang w:val="es-ES_tradnl"/>
        </w:rPr>
        <w:t xml:space="preserve"> Comité solicita al</w:t>
      </w:r>
      <w:r w:rsidRPr="00322592">
        <w:rPr>
          <w:b/>
          <w:bCs/>
          <w:lang w:val="es-ES_tradnl"/>
        </w:rPr>
        <w:t xml:space="preserve"> Estado parte</w:t>
      </w:r>
      <w:r>
        <w:rPr>
          <w:b/>
          <w:bCs/>
          <w:lang w:val="es-ES_tradnl"/>
        </w:rPr>
        <w:t xml:space="preserve"> que </w:t>
      </w:r>
      <w:r w:rsidRPr="00322592">
        <w:rPr>
          <w:b/>
          <w:bCs/>
          <w:lang w:val="es-ES_tradnl"/>
        </w:rPr>
        <w:t>en su próximo informe periódico</w:t>
      </w:r>
      <w:r>
        <w:rPr>
          <w:b/>
          <w:bCs/>
          <w:lang w:val="es-ES_tradnl"/>
        </w:rPr>
        <w:t xml:space="preserve"> incluya</w:t>
      </w:r>
      <w:r w:rsidRPr="00322592">
        <w:rPr>
          <w:b/>
          <w:bCs/>
          <w:lang w:val="es-ES_tradnl"/>
        </w:rPr>
        <w:t xml:space="preserve"> información sobre </w:t>
      </w:r>
      <w:r>
        <w:rPr>
          <w:b/>
          <w:bCs/>
          <w:lang w:val="es-ES_tradnl"/>
        </w:rPr>
        <w:t>aquellos</w:t>
      </w:r>
      <w:r w:rsidRPr="00322592">
        <w:rPr>
          <w:b/>
          <w:bCs/>
          <w:lang w:val="es-ES_tradnl"/>
        </w:rPr>
        <w:t xml:space="preserve"> casos en los que se ha</w:t>
      </w:r>
      <w:r>
        <w:rPr>
          <w:b/>
          <w:bCs/>
          <w:lang w:val="es-ES_tradnl"/>
        </w:rPr>
        <w:t>ya</w:t>
      </w:r>
      <w:r w:rsidRPr="00322592">
        <w:rPr>
          <w:b/>
          <w:bCs/>
          <w:lang w:val="es-ES_tradnl"/>
        </w:rPr>
        <w:t xml:space="preserve"> aplicado el artículo</w:t>
      </w:r>
      <w:r>
        <w:rPr>
          <w:b/>
          <w:bCs/>
          <w:lang w:val="es-ES_tradnl"/>
        </w:rPr>
        <w:t xml:space="preserve"> </w:t>
      </w:r>
      <w:r w:rsidRPr="00322592">
        <w:rPr>
          <w:b/>
          <w:bCs/>
          <w:lang w:val="es-ES_tradnl"/>
        </w:rPr>
        <w:t xml:space="preserve">216 del Código Penal a </w:t>
      </w:r>
      <w:r>
        <w:rPr>
          <w:b/>
          <w:bCs/>
          <w:lang w:val="es-ES_tradnl"/>
        </w:rPr>
        <w:t xml:space="preserve">miembros de </w:t>
      </w:r>
      <w:r w:rsidRPr="00322592">
        <w:rPr>
          <w:b/>
          <w:bCs/>
          <w:lang w:val="es-ES_tradnl"/>
        </w:rPr>
        <w:t xml:space="preserve">las </w:t>
      </w:r>
      <w:r>
        <w:rPr>
          <w:b/>
          <w:bCs/>
          <w:lang w:val="es-ES_tradnl"/>
        </w:rPr>
        <w:t>F</w:t>
      </w:r>
      <w:r w:rsidRPr="00322592">
        <w:rPr>
          <w:b/>
          <w:bCs/>
          <w:lang w:val="es-ES_tradnl"/>
        </w:rPr>
        <w:t xml:space="preserve">uerzas </w:t>
      </w:r>
      <w:r>
        <w:rPr>
          <w:b/>
          <w:bCs/>
          <w:lang w:val="es-ES_tradnl"/>
        </w:rPr>
        <w:t>A</w:t>
      </w:r>
      <w:r w:rsidRPr="00322592">
        <w:rPr>
          <w:b/>
          <w:bCs/>
          <w:lang w:val="es-ES_tradnl"/>
        </w:rPr>
        <w:t xml:space="preserve">rmadas </w:t>
      </w:r>
      <w:r>
        <w:rPr>
          <w:b/>
          <w:bCs/>
          <w:lang w:val="es-ES_tradnl"/>
        </w:rPr>
        <w:t>en el marco de</w:t>
      </w:r>
      <w:r w:rsidRPr="00322592">
        <w:rPr>
          <w:b/>
          <w:bCs/>
          <w:lang w:val="es-ES_tradnl"/>
        </w:rPr>
        <w:t xml:space="preserve"> la jurisdicción civil.</w:t>
      </w:r>
    </w:p>
    <w:p w14:paraId="542054B8" w14:textId="77777777" w:rsidR="000D59FF" w:rsidRPr="00322592" w:rsidRDefault="000D59FF" w:rsidP="000D59FF">
      <w:pPr>
        <w:pStyle w:val="H23G"/>
        <w:rPr>
          <w:rFonts w:eastAsia="Calibri"/>
          <w:lang w:val="es-ES_tradnl"/>
        </w:rPr>
      </w:pPr>
      <w:r w:rsidRPr="00322592">
        <w:rPr>
          <w:lang w:val="es-ES_tradnl"/>
        </w:rPr>
        <w:tab/>
      </w:r>
      <w:r w:rsidRPr="00322592">
        <w:rPr>
          <w:lang w:val="es-ES_tradnl"/>
        </w:rPr>
        <w:tab/>
        <w:t>Salvaguardias legales fundamentales</w:t>
      </w:r>
    </w:p>
    <w:p w14:paraId="775F0788" w14:textId="77777777" w:rsidR="000D59FF" w:rsidRPr="00C510A2" w:rsidRDefault="000D59FF" w:rsidP="000D59FF">
      <w:pPr>
        <w:pStyle w:val="SingleTxtG"/>
        <w:rPr>
          <w:lang w:val="es-SV"/>
        </w:rPr>
      </w:pPr>
      <w:r w:rsidRPr="00322592">
        <w:rPr>
          <w:lang w:val="es-ES_tradnl"/>
        </w:rPr>
        <w:t>10.</w:t>
      </w:r>
      <w:r w:rsidRPr="00322592">
        <w:rPr>
          <w:lang w:val="es-ES_tradnl"/>
        </w:rPr>
        <w:tab/>
        <w:t>Si bien toma nota de la información proporcionada por el Estado parte sobre la aplicación</w:t>
      </w:r>
      <w:r>
        <w:rPr>
          <w:lang w:val="es-ES_tradnl"/>
        </w:rPr>
        <w:t xml:space="preserve"> </w:t>
      </w:r>
      <w:r w:rsidRPr="00322592">
        <w:rPr>
          <w:lang w:val="es-ES_tradnl"/>
        </w:rPr>
        <w:t>de las salvaguardias fundamentales</w:t>
      </w:r>
      <w:r>
        <w:rPr>
          <w:lang w:val="es-ES_tradnl"/>
        </w:rPr>
        <w:t xml:space="preserve"> contra la tortura y los malos tratos establecidas en la legislación del Estado parte</w:t>
      </w:r>
      <w:r w:rsidRPr="00322592">
        <w:rPr>
          <w:lang w:val="es-ES_tradnl"/>
        </w:rPr>
        <w:t xml:space="preserve"> y el fortalecimiento de</w:t>
      </w:r>
      <w:r>
        <w:rPr>
          <w:lang w:val="es-ES_tradnl"/>
        </w:rPr>
        <w:t xml:space="preserve"> los servicios de</w:t>
      </w:r>
      <w:r w:rsidRPr="00322592">
        <w:rPr>
          <w:lang w:val="es-ES_tradnl"/>
        </w:rPr>
        <w:t xml:space="preserve"> defensa pública, el Comité </w:t>
      </w:r>
      <w:r>
        <w:rPr>
          <w:lang w:val="es-ES_tradnl"/>
        </w:rPr>
        <w:t>mantiene su</w:t>
      </w:r>
      <w:r w:rsidRPr="00322592">
        <w:rPr>
          <w:lang w:val="es-ES_tradnl"/>
        </w:rPr>
        <w:t xml:space="preserve"> preocupa</w:t>
      </w:r>
      <w:r>
        <w:rPr>
          <w:lang w:val="es-ES_tradnl"/>
        </w:rPr>
        <w:t>ción</w:t>
      </w:r>
      <w:r w:rsidRPr="00322592">
        <w:rPr>
          <w:lang w:val="es-ES_tradnl"/>
        </w:rPr>
        <w:t xml:space="preserve"> por los informes concordantes recibidos según los cuales </w:t>
      </w:r>
      <w:r>
        <w:rPr>
          <w:lang w:val="es-ES_tradnl"/>
        </w:rPr>
        <w:t>dichas</w:t>
      </w:r>
      <w:r w:rsidRPr="00322592">
        <w:rPr>
          <w:lang w:val="es-ES_tradnl"/>
        </w:rPr>
        <w:t xml:space="preserve"> salvaguardias no </w:t>
      </w:r>
      <w:r>
        <w:rPr>
          <w:lang w:val="es-ES_tradnl"/>
        </w:rPr>
        <w:t>se</w:t>
      </w:r>
      <w:r w:rsidRPr="00322592">
        <w:rPr>
          <w:lang w:val="es-ES_tradnl"/>
        </w:rPr>
        <w:t xml:space="preserve"> aplica</w:t>
      </w:r>
      <w:r>
        <w:rPr>
          <w:lang w:val="es-ES_tradnl"/>
        </w:rPr>
        <w:t>rían</w:t>
      </w:r>
      <w:r w:rsidRPr="00322592">
        <w:rPr>
          <w:lang w:val="es-ES_tradnl"/>
        </w:rPr>
        <w:t xml:space="preserve"> de manera rigurosa en la práctica </w:t>
      </w:r>
      <w:r>
        <w:rPr>
          <w:lang w:val="es-ES_tradnl"/>
        </w:rPr>
        <w:t>durante</w:t>
      </w:r>
      <w:r w:rsidRPr="00322592">
        <w:rPr>
          <w:lang w:val="es-ES_tradnl"/>
        </w:rPr>
        <w:t xml:space="preserve"> las primeras horas de </w:t>
      </w:r>
      <w:r>
        <w:rPr>
          <w:lang w:val="es-ES_tradnl"/>
        </w:rPr>
        <w:t>la privación de libertad</w:t>
      </w:r>
      <w:r w:rsidRPr="00322592">
        <w:rPr>
          <w:lang w:val="es-ES_tradnl"/>
        </w:rPr>
        <w:t xml:space="preserve">, el traslado y la </w:t>
      </w:r>
      <w:r>
        <w:rPr>
          <w:lang w:val="es-ES_tradnl"/>
        </w:rPr>
        <w:t>detención en postas policiales e instalaciones</w:t>
      </w:r>
      <w:r w:rsidRPr="00322592">
        <w:rPr>
          <w:lang w:val="es-ES_tradnl"/>
        </w:rPr>
        <w:t xml:space="preserve"> militares</w:t>
      </w:r>
      <w:r>
        <w:rPr>
          <w:lang w:val="es-ES_tradnl"/>
        </w:rPr>
        <w:t xml:space="preserve">. Según los informes recibidos, este habría sido el caso en particular durante </w:t>
      </w:r>
      <w:r w:rsidRPr="00322592">
        <w:rPr>
          <w:lang w:val="es-ES_tradnl"/>
        </w:rPr>
        <w:t xml:space="preserve">la pandemia de enfermedad por coronavirus (COVID-19) y en el marco del estado de excepción declarado en varios departamentos en diciembre </w:t>
      </w:r>
      <w:r>
        <w:rPr>
          <w:lang w:val="es-ES_tradnl"/>
        </w:rPr>
        <w:t xml:space="preserve">de </w:t>
      </w:r>
      <w:r w:rsidRPr="00322592">
        <w:rPr>
          <w:lang w:val="es-ES_tradnl"/>
        </w:rPr>
        <w:t xml:space="preserve">2022, </w:t>
      </w:r>
      <w:r>
        <w:rPr>
          <w:lang w:val="es-ES_tradnl"/>
        </w:rPr>
        <w:t>vigente</w:t>
      </w:r>
      <w:r w:rsidRPr="00322592">
        <w:rPr>
          <w:lang w:val="es-ES_tradnl"/>
        </w:rPr>
        <w:t xml:space="preserve"> hasta la fecha. Al respecto, preocupan </w:t>
      </w:r>
      <w:r>
        <w:rPr>
          <w:lang w:val="es-ES_tradnl"/>
        </w:rPr>
        <w:t xml:space="preserve">también </w:t>
      </w:r>
      <w:r w:rsidRPr="00C510A2">
        <w:rPr>
          <w:lang w:val="es-SV"/>
        </w:rPr>
        <w:t>al Comité las informaciones recibidas en las que se denuncian:</w:t>
      </w:r>
    </w:p>
    <w:p w14:paraId="13B0F3CE" w14:textId="77777777" w:rsidR="000D59FF" w:rsidRPr="00C510A2" w:rsidRDefault="000D59FF" w:rsidP="000D59FF">
      <w:pPr>
        <w:pStyle w:val="SingleTxtG"/>
        <w:rPr>
          <w:lang w:val="es-SV"/>
        </w:rPr>
      </w:pPr>
      <w:r w:rsidRPr="00C510A2">
        <w:rPr>
          <w:lang w:val="es-SV"/>
        </w:rPr>
        <w:tab/>
        <w:t>a)</w:t>
      </w:r>
      <w:r w:rsidRPr="00C510A2">
        <w:rPr>
          <w:lang w:val="es-SV"/>
        </w:rPr>
        <w:tab/>
        <w:t>Detenciones arbitrarias</w:t>
      </w:r>
      <w:r w:rsidRPr="00322592">
        <w:rPr>
          <w:lang w:val="es-HN"/>
        </w:rPr>
        <w:t>,</w:t>
      </w:r>
      <w:r w:rsidRPr="00C510A2">
        <w:rPr>
          <w:lang w:val="es-SV"/>
        </w:rPr>
        <w:t xml:space="preserve"> </w:t>
      </w:r>
      <w:r>
        <w:rPr>
          <w:lang w:val="es-SV"/>
        </w:rPr>
        <w:t>puesto que se</w:t>
      </w:r>
      <w:r w:rsidRPr="00C510A2">
        <w:rPr>
          <w:lang w:val="es-SV"/>
        </w:rPr>
        <w:t xml:space="preserve"> efectua</w:t>
      </w:r>
      <w:r>
        <w:rPr>
          <w:lang w:val="es-SV"/>
        </w:rPr>
        <w:t>ron</w:t>
      </w:r>
      <w:r w:rsidRPr="00C510A2">
        <w:rPr>
          <w:lang w:val="es-SV"/>
        </w:rPr>
        <w:t xml:space="preserve"> sin informar a la persona detenida los motivos de la detención; dificultades en la notificación de la detención; demoras y deficiencias en la prestación de los servicios de defensa pública, así como deficiencias en el acceso a un examen médico independiente;</w:t>
      </w:r>
    </w:p>
    <w:p w14:paraId="0685E202" w14:textId="77777777" w:rsidR="000D59FF" w:rsidRPr="00C510A2" w:rsidRDefault="000D59FF" w:rsidP="000D59FF">
      <w:pPr>
        <w:pStyle w:val="SingleTxtG"/>
        <w:rPr>
          <w:lang w:val="es-SV"/>
        </w:rPr>
      </w:pPr>
      <w:r w:rsidRPr="00C510A2">
        <w:rPr>
          <w:lang w:val="es-SV"/>
        </w:rPr>
        <w:tab/>
        <w:t>b)</w:t>
      </w:r>
      <w:r w:rsidRPr="00C510A2">
        <w:rPr>
          <w:lang w:val="es-SV"/>
        </w:rPr>
        <w:tab/>
        <w:t>Detenciones (más de 25</w:t>
      </w:r>
      <w:r>
        <w:rPr>
          <w:lang w:val="es-SV"/>
        </w:rPr>
        <w:t>.</w:t>
      </w:r>
      <w:r w:rsidRPr="00C510A2">
        <w:rPr>
          <w:lang w:val="es-SV"/>
        </w:rPr>
        <w:t>896) y allanamientos (más de 17</w:t>
      </w:r>
      <w:r>
        <w:rPr>
          <w:lang w:val="es-SV"/>
        </w:rPr>
        <w:t>.</w:t>
      </w:r>
      <w:r w:rsidRPr="00C510A2">
        <w:rPr>
          <w:lang w:val="es-SV"/>
        </w:rPr>
        <w:t xml:space="preserve">062) sin orden judicial en virtud de las facultades otorgadas a la Policía Nacional y la </w:t>
      </w:r>
      <w:bookmarkStart w:id="1" w:name="_Hlk167363662"/>
      <w:r w:rsidRPr="00C510A2">
        <w:rPr>
          <w:lang w:val="es-SV"/>
        </w:rPr>
        <w:t>Policía Militar de</w:t>
      </w:r>
      <w:r>
        <w:rPr>
          <w:lang w:val="es-SV"/>
        </w:rPr>
        <w:t>l</w:t>
      </w:r>
      <w:r w:rsidRPr="00C510A2">
        <w:rPr>
          <w:lang w:val="es-SV"/>
        </w:rPr>
        <w:t xml:space="preserve"> Orden Público</w:t>
      </w:r>
      <w:bookmarkEnd w:id="1"/>
      <w:r w:rsidRPr="00C510A2">
        <w:rPr>
          <w:lang w:val="es-SV"/>
        </w:rPr>
        <w:t xml:space="preserve"> de las Fuerzas Armadas en el marco del estado de excepción</w:t>
      </w:r>
      <w:r w:rsidRPr="00322592">
        <w:rPr>
          <w:rStyle w:val="Refdenotaalpie"/>
        </w:rPr>
        <w:footnoteReference w:id="9"/>
      </w:r>
      <w:r w:rsidRPr="00322592">
        <w:rPr>
          <w:lang w:val="es-ES_tradnl"/>
        </w:rPr>
        <w:t>;</w:t>
      </w:r>
    </w:p>
    <w:p w14:paraId="593C14BB" w14:textId="77777777" w:rsidR="000D59FF" w:rsidRPr="00C510A2" w:rsidRDefault="000D59FF" w:rsidP="000D59FF">
      <w:pPr>
        <w:pStyle w:val="SingleTxtG"/>
        <w:rPr>
          <w:lang w:val="es-SV"/>
        </w:rPr>
      </w:pPr>
      <w:r w:rsidRPr="00C510A2">
        <w:rPr>
          <w:lang w:val="es-SV"/>
        </w:rPr>
        <w:tab/>
        <w:t>c)</w:t>
      </w:r>
      <w:r w:rsidRPr="00C510A2">
        <w:rPr>
          <w:lang w:val="es-SV"/>
        </w:rPr>
        <w:tab/>
        <w:t xml:space="preserve">Deficiencias en el sistema de registro de detenciones de la </w:t>
      </w:r>
      <w:r>
        <w:rPr>
          <w:lang w:val="es-SV"/>
        </w:rPr>
        <w:t>P</w:t>
      </w:r>
      <w:r w:rsidRPr="00C510A2">
        <w:rPr>
          <w:lang w:val="es-SV"/>
        </w:rPr>
        <w:t>olicía</w:t>
      </w:r>
      <w:r w:rsidRPr="00322592">
        <w:rPr>
          <w:rStyle w:val="Refdenotaalpie"/>
        </w:rPr>
        <w:footnoteReference w:id="10"/>
      </w:r>
      <w:r w:rsidRPr="00C510A2">
        <w:rPr>
          <w:lang w:val="es-SV"/>
        </w:rPr>
        <w:t xml:space="preserve">, tales como inconsistencias en la inscripción de ingresos y puestas en libertad. En este sentido, el Comité toma nota de </w:t>
      </w:r>
      <w:r>
        <w:rPr>
          <w:lang w:val="es-SV"/>
        </w:rPr>
        <w:t>las actividades que se están llevando a cabo</w:t>
      </w:r>
      <w:r w:rsidRPr="00C510A2">
        <w:rPr>
          <w:lang w:val="es-SV"/>
        </w:rPr>
        <w:t xml:space="preserve"> para establecer un registro nacional de las personas privadas de libertad en postas policiales y centros penitenciarios (art. 2).</w:t>
      </w:r>
    </w:p>
    <w:p w14:paraId="70F43800" w14:textId="77777777" w:rsidR="000D59FF" w:rsidRPr="00FB22AF" w:rsidRDefault="000D59FF" w:rsidP="000D59FF">
      <w:pPr>
        <w:pStyle w:val="SingleTxtG"/>
        <w:rPr>
          <w:bCs/>
          <w:lang w:val="es-ES_tradnl"/>
        </w:rPr>
      </w:pPr>
      <w:r w:rsidRPr="00010098">
        <w:rPr>
          <w:bCs/>
          <w:lang w:val="es-ES_tradnl"/>
        </w:rPr>
        <w:t>11.</w:t>
      </w:r>
      <w:r w:rsidRPr="00322592">
        <w:rPr>
          <w:lang w:val="es-ES_tradnl"/>
        </w:rPr>
        <w:tab/>
      </w:r>
      <w:r w:rsidRPr="00FB22AF">
        <w:rPr>
          <w:b/>
          <w:bCs/>
          <w:lang w:val="es-ES_tradnl"/>
        </w:rPr>
        <w:t>El Estado parte debe:</w:t>
      </w:r>
    </w:p>
    <w:p w14:paraId="641551AF" w14:textId="77777777" w:rsidR="000D59FF" w:rsidRPr="00322592" w:rsidRDefault="000D59FF" w:rsidP="000D59FF">
      <w:pPr>
        <w:pStyle w:val="SingleTxtG"/>
        <w:rPr>
          <w:rFonts w:eastAsia="Calibri"/>
          <w:b/>
          <w:bCs/>
          <w:lang w:val="es-ES_tradnl"/>
        </w:rPr>
      </w:pPr>
      <w:r w:rsidRPr="00322592">
        <w:rPr>
          <w:rFonts w:eastAsia="Calibri"/>
          <w:lang w:val="es-ES_tradnl"/>
        </w:rPr>
        <w:tab/>
      </w:r>
      <w:r w:rsidRPr="005413B6">
        <w:rPr>
          <w:rFonts w:eastAsia="Calibri"/>
          <w:b/>
          <w:bCs/>
          <w:lang w:val="es-ES_tradnl"/>
        </w:rPr>
        <w:t>a)</w:t>
      </w:r>
      <w:r w:rsidRPr="00322592">
        <w:rPr>
          <w:rFonts w:eastAsia="Calibri"/>
          <w:b/>
          <w:bCs/>
          <w:lang w:val="es-ES_tradnl"/>
        </w:rPr>
        <w:tab/>
      </w:r>
      <w:r w:rsidRPr="00C510A2">
        <w:rPr>
          <w:b/>
          <w:bCs/>
          <w:lang w:val="es-SV"/>
        </w:rPr>
        <w:t xml:space="preserve">Adoptar medidas eficaces para prevenir las detenciones arbitrarias </w:t>
      </w:r>
      <w:r w:rsidRPr="00322592">
        <w:rPr>
          <w:rFonts w:eastAsia="Calibri"/>
          <w:b/>
          <w:bCs/>
          <w:lang w:val="es-ES_tradnl"/>
        </w:rPr>
        <w:t xml:space="preserve">y velar por que las personas privadas de libertad gocen en la práctica de todas las salvaguardias fundamentales desde el inicio de su privación de libertad, de conformidad con las normas internacionales, en particular </w:t>
      </w:r>
      <w:r>
        <w:rPr>
          <w:rFonts w:eastAsia="Calibri"/>
          <w:b/>
          <w:bCs/>
          <w:lang w:val="es-ES_tradnl"/>
        </w:rPr>
        <w:t xml:space="preserve">de </w:t>
      </w:r>
      <w:r w:rsidRPr="00322592">
        <w:rPr>
          <w:rFonts w:eastAsia="Calibri"/>
          <w:b/>
          <w:bCs/>
          <w:lang w:val="es-ES_tradnl"/>
        </w:rPr>
        <w:t>los derechos a ser informad</w:t>
      </w:r>
      <w:r>
        <w:rPr>
          <w:rFonts w:eastAsia="Calibri"/>
          <w:b/>
          <w:bCs/>
          <w:lang w:val="es-ES_tradnl"/>
        </w:rPr>
        <w:t>a</w:t>
      </w:r>
      <w:r w:rsidRPr="00322592">
        <w:rPr>
          <w:rFonts w:eastAsia="Calibri"/>
          <w:b/>
          <w:bCs/>
          <w:lang w:val="es-ES_tradnl"/>
        </w:rPr>
        <w:t>s de las razones de su detención</w:t>
      </w:r>
      <w:r>
        <w:rPr>
          <w:rFonts w:eastAsia="Calibri"/>
          <w:b/>
          <w:bCs/>
          <w:lang w:val="es-ES_tradnl"/>
        </w:rPr>
        <w:t>;</w:t>
      </w:r>
      <w:r w:rsidRPr="00322592">
        <w:rPr>
          <w:rFonts w:eastAsia="Calibri"/>
          <w:b/>
          <w:bCs/>
          <w:lang w:val="es-ES_tradnl"/>
        </w:rPr>
        <w:t xml:space="preserve"> a informar con prontitud de la detención a un familiar o a un tercero; a ser asistidas sin demora por un abogado o a recibir asistencia letrada gratuita de calidad en caso de necesidad</w:t>
      </w:r>
      <w:r>
        <w:rPr>
          <w:rFonts w:eastAsia="Calibri"/>
          <w:b/>
          <w:bCs/>
          <w:lang w:val="es-ES_tradnl"/>
        </w:rPr>
        <w:t>,</w:t>
      </w:r>
      <w:r w:rsidRPr="00322592">
        <w:rPr>
          <w:rFonts w:eastAsia="Calibri"/>
          <w:b/>
          <w:bCs/>
          <w:lang w:val="es-ES_tradnl"/>
        </w:rPr>
        <w:t xml:space="preserve"> y a solicitar y a obtener un reconocimiento médico gratuito por un facultativo independiente o por un médico de su elección y que sus historia</w:t>
      </w:r>
      <w:r>
        <w:rPr>
          <w:rFonts w:eastAsia="Calibri"/>
          <w:b/>
          <w:bCs/>
          <w:lang w:val="es-ES_tradnl"/>
        </w:rPr>
        <w:t>les</w:t>
      </w:r>
      <w:r w:rsidRPr="00322592">
        <w:rPr>
          <w:rFonts w:eastAsia="Calibri"/>
          <w:b/>
          <w:bCs/>
          <w:lang w:val="es-ES_tradnl"/>
        </w:rPr>
        <w:t xml:space="preserve"> clínic</w:t>
      </w:r>
      <w:r>
        <w:rPr>
          <w:rFonts w:eastAsia="Calibri"/>
          <w:b/>
          <w:bCs/>
          <w:lang w:val="es-ES_tradnl"/>
        </w:rPr>
        <w:t>os</w:t>
      </w:r>
      <w:r w:rsidRPr="00322592">
        <w:rPr>
          <w:rFonts w:eastAsia="Calibri"/>
          <w:b/>
          <w:bCs/>
          <w:lang w:val="es-ES_tradnl"/>
        </w:rPr>
        <w:t xml:space="preserve"> sean puest</w:t>
      </w:r>
      <w:r>
        <w:rPr>
          <w:rFonts w:eastAsia="Calibri"/>
          <w:b/>
          <w:bCs/>
          <w:lang w:val="es-ES_tradnl"/>
        </w:rPr>
        <w:t>os</w:t>
      </w:r>
      <w:r w:rsidRPr="00322592">
        <w:rPr>
          <w:rFonts w:eastAsia="Calibri"/>
          <w:b/>
          <w:bCs/>
          <w:lang w:val="es-ES_tradnl"/>
        </w:rPr>
        <w:t xml:space="preserve"> inmediatamente en conocimiento de </w:t>
      </w:r>
      <w:r>
        <w:rPr>
          <w:rFonts w:eastAsia="Calibri"/>
          <w:b/>
          <w:bCs/>
          <w:lang w:val="es-ES_tradnl"/>
        </w:rPr>
        <w:t>la Fiscalía</w:t>
      </w:r>
      <w:r w:rsidRPr="00322592">
        <w:rPr>
          <w:rFonts w:eastAsia="Calibri"/>
          <w:b/>
          <w:bCs/>
          <w:lang w:val="es-ES_tradnl"/>
        </w:rPr>
        <w:t xml:space="preserve"> cuando </w:t>
      </w:r>
      <w:r>
        <w:rPr>
          <w:rFonts w:eastAsia="Calibri"/>
          <w:b/>
          <w:bCs/>
          <w:lang w:val="es-ES_tradnl"/>
        </w:rPr>
        <w:t>de los mismos</w:t>
      </w:r>
      <w:r w:rsidRPr="00322592">
        <w:rPr>
          <w:rFonts w:eastAsia="Calibri"/>
          <w:b/>
          <w:bCs/>
          <w:lang w:val="es-ES_tradnl"/>
        </w:rPr>
        <w:t xml:space="preserve"> pueda desprenderse </w:t>
      </w:r>
      <w:r>
        <w:rPr>
          <w:rFonts w:eastAsia="Calibri"/>
          <w:b/>
          <w:bCs/>
          <w:lang w:val="es-ES_tradnl"/>
        </w:rPr>
        <w:t>la comisión de actos de</w:t>
      </w:r>
      <w:r w:rsidRPr="00322592">
        <w:rPr>
          <w:rFonts w:eastAsia="Calibri"/>
          <w:b/>
          <w:bCs/>
          <w:lang w:val="es-ES_tradnl"/>
        </w:rPr>
        <w:t xml:space="preserve"> tortura o malos tratos;</w:t>
      </w:r>
    </w:p>
    <w:p w14:paraId="20EB7FD1" w14:textId="77777777" w:rsidR="000D59FF" w:rsidRPr="00322592" w:rsidRDefault="000D59FF" w:rsidP="000D59FF">
      <w:pPr>
        <w:pStyle w:val="SingleTxtG"/>
        <w:rPr>
          <w:b/>
          <w:bCs/>
          <w:lang w:val="es-ES_tradnl"/>
        </w:rPr>
      </w:pPr>
      <w:r w:rsidRPr="00322592">
        <w:rPr>
          <w:rFonts w:eastAsia="Calibri"/>
          <w:b/>
          <w:bCs/>
          <w:lang w:val="es-ES_tradnl"/>
        </w:rPr>
        <w:tab/>
      </w:r>
      <w:r w:rsidRPr="005413B6">
        <w:rPr>
          <w:rFonts w:eastAsia="Calibri"/>
          <w:b/>
          <w:bCs/>
          <w:lang w:val="es-ES_tradnl"/>
        </w:rPr>
        <w:t>b)</w:t>
      </w:r>
      <w:r w:rsidRPr="00322592">
        <w:rPr>
          <w:rFonts w:eastAsia="Calibri"/>
          <w:b/>
          <w:bCs/>
          <w:lang w:val="es-ES_tradnl"/>
        </w:rPr>
        <w:tab/>
      </w:r>
      <w:r>
        <w:rPr>
          <w:rFonts w:eastAsia="Calibri"/>
          <w:b/>
          <w:bCs/>
          <w:lang w:val="es-ES_tradnl"/>
        </w:rPr>
        <w:t>Proseguir en su empeño</w:t>
      </w:r>
      <w:r w:rsidRPr="00322592">
        <w:rPr>
          <w:rFonts w:eastAsia="Calibri"/>
          <w:b/>
          <w:bCs/>
          <w:lang w:val="es-ES_tradnl"/>
        </w:rPr>
        <w:t xml:space="preserve"> </w:t>
      </w:r>
      <w:r>
        <w:rPr>
          <w:rFonts w:eastAsia="Calibri"/>
          <w:b/>
          <w:bCs/>
          <w:lang w:val="es-ES_tradnl"/>
        </w:rPr>
        <w:t>par</w:t>
      </w:r>
      <w:r w:rsidRPr="00322592">
        <w:rPr>
          <w:rFonts w:eastAsia="Calibri"/>
          <w:b/>
          <w:bCs/>
          <w:lang w:val="es-ES_tradnl"/>
        </w:rPr>
        <w:t xml:space="preserve">a </w:t>
      </w:r>
      <w:r>
        <w:rPr>
          <w:rFonts w:eastAsia="Calibri"/>
          <w:b/>
          <w:bCs/>
          <w:lang w:val="es-ES_tradnl"/>
        </w:rPr>
        <w:t>establecer</w:t>
      </w:r>
      <w:r w:rsidRPr="00322592">
        <w:rPr>
          <w:rFonts w:eastAsia="Calibri"/>
          <w:b/>
          <w:bCs/>
          <w:lang w:val="es-ES_tradnl"/>
        </w:rPr>
        <w:t xml:space="preserve"> un registro </w:t>
      </w:r>
      <w:r>
        <w:rPr>
          <w:rFonts w:eastAsia="Calibri"/>
          <w:b/>
          <w:bCs/>
          <w:lang w:val="es-ES_tradnl"/>
        </w:rPr>
        <w:t xml:space="preserve">oficial </w:t>
      </w:r>
      <w:r w:rsidRPr="00322592">
        <w:rPr>
          <w:rFonts w:eastAsia="Calibri"/>
          <w:b/>
          <w:bCs/>
          <w:lang w:val="es-ES_tradnl"/>
        </w:rPr>
        <w:t>unificado y digitalizado de personas priva</w:t>
      </w:r>
      <w:r>
        <w:rPr>
          <w:rFonts w:eastAsia="Calibri"/>
          <w:b/>
          <w:bCs/>
          <w:lang w:val="es-ES_tradnl"/>
        </w:rPr>
        <w:t>das</w:t>
      </w:r>
      <w:r w:rsidRPr="00322592">
        <w:rPr>
          <w:rFonts w:eastAsia="Calibri"/>
          <w:b/>
          <w:bCs/>
          <w:lang w:val="es-ES_tradnl"/>
        </w:rPr>
        <w:t xml:space="preserve"> de libertad</w:t>
      </w:r>
      <w:r>
        <w:rPr>
          <w:rFonts w:eastAsia="Calibri"/>
          <w:b/>
          <w:bCs/>
          <w:lang w:val="es-ES_tradnl"/>
        </w:rPr>
        <w:t xml:space="preserve"> y garantizar la exactitud y actualización de</w:t>
      </w:r>
      <w:r w:rsidRPr="00322592">
        <w:rPr>
          <w:rFonts w:eastAsia="Calibri"/>
          <w:b/>
          <w:bCs/>
          <w:lang w:val="es-ES_tradnl"/>
        </w:rPr>
        <w:t xml:space="preserve"> las inscripciones </w:t>
      </w:r>
      <w:r>
        <w:rPr>
          <w:rFonts w:eastAsia="Calibri"/>
          <w:b/>
          <w:bCs/>
          <w:lang w:val="es-ES_tradnl"/>
        </w:rPr>
        <w:t>en el registro oficial de detención;</w:t>
      </w:r>
    </w:p>
    <w:p w14:paraId="05933538" w14:textId="77777777" w:rsidR="000D59FF" w:rsidRPr="00322592" w:rsidRDefault="000D59FF" w:rsidP="000D59FF">
      <w:pPr>
        <w:pStyle w:val="SingleTxtG"/>
        <w:rPr>
          <w:rFonts w:eastAsia="Calibri"/>
          <w:b/>
          <w:bCs/>
          <w:lang w:val="es-ES_tradnl"/>
        </w:rPr>
      </w:pPr>
      <w:r w:rsidRPr="00C510A2">
        <w:rPr>
          <w:b/>
          <w:bCs/>
          <w:lang w:val="es-SV"/>
        </w:rPr>
        <w:tab/>
      </w:r>
      <w:r w:rsidRPr="005413B6">
        <w:rPr>
          <w:b/>
          <w:bCs/>
          <w:lang w:val="es-SV"/>
        </w:rPr>
        <w:t>c</w:t>
      </w:r>
      <w:r w:rsidRPr="005413B6">
        <w:rPr>
          <w:rFonts w:eastAsia="Calibri"/>
          <w:b/>
          <w:bCs/>
          <w:lang w:val="es-ES_tradnl"/>
        </w:rPr>
        <w:t>)</w:t>
      </w:r>
      <w:r w:rsidRPr="00322592">
        <w:rPr>
          <w:rFonts w:eastAsia="Calibri"/>
          <w:b/>
          <w:bCs/>
          <w:lang w:val="es-ES_tradnl"/>
        </w:rPr>
        <w:tab/>
      </w:r>
      <w:r>
        <w:rPr>
          <w:rFonts w:eastAsia="Calibri"/>
          <w:b/>
          <w:bCs/>
          <w:lang w:val="es-ES_tradnl"/>
        </w:rPr>
        <w:t>Mejorar</w:t>
      </w:r>
      <w:r w:rsidRPr="00322592">
        <w:rPr>
          <w:rFonts w:eastAsia="Calibri"/>
          <w:b/>
          <w:bCs/>
          <w:lang w:val="es-ES_tradnl"/>
        </w:rPr>
        <w:t xml:space="preserve"> protocolos que regulen la actuación de l</w:t>
      </w:r>
      <w:r>
        <w:rPr>
          <w:rFonts w:eastAsia="Calibri"/>
          <w:b/>
          <w:bCs/>
          <w:lang w:val="es-ES_tradnl"/>
        </w:rPr>
        <w:t xml:space="preserve">os cuerpos </w:t>
      </w:r>
      <w:r w:rsidRPr="00322592">
        <w:rPr>
          <w:rFonts w:eastAsia="Calibri"/>
          <w:b/>
          <w:bCs/>
          <w:lang w:val="es-ES_tradnl"/>
        </w:rPr>
        <w:t xml:space="preserve">de seguridad y fuerzas armadas, garantizando </w:t>
      </w:r>
      <w:r>
        <w:rPr>
          <w:rFonts w:eastAsia="Calibri"/>
          <w:b/>
          <w:bCs/>
          <w:lang w:val="es-ES_tradnl"/>
        </w:rPr>
        <w:t xml:space="preserve">el respeto de </w:t>
      </w:r>
      <w:r w:rsidRPr="00322592">
        <w:rPr>
          <w:rFonts w:eastAsia="Calibri"/>
          <w:b/>
          <w:bCs/>
          <w:lang w:val="es-ES_tradnl"/>
        </w:rPr>
        <w:t xml:space="preserve">las salvaguardias legales fundamentales en </w:t>
      </w:r>
      <w:r>
        <w:rPr>
          <w:rFonts w:eastAsia="Calibri"/>
          <w:b/>
          <w:bCs/>
          <w:lang w:val="es-ES_tradnl"/>
        </w:rPr>
        <w:t>el marco de los</w:t>
      </w:r>
      <w:r w:rsidRPr="00322592">
        <w:rPr>
          <w:rFonts w:eastAsia="Calibri"/>
          <w:b/>
          <w:bCs/>
          <w:lang w:val="es-ES_tradnl"/>
        </w:rPr>
        <w:t xml:space="preserve"> procedimientos de detención</w:t>
      </w:r>
      <w:r>
        <w:rPr>
          <w:rFonts w:eastAsia="Calibri"/>
          <w:b/>
          <w:bCs/>
          <w:lang w:val="es-ES_tradnl"/>
        </w:rPr>
        <w:t>. El Estado parte debe también reforzar</w:t>
      </w:r>
      <w:r w:rsidRPr="00322592">
        <w:rPr>
          <w:rFonts w:eastAsia="Calibri"/>
          <w:b/>
          <w:bCs/>
          <w:lang w:val="es-ES_tradnl"/>
        </w:rPr>
        <w:t xml:space="preserve"> los mecanismos de vigilancia y supervisión de </w:t>
      </w:r>
      <w:r>
        <w:rPr>
          <w:rFonts w:eastAsia="Calibri"/>
          <w:b/>
          <w:bCs/>
          <w:lang w:val="es-ES_tradnl"/>
        </w:rPr>
        <w:t>las actuaciones policiales</w:t>
      </w:r>
      <w:r w:rsidRPr="00322592">
        <w:rPr>
          <w:rFonts w:eastAsia="Calibri"/>
          <w:b/>
          <w:bCs/>
          <w:lang w:val="es-ES_tradnl"/>
        </w:rPr>
        <w:t xml:space="preserve">, </w:t>
      </w:r>
      <w:r>
        <w:rPr>
          <w:rFonts w:eastAsia="Calibri"/>
          <w:b/>
          <w:bCs/>
          <w:lang w:val="es-ES_tradnl"/>
        </w:rPr>
        <w:t>y considerar</w:t>
      </w:r>
      <w:r w:rsidRPr="00322592">
        <w:rPr>
          <w:rFonts w:eastAsia="Calibri"/>
          <w:b/>
          <w:bCs/>
          <w:lang w:val="es-ES_tradnl"/>
        </w:rPr>
        <w:t xml:space="preserve"> la instalación de cámaras de televisión en circuito cerrado en todos los lugares donde pueda haber personas detenidas, en particular en las postas policiales</w:t>
      </w:r>
      <w:r>
        <w:rPr>
          <w:rFonts w:eastAsia="Calibri"/>
          <w:b/>
          <w:bCs/>
          <w:lang w:val="es-ES_tradnl"/>
        </w:rPr>
        <w:t xml:space="preserve"> incluidas l</w:t>
      </w:r>
      <w:r w:rsidRPr="00322592">
        <w:rPr>
          <w:rFonts w:eastAsia="Calibri"/>
          <w:b/>
          <w:bCs/>
          <w:lang w:val="es-ES_tradnl"/>
        </w:rPr>
        <w:t xml:space="preserve">as salas de interrogatorio, excepto cuando ello pudiera dar lugar a vulneraciones del derecho a </w:t>
      </w:r>
      <w:r w:rsidRPr="00322592">
        <w:rPr>
          <w:rFonts w:eastAsia="Calibri"/>
          <w:b/>
          <w:bCs/>
          <w:lang w:val="es-ES_tradnl"/>
        </w:rPr>
        <w:lastRenderedPageBreak/>
        <w:t xml:space="preserve">la intimidad de los detenidos o de la confidencialidad de sus conversaciones con sus abogados o </w:t>
      </w:r>
      <w:r>
        <w:rPr>
          <w:rFonts w:eastAsia="Calibri"/>
          <w:b/>
          <w:bCs/>
          <w:lang w:val="es-ES_tradnl"/>
        </w:rPr>
        <w:t>profesionales médicos</w:t>
      </w:r>
      <w:r w:rsidRPr="00322592">
        <w:rPr>
          <w:rFonts w:eastAsia="Calibri"/>
          <w:b/>
          <w:bCs/>
          <w:lang w:val="es-ES_tradnl"/>
        </w:rPr>
        <w:t>;</w:t>
      </w:r>
    </w:p>
    <w:p w14:paraId="7B6D52F9" w14:textId="77777777" w:rsidR="000D59FF" w:rsidRPr="00322592" w:rsidRDefault="000D59FF" w:rsidP="000D59FF">
      <w:pPr>
        <w:pStyle w:val="SingleTxtG"/>
        <w:rPr>
          <w:rFonts w:eastAsia="Calibri"/>
          <w:b/>
          <w:lang w:val="es-ES_tradnl"/>
        </w:rPr>
      </w:pPr>
      <w:r w:rsidRPr="00322592">
        <w:rPr>
          <w:rFonts w:eastAsia="Calibri"/>
          <w:b/>
          <w:bCs/>
          <w:lang w:val="es-ES_tradnl"/>
        </w:rPr>
        <w:tab/>
      </w:r>
      <w:r w:rsidRPr="005413B6">
        <w:rPr>
          <w:rFonts w:eastAsia="Calibri"/>
          <w:b/>
          <w:bCs/>
          <w:lang w:val="es-ES_tradnl"/>
        </w:rPr>
        <w:t>d)</w:t>
      </w:r>
      <w:r w:rsidRPr="00322592">
        <w:rPr>
          <w:rFonts w:eastAsia="Calibri"/>
          <w:b/>
          <w:bCs/>
          <w:lang w:val="es-ES_tradnl"/>
        </w:rPr>
        <w:tab/>
        <w:t>Investigar y sancionar a los agentes de las fuerzas del orden que no observen</w:t>
      </w:r>
      <w:r w:rsidRPr="00322592">
        <w:rPr>
          <w:rFonts w:eastAsia="Calibri"/>
          <w:b/>
          <w:lang w:val="es-ES_tradnl"/>
        </w:rPr>
        <w:t xml:space="preserve"> las salvaguardias legales fundamentales de las personas privadas de libertad, e informar al Comité al respecto. </w:t>
      </w:r>
    </w:p>
    <w:p w14:paraId="2C150C0D" w14:textId="77777777" w:rsidR="000D59FF" w:rsidRPr="00C510A2" w:rsidRDefault="000D59FF" w:rsidP="000D59FF">
      <w:pPr>
        <w:pStyle w:val="H23G"/>
        <w:rPr>
          <w:lang w:val="es-SV"/>
        </w:rPr>
      </w:pPr>
      <w:r>
        <w:rPr>
          <w:lang w:val="es-SV"/>
        </w:rPr>
        <w:tab/>
      </w:r>
      <w:r>
        <w:rPr>
          <w:lang w:val="es-SV"/>
        </w:rPr>
        <w:tab/>
      </w:r>
      <w:r w:rsidRPr="00C510A2">
        <w:rPr>
          <w:lang w:val="es-SV"/>
        </w:rPr>
        <w:t xml:space="preserve">Independencia </w:t>
      </w:r>
      <w:r w:rsidRPr="000131DC">
        <w:rPr>
          <w:lang w:val="es-SV"/>
        </w:rPr>
        <w:t>judicial y acceso a la justicia</w:t>
      </w:r>
    </w:p>
    <w:p w14:paraId="3E7C1049" w14:textId="77777777" w:rsidR="000D59FF" w:rsidRPr="00C510A2" w:rsidRDefault="000D59FF" w:rsidP="000D59FF">
      <w:pPr>
        <w:pStyle w:val="SingleTxtG"/>
        <w:rPr>
          <w:rFonts w:asciiTheme="majorBidi" w:hAnsiTheme="majorBidi" w:cstheme="majorBidi"/>
          <w:lang w:val="es-SV"/>
        </w:rPr>
      </w:pPr>
      <w:r w:rsidRPr="00C510A2">
        <w:rPr>
          <w:rFonts w:asciiTheme="majorBidi" w:hAnsiTheme="majorBidi" w:cstheme="majorBidi"/>
          <w:lang w:val="es-SV"/>
        </w:rPr>
        <w:t>12.</w:t>
      </w:r>
      <w:r w:rsidRPr="00C510A2">
        <w:rPr>
          <w:rFonts w:asciiTheme="majorBidi" w:hAnsiTheme="majorBidi" w:cstheme="majorBidi"/>
          <w:lang w:val="es-SV"/>
        </w:rPr>
        <w:tab/>
        <w:t>Aunque el Comité toma nota de las medidas adoptadas para reforzar la independencia de la judicatura, mantiene su preocupación ante las lagunas existentes en la regulación de la selección de funcionarios judiciales, ascensos dentro de la carrera judicial, y las demoras en los procesos judiciales</w:t>
      </w:r>
      <w:r w:rsidRPr="00322592">
        <w:rPr>
          <w:rStyle w:val="Refdenotaalpie"/>
          <w:rFonts w:cstheme="majorBidi"/>
        </w:rPr>
        <w:footnoteReference w:id="11"/>
      </w:r>
      <w:r w:rsidRPr="00C510A2">
        <w:rPr>
          <w:rFonts w:asciiTheme="majorBidi" w:hAnsiTheme="majorBidi" w:cstheme="majorBidi"/>
          <w:lang w:val="es-SV"/>
        </w:rPr>
        <w:t xml:space="preserve">, considerando que </w:t>
      </w:r>
      <w:r>
        <w:rPr>
          <w:rFonts w:asciiTheme="majorBidi" w:hAnsiTheme="majorBidi" w:cstheme="majorBidi"/>
          <w:lang w:val="es-SV"/>
        </w:rPr>
        <w:t>e</w:t>
      </w:r>
      <w:r w:rsidRPr="00C510A2">
        <w:rPr>
          <w:rFonts w:asciiTheme="majorBidi" w:hAnsiTheme="majorBidi" w:cstheme="majorBidi"/>
          <w:lang w:val="es-SV"/>
        </w:rPr>
        <w:t>stas tienen un impacto negativo en el acceso a la justica de las víctimas de tortura y malos tratos (arts. 2, párr.</w:t>
      </w:r>
      <w:r>
        <w:rPr>
          <w:rFonts w:asciiTheme="majorBidi" w:hAnsiTheme="majorBidi" w:cstheme="majorBidi"/>
          <w:lang w:val="es-SV"/>
        </w:rPr>
        <w:t xml:space="preserve"> </w:t>
      </w:r>
      <w:r w:rsidRPr="00C510A2">
        <w:rPr>
          <w:rFonts w:asciiTheme="majorBidi" w:hAnsiTheme="majorBidi" w:cstheme="majorBidi"/>
          <w:lang w:val="es-SV"/>
        </w:rPr>
        <w:t>1, 12 y 13).</w:t>
      </w:r>
    </w:p>
    <w:p w14:paraId="388997E3" w14:textId="77777777" w:rsidR="000D59FF" w:rsidRPr="00C510A2" w:rsidRDefault="000D59FF" w:rsidP="000D59FF">
      <w:pPr>
        <w:pStyle w:val="SingleTxtG"/>
        <w:rPr>
          <w:b/>
          <w:bCs/>
          <w:lang w:val="es-SV"/>
        </w:rPr>
      </w:pPr>
      <w:r w:rsidRPr="00C510A2">
        <w:rPr>
          <w:lang w:val="es-SV"/>
        </w:rPr>
        <w:t>13.</w:t>
      </w:r>
      <w:r w:rsidRPr="00C510A2">
        <w:rPr>
          <w:lang w:val="es-SV"/>
        </w:rPr>
        <w:tab/>
      </w:r>
      <w:r w:rsidRPr="00C510A2">
        <w:rPr>
          <w:b/>
          <w:bCs/>
          <w:lang w:val="es-SV"/>
        </w:rPr>
        <w:t xml:space="preserve">El Comité alienta al Estado parte a seguir adoptando medidas legislativas, como la Ley </w:t>
      </w:r>
      <w:r>
        <w:rPr>
          <w:b/>
          <w:bCs/>
          <w:lang w:val="es-SV"/>
        </w:rPr>
        <w:t>d</w:t>
      </w:r>
      <w:r w:rsidRPr="00C510A2">
        <w:rPr>
          <w:b/>
          <w:bCs/>
          <w:lang w:val="es-SV"/>
        </w:rPr>
        <w:t>el Consejo de la Judicatura y la Carrera Judicial</w:t>
      </w:r>
      <w:r>
        <w:rPr>
          <w:b/>
          <w:bCs/>
          <w:lang w:val="es-SV"/>
        </w:rPr>
        <w:t>,</w:t>
      </w:r>
      <w:r w:rsidRPr="00C510A2">
        <w:rPr>
          <w:b/>
          <w:bCs/>
          <w:lang w:val="es-SV"/>
        </w:rPr>
        <w:t xml:space="preserve"> que separe</w:t>
      </w:r>
      <w:r>
        <w:rPr>
          <w:b/>
          <w:bCs/>
          <w:lang w:val="es-SV"/>
        </w:rPr>
        <w:t>n</w:t>
      </w:r>
      <w:r w:rsidRPr="00C510A2">
        <w:rPr>
          <w:b/>
          <w:bCs/>
          <w:lang w:val="es-SV"/>
        </w:rPr>
        <w:t xml:space="preserve"> las funciones jurisdiccionales de las administrativas y de otra índole</w:t>
      </w:r>
      <w:r>
        <w:rPr>
          <w:b/>
          <w:bCs/>
          <w:lang w:val="es-SV"/>
        </w:rPr>
        <w:t xml:space="preserve"> y</w:t>
      </w:r>
      <w:r w:rsidRPr="00C510A2">
        <w:rPr>
          <w:b/>
          <w:bCs/>
          <w:lang w:val="es-SV"/>
        </w:rPr>
        <w:t xml:space="preserve"> que garanticen la plena independencia, imparcialidad y eficacia del Poder Judicial y de la Fiscalía General, </w:t>
      </w:r>
      <w:r>
        <w:rPr>
          <w:b/>
          <w:bCs/>
          <w:lang w:val="es-SV"/>
        </w:rPr>
        <w:t>de</w:t>
      </w:r>
      <w:r w:rsidRPr="00C510A2">
        <w:rPr>
          <w:b/>
          <w:bCs/>
          <w:lang w:val="es-SV"/>
        </w:rPr>
        <w:t xml:space="preserve"> </w:t>
      </w:r>
      <w:r>
        <w:rPr>
          <w:b/>
          <w:bCs/>
          <w:lang w:val="es-SV"/>
        </w:rPr>
        <w:t>conformidad</w:t>
      </w:r>
      <w:r w:rsidRPr="00C510A2">
        <w:rPr>
          <w:b/>
          <w:bCs/>
          <w:lang w:val="es-SV"/>
        </w:rPr>
        <w:t xml:space="preserve"> con las normas internacionales, tales como los Principios Básicos relativos a la Independencia de la Judicatura y las </w:t>
      </w:r>
      <w:bookmarkStart w:id="2" w:name="_Hlk167363629"/>
      <w:r w:rsidRPr="00C510A2">
        <w:rPr>
          <w:b/>
          <w:bCs/>
          <w:lang w:val="es-SV"/>
        </w:rPr>
        <w:t>Directrices sobre la Función de los Fiscales</w:t>
      </w:r>
      <w:bookmarkEnd w:id="2"/>
      <w:r w:rsidRPr="00C510A2">
        <w:rPr>
          <w:b/>
          <w:bCs/>
          <w:lang w:val="es-SV"/>
        </w:rPr>
        <w:t>.</w:t>
      </w:r>
      <w:r>
        <w:rPr>
          <w:b/>
          <w:bCs/>
          <w:lang w:val="es-SV"/>
        </w:rPr>
        <w:t xml:space="preserve"> </w:t>
      </w:r>
    </w:p>
    <w:p w14:paraId="1194B15D" w14:textId="77777777" w:rsidR="000D59FF" w:rsidRPr="00322592" w:rsidRDefault="000D59FF" w:rsidP="000D59FF">
      <w:pPr>
        <w:pStyle w:val="H23G"/>
        <w:rPr>
          <w:lang w:val="es-ES_tradnl"/>
        </w:rPr>
      </w:pPr>
      <w:r>
        <w:rPr>
          <w:lang w:val="es-ES_tradnl"/>
        </w:rPr>
        <w:tab/>
      </w:r>
      <w:r>
        <w:rPr>
          <w:lang w:val="es-ES_tradnl"/>
        </w:rPr>
        <w:tab/>
      </w:r>
      <w:r w:rsidRPr="00322592">
        <w:rPr>
          <w:lang w:val="es-ES_tradnl"/>
        </w:rPr>
        <w:t>Militarización de la seguridad pública y uso excesivo de la fuerza</w:t>
      </w:r>
    </w:p>
    <w:p w14:paraId="106504B8" w14:textId="77777777" w:rsidR="000D59FF" w:rsidRDefault="000D59FF" w:rsidP="000D59FF">
      <w:pPr>
        <w:pStyle w:val="SingleTxtG"/>
        <w:rPr>
          <w:lang w:val="es-ES_tradnl"/>
        </w:rPr>
      </w:pPr>
      <w:r w:rsidRPr="00322592">
        <w:rPr>
          <w:lang w:val="es-ES_tradnl"/>
        </w:rPr>
        <w:t>14.</w:t>
      </w:r>
      <w:r w:rsidRPr="00322592">
        <w:rPr>
          <w:lang w:val="es-ES_tradnl"/>
        </w:rPr>
        <w:tab/>
      </w:r>
      <w:r>
        <w:rPr>
          <w:lang w:val="es-ES_tradnl"/>
        </w:rPr>
        <w:t>Si bien</w:t>
      </w:r>
      <w:r w:rsidRPr="00322592">
        <w:rPr>
          <w:lang w:val="es-ES_tradnl"/>
        </w:rPr>
        <w:t xml:space="preserve"> toma nota de los retos en materia de seguridad que </w:t>
      </w:r>
      <w:r>
        <w:rPr>
          <w:lang w:val="es-ES_tradnl"/>
        </w:rPr>
        <w:t xml:space="preserve">enfrenta el Estado parte como consecuencia de </w:t>
      </w:r>
      <w:r w:rsidRPr="00322592">
        <w:rPr>
          <w:lang w:val="es-ES_tradnl"/>
        </w:rPr>
        <w:t xml:space="preserve">la violencia </w:t>
      </w:r>
      <w:r>
        <w:rPr>
          <w:lang w:val="es-ES_tradnl"/>
        </w:rPr>
        <w:t>que se vive en el país relacionada con las acciones de</w:t>
      </w:r>
      <w:r w:rsidRPr="00322592">
        <w:rPr>
          <w:lang w:val="es-ES_tradnl"/>
        </w:rPr>
        <w:t xml:space="preserve"> maras, pandillas y </w:t>
      </w:r>
      <w:r>
        <w:rPr>
          <w:lang w:val="es-ES_tradnl"/>
        </w:rPr>
        <w:t xml:space="preserve">el </w:t>
      </w:r>
      <w:r w:rsidRPr="00322592">
        <w:rPr>
          <w:lang w:val="es-ES_tradnl"/>
        </w:rPr>
        <w:t>crimen organizado, las explicaciones proporcionadas por la delegación sobre la justificación de las prórrogas del estado de excepción</w:t>
      </w:r>
      <w:r>
        <w:rPr>
          <w:lang w:val="es-ES_tradnl"/>
        </w:rPr>
        <w:t xml:space="preserve"> y </w:t>
      </w:r>
      <w:r w:rsidRPr="00322592">
        <w:rPr>
          <w:lang w:val="es-ES_tradnl"/>
        </w:rPr>
        <w:t>la elaboración en curso de la política de seguridad ciudadana,</w:t>
      </w:r>
      <w:r>
        <w:rPr>
          <w:lang w:val="es-ES_tradnl"/>
        </w:rPr>
        <w:t xml:space="preserve"> el Comité mantiene su </w:t>
      </w:r>
      <w:r w:rsidRPr="00B26ABC">
        <w:rPr>
          <w:lang w:val="es-ES_tradnl"/>
        </w:rPr>
        <w:t xml:space="preserve">preocupación por el uso prorrogado del estado de excepción </w:t>
      </w:r>
      <w:r>
        <w:rPr>
          <w:lang w:val="es-ES_tradnl"/>
        </w:rPr>
        <w:t xml:space="preserve">desde diciembre de 2022 </w:t>
      </w:r>
      <w:r w:rsidRPr="00B26ABC">
        <w:rPr>
          <w:lang w:val="es-ES_tradnl"/>
        </w:rPr>
        <w:t>y por la amplia participación de la Policía Militar</w:t>
      </w:r>
      <w:r w:rsidRPr="00322592">
        <w:rPr>
          <w:lang w:val="es-ES_tradnl"/>
        </w:rPr>
        <w:t xml:space="preserve"> del Orden Público desempeñando tareas policiales de seguridad pública</w:t>
      </w:r>
      <w:r w:rsidRPr="00DB743B">
        <w:rPr>
          <w:rStyle w:val="Refdenotaalfinal"/>
        </w:rPr>
        <w:footnoteReference w:id="12"/>
      </w:r>
      <w:r>
        <w:rPr>
          <w:lang w:val="es-ES_tradnl"/>
        </w:rPr>
        <w:t>. Preocupan también al Comité l</w:t>
      </w:r>
      <w:r w:rsidRPr="00322592">
        <w:rPr>
          <w:lang w:val="es-ES_tradnl"/>
        </w:rPr>
        <w:t xml:space="preserve">as informaciones de las que dispone en las que se </w:t>
      </w:r>
      <w:r>
        <w:rPr>
          <w:lang w:val="es-ES_tradnl"/>
        </w:rPr>
        <w:t>señala</w:t>
      </w:r>
      <w:r w:rsidRPr="00C510A2">
        <w:rPr>
          <w:lang w:val="es-SV"/>
        </w:rPr>
        <w:t xml:space="preserve"> </w:t>
      </w:r>
      <w:r w:rsidRPr="00322592">
        <w:rPr>
          <w:lang w:val="es-ES_tradnl"/>
        </w:rPr>
        <w:t xml:space="preserve">el continuo uso innecesario o desproporcionado de la fuerza </w:t>
      </w:r>
      <w:r w:rsidRPr="00C510A2">
        <w:rPr>
          <w:lang w:val="es-SV"/>
        </w:rPr>
        <w:t xml:space="preserve">por </w:t>
      </w:r>
      <w:r w:rsidRPr="00322592">
        <w:rPr>
          <w:lang w:val="es-ES_tradnl"/>
        </w:rPr>
        <w:t>parte de las fuerzas de seguridad y</w:t>
      </w:r>
      <w:r w:rsidRPr="00C510A2">
        <w:rPr>
          <w:lang w:val="es-SV"/>
        </w:rPr>
        <w:t xml:space="preserve"> fuerzas armadas, así como casos de </w:t>
      </w:r>
      <w:r w:rsidRPr="00322592">
        <w:rPr>
          <w:lang w:val="es-ES_tradnl"/>
        </w:rPr>
        <w:t>desapariciones forzadas y ejecuciones extrajudiciales</w:t>
      </w:r>
      <w:r w:rsidRPr="00C510A2">
        <w:rPr>
          <w:lang w:val="es-SV"/>
        </w:rPr>
        <w:t xml:space="preserve"> en el</w:t>
      </w:r>
      <w:r w:rsidRPr="00322592">
        <w:rPr>
          <w:lang w:val="es-ES_tradnl"/>
        </w:rPr>
        <w:t xml:space="preserve"> marco de </w:t>
      </w:r>
      <w:r w:rsidRPr="00C510A2">
        <w:rPr>
          <w:lang w:val="es-SV"/>
        </w:rPr>
        <w:t xml:space="preserve">varios operativos policiales y militares. Además, el Comité expresa su profunda preocupación ante las </w:t>
      </w:r>
      <w:r w:rsidRPr="00322592">
        <w:rPr>
          <w:lang w:val="es-ES_tradnl"/>
        </w:rPr>
        <w:t xml:space="preserve">numerosas </w:t>
      </w:r>
      <w:r>
        <w:rPr>
          <w:lang w:val="es-ES_tradnl"/>
        </w:rPr>
        <w:t>denuncias</w:t>
      </w:r>
      <w:r w:rsidRPr="00322592">
        <w:rPr>
          <w:lang w:val="es-ES_tradnl"/>
        </w:rPr>
        <w:t xml:space="preserve"> de actos de tortura y malos tratos </w:t>
      </w:r>
      <w:r w:rsidRPr="00C510A2">
        <w:rPr>
          <w:rFonts w:asciiTheme="majorBidi" w:hAnsiTheme="majorBidi" w:cstheme="majorBidi"/>
          <w:lang w:val="es-SV"/>
        </w:rPr>
        <w:t xml:space="preserve">durante interrogatorios que se efectuarían antes del </w:t>
      </w:r>
      <w:r w:rsidRPr="00C510A2">
        <w:rPr>
          <w:lang w:val="es-SV"/>
        </w:rPr>
        <w:t xml:space="preserve">registro formal de la detención, incluidos a </w:t>
      </w:r>
      <w:r w:rsidRPr="000131DC">
        <w:rPr>
          <w:lang w:val="es-SV"/>
        </w:rPr>
        <w:t>mujeres y niños y niñas, y</w:t>
      </w:r>
      <w:r w:rsidRPr="00C510A2">
        <w:rPr>
          <w:lang w:val="es-SV"/>
        </w:rPr>
        <w:t xml:space="preserve"> en su mayoría cometidas por </w:t>
      </w:r>
      <w:r w:rsidRPr="00322592">
        <w:rPr>
          <w:lang w:val="es-ES_tradnl"/>
        </w:rPr>
        <w:t xml:space="preserve">parte de </w:t>
      </w:r>
      <w:r w:rsidRPr="00C510A2">
        <w:rPr>
          <w:lang w:val="es-SV"/>
        </w:rPr>
        <w:t xml:space="preserve">efectivos de la Policía Nacional, la Dirección Policial Anti-Maras y Pandillas </w:t>
      </w:r>
      <w:r>
        <w:rPr>
          <w:lang w:val="es-SV"/>
        </w:rPr>
        <w:t>C</w:t>
      </w:r>
      <w:r w:rsidRPr="00C510A2">
        <w:rPr>
          <w:lang w:val="es-SV"/>
        </w:rPr>
        <w:t>ontra el Crimen Organizado y la Policía Militar de</w:t>
      </w:r>
      <w:r>
        <w:rPr>
          <w:lang w:val="es-SV"/>
        </w:rPr>
        <w:t>l</w:t>
      </w:r>
      <w:r w:rsidRPr="00C510A2">
        <w:rPr>
          <w:lang w:val="es-SV"/>
        </w:rPr>
        <w:t xml:space="preserve"> Orden Público</w:t>
      </w:r>
      <w:r>
        <w:rPr>
          <w:lang w:val="es-ES_tradnl"/>
        </w:rPr>
        <w:t>. También preocupan los informes que indican irregularidades en la investigación de</w:t>
      </w:r>
      <w:r w:rsidRPr="00C510A2">
        <w:rPr>
          <w:lang w:val="es-SV"/>
        </w:rPr>
        <w:t xml:space="preserve"> casos de muertes ocurridas bajo custodia policial. Por otro lado, se observan </w:t>
      </w:r>
      <w:r w:rsidRPr="00322592">
        <w:rPr>
          <w:lang w:val="es-ES_tradnl"/>
        </w:rPr>
        <w:t xml:space="preserve">escasos avances en la investigación y el enjuiciamiento de </w:t>
      </w:r>
      <w:r>
        <w:rPr>
          <w:lang w:val="es-ES_tradnl"/>
        </w:rPr>
        <w:t xml:space="preserve">denuncias </w:t>
      </w:r>
      <w:r w:rsidRPr="00CB65EF">
        <w:rPr>
          <w:lang w:val="es-ES_tradnl"/>
        </w:rPr>
        <w:t>por violaciones de derechos humanos, incluido el uso excesivo de la fuerza</w:t>
      </w:r>
      <w:r>
        <w:rPr>
          <w:lang w:val="es-ES_tradnl"/>
        </w:rPr>
        <w:t xml:space="preserve">, en particular, en </w:t>
      </w:r>
      <w:r w:rsidRPr="00C510A2">
        <w:rPr>
          <w:lang w:val="es-SV"/>
        </w:rPr>
        <w:t>el contexto de las elecciones presidenciales de</w:t>
      </w:r>
      <w:r>
        <w:rPr>
          <w:lang w:val="es-ES_tradnl"/>
        </w:rPr>
        <w:t xml:space="preserve"> </w:t>
      </w:r>
      <w:r w:rsidRPr="00322592">
        <w:rPr>
          <w:lang w:val="es-ES_tradnl"/>
        </w:rPr>
        <w:t>2017</w:t>
      </w:r>
      <w:r w:rsidRPr="00322592">
        <w:rPr>
          <w:rStyle w:val="Refdenotaalpie"/>
          <w:rFonts w:eastAsia="Calibri"/>
          <w:lang w:val="es-ES_tradnl"/>
        </w:rPr>
        <w:footnoteReference w:id="13"/>
      </w:r>
      <w:r>
        <w:rPr>
          <w:lang w:val="es-ES_tradnl"/>
        </w:rPr>
        <w:t>,</w:t>
      </w:r>
      <w:r w:rsidRPr="00322592">
        <w:rPr>
          <w:lang w:val="es-ES_tradnl"/>
        </w:rPr>
        <w:t xml:space="preserve"> </w:t>
      </w:r>
      <w:r>
        <w:rPr>
          <w:lang w:val="es-ES_tradnl"/>
        </w:rPr>
        <w:t>si bien el Comité</w:t>
      </w:r>
      <w:r w:rsidRPr="00322592">
        <w:rPr>
          <w:lang w:val="es-ES_tradnl"/>
        </w:rPr>
        <w:t xml:space="preserve"> toma nota de los datos actualizados </w:t>
      </w:r>
      <w:r>
        <w:rPr>
          <w:lang w:val="es-ES_tradnl"/>
        </w:rPr>
        <w:t xml:space="preserve">facilitados </w:t>
      </w:r>
      <w:r w:rsidRPr="00322592">
        <w:rPr>
          <w:lang w:val="es-ES_tradnl"/>
        </w:rPr>
        <w:t xml:space="preserve">por el Estado parte </w:t>
      </w:r>
      <w:r>
        <w:rPr>
          <w:lang w:val="es-ES_tradnl"/>
        </w:rPr>
        <w:t>al respecto. Finalmente, el Comité lamenta la falta de un marco legal d</w:t>
      </w:r>
      <w:r w:rsidRPr="00322592">
        <w:rPr>
          <w:lang w:val="es-ES_tradnl"/>
        </w:rPr>
        <w:t>el uso de la fuerza</w:t>
      </w:r>
      <w:r>
        <w:rPr>
          <w:lang w:val="es-ES_tradnl"/>
        </w:rPr>
        <w:t xml:space="preserve">, incluidas las </w:t>
      </w:r>
      <w:r w:rsidRPr="00322592">
        <w:rPr>
          <w:lang w:val="es-ES_tradnl"/>
        </w:rPr>
        <w:t>armas no letales (arts. 2, 1</w:t>
      </w:r>
      <w:r>
        <w:rPr>
          <w:lang w:val="es-ES_tradnl"/>
        </w:rPr>
        <w:t>1</w:t>
      </w:r>
      <w:r w:rsidRPr="00322592">
        <w:rPr>
          <w:lang w:val="es-ES_tradnl"/>
        </w:rPr>
        <w:t xml:space="preserve"> a 14 y 16).</w:t>
      </w:r>
    </w:p>
    <w:p w14:paraId="0E72C8B6" w14:textId="77777777" w:rsidR="000D59FF" w:rsidRPr="00FB22AF" w:rsidRDefault="000D59FF" w:rsidP="00061197">
      <w:pPr>
        <w:pStyle w:val="SingleTxtG"/>
        <w:rPr>
          <w:bCs/>
          <w:lang w:val="es-SV"/>
        </w:rPr>
      </w:pPr>
      <w:r w:rsidRPr="00010098">
        <w:rPr>
          <w:bCs/>
          <w:lang w:val="es-SV"/>
        </w:rPr>
        <w:t>15.</w:t>
      </w:r>
      <w:r w:rsidRPr="00C510A2">
        <w:rPr>
          <w:lang w:val="es-SV"/>
        </w:rPr>
        <w:tab/>
      </w:r>
      <w:r w:rsidRPr="00FB22AF">
        <w:rPr>
          <w:b/>
          <w:bCs/>
          <w:lang w:val="es-SV"/>
        </w:rPr>
        <w:t>El Estado parte debe:</w:t>
      </w:r>
    </w:p>
    <w:p w14:paraId="648A94A1" w14:textId="77777777" w:rsidR="000D59FF" w:rsidRPr="00FB22AF" w:rsidRDefault="000D59FF" w:rsidP="000D59FF">
      <w:pPr>
        <w:pStyle w:val="SingleTxtG"/>
        <w:rPr>
          <w:b/>
          <w:bCs/>
          <w:lang w:val="es-SV"/>
        </w:rPr>
      </w:pPr>
      <w:r w:rsidRPr="00C510A2">
        <w:rPr>
          <w:lang w:val="es-SV"/>
        </w:rPr>
        <w:tab/>
      </w:r>
      <w:r w:rsidRPr="00FB22AF">
        <w:rPr>
          <w:b/>
          <w:bCs/>
          <w:lang w:val="es-SV"/>
        </w:rPr>
        <w:t>a)</w:t>
      </w:r>
      <w:r w:rsidRPr="00FB22AF">
        <w:rPr>
          <w:b/>
          <w:bCs/>
          <w:lang w:val="es-SV"/>
        </w:rPr>
        <w:tab/>
        <w:t xml:space="preserve">Asegurar que las tareas de mantenimiento del orden público y seguridad ciudadana sean realizadas por los cuerpos policiales civiles y velar por que la presencia </w:t>
      </w:r>
      <w:r w:rsidRPr="00FB22AF">
        <w:rPr>
          <w:b/>
          <w:bCs/>
          <w:lang w:val="es-SV"/>
        </w:rPr>
        <w:lastRenderedPageBreak/>
        <w:t>de efectivos militares en la gestión del orden público tenga un carácter excepcional, temporal y esté debidamente justificada y vaya acompañada del estricto cumplimiento de protocolos relativos al uso de la fuerza y las armas de fuego de acuerdo con lo dispuesto por la normativa internacional de derechos humanos;</w:t>
      </w:r>
    </w:p>
    <w:p w14:paraId="3374CC44" w14:textId="77777777" w:rsidR="000D59FF" w:rsidRPr="00FB22AF" w:rsidRDefault="000D59FF" w:rsidP="000D59FF">
      <w:pPr>
        <w:pStyle w:val="SingleTxtG"/>
        <w:rPr>
          <w:b/>
          <w:bCs/>
          <w:lang w:val="es-SV"/>
        </w:rPr>
      </w:pPr>
      <w:r w:rsidRPr="00FB22AF">
        <w:rPr>
          <w:b/>
          <w:bCs/>
          <w:lang w:val="es-SV"/>
        </w:rPr>
        <w:tab/>
        <w:t>b)</w:t>
      </w:r>
      <w:r w:rsidRPr="00FB22AF">
        <w:rPr>
          <w:b/>
          <w:bCs/>
          <w:lang w:val="es-SV"/>
        </w:rPr>
        <w:tab/>
        <w:t>Evitar el uso recurrente de medidas excepcionales, como el estado de excepción, y redoblar sus esfuerzos para adoptar una política integral de seguridad pública con una perspectiva de derechos humanos y de género enfocada en la prevención, protección e investigación que aborde las causas estructurales de la violencia y la inseguridad;</w:t>
      </w:r>
    </w:p>
    <w:p w14:paraId="22CD1623" w14:textId="77777777" w:rsidR="000D59FF" w:rsidRPr="00FB22AF" w:rsidRDefault="000D59FF" w:rsidP="000D59FF">
      <w:pPr>
        <w:pStyle w:val="SingleTxtG"/>
        <w:rPr>
          <w:rFonts w:ascii="Tahoma" w:hAnsi="Tahoma" w:cs="Tahoma"/>
          <w:b/>
          <w:bCs/>
          <w:color w:val="333333"/>
          <w:shd w:val="clear" w:color="auto" w:fill="FFFFFF"/>
        </w:rPr>
      </w:pPr>
      <w:r w:rsidRPr="00FB22AF">
        <w:rPr>
          <w:b/>
          <w:bCs/>
          <w:lang w:val="es-SV"/>
        </w:rPr>
        <w:tab/>
        <w:t>c)</w:t>
      </w:r>
      <w:r w:rsidRPr="00FB22AF">
        <w:rPr>
          <w:b/>
          <w:bCs/>
          <w:lang w:val="es-SV"/>
        </w:rPr>
        <w:tab/>
        <w:t>Asegurar que su legislación de excepción se ajuste a las obligaciones contraídas por el Estado parte en materia de derechos humanos en el plano internacional, así como remitir la notificación oficial al Secretario General de las Naciones Unidas y al Secretario General de la Organización de los Estados Americanos sobre las prórrogas y la finalización del estado de emergencia, de conformidad con el Pacto Internacional de Derechos Civiles y Políticos y la Convención Americana sobre Derechos Humanos, respectivamente;</w:t>
      </w:r>
      <w:r w:rsidRPr="00FB22AF">
        <w:rPr>
          <w:rFonts w:ascii="Tahoma" w:hAnsi="Tahoma" w:cs="Tahoma"/>
          <w:b/>
          <w:bCs/>
          <w:color w:val="333333"/>
          <w:shd w:val="clear" w:color="auto" w:fill="FFFFFF"/>
        </w:rPr>
        <w:t xml:space="preserve"> </w:t>
      </w:r>
    </w:p>
    <w:p w14:paraId="30D6F07E" w14:textId="77777777" w:rsidR="000D59FF" w:rsidRPr="00FB22AF" w:rsidRDefault="000D59FF" w:rsidP="000D59FF">
      <w:pPr>
        <w:pStyle w:val="SingleTxtG"/>
        <w:rPr>
          <w:rFonts w:eastAsia="Arial"/>
          <w:b/>
          <w:bCs/>
          <w:lang w:val="es-ES_tradnl"/>
        </w:rPr>
      </w:pPr>
      <w:r w:rsidRPr="00FB22AF">
        <w:rPr>
          <w:b/>
          <w:bCs/>
          <w:lang w:val="es-SV"/>
        </w:rPr>
        <w:tab/>
        <w:t>d)</w:t>
      </w:r>
      <w:r w:rsidRPr="00FB22AF">
        <w:rPr>
          <w:b/>
          <w:bCs/>
          <w:lang w:val="es-SV"/>
        </w:rPr>
        <w:tab/>
        <w:t>V</w:t>
      </w:r>
      <w:r w:rsidRPr="00FB22AF">
        <w:rPr>
          <w:rFonts w:eastAsia="Arial"/>
          <w:b/>
          <w:bCs/>
          <w:lang w:val="es-ES_tradnl"/>
        </w:rPr>
        <w:t>elar por que se investiguen de manera pronta e imparcial todas las denuncias de tortura, malos tratos y uso excesivo de la fuerza, así como las relativas a presuntas ejecuciones extrajudiciales y desapariciones forzadas, que se enjuicie a los presuntos autores, y que, de ser declarados culpables, se les impongan penas acordes con la gravedad de sus actos y se repare plenamente a las víctimas o a sus familiares;</w:t>
      </w:r>
    </w:p>
    <w:p w14:paraId="40D4D8F5" w14:textId="77777777" w:rsidR="000D59FF" w:rsidRPr="00FB22AF" w:rsidRDefault="000D59FF" w:rsidP="000D59FF">
      <w:pPr>
        <w:pStyle w:val="SingleTxtG"/>
        <w:rPr>
          <w:rFonts w:eastAsia="Calibri"/>
          <w:b/>
          <w:bCs/>
          <w:lang w:val="es-ES_tradnl"/>
        </w:rPr>
      </w:pPr>
      <w:r w:rsidRPr="00FB22AF">
        <w:rPr>
          <w:rFonts w:eastAsia="Calibri"/>
          <w:b/>
          <w:bCs/>
          <w:lang w:val="es-ES_tradnl"/>
        </w:rPr>
        <w:tab/>
        <w:t>e)</w:t>
      </w:r>
      <w:r w:rsidRPr="00FB22AF">
        <w:rPr>
          <w:rFonts w:eastAsia="Calibri"/>
          <w:b/>
          <w:bCs/>
          <w:lang w:val="es-ES_tradnl"/>
        </w:rPr>
        <w:tab/>
        <w:t xml:space="preserve">Velar </w:t>
      </w:r>
      <w:r w:rsidRPr="00FB22AF">
        <w:rPr>
          <w:b/>
          <w:bCs/>
          <w:lang w:val="es-SV"/>
        </w:rPr>
        <w:t>por que se lleve a cabo una investigación efectiva de las denuncias de actos de tortura o malos tratos presuntamente cometidas por efectivos de</w:t>
      </w:r>
      <w:r w:rsidRPr="00FB22AF">
        <w:rPr>
          <w:rFonts w:eastAsia="Arial"/>
          <w:b/>
          <w:bCs/>
          <w:lang w:val="es-ES_tradnl"/>
        </w:rPr>
        <w:t xml:space="preserve"> las fuerzas de seguridad y las fuerzas armadas, así como de las muertes ocurridas </w:t>
      </w:r>
      <w:r w:rsidRPr="00FB22AF">
        <w:rPr>
          <w:b/>
          <w:bCs/>
          <w:lang w:val="es-SV"/>
        </w:rPr>
        <w:t>bajo custodia policial</w:t>
      </w:r>
      <w:r w:rsidRPr="00FB22AF">
        <w:rPr>
          <w:rFonts w:eastAsia="Calibri"/>
          <w:b/>
          <w:bCs/>
          <w:lang w:val="es-ES_tradnl"/>
        </w:rPr>
        <w:t>;</w:t>
      </w:r>
    </w:p>
    <w:p w14:paraId="4093F7E9" w14:textId="77777777" w:rsidR="000D59FF" w:rsidRPr="00FB22AF" w:rsidRDefault="000D59FF" w:rsidP="000D59FF">
      <w:pPr>
        <w:pStyle w:val="SingleTxtG"/>
        <w:rPr>
          <w:rFonts w:eastAsia="Arial"/>
          <w:b/>
          <w:bCs/>
          <w:lang w:val="es-ES_tradnl"/>
        </w:rPr>
      </w:pPr>
      <w:r w:rsidRPr="00FB22AF">
        <w:rPr>
          <w:b/>
          <w:bCs/>
          <w:lang w:val="es-SV"/>
        </w:rPr>
        <w:tab/>
      </w:r>
      <w:r w:rsidRPr="00FB22AF">
        <w:rPr>
          <w:rFonts w:eastAsia="Calibri"/>
          <w:b/>
          <w:bCs/>
          <w:lang w:val="es-ES_tradnl"/>
        </w:rPr>
        <w:t>f</w:t>
      </w:r>
      <w:r w:rsidRPr="00FB22AF">
        <w:rPr>
          <w:rFonts w:eastAsia="Calibri"/>
          <w:b/>
          <w:bCs/>
          <w:lang w:val="es-SV"/>
        </w:rPr>
        <w:t>)</w:t>
      </w:r>
      <w:r w:rsidRPr="00FB22AF">
        <w:rPr>
          <w:rFonts w:eastAsia="Calibri"/>
          <w:b/>
          <w:bCs/>
          <w:lang w:val="es-SV"/>
        </w:rPr>
        <w:tab/>
      </w:r>
      <w:r w:rsidRPr="00FB22AF">
        <w:rPr>
          <w:rFonts w:eastAsia="Arial"/>
          <w:b/>
          <w:bCs/>
          <w:lang w:val="es-ES_tradnl"/>
        </w:rPr>
        <w:t>Adoptar las medidas legislativas sobre el uso de la fuerza por parte de las fuerzas de seguridad y las fuerzas armadas, incluidos los protocolos sobre el uso de armas menos letales, procurando que todos los agentes y miembros de las fuerzas de seguridad y las fuerzas armadas sigan recibiendo formación continua obligatoria en la materia, de conformidad con los Principios Básicos sobre el Empleo de la Fuerza y de Armas de Fuego por los Funcionarios Encargados de Hacer Cumplir la Ley, y sobre técnicas de investigación no coercitivas. También se invita al Estado parte a que considere la posibilidad de incorporar a sus programas de formación el Protocolo Modelo para que los Agentes del Orden Promuevan y Protejan los Derechos Humanos en el Contexto de las Manifestaciones Pacíficas</w:t>
      </w:r>
      <w:r w:rsidRPr="00FB22AF">
        <w:rPr>
          <w:rStyle w:val="Refdenotaalpie"/>
          <w:rFonts w:eastAsia="Arial"/>
          <w:lang w:val="es-ES_tradnl"/>
        </w:rPr>
        <w:footnoteReference w:id="14"/>
      </w:r>
      <w:r w:rsidRPr="00FB22AF">
        <w:rPr>
          <w:rFonts w:eastAsia="Arial"/>
          <w:b/>
          <w:bCs/>
          <w:lang w:val="es-ES_tradnl"/>
        </w:rPr>
        <w:t>.</w:t>
      </w:r>
    </w:p>
    <w:p w14:paraId="079A755F" w14:textId="77777777" w:rsidR="000D59FF" w:rsidRPr="00322592" w:rsidRDefault="000D59FF" w:rsidP="000D59FF">
      <w:pPr>
        <w:pStyle w:val="H23G"/>
        <w:rPr>
          <w:rFonts w:eastAsia="Arial"/>
          <w:lang w:val="es-ES_tradnl"/>
        </w:rPr>
      </w:pPr>
      <w:r>
        <w:rPr>
          <w:lang w:val="es-ES_tradnl"/>
        </w:rPr>
        <w:tab/>
      </w:r>
      <w:r>
        <w:rPr>
          <w:lang w:val="es-ES_tradnl"/>
        </w:rPr>
        <w:tab/>
      </w:r>
      <w:r w:rsidRPr="00771EC6">
        <w:rPr>
          <w:lang w:val="es-ES_tradnl"/>
        </w:rPr>
        <w:t xml:space="preserve">Control y gestión del sistema penitenciario, violencia y muertes </w:t>
      </w:r>
      <w:r w:rsidRPr="00771EC6">
        <w:rPr>
          <w:rFonts w:eastAsia="Arial"/>
          <w:lang w:val="es-ES_tradnl"/>
        </w:rPr>
        <w:t>en las cárceles</w:t>
      </w:r>
    </w:p>
    <w:p w14:paraId="4B957B2D" w14:textId="77777777" w:rsidR="000D59FF" w:rsidRPr="00322592" w:rsidRDefault="000D59FF" w:rsidP="000D59FF">
      <w:pPr>
        <w:pStyle w:val="SingleTxtG"/>
        <w:rPr>
          <w:lang w:val="es-ES_tradnl"/>
        </w:rPr>
      </w:pPr>
      <w:r w:rsidRPr="00322592">
        <w:rPr>
          <w:lang w:val="es-ES_tradnl"/>
        </w:rPr>
        <w:t>16.</w:t>
      </w:r>
      <w:r w:rsidRPr="00322592">
        <w:rPr>
          <w:lang w:val="es-ES_tradnl"/>
        </w:rPr>
        <w:tab/>
        <w:t xml:space="preserve">El Comité toma nota de las medidas destinadas a </w:t>
      </w:r>
      <w:r w:rsidRPr="00C510A2">
        <w:rPr>
          <w:lang w:val="es-SV"/>
        </w:rPr>
        <w:t>desmilitarizar y profesionalizar la seguridad y la gestión del sistema penitenciario y</w:t>
      </w:r>
      <w:r w:rsidRPr="00322592">
        <w:rPr>
          <w:lang w:val="es-ES_tradnl"/>
        </w:rPr>
        <w:t xml:space="preserve"> </w:t>
      </w:r>
      <w:r>
        <w:rPr>
          <w:lang w:val="es-ES_tradnl"/>
        </w:rPr>
        <w:t xml:space="preserve">de </w:t>
      </w:r>
      <w:r w:rsidRPr="00322592">
        <w:rPr>
          <w:lang w:val="es-ES_tradnl"/>
        </w:rPr>
        <w:t>las explicaciones brindadas</w:t>
      </w:r>
      <w:r>
        <w:rPr>
          <w:lang w:val="es-ES_tradnl"/>
        </w:rPr>
        <w:t xml:space="preserve"> por la delegación del Estado parte</w:t>
      </w:r>
      <w:r w:rsidRPr="00322592">
        <w:rPr>
          <w:lang w:val="es-ES_tradnl"/>
        </w:rPr>
        <w:t xml:space="preserve"> </w:t>
      </w:r>
      <w:r w:rsidRPr="00C510A2">
        <w:rPr>
          <w:lang w:val="es-SV"/>
        </w:rPr>
        <w:t xml:space="preserve">sobre </w:t>
      </w:r>
      <w:r w:rsidRPr="00322592">
        <w:rPr>
          <w:lang w:val="es-ES_tradnl"/>
        </w:rPr>
        <w:t xml:space="preserve">la </w:t>
      </w:r>
      <w:r w:rsidRPr="00862C7E">
        <w:rPr>
          <w:lang w:val="es-ES_tradnl"/>
        </w:rPr>
        <w:t xml:space="preserve">formulación de una nueva política penitenciaria </w:t>
      </w:r>
      <w:r w:rsidRPr="00862C7E">
        <w:rPr>
          <w:lang w:val="es-SV"/>
        </w:rPr>
        <w:t>y las capacitaciones del personal penitenciario de carácter civil. Sin embargo,</w:t>
      </w:r>
      <w:r w:rsidRPr="00862C7E">
        <w:rPr>
          <w:lang w:val="es-ES_tradnl"/>
        </w:rPr>
        <w:t xml:space="preserve"> preocupa al Comité las frecuentes intervenciones militares en centros penitenciarios efectuadas entre 2019 y</w:t>
      </w:r>
      <w:r>
        <w:rPr>
          <w:lang w:val="es-ES_tradnl"/>
        </w:rPr>
        <w:t> </w:t>
      </w:r>
      <w:r w:rsidRPr="00862C7E">
        <w:rPr>
          <w:lang w:val="es-ES_tradnl"/>
        </w:rPr>
        <w:t>2021</w:t>
      </w:r>
      <w:r w:rsidRPr="00862C7E">
        <w:rPr>
          <w:rStyle w:val="Refdenotaalpie"/>
          <w:rFonts w:eastAsia="Calibri"/>
          <w:lang w:val="es-ES_tradnl"/>
        </w:rPr>
        <w:footnoteReference w:id="15"/>
      </w:r>
      <w:r w:rsidRPr="00862C7E">
        <w:rPr>
          <w:lang w:val="es-ES_tradnl"/>
        </w:rPr>
        <w:t xml:space="preserve">. Asimismo, el Comité observa con preocupación que en virtud del </w:t>
      </w:r>
      <w:r w:rsidRPr="00862C7E">
        <w:rPr>
          <w:lang w:val="es-SV"/>
        </w:rPr>
        <w:t xml:space="preserve">Decreto Ejecutivo </w:t>
      </w:r>
      <w:r>
        <w:rPr>
          <w:lang w:val="es-SV"/>
        </w:rPr>
        <w:t>núm. </w:t>
      </w:r>
      <w:r w:rsidRPr="00862C7E">
        <w:rPr>
          <w:lang w:val="es-SV"/>
        </w:rPr>
        <w:t xml:space="preserve">28/2023 de </w:t>
      </w:r>
      <w:r w:rsidRPr="00862C7E">
        <w:rPr>
          <w:lang w:val="es-ES_tradnl"/>
        </w:rPr>
        <w:t>junio de 2023</w:t>
      </w:r>
      <w:r w:rsidRPr="00862C7E">
        <w:rPr>
          <w:lang w:val="es-SV"/>
        </w:rPr>
        <w:t>,</w:t>
      </w:r>
      <w:r w:rsidRPr="00862C7E">
        <w:rPr>
          <w:lang w:val="es-ES_tradnl"/>
        </w:rPr>
        <w:t xml:space="preserve"> la Policía Militar del Orden Público asumió por un año el </w:t>
      </w:r>
      <w:r w:rsidRPr="00862C7E">
        <w:rPr>
          <w:lang w:val="es-SV"/>
        </w:rPr>
        <w:t>control y la administración</w:t>
      </w:r>
      <w:r w:rsidRPr="00862C7E">
        <w:rPr>
          <w:lang w:val="es-ES_tradnl"/>
        </w:rPr>
        <w:t xml:space="preserve"> de los centros penitenciarios en calidad de Comisión Interventora para el Instituto Nacional Penitenciario</w:t>
      </w:r>
      <w:r w:rsidRPr="00862C7E">
        <w:rPr>
          <w:rStyle w:val="Refdenotaalpie"/>
          <w:rFonts w:cstheme="minorHAnsi"/>
          <w:szCs w:val="18"/>
          <w:lang w:val="es-MX"/>
        </w:rPr>
        <w:footnoteReference w:id="16"/>
      </w:r>
      <w:r w:rsidRPr="00862C7E">
        <w:rPr>
          <w:lang w:val="es-ES_tradnl"/>
        </w:rPr>
        <w:t xml:space="preserve">. Preocupan también al Comité los informes recibidos en los que se señalan </w:t>
      </w:r>
      <w:r w:rsidRPr="00862C7E">
        <w:rPr>
          <w:rFonts w:asciiTheme="majorBidi" w:hAnsiTheme="majorBidi" w:cstheme="majorBidi"/>
          <w:lang w:val="es-MX"/>
        </w:rPr>
        <w:t>deficiencias estructurales en el sistema penitenciario, en particular</w:t>
      </w:r>
      <w:r w:rsidRPr="00862C7E">
        <w:rPr>
          <w:lang w:val="es-SV"/>
        </w:rPr>
        <w:t xml:space="preserve"> </w:t>
      </w:r>
      <w:r w:rsidRPr="00862C7E">
        <w:rPr>
          <w:lang w:val="es-ES_tradnl"/>
        </w:rPr>
        <w:t xml:space="preserve">la </w:t>
      </w:r>
      <w:r w:rsidRPr="0083448C">
        <w:rPr>
          <w:lang w:val="es-ES_tradnl"/>
        </w:rPr>
        <w:t>ins</w:t>
      </w:r>
      <w:r w:rsidRPr="00FB22AF">
        <w:rPr>
          <w:rFonts w:asciiTheme="majorBidi" w:hAnsiTheme="majorBidi" w:cstheme="majorBidi"/>
          <w:lang w:val="es-ES_tradnl"/>
        </w:rPr>
        <w:t>eguridad</w:t>
      </w:r>
      <w:r w:rsidRPr="00862C7E">
        <w:rPr>
          <w:rFonts w:asciiTheme="majorBidi" w:hAnsiTheme="majorBidi" w:cstheme="majorBidi"/>
          <w:lang w:val="es-MX"/>
        </w:rPr>
        <w:t xml:space="preserve"> en el interior de los centros, la falta de control efectivo por parte de las autoridades y la </w:t>
      </w:r>
      <w:r w:rsidRPr="00862C7E">
        <w:rPr>
          <w:lang w:val="es-SV"/>
        </w:rPr>
        <w:t>escasez de agentes penitenciarios,</w:t>
      </w:r>
      <w:r w:rsidRPr="00862C7E">
        <w:rPr>
          <w:rFonts w:asciiTheme="majorBidi" w:hAnsiTheme="majorBidi" w:cstheme="majorBidi"/>
          <w:lang w:val="es-MX"/>
        </w:rPr>
        <w:t xml:space="preserve"> </w:t>
      </w:r>
      <w:r w:rsidRPr="00862C7E">
        <w:rPr>
          <w:lang w:val="es-ES_tradnl"/>
        </w:rPr>
        <w:t xml:space="preserve">como han puesto de manifiesto los sucesos violentos y </w:t>
      </w:r>
      <w:r>
        <w:rPr>
          <w:lang w:val="es-ES_tradnl"/>
        </w:rPr>
        <w:t xml:space="preserve">las </w:t>
      </w:r>
      <w:r w:rsidRPr="00862C7E">
        <w:rPr>
          <w:lang w:val="es-ES_tradnl"/>
        </w:rPr>
        <w:t>muertes en custodia ocurridos en varias cárceles durante el per</w:t>
      </w:r>
      <w:r>
        <w:rPr>
          <w:lang w:val="es-ES_tradnl"/>
        </w:rPr>
        <w:t>í</w:t>
      </w:r>
      <w:r w:rsidRPr="00862C7E">
        <w:rPr>
          <w:lang w:val="es-ES_tradnl"/>
        </w:rPr>
        <w:t xml:space="preserve">odo </w:t>
      </w:r>
      <w:r w:rsidRPr="00862C7E">
        <w:rPr>
          <w:lang w:val="es-ES_tradnl"/>
        </w:rPr>
        <w:lastRenderedPageBreak/>
        <w:t>objeto de examen</w:t>
      </w:r>
      <w:r w:rsidRPr="00862C7E">
        <w:rPr>
          <w:rStyle w:val="Refdenotaalpie"/>
          <w:rFonts w:eastAsia="Calibri"/>
          <w:lang w:val="es-ES_tradnl"/>
        </w:rPr>
        <w:footnoteReference w:id="17"/>
      </w:r>
      <w:r w:rsidRPr="00862C7E">
        <w:rPr>
          <w:lang w:val="es-ES_tradnl"/>
        </w:rPr>
        <w:t>, en particular la muerte de 46</w:t>
      </w:r>
      <w:r>
        <w:rPr>
          <w:lang w:val="es-ES_tradnl"/>
        </w:rPr>
        <w:t xml:space="preserve"> </w:t>
      </w:r>
      <w:r w:rsidRPr="00862C7E">
        <w:rPr>
          <w:lang w:val="es-ES_tradnl"/>
        </w:rPr>
        <w:t>mujeres en la Penitenciaria Nacional Femenina de Adaptación Social</w:t>
      </w:r>
      <w:r>
        <w:rPr>
          <w:lang w:val="es-ES_tradnl"/>
        </w:rPr>
        <w:t>.</w:t>
      </w:r>
      <w:r w:rsidRPr="00862C7E">
        <w:rPr>
          <w:lang w:val="es-ES_tradnl"/>
        </w:rPr>
        <w:t xml:space="preserve"> A este respecto, el Comité toma nota de la información proporcionada por la delegación sobre las investigaciones en curso en los hechos ocurridos. Es también</w:t>
      </w:r>
      <w:r w:rsidRPr="00322592">
        <w:rPr>
          <w:lang w:val="es-ES_tradnl"/>
        </w:rPr>
        <w:t xml:space="preserve"> motivo de preocupación las </w:t>
      </w:r>
      <w:r>
        <w:rPr>
          <w:lang w:val="es-ES_tradnl"/>
        </w:rPr>
        <w:t>denuncias de</w:t>
      </w:r>
      <w:r w:rsidRPr="00322592">
        <w:rPr>
          <w:lang w:val="es-ES_tradnl"/>
        </w:rPr>
        <w:t xml:space="preserve"> </w:t>
      </w:r>
      <w:r w:rsidRPr="00C510A2">
        <w:rPr>
          <w:rFonts w:asciiTheme="majorBidi" w:hAnsiTheme="majorBidi" w:cstheme="majorBidi"/>
          <w:lang w:val="es-SV"/>
        </w:rPr>
        <w:t>abusos cometidos por parte</w:t>
      </w:r>
      <w:r w:rsidRPr="00C510A2">
        <w:rPr>
          <w:lang w:val="es-SV"/>
        </w:rPr>
        <w:t xml:space="preserve"> del personal penitenciario y </w:t>
      </w:r>
      <w:r w:rsidRPr="00C510A2">
        <w:rPr>
          <w:rFonts w:asciiTheme="majorBidi" w:hAnsiTheme="majorBidi" w:cstheme="majorBidi"/>
          <w:lang w:val="es-SV"/>
        </w:rPr>
        <w:t>de las fuerzas de la Policía Militar del Orden Público</w:t>
      </w:r>
      <w:r w:rsidRPr="00322592">
        <w:rPr>
          <w:lang w:val="es-ES_tradnl"/>
        </w:rPr>
        <w:t xml:space="preserve"> durante </w:t>
      </w:r>
      <w:r w:rsidRPr="00C510A2">
        <w:rPr>
          <w:rFonts w:asciiTheme="majorBidi" w:hAnsiTheme="majorBidi" w:cstheme="majorBidi"/>
          <w:lang w:val="es-SV"/>
        </w:rPr>
        <w:t>operativos de requisa en el interior de las cárceles</w:t>
      </w:r>
      <w:r w:rsidRPr="00322592">
        <w:rPr>
          <w:rStyle w:val="Refdenotaalpie"/>
          <w:rFonts w:cstheme="majorBidi"/>
        </w:rPr>
        <w:footnoteReference w:id="18"/>
      </w:r>
      <w:r w:rsidRPr="00C510A2">
        <w:rPr>
          <w:rFonts w:asciiTheme="majorBidi" w:hAnsiTheme="majorBidi" w:cstheme="majorBidi"/>
          <w:lang w:val="es-SV"/>
        </w:rPr>
        <w:t>, así como las amenazas que presuntamente habrían recibido los denunciantes de dichos abusos. Por último, el Comité lamenta que no haya un registro único en custodia</w:t>
      </w:r>
      <w:r w:rsidRPr="00322592">
        <w:rPr>
          <w:rStyle w:val="Refdenotaalpie"/>
          <w:rFonts w:cstheme="majorBidi"/>
        </w:rPr>
        <w:footnoteReference w:id="19"/>
      </w:r>
      <w:r w:rsidRPr="00C510A2">
        <w:rPr>
          <w:rFonts w:asciiTheme="majorBidi" w:hAnsiTheme="majorBidi" w:cstheme="majorBidi"/>
          <w:lang w:val="es-SV"/>
        </w:rPr>
        <w:t xml:space="preserve"> </w:t>
      </w:r>
      <w:r w:rsidRPr="00322592">
        <w:rPr>
          <w:lang w:val="es-ES_tradnl"/>
        </w:rPr>
        <w:t xml:space="preserve">(arts. 2, 10, 11 y 16). </w:t>
      </w:r>
    </w:p>
    <w:p w14:paraId="40A359FE" w14:textId="77777777" w:rsidR="000D59FF" w:rsidRPr="00322592" w:rsidRDefault="000D59FF" w:rsidP="000D59FF">
      <w:pPr>
        <w:pStyle w:val="SingleTxtG"/>
        <w:rPr>
          <w:rFonts w:eastAsia="Calibri"/>
          <w:b/>
          <w:bCs/>
          <w:lang w:val="es-ES_tradnl"/>
        </w:rPr>
      </w:pPr>
      <w:r w:rsidRPr="00322592">
        <w:rPr>
          <w:rFonts w:eastAsia="Calibri"/>
          <w:lang w:val="es-ES_tradnl"/>
        </w:rPr>
        <w:t>17.</w:t>
      </w:r>
      <w:r w:rsidRPr="00322592">
        <w:rPr>
          <w:rFonts w:eastAsia="Calibri"/>
          <w:lang w:val="es-ES_tradnl"/>
        </w:rPr>
        <w:tab/>
      </w:r>
      <w:r w:rsidRPr="00322592">
        <w:rPr>
          <w:rFonts w:eastAsia="Calibri"/>
          <w:b/>
          <w:bCs/>
          <w:lang w:val="es-ES_tradnl"/>
        </w:rPr>
        <w:t>El Estado parte debe:</w:t>
      </w:r>
    </w:p>
    <w:p w14:paraId="55C04DA6" w14:textId="77777777" w:rsidR="000D59FF" w:rsidRPr="00322592" w:rsidRDefault="000D59FF" w:rsidP="000D59FF">
      <w:pPr>
        <w:pStyle w:val="SingleTxtG"/>
        <w:rPr>
          <w:rFonts w:eastAsia="Calibri"/>
          <w:b/>
          <w:bCs/>
          <w:lang w:val="es-ES_tradnl"/>
        </w:rPr>
      </w:pPr>
      <w:r w:rsidRPr="00322592">
        <w:rPr>
          <w:rFonts w:eastAsia="Calibri"/>
          <w:lang w:val="es-ES_tradnl"/>
        </w:rPr>
        <w:tab/>
      </w:r>
      <w:r w:rsidRPr="005413B6">
        <w:rPr>
          <w:rFonts w:eastAsia="Calibri"/>
          <w:b/>
          <w:bCs/>
          <w:lang w:val="es-ES_tradnl"/>
        </w:rPr>
        <w:t>a)</w:t>
      </w:r>
      <w:r w:rsidRPr="00322592">
        <w:rPr>
          <w:rFonts w:eastAsia="Calibri"/>
          <w:b/>
          <w:bCs/>
          <w:lang w:val="es-ES_tradnl"/>
        </w:rPr>
        <w:tab/>
        <w:t>Redoblar sus esfuerzos en la elaboración e implementación de una política penitenciaria que aborde las causas sistémicas de la violencia en los centros penitenciarios, que contribuya al desmantelamiento de las bandas y otros grupos de delincuencia criminal y que priorice las políticas de rehabilitación, reeducación y reinserción social;</w:t>
      </w:r>
    </w:p>
    <w:p w14:paraId="4D6FB41E" w14:textId="77777777" w:rsidR="000D59FF" w:rsidRPr="00322592" w:rsidRDefault="000D59FF" w:rsidP="000D59FF">
      <w:pPr>
        <w:pStyle w:val="SingleTxtG"/>
        <w:rPr>
          <w:rFonts w:eastAsia="Calibri"/>
          <w:b/>
          <w:bCs/>
          <w:lang w:val="es-ES_tradnl"/>
        </w:rPr>
      </w:pPr>
      <w:r w:rsidRPr="00322592">
        <w:rPr>
          <w:rFonts w:eastAsia="Calibri"/>
          <w:b/>
          <w:bCs/>
          <w:lang w:val="es-ES_tradnl"/>
        </w:rPr>
        <w:tab/>
      </w:r>
      <w:r w:rsidRPr="005413B6">
        <w:rPr>
          <w:rFonts w:eastAsia="Calibri"/>
          <w:b/>
          <w:bCs/>
          <w:lang w:val="es-ES_tradnl"/>
        </w:rPr>
        <w:t>b)</w:t>
      </w:r>
      <w:r w:rsidRPr="00322592">
        <w:rPr>
          <w:rFonts w:eastAsia="Calibri"/>
          <w:b/>
          <w:bCs/>
          <w:lang w:val="es-ES_tradnl"/>
        </w:rPr>
        <w:tab/>
        <w:t xml:space="preserve">Avanzar </w:t>
      </w:r>
      <w:r>
        <w:rPr>
          <w:rFonts w:eastAsia="Calibri"/>
          <w:b/>
          <w:bCs/>
          <w:lang w:val="es-ES_tradnl"/>
        </w:rPr>
        <w:t>en el</w:t>
      </w:r>
      <w:r w:rsidRPr="00322592">
        <w:rPr>
          <w:rFonts w:eastAsia="Calibri"/>
          <w:b/>
          <w:bCs/>
          <w:lang w:val="es-ES_tradnl"/>
        </w:rPr>
        <w:t xml:space="preserve"> traspaso de la administración penitenciaria al Instituto Nacional Penitenciario, como ente civil, autónomo e independiente,</w:t>
      </w:r>
      <w:r>
        <w:rPr>
          <w:rFonts w:eastAsia="Calibri"/>
          <w:b/>
          <w:bCs/>
          <w:lang w:val="es-ES_tradnl"/>
        </w:rPr>
        <w:t xml:space="preserve"> así como </w:t>
      </w:r>
      <w:r w:rsidRPr="00322592">
        <w:rPr>
          <w:rFonts w:eastAsia="Calibri"/>
          <w:b/>
          <w:bCs/>
          <w:lang w:val="es-ES_tradnl"/>
        </w:rPr>
        <w:t>reforzar las medidas dirigidas a fortalecerlo;</w:t>
      </w:r>
    </w:p>
    <w:p w14:paraId="515DC26E" w14:textId="77777777" w:rsidR="000D59FF" w:rsidRPr="00C510A2" w:rsidRDefault="000D59FF" w:rsidP="000D59FF">
      <w:pPr>
        <w:pStyle w:val="SingleTxtG"/>
        <w:rPr>
          <w:rFonts w:eastAsia="Calibri"/>
          <w:b/>
          <w:bCs/>
          <w:lang w:val="es-SV"/>
        </w:rPr>
      </w:pPr>
      <w:r w:rsidRPr="00322592">
        <w:rPr>
          <w:rFonts w:eastAsia="Calibri"/>
          <w:b/>
          <w:bCs/>
          <w:lang w:val="es-ES_tradnl"/>
        </w:rPr>
        <w:tab/>
      </w:r>
      <w:r w:rsidRPr="005413B6">
        <w:rPr>
          <w:rFonts w:eastAsia="Calibri"/>
          <w:b/>
          <w:bCs/>
          <w:lang w:val="es-ES_tradnl"/>
        </w:rPr>
        <w:t>c)</w:t>
      </w:r>
      <w:r w:rsidRPr="00322592">
        <w:rPr>
          <w:rFonts w:eastAsia="Calibri"/>
          <w:b/>
          <w:bCs/>
          <w:lang w:val="es-ES_tradnl"/>
        </w:rPr>
        <w:tab/>
        <w:t xml:space="preserve">Garantizar que todos los casos de violencia y de muerte durante la privación de libertad sean investigados con prontitud y de forma imparcial por un órgano independiente, teniendo debidamente en cuenta </w:t>
      </w:r>
      <w:r>
        <w:rPr>
          <w:rFonts w:eastAsia="Calibri"/>
          <w:b/>
          <w:bCs/>
          <w:lang w:val="es-ES_tradnl"/>
        </w:rPr>
        <w:t xml:space="preserve">lo dispuesto en </w:t>
      </w:r>
      <w:r w:rsidRPr="00322592">
        <w:rPr>
          <w:rFonts w:eastAsia="Calibri"/>
          <w:b/>
          <w:bCs/>
          <w:lang w:val="es-ES_tradnl"/>
        </w:rPr>
        <w:t xml:space="preserve">el Protocolo de Minnesota sobre la Investigación de Muertes Potencialmente Ilícitas y </w:t>
      </w:r>
      <w:r>
        <w:rPr>
          <w:rFonts w:eastAsia="Calibri"/>
          <w:b/>
          <w:bCs/>
          <w:lang w:val="es-ES_tradnl"/>
        </w:rPr>
        <w:t xml:space="preserve">en </w:t>
      </w:r>
      <w:r w:rsidRPr="00322592">
        <w:rPr>
          <w:rFonts w:eastAsia="Calibri"/>
          <w:b/>
          <w:bCs/>
          <w:lang w:val="es-ES_tradnl"/>
        </w:rPr>
        <w:t xml:space="preserve">el </w:t>
      </w:r>
      <w:r w:rsidRPr="00C510A2">
        <w:rPr>
          <w:rFonts w:asciiTheme="majorBidi" w:hAnsiTheme="majorBidi" w:cstheme="majorBidi"/>
          <w:b/>
          <w:bCs/>
          <w:lang w:val="es-SV"/>
        </w:rPr>
        <w:t>Manual para la Investigación y Documentación Eficaces de la Tortura y otros Tratos o Penas Crueles, Inhumanos o Degradantes (Protocolo de Estambul)</w:t>
      </w:r>
      <w:r w:rsidRPr="00322592">
        <w:rPr>
          <w:rFonts w:eastAsia="Calibri"/>
          <w:b/>
          <w:bCs/>
          <w:lang w:val="es-ES_tradnl"/>
        </w:rPr>
        <w:t xml:space="preserve">, </w:t>
      </w:r>
      <w:r>
        <w:rPr>
          <w:rFonts w:eastAsia="Calibri"/>
          <w:b/>
          <w:bCs/>
          <w:lang w:val="es-ES_tradnl"/>
        </w:rPr>
        <w:t>en su forma revisada, así como</w:t>
      </w:r>
      <w:r w:rsidRPr="00322592">
        <w:rPr>
          <w:rFonts w:eastAsia="Calibri"/>
          <w:b/>
          <w:bCs/>
          <w:lang w:val="es-ES_tradnl"/>
        </w:rPr>
        <w:t xml:space="preserve"> </w:t>
      </w:r>
      <w:r>
        <w:rPr>
          <w:rFonts w:eastAsia="Calibri"/>
          <w:b/>
          <w:bCs/>
          <w:lang w:val="es-ES_tradnl"/>
        </w:rPr>
        <w:t>establecer</w:t>
      </w:r>
      <w:r w:rsidRPr="00322592">
        <w:rPr>
          <w:rFonts w:eastAsia="Calibri"/>
          <w:b/>
          <w:bCs/>
          <w:lang w:val="es-ES_tradnl"/>
        </w:rPr>
        <w:t xml:space="preserve"> un registro unificado y digitalizado </w:t>
      </w:r>
      <w:r>
        <w:rPr>
          <w:rFonts w:eastAsia="Calibri"/>
          <w:b/>
          <w:bCs/>
          <w:lang w:val="es-ES_tradnl"/>
        </w:rPr>
        <w:t>de</w:t>
      </w:r>
      <w:r w:rsidRPr="00322592">
        <w:rPr>
          <w:rFonts w:eastAsia="Calibri"/>
          <w:b/>
          <w:bCs/>
          <w:lang w:val="es-ES_tradnl"/>
        </w:rPr>
        <w:t xml:space="preserve"> </w:t>
      </w:r>
      <w:r>
        <w:rPr>
          <w:rFonts w:eastAsia="Calibri"/>
          <w:b/>
          <w:bCs/>
          <w:lang w:val="es-ES_tradnl"/>
        </w:rPr>
        <w:t xml:space="preserve">los </w:t>
      </w:r>
      <w:r w:rsidRPr="00322592">
        <w:rPr>
          <w:rFonts w:eastAsia="Calibri"/>
          <w:b/>
          <w:bCs/>
          <w:lang w:val="es-ES_tradnl"/>
        </w:rPr>
        <w:t>casos de muerte en custodia;</w:t>
      </w:r>
    </w:p>
    <w:p w14:paraId="14F8E682" w14:textId="77777777" w:rsidR="000D59FF" w:rsidRDefault="000D59FF" w:rsidP="000D59FF">
      <w:pPr>
        <w:pStyle w:val="SingleTxtG"/>
        <w:rPr>
          <w:rFonts w:eastAsia="Calibri"/>
          <w:b/>
          <w:bCs/>
          <w:lang w:val="es-ES_tradnl"/>
        </w:rPr>
      </w:pPr>
      <w:r w:rsidRPr="00322592">
        <w:rPr>
          <w:rFonts w:eastAsia="Calibri"/>
          <w:b/>
          <w:bCs/>
          <w:lang w:val="es-ES_tradnl"/>
        </w:rPr>
        <w:tab/>
      </w:r>
      <w:r w:rsidRPr="005413B6">
        <w:rPr>
          <w:rFonts w:eastAsia="Calibri"/>
          <w:b/>
          <w:bCs/>
          <w:lang w:val="es-ES_tradnl"/>
        </w:rPr>
        <w:t>d)</w:t>
      </w:r>
      <w:r w:rsidRPr="00322592">
        <w:rPr>
          <w:rFonts w:eastAsia="Calibri"/>
          <w:b/>
          <w:bCs/>
          <w:lang w:val="es-ES_tradnl"/>
        </w:rPr>
        <w:tab/>
        <w:t xml:space="preserve">Adoptar las medidas </w:t>
      </w:r>
      <w:r>
        <w:rPr>
          <w:rFonts w:eastAsia="Calibri"/>
          <w:b/>
          <w:bCs/>
          <w:lang w:val="es-ES_tradnl"/>
        </w:rPr>
        <w:t>para la</w:t>
      </w:r>
      <w:r w:rsidRPr="00322592">
        <w:rPr>
          <w:rFonts w:eastAsia="Calibri"/>
          <w:b/>
          <w:bCs/>
          <w:lang w:val="es-ES_tradnl"/>
        </w:rPr>
        <w:t xml:space="preserve"> prevención y reducción de la violencia en los centros penitenciarios, </w:t>
      </w:r>
      <w:r>
        <w:rPr>
          <w:rFonts w:eastAsia="Calibri"/>
          <w:b/>
          <w:bCs/>
          <w:lang w:val="es-ES_tradnl"/>
        </w:rPr>
        <w:t xml:space="preserve">tanto </w:t>
      </w:r>
      <w:r w:rsidRPr="00322592">
        <w:rPr>
          <w:rFonts w:eastAsia="Calibri"/>
          <w:b/>
          <w:bCs/>
          <w:lang w:val="es-ES_tradnl"/>
        </w:rPr>
        <w:t>entre los reclusos</w:t>
      </w:r>
      <w:r>
        <w:rPr>
          <w:rFonts w:eastAsia="Calibri"/>
          <w:b/>
          <w:bCs/>
          <w:lang w:val="es-ES_tradnl"/>
        </w:rPr>
        <w:t xml:space="preserve"> como la que pueda ocurrir por abusos de </w:t>
      </w:r>
      <w:r w:rsidRPr="00322592">
        <w:rPr>
          <w:rFonts w:eastAsia="Calibri"/>
          <w:b/>
          <w:bCs/>
          <w:lang w:val="es-ES_tradnl"/>
        </w:rPr>
        <w:t>agentes penitenciarios</w:t>
      </w:r>
      <w:r>
        <w:rPr>
          <w:rFonts w:eastAsia="Calibri"/>
          <w:b/>
          <w:bCs/>
          <w:lang w:val="es-ES_tradnl"/>
        </w:rPr>
        <w:t>, garantizando la investigación de todos los incidentes violentos y el enjuiciamiento de los responsables;</w:t>
      </w:r>
    </w:p>
    <w:p w14:paraId="2BAFB5F6" w14:textId="77777777" w:rsidR="000D59FF" w:rsidRPr="00322592" w:rsidRDefault="000D59FF" w:rsidP="000D59FF">
      <w:pPr>
        <w:pStyle w:val="SingleTxtG"/>
        <w:rPr>
          <w:rFonts w:eastAsia="Calibri"/>
          <w:b/>
          <w:bCs/>
          <w:lang w:val="es-ES_tradnl"/>
        </w:rPr>
      </w:pPr>
      <w:r>
        <w:rPr>
          <w:rFonts w:eastAsia="Calibri"/>
          <w:b/>
          <w:bCs/>
          <w:lang w:val="es-ES_tradnl"/>
        </w:rPr>
        <w:tab/>
      </w:r>
      <w:r w:rsidRPr="005413B6">
        <w:rPr>
          <w:rFonts w:eastAsia="Calibri"/>
          <w:b/>
          <w:bCs/>
          <w:lang w:val="es-ES_tradnl"/>
        </w:rPr>
        <w:t>e)</w:t>
      </w:r>
      <w:r>
        <w:rPr>
          <w:rFonts w:eastAsia="Calibri"/>
          <w:b/>
          <w:bCs/>
          <w:lang w:val="es-ES_tradnl"/>
        </w:rPr>
        <w:tab/>
        <w:t xml:space="preserve">Velar por que </w:t>
      </w:r>
      <w:r w:rsidRPr="00322592">
        <w:rPr>
          <w:rFonts w:eastAsia="Calibri"/>
          <w:b/>
          <w:bCs/>
          <w:lang w:val="es-ES_tradnl"/>
        </w:rPr>
        <w:t>los centros pen</w:t>
      </w:r>
      <w:r w:rsidRPr="00235F7C">
        <w:rPr>
          <w:rFonts w:eastAsia="Calibri"/>
          <w:b/>
          <w:bCs/>
          <w:lang w:val="es-ES_tradnl"/>
        </w:rPr>
        <w:t>itenciarios cuenten con el personal civil</w:t>
      </w:r>
      <w:r w:rsidRPr="00DB743B">
        <w:t xml:space="preserve"> </w:t>
      </w:r>
      <w:r w:rsidRPr="009676CB">
        <w:rPr>
          <w:rFonts w:eastAsia="Calibri"/>
          <w:b/>
          <w:bCs/>
          <w:lang w:val="es-ES_tradnl"/>
        </w:rPr>
        <w:t>necesario</w:t>
      </w:r>
      <w:r w:rsidRPr="00235F7C">
        <w:rPr>
          <w:rFonts w:eastAsia="Calibri"/>
          <w:b/>
          <w:bCs/>
          <w:lang w:val="es-ES_tradnl"/>
        </w:rPr>
        <w:t xml:space="preserve">, </w:t>
      </w:r>
      <w:r>
        <w:rPr>
          <w:rFonts w:eastAsia="Calibri"/>
          <w:b/>
          <w:bCs/>
          <w:lang w:val="es-ES_tradnl"/>
        </w:rPr>
        <w:t>incluido</w:t>
      </w:r>
      <w:r w:rsidRPr="00235F7C">
        <w:rPr>
          <w:rFonts w:eastAsia="Calibri"/>
          <w:b/>
          <w:bCs/>
          <w:lang w:val="es-ES_tradnl"/>
        </w:rPr>
        <w:t xml:space="preserve"> el personal médico, calificado</w:t>
      </w:r>
      <w:r>
        <w:rPr>
          <w:rFonts w:eastAsia="Calibri"/>
          <w:b/>
          <w:bCs/>
          <w:lang w:val="es-ES_tradnl"/>
        </w:rPr>
        <w:t xml:space="preserve"> </w:t>
      </w:r>
      <w:r w:rsidRPr="00672E10">
        <w:rPr>
          <w:rFonts w:eastAsia="Calibri"/>
          <w:b/>
          <w:bCs/>
          <w:lang w:val="es-ES_tradnl"/>
        </w:rPr>
        <w:t xml:space="preserve">y debidamente entrenado, </w:t>
      </w:r>
      <w:r>
        <w:rPr>
          <w:rFonts w:eastAsia="Calibri"/>
          <w:b/>
          <w:bCs/>
          <w:lang w:val="es-ES_tradnl"/>
        </w:rPr>
        <w:t>en particular</w:t>
      </w:r>
      <w:r w:rsidRPr="00672E10">
        <w:rPr>
          <w:rFonts w:eastAsia="Calibri"/>
          <w:b/>
          <w:bCs/>
          <w:lang w:val="es-ES_tradnl"/>
        </w:rPr>
        <w:t xml:space="preserve"> en seguridad dinámica y derechos de las personas privadas de libertad</w:t>
      </w:r>
      <w:r>
        <w:rPr>
          <w:rFonts w:eastAsia="Calibri"/>
          <w:b/>
          <w:bCs/>
          <w:lang w:val="es-ES_tradnl"/>
        </w:rPr>
        <w:t>;</w:t>
      </w:r>
    </w:p>
    <w:p w14:paraId="0EE462B5" w14:textId="77777777" w:rsidR="000D59FF" w:rsidRPr="00456C2C" w:rsidRDefault="000D59FF" w:rsidP="000D59FF">
      <w:pPr>
        <w:pStyle w:val="SingleTxtG"/>
        <w:rPr>
          <w:rFonts w:eastAsia="Calibri"/>
          <w:b/>
          <w:bCs/>
          <w:lang w:val="es-ES_tradnl"/>
        </w:rPr>
      </w:pPr>
      <w:r w:rsidRPr="00322592">
        <w:rPr>
          <w:rFonts w:eastAsia="Calibri"/>
          <w:b/>
          <w:bCs/>
          <w:lang w:val="es-ES_tradnl"/>
        </w:rPr>
        <w:tab/>
      </w:r>
      <w:r w:rsidRPr="005413B6">
        <w:rPr>
          <w:rFonts w:eastAsia="Calibri"/>
          <w:b/>
          <w:bCs/>
          <w:lang w:val="es-ES_tradnl"/>
        </w:rPr>
        <w:t>f)</w:t>
      </w:r>
      <w:r w:rsidRPr="00322592">
        <w:rPr>
          <w:rFonts w:eastAsia="Calibri"/>
          <w:b/>
          <w:bCs/>
          <w:lang w:val="es-ES_tradnl"/>
        </w:rPr>
        <w:tab/>
      </w:r>
      <w:r>
        <w:rPr>
          <w:rFonts w:eastAsia="Calibri"/>
          <w:b/>
          <w:bCs/>
          <w:lang w:val="es-ES_tradnl"/>
        </w:rPr>
        <w:t>Garantizar que las requisas y los registros en el interior de los centros de detención respeten los derechos de las personas privadas de libertad</w:t>
      </w:r>
      <w:r w:rsidRPr="00322592">
        <w:rPr>
          <w:rFonts w:eastAsia="Calibri"/>
          <w:b/>
          <w:bCs/>
          <w:lang w:val="es-ES_tradnl"/>
        </w:rPr>
        <w:t xml:space="preserve">, </w:t>
      </w:r>
      <w:r>
        <w:rPr>
          <w:rFonts w:eastAsia="Calibri"/>
          <w:b/>
          <w:bCs/>
          <w:lang w:val="es-ES_tradnl"/>
        </w:rPr>
        <w:t xml:space="preserve">y se </w:t>
      </w:r>
      <w:r w:rsidRPr="00322592">
        <w:rPr>
          <w:rFonts w:eastAsia="Calibri"/>
          <w:b/>
          <w:bCs/>
          <w:lang w:val="es-ES_tradnl"/>
        </w:rPr>
        <w:t>sancion</w:t>
      </w:r>
      <w:r>
        <w:rPr>
          <w:rFonts w:eastAsia="Calibri"/>
          <w:b/>
          <w:bCs/>
          <w:lang w:val="es-ES_tradnl"/>
        </w:rPr>
        <w:t>en</w:t>
      </w:r>
      <w:r w:rsidRPr="00322592">
        <w:rPr>
          <w:rFonts w:eastAsia="Calibri"/>
          <w:b/>
          <w:bCs/>
          <w:lang w:val="es-ES_tradnl"/>
        </w:rPr>
        <w:t xml:space="preserve"> </w:t>
      </w:r>
      <w:r>
        <w:rPr>
          <w:rFonts w:eastAsia="Calibri"/>
          <w:b/>
          <w:bCs/>
          <w:lang w:val="es-ES_tradnl"/>
        </w:rPr>
        <w:t xml:space="preserve">los </w:t>
      </w:r>
      <w:r w:rsidRPr="00322592">
        <w:rPr>
          <w:rFonts w:eastAsia="Calibri"/>
          <w:b/>
          <w:bCs/>
          <w:lang w:val="es-ES_tradnl"/>
        </w:rPr>
        <w:t xml:space="preserve">abusos </w:t>
      </w:r>
      <w:r>
        <w:rPr>
          <w:rFonts w:eastAsia="Calibri"/>
          <w:b/>
          <w:bCs/>
          <w:lang w:val="es-ES_tradnl"/>
        </w:rPr>
        <w:t>que se puedan producir en este sentido</w:t>
      </w:r>
      <w:r w:rsidRPr="00C510A2">
        <w:rPr>
          <w:rStyle w:val="Refdenotaalpie"/>
          <w:lang w:val="es-SV"/>
        </w:rPr>
        <w:t xml:space="preserve"> </w:t>
      </w:r>
      <w:r w:rsidRPr="007B74D4">
        <w:rPr>
          <w:rFonts w:eastAsia="Calibri"/>
          <w:b/>
          <w:bCs/>
          <w:lang w:val="es-ES_tradnl"/>
        </w:rPr>
        <w:t>con un debido procedimiento</w:t>
      </w:r>
      <w:r w:rsidRPr="00322592">
        <w:rPr>
          <w:rFonts w:eastAsia="Calibri"/>
          <w:b/>
          <w:bCs/>
          <w:lang w:val="es-ES_tradnl"/>
        </w:rPr>
        <w:t>.</w:t>
      </w:r>
    </w:p>
    <w:p w14:paraId="6AAB600A" w14:textId="77777777" w:rsidR="000D59FF" w:rsidRPr="00C510A2" w:rsidRDefault="000D59FF" w:rsidP="000D59FF">
      <w:pPr>
        <w:pStyle w:val="H23G"/>
        <w:rPr>
          <w:lang w:val="es-SV"/>
        </w:rPr>
      </w:pPr>
      <w:r>
        <w:rPr>
          <w:lang w:val="es-SV"/>
        </w:rPr>
        <w:tab/>
      </w:r>
      <w:r>
        <w:rPr>
          <w:lang w:val="es-SV"/>
        </w:rPr>
        <w:tab/>
      </w:r>
      <w:r w:rsidRPr="00C510A2">
        <w:rPr>
          <w:lang w:val="es-SV"/>
        </w:rPr>
        <w:t xml:space="preserve">Condiciones de detención </w:t>
      </w:r>
    </w:p>
    <w:p w14:paraId="4B9058DE" w14:textId="77777777" w:rsidR="000D59FF" w:rsidRPr="00322592" w:rsidRDefault="000D59FF" w:rsidP="000D59FF">
      <w:pPr>
        <w:pStyle w:val="SingleTxtG"/>
        <w:rPr>
          <w:lang w:val="es-ES_tradnl"/>
        </w:rPr>
      </w:pPr>
      <w:r w:rsidRPr="00C510A2">
        <w:rPr>
          <w:rFonts w:asciiTheme="majorBidi" w:hAnsiTheme="majorBidi" w:cstheme="majorBidi"/>
          <w:lang w:val="es-SV"/>
        </w:rPr>
        <w:t>18.</w:t>
      </w:r>
      <w:r w:rsidRPr="00C510A2">
        <w:rPr>
          <w:rFonts w:asciiTheme="majorBidi" w:hAnsiTheme="majorBidi" w:cstheme="majorBidi"/>
          <w:lang w:val="es-SV"/>
        </w:rPr>
        <w:tab/>
        <w:t>El Comité toma nota de las medidas adoptadas por el Estado parte dirigidas a mejorar la situación de las personas privadas de libertad en los centros penitenciarios del país, así como de la información proporcionada por la delegación sobre la existencia de un proyecto de</w:t>
      </w:r>
      <w:r>
        <w:rPr>
          <w:rFonts w:asciiTheme="majorBidi" w:hAnsiTheme="majorBidi" w:cstheme="majorBidi"/>
          <w:lang w:val="es-SV"/>
        </w:rPr>
        <w:t xml:space="preserve"> </w:t>
      </w:r>
      <w:r w:rsidRPr="00C510A2">
        <w:rPr>
          <w:rFonts w:asciiTheme="majorBidi" w:hAnsiTheme="majorBidi" w:cstheme="majorBidi"/>
          <w:lang w:val="es-SV"/>
        </w:rPr>
        <w:t xml:space="preserve">centro de datos para interconectar </w:t>
      </w:r>
      <w:r w:rsidRPr="002F6FC8">
        <w:rPr>
          <w:rFonts w:asciiTheme="majorBidi" w:hAnsiTheme="majorBidi" w:cstheme="majorBidi"/>
          <w:lang w:val="es-SV"/>
        </w:rPr>
        <w:t xml:space="preserve">el registro nacional de las personas privadas de libertad con el </w:t>
      </w:r>
      <w:r>
        <w:rPr>
          <w:rFonts w:asciiTheme="majorBidi" w:hAnsiTheme="majorBidi" w:cstheme="majorBidi"/>
          <w:lang w:val="es-SV"/>
        </w:rPr>
        <w:t>P</w:t>
      </w:r>
      <w:r w:rsidRPr="002F6FC8">
        <w:rPr>
          <w:rFonts w:asciiTheme="majorBidi" w:hAnsiTheme="majorBidi" w:cstheme="majorBidi"/>
          <w:lang w:val="es-SV"/>
        </w:rPr>
        <w:t>oder</w:t>
      </w:r>
      <w:r>
        <w:rPr>
          <w:rFonts w:asciiTheme="majorBidi" w:hAnsiTheme="majorBidi" w:cstheme="majorBidi"/>
          <w:lang w:val="es-SV"/>
        </w:rPr>
        <w:t xml:space="preserve"> J</w:t>
      </w:r>
      <w:r w:rsidRPr="002F6FC8">
        <w:rPr>
          <w:rFonts w:asciiTheme="majorBidi" w:hAnsiTheme="majorBidi" w:cstheme="majorBidi"/>
          <w:lang w:val="es-SV"/>
        </w:rPr>
        <w:t xml:space="preserve">udicial, la revisión de expedientes para identificar casos que ameriten un beneficio preliberacional o un beneficio judicial, </w:t>
      </w:r>
      <w:r>
        <w:rPr>
          <w:rFonts w:asciiTheme="majorBidi" w:hAnsiTheme="majorBidi" w:cstheme="majorBidi"/>
          <w:lang w:val="es-SV"/>
        </w:rPr>
        <w:t>así como</w:t>
      </w:r>
      <w:r w:rsidRPr="002F6FC8">
        <w:rPr>
          <w:rFonts w:asciiTheme="majorBidi" w:hAnsiTheme="majorBidi" w:cstheme="majorBidi"/>
          <w:lang w:val="es-SV"/>
        </w:rPr>
        <w:t xml:space="preserve"> la</w:t>
      </w:r>
      <w:r w:rsidRPr="00C510A2">
        <w:rPr>
          <w:rFonts w:asciiTheme="majorBidi" w:hAnsiTheme="majorBidi" w:cstheme="majorBidi"/>
          <w:lang w:val="es-SV"/>
        </w:rPr>
        <w:t xml:space="preserve"> instalación de las salas para la celebración de audiencias virtuales en 12</w:t>
      </w:r>
      <w:r>
        <w:rPr>
          <w:rFonts w:asciiTheme="majorBidi" w:hAnsiTheme="majorBidi" w:cstheme="majorBidi"/>
          <w:lang w:val="es-SV"/>
        </w:rPr>
        <w:t xml:space="preserve"> </w:t>
      </w:r>
      <w:r w:rsidRPr="00C510A2">
        <w:rPr>
          <w:rFonts w:asciiTheme="majorBidi" w:hAnsiTheme="majorBidi" w:cstheme="majorBidi"/>
          <w:lang w:val="es-SV"/>
        </w:rPr>
        <w:t xml:space="preserve">centros penitenciarios. No obstante, </w:t>
      </w:r>
      <w:r>
        <w:rPr>
          <w:lang w:val="es-ES_tradnl"/>
        </w:rPr>
        <w:t>le preocupan</w:t>
      </w:r>
      <w:r w:rsidRPr="00322592">
        <w:rPr>
          <w:lang w:val="es-ES_tradnl"/>
        </w:rPr>
        <w:t>:</w:t>
      </w:r>
    </w:p>
    <w:p w14:paraId="7BAE1270" w14:textId="77777777" w:rsidR="000D59FF" w:rsidRPr="00322592" w:rsidRDefault="000D59FF" w:rsidP="000D59FF">
      <w:pPr>
        <w:pStyle w:val="SingleTxtG"/>
        <w:rPr>
          <w:lang w:val="es-ES_tradnl"/>
        </w:rPr>
      </w:pPr>
      <w:r w:rsidRPr="00322592">
        <w:rPr>
          <w:lang w:val="es-ES_tradnl"/>
        </w:rPr>
        <w:tab/>
        <w:t>a)</w:t>
      </w:r>
      <w:r w:rsidRPr="00322592">
        <w:rPr>
          <w:lang w:val="es-ES_tradnl"/>
        </w:rPr>
        <w:tab/>
      </w:r>
      <w:r>
        <w:rPr>
          <w:lang w:val="es-ES_tradnl"/>
        </w:rPr>
        <w:t>Las altas tasas de sobreocupación</w:t>
      </w:r>
      <w:r w:rsidRPr="00322592">
        <w:rPr>
          <w:lang w:val="es-ES_tradnl"/>
        </w:rPr>
        <w:t xml:space="preserve"> </w:t>
      </w:r>
      <w:r>
        <w:rPr>
          <w:lang w:val="es-ES_tradnl"/>
        </w:rPr>
        <w:t>en</w:t>
      </w:r>
      <w:r w:rsidRPr="00322592">
        <w:rPr>
          <w:lang w:val="es-ES_tradnl"/>
        </w:rPr>
        <w:t xml:space="preserve"> l</w:t>
      </w:r>
      <w:r>
        <w:rPr>
          <w:lang w:val="es-ES_tradnl"/>
        </w:rPr>
        <w:t>o</w:t>
      </w:r>
      <w:r w:rsidRPr="00322592">
        <w:rPr>
          <w:lang w:val="es-ES_tradnl"/>
        </w:rPr>
        <w:t xml:space="preserve">s </w:t>
      </w:r>
      <w:r>
        <w:rPr>
          <w:lang w:val="es-ES_tradnl"/>
        </w:rPr>
        <w:t>centros penitenciarios</w:t>
      </w:r>
      <w:r w:rsidRPr="00322592">
        <w:rPr>
          <w:lang w:val="es-ES_tradnl"/>
        </w:rPr>
        <w:t xml:space="preserve"> y el uso excesivo de la detención preventiva</w:t>
      </w:r>
      <w:r w:rsidRPr="00322592">
        <w:rPr>
          <w:rStyle w:val="Refdenotaalpie"/>
          <w:lang w:val="es-ES_tradnl"/>
        </w:rPr>
        <w:footnoteReference w:id="20"/>
      </w:r>
      <w:r w:rsidRPr="00322592">
        <w:rPr>
          <w:lang w:val="es-ES_tradnl"/>
        </w:rPr>
        <w:t>;</w:t>
      </w:r>
    </w:p>
    <w:p w14:paraId="60065210" w14:textId="77777777" w:rsidR="000D59FF" w:rsidRPr="00D27EDA" w:rsidRDefault="000D59FF" w:rsidP="000D59FF">
      <w:pPr>
        <w:pStyle w:val="SingleTxtG"/>
        <w:rPr>
          <w:lang w:val="es-ES_tradnl"/>
        </w:rPr>
      </w:pPr>
      <w:r w:rsidRPr="00322592">
        <w:rPr>
          <w:rFonts w:asciiTheme="majorBidi" w:hAnsiTheme="majorBidi" w:cstheme="majorBidi"/>
          <w:lang w:val="es-ES_tradnl"/>
        </w:rPr>
        <w:lastRenderedPageBreak/>
        <w:tab/>
      </w:r>
      <w:r>
        <w:rPr>
          <w:rFonts w:asciiTheme="majorBidi" w:hAnsiTheme="majorBidi" w:cstheme="majorBidi"/>
          <w:lang w:val="es-ES_tradnl"/>
        </w:rPr>
        <w:t>b</w:t>
      </w:r>
      <w:r w:rsidRPr="00CD716A">
        <w:rPr>
          <w:rFonts w:asciiTheme="majorBidi" w:hAnsiTheme="majorBidi" w:cstheme="majorBidi"/>
          <w:lang w:val="es-ES_tradnl"/>
        </w:rPr>
        <w:t>)</w:t>
      </w:r>
      <w:r w:rsidRPr="00CD716A">
        <w:rPr>
          <w:rFonts w:asciiTheme="majorBidi" w:hAnsiTheme="majorBidi" w:cstheme="majorBidi"/>
          <w:lang w:val="es-ES_tradnl"/>
        </w:rPr>
        <w:tab/>
        <w:t>Las i</w:t>
      </w:r>
      <w:r w:rsidRPr="00CD716A">
        <w:rPr>
          <w:lang w:val="es-ES_tradnl"/>
        </w:rPr>
        <w:t>mportantes defici</w:t>
      </w:r>
      <w:r w:rsidRPr="00501C7C">
        <w:rPr>
          <w:lang w:val="es-ES_tradnl"/>
        </w:rPr>
        <w:t>encias en las condiciones materiales</w:t>
      </w:r>
      <w:r w:rsidRPr="00DB743B">
        <w:rPr>
          <w:lang w:val="es-ES_tradnl"/>
        </w:rPr>
        <w:t>,</w:t>
      </w:r>
      <w:r w:rsidRPr="00DB743B">
        <w:t xml:space="preserve"> </w:t>
      </w:r>
      <w:r w:rsidRPr="00501C7C">
        <w:rPr>
          <w:lang w:val="es-ES_tradnl"/>
        </w:rPr>
        <w:t xml:space="preserve">en el abastecimiento de alimentos y en la atención médica y psicológica que se presta en estos establecimientos, </w:t>
      </w:r>
      <w:r w:rsidRPr="00D27EDA">
        <w:rPr>
          <w:lang w:val="es-ES_tradnl"/>
        </w:rPr>
        <w:t xml:space="preserve">así como la escasez de medicamentos, si bien se toma nota de las medidas ya adoptadas </w:t>
      </w:r>
      <w:r w:rsidRPr="00D27EDA">
        <w:rPr>
          <w:lang w:val="es-SV"/>
        </w:rPr>
        <w:t xml:space="preserve">para corregir </w:t>
      </w:r>
      <w:r w:rsidRPr="00DB743B">
        <w:rPr>
          <w:lang w:val="es-SV"/>
        </w:rPr>
        <w:t>dicha</w:t>
      </w:r>
      <w:r w:rsidRPr="00D27EDA">
        <w:rPr>
          <w:lang w:val="es-SV"/>
        </w:rPr>
        <w:t xml:space="preserve"> situación</w:t>
      </w:r>
      <w:r w:rsidRPr="00D27EDA">
        <w:rPr>
          <w:lang w:val="es-ES_tradnl"/>
        </w:rPr>
        <w:t xml:space="preserve">; </w:t>
      </w:r>
    </w:p>
    <w:p w14:paraId="6D8727EC" w14:textId="77777777" w:rsidR="000D59FF" w:rsidRPr="00C510A2" w:rsidRDefault="000D59FF" w:rsidP="000D59FF">
      <w:pPr>
        <w:pStyle w:val="SingleTxtG"/>
        <w:rPr>
          <w:lang w:val="es-SV"/>
        </w:rPr>
      </w:pPr>
      <w:r w:rsidRPr="00D27EDA">
        <w:rPr>
          <w:lang w:val="es-ES_tradnl"/>
        </w:rPr>
        <w:tab/>
        <w:t>c)</w:t>
      </w:r>
      <w:r w:rsidRPr="00D27EDA">
        <w:rPr>
          <w:lang w:val="es-ES_tradnl"/>
        </w:rPr>
        <w:tab/>
        <w:t>L</w:t>
      </w:r>
      <w:r w:rsidRPr="00D27EDA">
        <w:rPr>
          <w:lang w:val="es-SV"/>
        </w:rPr>
        <w:t xml:space="preserve">a ausencia de políticas de rehabilitación integral y reinserción social en todo el sistema penitenciario, </w:t>
      </w:r>
      <w:r>
        <w:rPr>
          <w:lang w:val="es-SV"/>
        </w:rPr>
        <w:t>aunque se</w:t>
      </w:r>
      <w:r w:rsidRPr="00D27EDA">
        <w:rPr>
          <w:lang w:val="es-SV"/>
        </w:rPr>
        <w:t xml:space="preserve"> toma nota de</w:t>
      </w:r>
      <w:r>
        <w:rPr>
          <w:lang w:val="es-SV"/>
        </w:rPr>
        <w:t>l</w:t>
      </w:r>
      <w:r w:rsidRPr="00D27EDA">
        <w:rPr>
          <w:lang w:val="es-SV"/>
        </w:rPr>
        <w:t xml:space="preserve"> lanzamiento de</w:t>
      </w:r>
      <w:r w:rsidRPr="00DB743B">
        <w:rPr>
          <w:lang w:val="es-SV"/>
        </w:rPr>
        <w:t xml:space="preserve">l </w:t>
      </w:r>
      <w:r w:rsidRPr="00D27EDA">
        <w:rPr>
          <w:lang w:val="es-SV"/>
        </w:rPr>
        <w:t xml:space="preserve">nuevo programa </w:t>
      </w:r>
      <w:r w:rsidRPr="00DB743B">
        <w:rPr>
          <w:lang w:val="es-SV"/>
        </w:rPr>
        <w:t xml:space="preserve">dedicado a la rehabilitación de la población penitenciaria </w:t>
      </w:r>
      <w:r w:rsidRPr="00D27EDA">
        <w:rPr>
          <w:lang w:val="es-SV"/>
        </w:rPr>
        <w:t>en 2024 y otras iniciativas al respecto;</w:t>
      </w:r>
    </w:p>
    <w:p w14:paraId="75136917" w14:textId="77777777" w:rsidR="000D59FF" w:rsidRPr="00322592" w:rsidRDefault="000D59FF" w:rsidP="000D59FF">
      <w:pPr>
        <w:pStyle w:val="SingleTxtG"/>
        <w:rPr>
          <w:lang w:val="es-MX"/>
        </w:rPr>
      </w:pPr>
      <w:r w:rsidRPr="00C510A2">
        <w:rPr>
          <w:lang w:val="es-SV"/>
        </w:rPr>
        <w:tab/>
      </w:r>
      <w:r>
        <w:rPr>
          <w:lang w:val="es-SV"/>
        </w:rPr>
        <w:t>d</w:t>
      </w:r>
      <w:r w:rsidRPr="00C510A2">
        <w:rPr>
          <w:lang w:val="es-SV"/>
        </w:rPr>
        <w:t>)</w:t>
      </w:r>
      <w:r w:rsidRPr="00C510A2">
        <w:rPr>
          <w:lang w:val="es-SV"/>
        </w:rPr>
        <w:tab/>
        <w:t>La existencia de un</w:t>
      </w:r>
      <w:r w:rsidRPr="00322592">
        <w:rPr>
          <w:lang w:val="es-ES_tradnl"/>
        </w:rPr>
        <w:t xml:space="preserve"> proyecto </w:t>
      </w:r>
      <w:r>
        <w:rPr>
          <w:lang w:val="es-ES_tradnl"/>
        </w:rPr>
        <w:t>para</w:t>
      </w:r>
      <w:r w:rsidRPr="00322592">
        <w:rPr>
          <w:lang w:val="es-ES_tradnl"/>
        </w:rPr>
        <w:t xml:space="preserve"> construcción de un centro penitenciario de máxima seguridad en las Islas del Cisne</w:t>
      </w:r>
      <w:r w:rsidRPr="00322592">
        <w:rPr>
          <w:lang w:val="es-MX"/>
        </w:rPr>
        <w:t>;</w:t>
      </w:r>
    </w:p>
    <w:p w14:paraId="04B387FA" w14:textId="77777777" w:rsidR="000D59FF" w:rsidRPr="00322592" w:rsidRDefault="000D59FF" w:rsidP="000D59FF">
      <w:pPr>
        <w:pStyle w:val="SingleTxtG"/>
        <w:rPr>
          <w:lang w:val="es-ES_tradnl"/>
        </w:rPr>
      </w:pPr>
      <w:r w:rsidRPr="00322592">
        <w:rPr>
          <w:lang w:val="es-MX"/>
        </w:rPr>
        <w:tab/>
      </w:r>
      <w:r>
        <w:rPr>
          <w:lang w:val="es-MX"/>
        </w:rPr>
        <w:t>e</w:t>
      </w:r>
      <w:r w:rsidRPr="00322592">
        <w:rPr>
          <w:lang w:val="es-MX"/>
        </w:rPr>
        <w:t>)</w:t>
      </w:r>
      <w:r w:rsidRPr="00322592">
        <w:rPr>
          <w:lang w:val="es-MX"/>
        </w:rPr>
        <w:tab/>
        <w:t>L</w:t>
      </w:r>
      <w:r w:rsidRPr="00322592">
        <w:rPr>
          <w:lang w:val="es-ES_tradnl"/>
        </w:rPr>
        <w:t>a situación de las mujeres reclusas en la Penitenciaria Nacional Femenina de Adaptación Social y en otros 16</w:t>
      </w:r>
      <w:r>
        <w:rPr>
          <w:lang w:val="es-ES_tradnl"/>
        </w:rPr>
        <w:t xml:space="preserve"> </w:t>
      </w:r>
      <w:r w:rsidRPr="00322592">
        <w:rPr>
          <w:lang w:val="es-ES_tradnl"/>
        </w:rPr>
        <w:t xml:space="preserve">centros penitenciarios mixtos en el resto del país, que se enfrentan a la falta de seguridad, sanciones disciplinarias consistentes en </w:t>
      </w:r>
      <w:r>
        <w:rPr>
          <w:lang w:val="es-ES_tradnl"/>
        </w:rPr>
        <w:t xml:space="preserve">un régimen de </w:t>
      </w:r>
      <w:r w:rsidRPr="00322592">
        <w:rPr>
          <w:lang w:val="es-ES_tradnl"/>
        </w:rPr>
        <w:t xml:space="preserve">aislamiento prolongado, </w:t>
      </w:r>
      <w:r>
        <w:rPr>
          <w:lang w:val="es-ES_tradnl"/>
        </w:rPr>
        <w:t xml:space="preserve">el </w:t>
      </w:r>
      <w:r w:rsidRPr="00322592">
        <w:rPr>
          <w:lang w:val="es-ES_tradnl"/>
        </w:rPr>
        <w:t xml:space="preserve">acceso limitado a programas de reinserción social y laboral y </w:t>
      </w:r>
      <w:r>
        <w:rPr>
          <w:lang w:val="es-ES_tradnl"/>
        </w:rPr>
        <w:t xml:space="preserve">carencias en la </w:t>
      </w:r>
      <w:r w:rsidRPr="00322592">
        <w:rPr>
          <w:lang w:val="es-ES_tradnl"/>
        </w:rPr>
        <w:t>atención médica especializada con perspectiva de género</w:t>
      </w:r>
      <w:r w:rsidRPr="00322592">
        <w:rPr>
          <w:rStyle w:val="Refdenotaalpie"/>
          <w:lang w:val="es-ES_tradnl"/>
        </w:rPr>
        <w:footnoteReference w:id="21"/>
      </w:r>
      <w:r w:rsidRPr="00322592">
        <w:rPr>
          <w:lang w:val="es-ES_tradnl"/>
        </w:rPr>
        <w:t>;</w:t>
      </w:r>
    </w:p>
    <w:p w14:paraId="76743598" w14:textId="77777777" w:rsidR="000D59FF" w:rsidRPr="00322592" w:rsidRDefault="000D59FF" w:rsidP="000D59FF">
      <w:pPr>
        <w:pStyle w:val="SingleTxtG"/>
        <w:rPr>
          <w:lang w:val="es-MX"/>
        </w:rPr>
      </w:pPr>
      <w:r w:rsidRPr="00322592">
        <w:rPr>
          <w:lang w:val="es-ES_tradnl"/>
        </w:rPr>
        <w:tab/>
      </w:r>
      <w:r>
        <w:rPr>
          <w:lang w:val="es-ES_tradnl"/>
        </w:rPr>
        <w:t>f</w:t>
      </w:r>
      <w:r w:rsidRPr="00322592">
        <w:rPr>
          <w:lang w:val="es-ES_tradnl"/>
        </w:rPr>
        <w:t>)</w:t>
      </w:r>
      <w:r w:rsidRPr="00322592">
        <w:rPr>
          <w:lang w:val="es-ES_tradnl"/>
        </w:rPr>
        <w:tab/>
        <w:t xml:space="preserve">La situación de las personas lesbianas, gais, bisexuales y </w:t>
      </w:r>
      <w:r>
        <w:rPr>
          <w:lang w:val="es-ES_tradnl"/>
        </w:rPr>
        <w:t>transgénero</w:t>
      </w:r>
      <w:r w:rsidRPr="00322592">
        <w:rPr>
          <w:lang w:val="es-ES_tradnl"/>
        </w:rPr>
        <w:t xml:space="preserve"> privadas de libertad</w:t>
      </w:r>
      <w:r>
        <w:rPr>
          <w:lang w:val="es-ES_tradnl"/>
        </w:rPr>
        <w:t xml:space="preserve">, en particular la </w:t>
      </w:r>
      <w:r w:rsidRPr="00322592">
        <w:rPr>
          <w:lang w:val="es-ES_tradnl"/>
        </w:rPr>
        <w:t>discriminación</w:t>
      </w:r>
      <w:r>
        <w:rPr>
          <w:lang w:val="es-ES_tradnl"/>
        </w:rPr>
        <w:t xml:space="preserve"> que sufren</w:t>
      </w:r>
      <w:r w:rsidRPr="00322592">
        <w:rPr>
          <w:lang w:val="es-ES_tradnl"/>
        </w:rPr>
        <w:t xml:space="preserve"> y</w:t>
      </w:r>
      <w:r>
        <w:rPr>
          <w:lang w:val="es-ES_tradnl"/>
        </w:rPr>
        <w:t xml:space="preserve"> los</w:t>
      </w:r>
      <w:r w:rsidRPr="00322592">
        <w:rPr>
          <w:lang w:val="es-ES_tradnl"/>
        </w:rPr>
        <w:t xml:space="preserve"> malos tratos</w:t>
      </w:r>
      <w:r>
        <w:rPr>
          <w:lang w:val="es-ES_tradnl"/>
        </w:rPr>
        <w:t xml:space="preserve"> que reciben</w:t>
      </w:r>
      <w:r w:rsidRPr="00322592">
        <w:rPr>
          <w:lang w:val="es-ES_tradnl"/>
        </w:rPr>
        <w:t xml:space="preserve"> por parte de</w:t>
      </w:r>
      <w:r>
        <w:rPr>
          <w:lang w:val="es-ES_tradnl"/>
        </w:rPr>
        <w:t>l resto de</w:t>
      </w:r>
      <w:r w:rsidRPr="00322592">
        <w:rPr>
          <w:lang w:val="es-ES_tradnl"/>
        </w:rPr>
        <w:t xml:space="preserve"> la población reclusa y </w:t>
      </w:r>
      <w:r>
        <w:rPr>
          <w:lang w:val="es-ES_tradnl"/>
        </w:rPr>
        <w:t>d</w:t>
      </w:r>
      <w:r w:rsidRPr="00322592">
        <w:rPr>
          <w:lang w:val="es-ES_tradnl"/>
        </w:rPr>
        <w:t>el personal penitenciario (arts</w:t>
      </w:r>
      <w:r w:rsidRPr="00322592">
        <w:rPr>
          <w:rFonts w:eastAsia="Calibri"/>
          <w:lang w:val="es-ES_tradnl"/>
        </w:rPr>
        <w:t>.</w:t>
      </w:r>
      <w:r>
        <w:rPr>
          <w:rFonts w:eastAsia="Calibri"/>
          <w:lang w:val="es-ES_tradnl"/>
        </w:rPr>
        <w:t xml:space="preserve"> </w:t>
      </w:r>
      <w:r w:rsidRPr="00322592">
        <w:rPr>
          <w:rFonts w:eastAsia="Calibri"/>
          <w:lang w:val="es-ES_tradnl"/>
        </w:rPr>
        <w:t>2, 11 y 16).</w:t>
      </w:r>
    </w:p>
    <w:p w14:paraId="6338F5C3" w14:textId="77777777" w:rsidR="000D59FF" w:rsidRPr="00322592" w:rsidRDefault="000D59FF" w:rsidP="000D59FF">
      <w:pPr>
        <w:pStyle w:val="SingleTxtG"/>
        <w:rPr>
          <w:lang w:val="es-ES_tradnl"/>
        </w:rPr>
      </w:pPr>
      <w:r w:rsidRPr="00010098">
        <w:rPr>
          <w:lang w:val="es-ES_tradnl"/>
        </w:rPr>
        <w:t>19.</w:t>
      </w:r>
      <w:r w:rsidRPr="00322592">
        <w:rPr>
          <w:lang w:val="es-ES_tradnl"/>
        </w:rPr>
        <w:tab/>
      </w:r>
      <w:r w:rsidRPr="00FB22AF">
        <w:rPr>
          <w:b/>
          <w:bCs/>
          <w:lang w:val="es-ES_tradnl"/>
        </w:rPr>
        <w:t>El Estado parte debe:</w:t>
      </w:r>
    </w:p>
    <w:p w14:paraId="1B392943" w14:textId="77777777" w:rsidR="000D59FF" w:rsidRPr="00322592" w:rsidRDefault="000D59FF" w:rsidP="000D59FF">
      <w:pPr>
        <w:pStyle w:val="SingleTxtG"/>
        <w:rPr>
          <w:rFonts w:eastAsia="Calibri"/>
          <w:b/>
          <w:lang w:val="es-ES_tradnl"/>
        </w:rPr>
      </w:pPr>
      <w:r w:rsidRPr="00322592">
        <w:rPr>
          <w:rFonts w:eastAsia="Calibri"/>
          <w:b/>
          <w:lang w:val="es-ES_tradnl"/>
        </w:rPr>
        <w:tab/>
      </w:r>
      <w:r w:rsidRPr="005413B6">
        <w:rPr>
          <w:rFonts w:eastAsia="Calibri"/>
          <w:b/>
          <w:lang w:val="es-ES_tradnl"/>
        </w:rPr>
        <w:t>a)</w:t>
      </w:r>
      <w:r w:rsidRPr="00322592">
        <w:rPr>
          <w:rFonts w:eastAsia="Calibri"/>
          <w:b/>
          <w:lang w:val="es-ES_tradnl"/>
        </w:rPr>
        <w:tab/>
        <w:t xml:space="preserve">Adoptar medidas urgentes orientadas a eliminar </w:t>
      </w:r>
      <w:r>
        <w:rPr>
          <w:rFonts w:eastAsia="Calibri"/>
          <w:b/>
          <w:lang w:val="es-ES_tradnl"/>
        </w:rPr>
        <w:t>la sobreocupación</w:t>
      </w:r>
      <w:r w:rsidRPr="00322592">
        <w:rPr>
          <w:rFonts w:eastAsia="Calibri"/>
          <w:b/>
          <w:lang w:val="es-ES_tradnl"/>
        </w:rPr>
        <w:t xml:space="preserve"> de los centros penitenciarios, principalmente mediante el recurso a las medidas alternativas a las penas privativas de libertad. A este respecto, el Comité señala a la atención del Estado parte las Reglas Mínimas de las Naciones Unidas sobre las Medidas No Privativas de la Libertad y las Reglas de las Naciones Unidas para el Tratamiento de las Reclusas y Medidas No Privativas de la Libertad para las Mujeres Delincuentes (Reglas de Bangkok);</w:t>
      </w:r>
    </w:p>
    <w:p w14:paraId="7AF0A6A2" w14:textId="77777777" w:rsidR="000D59FF" w:rsidRDefault="000D59FF" w:rsidP="000D59FF">
      <w:pPr>
        <w:pStyle w:val="SingleTxtG"/>
        <w:rPr>
          <w:rFonts w:eastAsia="Calibri"/>
          <w:b/>
          <w:lang w:val="es-ES_tradnl"/>
        </w:rPr>
      </w:pPr>
      <w:r w:rsidRPr="00322592">
        <w:rPr>
          <w:rFonts w:eastAsia="Calibri"/>
          <w:b/>
          <w:lang w:val="es-ES_tradnl"/>
        </w:rPr>
        <w:tab/>
      </w:r>
      <w:r w:rsidRPr="005413B6">
        <w:rPr>
          <w:rFonts w:eastAsia="Calibri"/>
          <w:b/>
          <w:lang w:val="es-ES_tradnl"/>
        </w:rPr>
        <w:t>b)</w:t>
      </w:r>
      <w:r w:rsidRPr="00322592">
        <w:rPr>
          <w:rFonts w:eastAsia="Calibri"/>
          <w:b/>
          <w:lang w:val="es-ES_tradnl"/>
        </w:rPr>
        <w:tab/>
        <w:t>Adoptar medidas urgentes para subsanar cualquier carencia o deficiencia relacionada con las condiciones generales de vida en todos los centros de privación de libertad, conforme a lo dispuesto en las</w:t>
      </w:r>
      <w:r>
        <w:rPr>
          <w:rFonts w:eastAsia="Calibri"/>
          <w:b/>
          <w:lang w:val="es-ES_tradnl"/>
        </w:rPr>
        <w:t xml:space="preserve"> </w:t>
      </w:r>
      <w:r w:rsidRPr="00322592">
        <w:rPr>
          <w:rFonts w:eastAsia="Calibri"/>
          <w:b/>
          <w:lang w:val="es-ES_tradnl"/>
        </w:rPr>
        <w:t xml:space="preserve">Reglas Mínimas de las Naciones Unidas para el Tratamiento de los Reclusos, y velar por que la renovación de los centros penitenciarios existentes y la construcción de un nuevo centro penitenciario de máxima seguridad </w:t>
      </w:r>
      <w:r>
        <w:rPr>
          <w:rFonts w:eastAsia="Calibri"/>
          <w:b/>
          <w:lang w:val="es-ES_tradnl"/>
        </w:rPr>
        <w:t>se</w:t>
      </w:r>
      <w:r w:rsidRPr="00322592">
        <w:rPr>
          <w:rFonts w:eastAsia="Calibri"/>
          <w:b/>
          <w:lang w:val="es-ES_tradnl"/>
        </w:rPr>
        <w:t xml:space="preserve"> reali</w:t>
      </w:r>
      <w:r>
        <w:rPr>
          <w:rFonts w:eastAsia="Calibri"/>
          <w:b/>
          <w:lang w:val="es-ES_tradnl"/>
        </w:rPr>
        <w:t>cen</w:t>
      </w:r>
      <w:r w:rsidRPr="00322592">
        <w:rPr>
          <w:rFonts w:eastAsia="Calibri"/>
          <w:b/>
          <w:lang w:val="es-ES_tradnl"/>
        </w:rPr>
        <w:t xml:space="preserve"> de acuerdo con las normas internacionales en la materia;</w:t>
      </w:r>
    </w:p>
    <w:p w14:paraId="7D359700" w14:textId="77777777" w:rsidR="000D59FF" w:rsidRDefault="000D59FF" w:rsidP="000D59FF">
      <w:pPr>
        <w:pStyle w:val="SingleTxtG"/>
        <w:rPr>
          <w:rFonts w:eastAsia="Calibri"/>
          <w:b/>
          <w:lang w:val="es-ES_tradnl"/>
        </w:rPr>
      </w:pPr>
      <w:r>
        <w:rPr>
          <w:rFonts w:eastAsia="Calibri"/>
          <w:b/>
          <w:lang w:val="es-ES_tradnl"/>
        </w:rPr>
        <w:tab/>
      </w:r>
      <w:r w:rsidRPr="005413B6">
        <w:rPr>
          <w:rFonts w:eastAsia="Calibri"/>
          <w:b/>
          <w:lang w:val="es-ES_tradnl"/>
        </w:rPr>
        <w:t>c)</w:t>
      </w:r>
      <w:r w:rsidRPr="00322592">
        <w:rPr>
          <w:rFonts w:eastAsia="Calibri"/>
          <w:b/>
          <w:lang w:val="es-ES_tradnl"/>
        </w:rPr>
        <w:tab/>
        <w:t xml:space="preserve">Adoptar reformas legislativas y de otra índole </w:t>
      </w:r>
      <w:r>
        <w:rPr>
          <w:rFonts w:eastAsia="Calibri"/>
          <w:b/>
          <w:lang w:val="es-ES_tradnl"/>
        </w:rPr>
        <w:t xml:space="preserve">necesarias </w:t>
      </w:r>
      <w:r w:rsidRPr="00322592">
        <w:rPr>
          <w:rFonts w:eastAsia="Calibri"/>
          <w:b/>
          <w:lang w:val="es-ES_tradnl"/>
        </w:rPr>
        <w:t xml:space="preserve">para </w:t>
      </w:r>
      <w:r>
        <w:rPr>
          <w:rFonts w:eastAsia="Calibri"/>
          <w:b/>
          <w:lang w:val="es-ES_tradnl"/>
        </w:rPr>
        <w:t>garantizar</w:t>
      </w:r>
      <w:r w:rsidRPr="00322592">
        <w:rPr>
          <w:rFonts w:eastAsia="Calibri"/>
          <w:b/>
          <w:lang w:val="es-ES_tradnl"/>
        </w:rPr>
        <w:t xml:space="preserve"> que la medida de prisión preventiva no se aplique o prolongue en exceso;</w:t>
      </w:r>
    </w:p>
    <w:p w14:paraId="0BEEC879" w14:textId="77777777" w:rsidR="000D59FF" w:rsidRDefault="000D59FF" w:rsidP="000D59FF">
      <w:pPr>
        <w:pStyle w:val="SingleTxtG"/>
        <w:rPr>
          <w:rFonts w:eastAsia="Calibri"/>
          <w:b/>
          <w:lang w:val="es-ES_tradnl"/>
        </w:rPr>
      </w:pPr>
      <w:r>
        <w:rPr>
          <w:rFonts w:eastAsia="Calibri"/>
          <w:b/>
          <w:lang w:val="es-ES_tradnl"/>
        </w:rPr>
        <w:tab/>
      </w:r>
      <w:r w:rsidRPr="005413B6">
        <w:rPr>
          <w:rFonts w:eastAsia="Calibri"/>
          <w:b/>
          <w:lang w:val="es-ES_tradnl"/>
        </w:rPr>
        <w:t>d)</w:t>
      </w:r>
      <w:r w:rsidRPr="00322592">
        <w:rPr>
          <w:rFonts w:eastAsia="Calibri"/>
          <w:b/>
          <w:lang w:val="es-ES_tradnl"/>
        </w:rPr>
        <w:tab/>
      </w:r>
      <w:r w:rsidRPr="00536954">
        <w:rPr>
          <w:rFonts w:eastAsia="Calibri"/>
          <w:b/>
          <w:lang w:val="es-ES_tradnl"/>
        </w:rPr>
        <w:t xml:space="preserve">Garantizar que el control judicial de la detención y la evaluación de la legalidad de la </w:t>
      </w:r>
      <w:r>
        <w:rPr>
          <w:rFonts w:eastAsia="Calibri"/>
          <w:b/>
          <w:lang w:val="es-ES_tradnl"/>
        </w:rPr>
        <w:t>privación de libertad</w:t>
      </w:r>
      <w:r w:rsidRPr="00536954">
        <w:rPr>
          <w:rFonts w:eastAsia="Calibri"/>
          <w:b/>
          <w:lang w:val="es-ES_tradnl"/>
        </w:rPr>
        <w:t xml:space="preserve"> se lleven a cabo en presencia física del detenido de conformidad con las normas internacionales</w:t>
      </w:r>
      <w:r w:rsidRPr="00010098">
        <w:rPr>
          <w:rFonts w:eastAsia="Calibri"/>
          <w:vertAlign w:val="superscript"/>
        </w:rPr>
        <w:footnoteReference w:id="22"/>
      </w:r>
      <w:r>
        <w:rPr>
          <w:rFonts w:eastAsia="Calibri"/>
          <w:b/>
          <w:lang w:val="es-ES_tradnl"/>
        </w:rPr>
        <w:t>, y a</w:t>
      </w:r>
      <w:r w:rsidRPr="00536954">
        <w:rPr>
          <w:rFonts w:eastAsia="Calibri"/>
          <w:b/>
          <w:lang w:val="es-ES_tradnl"/>
        </w:rPr>
        <w:t>segurar que otros tipos de audiencias penales s</w:t>
      </w:r>
      <w:r>
        <w:rPr>
          <w:rFonts w:eastAsia="Calibri"/>
          <w:b/>
          <w:lang w:val="es-ES_tradnl"/>
        </w:rPr>
        <w:t>o</w:t>
      </w:r>
      <w:r w:rsidRPr="00536954">
        <w:rPr>
          <w:rFonts w:eastAsia="Calibri"/>
          <w:b/>
          <w:lang w:val="es-ES_tradnl"/>
        </w:rPr>
        <w:t xml:space="preserve">lo se lleven a cabo </w:t>
      </w:r>
      <w:r>
        <w:rPr>
          <w:rFonts w:eastAsia="Calibri"/>
          <w:b/>
          <w:lang w:val="es-ES_tradnl"/>
        </w:rPr>
        <w:t>mediante medios telemáticos</w:t>
      </w:r>
      <w:r w:rsidRPr="00536954">
        <w:rPr>
          <w:rFonts w:eastAsia="Calibri"/>
          <w:b/>
          <w:lang w:val="es-ES_tradnl"/>
        </w:rPr>
        <w:t xml:space="preserve"> con el consentimiento explícito, libre e informado de la persona acusada o </w:t>
      </w:r>
      <w:r>
        <w:rPr>
          <w:rFonts w:eastAsia="Calibri"/>
          <w:b/>
          <w:lang w:val="es-ES_tradnl"/>
        </w:rPr>
        <w:t>condenada</w:t>
      </w:r>
      <w:r w:rsidRPr="00536954">
        <w:rPr>
          <w:rFonts w:eastAsia="Calibri"/>
          <w:b/>
          <w:lang w:val="es-ES_tradnl"/>
        </w:rPr>
        <w:t xml:space="preserve"> y </w:t>
      </w:r>
      <w:r w:rsidRPr="00456C2C">
        <w:rPr>
          <w:rFonts w:eastAsia="Calibri"/>
          <w:b/>
          <w:lang w:val="es-ES_tradnl"/>
        </w:rPr>
        <w:t>observando las salvaguardias necesarias</w:t>
      </w:r>
      <w:r w:rsidRPr="00536954">
        <w:rPr>
          <w:rFonts w:eastAsia="Calibri"/>
          <w:b/>
          <w:lang w:val="es-ES_tradnl"/>
        </w:rPr>
        <w:t xml:space="preserve"> </w:t>
      </w:r>
      <w:r>
        <w:rPr>
          <w:rFonts w:eastAsia="Calibri"/>
          <w:b/>
          <w:lang w:val="es-ES_tradnl"/>
        </w:rPr>
        <w:t xml:space="preserve">y </w:t>
      </w:r>
      <w:r w:rsidRPr="00536954">
        <w:rPr>
          <w:rFonts w:eastAsia="Calibri"/>
          <w:b/>
          <w:lang w:val="es-ES_tradnl"/>
        </w:rPr>
        <w:t>las garantías de</w:t>
      </w:r>
      <w:r>
        <w:rPr>
          <w:rFonts w:eastAsia="Calibri"/>
          <w:b/>
          <w:lang w:val="es-ES_tradnl"/>
        </w:rPr>
        <w:t>l</w:t>
      </w:r>
      <w:r w:rsidRPr="00536954">
        <w:rPr>
          <w:rFonts w:eastAsia="Calibri"/>
          <w:b/>
          <w:lang w:val="es-ES_tradnl"/>
        </w:rPr>
        <w:t xml:space="preserve"> debido proceso. </w:t>
      </w:r>
      <w:r w:rsidRPr="00456C2C">
        <w:rPr>
          <w:rFonts w:eastAsia="Calibri"/>
          <w:b/>
          <w:lang w:val="es-ES_tradnl"/>
        </w:rPr>
        <w:t xml:space="preserve">En este sentido, se invita al Estado parte a consultar la nota </w:t>
      </w:r>
      <w:r w:rsidRPr="00885833">
        <w:rPr>
          <w:rFonts w:eastAsia="Calibri"/>
          <w:b/>
          <w:lang w:val="es-ES_tradnl"/>
        </w:rPr>
        <w:t>informativa</w:t>
      </w:r>
      <w:r w:rsidRPr="00FB22AF">
        <w:rPr>
          <w:b/>
        </w:rPr>
        <w:t xml:space="preserve"> de la </w:t>
      </w:r>
      <w:r w:rsidRPr="00885833">
        <w:rPr>
          <w:rFonts w:eastAsia="Calibri"/>
          <w:b/>
          <w:lang w:val="es-ES_tradnl"/>
        </w:rPr>
        <w:t>Oficina</w:t>
      </w:r>
      <w:r w:rsidRPr="007E2405">
        <w:rPr>
          <w:rFonts w:eastAsia="Calibri"/>
          <w:b/>
          <w:lang w:val="es-ES_tradnl"/>
        </w:rPr>
        <w:t xml:space="preserve"> de</w:t>
      </w:r>
      <w:r>
        <w:rPr>
          <w:rFonts w:eastAsia="Calibri"/>
          <w:b/>
          <w:lang w:val="es-ES_tradnl"/>
        </w:rPr>
        <w:t>l</w:t>
      </w:r>
      <w:r w:rsidRPr="007E2405">
        <w:rPr>
          <w:rFonts w:eastAsia="Calibri"/>
          <w:b/>
          <w:lang w:val="es-ES_tradnl"/>
        </w:rPr>
        <w:t xml:space="preserve"> Alto Comisionado de las Naciones Unidas para los Derechos Humanos</w:t>
      </w:r>
      <w:r w:rsidRPr="00456C2C">
        <w:rPr>
          <w:rFonts w:eastAsia="Calibri"/>
          <w:b/>
          <w:lang w:val="es-ES_tradnl"/>
        </w:rPr>
        <w:t xml:space="preserve"> sobre las </w:t>
      </w:r>
      <w:r>
        <w:rPr>
          <w:rFonts w:eastAsia="Calibri"/>
          <w:b/>
          <w:lang w:val="es-ES_tradnl"/>
        </w:rPr>
        <w:t>a</w:t>
      </w:r>
      <w:r w:rsidRPr="00456C2C">
        <w:rPr>
          <w:rFonts w:eastAsia="Calibri"/>
          <w:b/>
          <w:lang w:val="es-ES_tradnl"/>
        </w:rPr>
        <w:t>udiencias en línea en los sistemas judiciales</w:t>
      </w:r>
      <w:r w:rsidRPr="00010098">
        <w:rPr>
          <w:rFonts w:eastAsia="Calibri"/>
          <w:vertAlign w:val="superscript"/>
          <w:lang w:val="es-ES_tradnl"/>
        </w:rPr>
        <w:footnoteReference w:id="23"/>
      </w:r>
      <w:r w:rsidRPr="00456C2C">
        <w:rPr>
          <w:rFonts w:eastAsia="Calibri"/>
          <w:b/>
          <w:lang w:val="es-ES_tradnl"/>
        </w:rPr>
        <w:t>;</w:t>
      </w:r>
    </w:p>
    <w:p w14:paraId="628D8BF8" w14:textId="77777777" w:rsidR="000D59FF" w:rsidRDefault="000D59FF" w:rsidP="000D59FF">
      <w:pPr>
        <w:pStyle w:val="SingleTxtG"/>
        <w:rPr>
          <w:rFonts w:eastAsia="Calibri"/>
          <w:b/>
          <w:lang w:val="es-ES_tradnl"/>
        </w:rPr>
      </w:pPr>
      <w:r>
        <w:rPr>
          <w:rFonts w:eastAsia="Calibri"/>
          <w:b/>
          <w:lang w:val="es-ES_tradnl"/>
        </w:rPr>
        <w:tab/>
      </w:r>
      <w:r w:rsidRPr="005413B6">
        <w:rPr>
          <w:rFonts w:eastAsia="Calibri"/>
          <w:b/>
          <w:lang w:val="es-ES_tradnl"/>
        </w:rPr>
        <w:t>e)</w:t>
      </w:r>
      <w:r w:rsidRPr="00322592">
        <w:rPr>
          <w:rFonts w:eastAsia="Calibri"/>
          <w:b/>
          <w:lang w:val="es-ES_tradnl"/>
        </w:rPr>
        <w:tab/>
        <w:t xml:space="preserve">Garantizar sin demora la asignación de </w:t>
      </w:r>
      <w:r>
        <w:rPr>
          <w:rFonts w:eastAsia="Calibri"/>
          <w:b/>
          <w:lang w:val="es-ES_tradnl"/>
        </w:rPr>
        <w:t xml:space="preserve">los </w:t>
      </w:r>
      <w:r w:rsidRPr="00322592">
        <w:rPr>
          <w:rFonts w:eastAsia="Calibri"/>
          <w:b/>
          <w:lang w:val="es-ES_tradnl"/>
        </w:rPr>
        <w:t>recursos necesarios para la correcta atención médica, psicológica y sanitaria en todos los centros de detención;</w:t>
      </w:r>
    </w:p>
    <w:p w14:paraId="6B3F83E8" w14:textId="77777777" w:rsidR="000D59FF" w:rsidRPr="00322592" w:rsidRDefault="000D59FF" w:rsidP="000D59FF">
      <w:pPr>
        <w:pStyle w:val="SingleTxtG"/>
        <w:rPr>
          <w:rFonts w:eastAsia="Calibri"/>
          <w:b/>
          <w:lang w:val="es-ES_tradnl"/>
        </w:rPr>
      </w:pPr>
      <w:r>
        <w:rPr>
          <w:rFonts w:eastAsia="Calibri"/>
          <w:b/>
          <w:lang w:val="es-ES_tradnl"/>
        </w:rPr>
        <w:tab/>
      </w:r>
      <w:r w:rsidRPr="005413B6">
        <w:rPr>
          <w:rFonts w:eastAsia="Calibri"/>
          <w:b/>
          <w:lang w:val="es-ES_tradnl"/>
        </w:rPr>
        <w:t>f)</w:t>
      </w:r>
      <w:r w:rsidRPr="00322592">
        <w:rPr>
          <w:rFonts w:eastAsia="Calibri"/>
          <w:b/>
          <w:lang w:val="es-ES_tradnl"/>
        </w:rPr>
        <w:tab/>
      </w:r>
      <w:r>
        <w:rPr>
          <w:rFonts w:eastAsia="Calibri"/>
          <w:b/>
          <w:lang w:val="es-ES_tradnl"/>
        </w:rPr>
        <w:t xml:space="preserve">Velar por que las condiciones de detención de los centros penitenciarios de mujeres sean adecuadas y atiendan sus necesidades </w:t>
      </w:r>
      <w:r w:rsidRPr="00322592">
        <w:rPr>
          <w:rFonts w:eastAsia="Calibri"/>
          <w:b/>
          <w:lang w:val="es-ES_tradnl"/>
        </w:rPr>
        <w:t>específic</w:t>
      </w:r>
      <w:r>
        <w:rPr>
          <w:rFonts w:eastAsia="Calibri"/>
          <w:b/>
          <w:lang w:val="es-ES_tradnl"/>
        </w:rPr>
        <w:t>a</w:t>
      </w:r>
      <w:r w:rsidRPr="00322592">
        <w:rPr>
          <w:rFonts w:eastAsia="Calibri"/>
          <w:b/>
          <w:lang w:val="es-ES_tradnl"/>
        </w:rPr>
        <w:t xml:space="preserve">s </w:t>
      </w:r>
      <w:r>
        <w:rPr>
          <w:rFonts w:eastAsia="Calibri"/>
          <w:b/>
          <w:lang w:val="es-ES_tradnl"/>
        </w:rPr>
        <w:t>conforme a lo dispuesto en</w:t>
      </w:r>
      <w:r w:rsidRPr="00322592">
        <w:rPr>
          <w:rFonts w:eastAsia="Calibri"/>
          <w:b/>
          <w:lang w:val="es-ES_tradnl"/>
        </w:rPr>
        <w:t xml:space="preserve"> las Reglas de Bangkok</w:t>
      </w:r>
      <w:r>
        <w:rPr>
          <w:rFonts w:eastAsia="Calibri"/>
          <w:b/>
          <w:lang w:val="es-ES_tradnl"/>
        </w:rPr>
        <w:t>; debe cesar el uso del régimen de aislamiento prolongado como medida disciplinaria en estos centros</w:t>
      </w:r>
      <w:r w:rsidRPr="00322592">
        <w:rPr>
          <w:rFonts w:eastAsia="Calibri"/>
          <w:b/>
          <w:lang w:val="es-ES_tradnl"/>
        </w:rPr>
        <w:t>;</w:t>
      </w:r>
    </w:p>
    <w:p w14:paraId="7EB43AD0" w14:textId="77777777" w:rsidR="000D59FF" w:rsidRDefault="000D59FF" w:rsidP="000D59FF">
      <w:pPr>
        <w:pStyle w:val="SingleTxtG"/>
        <w:rPr>
          <w:rFonts w:eastAsia="Calibri"/>
          <w:b/>
          <w:lang w:val="es-ES_tradnl"/>
        </w:rPr>
      </w:pPr>
      <w:r w:rsidRPr="00322592">
        <w:rPr>
          <w:rFonts w:eastAsia="Calibri"/>
          <w:b/>
          <w:lang w:val="es-ES_tradnl"/>
        </w:rPr>
        <w:lastRenderedPageBreak/>
        <w:tab/>
      </w:r>
      <w:r w:rsidRPr="005413B6">
        <w:rPr>
          <w:rFonts w:eastAsia="Calibri"/>
          <w:b/>
          <w:lang w:val="es-ES_tradnl"/>
        </w:rPr>
        <w:t>g)</w:t>
      </w:r>
      <w:r w:rsidRPr="00322592">
        <w:rPr>
          <w:rFonts w:eastAsia="Calibri"/>
          <w:b/>
          <w:lang w:val="es-ES_tradnl"/>
        </w:rPr>
        <w:tab/>
        <w:t xml:space="preserve">Velar por que se </w:t>
      </w:r>
      <w:r>
        <w:rPr>
          <w:rFonts w:eastAsia="Calibri"/>
          <w:b/>
          <w:lang w:val="es-ES_tradnl"/>
        </w:rPr>
        <w:t>atiendan</w:t>
      </w:r>
      <w:r w:rsidRPr="00322592">
        <w:rPr>
          <w:rFonts w:eastAsia="Calibri"/>
          <w:b/>
          <w:lang w:val="es-ES_tradnl"/>
        </w:rPr>
        <w:t xml:space="preserve"> las necesidades específicas de las personas lesbianas, gais, bisexuales y tran</w:t>
      </w:r>
      <w:r>
        <w:rPr>
          <w:rFonts w:eastAsia="Calibri"/>
          <w:b/>
          <w:lang w:val="es-ES_tradnl"/>
        </w:rPr>
        <w:t>sgénero</w:t>
      </w:r>
      <w:r w:rsidRPr="00322592">
        <w:rPr>
          <w:rFonts w:eastAsia="Calibri"/>
          <w:b/>
          <w:lang w:val="es-ES_tradnl"/>
        </w:rPr>
        <w:t xml:space="preserve"> privadas de libertad, teniendo en cuenta su situación particular.</w:t>
      </w:r>
    </w:p>
    <w:p w14:paraId="63412E2E" w14:textId="77777777" w:rsidR="000D59FF" w:rsidRPr="00322592" w:rsidRDefault="000D59FF" w:rsidP="000D59FF">
      <w:pPr>
        <w:pStyle w:val="H23G"/>
        <w:rPr>
          <w:lang w:val="es-ES_tradnl"/>
        </w:rPr>
      </w:pPr>
      <w:r>
        <w:rPr>
          <w:lang w:val="es-ES_tradnl"/>
        </w:rPr>
        <w:tab/>
      </w:r>
      <w:r>
        <w:rPr>
          <w:lang w:val="es-ES_tradnl"/>
        </w:rPr>
        <w:tab/>
      </w:r>
      <w:r w:rsidRPr="00322592">
        <w:rPr>
          <w:lang w:val="es-ES_tradnl"/>
        </w:rPr>
        <w:t xml:space="preserve">Comité Nacional de Prevención </w:t>
      </w:r>
      <w:r>
        <w:rPr>
          <w:lang w:val="es-ES_tradnl"/>
        </w:rPr>
        <w:t>C</w:t>
      </w:r>
      <w:r w:rsidRPr="00322592">
        <w:rPr>
          <w:lang w:val="es-ES_tradnl"/>
        </w:rPr>
        <w:t>ontra la Tortura</w:t>
      </w:r>
      <w:r>
        <w:rPr>
          <w:lang w:val="es-ES_tradnl"/>
        </w:rPr>
        <w:t>, Tratos Crueles, Inhumanos o Degradantes</w:t>
      </w:r>
    </w:p>
    <w:p w14:paraId="569574D9" w14:textId="77777777" w:rsidR="000D59FF" w:rsidRPr="00750042" w:rsidRDefault="000D59FF" w:rsidP="000D59FF">
      <w:pPr>
        <w:pStyle w:val="SingleTxtG"/>
        <w:rPr>
          <w:rFonts w:asciiTheme="minorHAnsi" w:hAnsiTheme="minorHAnsi" w:cstheme="minorHAnsi"/>
          <w:sz w:val="18"/>
          <w:szCs w:val="18"/>
          <w:lang w:val="es-SV"/>
        </w:rPr>
      </w:pPr>
      <w:r w:rsidRPr="00322592">
        <w:rPr>
          <w:rFonts w:eastAsia="Calibri"/>
          <w:lang w:val="es-ES_tradnl"/>
        </w:rPr>
        <w:t xml:space="preserve">20. </w:t>
      </w:r>
      <w:r w:rsidRPr="00322592">
        <w:rPr>
          <w:rFonts w:eastAsia="Calibri"/>
          <w:lang w:val="es-ES_tradnl"/>
        </w:rPr>
        <w:tab/>
      </w:r>
      <w:r>
        <w:rPr>
          <w:rFonts w:eastAsia="Calibri"/>
          <w:lang w:val="es-ES_tradnl"/>
        </w:rPr>
        <w:t>E</w:t>
      </w:r>
      <w:r w:rsidRPr="00322592">
        <w:rPr>
          <w:rFonts w:eastAsia="Calibri"/>
          <w:lang w:val="es-ES_tradnl"/>
        </w:rPr>
        <w:t xml:space="preserve">l Comité </w:t>
      </w:r>
      <w:r>
        <w:rPr>
          <w:rFonts w:eastAsia="Calibri"/>
          <w:lang w:val="es-ES_tradnl"/>
        </w:rPr>
        <w:t xml:space="preserve">considera que el Comité Nacional de Prevención </w:t>
      </w:r>
      <w:r w:rsidRPr="00FB234C">
        <w:rPr>
          <w:rFonts w:eastAsia="Calibri"/>
          <w:lang w:val="es-ES_tradnl"/>
        </w:rPr>
        <w:t>Contra la Tortura, Tratos Crueles, Inhumanos o Degradantes</w:t>
      </w:r>
      <w:r w:rsidRPr="00FB234C" w:rsidDel="00FB234C">
        <w:rPr>
          <w:rFonts w:eastAsia="Calibri"/>
          <w:lang w:val="es-ES_tradnl"/>
        </w:rPr>
        <w:t xml:space="preserve"> </w:t>
      </w:r>
      <w:r>
        <w:rPr>
          <w:rFonts w:eastAsia="Calibri"/>
          <w:lang w:val="es-ES_tradnl"/>
        </w:rPr>
        <w:t>no cuenta con</w:t>
      </w:r>
      <w:r w:rsidRPr="00322592">
        <w:rPr>
          <w:rFonts w:eastAsia="Calibri"/>
          <w:lang w:val="es-ES_tradnl"/>
        </w:rPr>
        <w:t xml:space="preserve"> l</w:t>
      </w:r>
      <w:r>
        <w:rPr>
          <w:rFonts w:eastAsia="Calibri"/>
          <w:lang w:val="es-ES_tradnl"/>
        </w:rPr>
        <w:t xml:space="preserve">os recursos financieros y humanos suficientes, en particular personal técnico especializado, para el pleno </w:t>
      </w:r>
      <w:r w:rsidRPr="00322592">
        <w:rPr>
          <w:rFonts w:eastAsia="Calibri"/>
          <w:lang w:val="es-ES_tradnl"/>
        </w:rPr>
        <w:t>cumpli</w:t>
      </w:r>
      <w:r>
        <w:rPr>
          <w:rFonts w:eastAsia="Calibri"/>
          <w:lang w:val="es-ES_tradnl"/>
        </w:rPr>
        <w:t>miento</w:t>
      </w:r>
      <w:r w:rsidRPr="00322592">
        <w:rPr>
          <w:rFonts w:eastAsia="Calibri"/>
          <w:lang w:val="es-ES_tradnl"/>
        </w:rPr>
        <w:t xml:space="preserve"> </w:t>
      </w:r>
      <w:r>
        <w:rPr>
          <w:rFonts w:eastAsia="Calibri"/>
          <w:lang w:val="es-ES_tradnl"/>
        </w:rPr>
        <w:t xml:space="preserve">de </w:t>
      </w:r>
      <w:r w:rsidRPr="00322592">
        <w:rPr>
          <w:rFonts w:eastAsia="Calibri"/>
          <w:lang w:val="es-ES_tradnl"/>
        </w:rPr>
        <w:t>su mandato</w:t>
      </w:r>
      <w:r w:rsidRPr="00322592">
        <w:rPr>
          <w:rStyle w:val="Refdenotaalpie"/>
          <w:rFonts w:eastAsia="Calibri"/>
          <w:lang w:val="es-ES_tradnl"/>
        </w:rPr>
        <w:footnoteReference w:id="24"/>
      </w:r>
      <w:r>
        <w:rPr>
          <w:rFonts w:eastAsia="Calibri"/>
          <w:lang w:val="es-ES_tradnl"/>
        </w:rPr>
        <w:t>.</w:t>
      </w:r>
      <w:r w:rsidRPr="00322592">
        <w:rPr>
          <w:rFonts w:eastAsia="Calibri"/>
          <w:lang w:val="es-ES_tradnl"/>
        </w:rPr>
        <w:t xml:space="preserve"> </w:t>
      </w:r>
      <w:r>
        <w:rPr>
          <w:rFonts w:eastAsia="Calibri"/>
          <w:lang w:val="es-ES_tradnl"/>
        </w:rPr>
        <w:t>También</w:t>
      </w:r>
      <w:r w:rsidRPr="00750042">
        <w:rPr>
          <w:lang w:val="es-SV"/>
        </w:rPr>
        <w:t xml:space="preserve"> preocupa la falta de reglamentación para la </w:t>
      </w:r>
      <w:r>
        <w:rPr>
          <w:lang w:val="es-SV"/>
        </w:rPr>
        <w:t>s</w:t>
      </w:r>
      <w:r w:rsidRPr="00750042">
        <w:rPr>
          <w:lang w:val="es-SV"/>
        </w:rPr>
        <w:t>elección</w:t>
      </w:r>
      <w:r>
        <w:rPr>
          <w:lang w:val="es-SV"/>
        </w:rPr>
        <w:t xml:space="preserve"> y</w:t>
      </w:r>
      <w:r w:rsidRPr="00750042">
        <w:rPr>
          <w:lang w:val="es-SV"/>
        </w:rPr>
        <w:t xml:space="preserve"> nombramiento de los miembros de este órgano colegiado. El Comité lamenta que</w:t>
      </w:r>
      <w:r>
        <w:rPr>
          <w:lang w:val="es-SV"/>
        </w:rPr>
        <w:t>,</w:t>
      </w:r>
      <w:r w:rsidRPr="00750042">
        <w:rPr>
          <w:lang w:val="es-SV"/>
        </w:rPr>
        <w:t xml:space="preserve"> en ciertas ocasiones</w:t>
      </w:r>
      <w:r>
        <w:rPr>
          <w:lang w:val="es-SV"/>
        </w:rPr>
        <w:t xml:space="preserve">, a partir del estado de emergencia, </w:t>
      </w:r>
      <w:r w:rsidRPr="00750042">
        <w:rPr>
          <w:lang w:val="es-SV"/>
        </w:rPr>
        <w:t>las autoridades penitenciarias hayan obstaculizado al mecanismo nacional de prevención el acceso a centros carcelarios que iban a ser visitados sin previo aviso en el marco de actividades de vigilancia</w:t>
      </w:r>
      <w:r w:rsidRPr="00322592">
        <w:rPr>
          <w:rStyle w:val="Refdenotaalpie"/>
          <w:rFonts w:cstheme="minorHAnsi"/>
          <w:szCs w:val="18"/>
        </w:rPr>
        <w:footnoteReference w:id="25"/>
      </w:r>
      <w:r w:rsidRPr="00750042">
        <w:rPr>
          <w:lang w:val="es-SV"/>
        </w:rPr>
        <w:t xml:space="preserve"> (art. 2).</w:t>
      </w:r>
      <w:r w:rsidRPr="00750042">
        <w:rPr>
          <w:rFonts w:asciiTheme="minorHAnsi" w:hAnsiTheme="minorHAnsi" w:cstheme="minorHAnsi"/>
          <w:sz w:val="18"/>
          <w:szCs w:val="18"/>
          <w:lang w:val="es-SV"/>
        </w:rPr>
        <w:t xml:space="preserve"> </w:t>
      </w:r>
    </w:p>
    <w:p w14:paraId="3EB09661" w14:textId="77777777" w:rsidR="000D59FF" w:rsidRPr="00750042" w:rsidRDefault="000D59FF" w:rsidP="000D59FF">
      <w:pPr>
        <w:pStyle w:val="SingleTxtG"/>
        <w:rPr>
          <w:b/>
          <w:bCs/>
          <w:lang w:val="es-SV"/>
        </w:rPr>
      </w:pPr>
      <w:r w:rsidRPr="00322592">
        <w:rPr>
          <w:rFonts w:eastAsia="Calibri"/>
          <w:lang w:val="es-ES_tradnl"/>
        </w:rPr>
        <w:t>21.</w:t>
      </w:r>
      <w:r w:rsidRPr="00322592">
        <w:rPr>
          <w:rFonts w:eastAsia="Calibri"/>
          <w:lang w:val="es-ES_tradnl"/>
        </w:rPr>
        <w:tab/>
      </w:r>
      <w:r w:rsidRPr="00750042">
        <w:rPr>
          <w:b/>
          <w:bCs/>
          <w:lang w:val="es-SV"/>
        </w:rPr>
        <w:t xml:space="preserve">El Estado parte debe velar por que el </w:t>
      </w:r>
      <w:r w:rsidRPr="00322592">
        <w:rPr>
          <w:rFonts w:eastAsia="Calibri"/>
          <w:b/>
          <w:bCs/>
          <w:lang w:val="es-ES_tradnl"/>
        </w:rPr>
        <w:t xml:space="preserve">mecanismo nacional de prevención </w:t>
      </w:r>
      <w:r w:rsidRPr="00750042">
        <w:rPr>
          <w:b/>
          <w:bCs/>
          <w:lang w:val="es-SV"/>
        </w:rPr>
        <w:t xml:space="preserve">cuente con los recursos financieros, humanos y materiales necesarios para el desempeño de su mandato de forma efectiva, goce de libre acceso a todos los lugares de privación de libertad sin previo aviso, se le permita mantener reuniones confidenciales con las personas detenidas y pueda realizar un seguimiento de la aplicación de sus recomendaciones por parte de las autoridades competentes. El Estado parte debe reglamentar la selección y el nombramiento de los miembros del Comité Nacional de Prevención </w:t>
      </w:r>
      <w:r w:rsidRPr="000A4617">
        <w:rPr>
          <w:b/>
          <w:bCs/>
          <w:lang w:val="es-SV"/>
        </w:rPr>
        <w:t>Contra la Tortura, Tratos Crueles, Inhumanos o Degradantes</w:t>
      </w:r>
      <w:r w:rsidRPr="00750042">
        <w:rPr>
          <w:b/>
          <w:bCs/>
          <w:lang w:val="es-SV"/>
        </w:rPr>
        <w:t xml:space="preserve"> conforme a lo dispuesto en las Directrices relativas a los mecanismos nacionales de prevención del Subcomité para la Prevención de la Tortura y Otros Tratos o Penas Crueles, Inhumanos o Degradantes</w:t>
      </w:r>
      <w:r w:rsidRPr="00FB22AF">
        <w:rPr>
          <w:rStyle w:val="Refdenotaalpie"/>
        </w:rPr>
        <w:footnoteReference w:id="26"/>
      </w:r>
      <w:r w:rsidRPr="00750042">
        <w:rPr>
          <w:b/>
          <w:bCs/>
          <w:lang w:val="es-SV"/>
        </w:rPr>
        <w:t xml:space="preserve">. </w:t>
      </w:r>
    </w:p>
    <w:p w14:paraId="1785D025" w14:textId="77777777" w:rsidR="000D59FF" w:rsidRDefault="000D59FF" w:rsidP="000D59FF">
      <w:pPr>
        <w:pStyle w:val="H23G"/>
        <w:rPr>
          <w:lang w:val="es-ES_tradnl"/>
        </w:rPr>
      </w:pPr>
      <w:r>
        <w:rPr>
          <w:lang w:val="es-ES_tradnl"/>
        </w:rPr>
        <w:tab/>
      </w:r>
      <w:r>
        <w:rPr>
          <w:lang w:val="es-ES_tradnl"/>
        </w:rPr>
        <w:tab/>
      </w:r>
      <w:r w:rsidRPr="00322592">
        <w:rPr>
          <w:lang w:val="es-ES_tradnl"/>
        </w:rPr>
        <w:t xml:space="preserve">Presentación de denuncias e investigaciones de actos de tortura y malos tratos </w:t>
      </w:r>
    </w:p>
    <w:p w14:paraId="038EEB2B" w14:textId="77777777" w:rsidR="000D59FF" w:rsidRPr="004208EA" w:rsidRDefault="000D59FF" w:rsidP="000D59FF">
      <w:pPr>
        <w:pStyle w:val="SingleTxtG"/>
        <w:rPr>
          <w:rFonts w:eastAsia="Calibri"/>
          <w:b/>
          <w:bCs/>
          <w:lang w:val="es-ES_tradnl"/>
        </w:rPr>
      </w:pPr>
      <w:r w:rsidRPr="00C341E1">
        <w:rPr>
          <w:rFonts w:eastAsia="Calibri"/>
          <w:lang w:val="es-ES_tradnl"/>
        </w:rPr>
        <w:t>22.</w:t>
      </w:r>
      <w:r w:rsidRPr="00C341E1">
        <w:rPr>
          <w:rFonts w:eastAsia="Calibri"/>
          <w:lang w:val="es-ES_tradnl"/>
        </w:rPr>
        <w:tab/>
      </w:r>
      <w:r w:rsidRPr="006C0E8C">
        <w:rPr>
          <w:rFonts w:eastAsia="Calibri"/>
          <w:lang w:val="es-ES_tradnl"/>
        </w:rPr>
        <w:t>Preocupan a</w:t>
      </w:r>
      <w:r w:rsidRPr="006C0E8C">
        <w:rPr>
          <w:rFonts w:asciiTheme="majorBidi" w:hAnsiTheme="majorBidi" w:cstheme="majorBidi"/>
          <w:lang w:val="es-SV"/>
        </w:rPr>
        <w:t xml:space="preserve">l Comité los informes en los que se señala </w:t>
      </w:r>
      <w:r w:rsidRPr="006C0E8C">
        <w:rPr>
          <w:lang w:val="es-SV"/>
        </w:rPr>
        <w:t xml:space="preserve">la aparente ausencia de un </w:t>
      </w:r>
      <w:r w:rsidRPr="006C0E8C">
        <w:rPr>
          <w:rFonts w:asciiTheme="majorBidi" w:hAnsiTheme="majorBidi" w:cstheme="majorBidi"/>
          <w:lang w:val="es-SV"/>
        </w:rPr>
        <w:t>mecanismo accesible y confidencial para la denuncia de abusos en el interior de los centros de privación de libertad</w:t>
      </w:r>
      <w:r w:rsidRPr="006C0E8C">
        <w:rPr>
          <w:lang w:val="es-SV"/>
        </w:rPr>
        <w:t>. El Comité</w:t>
      </w:r>
      <w:r w:rsidRPr="00750042">
        <w:rPr>
          <w:lang w:val="es-SV"/>
        </w:rPr>
        <w:t xml:space="preserve"> también expresa su preocupación por los escasos recursos de los que disponen las fiscalías especializadas del Ministerio Público, incluida la Fiscalía Especial de Derechos Humanos</w:t>
      </w:r>
      <w:r w:rsidRPr="00322592">
        <w:rPr>
          <w:rStyle w:val="Refdenotaalpie"/>
        </w:rPr>
        <w:footnoteReference w:id="27"/>
      </w:r>
      <w:r>
        <w:rPr>
          <w:lang w:val="es-SV"/>
        </w:rPr>
        <w:t>;</w:t>
      </w:r>
      <w:r w:rsidRPr="00750042">
        <w:rPr>
          <w:lang w:val="es-SV"/>
        </w:rPr>
        <w:t xml:space="preserve"> </w:t>
      </w:r>
      <w:r w:rsidRPr="00750042">
        <w:rPr>
          <w:rFonts w:asciiTheme="majorBidi" w:hAnsiTheme="majorBidi" w:cstheme="majorBidi"/>
          <w:lang w:val="es-SV"/>
        </w:rPr>
        <w:t xml:space="preserve">la falta de medios de la Dirección de Medicina Forense del Ministerio Público, así como </w:t>
      </w:r>
      <w:r w:rsidRPr="00750042">
        <w:rPr>
          <w:lang w:val="es-SV"/>
        </w:rPr>
        <w:t xml:space="preserve">la sujeción jerárquica de dicho ente respecto de los fiscales encargados de la investigación de casos de tortura y malos tratos. También preocupan </w:t>
      </w:r>
      <w:r w:rsidRPr="00750042">
        <w:rPr>
          <w:rFonts w:asciiTheme="majorBidi" w:hAnsiTheme="majorBidi" w:cstheme="majorBidi"/>
          <w:lang w:val="es-SV"/>
        </w:rPr>
        <w:t>los informes en los que se sostiene que ni jueces ni fiscales investigan a fondo las denuncias de tortura de las que tienen conocimiento o excluyen pruebas cuando los dictámenes médico</w:t>
      </w:r>
      <w:r>
        <w:rPr>
          <w:rFonts w:asciiTheme="majorBidi" w:hAnsiTheme="majorBidi" w:cstheme="majorBidi"/>
          <w:lang w:val="es-SV"/>
        </w:rPr>
        <w:noBreakHyphen/>
      </w:r>
      <w:r w:rsidRPr="00750042">
        <w:rPr>
          <w:rFonts w:asciiTheme="majorBidi" w:hAnsiTheme="majorBidi" w:cstheme="majorBidi"/>
          <w:lang w:val="es-SV"/>
        </w:rPr>
        <w:t>psicológicos arrojan resultados en principio negativos, trasladando la carga de la prueba a las presuntas víctimas. Por otro lado, la eficacia del programa de protección de víctimas y testigos del Ministerio Público también es motivo de preocupación. Asimismo, p</w:t>
      </w:r>
      <w:r w:rsidRPr="00750042">
        <w:rPr>
          <w:lang w:val="es-SV"/>
        </w:rPr>
        <w:t>reocupa al Comité e</w:t>
      </w:r>
      <w:r w:rsidRPr="00750042">
        <w:rPr>
          <w:rFonts w:asciiTheme="majorBidi" w:hAnsiTheme="majorBidi" w:cstheme="majorBidi"/>
          <w:lang w:val="es-SV"/>
        </w:rPr>
        <w:t xml:space="preserve">l </w:t>
      </w:r>
      <w:r w:rsidRPr="00750042">
        <w:rPr>
          <w:lang w:val="es-SV"/>
        </w:rPr>
        <w:t>número inferior de denuncias de</w:t>
      </w:r>
      <w:r w:rsidRPr="00750042">
        <w:rPr>
          <w:rFonts w:asciiTheme="majorBidi" w:hAnsiTheme="majorBidi" w:cstheme="majorBidi"/>
          <w:lang w:val="es-SV"/>
        </w:rPr>
        <w:t xml:space="preserve"> tortura y malos tratos</w:t>
      </w:r>
      <w:r w:rsidRPr="00750042">
        <w:rPr>
          <w:lang w:val="es-SV"/>
        </w:rPr>
        <w:t xml:space="preserve"> oficialmente presentadas por parte de las víctimas debido al temor a represalias o desconfianza</w:t>
      </w:r>
      <w:r w:rsidRPr="00750042">
        <w:rPr>
          <w:rFonts w:asciiTheme="majorBidi" w:hAnsiTheme="majorBidi" w:cstheme="majorBidi"/>
          <w:lang w:val="es-SV"/>
        </w:rPr>
        <w:t xml:space="preserve">, el bajo índice de investigaciones y enjuiciamientos frente al número de casos registrados, así como </w:t>
      </w:r>
      <w:r w:rsidRPr="00750042">
        <w:rPr>
          <w:lang w:val="es-SV"/>
        </w:rPr>
        <w:t>demoras procesales injustificadas, que contribuye a crear un clima de impunidad</w:t>
      </w:r>
      <w:r>
        <w:rPr>
          <w:lang w:val="es-SV"/>
        </w:rPr>
        <w:t xml:space="preserve">. De </w:t>
      </w:r>
      <w:r w:rsidRPr="00750042">
        <w:rPr>
          <w:lang w:val="es-SV"/>
        </w:rPr>
        <w:t>conform</w:t>
      </w:r>
      <w:r>
        <w:rPr>
          <w:lang w:val="es-SV"/>
        </w:rPr>
        <w:t>idad</w:t>
      </w:r>
      <w:r w:rsidRPr="00750042">
        <w:rPr>
          <w:lang w:val="es-SV"/>
        </w:rPr>
        <w:t xml:space="preserve"> </w:t>
      </w:r>
      <w:r>
        <w:rPr>
          <w:lang w:val="es-SV"/>
        </w:rPr>
        <w:t>con</w:t>
      </w:r>
      <w:r w:rsidRPr="00750042">
        <w:rPr>
          <w:lang w:val="es-SV"/>
        </w:rPr>
        <w:t xml:space="preserve"> la información facilitada por la delegación del Estado parte, desde 2018 se habrían registrado 529</w:t>
      </w:r>
      <w:r>
        <w:rPr>
          <w:lang w:val="es-SV"/>
        </w:rPr>
        <w:t xml:space="preserve"> </w:t>
      </w:r>
      <w:r w:rsidRPr="00750042">
        <w:rPr>
          <w:lang w:val="es-SV"/>
        </w:rPr>
        <w:t>denuncias de tortura y malos tratos</w:t>
      </w:r>
      <w:r>
        <w:rPr>
          <w:lang w:val="es-SV"/>
        </w:rPr>
        <w:t>,</w:t>
      </w:r>
      <w:r w:rsidRPr="00750042">
        <w:rPr>
          <w:lang w:val="es-SV"/>
        </w:rPr>
        <w:t xml:space="preserve"> habiéndose incoado 75</w:t>
      </w:r>
      <w:r>
        <w:rPr>
          <w:lang w:val="es-SV"/>
        </w:rPr>
        <w:t xml:space="preserve"> </w:t>
      </w:r>
      <w:r w:rsidRPr="00750042">
        <w:rPr>
          <w:lang w:val="es-SV"/>
        </w:rPr>
        <w:t xml:space="preserve">procesos judiciales y dictado </w:t>
      </w:r>
      <w:r>
        <w:rPr>
          <w:lang w:val="es-SV"/>
        </w:rPr>
        <w:t>10</w:t>
      </w:r>
      <w:r w:rsidRPr="00750042">
        <w:rPr>
          <w:lang w:val="es-SV"/>
        </w:rPr>
        <w:t xml:space="preserve"> sentencias condenatorias</w:t>
      </w:r>
      <w:r w:rsidRPr="00750042">
        <w:rPr>
          <w:rFonts w:asciiTheme="majorBidi" w:hAnsiTheme="majorBidi" w:cstheme="majorBidi"/>
          <w:lang w:val="es-SV"/>
        </w:rPr>
        <w:t>. Por último, el Comité lamenta l</w:t>
      </w:r>
      <w:r w:rsidRPr="00322592">
        <w:rPr>
          <w:rFonts w:eastAsia="Calibri"/>
          <w:lang w:val="es-ES_tradnl"/>
        </w:rPr>
        <w:t xml:space="preserve">a escasa información relativa a la formación obligatoria y continua del personal médico </w:t>
      </w:r>
      <w:r>
        <w:rPr>
          <w:rFonts w:eastAsia="Calibri"/>
          <w:lang w:val="es-ES_tradnl"/>
        </w:rPr>
        <w:t xml:space="preserve">que se encuentra </w:t>
      </w:r>
      <w:r w:rsidRPr="00322592">
        <w:rPr>
          <w:rFonts w:eastAsia="Calibri"/>
          <w:lang w:val="es-ES_tradnl"/>
        </w:rPr>
        <w:t>en contacto con personas privadas de libertad y los</w:t>
      </w:r>
      <w:r w:rsidRPr="00322592">
        <w:rPr>
          <w:rFonts w:eastAsia="Calibri"/>
          <w:bCs/>
          <w:lang w:val="es-ES_tradnl"/>
        </w:rPr>
        <w:t xml:space="preserve"> programas de capacitación </w:t>
      </w:r>
      <w:r>
        <w:rPr>
          <w:rFonts w:eastAsia="Calibri"/>
          <w:bCs/>
          <w:lang w:val="es-ES_tradnl"/>
        </w:rPr>
        <w:t>destinados a</w:t>
      </w:r>
      <w:r w:rsidRPr="00322592">
        <w:rPr>
          <w:rFonts w:eastAsia="Calibri"/>
          <w:bCs/>
          <w:lang w:val="es-ES_tradnl"/>
        </w:rPr>
        <w:t xml:space="preserve"> jueces y fiscales </w:t>
      </w:r>
      <w:r>
        <w:rPr>
          <w:rFonts w:eastAsia="Calibri"/>
          <w:lang w:val="es-ES_tradnl"/>
        </w:rPr>
        <w:t>en</w:t>
      </w:r>
      <w:r w:rsidRPr="00322592">
        <w:rPr>
          <w:rFonts w:eastAsia="Calibri"/>
          <w:lang w:val="es-ES_tradnl"/>
        </w:rPr>
        <w:t xml:space="preserve"> detec</w:t>
      </w:r>
      <w:r>
        <w:rPr>
          <w:rFonts w:eastAsia="Calibri"/>
          <w:lang w:val="es-ES_tradnl"/>
        </w:rPr>
        <w:t>ción</w:t>
      </w:r>
      <w:r w:rsidRPr="00322592">
        <w:rPr>
          <w:rFonts w:eastAsia="Calibri"/>
          <w:lang w:val="es-ES_tradnl"/>
        </w:rPr>
        <w:t>, documenta</w:t>
      </w:r>
      <w:r>
        <w:rPr>
          <w:rFonts w:eastAsia="Calibri"/>
          <w:lang w:val="es-ES_tradnl"/>
        </w:rPr>
        <w:t>ción</w:t>
      </w:r>
      <w:r w:rsidRPr="00322592">
        <w:rPr>
          <w:rFonts w:eastAsia="Calibri"/>
          <w:lang w:val="es-ES_tradnl"/>
        </w:rPr>
        <w:t xml:space="preserve"> e investiga</w:t>
      </w:r>
      <w:r>
        <w:rPr>
          <w:rFonts w:eastAsia="Calibri"/>
          <w:lang w:val="es-ES_tradnl"/>
        </w:rPr>
        <w:t>ción de</w:t>
      </w:r>
      <w:r w:rsidRPr="00322592">
        <w:rPr>
          <w:rFonts w:eastAsia="Calibri"/>
          <w:lang w:val="es-ES_tradnl"/>
        </w:rPr>
        <w:t xml:space="preserve"> casos de tortura, tanto física como psicológica, y malos tratos</w:t>
      </w:r>
      <w:r w:rsidRPr="00750042">
        <w:rPr>
          <w:rFonts w:asciiTheme="majorBidi" w:hAnsiTheme="majorBidi" w:cstheme="majorBidi"/>
          <w:lang w:val="es-SV"/>
        </w:rPr>
        <w:t xml:space="preserve"> (arts. 2, 10</w:t>
      </w:r>
      <w:r>
        <w:rPr>
          <w:rFonts w:asciiTheme="majorBidi" w:hAnsiTheme="majorBidi" w:cstheme="majorBidi"/>
          <w:lang w:val="es-SV"/>
        </w:rPr>
        <w:t xml:space="preserve"> a </w:t>
      </w:r>
      <w:r w:rsidRPr="00750042">
        <w:rPr>
          <w:rFonts w:asciiTheme="majorBidi" w:hAnsiTheme="majorBidi" w:cstheme="majorBidi"/>
          <w:lang w:val="es-SV"/>
        </w:rPr>
        <w:t>14 y 16).</w:t>
      </w:r>
    </w:p>
    <w:p w14:paraId="1CE08E4A" w14:textId="77777777" w:rsidR="000D59FF" w:rsidRPr="00750042" w:rsidRDefault="000D59FF" w:rsidP="00061197">
      <w:pPr>
        <w:pStyle w:val="SingleTxtG"/>
        <w:keepNext/>
        <w:keepLines/>
        <w:rPr>
          <w:lang w:val="es-SV"/>
        </w:rPr>
      </w:pPr>
      <w:r w:rsidRPr="00750042">
        <w:rPr>
          <w:lang w:val="es-SV"/>
        </w:rPr>
        <w:lastRenderedPageBreak/>
        <w:t xml:space="preserve">23. </w:t>
      </w:r>
      <w:r w:rsidRPr="00750042">
        <w:rPr>
          <w:lang w:val="es-SV"/>
        </w:rPr>
        <w:tab/>
      </w:r>
      <w:r w:rsidRPr="00FB22AF">
        <w:rPr>
          <w:b/>
          <w:bCs/>
          <w:lang w:val="es-SV"/>
        </w:rPr>
        <w:t>El Estado parte debe:</w:t>
      </w:r>
      <w:r w:rsidRPr="00750042">
        <w:rPr>
          <w:lang w:val="es-SV"/>
        </w:rPr>
        <w:t xml:space="preserve"> </w:t>
      </w:r>
    </w:p>
    <w:p w14:paraId="6DBF732A" w14:textId="77777777" w:rsidR="000D59FF" w:rsidRPr="00322592" w:rsidRDefault="000D59FF" w:rsidP="000D59FF">
      <w:pPr>
        <w:pStyle w:val="SingleTxtG"/>
        <w:rPr>
          <w:b/>
          <w:lang w:val="es-ES_tradnl"/>
        </w:rPr>
      </w:pPr>
      <w:r w:rsidRPr="00750042">
        <w:rPr>
          <w:b/>
          <w:bCs/>
          <w:lang w:val="es-SV"/>
        </w:rPr>
        <w:tab/>
        <w:t>a)</w:t>
      </w:r>
      <w:r w:rsidRPr="00750042">
        <w:rPr>
          <w:b/>
          <w:bCs/>
          <w:lang w:val="es-SV"/>
        </w:rPr>
        <w:tab/>
      </w:r>
      <w:r w:rsidRPr="00FB22AF">
        <w:rPr>
          <w:b/>
          <w:bCs/>
          <w:lang w:val="es-ES_tradnl"/>
        </w:rPr>
        <w:t>A</w:t>
      </w:r>
      <w:r w:rsidRPr="00A31B34">
        <w:rPr>
          <w:b/>
          <w:lang w:val="es-ES_tradnl"/>
        </w:rPr>
        <w:t>doptar</w:t>
      </w:r>
      <w:r w:rsidRPr="00322592">
        <w:rPr>
          <w:b/>
          <w:lang w:val="es-ES_tradnl"/>
        </w:rPr>
        <w:t xml:space="preserve"> las medidas necesarias para </w:t>
      </w:r>
      <w:r>
        <w:rPr>
          <w:b/>
          <w:lang w:val="es-ES_tradnl"/>
        </w:rPr>
        <w:t>establecer</w:t>
      </w:r>
      <w:r w:rsidRPr="00322592">
        <w:rPr>
          <w:b/>
          <w:lang w:val="es-ES_tradnl"/>
        </w:rPr>
        <w:t xml:space="preserve"> un sistema eficaz, independiente, seguro y accesible </w:t>
      </w:r>
      <w:r>
        <w:rPr>
          <w:b/>
          <w:lang w:val="es-ES_tradnl"/>
        </w:rPr>
        <w:t>para la</w:t>
      </w:r>
      <w:r w:rsidRPr="00322592">
        <w:rPr>
          <w:b/>
          <w:lang w:val="es-ES_tradnl"/>
        </w:rPr>
        <w:t xml:space="preserve"> denuncia </w:t>
      </w:r>
      <w:r>
        <w:rPr>
          <w:b/>
          <w:lang w:val="es-ES_tradnl"/>
        </w:rPr>
        <w:t>de tortura, malos tratos y otros abusos</w:t>
      </w:r>
      <w:r w:rsidRPr="00322592">
        <w:rPr>
          <w:b/>
          <w:lang w:val="es-ES_tradnl"/>
        </w:rPr>
        <w:t xml:space="preserve"> en los centros de privación de libertad y garantizar que las personas privadas </w:t>
      </w:r>
      <w:r w:rsidRPr="00FB22AF">
        <w:rPr>
          <w:b/>
          <w:bCs/>
          <w:lang w:val="es-SV"/>
        </w:rPr>
        <w:t>de</w:t>
      </w:r>
      <w:r w:rsidRPr="00322592">
        <w:rPr>
          <w:b/>
          <w:lang w:val="es-ES_tradnl"/>
        </w:rPr>
        <w:t xml:space="preserve"> libertad que formulen denuncias no sean objeto de represalias; </w:t>
      </w:r>
    </w:p>
    <w:p w14:paraId="64B1FAA2" w14:textId="77777777" w:rsidR="000D59FF" w:rsidRPr="00322592" w:rsidRDefault="000D59FF" w:rsidP="000D59FF">
      <w:pPr>
        <w:pStyle w:val="SingleTxtG"/>
        <w:rPr>
          <w:rFonts w:eastAsia="Arial"/>
          <w:b/>
          <w:lang w:val="es-ES_tradnl"/>
        </w:rPr>
      </w:pPr>
      <w:r w:rsidRPr="00322592">
        <w:rPr>
          <w:b/>
          <w:lang w:val="es-ES_tradnl"/>
        </w:rPr>
        <w:tab/>
        <w:t xml:space="preserve">b) </w:t>
      </w:r>
      <w:r w:rsidRPr="00322592">
        <w:rPr>
          <w:b/>
          <w:lang w:val="es-ES_tradnl"/>
        </w:rPr>
        <w:tab/>
        <w:t xml:space="preserve">Velar por que todas las denuncias de tortura y malos tratos infligidos por </w:t>
      </w:r>
      <w:r w:rsidRPr="00FB22AF">
        <w:rPr>
          <w:b/>
          <w:bCs/>
          <w:lang w:val="es-SV"/>
        </w:rPr>
        <w:t>agentes</w:t>
      </w:r>
      <w:r w:rsidRPr="00322592">
        <w:rPr>
          <w:b/>
          <w:lang w:val="es-ES_tradnl"/>
        </w:rPr>
        <w:t xml:space="preserve"> estatales sean investigadas sin demora y de forma imparcial por un organismo independiente, y por que no exista ninguna relación institucional o jerárquica entre los investigadores de dicho organismo y los presuntos autores de es</w:t>
      </w:r>
      <w:r>
        <w:rPr>
          <w:b/>
          <w:lang w:val="es-ES_tradnl"/>
        </w:rPr>
        <w:t>t</w:t>
      </w:r>
      <w:r w:rsidRPr="00322592">
        <w:rPr>
          <w:b/>
          <w:lang w:val="es-ES_tradnl"/>
        </w:rPr>
        <w:t>os actos</w:t>
      </w:r>
      <w:r>
        <w:rPr>
          <w:b/>
          <w:lang w:val="es-ES_tradnl"/>
        </w:rPr>
        <w:t>. E</w:t>
      </w:r>
      <w:r w:rsidRPr="00322592">
        <w:rPr>
          <w:b/>
          <w:lang w:val="es-ES_tradnl"/>
        </w:rPr>
        <w:t xml:space="preserve">l Estado parte </w:t>
      </w:r>
      <w:r>
        <w:rPr>
          <w:b/>
          <w:lang w:val="es-ES_tradnl"/>
        </w:rPr>
        <w:t xml:space="preserve">también </w:t>
      </w:r>
      <w:r w:rsidRPr="00322592">
        <w:rPr>
          <w:b/>
          <w:lang w:val="es-ES_tradnl"/>
        </w:rPr>
        <w:t xml:space="preserve">debe </w:t>
      </w:r>
      <w:r w:rsidRPr="00322592">
        <w:rPr>
          <w:rFonts w:eastAsia="Arial"/>
          <w:b/>
          <w:lang w:val="es-ES_tradnl"/>
        </w:rPr>
        <w:t xml:space="preserve">garantizar y </w:t>
      </w:r>
      <w:r w:rsidRPr="004F2BE5">
        <w:rPr>
          <w:rFonts w:eastAsia="Arial"/>
          <w:b/>
          <w:lang w:val="es-ES_tradnl"/>
        </w:rPr>
        <w:t>fortalecer</w:t>
      </w:r>
      <w:r w:rsidRPr="00750042">
        <w:rPr>
          <w:b/>
          <w:lang w:val="es-SV"/>
        </w:rPr>
        <w:t xml:space="preserve"> las fiscalías especializadas del Ministerio Público </w:t>
      </w:r>
      <w:r w:rsidRPr="00322592">
        <w:rPr>
          <w:rFonts w:eastAsia="Arial"/>
          <w:b/>
          <w:lang w:val="es-ES_tradnl"/>
        </w:rPr>
        <w:t>asegurando una dotación adecuada de personal y recursos de investigación;</w:t>
      </w:r>
    </w:p>
    <w:p w14:paraId="1AE8F3BE" w14:textId="77777777" w:rsidR="000D59FF" w:rsidRPr="00322592" w:rsidRDefault="000D59FF" w:rsidP="000D59FF">
      <w:pPr>
        <w:pStyle w:val="SingleTxtG"/>
        <w:rPr>
          <w:b/>
          <w:lang w:val="es-ES_tradnl"/>
        </w:rPr>
      </w:pPr>
      <w:r w:rsidRPr="00322592">
        <w:rPr>
          <w:b/>
          <w:lang w:val="es-ES_tradnl"/>
        </w:rPr>
        <w:tab/>
        <w:t>c)</w:t>
      </w:r>
      <w:r w:rsidRPr="00322592">
        <w:rPr>
          <w:b/>
          <w:lang w:val="es-ES_tradnl"/>
        </w:rPr>
        <w:tab/>
        <w:t xml:space="preserve">Velar por que la carga de la prueba no </w:t>
      </w:r>
      <w:r>
        <w:rPr>
          <w:b/>
          <w:lang w:val="es-ES_tradnl"/>
        </w:rPr>
        <w:t xml:space="preserve">recaiga </w:t>
      </w:r>
      <w:r w:rsidRPr="00322592">
        <w:rPr>
          <w:b/>
          <w:lang w:val="es-ES_tradnl"/>
        </w:rPr>
        <w:t>en las presuntas víctimas</w:t>
      </w:r>
      <w:r>
        <w:rPr>
          <w:b/>
          <w:lang w:val="es-ES_tradnl"/>
        </w:rPr>
        <w:t xml:space="preserve"> de torturas o malos tratos</w:t>
      </w:r>
      <w:r w:rsidRPr="00322592">
        <w:rPr>
          <w:b/>
          <w:lang w:val="es-ES_tradnl"/>
        </w:rPr>
        <w:t xml:space="preserve"> y asegurar que se respete el justo valor probatorio de los </w:t>
      </w:r>
      <w:r w:rsidRPr="00FB22AF">
        <w:rPr>
          <w:b/>
          <w:bCs/>
          <w:lang w:val="es-SV"/>
        </w:rPr>
        <w:t>informes</w:t>
      </w:r>
      <w:r w:rsidRPr="00322592">
        <w:rPr>
          <w:b/>
          <w:lang w:val="es-ES_tradnl"/>
        </w:rPr>
        <w:t xml:space="preserve"> de peritos médicos y psicólogos independientes acreditados; </w:t>
      </w:r>
    </w:p>
    <w:p w14:paraId="75DB8029" w14:textId="77777777" w:rsidR="000D59FF" w:rsidRPr="00750042" w:rsidRDefault="000D59FF" w:rsidP="000D59FF">
      <w:pPr>
        <w:pStyle w:val="SingleTxtG"/>
        <w:rPr>
          <w:rFonts w:asciiTheme="majorBidi" w:hAnsiTheme="majorBidi" w:cstheme="majorBidi"/>
          <w:b/>
          <w:bCs/>
          <w:lang w:val="es-SV"/>
        </w:rPr>
      </w:pPr>
      <w:r w:rsidRPr="00750042">
        <w:rPr>
          <w:rFonts w:asciiTheme="majorBidi" w:hAnsiTheme="majorBidi" w:cstheme="majorBidi"/>
          <w:b/>
          <w:bCs/>
          <w:lang w:val="es-SV"/>
        </w:rPr>
        <w:tab/>
        <w:t xml:space="preserve">d) </w:t>
      </w:r>
      <w:r w:rsidRPr="00750042">
        <w:rPr>
          <w:rFonts w:asciiTheme="majorBidi" w:hAnsiTheme="majorBidi" w:cstheme="majorBidi"/>
          <w:b/>
          <w:bCs/>
          <w:lang w:val="es-SV"/>
        </w:rPr>
        <w:tab/>
        <w:t xml:space="preserve">Velar por que todas las personas que estén siendo investigadas por haber </w:t>
      </w:r>
      <w:r w:rsidRPr="00FB22AF">
        <w:rPr>
          <w:b/>
          <w:bCs/>
          <w:lang w:val="es-SV"/>
        </w:rPr>
        <w:t>cometido</w:t>
      </w:r>
      <w:r w:rsidRPr="00750042">
        <w:rPr>
          <w:rFonts w:asciiTheme="majorBidi" w:hAnsiTheme="majorBidi" w:cstheme="majorBidi"/>
          <w:b/>
          <w:bCs/>
          <w:lang w:val="es-SV"/>
        </w:rPr>
        <w:t xml:space="preserve"> presuntamente actos de tortura o malos tratos sean suspendidas de sus funciones de inmediato y durante toda la investigación, al tiempo que se garantiza la presunción de inocencia; </w:t>
      </w:r>
    </w:p>
    <w:p w14:paraId="00D09152" w14:textId="77777777" w:rsidR="000D59FF" w:rsidRPr="00750042" w:rsidRDefault="000D59FF" w:rsidP="000D59FF">
      <w:pPr>
        <w:pStyle w:val="SingleTxtG"/>
        <w:rPr>
          <w:rFonts w:ascii="Garamond" w:hAnsi="Garamond"/>
          <w:lang w:val="es-SV"/>
        </w:rPr>
      </w:pPr>
      <w:r w:rsidRPr="00750042">
        <w:rPr>
          <w:rFonts w:asciiTheme="majorBidi" w:hAnsiTheme="majorBidi" w:cstheme="majorBidi"/>
          <w:b/>
          <w:bCs/>
          <w:lang w:val="es-SV"/>
        </w:rPr>
        <w:tab/>
        <w:t>e)</w:t>
      </w:r>
      <w:r w:rsidRPr="00750042">
        <w:rPr>
          <w:rFonts w:asciiTheme="majorBidi" w:hAnsiTheme="majorBidi" w:cstheme="majorBidi"/>
          <w:b/>
          <w:bCs/>
          <w:lang w:val="es-SV"/>
        </w:rPr>
        <w:tab/>
        <w:t>Realizar una evaluación del programa de protección de víctimas y testigos del Ministerio Público, y fortalecer los mecanismos de protección de operadores de justicia y denunciantes, garantizando su efectividad;</w:t>
      </w:r>
    </w:p>
    <w:p w14:paraId="5C63A3F8" w14:textId="77777777" w:rsidR="000D59FF" w:rsidRPr="00750042" w:rsidRDefault="000D59FF" w:rsidP="000D59FF">
      <w:pPr>
        <w:pStyle w:val="SingleTxtG"/>
        <w:rPr>
          <w:rFonts w:asciiTheme="majorBidi" w:hAnsiTheme="majorBidi" w:cstheme="majorBidi"/>
          <w:b/>
          <w:bCs/>
          <w:lang w:val="es-SV"/>
        </w:rPr>
      </w:pPr>
      <w:r w:rsidRPr="00750042">
        <w:rPr>
          <w:rFonts w:asciiTheme="majorBidi" w:hAnsiTheme="majorBidi" w:cstheme="majorBidi"/>
          <w:b/>
          <w:bCs/>
          <w:lang w:val="es-SV"/>
        </w:rPr>
        <w:tab/>
      </w:r>
      <w:r w:rsidRPr="00E837E0">
        <w:rPr>
          <w:rFonts w:asciiTheme="majorBidi" w:hAnsiTheme="majorBidi" w:cstheme="majorBidi"/>
          <w:b/>
          <w:bCs/>
          <w:lang w:val="es-SV"/>
        </w:rPr>
        <w:t>f)</w:t>
      </w:r>
      <w:r w:rsidRPr="00E837E0">
        <w:rPr>
          <w:rFonts w:asciiTheme="majorBidi" w:hAnsiTheme="majorBidi" w:cstheme="majorBidi"/>
          <w:b/>
          <w:bCs/>
          <w:lang w:val="es-SV"/>
        </w:rPr>
        <w:tab/>
        <w:t xml:space="preserve">Garantizar que la Dirección de Medicina Forense del Ministerio Público </w:t>
      </w:r>
      <w:r w:rsidRPr="00FB22AF">
        <w:rPr>
          <w:b/>
          <w:bCs/>
          <w:lang w:val="es-SV"/>
        </w:rPr>
        <w:t>tenga</w:t>
      </w:r>
      <w:r w:rsidRPr="00E837E0">
        <w:rPr>
          <w:rFonts w:asciiTheme="majorBidi" w:hAnsiTheme="majorBidi" w:cstheme="majorBidi"/>
          <w:b/>
          <w:bCs/>
          <w:lang w:val="es-SV"/>
        </w:rPr>
        <w:t xml:space="preserve"> autonomía funcional e independencia operativa, y adoptar todas</w:t>
      </w:r>
      <w:r w:rsidRPr="00750042">
        <w:rPr>
          <w:rFonts w:asciiTheme="majorBidi" w:hAnsiTheme="majorBidi" w:cstheme="majorBidi"/>
          <w:b/>
          <w:bCs/>
          <w:lang w:val="es-SV"/>
        </w:rPr>
        <w:t xml:space="preserve"> las medidas necesarias para asegurar la asignación de los recursos humanos y financieros adecuados a este ente</w:t>
      </w:r>
      <w:r>
        <w:rPr>
          <w:rFonts w:asciiTheme="majorBidi" w:hAnsiTheme="majorBidi" w:cstheme="majorBidi"/>
          <w:b/>
          <w:bCs/>
          <w:lang w:val="es-SV"/>
        </w:rPr>
        <w:t xml:space="preserve">; así como </w:t>
      </w:r>
      <w:r w:rsidRPr="00750042">
        <w:rPr>
          <w:rFonts w:asciiTheme="majorBidi" w:hAnsiTheme="majorBidi" w:cstheme="majorBidi"/>
          <w:b/>
          <w:bCs/>
          <w:lang w:val="es-SV"/>
        </w:rPr>
        <w:t>que las investigaciones de actos de tortura y malos tratos incluyan un peritaje forense realizado por personal formado en el uso d</w:t>
      </w:r>
      <w:r w:rsidRPr="00322592">
        <w:rPr>
          <w:b/>
          <w:lang w:val="es-ES_tradnl"/>
        </w:rPr>
        <w:t xml:space="preserve">el </w:t>
      </w:r>
      <w:r w:rsidRPr="00750042">
        <w:rPr>
          <w:rFonts w:asciiTheme="majorBidi" w:hAnsiTheme="majorBidi" w:cstheme="majorBidi"/>
          <w:b/>
          <w:bCs/>
          <w:lang w:val="es-SV"/>
        </w:rPr>
        <w:t>Protocolo de Estambul y del Protocolo de Minnesota</w:t>
      </w:r>
      <w:r w:rsidRPr="009A6C50">
        <w:rPr>
          <w:rFonts w:asciiTheme="majorBidi" w:hAnsiTheme="majorBidi" w:cstheme="majorBidi"/>
          <w:b/>
          <w:bCs/>
          <w:lang w:val="es-SV"/>
        </w:rPr>
        <w:t xml:space="preserve"> sobre la Investigación de Muertes Potencialmente Ilícitas</w:t>
      </w:r>
      <w:r w:rsidRPr="00750042">
        <w:rPr>
          <w:rFonts w:asciiTheme="majorBidi" w:hAnsiTheme="majorBidi" w:cstheme="majorBidi"/>
          <w:b/>
          <w:bCs/>
          <w:lang w:val="es-SV"/>
        </w:rPr>
        <w:t xml:space="preserve">; </w:t>
      </w:r>
    </w:p>
    <w:p w14:paraId="75964F3D" w14:textId="77777777" w:rsidR="000D59FF" w:rsidRPr="00322592" w:rsidRDefault="000D59FF" w:rsidP="000D59FF">
      <w:pPr>
        <w:pStyle w:val="SingleTxtG"/>
        <w:rPr>
          <w:rFonts w:eastAsia="Calibri"/>
          <w:b/>
          <w:bCs/>
          <w:lang w:val="es-ES_tradnl"/>
        </w:rPr>
      </w:pPr>
      <w:r w:rsidRPr="00750042">
        <w:rPr>
          <w:rFonts w:ascii="__Roboto_Fallback_a64b99" w:hAnsi="__Roboto_Fallback_a64b99"/>
          <w:b/>
          <w:bCs/>
          <w:color w:val="505050"/>
          <w:sz w:val="26"/>
          <w:szCs w:val="26"/>
          <w:shd w:val="clear" w:color="auto" w:fill="FFFFFF"/>
          <w:lang w:val="es-SV"/>
        </w:rPr>
        <w:tab/>
      </w:r>
      <w:r>
        <w:rPr>
          <w:rFonts w:eastAsia="Calibri"/>
          <w:b/>
          <w:bCs/>
          <w:lang w:val="es-ES_tradnl"/>
        </w:rPr>
        <w:t>g</w:t>
      </w:r>
      <w:r w:rsidRPr="00322592">
        <w:rPr>
          <w:rFonts w:eastAsia="Calibri"/>
          <w:b/>
          <w:bCs/>
          <w:lang w:val="es-ES_tradnl"/>
        </w:rPr>
        <w:t>)</w:t>
      </w:r>
      <w:r w:rsidRPr="00322592">
        <w:rPr>
          <w:rFonts w:eastAsia="Calibri"/>
          <w:b/>
          <w:bCs/>
          <w:lang w:val="es-ES_tradnl"/>
        </w:rPr>
        <w:tab/>
        <w:t>Incorporar sistemáticamente los programas de formación de todo el personal pertinente, incluidos el personal médico, las fuerzas de seguridad, los fiscales y los jueces, que participe en la custodia y el tratamiento de cualquier persona detenida, recluida o encarcelada</w:t>
      </w:r>
      <w:r>
        <w:rPr>
          <w:rFonts w:eastAsia="Calibri"/>
          <w:b/>
          <w:bCs/>
          <w:lang w:val="es-ES_tradnl"/>
        </w:rPr>
        <w:t>,</w:t>
      </w:r>
      <w:r w:rsidRPr="00322592">
        <w:rPr>
          <w:rFonts w:eastAsia="Calibri"/>
          <w:b/>
          <w:bCs/>
          <w:lang w:val="es-ES_tradnl"/>
        </w:rPr>
        <w:t xml:space="preserve"> sobre la detección, la documentación y la investigación de casos de tortura y malos tratos, de conformidad con </w:t>
      </w:r>
      <w:r>
        <w:rPr>
          <w:rFonts w:eastAsia="Calibri"/>
          <w:b/>
          <w:bCs/>
          <w:lang w:val="es-ES_tradnl"/>
        </w:rPr>
        <w:t>la versión revisada del</w:t>
      </w:r>
      <w:r w:rsidRPr="00322592">
        <w:rPr>
          <w:rFonts w:eastAsia="Calibri"/>
          <w:b/>
          <w:bCs/>
          <w:lang w:val="es-ES_tradnl"/>
        </w:rPr>
        <w:t xml:space="preserve"> Protocolo de Estambul. </w:t>
      </w:r>
    </w:p>
    <w:p w14:paraId="226ABCEA" w14:textId="77777777" w:rsidR="000D59FF" w:rsidRPr="00322592" w:rsidRDefault="000D59FF" w:rsidP="000D59FF">
      <w:pPr>
        <w:pStyle w:val="H23G"/>
        <w:rPr>
          <w:lang w:val="es-ES_tradnl"/>
        </w:rPr>
      </w:pPr>
      <w:r>
        <w:rPr>
          <w:lang w:val="es-ES_tradnl"/>
        </w:rPr>
        <w:tab/>
      </w:r>
      <w:r>
        <w:rPr>
          <w:lang w:val="es-ES_tradnl"/>
        </w:rPr>
        <w:tab/>
      </w:r>
      <w:r w:rsidRPr="00322592">
        <w:rPr>
          <w:lang w:val="es-ES_tradnl"/>
        </w:rPr>
        <w:t>Justicia juvenil</w:t>
      </w:r>
    </w:p>
    <w:p w14:paraId="73DE2A42" w14:textId="77777777" w:rsidR="000D59FF" w:rsidRPr="00322592" w:rsidRDefault="000D59FF" w:rsidP="000D59FF">
      <w:pPr>
        <w:pStyle w:val="SingleTxtG"/>
        <w:rPr>
          <w:rFonts w:eastAsia="Calibri"/>
          <w:bCs/>
          <w:lang w:val="es-ES_tradnl"/>
        </w:rPr>
      </w:pPr>
      <w:r w:rsidRPr="00750042">
        <w:rPr>
          <w:rFonts w:eastAsia="Calibri"/>
          <w:bCs/>
          <w:lang w:val="es-SV"/>
        </w:rPr>
        <w:t>24.</w:t>
      </w:r>
      <w:r w:rsidRPr="00322592">
        <w:rPr>
          <w:rFonts w:eastAsia="Calibri"/>
          <w:bCs/>
          <w:lang w:val="es-ES_tradnl"/>
        </w:rPr>
        <w:tab/>
        <w:t>Si bien toma nota de la información facilitada por la delegación sobre las medidas adoptadas en el ámbito de justicia juvenil, al Comité le preocupan las informaciones que indi</w:t>
      </w:r>
      <w:r w:rsidRPr="00E837E0">
        <w:rPr>
          <w:rFonts w:eastAsia="Calibri"/>
          <w:bCs/>
          <w:lang w:val="es-ES_tradnl"/>
        </w:rPr>
        <w:t xml:space="preserve">can que los niños y </w:t>
      </w:r>
      <w:r>
        <w:rPr>
          <w:rFonts w:eastAsia="Calibri"/>
          <w:bCs/>
          <w:lang w:val="es-ES_tradnl"/>
        </w:rPr>
        <w:t xml:space="preserve">las </w:t>
      </w:r>
      <w:r w:rsidRPr="00E837E0">
        <w:rPr>
          <w:rFonts w:eastAsia="Calibri"/>
          <w:bCs/>
          <w:lang w:val="es-ES_tradnl"/>
        </w:rPr>
        <w:t>niñas</w:t>
      </w:r>
      <w:r w:rsidRPr="00322592">
        <w:rPr>
          <w:rFonts w:eastAsia="Calibri"/>
          <w:bCs/>
          <w:lang w:val="es-ES_tradnl"/>
        </w:rPr>
        <w:t xml:space="preserve"> privados de libertad en el Centro Pedagógico de Internamiento Jalteva suelen ser objeto de </w:t>
      </w:r>
      <w:r>
        <w:rPr>
          <w:rFonts w:eastAsia="Calibri"/>
          <w:bCs/>
          <w:lang w:val="es-ES_tradnl"/>
        </w:rPr>
        <w:t xml:space="preserve">agresiones </w:t>
      </w:r>
      <w:r w:rsidRPr="00322592">
        <w:rPr>
          <w:rFonts w:eastAsia="Calibri"/>
          <w:bCs/>
          <w:lang w:val="es-ES_tradnl"/>
        </w:rPr>
        <w:t>violen</w:t>
      </w:r>
      <w:r>
        <w:rPr>
          <w:rFonts w:eastAsia="Calibri"/>
          <w:bCs/>
          <w:lang w:val="es-ES_tradnl"/>
        </w:rPr>
        <w:t>t</w:t>
      </w:r>
      <w:r w:rsidRPr="00322592">
        <w:rPr>
          <w:rFonts w:eastAsia="Calibri"/>
          <w:bCs/>
          <w:lang w:val="es-ES_tradnl"/>
        </w:rPr>
        <w:t>a</w:t>
      </w:r>
      <w:r>
        <w:rPr>
          <w:rFonts w:eastAsia="Calibri"/>
          <w:bCs/>
          <w:lang w:val="es-ES_tradnl"/>
        </w:rPr>
        <w:t>s</w:t>
      </w:r>
      <w:r w:rsidRPr="00322592">
        <w:rPr>
          <w:rFonts w:eastAsia="Calibri"/>
          <w:bCs/>
          <w:lang w:val="es-ES_tradnl"/>
        </w:rPr>
        <w:t xml:space="preserve"> y que se encuentran en aislamiento prolongado colectivo cumpliendo medidas cautelares o sanciones bajo un régimen de máxima seguridad. También le preocupa la información recibida sobre las condiciones materiales </w:t>
      </w:r>
      <w:r w:rsidRPr="00FA5EBC">
        <w:rPr>
          <w:rFonts w:eastAsia="Calibri"/>
          <w:bCs/>
          <w:lang w:val="es-ES_tradnl"/>
        </w:rPr>
        <w:t xml:space="preserve">inadecuadas </w:t>
      </w:r>
      <w:r w:rsidRPr="00322592">
        <w:rPr>
          <w:rFonts w:eastAsia="Calibri"/>
          <w:bCs/>
          <w:lang w:val="es-ES_tradnl"/>
        </w:rPr>
        <w:t>de las celdas de dicho centro,</w:t>
      </w:r>
      <w:r>
        <w:rPr>
          <w:rFonts w:eastAsia="Calibri"/>
          <w:bCs/>
          <w:lang w:val="es-ES_tradnl"/>
        </w:rPr>
        <w:t xml:space="preserve"> </w:t>
      </w:r>
      <w:r w:rsidRPr="00322592">
        <w:rPr>
          <w:rFonts w:eastAsia="Calibri"/>
          <w:bCs/>
          <w:lang w:val="es-ES_tradnl"/>
        </w:rPr>
        <w:t>así</w:t>
      </w:r>
      <w:r>
        <w:rPr>
          <w:rFonts w:eastAsia="Calibri"/>
          <w:bCs/>
          <w:lang w:val="es-ES_tradnl"/>
        </w:rPr>
        <w:t xml:space="preserve"> </w:t>
      </w:r>
      <w:r w:rsidRPr="00322592">
        <w:rPr>
          <w:rFonts w:eastAsia="Calibri"/>
          <w:bCs/>
          <w:lang w:val="es-ES_tradnl"/>
        </w:rPr>
        <w:t>como la falta de acceso a programas educativos y de rehabilitación adecuados. Por último, observa con preocupación que el artículo 180 del Código de la Niñez y la Adolescencia fija la edad mínima de responsabilidad penal en 12 años (arts. 2, 11 y 16).</w:t>
      </w:r>
    </w:p>
    <w:p w14:paraId="2D080A3B" w14:textId="77777777" w:rsidR="000D59FF" w:rsidRPr="00322592" w:rsidRDefault="000D59FF" w:rsidP="000D59FF">
      <w:pPr>
        <w:pStyle w:val="SingleTxtG"/>
        <w:rPr>
          <w:rFonts w:eastAsia="Calibri"/>
          <w:b/>
          <w:lang w:val="es-ES_tradnl"/>
        </w:rPr>
      </w:pPr>
      <w:r w:rsidRPr="00322592">
        <w:rPr>
          <w:rFonts w:eastAsia="Calibri"/>
          <w:bCs/>
          <w:lang w:val="es-ES_tradnl"/>
        </w:rPr>
        <w:t>25.</w:t>
      </w:r>
      <w:r w:rsidRPr="00322592">
        <w:rPr>
          <w:rFonts w:eastAsia="Calibri"/>
          <w:bCs/>
          <w:lang w:val="es-ES_tradnl"/>
        </w:rPr>
        <w:tab/>
      </w:r>
      <w:r w:rsidRPr="00322592">
        <w:rPr>
          <w:rFonts w:eastAsia="Calibri"/>
          <w:b/>
          <w:lang w:val="es-ES_tradnl"/>
        </w:rPr>
        <w:t xml:space="preserve">El Estado parte debe garantizar </w:t>
      </w:r>
      <w:r w:rsidRPr="00E837E0">
        <w:rPr>
          <w:rFonts w:eastAsia="Calibri"/>
          <w:b/>
          <w:lang w:val="es-ES_tradnl"/>
        </w:rPr>
        <w:t xml:space="preserve">que los </w:t>
      </w:r>
      <w:r w:rsidRPr="00F667CD">
        <w:rPr>
          <w:rFonts w:eastAsia="Calibri"/>
          <w:b/>
          <w:lang w:val="es-ES_tradnl"/>
        </w:rPr>
        <w:t>niños y</w:t>
      </w:r>
      <w:r>
        <w:rPr>
          <w:rFonts w:eastAsia="Calibri"/>
          <w:b/>
          <w:lang w:val="es-ES_tradnl"/>
        </w:rPr>
        <w:t xml:space="preserve"> las</w:t>
      </w:r>
      <w:r w:rsidRPr="00F667CD">
        <w:rPr>
          <w:rFonts w:eastAsia="Calibri"/>
          <w:b/>
          <w:lang w:val="es-ES_tradnl"/>
        </w:rPr>
        <w:t xml:space="preserve"> niñas</w:t>
      </w:r>
      <w:r w:rsidRPr="00E837E0">
        <w:rPr>
          <w:rFonts w:eastAsia="Calibri"/>
          <w:b/>
          <w:lang w:val="es-ES_tradnl"/>
        </w:rPr>
        <w:t xml:space="preserve"> en conflicto </w:t>
      </w:r>
      <w:r w:rsidRPr="00F667CD">
        <w:rPr>
          <w:rFonts w:eastAsia="Calibri"/>
          <w:b/>
          <w:lang w:val="es-ES_tradnl"/>
        </w:rPr>
        <w:t xml:space="preserve">con la ley sean recluidos como medida de último recurso y por el período más breve posible y </w:t>
      </w:r>
      <w:r>
        <w:rPr>
          <w:rFonts w:eastAsia="Calibri"/>
          <w:b/>
          <w:lang w:val="es-ES_tradnl"/>
        </w:rPr>
        <w:t xml:space="preserve">debe </w:t>
      </w:r>
      <w:r w:rsidRPr="00F667CD">
        <w:rPr>
          <w:rFonts w:eastAsia="Calibri"/>
          <w:b/>
          <w:lang w:val="es-ES_tradnl"/>
        </w:rPr>
        <w:t xml:space="preserve">velar por que las condiciones de detención en los centros de internamiento cumplan con las normas internacionales de derechos humanos, en particular las Reglas Mínimas de las Naciones Unidas para la Administración de la Justicia de Menores. Asimismo, debe investigar y enjuiciar a los responsables de malos tratos a niños y niñas privados de libertad, y abstenerse de aplicar un régimen de aislamiento prolongado como sanción colectiva a los niños y </w:t>
      </w:r>
      <w:r>
        <w:rPr>
          <w:rFonts w:eastAsia="Calibri"/>
          <w:b/>
          <w:lang w:val="es-ES_tradnl"/>
        </w:rPr>
        <w:t xml:space="preserve">las </w:t>
      </w:r>
      <w:r w:rsidRPr="00F667CD">
        <w:rPr>
          <w:rFonts w:eastAsia="Calibri"/>
          <w:b/>
          <w:lang w:val="es-ES_tradnl"/>
        </w:rPr>
        <w:t>niñas internados en el Centro Pedagógico de Internamiento Jalteva. También se alienta al Estado parte a elevar la edad</w:t>
      </w:r>
      <w:r w:rsidRPr="00322592">
        <w:rPr>
          <w:rFonts w:eastAsia="Calibri"/>
          <w:b/>
          <w:lang w:val="es-ES_tradnl"/>
        </w:rPr>
        <w:t xml:space="preserve"> mínima de responsabilidad penal a un nivel internacionalmente aceptable, como recomienda el </w:t>
      </w:r>
      <w:bookmarkStart w:id="3" w:name="_Hlk165565758"/>
      <w:r w:rsidRPr="00322592">
        <w:rPr>
          <w:rFonts w:eastAsia="Calibri"/>
          <w:b/>
          <w:lang w:val="es-ES_tradnl"/>
        </w:rPr>
        <w:t xml:space="preserve">Comité de los </w:t>
      </w:r>
      <w:r w:rsidRPr="00322592">
        <w:rPr>
          <w:rFonts w:eastAsia="Calibri"/>
          <w:b/>
          <w:lang w:val="es-ES_tradnl"/>
        </w:rPr>
        <w:lastRenderedPageBreak/>
        <w:t xml:space="preserve">Derechos del Niño en su observación general núm. 10 </w:t>
      </w:r>
      <w:bookmarkEnd w:id="3"/>
      <w:r w:rsidRPr="00322592">
        <w:rPr>
          <w:rFonts w:eastAsia="Calibri"/>
          <w:b/>
          <w:lang w:val="es-ES_tradnl"/>
        </w:rPr>
        <w:t xml:space="preserve">(2007) sobre los derechos del niño en la justicia </w:t>
      </w:r>
      <w:r>
        <w:rPr>
          <w:rFonts w:eastAsia="Calibri"/>
          <w:b/>
          <w:lang w:val="es-ES_tradnl"/>
        </w:rPr>
        <w:t>de menores</w:t>
      </w:r>
      <w:r w:rsidRPr="00322592">
        <w:rPr>
          <w:rFonts w:eastAsia="Calibri"/>
          <w:b/>
          <w:lang w:val="es-ES_tradnl"/>
        </w:rPr>
        <w:t>.</w:t>
      </w:r>
      <w:r>
        <w:rPr>
          <w:rFonts w:eastAsia="Calibri"/>
          <w:b/>
          <w:lang w:val="es-ES_tradnl"/>
        </w:rPr>
        <w:t xml:space="preserve"> </w:t>
      </w:r>
    </w:p>
    <w:p w14:paraId="287D54C6" w14:textId="77777777" w:rsidR="000D59FF" w:rsidRPr="00322592" w:rsidRDefault="000D59FF" w:rsidP="000D59FF">
      <w:pPr>
        <w:pStyle w:val="H23G"/>
        <w:rPr>
          <w:lang w:val="es-ES_tradnl"/>
        </w:rPr>
      </w:pPr>
      <w:r w:rsidRPr="00322592">
        <w:rPr>
          <w:lang w:val="es-ES_tradnl"/>
        </w:rPr>
        <w:tab/>
      </w:r>
      <w:r w:rsidRPr="00322592">
        <w:rPr>
          <w:lang w:val="es-ES_tradnl"/>
        </w:rPr>
        <w:tab/>
      </w:r>
      <w:r w:rsidRPr="00322592">
        <w:rPr>
          <w:lang w:val="es-ES_tradnl"/>
        </w:rPr>
        <w:tab/>
        <w:t xml:space="preserve">Rendición de cuentas por los actos del pasado </w:t>
      </w:r>
    </w:p>
    <w:p w14:paraId="6B29F383" w14:textId="77777777" w:rsidR="000D59FF" w:rsidRPr="00322592" w:rsidRDefault="000D59FF" w:rsidP="000D59FF">
      <w:pPr>
        <w:pStyle w:val="SingleTxtG"/>
        <w:rPr>
          <w:rFonts w:ascii="Calibri" w:eastAsia="Calibri" w:hAnsi="Calibri"/>
          <w:sz w:val="22"/>
          <w:szCs w:val="22"/>
          <w:lang w:val="es-ES_tradnl"/>
        </w:rPr>
      </w:pPr>
      <w:r w:rsidRPr="00322592">
        <w:rPr>
          <w:rFonts w:eastAsia="Calibri"/>
          <w:bCs/>
          <w:lang w:val="es-ES_tradnl"/>
        </w:rPr>
        <w:t>26.</w:t>
      </w:r>
      <w:r w:rsidRPr="00322592">
        <w:rPr>
          <w:rFonts w:eastAsia="Calibri"/>
          <w:bCs/>
          <w:lang w:val="es-ES_tradnl"/>
        </w:rPr>
        <w:tab/>
      </w:r>
      <w:r w:rsidRPr="00750042">
        <w:rPr>
          <w:rFonts w:asciiTheme="majorBidi" w:hAnsiTheme="majorBidi" w:cstheme="majorBidi"/>
          <w:lang w:val="es-SV"/>
        </w:rPr>
        <w:t>Recordando sus anteriores observaciones finales</w:t>
      </w:r>
      <w:r w:rsidRPr="00322592">
        <w:rPr>
          <w:rStyle w:val="Refdenotaalpie"/>
          <w:rFonts w:cstheme="majorBidi"/>
        </w:rPr>
        <w:footnoteReference w:id="28"/>
      </w:r>
      <w:r w:rsidRPr="00750042">
        <w:rPr>
          <w:rFonts w:asciiTheme="majorBidi" w:hAnsiTheme="majorBidi" w:cstheme="majorBidi"/>
          <w:lang w:val="es-SV"/>
        </w:rPr>
        <w:t>, así como las preocupaciones planteadas por el Comité contra la Desaparición Forzada en sus respectivas observaciones finales</w:t>
      </w:r>
      <w:r w:rsidRPr="00322592">
        <w:rPr>
          <w:rStyle w:val="Refdenotaalpie"/>
          <w:rFonts w:cstheme="majorBidi"/>
        </w:rPr>
        <w:footnoteReference w:id="29"/>
      </w:r>
      <w:r w:rsidRPr="00750042">
        <w:rPr>
          <w:rFonts w:asciiTheme="majorBidi" w:hAnsiTheme="majorBidi" w:cstheme="majorBidi"/>
          <w:lang w:val="es-SV"/>
        </w:rPr>
        <w:t>, el Comité lamenta la falta de avances significativos en la investigación de los presuntos casos de tortura, malos tratos y desaparici</w:t>
      </w:r>
      <w:r>
        <w:rPr>
          <w:rFonts w:asciiTheme="majorBidi" w:hAnsiTheme="majorBidi" w:cstheme="majorBidi"/>
          <w:lang w:val="es-SV"/>
        </w:rPr>
        <w:t>ones</w:t>
      </w:r>
      <w:r w:rsidRPr="00750042">
        <w:rPr>
          <w:rFonts w:asciiTheme="majorBidi" w:hAnsiTheme="majorBidi" w:cstheme="majorBidi"/>
          <w:lang w:val="es-SV"/>
        </w:rPr>
        <w:t xml:space="preserve"> forzada</w:t>
      </w:r>
      <w:r>
        <w:rPr>
          <w:rFonts w:asciiTheme="majorBidi" w:hAnsiTheme="majorBidi" w:cstheme="majorBidi"/>
          <w:lang w:val="es-SV"/>
        </w:rPr>
        <w:t>s</w:t>
      </w:r>
      <w:r w:rsidRPr="00750042">
        <w:rPr>
          <w:rFonts w:asciiTheme="majorBidi" w:hAnsiTheme="majorBidi" w:cstheme="majorBidi"/>
          <w:lang w:val="es-SV"/>
        </w:rPr>
        <w:t>, ocurridos en los años</w:t>
      </w:r>
      <w:r>
        <w:rPr>
          <w:rFonts w:asciiTheme="majorBidi" w:hAnsiTheme="majorBidi" w:cstheme="majorBidi"/>
          <w:lang w:val="es-SV"/>
        </w:rPr>
        <w:t xml:space="preserve"> ochenta</w:t>
      </w:r>
      <w:r w:rsidRPr="00750042">
        <w:rPr>
          <w:rFonts w:asciiTheme="majorBidi" w:hAnsiTheme="majorBidi" w:cstheme="majorBidi"/>
          <w:lang w:val="es-SV"/>
        </w:rPr>
        <w:t xml:space="preserve"> y </w:t>
      </w:r>
      <w:r>
        <w:rPr>
          <w:rFonts w:asciiTheme="majorBidi" w:hAnsiTheme="majorBidi" w:cstheme="majorBidi"/>
          <w:lang w:val="es-SV"/>
        </w:rPr>
        <w:t>noventa</w:t>
      </w:r>
      <w:r w:rsidRPr="00750042">
        <w:rPr>
          <w:rFonts w:asciiTheme="majorBidi" w:hAnsiTheme="majorBidi" w:cstheme="majorBidi"/>
          <w:lang w:val="es-SV"/>
        </w:rPr>
        <w:t>,</w:t>
      </w:r>
      <w:r>
        <w:rPr>
          <w:rFonts w:asciiTheme="majorBidi" w:hAnsiTheme="majorBidi" w:cstheme="majorBidi"/>
          <w:lang w:val="es-SV"/>
        </w:rPr>
        <w:t xml:space="preserve"> </w:t>
      </w:r>
      <w:r w:rsidRPr="00750042">
        <w:rPr>
          <w:rFonts w:asciiTheme="majorBidi" w:hAnsiTheme="majorBidi" w:cstheme="majorBidi"/>
          <w:lang w:val="es-SV"/>
        </w:rPr>
        <w:t>del golpe de Estado de 2009</w:t>
      </w:r>
      <w:r w:rsidRPr="00213093">
        <w:rPr>
          <w:rStyle w:val="Refdenotaalpie"/>
          <w:rFonts w:cstheme="majorBidi"/>
        </w:rPr>
        <w:footnoteReference w:id="30"/>
      </w:r>
      <w:r w:rsidRPr="00750042">
        <w:rPr>
          <w:rFonts w:asciiTheme="majorBidi" w:hAnsiTheme="majorBidi" w:cstheme="majorBidi"/>
          <w:lang w:val="es-SV"/>
        </w:rPr>
        <w:t xml:space="preserve">, y </w:t>
      </w:r>
      <w:r w:rsidRPr="00750042">
        <w:rPr>
          <w:lang w:val="es-SV"/>
        </w:rPr>
        <w:t>de las elecciones presidenciales del</w:t>
      </w:r>
      <w:r>
        <w:rPr>
          <w:rFonts w:eastAsia="Calibri"/>
          <w:lang w:val="es-ES_tradnl"/>
        </w:rPr>
        <w:t> 2017</w:t>
      </w:r>
      <w:r>
        <w:rPr>
          <w:rFonts w:asciiTheme="majorBidi" w:hAnsiTheme="majorBidi" w:cstheme="majorBidi"/>
          <w:lang w:val="es-SV"/>
        </w:rPr>
        <w:t>. El Comité toma nota de la información relativa a la</w:t>
      </w:r>
      <w:r w:rsidRPr="00750042">
        <w:rPr>
          <w:lang w:val="es-SV"/>
        </w:rPr>
        <w:t xml:space="preserve"> tipificación</w:t>
      </w:r>
      <w:r>
        <w:rPr>
          <w:lang w:val="es-SV"/>
        </w:rPr>
        <w:t xml:space="preserve"> en 2019</w:t>
      </w:r>
      <w:r w:rsidRPr="00750042">
        <w:rPr>
          <w:lang w:val="es-SV"/>
        </w:rPr>
        <w:t xml:space="preserve"> de</w:t>
      </w:r>
      <w:r>
        <w:rPr>
          <w:lang w:val="es-SV"/>
        </w:rPr>
        <w:t>l delito de</w:t>
      </w:r>
      <w:r w:rsidRPr="00750042">
        <w:rPr>
          <w:lang w:val="es-SV"/>
        </w:rPr>
        <w:t xml:space="preserve"> desaparición forzada </w:t>
      </w:r>
      <w:r>
        <w:rPr>
          <w:lang w:val="es-SV"/>
        </w:rPr>
        <w:t>e</w:t>
      </w:r>
      <w:r w:rsidRPr="00750042">
        <w:rPr>
          <w:lang w:val="es-SV"/>
        </w:rPr>
        <w:t>n el Código Penal</w:t>
      </w:r>
      <w:r>
        <w:rPr>
          <w:lang w:val="es-SV"/>
        </w:rPr>
        <w:t>, pero le preocupa su falta de tipificación fuera del marco de crímenes de lesa humanidad</w:t>
      </w:r>
      <w:r w:rsidRPr="00322592">
        <w:rPr>
          <w:rStyle w:val="Refdenotaalpie"/>
        </w:rPr>
        <w:footnoteReference w:id="31"/>
      </w:r>
      <w:r w:rsidRPr="00750042">
        <w:rPr>
          <w:lang w:val="es-SV"/>
        </w:rPr>
        <w:t xml:space="preserve"> </w:t>
      </w:r>
      <w:r w:rsidRPr="00322592">
        <w:rPr>
          <w:rFonts w:eastAsia="Calibri"/>
          <w:bCs/>
          <w:lang w:val="es-ES_tradnl"/>
        </w:rPr>
        <w:t xml:space="preserve">(arts. </w:t>
      </w:r>
      <w:r w:rsidRPr="00322592">
        <w:rPr>
          <w:rFonts w:eastAsia="Calibri"/>
          <w:lang w:val="es-ES_tradnl"/>
        </w:rPr>
        <w:t>2, 12, 13 y 16).</w:t>
      </w:r>
      <w:r w:rsidRPr="00322592">
        <w:rPr>
          <w:rFonts w:ascii="Calibri" w:eastAsia="Calibri" w:hAnsi="Calibri"/>
          <w:sz w:val="22"/>
          <w:szCs w:val="22"/>
          <w:lang w:val="es-ES_tradnl"/>
        </w:rPr>
        <w:t xml:space="preserve"> </w:t>
      </w:r>
    </w:p>
    <w:p w14:paraId="436FE2A6" w14:textId="77777777" w:rsidR="000D59FF" w:rsidRPr="00322592" w:rsidRDefault="000D59FF" w:rsidP="000D59FF">
      <w:pPr>
        <w:pStyle w:val="SingleTxtG"/>
        <w:rPr>
          <w:rFonts w:eastAsia="Arial"/>
          <w:b/>
          <w:lang w:val="es-ES_tradnl"/>
        </w:rPr>
      </w:pPr>
      <w:r w:rsidRPr="00322592">
        <w:rPr>
          <w:rFonts w:eastAsia="Calibri"/>
          <w:bCs/>
          <w:lang w:val="es-ES_tradnl"/>
        </w:rPr>
        <w:t>27.</w:t>
      </w:r>
      <w:r w:rsidRPr="00322592">
        <w:rPr>
          <w:rFonts w:eastAsia="Calibri"/>
          <w:b/>
          <w:lang w:val="es-ES_tradnl"/>
        </w:rPr>
        <w:tab/>
      </w:r>
      <w:r w:rsidRPr="00322592">
        <w:rPr>
          <w:rFonts w:eastAsia="Arial"/>
          <w:b/>
          <w:lang w:val="es-ES_tradnl"/>
        </w:rPr>
        <w:t xml:space="preserve">El Comité alienta al Estado parte a redoblar sus esfuerzos </w:t>
      </w:r>
      <w:r>
        <w:rPr>
          <w:rFonts w:eastAsia="Arial"/>
          <w:b/>
          <w:lang w:val="es-ES_tradnl"/>
        </w:rPr>
        <w:t>dirigidos a</w:t>
      </w:r>
      <w:r w:rsidRPr="00322592">
        <w:rPr>
          <w:rFonts w:eastAsia="Arial"/>
          <w:b/>
          <w:lang w:val="es-ES_tradnl"/>
        </w:rPr>
        <w:t xml:space="preserve"> </w:t>
      </w:r>
      <w:r>
        <w:rPr>
          <w:rFonts w:eastAsia="Arial"/>
          <w:b/>
          <w:lang w:val="es-ES_tradnl"/>
        </w:rPr>
        <w:t xml:space="preserve">realizar </w:t>
      </w:r>
      <w:r w:rsidRPr="00322592">
        <w:rPr>
          <w:rFonts w:eastAsia="Arial"/>
          <w:b/>
          <w:lang w:val="es-ES_tradnl"/>
        </w:rPr>
        <w:t xml:space="preserve">investigaciones exhaustivas, imparciales y eficaces de todos los casos pendientes, </w:t>
      </w:r>
      <w:r>
        <w:rPr>
          <w:rFonts w:eastAsia="Arial"/>
          <w:b/>
          <w:lang w:val="es-ES_tradnl"/>
        </w:rPr>
        <w:t xml:space="preserve">y </w:t>
      </w:r>
      <w:r w:rsidRPr="00322592">
        <w:rPr>
          <w:rFonts w:eastAsia="Arial"/>
          <w:b/>
          <w:lang w:val="es-ES_tradnl"/>
        </w:rPr>
        <w:t xml:space="preserve">enjuiciar a los autores y proporcionar vías de recurso eficaces y reparación a las familias de las víctimas, y </w:t>
      </w:r>
      <w:r>
        <w:rPr>
          <w:rFonts w:eastAsia="Arial"/>
          <w:b/>
          <w:lang w:val="es-ES_tradnl"/>
        </w:rPr>
        <w:t xml:space="preserve">garantizar </w:t>
      </w:r>
      <w:r w:rsidRPr="00322592">
        <w:rPr>
          <w:rFonts w:eastAsia="Arial"/>
          <w:b/>
          <w:lang w:val="es-ES_tradnl"/>
        </w:rPr>
        <w:t xml:space="preserve">medidas legislativas </w:t>
      </w:r>
      <w:r>
        <w:rPr>
          <w:rFonts w:eastAsia="Arial"/>
          <w:b/>
          <w:lang w:val="es-ES_tradnl"/>
        </w:rPr>
        <w:t>en materia de</w:t>
      </w:r>
      <w:r w:rsidRPr="00322592">
        <w:rPr>
          <w:rFonts w:eastAsia="Arial"/>
          <w:b/>
          <w:lang w:val="es-ES_tradnl"/>
        </w:rPr>
        <w:t xml:space="preserve"> desaparición forzada</w:t>
      </w:r>
      <w:r>
        <w:rPr>
          <w:rFonts w:eastAsia="Arial"/>
          <w:b/>
          <w:lang w:val="es-ES_tradnl"/>
        </w:rPr>
        <w:t xml:space="preserve"> de acuerdo con la recomendación formulada por el C</w:t>
      </w:r>
      <w:r w:rsidRPr="008232B8">
        <w:rPr>
          <w:rFonts w:eastAsia="Arial"/>
          <w:b/>
          <w:lang w:val="es-ES_tradnl"/>
        </w:rPr>
        <w:t>omité contra la Desaparición Forzada</w:t>
      </w:r>
      <w:r w:rsidRPr="00FB22AF">
        <w:rPr>
          <w:rStyle w:val="Refdenotaalpie"/>
          <w:rFonts w:eastAsia="Arial"/>
          <w:bCs/>
        </w:rPr>
        <w:footnoteReference w:id="32"/>
      </w:r>
      <w:r>
        <w:rPr>
          <w:rFonts w:eastAsia="Arial"/>
          <w:b/>
          <w:lang w:val="es-ES_tradnl"/>
        </w:rPr>
        <w:t>.</w:t>
      </w:r>
    </w:p>
    <w:p w14:paraId="3656D019" w14:textId="77777777" w:rsidR="000D59FF" w:rsidRPr="00FB22AF" w:rsidRDefault="000D59FF" w:rsidP="000D59FF">
      <w:pPr>
        <w:pStyle w:val="H23G"/>
        <w:rPr>
          <w:lang w:val="es-ES_tradnl" w:eastAsia="en-US"/>
        </w:rPr>
      </w:pPr>
      <w:r w:rsidRPr="00322592">
        <w:rPr>
          <w:lang w:val="es-ES_tradnl" w:eastAsia="en-US"/>
        </w:rPr>
        <w:tab/>
      </w:r>
      <w:r w:rsidRPr="00322592">
        <w:rPr>
          <w:lang w:val="es-ES_tradnl" w:eastAsia="en-US"/>
        </w:rPr>
        <w:tab/>
      </w:r>
      <w:r w:rsidRPr="008E55A8">
        <w:rPr>
          <w:lang w:val="es-ES_tradnl" w:eastAsia="en-US"/>
        </w:rPr>
        <w:t xml:space="preserve">Reparación </w:t>
      </w:r>
    </w:p>
    <w:p w14:paraId="3B7A2819" w14:textId="77777777" w:rsidR="000D59FF" w:rsidRPr="00322592" w:rsidRDefault="000D59FF" w:rsidP="000D59FF">
      <w:pPr>
        <w:pStyle w:val="SingleTxtG"/>
        <w:rPr>
          <w:rFonts w:eastAsia="Arial"/>
          <w:bCs/>
          <w:lang w:val="es-ES_tradnl"/>
        </w:rPr>
      </w:pPr>
      <w:r w:rsidRPr="00322592">
        <w:rPr>
          <w:rFonts w:eastAsia="Arial"/>
          <w:bCs/>
          <w:lang w:val="es-ES_tradnl"/>
        </w:rPr>
        <w:t>28.</w:t>
      </w:r>
      <w:r w:rsidRPr="00322592">
        <w:rPr>
          <w:rFonts w:eastAsia="Arial"/>
          <w:bCs/>
          <w:lang w:val="es-ES_tradnl"/>
        </w:rPr>
        <w:tab/>
        <w:t xml:space="preserve">El Comité toma nota de la explicación proporcionada por la delegación de que la </w:t>
      </w:r>
      <w:r w:rsidRPr="00750042">
        <w:rPr>
          <w:lang w:val="es-SV"/>
        </w:rPr>
        <w:t xml:space="preserve">Ley para la Prevención, Atención y Protección de las Personas Desplazadas Internamente de 2022 </w:t>
      </w:r>
      <w:r w:rsidRPr="00322592">
        <w:rPr>
          <w:rFonts w:eastAsia="Arial"/>
          <w:bCs/>
          <w:lang w:val="es-ES_tradnl"/>
        </w:rPr>
        <w:t xml:space="preserve">y el presupuesto asignado para su implementación incluye la reparación de las víctimas de tortura. No obstante, lamenta no </w:t>
      </w:r>
      <w:r>
        <w:rPr>
          <w:rFonts w:eastAsia="Arial"/>
          <w:bCs/>
          <w:lang w:val="es-ES_tradnl"/>
        </w:rPr>
        <w:t>haber</w:t>
      </w:r>
      <w:r w:rsidRPr="00322592">
        <w:rPr>
          <w:rFonts w:eastAsia="Arial"/>
          <w:bCs/>
          <w:lang w:val="es-ES_tradnl"/>
        </w:rPr>
        <w:t xml:space="preserve"> recibido información sobre la reparación integral proporcionada a las víctimas de tortura durante el período que abarca el informe, a pesar de las </w:t>
      </w:r>
      <w:r>
        <w:rPr>
          <w:rFonts w:eastAsia="Arial"/>
          <w:bCs/>
          <w:lang w:val="es-ES_tradnl"/>
        </w:rPr>
        <w:t>diez</w:t>
      </w:r>
      <w:r w:rsidRPr="00322592">
        <w:rPr>
          <w:rFonts w:eastAsia="Arial"/>
          <w:bCs/>
          <w:lang w:val="es-ES_tradnl"/>
        </w:rPr>
        <w:t xml:space="preserve"> sentencias condenatorias existentes. </w:t>
      </w:r>
      <w:r>
        <w:rPr>
          <w:rFonts w:eastAsia="Arial"/>
          <w:bCs/>
          <w:lang w:val="es-ES_tradnl"/>
        </w:rPr>
        <w:t>El Comité también</w:t>
      </w:r>
      <w:r w:rsidRPr="00322592">
        <w:rPr>
          <w:rFonts w:eastAsia="Arial"/>
          <w:bCs/>
          <w:lang w:val="es-ES_tradnl"/>
        </w:rPr>
        <w:t xml:space="preserve"> </w:t>
      </w:r>
      <w:r w:rsidRPr="00750042">
        <w:rPr>
          <w:rFonts w:asciiTheme="majorBidi" w:hAnsiTheme="majorBidi" w:cstheme="majorBidi"/>
          <w:lang w:val="es-SV"/>
        </w:rPr>
        <w:t xml:space="preserve">expresa su preocupación por que las víctimas de graves violaciones </w:t>
      </w:r>
      <w:r>
        <w:rPr>
          <w:rFonts w:asciiTheme="majorBidi" w:hAnsiTheme="majorBidi" w:cstheme="majorBidi"/>
          <w:lang w:val="es-SV"/>
        </w:rPr>
        <w:t>de</w:t>
      </w:r>
      <w:r w:rsidRPr="00750042">
        <w:rPr>
          <w:rFonts w:asciiTheme="majorBidi" w:hAnsiTheme="majorBidi" w:cstheme="majorBidi"/>
          <w:lang w:val="es-SV"/>
        </w:rPr>
        <w:t xml:space="preserve"> los derechos humanos del pasado siguen enfrentando importantes desafíos para acceder a la justicia y a la reparación integral, si bien toma nota de las medidas adoptadas y planes anunciados para abordar este tema</w:t>
      </w:r>
      <w:r w:rsidRPr="00322592">
        <w:rPr>
          <w:rStyle w:val="Refdenotaalpie"/>
          <w:rFonts w:cstheme="majorBidi"/>
        </w:rPr>
        <w:footnoteReference w:id="33"/>
      </w:r>
      <w:r w:rsidRPr="00750042">
        <w:rPr>
          <w:rFonts w:asciiTheme="majorBidi" w:hAnsiTheme="majorBidi" w:cstheme="majorBidi"/>
          <w:lang w:val="es-SV"/>
        </w:rPr>
        <w:t>.</w:t>
      </w:r>
      <w:r w:rsidRPr="00322592">
        <w:rPr>
          <w:rFonts w:eastAsia="Arial"/>
          <w:bCs/>
          <w:lang w:val="es-ES_tradnl"/>
        </w:rPr>
        <w:t xml:space="preserve"> Le preocupa </w:t>
      </w:r>
      <w:r>
        <w:rPr>
          <w:rFonts w:eastAsia="Arial"/>
          <w:bCs/>
          <w:lang w:val="es-ES_tradnl"/>
        </w:rPr>
        <w:t>además</w:t>
      </w:r>
      <w:r w:rsidRPr="00322592">
        <w:rPr>
          <w:rFonts w:eastAsia="Arial"/>
          <w:bCs/>
          <w:lang w:val="es-ES_tradnl"/>
        </w:rPr>
        <w:t xml:space="preserve"> la ausencia de un marco normativo y de programas de reparación integral específicamente diseñados para las víctimas de tortura y malos tratos (art. 14).</w:t>
      </w:r>
    </w:p>
    <w:p w14:paraId="586118D4" w14:textId="77777777" w:rsidR="000D59FF" w:rsidRPr="00322592" w:rsidRDefault="000D59FF" w:rsidP="000D59FF">
      <w:pPr>
        <w:pStyle w:val="SingleTxtG"/>
        <w:rPr>
          <w:rFonts w:eastAsia="Arial"/>
          <w:b/>
          <w:bCs/>
          <w:lang w:val="es-ES_tradnl"/>
        </w:rPr>
      </w:pPr>
      <w:r w:rsidRPr="00322592">
        <w:rPr>
          <w:rFonts w:eastAsia="Arial"/>
          <w:bCs/>
          <w:lang w:val="es-ES_tradnl"/>
        </w:rPr>
        <w:t>29.</w:t>
      </w:r>
      <w:r w:rsidRPr="00322592">
        <w:rPr>
          <w:rFonts w:eastAsia="Arial"/>
          <w:b/>
          <w:lang w:val="es-ES_tradnl"/>
        </w:rPr>
        <w:tab/>
        <w:t>El Estado parte debe adoptar las medidas legislativas y de otra índole necesaria</w:t>
      </w:r>
      <w:r>
        <w:rPr>
          <w:rFonts w:eastAsia="Arial"/>
          <w:b/>
          <w:lang w:val="es-ES_tradnl"/>
        </w:rPr>
        <w:t>s</w:t>
      </w:r>
      <w:r w:rsidRPr="00322592">
        <w:rPr>
          <w:rFonts w:eastAsia="Arial"/>
          <w:b/>
          <w:lang w:val="es-ES_tradnl"/>
        </w:rPr>
        <w:t xml:space="preserve"> para </w:t>
      </w:r>
      <w:r w:rsidRPr="00E75E37">
        <w:rPr>
          <w:rFonts w:eastAsia="Arial"/>
          <w:b/>
          <w:lang w:val="es-ES_tradnl"/>
        </w:rPr>
        <w:t>dotarse de un programa integral en virtud del cual las víctimas de los actos de tortura, malos tratos, desapariciones forzadas y otras violaciones de derechos humanos obtengan reparación y tengan un derecho jurídicamente exigible a una indemnización justa y adecuada, así como a los medios para una rehabilitación lo más completa posible, en particular el apoyo psicológico, social o financiero necesario. En consonancia con la observación general núm. 3</w:t>
      </w:r>
      <w:r w:rsidRPr="00DB743B">
        <w:rPr>
          <w:rFonts w:eastAsia="Arial"/>
          <w:b/>
          <w:lang w:val="es-ES_tradnl"/>
        </w:rPr>
        <w:t xml:space="preserve"> (2012)</w:t>
      </w:r>
      <w:r w:rsidRPr="00E75E37">
        <w:rPr>
          <w:rFonts w:eastAsia="Arial"/>
          <w:b/>
          <w:lang w:val="es-ES_tradnl"/>
        </w:rPr>
        <w:t xml:space="preserve"> del Comité, dicho programa debe</w:t>
      </w:r>
      <w:r w:rsidRPr="00322592">
        <w:rPr>
          <w:rFonts w:eastAsia="Arial"/>
          <w:b/>
          <w:lang w:val="es-ES_tradnl"/>
        </w:rPr>
        <w:t xml:space="preserve"> incluir medidas adecuadas de reparación, indemnización, restitución, rehabilitación, satisfacción y garantías de no repetición. El Comité pide al Estado parte que en el siguiente informe periódico proporcione información completa sobre las medidas de reparación e indemnización adoptadas y efectivamente proporcionadas a las víctimas de tortura y malos tratos, incluido el uso excesivo de la fuerza, y a sus familiares. </w:t>
      </w:r>
    </w:p>
    <w:p w14:paraId="20025D60" w14:textId="77777777" w:rsidR="000D59FF" w:rsidRDefault="000D59FF" w:rsidP="000D59FF">
      <w:pPr>
        <w:pStyle w:val="H23G"/>
        <w:rPr>
          <w:lang w:val="es-ES_tradnl"/>
        </w:rPr>
      </w:pPr>
      <w:r>
        <w:rPr>
          <w:lang w:val="es-ES_tradnl"/>
        </w:rPr>
        <w:tab/>
      </w:r>
      <w:r>
        <w:rPr>
          <w:lang w:val="es-ES_tradnl"/>
        </w:rPr>
        <w:tab/>
      </w:r>
      <w:r w:rsidRPr="00322592">
        <w:rPr>
          <w:lang w:val="es-ES_tradnl"/>
        </w:rPr>
        <w:t>Personas defensoras de derechos humanos, l</w:t>
      </w:r>
      <w:r>
        <w:rPr>
          <w:lang w:val="es-ES_tradnl"/>
        </w:rPr>
        <w:t>í</w:t>
      </w:r>
      <w:r w:rsidRPr="00322592">
        <w:rPr>
          <w:lang w:val="es-ES_tradnl"/>
        </w:rPr>
        <w:t>deres</w:t>
      </w:r>
      <w:r>
        <w:rPr>
          <w:lang w:val="es-ES_tradnl"/>
        </w:rPr>
        <w:t xml:space="preserve"> y lideresas </w:t>
      </w:r>
      <w:r w:rsidRPr="00322592">
        <w:rPr>
          <w:lang w:val="es-ES_tradnl"/>
        </w:rPr>
        <w:t xml:space="preserve">indígenas </w:t>
      </w:r>
      <w:r w:rsidRPr="00750042">
        <w:rPr>
          <w:lang w:val="es-SV"/>
        </w:rPr>
        <w:t>y</w:t>
      </w:r>
      <w:r>
        <w:rPr>
          <w:lang w:val="es-SV"/>
        </w:rPr>
        <w:t> </w:t>
      </w:r>
      <w:r w:rsidRPr="00750042">
        <w:rPr>
          <w:lang w:val="es-SV"/>
        </w:rPr>
        <w:t>afrohondureñ</w:t>
      </w:r>
      <w:r>
        <w:rPr>
          <w:lang w:val="es-SV"/>
        </w:rPr>
        <w:t>o</w:t>
      </w:r>
      <w:r w:rsidRPr="00750042">
        <w:rPr>
          <w:lang w:val="es-SV"/>
        </w:rPr>
        <w:t>s</w:t>
      </w:r>
      <w:r w:rsidRPr="00322592">
        <w:rPr>
          <w:lang w:val="es-ES_tradnl"/>
        </w:rPr>
        <w:t xml:space="preserve"> y periodistas </w:t>
      </w:r>
    </w:p>
    <w:p w14:paraId="15C4F5FB" w14:textId="77777777" w:rsidR="000D59FF" w:rsidRDefault="000D59FF" w:rsidP="000D59FF">
      <w:pPr>
        <w:pStyle w:val="SingleTxtG"/>
        <w:rPr>
          <w:lang w:val="es-ES_tradnl"/>
        </w:rPr>
      </w:pPr>
      <w:r w:rsidRPr="00790EF1">
        <w:rPr>
          <w:rFonts w:eastAsia="Arial"/>
          <w:lang w:val="es-ES_tradnl"/>
        </w:rPr>
        <w:t>30.</w:t>
      </w:r>
      <w:r w:rsidRPr="00790EF1">
        <w:rPr>
          <w:rFonts w:eastAsia="Arial"/>
          <w:lang w:val="es-ES_tradnl"/>
        </w:rPr>
        <w:tab/>
        <w:t>E</w:t>
      </w:r>
      <w:r w:rsidRPr="00790EF1">
        <w:rPr>
          <w:lang w:val="es-ES_tradnl"/>
        </w:rPr>
        <w:t xml:space="preserve">l Comité expresa su seria preocupación ante los numerosos asesinatos y agresiones, desapariciones forzadas, amenazas, allanamientos y otros actos de intimidación que sufren </w:t>
      </w:r>
      <w:r>
        <w:rPr>
          <w:lang w:val="es-ES_tradnl"/>
        </w:rPr>
        <w:t xml:space="preserve">las </w:t>
      </w:r>
      <w:r w:rsidRPr="00790EF1">
        <w:rPr>
          <w:lang w:val="es-ES_tradnl"/>
        </w:rPr>
        <w:t>personas defensoras de derechos humanos y del derecho a la tierra, l</w:t>
      </w:r>
      <w:r>
        <w:rPr>
          <w:lang w:val="es-ES_tradnl"/>
        </w:rPr>
        <w:t>í</w:t>
      </w:r>
      <w:r w:rsidRPr="00790EF1">
        <w:rPr>
          <w:lang w:val="es-ES_tradnl"/>
        </w:rPr>
        <w:t xml:space="preserve">deres y lideresas indígenas </w:t>
      </w:r>
      <w:r>
        <w:rPr>
          <w:lang w:val="es-ES_tradnl"/>
        </w:rPr>
        <w:t xml:space="preserve">y afrohondureños </w:t>
      </w:r>
      <w:r w:rsidRPr="00790EF1">
        <w:rPr>
          <w:lang w:val="es-ES_tradnl"/>
        </w:rPr>
        <w:t>y periodistas</w:t>
      </w:r>
      <w:r w:rsidRPr="000152CE">
        <w:rPr>
          <w:lang w:val="es-ES_tradnl"/>
        </w:rPr>
        <w:t xml:space="preserve">, así como la criminalización vinculada con su </w:t>
      </w:r>
      <w:r w:rsidRPr="000152CE">
        <w:rPr>
          <w:lang w:val="es-ES_tradnl"/>
        </w:rPr>
        <w:lastRenderedPageBreak/>
        <w:t>trabajo</w:t>
      </w:r>
      <w:r w:rsidRPr="000152CE">
        <w:rPr>
          <w:rStyle w:val="Refdenotaalpie"/>
          <w:rFonts w:eastAsia="Calibri"/>
          <w:lang w:val="es-ES_tradnl"/>
        </w:rPr>
        <w:footnoteReference w:id="34"/>
      </w:r>
      <w:r w:rsidRPr="000152CE">
        <w:rPr>
          <w:rFonts w:eastAsia="Arial"/>
          <w:lang w:val="es-ES_tradnl"/>
        </w:rPr>
        <w:t xml:space="preserve">. Asimismo, le preocupan los informes recibidos que señalan una falta de </w:t>
      </w:r>
      <w:r w:rsidRPr="000152CE">
        <w:rPr>
          <w:rFonts w:asciiTheme="majorBidi" w:hAnsiTheme="majorBidi" w:cstheme="majorBidi"/>
          <w:lang w:val="es-SV"/>
        </w:rPr>
        <w:t xml:space="preserve">respuesta efectiva del Sistema Nacional de Protección </w:t>
      </w:r>
      <w:r>
        <w:rPr>
          <w:rFonts w:asciiTheme="majorBidi" w:hAnsiTheme="majorBidi" w:cstheme="majorBidi"/>
          <w:lang w:val="es-SV"/>
        </w:rPr>
        <w:t>a</w:t>
      </w:r>
      <w:r w:rsidRPr="000152CE">
        <w:rPr>
          <w:rFonts w:asciiTheme="majorBidi" w:hAnsiTheme="majorBidi" w:cstheme="majorBidi"/>
          <w:lang w:val="es-SV"/>
        </w:rPr>
        <w:t xml:space="preserve"> </w:t>
      </w:r>
      <w:r>
        <w:rPr>
          <w:rFonts w:asciiTheme="majorBidi" w:hAnsiTheme="majorBidi" w:cstheme="majorBidi"/>
          <w:lang w:val="es-SV"/>
        </w:rPr>
        <w:t>D</w:t>
      </w:r>
      <w:r w:rsidRPr="000152CE">
        <w:rPr>
          <w:rFonts w:asciiTheme="majorBidi" w:hAnsiTheme="majorBidi" w:cstheme="majorBidi"/>
          <w:lang w:val="es-SV"/>
        </w:rPr>
        <w:t>efensores de</w:t>
      </w:r>
      <w:r w:rsidRPr="00790EF1">
        <w:rPr>
          <w:rFonts w:asciiTheme="majorBidi" w:hAnsiTheme="majorBidi" w:cstheme="majorBidi"/>
          <w:lang w:val="es-SV"/>
        </w:rPr>
        <w:t xml:space="preserve"> </w:t>
      </w:r>
      <w:r>
        <w:rPr>
          <w:rFonts w:asciiTheme="majorBidi" w:hAnsiTheme="majorBidi" w:cstheme="majorBidi"/>
          <w:lang w:val="es-SV"/>
        </w:rPr>
        <w:t>D</w:t>
      </w:r>
      <w:r w:rsidRPr="00790EF1">
        <w:rPr>
          <w:rFonts w:asciiTheme="majorBidi" w:hAnsiTheme="majorBidi" w:cstheme="majorBidi"/>
          <w:lang w:val="es-SV"/>
        </w:rPr>
        <w:t xml:space="preserve">erechos </w:t>
      </w:r>
      <w:r>
        <w:rPr>
          <w:rFonts w:asciiTheme="majorBidi" w:hAnsiTheme="majorBidi" w:cstheme="majorBidi"/>
          <w:lang w:val="es-SV"/>
        </w:rPr>
        <w:t>H</w:t>
      </w:r>
      <w:r w:rsidRPr="00790EF1">
        <w:rPr>
          <w:rFonts w:asciiTheme="majorBidi" w:hAnsiTheme="majorBidi" w:cstheme="majorBidi"/>
          <w:lang w:val="es-SV"/>
        </w:rPr>
        <w:t xml:space="preserve">umanos, </w:t>
      </w:r>
      <w:r>
        <w:rPr>
          <w:rFonts w:asciiTheme="majorBidi" w:hAnsiTheme="majorBidi" w:cstheme="majorBidi"/>
          <w:lang w:val="es-SV"/>
        </w:rPr>
        <w:t>P</w:t>
      </w:r>
      <w:r w:rsidRPr="00790EF1">
        <w:rPr>
          <w:rFonts w:asciiTheme="majorBidi" w:hAnsiTheme="majorBidi" w:cstheme="majorBidi"/>
          <w:lang w:val="es-SV"/>
        </w:rPr>
        <w:t xml:space="preserve">eriodistas, </w:t>
      </w:r>
      <w:r>
        <w:rPr>
          <w:rFonts w:asciiTheme="majorBidi" w:hAnsiTheme="majorBidi" w:cstheme="majorBidi"/>
          <w:lang w:val="es-SV"/>
        </w:rPr>
        <w:t>C</w:t>
      </w:r>
      <w:r w:rsidRPr="00790EF1">
        <w:rPr>
          <w:rFonts w:asciiTheme="majorBidi" w:hAnsiTheme="majorBidi" w:cstheme="majorBidi"/>
          <w:lang w:val="es-SV"/>
        </w:rPr>
        <w:t xml:space="preserve">omunicadores </w:t>
      </w:r>
      <w:r>
        <w:rPr>
          <w:rFonts w:asciiTheme="majorBidi" w:hAnsiTheme="majorBidi" w:cstheme="majorBidi"/>
          <w:lang w:val="es-SV"/>
        </w:rPr>
        <w:t>S</w:t>
      </w:r>
      <w:r w:rsidRPr="00790EF1">
        <w:rPr>
          <w:rFonts w:asciiTheme="majorBidi" w:hAnsiTheme="majorBidi" w:cstheme="majorBidi"/>
          <w:lang w:val="es-SV"/>
        </w:rPr>
        <w:t xml:space="preserve">ociales y </w:t>
      </w:r>
      <w:r>
        <w:rPr>
          <w:rFonts w:asciiTheme="majorBidi" w:hAnsiTheme="majorBidi" w:cstheme="majorBidi"/>
          <w:lang w:val="es-SV"/>
        </w:rPr>
        <w:t>O</w:t>
      </w:r>
      <w:r w:rsidRPr="00790EF1">
        <w:rPr>
          <w:rFonts w:asciiTheme="majorBidi" w:hAnsiTheme="majorBidi" w:cstheme="majorBidi"/>
          <w:lang w:val="es-SV"/>
        </w:rPr>
        <w:t xml:space="preserve">peradores de </w:t>
      </w:r>
      <w:r>
        <w:rPr>
          <w:rFonts w:asciiTheme="majorBidi" w:hAnsiTheme="majorBidi" w:cstheme="majorBidi"/>
          <w:lang w:val="es-SV"/>
        </w:rPr>
        <w:t>J</w:t>
      </w:r>
      <w:r w:rsidRPr="00790EF1">
        <w:rPr>
          <w:rFonts w:asciiTheme="majorBidi" w:hAnsiTheme="majorBidi" w:cstheme="majorBidi"/>
          <w:lang w:val="es-SV"/>
        </w:rPr>
        <w:t xml:space="preserve">usticia, demoras en el otorgamiento o en el cumplimiento </w:t>
      </w:r>
      <w:r>
        <w:rPr>
          <w:rFonts w:asciiTheme="majorBidi" w:hAnsiTheme="majorBidi" w:cstheme="majorBidi"/>
          <w:lang w:val="es-SV"/>
        </w:rPr>
        <w:t>de</w:t>
      </w:r>
      <w:r w:rsidRPr="00790EF1">
        <w:rPr>
          <w:rFonts w:asciiTheme="majorBidi" w:hAnsiTheme="majorBidi" w:cstheme="majorBidi"/>
          <w:lang w:val="es-SV"/>
        </w:rPr>
        <w:t xml:space="preserve"> las medidas de protección asignadas a personas defensoras de derechos humanos, así como la falta de recursos y capacidades financieras y humanas asignadas a este mecanismo</w:t>
      </w:r>
      <w:r>
        <w:rPr>
          <w:rFonts w:asciiTheme="majorBidi" w:hAnsiTheme="majorBidi" w:cstheme="majorBidi"/>
          <w:lang w:val="es-SV"/>
        </w:rPr>
        <w:t>.</w:t>
      </w:r>
      <w:r w:rsidRPr="00790EF1">
        <w:rPr>
          <w:rFonts w:asciiTheme="majorBidi" w:hAnsiTheme="majorBidi" w:cstheme="majorBidi"/>
          <w:lang w:val="es-SV"/>
        </w:rPr>
        <w:t xml:space="preserve"> A este respecto, el Comité agradece la información facilitada por la delegación sobre el fortalecimiento de la Dirección General del Sistema de Protección en 2024 a fin de abordar los desafíos identificados. </w:t>
      </w:r>
      <w:r w:rsidRPr="00790EF1">
        <w:rPr>
          <w:lang w:val="es-ES_tradnl"/>
        </w:rPr>
        <w:t xml:space="preserve">El </w:t>
      </w:r>
      <w:r w:rsidRPr="00790EF1">
        <w:rPr>
          <w:rFonts w:asciiTheme="majorBidi" w:hAnsiTheme="majorBidi" w:cstheme="majorBidi"/>
          <w:lang w:val="es-SV"/>
        </w:rPr>
        <w:t>Comité se muestra preocupado por las demoras en las investigaciones y enjuiciamientos en la materia, como lo demuestra el caso de Berta Cáceres</w:t>
      </w:r>
      <w:r>
        <w:rPr>
          <w:rStyle w:val="Refdenotaalpie"/>
          <w:rFonts w:cstheme="majorBidi"/>
        </w:rPr>
        <w:footnoteReference w:id="35"/>
      </w:r>
      <w:r w:rsidRPr="00790EF1">
        <w:rPr>
          <w:rFonts w:asciiTheme="majorBidi" w:hAnsiTheme="majorBidi" w:cstheme="majorBidi"/>
          <w:lang w:val="es-SV"/>
        </w:rPr>
        <w:t xml:space="preserve"> </w:t>
      </w:r>
      <w:r w:rsidRPr="00790EF1">
        <w:rPr>
          <w:lang w:val="es-ES_tradnl"/>
        </w:rPr>
        <w:t>(arts. 2, 12, 13 y 16).</w:t>
      </w:r>
    </w:p>
    <w:p w14:paraId="401D6A50" w14:textId="77777777" w:rsidR="000D59FF" w:rsidRPr="00322592" w:rsidRDefault="000D59FF" w:rsidP="000D59FF">
      <w:pPr>
        <w:pStyle w:val="SingleTxtG"/>
        <w:rPr>
          <w:lang w:val="es-ES_tradnl"/>
        </w:rPr>
      </w:pPr>
      <w:r w:rsidRPr="00322592">
        <w:rPr>
          <w:bCs/>
          <w:lang w:val="es-ES_tradnl"/>
        </w:rPr>
        <w:t xml:space="preserve">31. </w:t>
      </w:r>
      <w:r w:rsidRPr="00322592">
        <w:rPr>
          <w:bCs/>
          <w:lang w:val="es-ES_tradnl"/>
        </w:rPr>
        <w:tab/>
      </w:r>
      <w:r w:rsidRPr="00851D19">
        <w:rPr>
          <w:b/>
          <w:bCs/>
          <w:lang w:val="es-ES_tradnl"/>
        </w:rPr>
        <w:t xml:space="preserve">El Comité urge al Estado parte a tomar las medidas necesarias para garantizar que las personas defensoras de derechos humanos, </w:t>
      </w:r>
      <w:r w:rsidRPr="00851D19">
        <w:rPr>
          <w:rFonts w:eastAsia="Calibri"/>
          <w:b/>
          <w:bCs/>
          <w:lang w:val="es-ES_tradnl"/>
        </w:rPr>
        <w:t xml:space="preserve">derecho a la tierra, personas </w:t>
      </w:r>
      <w:r w:rsidRPr="00851D19">
        <w:rPr>
          <w:b/>
          <w:bCs/>
          <w:lang w:val="es-ES_tradnl"/>
        </w:rPr>
        <w:t>lideresas indígenas y periodistas puedan llevar a cabo su labor y sus actividades libremente, sin temor a represalias o agresiones. En particular, el Estado parte debe continuar fortalec</w:t>
      </w:r>
      <w:r>
        <w:rPr>
          <w:b/>
          <w:bCs/>
          <w:lang w:val="es-ES_tradnl"/>
        </w:rPr>
        <w:t>iendo</w:t>
      </w:r>
      <w:r w:rsidRPr="00851D19">
        <w:rPr>
          <w:b/>
          <w:bCs/>
          <w:lang w:val="es-ES_tradnl"/>
        </w:rPr>
        <w:t xml:space="preserve"> los mecanismos de protección competentes y garantizar que cuenten con los recursos humanos, financieros, técnicos y materiales necesarios para su correcto funcionamiento, </w:t>
      </w:r>
      <w:r>
        <w:rPr>
          <w:b/>
          <w:bCs/>
          <w:lang w:val="es-ES_tradnl"/>
        </w:rPr>
        <w:t>así como</w:t>
      </w:r>
      <w:r w:rsidRPr="00851D19">
        <w:rPr>
          <w:b/>
          <w:bCs/>
          <w:lang w:val="es-ES_tradnl"/>
        </w:rPr>
        <w:t xml:space="preserve"> asegurar que las medidas de protección dictadas sean otorgadas y efectivamente implementadas. También debe avanzar en la investigación efectiva de asesinatos, agresiones y otras vulneraciones de derechos humanos contra las personas defensoras de derechos humanos, l</w:t>
      </w:r>
      <w:r>
        <w:rPr>
          <w:b/>
          <w:bCs/>
          <w:lang w:val="es-ES_tradnl"/>
        </w:rPr>
        <w:t>í</w:t>
      </w:r>
      <w:r w:rsidRPr="00851D19">
        <w:rPr>
          <w:b/>
          <w:bCs/>
          <w:lang w:val="es-ES_tradnl"/>
        </w:rPr>
        <w:t>deres</w:t>
      </w:r>
      <w:r>
        <w:rPr>
          <w:b/>
          <w:bCs/>
          <w:lang w:val="es-ES_tradnl"/>
        </w:rPr>
        <w:t xml:space="preserve"> y lideresas</w:t>
      </w:r>
      <w:r w:rsidRPr="00851D19">
        <w:rPr>
          <w:b/>
          <w:bCs/>
          <w:lang w:val="es-ES_tradnl"/>
        </w:rPr>
        <w:t xml:space="preserve"> indígenas </w:t>
      </w:r>
      <w:r>
        <w:rPr>
          <w:b/>
          <w:bCs/>
          <w:lang w:val="es-ES_tradnl"/>
        </w:rPr>
        <w:t xml:space="preserve">y afrohondureños </w:t>
      </w:r>
      <w:r w:rsidRPr="00851D19">
        <w:rPr>
          <w:b/>
          <w:bCs/>
          <w:lang w:val="es-ES_tradnl"/>
        </w:rPr>
        <w:t>y periodistas y garantizar los enjuiciamientos sin demora. Por último, el Estado parte debe prevenir y evitar el uso indebido del derecho penal en contra de las personas defensoras de derechos humanos.</w:t>
      </w:r>
      <w:r>
        <w:rPr>
          <w:lang w:val="es-ES_tradnl"/>
        </w:rPr>
        <w:t xml:space="preserve"> </w:t>
      </w:r>
    </w:p>
    <w:p w14:paraId="43844785" w14:textId="77777777" w:rsidR="000D59FF" w:rsidRPr="00322592" w:rsidRDefault="000D59FF" w:rsidP="000D59FF">
      <w:pPr>
        <w:pStyle w:val="H23G"/>
        <w:rPr>
          <w:lang w:val="es-ES_tradnl"/>
        </w:rPr>
      </w:pPr>
      <w:r>
        <w:rPr>
          <w:lang w:val="es-ES_tradnl"/>
        </w:rPr>
        <w:tab/>
      </w:r>
      <w:r>
        <w:rPr>
          <w:lang w:val="es-ES_tradnl"/>
        </w:rPr>
        <w:tab/>
      </w:r>
      <w:r w:rsidRPr="00322592">
        <w:rPr>
          <w:lang w:val="es-ES_tradnl"/>
        </w:rPr>
        <w:t xml:space="preserve">Violencia </w:t>
      </w:r>
      <w:r>
        <w:rPr>
          <w:lang w:val="es-ES_tradnl"/>
        </w:rPr>
        <w:t>de género</w:t>
      </w:r>
      <w:r w:rsidRPr="00750042">
        <w:rPr>
          <w:rFonts w:asciiTheme="majorBidi" w:hAnsiTheme="majorBidi" w:cstheme="majorBidi"/>
          <w:lang w:val="es-SV"/>
        </w:rPr>
        <w:t xml:space="preserve"> </w:t>
      </w:r>
    </w:p>
    <w:p w14:paraId="44B88598" w14:textId="77777777" w:rsidR="000D59FF" w:rsidRDefault="000D59FF" w:rsidP="000D59FF">
      <w:pPr>
        <w:pStyle w:val="SingleTxtG"/>
        <w:rPr>
          <w:lang w:val="es"/>
        </w:rPr>
      </w:pPr>
      <w:r w:rsidRPr="00322592">
        <w:rPr>
          <w:rFonts w:eastAsia="Arial"/>
          <w:lang w:val="es-ES_tradnl"/>
        </w:rPr>
        <w:t>32.</w:t>
      </w:r>
      <w:r w:rsidRPr="00322592">
        <w:rPr>
          <w:rFonts w:eastAsia="Arial"/>
          <w:lang w:val="es-ES_tradnl"/>
        </w:rPr>
        <w:tab/>
        <w:t>E</w:t>
      </w:r>
      <w:r w:rsidRPr="00322592">
        <w:rPr>
          <w:lang w:val="es"/>
        </w:rPr>
        <w:t>l Comité expresa su preocupación por los altos niveles de violencia contra las mujeres y las niñas</w:t>
      </w:r>
      <w:r>
        <w:rPr>
          <w:lang w:val="es"/>
        </w:rPr>
        <w:t>,</w:t>
      </w:r>
      <w:r w:rsidRPr="002F1C4D">
        <w:rPr>
          <w:lang w:val="es"/>
        </w:rPr>
        <w:t xml:space="preserve"> </w:t>
      </w:r>
      <w:r w:rsidRPr="00322592">
        <w:rPr>
          <w:lang w:val="es"/>
        </w:rPr>
        <w:t>incluidos femi</w:t>
      </w:r>
      <w:r>
        <w:rPr>
          <w:lang w:val="es"/>
        </w:rPr>
        <w:t>ni</w:t>
      </w:r>
      <w:r w:rsidRPr="00322592">
        <w:rPr>
          <w:lang w:val="es"/>
        </w:rPr>
        <w:t xml:space="preserve">cidios y violencia doméstica, </w:t>
      </w:r>
      <w:r>
        <w:rPr>
          <w:lang w:val="es"/>
        </w:rPr>
        <w:t xml:space="preserve">y que fueron </w:t>
      </w:r>
      <w:r w:rsidRPr="00322592">
        <w:rPr>
          <w:lang w:val="es"/>
        </w:rPr>
        <w:t xml:space="preserve">reconocidos por la delegación. También preocupa </w:t>
      </w:r>
      <w:r>
        <w:rPr>
          <w:lang w:val="es"/>
        </w:rPr>
        <w:t xml:space="preserve">la reticencia a </w:t>
      </w:r>
      <w:r w:rsidRPr="00322592">
        <w:rPr>
          <w:lang w:val="es"/>
        </w:rPr>
        <w:t>denuncia</w:t>
      </w:r>
      <w:r>
        <w:rPr>
          <w:lang w:val="es"/>
        </w:rPr>
        <w:t>r este tipo de violencia</w:t>
      </w:r>
      <w:r w:rsidRPr="00322592">
        <w:rPr>
          <w:lang w:val="es"/>
        </w:rPr>
        <w:t xml:space="preserve">, </w:t>
      </w:r>
      <w:r>
        <w:rPr>
          <w:lang w:val="es"/>
        </w:rPr>
        <w:t>las dificultades que tienen las autoridades competentes</w:t>
      </w:r>
      <w:r w:rsidRPr="00322592">
        <w:rPr>
          <w:lang w:val="es"/>
        </w:rPr>
        <w:t xml:space="preserve"> para investigar y enjuiciar</w:t>
      </w:r>
      <w:r>
        <w:rPr>
          <w:lang w:val="es"/>
        </w:rPr>
        <w:t xml:space="preserve"> los</w:t>
      </w:r>
      <w:r w:rsidRPr="00322592">
        <w:rPr>
          <w:lang w:val="es"/>
        </w:rPr>
        <w:t xml:space="preserve"> casos denunciados</w:t>
      </w:r>
      <w:r>
        <w:rPr>
          <w:lang w:val="es"/>
        </w:rPr>
        <w:t xml:space="preserve">, </w:t>
      </w:r>
      <w:r w:rsidRPr="00750042">
        <w:rPr>
          <w:lang w:val="es-SV"/>
        </w:rPr>
        <w:t xml:space="preserve">lo que </w:t>
      </w:r>
      <w:r w:rsidRPr="00322592">
        <w:rPr>
          <w:lang w:val="es"/>
        </w:rPr>
        <w:t>obstaculiza el acceso a la justicia y</w:t>
      </w:r>
      <w:r>
        <w:rPr>
          <w:lang w:val="es"/>
        </w:rPr>
        <w:t xml:space="preserve"> la</w:t>
      </w:r>
      <w:r w:rsidRPr="00322592">
        <w:rPr>
          <w:lang w:val="es"/>
        </w:rPr>
        <w:t xml:space="preserve"> </w:t>
      </w:r>
      <w:r>
        <w:rPr>
          <w:lang w:val="es"/>
        </w:rPr>
        <w:t xml:space="preserve">protección y </w:t>
      </w:r>
      <w:r w:rsidRPr="00322592">
        <w:rPr>
          <w:lang w:val="es"/>
        </w:rPr>
        <w:t>reparación adecuada de las víctimas</w:t>
      </w:r>
      <w:r>
        <w:rPr>
          <w:rStyle w:val="Refdenotaalpie"/>
          <w:lang w:val="es"/>
        </w:rPr>
        <w:footnoteReference w:id="36"/>
      </w:r>
      <w:r>
        <w:rPr>
          <w:lang w:val="es"/>
        </w:rPr>
        <w:t xml:space="preserve"> (arts. 2 y 16).</w:t>
      </w:r>
    </w:p>
    <w:p w14:paraId="75E9EE9C" w14:textId="77777777" w:rsidR="000D59FF" w:rsidRPr="00322592" w:rsidRDefault="000D59FF" w:rsidP="000D59FF">
      <w:pPr>
        <w:pStyle w:val="SingleTxtG"/>
        <w:rPr>
          <w:rFonts w:eastAsia="Arial"/>
          <w:b/>
          <w:bCs/>
          <w:lang w:val="es-ES_tradnl"/>
        </w:rPr>
      </w:pPr>
      <w:r w:rsidRPr="00322592">
        <w:rPr>
          <w:rFonts w:eastAsia="Arial"/>
          <w:lang w:val="es-ES_tradnl"/>
        </w:rPr>
        <w:t>3</w:t>
      </w:r>
      <w:r>
        <w:rPr>
          <w:rFonts w:eastAsia="Arial"/>
          <w:lang w:val="es-ES_tradnl"/>
        </w:rPr>
        <w:t>3</w:t>
      </w:r>
      <w:r w:rsidRPr="00322592">
        <w:rPr>
          <w:rFonts w:eastAsia="Arial"/>
          <w:lang w:val="es-ES_tradnl"/>
        </w:rPr>
        <w:t>.</w:t>
      </w:r>
      <w:r w:rsidRPr="00322592">
        <w:rPr>
          <w:rFonts w:eastAsia="Arial"/>
          <w:b/>
          <w:bCs/>
          <w:lang w:val="es-ES_tradnl"/>
        </w:rPr>
        <w:tab/>
      </w:r>
      <w:r w:rsidRPr="00EA7DB9">
        <w:rPr>
          <w:rFonts w:eastAsia="Arial"/>
          <w:b/>
          <w:bCs/>
          <w:lang w:val="es-ES_tradnl"/>
        </w:rPr>
        <w:t>A la luz de los compromisos contraídos por el Estado parte en el marco de la iniciativa “Derechos Humanos 75” y su compromiso contraído durante el examen periódico universal en 2020</w:t>
      </w:r>
      <w:r w:rsidRPr="00FB22AF">
        <w:rPr>
          <w:rStyle w:val="Refdenotaalpie"/>
          <w:rFonts w:eastAsia="Arial"/>
          <w:lang w:val="es-ES_tradnl"/>
        </w:rPr>
        <w:footnoteReference w:id="37"/>
      </w:r>
      <w:r w:rsidRPr="00EA7DB9">
        <w:rPr>
          <w:rFonts w:eastAsia="Arial"/>
          <w:b/>
          <w:bCs/>
          <w:lang w:val="es-ES_tradnl"/>
        </w:rPr>
        <w:t>, el Comité</w:t>
      </w:r>
      <w:r>
        <w:rPr>
          <w:rFonts w:eastAsia="Arial"/>
          <w:b/>
          <w:bCs/>
          <w:lang w:val="es-ES_tradnl"/>
        </w:rPr>
        <w:t xml:space="preserve"> recomienda al </w:t>
      </w:r>
      <w:r w:rsidRPr="00322592">
        <w:rPr>
          <w:rFonts w:eastAsia="Arial"/>
          <w:b/>
          <w:bCs/>
          <w:lang w:val="es-ES_tradnl"/>
        </w:rPr>
        <w:t xml:space="preserve">Estado parte </w:t>
      </w:r>
      <w:r>
        <w:rPr>
          <w:rFonts w:eastAsia="Arial"/>
          <w:b/>
          <w:bCs/>
          <w:lang w:val="es-ES_tradnl"/>
        </w:rPr>
        <w:t>que</w:t>
      </w:r>
      <w:r w:rsidRPr="00322592">
        <w:rPr>
          <w:rFonts w:eastAsia="Arial"/>
          <w:b/>
          <w:bCs/>
          <w:lang w:val="es-ES_tradnl"/>
        </w:rPr>
        <w:t xml:space="preserve">: </w:t>
      </w:r>
    </w:p>
    <w:p w14:paraId="2A73C112" w14:textId="77777777" w:rsidR="000D59FF" w:rsidRPr="00322592" w:rsidRDefault="000D59FF" w:rsidP="000D59FF">
      <w:pPr>
        <w:pStyle w:val="SingleTxtG"/>
        <w:rPr>
          <w:rFonts w:eastAsia="Arial"/>
          <w:b/>
          <w:bCs/>
          <w:lang w:val="es-ES_tradnl"/>
        </w:rPr>
      </w:pPr>
      <w:r>
        <w:rPr>
          <w:rFonts w:eastAsia="Arial"/>
          <w:b/>
          <w:bCs/>
          <w:lang w:val="es-ES_tradnl"/>
        </w:rPr>
        <w:tab/>
      </w:r>
      <w:r w:rsidRPr="00322592">
        <w:rPr>
          <w:rFonts w:eastAsia="Arial"/>
          <w:b/>
          <w:bCs/>
          <w:lang w:val="es-ES_tradnl"/>
        </w:rPr>
        <w:t>a)</w:t>
      </w:r>
      <w:r w:rsidRPr="00322592">
        <w:rPr>
          <w:rFonts w:eastAsia="Arial"/>
          <w:b/>
          <w:bCs/>
          <w:lang w:val="es-ES_tradnl"/>
        </w:rPr>
        <w:tab/>
      </w:r>
      <w:r>
        <w:rPr>
          <w:rFonts w:eastAsia="Arial"/>
          <w:b/>
          <w:bCs/>
          <w:lang w:val="es-ES_tradnl"/>
        </w:rPr>
        <w:t>Contin</w:t>
      </w:r>
      <w:r w:rsidRPr="00DB743B">
        <w:rPr>
          <w:rFonts w:eastAsia="Arial"/>
          <w:b/>
          <w:bCs/>
          <w:lang w:val="es-ES_tradnl"/>
        </w:rPr>
        <w:t>ú</w:t>
      </w:r>
      <w:r w:rsidRPr="00332EE9">
        <w:rPr>
          <w:rFonts w:eastAsia="Arial"/>
          <w:b/>
          <w:bCs/>
          <w:lang w:val="es-ES_tradnl"/>
        </w:rPr>
        <w:t>e adoptando</w:t>
      </w:r>
      <w:r w:rsidRPr="00322592">
        <w:rPr>
          <w:rFonts w:eastAsia="Arial"/>
          <w:b/>
          <w:bCs/>
          <w:lang w:val="es-ES_tradnl"/>
        </w:rPr>
        <w:t xml:space="preserve"> reformas legales necesarias para prevenir y combatir la violencia contra las mujeres y niñas; </w:t>
      </w:r>
    </w:p>
    <w:p w14:paraId="35C2A6AE" w14:textId="77777777" w:rsidR="000D59FF" w:rsidRPr="00322592" w:rsidRDefault="000D59FF" w:rsidP="000D59FF">
      <w:pPr>
        <w:pStyle w:val="SingleTxtG"/>
        <w:rPr>
          <w:rFonts w:eastAsia="Arial"/>
          <w:b/>
          <w:bCs/>
          <w:lang w:val="es-ES_tradnl"/>
        </w:rPr>
      </w:pPr>
      <w:r w:rsidRPr="00322592">
        <w:rPr>
          <w:rFonts w:eastAsia="Arial"/>
          <w:b/>
          <w:bCs/>
          <w:lang w:val="es-ES_tradnl"/>
        </w:rPr>
        <w:tab/>
        <w:t>b)</w:t>
      </w:r>
      <w:r w:rsidRPr="00322592">
        <w:rPr>
          <w:rFonts w:eastAsia="Arial"/>
          <w:b/>
          <w:bCs/>
          <w:lang w:val="es-ES_tradnl"/>
        </w:rPr>
        <w:tab/>
        <w:t>Vel</w:t>
      </w:r>
      <w:r>
        <w:rPr>
          <w:rFonts w:eastAsia="Arial"/>
          <w:b/>
          <w:bCs/>
          <w:lang w:val="es-ES_tradnl"/>
        </w:rPr>
        <w:t>e</w:t>
      </w:r>
      <w:r w:rsidRPr="00322592">
        <w:rPr>
          <w:rFonts w:eastAsia="Arial"/>
          <w:b/>
          <w:bCs/>
          <w:lang w:val="es-ES_tradnl"/>
        </w:rPr>
        <w:t xml:space="preserve"> por que se investiguen a fondo todos los actos de violencia </w:t>
      </w:r>
      <w:r>
        <w:rPr>
          <w:rFonts w:eastAsia="Arial"/>
          <w:b/>
          <w:bCs/>
          <w:lang w:val="es-ES_tradnl"/>
        </w:rPr>
        <w:t>de género</w:t>
      </w:r>
      <w:r w:rsidRPr="00322592">
        <w:rPr>
          <w:rFonts w:eastAsia="Arial"/>
          <w:b/>
          <w:bCs/>
          <w:lang w:val="es-ES_tradnl"/>
        </w:rPr>
        <w:t xml:space="preserve">, especialmente los que entrañen acciones y omisiones de las autoridades del Estado u otras entidades que comprometan la responsabilidad internacional del Estado parte en virtud de la Convención, por que se enjuicie a los presuntos autores y, en caso de condena, se les imponga el castigo apropiado, y </w:t>
      </w:r>
      <w:r>
        <w:rPr>
          <w:rFonts w:eastAsia="Arial"/>
          <w:b/>
          <w:bCs/>
          <w:lang w:val="es-ES_tradnl"/>
        </w:rPr>
        <w:t xml:space="preserve">por que </w:t>
      </w:r>
      <w:r w:rsidRPr="00322592">
        <w:rPr>
          <w:rFonts w:eastAsia="Arial"/>
          <w:b/>
          <w:bCs/>
          <w:lang w:val="es-ES_tradnl"/>
        </w:rPr>
        <w:t xml:space="preserve">las víctimas o sus familias reciban medidas de reparación que incluyan una indemnización y una rehabilitación adecuadas y tengan acceso a asistencia jurídica, refugios seguros y la atención médica y el apoyo psicosocial necesarios; </w:t>
      </w:r>
    </w:p>
    <w:p w14:paraId="07814492" w14:textId="77777777" w:rsidR="000D59FF" w:rsidRPr="00322592" w:rsidRDefault="000D59FF" w:rsidP="000D59FF">
      <w:pPr>
        <w:pStyle w:val="SingleTxtG"/>
        <w:rPr>
          <w:i/>
          <w:iCs/>
          <w:lang w:val="es"/>
        </w:rPr>
      </w:pPr>
      <w:r w:rsidRPr="00322592">
        <w:rPr>
          <w:rFonts w:eastAsia="Arial"/>
          <w:b/>
          <w:bCs/>
          <w:lang w:val="es-ES_tradnl"/>
        </w:rPr>
        <w:tab/>
        <w:t>c)</w:t>
      </w:r>
      <w:r w:rsidRPr="00322592">
        <w:rPr>
          <w:rFonts w:eastAsia="Arial"/>
          <w:b/>
          <w:bCs/>
          <w:lang w:val="es-ES_tradnl"/>
        </w:rPr>
        <w:tab/>
        <w:t>Redobl</w:t>
      </w:r>
      <w:r>
        <w:rPr>
          <w:rFonts w:eastAsia="Arial"/>
          <w:b/>
          <w:bCs/>
          <w:lang w:val="es-ES_tradnl"/>
        </w:rPr>
        <w:t>e</w:t>
      </w:r>
      <w:r w:rsidRPr="00322592">
        <w:rPr>
          <w:rFonts w:eastAsia="Arial"/>
          <w:b/>
          <w:bCs/>
          <w:lang w:val="es-ES_tradnl"/>
        </w:rPr>
        <w:t xml:space="preserve"> sus esfuerzos de </w:t>
      </w:r>
      <w:r>
        <w:rPr>
          <w:rFonts w:eastAsia="Arial"/>
          <w:b/>
          <w:bCs/>
          <w:lang w:val="es-ES_tradnl"/>
        </w:rPr>
        <w:t>concienciación pública</w:t>
      </w:r>
      <w:r w:rsidRPr="00322592">
        <w:rPr>
          <w:rFonts w:eastAsia="Arial"/>
          <w:b/>
          <w:bCs/>
          <w:lang w:val="es-ES_tradnl"/>
        </w:rPr>
        <w:t xml:space="preserve"> sobre el carácter delictivo de la violencia contra las mujeres y las niñas, entre otras cosas mediante campañas </w:t>
      </w:r>
      <w:r w:rsidRPr="00322592">
        <w:rPr>
          <w:rFonts w:eastAsia="Arial"/>
          <w:b/>
          <w:bCs/>
          <w:lang w:val="es-ES_tradnl"/>
        </w:rPr>
        <w:lastRenderedPageBreak/>
        <w:t>educativas y en los medios de comunicación, y foment</w:t>
      </w:r>
      <w:r>
        <w:rPr>
          <w:rFonts w:eastAsia="Arial"/>
          <w:b/>
          <w:bCs/>
          <w:lang w:val="es-ES_tradnl"/>
        </w:rPr>
        <w:t>e</w:t>
      </w:r>
      <w:r w:rsidRPr="00322592">
        <w:rPr>
          <w:rFonts w:eastAsia="Arial"/>
          <w:b/>
          <w:bCs/>
          <w:lang w:val="es-ES_tradnl"/>
        </w:rPr>
        <w:t xml:space="preserve"> la </w:t>
      </w:r>
      <w:r>
        <w:rPr>
          <w:rFonts w:eastAsia="Arial"/>
          <w:b/>
          <w:bCs/>
          <w:lang w:val="es-ES_tradnl"/>
        </w:rPr>
        <w:t xml:space="preserve">difusión de </w:t>
      </w:r>
      <w:r w:rsidRPr="00322592">
        <w:rPr>
          <w:rFonts w:eastAsia="Arial"/>
          <w:b/>
          <w:bCs/>
          <w:lang w:val="es-ES_tradnl"/>
        </w:rPr>
        <w:t>información sobre mecanismos de denuncia y recursos disponibles</w:t>
      </w:r>
      <w:r>
        <w:rPr>
          <w:rFonts w:eastAsia="Arial"/>
          <w:b/>
          <w:bCs/>
          <w:lang w:val="es-ES_tradnl"/>
        </w:rPr>
        <w:t>.</w:t>
      </w:r>
      <w:r w:rsidRPr="00322592">
        <w:rPr>
          <w:i/>
          <w:iCs/>
          <w:lang w:val="es"/>
        </w:rPr>
        <w:t xml:space="preserve"> </w:t>
      </w:r>
    </w:p>
    <w:p w14:paraId="053042F9" w14:textId="77777777" w:rsidR="000D59FF" w:rsidRPr="004E2E5D" w:rsidRDefault="000D59FF" w:rsidP="000D59FF">
      <w:pPr>
        <w:pStyle w:val="H23G"/>
        <w:rPr>
          <w:lang w:val="es"/>
        </w:rPr>
      </w:pPr>
      <w:r>
        <w:rPr>
          <w:lang w:val="es"/>
        </w:rPr>
        <w:tab/>
      </w:r>
      <w:r>
        <w:rPr>
          <w:lang w:val="es"/>
        </w:rPr>
        <w:tab/>
      </w:r>
      <w:r w:rsidRPr="004E2E5D">
        <w:rPr>
          <w:lang w:val="es"/>
        </w:rPr>
        <w:t>Interrupción voluntaria del embarazo</w:t>
      </w:r>
    </w:p>
    <w:p w14:paraId="27860B32" w14:textId="77777777" w:rsidR="000D59FF" w:rsidRPr="00322592" w:rsidRDefault="000D59FF" w:rsidP="000D59FF">
      <w:pPr>
        <w:pStyle w:val="SingleTxtG"/>
        <w:rPr>
          <w:lang w:val="es"/>
        </w:rPr>
      </w:pPr>
      <w:r>
        <w:rPr>
          <w:lang w:val="es"/>
        </w:rPr>
        <w:t>34.</w:t>
      </w:r>
      <w:r>
        <w:rPr>
          <w:lang w:val="es"/>
        </w:rPr>
        <w:tab/>
        <w:t xml:space="preserve">Sigue </w:t>
      </w:r>
      <w:r w:rsidRPr="00AF45F8">
        <w:rPr>
          <w:lang w:val="es"/>
        </w:rPr>
        <w:t>preocupando</w:t>
      </w:r>
      <w:r w:rsidRPr="00AF45F8">
        <w:rPr>
          <w:rFonts w:eastAsia="Arial"/>
          <w:lang w:val="es-ES_tradnl"/>
        </w:rPr>
        <w:t xml:space="preserve"> al Comité el mantenimiento de la prohibición absoluta del aborto (</w:t>
      </w:r>
      <w:r w:rsidRPr="00DB743B">
        <w:rPr>
          <w:rFonts w:eastAsia="Arial"/>
          <w:lang w:val="es-ES_tradnl"/>
        </w:rPr>
        <w:t>artículos 67 de la Constitución</w:t>
      </w:r>
      <w:r w:rsidRPr="00AF45F8">
        <w:rPr>
          <w:rFonts w:eastAsia="Arial"/>
          <w:lang w:val="es-ES_tradnl"/>
        </w:rPr>
        <w:t xml:space="preserve"> y 196</w:t>
      </w:r>
      <w:r w:rsidRPr="00322592">
        <w:rPr>
          <w:rFonts w:eastAsia="Arial"/>
          <w:lang w:val="es-ES_tradnl"/>
        </w:rPr>
        <w:t xml:space="preserve"> del Código Penal</w:t>
      </w:r>
      <w:r>
        <w:rPr>
          <w:rFonts w:eastAsia="Arial"/>
          <w:lang w:val="es-ES_tradnl"/>
        </w:rPr>
        <w:t>)</w:t>
      </w:r>
      <w:r w:rsidRPr="00322592">
        <w:rPr>
          <w:rFonts w:eastAsia="Arial"/>
          <w:lang w:val="es-ES_tradnl"/>
        </w:rPr>
        <w:t xml:space="preserve"> y lamenta la resolución de fallo negativo de la Corte Suprema de Justicia del 13 de enero de 2023 ante el recurso de inconstitucionalidad que habría permitido la despenalización del aborto</w:t>
      </w:r>
      <w:r w:rsidRPr="00750042">
        <w:rPr>
          <w:lang w:val="es-SV"/>
        </w:rPr>
        <w:t xml:space="preserve"> </w:t>
      </w:r>
      <w:r w:rsidRPr="00322592">
        <w:rPr>
          <w:rFonts w:eastAsia="Arial"/>
          <w:lang w:val="es-ES_tradnl"/>
        </w:rPr>
        <w:t>bajo ciert</w:t>
      </w:r>
      <w:r>
        <w:rPr>
          <w:rFonts w:eastAsia="Arial"/>
          <w:lang w:val="es-ES_tradnl"/>
        </w:rPr>
        <w:t>a</w:t>
      </w:r>
      <w:r w:rsidRPr="00322592">
        <w:rPr>
          <w:rFonts w:eastAsia="Arial"/>
          <w:lang w:val="es-ES_tradnl"/>
        </w:rPr>
        <w:t>s causales</w:t>
      </w:r>
      <w:r w:rsidRPr="00322592">
        <w:rPr>
          <w:rStyle w:val="Refdenotaalpie"/>
          <w:rFonts w:eastAsia="Arial"/>
          <w:lang w:val="es-ES_tradnl"/>
        </w:rPr>
        <w:footnoteReference w:id="38"/>
      </w:r>
      <w:r w:rsidRPr="00322592">
        <w:rPr>
          <w:rFonts w:eastAsia="Arial"/>
          <w:lang w:val="es-ES_tradnl"/>
        </w:rPr>
        <w:t>. Le preocupa que dichas restricciones no solo obliguen a las mujeres a recurrir a abortos clandestinos que pon</w:t>
      </w:r>
      <w:r>
        <w:rPr>
          <w:rFonts w:eastAsia="Arial"/>
          <w:lang w:val="es-ES_tradnl"/>
        </w:rPr>
        <w:t>e</w:t>
      </w:r>
      <w:r w:rsidRPr="00322592">
        <w:rPr>
          <w:rFonts w:eastAsia="Arial"/>
          <w:lang w:val="es-ES_tradnl"/>
        </w:rPr>
        <w:t>n en peligro su</w:t>
      </w:r>
      <w:r>
        <w:rPr>
          <w:rFonts w:eastAsia="Arial"/>
          <w:lang w:val="es-ES_tradnl"/>
        </w:rPr>
        <w:t xml:space="preserve"> salud y sus</w:t>
      </w:r>
      <w:r w:rsidRPr="00322592">
        <w:rPr>
          <w:rFonts w:eastAsia="Arial"/>
          <w:lang w:val="es-ES_tradnl"/>
        </w:rPr>
        <w:t xml:space="preserve"> vida</w:t>
      </w:r>
      <w:r>
        <w:rPr>
          <w:rFonts w:eastAsia="Arial"/>
          <w:lang w:val="es-ES_tradnl"/>
        </w:rPr>
        <w:t>s</w:t>
      </w:r>
      <w:r w:rsidRPr="00322592">
        <w:rPr>
          <w:rFonts w:eastAsia="Arial"/>
          <w:lang w:val="es-ES_tradnl"/>
        </w:rPr>
        <w:t xml:space="preserve">, sino que además </w:t>
      </w:r>
      <w:r>
        <w:rPr>
          <w:rFonts w:eastAsia="Arial"/>
          <w:lang w:val="es-ES_tradnl"/>
        </w:rPr>
        <w:t>se</w:t>
      </w:r>
      <w:r w:rsidRPr="00322592">
        <w:rPr>
          <w:rFonts w:eastAsia="Arial"/>
          <w:lang w:val="es-ES_tradnl"/>
        </w:rPr>
        <w:t xml:space="preserve"> expongan </w:t>
      </w:r>
      <w:r>
        <w:rPr>
          <w:rFonts w:eastAsia="Arial"/>
          <w:lang w:val="es-ES_tradnl"/>
        </w:rPr>
        <w:t>a</w:t>
      </w:r>
      <w:r w:rsidRPr="00322592">
        <w:rPr>
          <w:rFonts w:eastAsia="Arial"/>
          <w:lang w:val="es-ES_tradnl"/>
        </w:rPr>
        <w:t xml:space="preserve"> ser sancionadas penalmente, al igual que los médicos y otros profesionales de la salud que </w:t>
      </w:r>
      <w:r>
        <w:rPr>
          <w:rFonts w:eastAsia="Arial"/>
          <w:lang w:val="es-ES_tradnl"/>
        </w:rPr>
        <w:t>las atienden</w:t>
      </w:r>
      <w:r w:rsidRPr="00322592">
        <w:rPr>
          <w:rFonts w:eastAsia="Arial"/>
          <w:lang w:val="es-ES_tradnl"/>
        </w:rPr>
        <w:t xml:space="preserve">. El Comité toma nota </w:t>
      </w:r>
      <w:r>
        <w:rPr>
          <w:rFonts w:eastAsia="Arial"/>
          <w:lang w:val="es-ES_tradnl"/>
        </w:rPr>
        <w:t xml:space="preserve">de la información facilitada por el Estado parte sobre </w:t>
      </w:r>
      <w:r w:rsidRPr="00322592">
        <w:rPr>
          <w:rFonts w:eastAsia="Arial"/>
          <w:lang w:val="es-ES_tradnl"/>
        </w:rPr>
        <w:t>la autorización parcial que permite la distribución y uso de anticoncep</w:t>
      </w:r>
      <w:r>
        <w:rPr>
          <w:rFonts w:eastAsia="Arial"/>
          <w:lang w:val="es-ES_tradnl"/>
        </w:rPr>
        <w:t>tivos</w:t>
      </w:r>
      <w:r w:rsidRPr="00322592">
        <w:rPr>
          <w:rFonts w:eastAsia="Arial"/>
          <w:lang w:val="es-ES_tradnl"/>
        </w:rPr>
        <w:t xml:space="preserve"> de emergencia. Sin embargo, </w:t>
      </w:r>
      <w:r>
        <w:rPr>
          <w:rFonts w:eastAsia="Arial"/>
          <w:lang w:val="es-ES_tradnl"/>
        </w:rPr>
        <w:t>lamenta</w:t>
      </w:r>
      <w:r w:rsidRPr="00322592">
        <w:rPr>
          <w:rFonts w:eastAsia="Arial"/>
          <w:lang w:val="es-ES_tradnl"/>
        </w:rPr>
        <w:t xml:space="preserve"> la falta de acceso real a est</w:t>
      </w:r>
      <w:r>
        <w:rPr>
          <w:rFonts w:eastAsia="Arial"/>
          <w:lang w:val="es-ES_tradnl"/>
        </w:rPr>
        <w:t>e</w:t>
      </w:r>
      <w:r w:rsidRPr="00322592">
        <w:rPr>
          <w:rFonts w:eastAsia="Arial"/>
          <w:lang w:val="es-ES_tradnl"/>
        </w:rPr>
        <w:t xml:space="preserve"> </w:t>
      </w:r>
      <w:r>
        <w:rPr>
          <w:rFonts w:eastAsia="Arial"/>
          <w:lang w:val="es-ES_tradnl"/>
        </w:rPr>
        <w:t>método anticonceptivo</w:t>
      </w:r>
      <w:r w:rsidRPr="00322592">
        <w:rPr>
          <w:rFonts w:eastAsia="Arial"/>
          <w:lang w:val="es-ES_tradnl"/>
        </w:rPr>
        <w:t xml:space="preserve"> en </w:t>
      </w:r>
      <w:r w:rsidRPr="00750042">
        <w:rPr>
          <w:rFonts w:asciiTheme="majorBidi" w:hAnsiTheme="majorBidi" w:cstheme="majorBidi"/>
          <w:lang w:val="es-SV"/>
        </w:rPr>
        <w:t>hospitales públicos, incluido en el caso de mujeres que hayan sido víctimas de violencia sexual</w:t>
      </w:r>
      <w:r w:rsidRPr="00322592">
        <w:rPr>
          <w:rFonts w:eastAsia="Arial"/>
          <w:lang w:val="es-ES_tradnl"/>
        </w:rPr>
        <w:t xml:space="preserve"> </w:t>
      </w:r>
      <w:r w:rsidRPr="00750042">
        <w:rPr>
          <w:rFonts w:asciiTheme="majorBidi" w:hAnsiTheme="majorBidi" w:cstheme="majorBidi"/>
          <w:lang w:val="es-SV"/>
        </w:rPr>
        <w:t>(arts.</w:t>
      </w:r>
      <w:r w:rsidRPr="00322592">
        <w:rPr>
          <w:lang w:val="es"/>
        </w:rPr>
        <w:t xml:space="preserve"> 2</w:t>
      </w:r>
      <w:r>
        <w:rPr>
          <w:lang w:val="es"/>
        </w:rPr>
        <w:t xml:space="preserve"> </w:t>
      </w:r>
      <w:r w:rsidRPr="00322592">
        <w:rPr>
          <w:lang w:val="es"/>
        </w:rPr>
        <w:t>y 16)</w:t>
      </w:r>
      <w:r w:rsidRPr="00750042">
        <w:rPr>
          <w:lang w:val="es-SV"/>
        </w:rPr>
        <w:t>.</w:t>
      </w:r>
    </w:p>
    <w:p w14:paraId="5C68549B" w14:textId="77777777" w:rsidR="000D59FF" w:rsidRPr="00FB22AF" w:rsidRDefault="000D59FF" w:rsidP="000D59FF">
      <w:pPr>
        <w:pStyle w:val="SingleTxtG"/>
        <w:rPr>
          <w:bCs/>
          <w:lang w:val="es-SV"/>
        </w:rPr>
      </w:pPr>
      <w:r w:rsidRPr="00750042">
        <w:rPr>
          <w:lang w:val="es-SV"/>
        </w:rPr>
        <w:t>35.</w:t>
      </w:r>
      <w:r w:rsidRPr="00750042">
        <w:rPr>
          <w:lang w:val="es-SV"/>
        </w:rPr>
        <w:tab/>
      </w:r>
      <w:r w:rsidRPr="00FB22AF">
        <w:rPr>
          <w:b/>
          <w:bCs/>
          <w:lang w:val="es-SV"/>
        </w:rPr>
        <w:t>El Estado parte debe:</w:t>
      </w:r>
    </w:p>
    <w:p w14:paraId="2982972D" w14:textId="77777777" w:rsidR="000D59FF" w:rsidRPr="00750042" w:rsidRDefault="000D59FF" w:rsidP="000D59FF">
      <w:pPr>
        <w:pStyle w:val="SingleTxtG"/>
        <w:rPr>
          <w:b/>
          <w:bCs/>
          <w:lang w:val="es-SV"/>
        </w:rPr>
      </w:pPr>
      <w:r w:rsidRPr="00750042">
        <w:rPr>
          <w:b/>
          <w:bCs/>
          <w:lang w:val="es-SV"/>
        </w:rPr>
        <w:tab/>
        <w:t>a)</w:t>
      </w:r>
      <w:r w:rsidRPr="00750042">
        <w:rPr>
          <w:b/>
          <w:bCs/>
          <w:lang w:val="es-SV"/>
        </w:rPr>
        <w:tab/>
      </w:r>
      <w:r w:rsidRPr="00DB743B">
        <w:rPr>
          <w:b/>
          <w:bCs/>
          <w:lang w:val="es-SV"/>
        </w:rPr>
        <w:t xml:space="preserve">Revisar el mantenimiento de la prohibición absoluta del aborto establecida en los </w:t>
      </w:r>
      <w:r w:rsidRPr="00AF45F8">
        <w:rPr>
          <w:b/>
          <w:bCs/>
          <w:lang w:val="es-SV"/>
        </w:rPr>
        <w:t>artículo</w:t>
      </w:r>
      <w:r w:rsidRPr="00DB743B">
        <w:rPr>
          <w:b/>
          <w:bCs/>
          <w:lang w:val="es-SV"/>
        </w:rPr>
        <w:t xml:space="preserve">s 67 de la Constitución y 196 del </w:t>
      </w:r>
      <w:r w:rsidRPr="00AF45F8">
        <w:rPr>
          <w:b/>
          <w:bCs/>
          <w:lang w:val="es-SV"/>
        </w:rPr>
        <w:t>Código</w:t>
      </w:r>
      <w:r w:rsidRPr="00DB743B">
        <w:rPr>
          <w:b/>
          <w:bCs/>
          <w:lang w:val="es-SV"/>
        </w:rPr>
        <w:t xml:space="preserve"> Penal</w:t>
      </w:r>
      <w:r w:rsidRPr="00AF45F8">
        <w:rPr>
          <w:b/>
          <w:bCs/>
          <w:lang w:val="es-SV"/>
        </w:rPr>
        <w:t xml:space="preserve"> y</w:t>
      </w:r>
      <w:r w:rsidRPr="00AF45F8">
        <w:rPr>
          <w:rStyle w:val="cf01"/>
        </w:rPr>
        <w:t xml:space="preserve"> </w:t>
      </w:r>
      <w:r w:rsidRPr="00DB743B">
        <w:rPr>
          <w:b/>
          <w:bCs/>
          <w:lang w:val="es-SV"/>
        </w:rPr>
        <w:t>g</w:t>
      </w:r>
      <w:r w:rsidRPr="00AF45F8">
        <w:rPr>
          <w:b/>
          <w:bCs/>
          <w:lang w:val="es-SV"/>
        </w:rPr>
        <w:t>arantizar el acceso efectivo a los medios para interrumpir un embarazo cuando</w:t>
      </w:r>
      <w:r w:rsidRPr="00750042">
        <w:rPr>
          <w:b/>
          <w:bCs/>
          <w:lang w:val="es-SV"/>
        </w:rPr>
        <w:t xml:space="preserve"> sea probable que, de no hacerlo, se produzcan dolor y sufrimientos graves, por ejemplo, cuando el embarazo es consecuencia de una violación o un incesto, la vida o la salud de la embarazada está en peligro y en casos de malformación fetal mortal; </w:t>
      </w:r>
    </w:p>
    <w:p w14:paraId="11EE5D29" w14:textId="77777777" w:rsidR="000D59FF" w:rsidRPr="00750042" w:rsidRDefault="000D59FF" w:rsidP="000D59FF">
      <w:pPr>
        <w:pStyle w:val="SingleTxtG"/>
        <w:rPr>
          <w:b/>
          <w:bCs/>
          <w:lang w:val="es-SV"/>
        </w:rPr>
      </w:pPr>
      <w:r w:rsidRPr="00750042">
        <w:rPr>
          <w:b/>
          <w:bCs/>
          <w:lang w:val="es-SV"/>
        </w:rPr>
        <w:tab/>
        <w:t>b)</w:t>
      </w:r>
      <w:r w:rsidRPr="00750042">
        <w:rPr>
          <w:b/>
          <w:bCs/>
          <w:lang w:val="es-SV"/>
        </w:rPr>
        <w:tab/>
        <w:t xml:space="preserve">Adoptar las medidas necesarias, de conformidad con las Directrices sobre la atención para el aborto de la Organización Mundial de la Salud (2022), </w:t>
      </w:r>
      <w:r>
        <w:rPr>
          <w:b/>
          <w:bCs/>
          <w:lang w:val="es-SV"/>
        </w:rPr>
        <w:t>con el fin de</w:t>
      </w:r>
      <w:r w:rsidRPr="00750042">
        <w:rPr>
          <w:b/>
          <w:bCs/>
          <w:lang w:val="es-SV"/>
        </w:rPr>
        <w:t xml:space="preserve"> velar por que ni las pacientes que recurren al aborto ni los profesionales médicos que practican interrupciones voluntarias del embarazo se enfrenten a sanciones penales, y que las mujeres y niñas tengan acceso efectivo a la atención sanitaria posterior al aborto, independientemente de que lo hayan hecho de forma legal o ilegal; </w:t>
      </w:r>
    </w:p>
    <w:p w14:paraId="0078B023" w14:textId="77777777" w:rsidR="000D59FF" w:rsidRPr="00750042" w:rsidRDefault="000D59FF" w:rsidP="000D59FF">
      <w:pPr>
        <w:pStyle w:val="SingleTxtG"/>
        <w:rPr>
          <w:i/>
          <w:iCs/>
          <w:lang w:val="es"/>
        </w:rPr>
      </w:pPr>
      <w:r w:rsidRPr="00750042">
        <w:rPr>
          <w:b/>
          <w:bCs/>
          <w:lang w:val="es-SV"/>
        </w:rPr>
        <w:tab/>
        <w:t>c)</w:t>
      </w:r>
      <w:r w:rsidRPr="00750042">
        <w:rPr>
          <w:b/>
          <w:bCs/>
          <w:lang w:val="es-SV"/>
        </w:rPr>
        <w:tab/>
      </w:r>
      <w:r w:rsidRPr="00DB743B">
        <w:rPr>
          <w:b/>
          <w:bCs/>
          <w:lang w:val="es-SV"/>
        </w:rPr>
        <w:t>Revisar las sentencias de mujeres</w:t>
      </w:r>
      <w:r w:rsidRPr="00AF45F8">
        <w:rPr>
          <w:b/>
          <w:bCs/>
          <w:lang w:val="es-SV"/>
        </w:rPr>
        <w:t xml:space="preserve"> condenadas penalmente</w:t>
      </w:r>
      <w:r w:rsidRPr="00DB743B">
        <w:rPr>
          <w:b/>
          <w:bCs/>
          <w:lang w:val="es-SV"/>
        </w:rPr>
        <w:t xml:space="preserve"> como consecuencia de emergencias </w:t>
      </w:r>
      <w:r w:rsidRPr="00AF45F8">
        <w:rPr>
          <w:b/>
          <w:bCs/>
          <w:lang w:val="es-SV"/>
        </w:rPr>
        <w:t xml:space="preserve">obstétricas </w:t>
      </w:r>
      <w:r w:rsidRPr="00DB743B">
        <w:rPr>
          <w:b/>
          <w:bCs/>
          <w:lang w:val="es-SV"/>
        </w:rPr>
        <w:t>a la luz de las obligaciones internacionales a fin de a</w:t>
      </w:r>
      <w:r w:rsidRPr="00AF45F8">
        <w:rPr>
          <w:b/>
          <w:bCs/>
          <w:lang w:val="es-SV"/>
        </w:rPr>
        <w:t>bsolver</w:t>
      </w:r>
      <w:r>
        <w:rPr>
          <w:b/>
          <w:bCs/>
          <w:lang w:val="es-SV"/>
        </w:rPr>
        <w:t>las</w:t>
      </w:r>
      <w:r w:rsidRPr="00AF45F8">
        <w:rPr>
          <w:b/>
          <w:bCs/>
          <w:lang w:val="es-SV"/>
        </w:rPr>
        <w:t xml:space="preserve"> y excarcelarlas.</w:t>
      </w:r>
    </w:p>
    <w:p w14:paraId="3109D1B5" w14:textId="77777777" w:rsidR="000D59FF" w:rsidRDefault="000D59FF" w:rsidP="000D59FF">
      <w:pPr>
        <w:pStyle w:val="H23G"/>
        <w:rPr>
          <w:lang w:val="es-ES_tradnl"/>
        </w:rPr>
      </w:pPr>
      <w:r>
        <w:rPr>
          <w:rFonts w:asciiTheme="majorBidi" w:hAnsiTheme="majorBidi" w:cstheme="majorBidi"/>
          <w:lang w:val="es-SV"/>
        </w:rPr>
        <w:tab/>
      </w:r>
      <w:r>
        <w:rPr>
          <w:rFonts w:asciiTheme="majorBidi" w:hAnsiTheme="majorBidi" w:cstheme="majorBidi"/>
          <w:lang w:val="es-SV"/>
        </w:rPr>
        <w:tab/>
      </w:r>
      <w:r w:rsidRPr="00FB22AF">
        <w:rPr>
          <w:rFonts w:asciiTheme="majorBidi" w:hAnsiTheme="majorBidi" w:cstheme="majorBidi"/>
          <w:lang w:val="es-ES_tradnl"/>
        </w:rPr>
        <w:t>V</w:t>
      </w:r>
      <w:r w:rsidRPr="0044262C">
        <w:rPr>
          <w:lang w:val="es-ES_tradnl"/>
        </w:rPr>
        <w:t>iolencia</w:t>
      </w:r>
      <w:r w:rsidRPr="00322592">
        <w:rPr>
          <w:lang w:val="es-ES_tradnl"/>
        </w:rPr>
        <w:t xml:space="preserve"> </w:t>
      </w:r>
      <w:r>
        <w:rPr>
          <w:lang w:val="es-ES_tradnl"/>
        </w:rPr>
        <w:t>contra personas a causa</w:t>
      </w:r>
      <w:r w:rsidRPr="00322592">
        <w:rPr>
          <w:lang w:val="es-ES_tradnl"/>
        </w:rPr>
        <w:t xml:space="preserve"> </w:t>
      </w:r>
      <w:r>
        <w:rPr>
          <w:lang w:val="es-ES_tradnl"/>
        </w:rPr>
        <w:t>de su</w:t>
      </w:r>
      <w:r w:rsidRPr="00322592">
        <w:rPr>
          <w:lang w:val="es-ES_tradnl"/>
        </w:rPr>
        <w:t xml:space="preserve"> orientación sexual o identidad de género</w:t>
      </w:r>
      <w:r>
        <w:rPr>
          <w:lang w:val="es-ES_tradnl"/>
        </w:rPr>
        <w:t>,</w:t>
      </w:r>
      <w:r w:rsidRPr="00322592">
        <w:rPr>
          <w:lang w:val="es-ES_tradnl"/>
        </w:rPr>
        <w:t xml:space="preserve"> real</w:t>
      </w:r>
      <w:r>
        <w:rPr>
          <w:lang w:val="es-ES_tradnl"/>
        </w:rPr>
        <w:t> </w:t>
      </w:r>
      <w:r w:rsidRPr="00322592">
        <w:rPr>
          <w:lang w:val="es-ES_tradnl"/>
        </w:rPr>
        <w:t>o percibida</w:t>
      </w:r>
      <w:r>
        <w:rPr>
          <w:lang w:val="es-ES_tradnl"/>
        </w:rPr>
        <w:t xml:space="preserve"> </w:t>
      </w:r>
    </w:p>
    <w:p w14:paraId="60BEDFEC" w14:textId="77777777" w:rsidR="000D59FF" w:rsidRPr="00750042" w:rsidRDefault="000D59FF" w:rsidP="000D59FF">
      <w:pPr>
        <w:pStyle w:val="SingleTxtG"/>
        <w:rPr>
          <w:i/>
          <w:iCs/>
          <w:lang w:val="es-SV"/>
        </w:rPr>
      </w:pPr>
      <w:r w:rsidRPr="00322592">
        <w:rPr>
          <w:lang w:val="es"/>
        </w:rPr>
        <w:t>3</w:t>
      </w:r>
      <w:r>
        <w:rPr>
          <w:lang w:val="es"/>
        </w:rPr>
        <w:t>6</w:t>
      </w:r>
      <w:r w:rsidRPr="00322592">
        <w:rPr>
          <w:lang w:val="es"/>
        </w:rPr>
        <w:t>.</w:t>
      </w:r>
      <w:r w:rsidRPr="00322592">
        <w:rPr>
          <w:lang w:val="es"/>
        </w:rPr>
        <w:tab/>
        <w:t xml:space="preserve">El Comité está preocupado por los informes recibidos </w:t>
      </w:r>
      <w:r>
        <w:rPr>
          <w:lang w:val="es"/>
        </w:rPr>
        <w:t xml:space="preserve">en los </w:t>
      </w:r>
      <w:r w:rsidRPr="00322592">
        <w:rPr>
          <w:lang w:val="es"/>
        </w:rPr>
        <w:t xml:space="preserve">que </w:t>
      </w:r>
      <w:r>
        <w:rPr>
          <w:lang w:val="es"/>
        </w:rPr>
        <w:t>se denuncian</w:t>
      </w:r>
      <w:r w:rsidRPr="00322592">
        <w:rPr>
          <w:lang w:val="es"/>
        </w:rPr>
        <w:t xml:space="preserve"> la</w:t>
      </w:r>
      <w:r w:rsidRPr="004C4306">
        <w:rPr>
          <w:lang w:val="es"/>
        </w:rPr>
        <w:t>s numerosas agresiones violentas a personas a causa de su orientación sexual o identidad de género, real o percibida</w:t>
      </w:r>
      <w:r w:rsidRPr="00750042">
        <w:rPr>
          <w:rFonts w:cstheme="minorHAnsi"/>
          <w:sz w:val="18"/>
          <w:szCs w:val="18"/>
          <w:lang w:val="es-SV"/>
        </w:rPr>
        <w:t xml:space="preserve">. </w:t>
      </w:r>
      <w:r w:rsidRPr="00750042">
        <w:rPr>
          <w:rFonts w:cstheme="minorHAnsi"/>
          <w:lang w:val="es-SV"/>
        </w:rPr>
        <w:t xml:space="preserve">Al respecto, el Comité </w:t>
      </w:r>
      <w:r w:rsidRPr="00E00F61">
        <w:rPr>
          <w:lang w:val="es"/>
        </w:rPr>
        <w:t>toma</w:t>
      </w:r>
      <w:r w:rsidRPr="00322592">
        <w:rPr>
          <w:lang w:val="es"/>
        </w:rPr>
        <w:t xml:space="preserve"> nota de los esfuerzos</w:t>
      </w:r>
      <w:r>
        <w:rPr>
          <w:lang w:val="es"/>
        </w:rPr>
        <w:t xml:space="preserve"> realizados por </w:t>
      </w:r>
      <w:r w:rsidRPr="00322592">
        <w:rPr>
          <w:lang w:val="es"/>
        </w:rPr>
        <w:t>el Estado parte p</w:t>
      </w:r>
      <w:r>
        <w:rPr>
          <w:lang w:val="es"/>
        </w:rPr>
        <w:t>a</w:t>
      </w:r>
      <w:r w:rsidRPr="00322592">
        <w:rPr>
          <w:lang w:val="es"/>
        </w:rPr>
        <w:t>r</w:t>
      </w:r>
      <w:r>
        <w:rPr>
          <w:lang w:val="es"/>
        </w:rPr>
        <w:t>a</w:t>
      </w:r>
      <w:r w:rsidRPr="00322592">
        <w:rPr>
          <w:lang w:val="es"/>
        </w:rPr>
        <w:t xml:space="preserve"> dar cumplimiento a diversas acciones derivadas de la sentencia </w:t>
      </w:r>
      <w:r>
        <w:rPr>
          <w:lang w:val="es"/>
        </w:rPr>
        <w:t xml:space="preserve">dictada por </w:t>
      </w:r>
      <w:r w:rsidRPr="00322592">
        <w:rPr>
          <w:lang w:val="es"/>
        </w:rPr>
        <w:t>la Corte Interamericana de Derechos Humanos en el caso</w:t>
      </w:r>
      <w:r w:rsidRPr="00750042">
        <w:rPr>
          <w:lang w:val="es-SV"/>
        </w:rPr>
        <w:t xml:space="preserve"> </w:t>
      </w:r>
      <w:r w:rsidRPr="00750042">
        <w:rPr>
          <w:i/>
          <w:iCs/>
          <w:lang w:val="es-SV"/>
        </w:rPr>
        <w:t xml:space="preserve">Vicky </w:t>
      </w:r>
      <w:r w:rsidRPr="0027558F">
        <w:rPr>
          <w:i/>
          <w:iCs/>
          <w:lang w:val="es-SV"/>
        </w:rPr>
        <w:t>Hernández</w:t>
      </w:r>
      <w:r>
        <w:rPr>
          <w:i/>
          <w:iCs/>
          <w:lang w:val="es-SV"/>
        </w:rPr>
        <w:t xml:space="preserve"> y otras</w:t>
      </w:r>
      <w:r w:rsidRPr="0027558F">
        <w:rPr>
          <w:i/>
          <w:iCs/>
          <w:lang w:val="es-SV"/>
        </w:rPr>
        <w:t xml:space="preserve"> </w:t>
      </w:r>
      <w:r>
        <w:rPr>
          <w:i/>
          <w:iCs/>
          <w:lang w:val="es-SV"/>
        </w:rPr>
        <w:t>vs</w:t>
      </w:r>
      <w:r w:rsidRPr="0027558F">
        <w:rPr>
          <w:i/>
          <w:iCs/>
          <w:lang w:val="es-SV"/>
        </w:rPr>
        <w:t>. Honduras</w:t>
      </w:r>
      <w:r w:rsidRPr="00DB743B">
        <w:rPr>
          <w:rStyle w:val="Refdenotaalpie"/>
        </w:rPr>
        <w:footnoteReference w:id="39"/>
      </w:r>
      <w:r w:rsidRPr="0027558F">
        <w:rPr>
          <w:i/>
          <w:iCs/>
          <w:lang w:val="es-SV"/>
        </w:rPr>
        <w:t xml:space="preserve"> </w:t>
      </w:r>
      <w:r w:rsidRPr="0027558F">
        <w:rPr>
          <w:lang w:val="es-SV"/>
        </w:rPr>
        <w:t>y del uso de la doctrina del bloque de constitucionalidad por parte de los tribunales de justicia,</w:t>
      </w:r>
      <w:r w:rsidRPr="00DB743B">
        <w:rPr>
          <w:lang w:val="es-SV"/>
        </w:rPr>
        <w:t xml:space="preserve"> según lo informado por la delegación</w:t>
      </w:r>
      <w:r w:rsidRPr="0027558F">
        <w:rPr>
          <w:lang w:val="es-SV"/>
        </w:rPr>
        <w:t xml:space="preserve"> (art. 2 y 16).</w:t>
      </w:r>
      <w:r w:rsidRPr="00750042">
        <w:rPr>
          <w:i/>
          <w:iCs/>
          <w:lang w:val="es-SV"/>
        </w:rPr>
        <w:t xml:space="preserve"> </w:t>
      </w:r>
    </w:p>
    <w:p w14:paraId="15A15DE8" w14:textId="77777777" w:rsidR="000D59FF" w:rsidRPr="00322592" w:rsidRDefault="000D59FF" w:rsidP="000D59FF">
      <w:pPr>
        <w:pStyle w:val="SingleTxtG"/>
        <w:rPr>
          <w:rFonts w:eastAsia="Arial"/>
          <w:b/>
          <w:bCs/>
          <w:lang w:val="es-ES_tradnl"/>
        </w:rPr>
      </w:pPr>
      <w:r w:rsidRPr="00322592">
        <w:rPr>
          <w:rFonts w:eastAsia="Arial"/>
          <w:lang w:val="es-ES_tradnl"/>
        </w:rPr>
        <w:t>3</w:t>
      </w:r>
      <w:r>
        <w:rPr>
          <w:rFonts w:eastAsia="Arial"/>
          <w:lang w:val="es-ES_tradnl"/>
        </w:rPr>
        <w:t>7</w:t>
      </w:r>
      <w:r w:rsidRPr="00322592">
        <w:rPr>
          <w:rFonts w:eastAsia="Arial"/>
          <w:lang w:val="es-ES_tradnl"/>
        </w:rPr>
        <w:t>.</w:t>
      </w:r>
      <w:r w:rsidRPr="00322592">
        <w:rPr>
          <w:rFonts w:eastAsia="Arial"/>
          <w:b/>
          <w:bCs/>
          <w:lang w:val="es-ES_tradnl"/>
        </w:rPr>
        <w:tab/>
        <w:t xml:space="preserve">El Estado parte debe velar por que se investiguen todos los actos de violencia </w:t>
      </w:r>
      <w:r>
        <w:rPr>
          <w:rFonts w:eastAsia="Arial"/>
          <w:b/>
          <w:bCs/>
          <w:lang w:val="es-ES_tradnl"/>
        </w:rPr>
        <w:t>motivados por la orientación sexual o identidad de género, real o percibida, de las víctimas</w:t>
      </w:r>
      <w:r>
        <w:rPr>
          <w:b/>
          <w:bCs/>
          <w:lang w:val="es"/>
        </w:rPr>
        <w:t xml:space="preserve"> con </w:t>
      </w:r>
      <w:r w:rsidRPr="00322592">
        <w:rPr>
          <w:rFonts w:eastAsia="Arial"/>
          <w:b/>
          <w:lang w:val="es-ES_tradnl"/>
        </w:rPr>
        <w:t>la perspectiva de género y un enfoque interseccional</w:t>
      </w:r>
      <w:r>
        <w:rPr>
          <w:rFonts w:eastAsia="Arial"/>
          <w:b/>
          <w:lang w:val="es-ES_tradnl"/>
        </w:rPr>
        <w:t>,</w:t>
      </w:r>
      <w:r w:rsidRPr="00322592">
        <w:rPr>
          <w:rFonts w:eastAsia="Arial"/>
          <w:b/>
          <w:lang w:val="es-ES_tradnl"/>
        </w:rPr>
        <w:t xml:space="preserve"> </w:t>
      </w:r>
      <w:r w:rsidRPr="00322592">
        <w:rPr>
          <w:b/>
          <w:bCs/>
          <w:lang w:val="es"/>
        </w:rPr>
        <w:t xml:space="preserve">y que se garantice </w:t>
      </w:r>
      <w:r>
        <w:rPr>
          <w:rFonts w:eastAsia="Arial"/>
          <w:b/>
          <w:lang w:val="es-ES_tradnl"/>
        </w:rPr>
        <w:t>su</w:t>
      </w:r>
      <w:r w:rsidRPr="00322592">
        <w:rPr>
          <w:rFonts w:eastAsia="Arial"/>
          <w:b/>
          <w:lang w:val="es-ES_tradnl"/>
        </w:rPr>
        <w:t xml:space="preserve"> acceso a la justicia. </w:t>
      </w:r>
      <w:r w:rsidRPr="00322592">
        <w:rPr>
          <w:b/>
          <w:bCs/>
          <w:lang w:val="es"/>
        </w:rPr>
        <w:t>También debe re</w:t>
      </w:r>
      <w:r w:rsidRPr="00322592">
        <w:rPr>
          <w:rFonts w:eastAsia="Arial"/>
          <w:b/>
          <w:bCs/>
          <w:lang w:val="es-ES_tradnl"/>
        </w:rPr>
        <w:t xml:space="preserve">doblar sus esfuerzos para dar cumplimiento pleno a la sentencia de </w:t>
      </w:r>
      <w:r w:rsidRPr="00322592">
        <w:rPr>
          <w:rFonts w:eastAsia="Arial"/>
          <w:b/>
          <w:bCs/>
          <w:i/>
          <w:iCs/>
          <w:lang w:val="es-ES_tradnl"/>
        </w:rPr>
        <w:t xml:space="preserve">Vicky Hernández </w:t>
      </w:r>
      <w:r>
        <w:rPr>
          <w:rFonts w:eastAsia="Arial"/>
          <w:b/>
          <w:bCs/>
          <w:i/>
          <w:iCs/>
          <w:lang w:val="es-ES_tradnl"/>
        </w:rPr>
        <w:t>y otras vs</w:t>
      </w:r>
      <w:r w:rsidRPr="00322592">
        <w:rPr>
          <w:rFonts w:eastAsia="Arial"/>
          <w:b/>
          <w:bCs/>
          <w:i/>
          <w:iCs/>
          <w:lang w:val="es-ES_tradnl"/>
        </w:rPr>
        <w:t>. Honduras</w:t>
      </w:r>
      <w:r w:rsidRPr="00322592">
        <w:rPr>
          <w:rFonts w:eastAsia="Arial"/>
          <w:b/>
          <w:bCs/>
          <w:lang w:val="es-ES_tradnl"/>
        </w:rPr>
        <w:t xml:space="preserve"> y avanzar con la adopción de un protocolo de investigación y administración de justicia en casos de violencia contra las personas que se identifican como lesbianas, bisexuales, gais y transgénero</w:t>
      </w:r>
      <w:r>
        <w:rPr>
          <w:rFonts w:eastAsia="Arial"/>
          <w:b/>
          <w:bCs/>
          <w:lang w:val="es-ES_tradnl"/>
        </w:rPr>
        <w:t>. Asimismo, debe</w:t>
      </w:r>
      <w:r w:rsidRPr="00322592">
        <w:rPr>
          <w:rFonts w:eastAsia="Arial"/>
          <w:b/>
          <w:bCs/>
          <w:lang w:val="es-ES_tradnl"/>
        </w:rPr>
        <w:t xml:space="preserve"> continuar impartiendo a todos los funcionarios encargados de hacer cumplir la ley formación obligatoria sobre el enjuiciamiento de delitos de violencia sexual y de género, y sobre métodos para entrevistar a las víctimas con un enfoque de género. </w:t>
      </w:r>
    </w:p>
    <w:p w14:paraId="6A9C3E22" w14:textId="77777777" w:rsidR="000D59FF" w:rsidRPr="00322592" w:rsidRDefault="000D59FF" w:rsidP="000D59FF">
      <w:pPr>
        <w:pStyle w:val="H23G"/>
        <w:rPr>
          <w:b w:val="0"/>
          <w:lang w:val="es-ES_tradnl" w:eastAsia="en-US"/>
        </w:rPr>
      </w:pPr>
      <w:r w:rsidRPr="00322592">
        <w:rPr>
          <w:lang w:val="es-ES_tradnl" w:eastAsia="en-US"/>
        </w:rPr>
        <w:lastRenderedPageBreak/>
        <w:tab/>
      </w:r>
      <w:r w:rsidRPr="00322592">
        <w:rPr>
          <w:lang w:val="es-ES_tradnl" w:eastAsia="en-US"/>
        </w:rPr>
        <w:tab/>
      </w:r>
      <w:bookmarkStart w:id="4" w:name="_Hlk119934144"/>
      <w:r w:rsidRPr="00322592">
        <w:rPr>
          <w:lang w:val="es-ES_tradnl"/>
        </w:rPr>
        <w:tab/>
      </w:r>
      <w:r w:rsidRPr="00322592">
        <w:rPr>
          <w:u w:color="000000"/>
          <w:bdr w:val="nil"/>
          <w:lang w:val="es-ES_tradnl" w:eastAsia="en-GB"/>
        </w:rPr>
        <w:t>Migración y desplazamientos forzados</w:t>
      </w:r>
    </w:p>
    <w:p w14:paraId="070888AE" w14:textId="77777777" w:rsidR="000D59FF" w:rsidRPr="000D59FF" w:rsidRDefault="000D59FF" w:rsidP="000D59FF">
      <w:pPr>
        <w:pStyle w:val="SingleTxtG"/>
        <w:rPr>
          <w:rFonts w:eastAsia="Calibri"/>
          <w:lang w:val="es-ES_tradnl"/>
        </w:rPr>
      </w:pPr>
      <w:r w:rsidRPr="000D59FF">
        <w:rPr>
          <w:rFonts w:eastAsia="Calibri"/>
          <w:lang w:val="es-ES_tradnl"/>
        </w:rPr>
        <w:t>38.</w:t>
      </w:r>
      <w:r w:rsidRPr="000D59FF">
        <w:rPr>
          <w:rFonts w:eastAsia="Calibri"/>
          <w:lang w:val="es-ES_tradnl"/>
        </w:rPr>
        <w:tab/>
      </w:r>
      <w:r w:rsidRPr="000D59FF">
        <w:rPr>
          <w:lang w:val="es-SV"/>
        </w:rPr>
        <w:t>El Comité reconoce los desafíos humanitarios que presentan para el Estado parte los flujos migratorios que transitan desde o a través de su territorio y saluda la aprobación de una amnistía migratoria que beneficia a las personas en situación administrativa irregular. Sin embargo, le preocupan las numerosas muertes y desapariciones de inmigrantes registradas en el país</w:t>
      </w:r>
      <w:r w:rsidRPr="000D59FF">
        <w:rPr>
          <w:lang w:val="es-EC"/>
        </w:rPr>
        <w:t xml:space="preserve">, </w:t>
      </w:r>
      <w:r w:rsidRPr="000D59FF">
        <w:rPr>
          <w:lang w:val="es-SV"/>
        </w:rPr>
        <w:t xml:space="preserve">así como la falta </w:t>
      </w:r>
      <w:r w:rsidRPr="000D59FF">
        <w:rPr>
          <w:rStyle w:val="Refdenotaalpie"/>
          <w:lang w:val="es-SV"/>
        </w:rPr>
        <w:t xml:space="preserve"> </w:t>
      </w:r>
      <w:r w:rsidRPr="000D59FF">
        <w:rPr>
          <w:lang w:val="es-SV"/>
        </w:rPr>
        <w:t>de investigaciones prontas y efectivas al respecto</w:t>
      </w:r>
      <w:r w:rsidRPr="000D59FF">
        <w:rPr>
          <w:rStyle w:val="Refdenotaalpie"/>
        </w:rPr>
        <w:footnoteReference w:id="40"/>
      </w:r>
      <w:r w:rsidRPr="000D59FF">
        <w:rPr>
          <w:lang w:val="es-SV"/>
        </w:rPr>
        <w:t>. También le preocupa el alto número de personas desplazadas y la ausencia de una política pública que aborde las causas estructurales de este fenómeno</w:t>
      </w:r>
      <w:r w:rsidRPr="000D59FF">
        <w:rPr>
          <w:rStyle w:val="Refdenotaalpie"/>
        </w:rPr>
        <w:footnoteReference w:id="41"/>
      </w:r>
      <w:r w:rsidRPr="000D59FF">
        <w:rPr>
          <w:lang w:val="es-SV"/>
        </w:rPr>
        <w:t>, si bien se toma nota de la información facilitada por la delegación sobre la adopción de medidas en este sentido (</w:t>
      </w:r>
      <w:r w:rsidRPr="000D59FF">
        <w:rPr>
          <w:rFonts w:eastAsia="Calibri"/>
          <w:lang w:val="es-ES_tradnl"/>
        </w:rPr>
        <w:t>arts. 2, 3, 12, 13 y 16).</w:t>
      </w:r>
    </w:p>
    <w:bookmarkEnd w:id="4"/>
    <w:p w14:paraId="6D702505" w14:textId="77777777" w:rsidR="000D59FF" w:rsidRPr="00750042" w:rsidRDefault="000D59FF" w:rsidP="000D59FF">
      <w:pPr>
        <w:pStyle w:val="SingleTxtG"/>
        <w:rPr>
          <w:b/>
          <w:bCs/>
          <w:lang w:val="es-SV"/>
        </w:rPr>
      </w:pPr>
      <w:r w:rsidRPr="00322592">
        <w:rPr>
          <w:rFonts w:eastAsia="Calibri"/>
          <w:bCs/>
          <w:lang w:val="es-ES_tradnl"/>
        </w:rPr>
        <w:t>3</w:t>
      </w:r>
      <w:r>
        <w:rPr>
          <w:rFonts w:eastAsia="Calibri"/>
          <w:bCs/>
          <w:lang w:val="es-ES_tradnl"/>
        </w:rPr>
        <w:t>9</w:t>
      </w:r>
      <w:r w:rsidRPr="00322592">
        <w:rPr>
          <w:rFonts w:eastAsia="Calibri"/>
          <w:bCs/>
          <w:lang w:val="es-ES_tradnl"/>
        </w:rPr>
        <w:t>.</w:t>
      </w:r>
      <w:r w:rsidRPr="00322592">
        <w:rPr>
          <w:rFonts w:eastAsia="Calibri"/>
          <w:b/>
          <w:lang w:val="es-ES_tradnl"/>
        </w:rPr>
        <w:tab/>
        <w:t>E</w:t>
      </w:r>
      <w:r w:rsidRPr="00750042">
        <w:rPr>
          <w:b/>
          <w:bCs/>
          <w:lang w:val="es-SV"/>
        </w:rPr>
        <w:t xml:space="preserve">l Estado parte debe investigar los posibles abusos y otras violaciones de derechos humanos que puedan sufrir las personas migrantes presentes en su territorio, incluidos los casos de muerte y desaparición. El Comité también alienta al Estado parte a proseguir sus esfuerzos dirigidos a prevenir los desplazamientos forzados y a proteger y brindar asistencia y reparación adecuada a las víctimas. </w:t>
      </w:r>
    </w:p>
    <w:p w14:paraId="0249184C" w14:textId="77777777" w:rsidR="000D59FF" w:rsidRPr="00750042" w:rsidRDefault="000D59FF" w:rsidP="000D59FF">
      <w:pPr>
        <w:pStyle w:val="H23G"/>
        <w:rPr>
          <w:rFonts w:eastAsia="Cambria"/>
          <w:sz w:val="24"/>
          <w:szCs w:val="24"/>
          <w:lang w:val="es-SV"/>
        </w:rPr>
      </w:pPr>
      <w:r>
        <w:rPr>
          <w:lang w:val="es-ES_tradnl"/>
        </w:rPr>
        <w:tab/>
      </w:r>
      <w:r>
        <w:rPr>
          <w:lang w:val="es-ES_tradnl"/>
        </w:rPr>
        <w:tab/>
      </w:r>
      <w:r w:rsidRPr="00322592">
        <w:rPr>
          <w:lang w:val="es-ES_tradnl"/>
        </w:rPr>
        <w:t>Jurisdicción universal</w:t>
      </w:r>
    </w:p>
    <w:p w14:paraId="4935C93E" w14:textId="77777777" w:rsidR="000D59FF" w:rsidRPr="00322592" w:rsidRDefault="000D59FF" w:rsidP="000D59FF">
      <w:pPr>
        <w:pStyle w:val="SingleTxtG"/>
        <w:rPr>
          <w:lang w:val="es-ES_tradnl"/>
        </w:rPr>
      </w:pPr>
      <w:r>
        <w:rPr>
          <w:lang w:val="es-ES_tradnl"/>
        </w:rPr>
        <w:t>40</w:t>
      </w:r>
      <w:r w:rsidRPr="00322592">
        <w:rPr>
          <w:lang w:val="es-ES_tradnl"/>
        </w:rPr>
        <w:t>.</w:t>
      </w:r>
      <w:r w:rsidRPr="00322592">
        <w:rPr>
          <w:lang w:val="es-ES_tradnl"/>
        </w:rPr>
        <w:tab/>
        <w:t>Si bien toma nota de la revisión del Código Penal en curso, al Comité le preocupa que la tortura y otros delitos conexos no estén incluidos en la lista de delitos enumerados en el artículo</w:t>
      </w:r>
      <w:r>
        <w:rPr>
          <w:lang w:val="es-ES_tradnl"/>
        </w:rPr>
        <w:t xml:space="preserve"> </w:t>
      </w:r>
      <w:r w:rsidRPr="00322592">
        <w:rPr>
          <w:lang w:val="es-ES_tradnl"/>
        </w:rPr>
        <w:t>9 del Código Penal sobre los que los tribunales pueden ejercer la jurisdicción universal (art.</w:t>
      </w:r>
      <w:r>
        <w:rPr>
          <w:lang w:val="es-ES_tradnl"/>
        </w:rPr>
        <w:t> </w:t>
      </w:r>
      <w:r w:rsidRPr="00322592">
        <w:rPr>
          <w:lang w:val="es-ES_tradnl"/>
        </w:rPr>
        <w:t>5).</w:t>
      </w:r>
    </w:p>
    <w:p w14:paraId="2F761AC1" w14:textId="77777777" w:rsidR="000D59FF" w:rsidRPr="00322592" w:rsidRDefault="000D59FF" w:rsidP="000D59FF">
      <w:pPr>
        <w:pStyle w:val="SingleTxtG"/>
        <w:rPr>
          <w:lang w:val="es-ES_tradnl"/>
        </w:rPr>
      </w:pPr>
      <w:r>
        <w:rPr>
          <w:lang w:val="es-ES_tradnl"/>
        </w:rPr>
        <w:t>41</w:t>
      </w:r>
      <w:r w:rsidRPr="00322592">
        <w:rPr>
          <w:lang w:val="es-ES_tradnl"/>
        </w:rPr>
        <w:t>.</w:t>
      </w:r>
      <w:r w:rsidRPr="00322592">
        <w:rPr>
          <w:lang w:val="es-ES_tradnl"/>
        </w:rPr>
        <w:tab/>
      </w:r>
      <w:r w:rsidRPr="0027558F">
        <w:rPr>
          <w:b/>
          <w:bCs/>
          <w:lang w:val="es-ES_tradnl"/>
        </w:rPr>
        <w:t>El Estado parte debe garantizar que en su legislación interna los actos de tortura y otros delitos conexos</w:t>
      </w:r>
      <w:r>
        <w:rPr>
          <w:b/>
          <w:bCs/>
          <w:lang w:val="es-ES_tradnl"/>
        </w:rPr>
        <w:t xml:space="preserve"> </w:t>
      </w:r>
      <w:r w:rsidRPr="00322592">
        <w:rPr>
          <w:b/>
          <w:bCs/>
          <w:lang w:val="es-ES_tradnl"/>
        </w:rPr>
        <w:t>estén sujetos a la jurisdicción universal de conformidad con el artículo</w:t>
      </w:r>
      <w:r>
        <w:rPr>
          <w:b/>
          <w:bCs/>
          <w:lang w:val="es-ES_tradnl"/>
        </w:rPr>
        <w:t xml:space="preserve"> </w:t>
      </w:r>
      <w:r w:rsidRPr="00322592">
        <w:rPr>
          <w:b/>
          <w:bCs/>
          <w:lang w:val="es-ES_tradnl"/>
        </w:rPr>
        <w:t>5 de la Convención.</w:t>
      </w:r>
    </w:p>
    <w:p w14:paraId="60ED36AD" w14:textId="77777777" w:rsidR="000D59FF" w:rsidRPr="00322592" w:rsidRDefault="000D59FF" w:rsidP="000D59FF">
      <w:pPr>
        <w:pStyle w:val="H23G"/>
        <w:rPr>
          <w:lang w:val="es-ES_tradnl"/>
        </w:rPr>
      </w:pPr>
      <w:r>
        <w:rPr>
          <w:lang w:val="es-ES_tradnl"/>
        </w:rPr>
        <w:tab/>
      </w:r>
      <w:r>
        <w:rPr>
          <w:lang w:val="es-ES_tradnl"/>
        </w:rPr>
        <w:tab/>
      </w:r>
      <w:r w:rsidRPr="00322592">
        <w:rPr>
          <w:lang w:val="es-ES_tradnl"/>
        </w:rPr>
        <w:t>Tratos crueles, inhumanos o degradantes</w:t>
      </w:r>
    </w:p>
    <w:p w14:paraId="07577F84" w14:textId="77777777" w:rsidR="000D59FF" w:rsidRPr="00322592" w:rsidRDefault="000D59FF" w:rsidP="000D59FF">
      <w:pPr>
        <w:pStyle w:val="SingleTxtG"/>
        <w:rPr>
          <w:lang w:val="es-ES_tradnl"/>
        </w:rPr>
      </w:pPr>
      <w:r w:rsidRPr="00322592">
        <w:rPr>
          <w:lang w:val="es-ES_tradnl"/>
        </w:rPr>
        <w:t>4</w:t>
      </w:r>
      <w:r>
        <w:rPr>
          <w:lang w:val="es-ES_tradnl"/>
        </w:rPr>
        <w:t>2</w:t>
      </w:r>
      <w:r w:rsidRPr="00322592">
        <w:rPr>
          <w:lang w:val="es-ES_tradnl"/>
        </w:rPr>
        <w:t>.</w:t>
      </w:r>
      <w:r w:rsidRPr="00322592">
        <w:rPr>
          <w:lang w:val="es-ES_tradnl"/>
        </w:rPr>
        <w:tab/>
        <w:t xml:space="preserve">El Comité </w:t>
      </w:r>
      <w:r>
        <w:rPr>
          <w:lang w:val="es-ES_tradnl"/>
        </w:rPr>
        <w:t xml:space="preserve">observa que la reforma del Código Penal, mediante </w:t>
      </w:r>
      <w:r w:rsidRPr="00322592">
        <w:rPr>
          <w:lang w:val="es-ES_tradnl"/>
        </w:rPr>
        <w:t>el Decreto Legislativo núm.</w:t>
      </w:r>
      <w:r>
        <w:rPr>
          <w:lang w:val="es-ES_tradnl"/>
        </w:rPr>
        <w:t> </w:t>
      </w:r>
      <w:r w:rsidRPr="00322592">
        <w:rPr>
          <w:lang w:val="es-ES_tradnl"/>
        </w:rPr>
        <w:t>130-2017</w:t>
      </w:r>
      <w:r>
        <w:rPr>
          <w:lang w:val="es-ES_tradnl"/>
        </w:rPr>
        <w:t>,</w:t>
      </w:r>
      <w:r w:rsidRPr="00322592">
        <w:rPr>
          <w:lang w:val="es-ES_tradnl"/>
        </w:rPr>
        <w:t xml:space="preserve"> </w:t>
      </w:r>
      <w:r>
        <w:rPr>
          <w:lang w:val="es-ES_tradnl"/>
        </w:rPr>
        <w:t>introdujo</w:t>
      </w:r>
      <w:r w:rsidRPr="001B4DB9">
        <w:rPr>
          <w:lang w:val="es-ES_tradnl"/>
        </w:rPr>
        <w:t xml:space="preserve"> </w:t>
      </w:r>
      <w:r>
        <w:rPr>
          <w:lang w:val="es-ES_tradnl"/>
        </w:rPr>
        <w:t xml:space="preserve">en el artículo 217 </w:t>
      </w:r>
      <w:r w:rsidRPr="00322592">
        <w:rPr>
          <w:lang w:val="es-ES_tradnl"/>
        </w:rPr>
        <w:t>la figura de los tratos crueles, inhumanos o degradantes</w:t>
      </w:r>
      <w:r>
        <w:rPr>
          <w:lang w:val="es-ES_tradnl"/>
        </w:rPr>
        <w:t xml:space="preserve"> cometidos</w:t>
      </w:r>
      <w:r w:rsidRPr="00322592">
        <w:rPr>
          <w:lang w:val="es-ES_tradnl"/>
        </w:rPr>
        <w:t xml:space="preserve"> por funcionario</w:t>
      </w:r>
      <w:r>
        <w:rPr>
          <w:lang w:val="es-ES_tradnl"/>
        </w:rPr>
        <w:t>s</w:t>
      </w:r>
      <w:r w:rsidRPr="00322592">
        <w:rPr>
          <w:lang w:val="es-ES_tradnl"/>
        </w:rPr>
        <w:t xml:space="preserve"> público</w:t>
      </w:r>
      <w:r>
        <w:rPr>
          <w:lang w:val="es-ES_tradnl"/>
        </w:rPr>
        <w:t>s</w:t>
      </w:r>
      <w:r w:rsidRPr="00322592">
        <w:rPr>
          <w:lang w:val="es-ES_tradnl"/>
        </w:rPr>
        <w:t>, aunque le preocupa que esta disposición no abar</w:t>
      </w:r>
      <w:r>
        <w:rPr>
          <w:lang w:val="es-ES_tradnl"/>
        </w:rPr>
        <w:t>que expresamente</w:t>
      </w:r>
      <w:r w:rsidRPr="00322592">
        <w:rPr>
          <w:lang w:val="es-ES_tradnl"/>
        </w:rPr>
        <w:t xml:space="preserve"> los </w:t>
      </w:r>
      <w:r>
        <w:rPr>
          <w:lang w:val="es-ES_tradnl"/>
        </w:rPr>
        <w:t xml:space="preserve">malos tratos </w:t>
      </w:r>
      <w:r w:rsidRPr="00322592">
        <w:rPr>
          <w:lang w:val="es-ES_tradnl"/>
        </w:rPr>
        <w:t xml:space="preserve">cometidos por terceros </w:t>
      </w:r>
      <w:r w:rsidRPr="006D38F8">
        <w:rPr>
          <w:lang w:val="es-ES_tradnl"/>
        </w:rPr>
        <w:t xml:space="preserve">a instigación de un funcionario público </w:t>
      </w:r>
      <w:r w:rsidRPr="00322592">
        <w:rPr>
          <w:lang w:val="es-ES_tradnl"/>
        </w:rPr>
        <w:t>u otra persona en el ejercicio de funciones públicas</w:t>
      </w:r>
      <w:r w:rsidRPr="006D38F8">
        <w:rPr>
          <w:lang w:val="es-ES_tradnl"/>
        </w:rPr>
        <w:t xml:space="preserve"> o con su consentimiento o aquiescencia</w:t>
      </w:r>
      <w:r>
        <w:rPr>
          <w:lang w:val="es-ES_tradnl"/>
        </w:rPr>
        <w:t xml:space="preserve"> </w:t>
      </w:r>
      <w:r w:rsidRPr="00322592">
        <w:rPr>
          <w:lang w:val="es-ES_tradnl"/>
        </w:rPr>
        <w:t>(art</w:t>
      </w:r>
      <w:r>
        <w:rPr>
          <w:lang w:val="es-ES_tradnl"/>
        </w:rPr>
        <w:t>s</w:t>
      </w:r>
      <w:r w:rsidRPr="00322592">
        <w:rPr>
          <w:lang w:val="es-ES_tradnl"/>
        </w:rPr>
        <w:t xml:space="preserve">. 2 y 16). </w:t>
      </w:r>
    </w:p>
    <w:p w14:paraId="42C39750" w14:textId="77777777" w:rsidR="000D59FF" w:rsidRPr="00322592" w:rsidRDefault="000D59FF" w:rsidP="000D59FF">
      <w:pPr>
        <w:pStyle w:val="SingleTxtG"/>
        <w:rPr>
          <w:lang w:val="es-ES_tradnl"/>
        </w:rPr>
      </w:pPr>
      <w:r w:rsidRPr="00322592">
        <w:rPr>
          <w:lang w:val="es-ES_tradnl"/>
        </w:rPr>
        <w:t>4</w:t>
      </w:r>
      <w:r>
        <w:rPr>
          <w:lang w:val="es-ES_tradnl"/>
        </w:rPr>
        <w:t>3</w:t>
      </w:r>
      <w:r w:rsidRPr="00322592">
        <w:rPr>
          <w:lang w:val="es-ES_tradnl"/>
        </w:rPr>
        <w:t>.</w:t>
      </w:r>
      <w:r w:rsidRPr="00322592">
        <w:rPr>
          <w:lang w:val="es-ES_tradnl"/>
        </w:rPr>
        <w:tab/>
      </w:r>
      <w:r w:rsidRPr="00322592">
        <w:rPr>
          <w:b/>
          <w:bCs/>
          <w:lang w:val="es-ES_tradnl"/>
        </w:rPr>
        <w:t xml:space="preserve">El </w:t>
      </w:r>
      <w:r w:rsidRPr="0027558F">
        <w:rPr>
          <w:b/>
          <w:bCs/>
          <w:lang w:val="es-ES_tradnl"/>
        </w:rPr>
        <w:t>Estado parte debería revisar el artículo</w:t>
      </w:r>
      <w:r w:rsidRPr="00D1669D">
        <w:rPr>
          <w:b/>
          <w:bCs/>
          <w:lang w:val="es-ES_tradnl"/>
        </w:rPr>
        <w:t xml:space="preserve"> 217 del Código Penal y extender la responsabilidad penal por dicho delito </w:t>
      </w:r>
      <w:r>
        <w:rPr>
          <w:b/>
          <w:bCs/>
          <w:lang w:val="es-ES_tradnl"/>
        </w:rPr>
        <w:t xml:space="preserve">a los tratos crueles inhumanos o degradantes </w:t>
      </w:r>
      <w:r w:rsidRPr="00D1669D">
        <w:rPr>
          <w:b/>
          <w:bCs/>
          <w:lang w:val="es-ES_tradnl"/>
        </w:rPr>
        <w:t>cometido</w:t>
      </w:r>
      <w:r>
        <w:rPr>
          <w:b/>
          <w:bCs/>
          <w:lang w:val="es-ES_tradnl"/>
        </w:rPr>
        <w:t>s</w:t>
      </w:r>
      <w:r w:rsidRPr="00D1669D">
        <w:rPr>
          <w:b/>
          <w:bCs/>
          <w:lang w:val="es-ES_tradnl"/>
        </w:rPr>
        <w:t xml:space="preserve"> por terceros a instigación de un funcionario público u otra persona en el ejercicio de funciones públicas o con su consentimiento o aquiescencia.</w:t>
      </w:r>
    </w:p>
    <w:p w14:paraId="64909FEB" w14:textId="77777777" w:rsidR="000D59FF" w:rsidRPr="00322592" w:rsidRDefault="000D59FF" w:rsidP="000D59FF">
      <w:pPr>
        <w:pStyle w:val="H23G"/>
        <w:rPr>
          <w:lang w:val="es-ES_tradnl"/>
        </w:rPr>
      </w:pPr>
      <w:r w:rsidRPr="00322592">
        <w:rPr>
          <w:lang w:val="es-ES_tradnl"/>
        </w:rPr>
        <w:tab/>
      </w:r>
      <w:r w:rsidRPr="00322592">
        <w:rPr>
          <w:lang w:val="es-ES_tradnl"/>
        </w:rPr>
        <w:tab/>
        <w:t xml:space="preserve">Procedimiento de </w:t>
      </w:r>
      <w:r w:rsidRPr="00322592">
        <w:rPr>
          <w:rFonts w:eastAsia="Calibri"/>
          <w:u w:color="000000"/>
          <w:bdr w:val="nil"/>
          <w:lang w:val="es-ES_tradnl" w:eastAsia="en-GB"/>
        </w:rPr>
        <w:t>seguimiento</w:t>
      </w:r>
    </w:p>
    <w:p w14:paraId="1B53DBA1" w14:textId="77777777" w:rsidR="000D59FF" w:rsidRPr="00322592" w:rsidRDefault="000D59FF" w:rsidP="000D59FF">
      <w:pPr>
        <w:pStyle w:val="SingleTxtG"/>
        <w:rPr>
          <w:rFonts w:eastAsia="Calibri"/>
          <w:b/>
          <w:bCs/>
          <w:lang w:val="es-ES_tradnl"/>
        </w:rPr>
      </w:pPr>
      <w:r w:rsidRPr="00322592">
        <w:rPr>
          <w:rFonts w:eastAsia="Calibri"/>
          <w:lang w:val="es-ES_tradnl"/>
        </w:rPr>
        <w:t>4</w:t>
      </w:r>
      <w:r>
        <w:rPr>
          <w:rFonts w:eastAsia="Calibri"/>
          <w:lang w:val="es-ES_tradnl"/>
        </w:rPr>
        <w:t>4</w:t>
      </w:r>
      <w:r w:rsidRPr="00322592">
        <w:rPr>
          <w:rFonts w:eastAsia="Calibri"/>
          <w:lang w:val="es-ES_tradnl"/>
        </w:rPr>
        <w:t>.</w:t>
      </w:r>
      <w:r w:rsidRPr="00322592">
        <w:rPr>
          <w:rFonts w:eastAsia="Calibri"/>
          <w:lang w:val="es-ES_tradnl"/>
        </w:rPr>
        <w:tab/>
      </w:r>
      <w:r w:rsidRPr="00322592">
        <w:rPr>
          <w:rFonts w:eastAsia="Calibri"/>
          <w:b/>
          <w:lang w:val="es-ES_tradnl"/>
        </w:rPr>
        <w:t xml:space="preserve">El Comité solicita al Estado parte que proporcione, a más tardar el 10 de mayo de 2025, información sobre el seguimiento dado a las recomendaciones relativas a la </w:t>
      </w:r>
      <w:r w:rsidRPr="0097071E">
        <w:rPr>
          <w:rFonts w:eastAsia="Calibri"/>
          <w:b/>
          <w:lang w:val="es-ES_tradnl"/>
        </w:rPr>
        <w:t>i</w:t>
      </w:r>
      <w:r w:rsidRPr="00FB22AF">
        <w:rPr>
          <w:rFonts w:asciiTheme="majorBidi" w:hAnsiTheme="majorBidi" w:cstheme="majorBidi"/>
          <w:b/>
          <w:bCs/>
          <w:lang w:val="es-ES_tradnl"/>
        </w:rPr>
        <w:t>ndependencia</w:t>
      </w:r>
      <w:r w:rsidRPr="00750042">
        <w:rPr>
          <w:rFonts w:asciiTheme="majorBidi" w:hAnsiTheme="majorBidi" w:cstheme="majorBidi"/>
          <w:b/>
          <w:bCs/>
          <w:lang w:val="es-SV"/>
        </w:rPr>
        <w:t xml:space="preserve"> ju</w:t>
      </w:r>
      <w:r>
        <w:rPr>
          <w:rFonts w:asciiTheme="majorBidi" w:hAnsiTheme="majorBidi" w:cstheme="majorBidi"/>
          <w:b/>
          <w:bCs/>
          <w:lang w:val="es-SV"/>
        </w:rPr>
        <w:t>d</w:t>
      </w:r>
      <w:r w:rsidRPr="00750042">
        <w:rPr>
          <w:rFonts w:asciiTheme="majorBidi" w:hAnsiTheme="majorBidi" w:cstheme="majorBidi"/>
          <w:b/>
          <w:bCs/>
          <w:lang w:val="es-SV"/>
        </w:rPr>
        <w:t>icia</w:t>
      </w:r>
      <w:r>
        <w:rPr>
          <w:rFonts w:asciiTheme="majorBidi" w:hAnsiTheme="majorBidi" w:cstheme="majorBidi"/>
          <w:b/>
          <w:bCs/>
          <w:lang w:val="es-SV"/>
        </w:rPr>
        <w:t>l y acceso a la justicia</w:t>
      </w:r>
      <w:r w:rsidRPr="00750042">
        <w:rPr>
          <w:rFonts w:asciiTheme="majorBidi" w:hAnsiTheme="majorBidi" w:cstheme="majorBidi"/>
          <w:b/>
          <w:bCs/>
          <w:lang w:val="es-SV"/>
        </w:rPr>
        <w:t xml:space="preserve">; el </w:t>
      </w:r>
      <w:r w:rsidRPr="00FB22AF">
        <w:rPr>
          <w:rFonts w:asciiTheme="majorBidi" w:hAnsiTheme="majorBidi" w:cstheme="majorBidi"/>
          <w:b/>
          <w:bCs/>
          <w:lang w:val="es-ES_tradnl"/>
        </w:rPr>
        <w:t>c</w:t>
      </w:r>
      <w:r w:rsidRPr="0097071E">
        <w:rPr>
          <w:rFonts w:eastAsia="Calibri"/>
          <w:b/>
          <w:lang w:val="es-ES_tradnl"/>
        </w:rPr>
        <w:t>ontrol</w:t>
      </w:r>
      <w:r w:rsidRPr="00322592">
        <w:rPr>
          <w:rFonts w:eastAsia="Calibri"/>
          <w:b/>
          <w:lang w:val="es-ES_tradnl"/>
        </w:rPr>
        <w:t xml:space="preserve"> y gestión del sistema penitenciario, violencia y muertes </w:t>
      </w:r>
      <w:r w:rsidRPr="00322592">
        <w:rPr>
          <w:rFonts w:eastAsia="Arial"/>
          <w:b/>
          <w:lang w:val="es-ES_tradnl"/>
        </w:rPr>
        <w:t xml:space="preserve">en las cárceles; </w:t>
      </w:r>
      <w:r>
        <w:rPr>
          <w:rFonts w:eastAsia="Arial"/>
          <w:b/>
          <w:lang w:val="es-ES_tradnl"/>
        </w:rPr>
        <w:t xml:space="preserve">la protección de las </w:t>
      </w:r>
      <w:r w:rsidRPr="00322592">
        <w:rPr>
          <w:rFonts w:eastAsia="Arial"/>
          <w:b/>
          <w:bCs/>
          <w:lang w:val="es-ES_tradnl"/>
        </w:rPr>
        <w:t>personas defensoras de derechos humanos, l</w:t>
      </w:r>
      <w:r>
        <w:rPr>
          <w:rFonts w:eastAsia="Arial"/>
          <w:b/>
          <w:bCs/>
          <w:lang w:val="es-ES_tradnl"/>
        </w:rPr>
        <w:t>í</w:t>
      </w:r>
      <w:r w:rsidRPr="00322592">
        <w:rPr>
          <w:rFonts w:eastAsia="Arial"/>
          <w:b/>
          <w:bCs/>
          <w:lang w:val="es-ES_tradnl"/>
        </w:rPr>
        <w:t xml:space="preserve">deres </w:t>
      </w:r>
      <w:r>
        <w:rPr>
          <w:rFonts w:eastAsia="Arial"/>
          <w:b/>
          <w:bCs/>
          <w:lang w:val="es-ES_tradnl"/>
        </w:rPr>
        <w:t xml:space="preserve">y lideresas </w:t>
      </w:r>
      <w:r w:rsidRPr="00322592">
        <w:rPr>
          <w:rFonts w:eastAsia="Arial"/>
          <w:b/>
          <w:bCs/>
          <w:lang w:val="es-ES_tradnl"/>
        </w:rPr>
        <w:t xml:space="preserve">indígenas </w:t>
      </w:r>
      <w:r>
        <w:rPr>
          <w:rFonts w:eastAsia="Arial"/>
          <w:b/>
          <w:bCs/>
          <w:lang w:val="es-ES_tradnl"/>
        </w:rPr>
        <w:t xml:space="preserve">y afrohondureños </w:t>
      </w:r>
      <w:r w:rsidRPr="00322592">
        <w:rPr>
          <w:rFonts w:eastAsia="Arial"/>
          <w:b/>
          <w:bCs/>
          <w:lang w:val="es-ES_tradnl"/>
        </w:rPr>
        <w:t>y periodistas</w:t>
      </w:r>
      <w:r w:rsidRPr="00322592">
        <w:rPr>
          <w:rFonts w:eastAsia="Arial"/>
          <w:b/>
          <w:lang w:val="es-ES_tradnl"/>
        </w:rPr>
        <w:t xml:space="preserve"> </w:t>
      </w:r>
      <w:r w:rsidRPr="00322592">
        <w:rPr>
          <w:rFonts w:eastAsia="Calibri"/>
          <w:b/>
          <w:lang w:val="es-ES_tradnl"/>
        </w:rPr>
        <w:t>(véanse los párrs.</w:t>
      </w:r>
      <w:r>
        <w:rPr>
          <w:rFonts w:eastAsia="Calibri"/>
          <w:b/>
          <w:lang w:val="es-ES_tradnl"/>
        </w:rPr>
        <w:t xml:space="preserve"> 13, 17 a) y b) y 31)</w:t>
      </w:r>
      <w:r w:rsidRPr="00322592">
        <w:rPr>
          <w:rFonts w:eastAsia="Calibri"/>
          <w:b/>
          <w:lang w:val="es-ES_tradnl"/>
        </w:rPr>
        <w:t xml:space="preserve">. En ese contexto, se invita al Estado parte a que informe al Comité sobre sus planes para aplicar, durante el período correspondiente al siguiente informe, </w:t>
      </w:r>
      <w:r w:rsidRPr="00D46850">
        <w:rPr>
          <w:rFonts w:eastAsia="Calibri"/>
          <w:b/>
          <w:lang w:val="es-ES_tradnl"/>
        </w:rPr>
        <w:t xml:space="preserve">el resto </w:t>
      </w:r>
      <w:r>
        <w:rPr>
          <w:rFonts w:eastAsia="Calibri"/>
          <w:b/>
          <w:lang w:val="es-ES_tradnl"/>
        </w:rPr>
        <w:t>de las</w:t>
      </w:r>
      <w:r w:rsidRPr="00322592">
        <w:rPr>
          <w:rFonts w:eastAsia="Calibri"/>
          <w:b/>
          <w:lang w:val="es-ES_tradnl"/>
        </w:rPr>
        <w:t xml:space="preserve"> recomendaciones formuladas en las observaciones finales</w:t>
      </w:r>
      <w:r>
        <w:rPr>
          <w:rFonts w:eastAsia="Calibri"/>
          <w:b/>
          <w:lang w:val="es-ES_tradnl"/>
        </w:rPr>
        <w:t>.</w:t>
      </w:r>
    </w:p>
    <w:p w14:paraId="7B1D807C" w14:textId="77777777" w:rsidR="000D59FF" w:rsidRPr="00322592" w:rsidRDefault="000D59FF" w:rsidP="000D59FF">
      <w:pPr>
        <w:pStyle w:val="H23G"/>
        <w:rPr>
          <w:lang w:val="es-ES_tradnl" w:eastAsia="en-US"/>
        </w:rPr>
      </w:pPr>
      <w:r w:rsidRPr="00322592">
        <w:rPr>
          <w:lang w:val="es-419" w:eastAsia="en-US"/>
        </w:rPr>
        <w:lastRenderedPageBreak/>
        <w:tab/>
      </w:r>
      <w:r w:rsidRPr="00322592">
        <w:rPr>
          <w:lang w:val="es-419" w:eastAsia="en-US"/>
        </w:rPr>
        <w:tab/>
      </w:r>
      <w:r w:rsidRPr="00322592">
        <w:rPr>
          <w:lang w:val="es-ES_tradnl" w:eastAsia="en-US"/>
        </w:rPr>
        <w:t xml:space="preserve">Otras </w:t>
      </w:r>
      <w:r w:rsidRPr="00322592">
        <w:rPr>
          <w:u w:color="000000"/>
          <w:bdr w:val="nil"/>
          <w:lang w:val="es-ES_tradnl"/>
        </w:rPr>
        <w:t>cuestiones</w:t>
      </w:r>
    </w:p>
    <w:p w14:paraId="35D6FC73" w14:textId="77777777" w:rsidR="000D59FF" w:rsidRPr="00322592" w:rsidRDefault="000D59FF" w:rsidP="000D59FF">
      <w:pPr>
        <w:pStyle w:val="SingleTxtG"/>
        <w:rPr>
          <w:rFonts w:eastAsia="Calibri"/>
          <w:b/>
          <w:lang w:val="es-ES_tradnl"/>
        </w:rPr>
      </w:pPr>
      <w:r w:rsidRPr="00322592">
        <w:rPr>
          <w:rFonts w:eastAsia="Calibri"/>
          <w:bCs/>
          <w:lang w:val="es-ES_tradnl"/>
        </w:rPr>
        <w:t>4</w:t>
      </w:r>
      <w:r>
        <w:rPr>
          <w:rFonts w:eastAsia="Calibri"/>
          <w:bCs/>
          <w:lang w:val="es-ES_tradnl"/>
        </w:rPr>
        <w:t>5</w:t>
      </w:r>
      <w:r w:rsidRPr="00322592">
        <w:rPr>
          <w:rFonts w:eastAsia="Calibri"/>
          <w:bCs/>
          <w:lang w:val="es-ES_tradnl"/>
        </w:rPr>
        <w:t>.</w:t>
      </w:r>
      <w:r w:rsidRPr="00322592">
        <w:rPr>
          <w:rFonts w:eastAsia="Calibri"/>
          <w:b/>
          <w:lang w:val="es-ES_tradnl"/>
        </w:rPr>
        <w:tab/>
        <w:t>El Comité alienta al Estado parte a que considere la posibilidad de formular las declaraciones previstas en los artículos 21 y 22 de la Convención.</w:t>
      </w:r>
    </w:p>
    <w:p w14:paraId="139F94BB" w14:textId="77777777" w:rsidR="000D59FF" w:rsidRPr="00322592" w:rsidRDefault="000D59FF" w:rsidP="000D59FF">
      <w:pPr>
        <w:pStyle w:val="SingleTxtG"/>
        <w:rPr>
          <w:rFonts w:eastAsia="Calibri"/>
          <w:lang w:val="es-ES_tradnl"/>
        </w:rPr>
      </w:pPr>
      <w:r w:rsidRPr="00322592">
        <w:rPr>
          <w:rFonts w:eastAsia="Calibri"/>
          <w:lang w:val="es-ES_tradnl"/>
        </w:rPr>
        <w:t>4</w:t>
      </w:r>
      <w:r>
        <w:rPr>
          <w:rFonts w:eastAsia="Calibri"/>
          <w:lang w:val="es-ES_tradnl"/>
        </w:rPr>
        <w:t>6</w:t>
      </w:r>
      <w:r w:rsidRPr="00322592">
        <w:rPr>
          <w:rFonts w:eastAsia="Calibri"/>
          <w:lang w:val="es-ES_tradnl"/>
        </w:rPr>
        <w:t>.</w:t>
      </w:r>
      <w:r w:rsidRPr="00322592">
        <w:rPr>
          <w:rFonts w:eastAsia="Calibri"/>
          <w:b/>
          <w:lang w:val="es-ES_tradnl"/>
        </w:rPr>
        <w:tab/>
        <w:t xml:space="preserve">Se solicita al Estado parte que dé amplia difusión al informe presentado al Comité y estas observaciones finales, en los idiomas pertinentes, a través de los sitios web oficiales, los medios de difusión y las organizaciones no gubernamentales, </w:t>
      </w:r>
      <w:bookmarkStart w:id="5" w:name="_Hlk90374576"/>
      <w:r w:rsidRPr="00322592">
        <w:rPr>
          <w:rFonts w:eastAsia="Calibri"/>
          <w:b/>
          <w:lang w:val="es-ES_tradnl"/>
        </w:rPr>
        <w:t>e informe al Comité sobre sus actividades de difusión</w:t>
      </w:r>
      <w:bookmarkEnd w:id="5"/>
      <w:r w:rsidRPr="00322592">
        <w:rPr>
          <w:rFonts w:eastAsia="Calibri"/>
          <w:b/>
          <w:lang w:val="es-ES_tradnl"/>
        </w:rPr>
        <w:t>.</w:t>
      </w:r>
    </w:p>
    <w:p w14:paraId="6C199250" w14:textId="77777777" w:rsidR="000D59FF" w:rsidRPr="001560E7" w:rsidRDefault="000D59FF" w:rsidP="000D59FF">
      <w:pPr>
        <w:pStyle w:val="SingleTxtG"/>
        <w:rPr>
          <w:rFonts w:eastAsia="Calibri"/>
          <w:b/>
          <w:bCs/>
          <w:lang w:val="es-ES_tradnl"/>
        </w:rPr>
      </w:pPr>
      <w:r w:rsidRPr="00322592">
        <w:rPr>
          <w:rFonts w:eastAsia="Calibri"/>
          <w:lang w:val="es-ES_tradnl"/>
        </w:rPr>
        <w:t>4</w:t>
      </w:r>
      <w:r>
        <w:rPr>
          <w:rFonts w:eastAsia="Calibri"/>
          <w:lang w:val="es-ES_tradnl"/>
        </w:rPr>
        <w:t>7</w:t>
      </w:r>
      <w:r w:rsidRPr="00322592">
        <w:rPr>
          <w:rFonts w:eastAsia="Calibri"/>
          <w:lang w:val="es-ES_tradnl"/>
        </w:rPr>
        <w:t>.</w:t>
      </w:r>
      <w:r w:rsidRPr="00322592">
        <w:rPr>
          <w:rFonts w:eastAsia="Calibri"/>
          <w:lang w:val="es-ES_tradnl"/>
        </w:rPr>
        <w:tab/>
      </w:r>
      <w:r w:rsidRPr="00322592">
        <w:rPr>
          <w:rFonts w:eastAsia="Calibri"/>
          <w:b/>
          <w:bCs/>
          <w:lang w:val="es-ES_tradnl"/>
        </w:rPr>
        <w:t xml:space="preserve">El Comité solicita al Estado parte que presente su próximo informe periódico, que será el cuarto, a más tardar el 10 de mayo de 2028. Con este propósito, y habida cuenta del hecho de que el Estado parte ha convenido en presentar su informe al Comité con arreglo al procedimiento simplificado, el Comité transmitirá </w:t>
      </w:r>
      <w:r w:rsidRPr="00322592">
        <w:rPr>
          <w:b/>
          <w:bCs/>
          <w:lang w:val="es-ES_tradnl"/>
        </w:rPr>
        <w:t>oportunamente</w:t>
      </w:r>
      <w:r w:rsidRPr="00322592">
        <w:rPr>
          <w:rFonts w:eastAsia="Calibri"/>
          <w:b/>
          <w:bCs/>
          <w:lang w:val="es-ES_tradnl"/>
        </w:rPr>
        <w:t xml:space="preserve"> al Estado parte una lista de cuestiones previa a la presentación. Las respuestas del Estado parte a esa lista de cuestiones constituirán su cuarto informe periódico en virtud del artículo</w:t>
      </w:r>
      <w:r>
        <w:rPr>
          <w:rFonts w:eastAsia="Calibri"/>
          <w:b/>
          <w:bCs/>
          <w:lang w:val="es-ES_tradnl"/>
        </w:rPr>
        <w:t xml:space="preserve"> </w:t>
      </w:r>
      <w:r w:rsidRPr="00322592">
        <w:rPr>
          <w:rFonts w:eastAsia="Calibri"/>
          <w:b/>
          <w:bCs/>
          <w:lang w:val="es-ES_tradnl"/>
        </w:rPr>
        <w:t>19 de la Convención.</w:t>
      </w:r>
    </w:p>
    <w:p w14:paraId="7C571D75" w14:textId="3FDB486E" w:rsidR="00AC611E" w:rsidRPr="00180AD1" w:rsidRDefault="000D59FF" w:rsidP="00180AD1">
      <w:pPr>
        <w:tabs>
          <w:tab w:val="left" w:pos="1701"/>
          <w:tab w:val="left" w:pos="2268"/>
          <w:tab w:val="left" w:pos="2835"/>
        </w:tabs>
        <w:spacing w:before="240"/>
        <w:ind w:left="1134" w:right="1134"/>
        <w:jc w:val="center"/>
        <w:rPr>
          <w:rFonts w:eastAsia="Calibri"/>
          <w:bCs/>
          <w:u w:val="single"/>
          <w:lang w:val="es-ES_tradnl"/>
        </w:rPr>
      </w:pPr>
      <w:r w:rsidRPr="009D6C52">
        <w:rPr>
          <w:rFonts w:eastAsia="Calibri"/>
          <w:bCs/>
          <w:u w:val="single"/>
          <w:lang w:val="es-ES_tradnl"/>
        </w:rPr>
        <w:tab/>
      </w:r>
      <w:r w:rsidRPr="009D6C52">
        <w:rPr>
          <w:rFonts w:eastAsia="Calibri"/>
          <w:bCs/>
          <w:u w:val="single"/>
          <w:lang w:val="es-ES_tradnl"/>
        </w:rPr>
        <w:tab/>
      </w:r>
      <w:r w:rsidRPr="009D6C52">
        <w:rPr>
          <w:rFonts w:eastAsia="Calibri"/>
          <w:bCs/>
          <w:u w:val="single"/>
          <w:lang w:val="es-ES_tradnl"/>
        </w:rPr>
        <w:tab/>
      </w:r>
    </w:p>
    <w:sectPr w:rsidR="00AC611E" w:rsidRPr="00180AD1" w:rsidSect="000D59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45994" w14:textId="77777777" w:rsidR="00EB7D48" w:rsidRPr="00A312BC" w:rsidRDefault="00EB7D48" w:rsidP="00A312BC">
      <w:pPr>
        <w:pStyle w:val="Piedepgina"/>
      </w:pPr>
    </w:p>
  </w:endnote>
  <w:endnote w:type="continuationSeparator" w:id="0">
    <w:p w14:paraId="7CDF1DBD" w14:textId="77777777" w:rsidR="00EB7D48" w:rsidRPr="00A312BC" w:rsidRDefault="00EB7D4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__Roboto_Fallback_a64b99">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266FA" w14:textId="1A54A9F0" w:rsidR="000D59FF" w:rsidRPr="000D59FF" w:rsidRDefault="000D59FF" w:rsidP="000D59FF">
    <w:pPr>
      <w:pStyle w:val="Piedepgina"/>
      <w:tabs>
        <w:tab w:val="right" w:pos="9638"/>
      </w:tabs>
    </w:pPr>
    <w:r w:rsidRPr="000D59FF">
      <w:rPr>
        <w:b/>
        <w:sz w:val="18"/>
      </w:rPr>
      <w:fldChar w:fldCharType="begin"/>
    </w:r>
    <w:r w:rsidRPr="000D59FF">
      <w:rPr>
        <w:b/>
        <w:sz w:val="18"/>
      </w:rPr>
      <w:instrText xml:space="preserve"> PAGE  \* MERGEFORMAT </w:instrText>
    </w:r>
    <w:r w:rsidRPr="000D59FF">
      <w:rPr>
        <w:b/>
        <w:sz w:val="18"/>
      </w:rPr>
      <w:fldChar w:fldCharType="separate"/>
    </w:r>
    <w:r w:rsidRPr="000D59FF">
      <w:rPr>
        <w:b/>
        <w:noProof/>
        <w:sz w:val="18"/>
      </w:rPr>
      <w:t>2</w:t>
    </w:r>
    <w:r w:rsidRPr="000D59FF">
      <w:rPr>
        <w:b/>
        <w:sz w:val="18"/>
      </w:rPr>
      <w:fldChar w:fldCharType="end"/>
    </w:r>
    <w:r>
      <w:rPr>
        <w:b/>
        <w:sz w:val="18"/>
      </w:rPr>
      <w:tab/>
    </w:r>
    <w:r>
      <w:t>GE.24-08603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FF7C4" w14:textId="51BF080A" w:rsidR="000D59FF" w:rsidRPr="000D59FF" w:rsidRDefault="000D59FF" w:rsidP="000D59FF">
    <w:pPr>
      <w:pStyle w:val="Piedepgina"/>
      <w:tabs>
        <w:tab w:val="right" w:pos="9638"/>
      </w:tabs>
      <w:rPr>
        <w:b/>
        <w:sz w:val="18"/>
      </w:rPr>
    </w:pPr>
    <w:r>
      <w:t>GE.24-08603</w:t>
    </w:r>
    <w:r>
      <w:tab/>
    </w:r>
    <w:r w:rsidRPr="000D59FF">
      <w:rPr>
        <w:b/>
        <w:sz w:val="18"/>
      </w:rPr>
      <w:fldChar w:fldCharType="begin"/>
    </w:r>
    <w:r w:rsidRPr="000D59FF">
      <w:rPr>
        <w:b/>
        <w:sz w:val="18"/>
      </w:rPr>
      <w:instrText xml:space="preserve"> PAGE  \* MERGEFORMAT </w:instrText>
    </w:r>
    <w:r w:rsidRPr="000D59FF">
      <w:rPr>
        <w:b/>
        <w:sz w:val="18"/>
      </w:rPr>
      <w:fldChar w:fldCharType="separate"/>
    </w:r>
    <w:r w:rsidRPr="000D59FF">
      <w:rPr>
        <w:b/>
        <w:noProof/>
        <w:sz w:val="18"/>
      </w:rPr>
      <w:t>3</w:t>
    </w:r>
    <w:r w:rsidRPr="000D59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EA780" w14:textId="6B9F1846" w:rsidR="00042B72" w:rsidRPr="000D59FF" w:rsidRDefault="000D59FF" w:rsidP="000D59F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307267C" wp14:editId="3F912D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24-08603  (S)</w:t>
    </w:r>
    <w:r>
      <w:rPr>
        <w:noProof/>
        <w:sz w:val="20"/>
      </w:rPr>
      <w:drawing>
        <wp:anchor distT="0" distB="0" distL="114300" distR="114300" simplePos="0" relativeHeight="251658752" behindDoc="0" locked="0" layoutInCell="1" allowOverlap="1" wp14:anchorId="77252913" wp14:editId="731466F5">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w:t>
    </w:r>
    <w:r w:rsidR="00983ECA">
      <w:rPr>
        <w:sz w:val="20"/>
      </w:rPr>
      <w:t>8</w:t>
    </w:r>
    <w:r>
      <w:rPr>
        <w:sz w:val="20"/>
      </w:rPr>
      <w:t>0524    2</w:t>
    </w:r>
    <w:r w:rsidR="00061197">
      <w:rPr>
        <w:sz w:val="20"/>
      </w:rPr>
      <w:t>8</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01499" w14:textId="77777777" w:rsidR="00EB7D48" w:rsidRPr="001075E9" w:rsidRDefault="00EB7D48" w:rsidP="001075E9">
      <w:pPr>
        <w:tabs>
          <w:tab w:val="right" w:pos="2155"/>
        </w:tabs>
        <w:spacing w:after="80" w:line="240" w:lineRule="auto"/>
        <w:ind w:left="680"/>
        <w:rPr>
          <w:u w:val="single"/>
        </w:rPr>
      </w:pPr>
      <w:r>
        <w:rPr>
          <w:u w:val="single"/>
        </w:rPr>
        <w:tab/>
      </w:r>
    </w:p>
  </w:footnote>
  <w:footnote w:type="continuationSeparator" w:id="0">
    <w:p w14:paraId="266EFCCE" w14:textId="77777777" w:rsidR="00EB7D48" w:rsidRDefault="00EB7D48" w:rsidP="00407B78">
      <w:pPr>
        <w:tabs>
          <w:tab w:val="right" w:pos="2155"/>
        </w:tabs>
        <w:spacing w:after="80"/>
        <w:ind w:left="680"/>
        <w:rPr>
          <w:u w:val="single"/>
        </w:rPr>
      </w:pPr>
      <w:r>
        <w:rPr>
          <w:u w:val="single"/>
        </w:rPr>
        <w:tab/>
      </w:r>
    </w:p>
  </w:footnote>
  <w:footnote w:id="1">
    <w:p w14:paraId="3C6715DF" w14:textId="57807673" w:rsidR="006F6D65" w:rsidRPr="006F6D65" w:rsidRDefault="006F6D65">
      <w:pPr>
        <w:pStyle w:val="Textonotapie"/>
        <w:rPr>
          <w:sz w:val="20"/>
        </w:rPr>
      </w:pPr>
      <w:r>
        <w:tab/>
      </w:r>
      <w:r w:rsidRPr="006F6D65">
        <w:rPr>
          <w:rStyle w:val="Refdenotaalpie"/>
          <w:sz w:val="20"/>
          <w:vertAlign w:val="baseline"/>
        </w:rPr>
        <w:t>*</w:t>
      </w:r>
      <w:r w:rsidRPr="006F6D65">
        <w:rPr>
          <w:rStyle w:val="Refdenotaalpie"/>
          <w:vertAlign w:val="baseline"/>
        </w:rPr>
        <w:tab/>
      </w:r>
      <w:r>
        <w:t>Publicado nuevamente por razones técnicas el 28 de mayo de 2024.</w:t>
      </w:r>
    </w:p>
  </w:footnote>
  <w:footnote w:id="2">
    <w:p w14:paraId="0460E116" w14:textId="7BC3FC36" w:rsidR="006F6D65" w:rsidRPr="006F6D65" w:rsidRDefault="006F6D65" w:rsidP="006F6D65">
      <w:pPr>
        <w:pStyle w:val="Textonotapie"/>
        <w:rPr>
          <w:sz w:val="20"/>
        </w:rPr>
      </w:pPr>
      <w:r>
        <w:tab/>
      </w:r>
      <w:r w:rsidRPr="006F6D65">
        <w:rPr>
          <w:rStyle w:val="Refdenotaalpie"/>
          <w:sz w:val="20"/>
          <w:vertAlign w:val="baseline"/>
        </w:rPr>
        <w:t>**</w:t>
      </w:r>
      <w:r w:rsidRPr="006F6D65">
        <w:rPr>
          <w:rStyle w:val="Refdenotaalpie"/>
          <w:vertAlign w:val="baseline"/>
        </w:rPr>
        <w:tab/>
      </w:r>
      <w:r w:rsidRPr="006F6D65">
        <w:t>Aprobadas por el Comité en su 79º período de sesiones (15 de abril a 10 de mayo de 2024).</w:t>
      </w:r>
    </w:p>
  </w:footnote>
  <w:footnote w:id="3">
    <w:p w14:paraId="3E5FFF18" w14:textId="77777777" w:rsidR="000D59FF" w:rsidRPr="0051074D" w:rsidRDefault="000D59FF" w:rsidP="000D59FF">
      <w:pPr>
        <w:pStyle w:val="Textonotapie"/>
        <w:rPr>
          <w:szCs w:val="18"/>
          <w:lang w:val="fr-CH"/>
        </w:rPr>
      </w:pPr>
      <w:r w:rsidRPr="0051074D">
        <w:rPr>
          <w:szCs w:val="18"/>
          <w:lang w:val="es-ES_tradnl"/>
        </w:rPr>
        <w:tab/>
      </w:r>
      <w:r w:rsidRPr="0051074D">
        <w:rPr>
          <w:rStyle w:val="Refdenotaalpie"/>
          <w:szCs w:val="18"/>
          <w:lang w:val="es-ES_tradnl"/>
        </w:rPr>
        <w:footnoteRef/>
      </w:r>
      <w:r w:rsidRPr="0051074D">
        <w:rPr>
          <w:szCs w:val="18"/>
          <w:lang w:val="fr-CH"/>
        </w:rPr>
        <w:tab/>
      </w:r>
      <w:hyperlink r:id="rId1" w:history="1">
        <w:r w:rsidRPr="0051074D">
          <w:rPr>
            <w:rStyle w:val="Hipervnculo"/>
            <w:szCs w:val="18"/>
            <w:lang w:val="fr-CH"/>
          </w:rPr>
          <w:t>CAT/C/HND/3</w:t>
        </w:r>
      </w:hyperlink>
      <w:r w:rsidRPr="0051074D">
        <w:rPr>
          <w:szCs w:val="18"/>
          <w:lang w:val="fr-CH"/>
        </w:rPr>
        <w:t>.</w:t>
      </w:r>
    </w:p>
  </w:footnote>
  <w:footnote w:id="4">
    <w:p w14:paraId="03CA1244" w14:textId="4ABA7901" w:rsidR="000D59FF" w:rsidRPr="0051074D" w:rsidRDefault="000D59FF" w:rsidP="000D59FF">
      <w:pPr>
        <w:pStyle w:val="Textonotapie"/>
        <w:widowControl w:val="0"/>
        <w:rPr>
          <w:szCs w:val="18"/>
          <w:lang w:val="fr-CH"/>
        </w:rPr>
      </w:pPr>
      <w:r w:rsidRPr="0051074D">
        <w:rPr>
          <w:szCs w:val="18"/>
          <w:lang w:val="fr-CH"/>
        </w:rPr>
        <w:tab/>
      </w:r>
      <w:r w:rsidRPr="0051074D">
        <w:rPr>
          <w:rStyle w:val="Refdenotaalpie"/>
          <w:szCs w:val="18"/>
          <w:lang w:val="es-ES_tradnl"/>
        </w:rPr>
        <w:footnoteRef/>
      </w:r>
      <w:r w:rsidRPr="0051074D">
        <w:rPr>
          <w:szCs w:val="18"/>
          <w:lang w:val="fr-CH"/>
        </w:rPr>
        <w:tab/>
        <w:t xml:space="preserve">Venasse </w:t>
      </w:r>
      <w:hyperlink r:id="rId2" w:history="1">
        <w:r w:rsidRPr="0051074D">
          <w:rPr>
            <w:rStyle w:val="Hipervnculo"/>
            <w:szCs w:val="18"/>
            <w:lang w:val="fr-CH"/>
          </w:rPr>
          <w:t>CAT/C/SR 2076</w:t>
        </w:r>
      </w:hyperlink>
      <w:r w:rsidRPr="0051074D">
        <w:rPr>
          <w:lang w:val="fr-CH"/>
        </w:rPr>
        <w:t xml:space="preserve"> </w:t>
      </w:r>
      <w:r w:rsidRPr="0051074D">
        <w:rPr>
          <w:szCs w:val="18"/>
          <w:lang w:val="fr-CH"/>
        </w:rPr>
        <w:t xml:space="preserve">y </w:t>
      </w:r>
      <w:hyperlink r:id="rId3" w:history="1">
        <w:r w:rsidRPr="0051074D">
          <w:rPr>
            <w:rStyle w:val="Hipervnculo"/>
            <w:szCs w:val="18"/>
            <w:lang w:val="fr-CH"/>
          </w:rPr>
          <w:t>CAT/C/SR.</w:t>
        </w:r>
        <w:r w:rsidRPr="0051074D">
          <w:rPr>
            <w:rStyle w:val="Hipervnculo"/>
            <w:lang w:val="fr-CH"/>
          </w:rPr>
          <w:t>2079</w:t>
        </w:r>
      </w:hyperlink>
      <w:r w:rsidRPr="0051074D">
        <w:rPr>
          <w:szCs w:val="18"/>
          <w:lang w:val="fr-CH"/>
        </w:rPr>
        <w:t>.</w:t>
      </w:r>
    </w:p>
  </w:footnote>
  <w:footnote w:id="5">
    <w:p w14:paraId="7A2B664F" w14:textId="77777777" w:rsidR="000D59FF" w:rsidRPr="0051074D" w:rsidRDefault="000D59FF" w:rsidP="000D59FF">
      <w:pPr>
        <w:pStyle w:val="Textonotapie"/>
        <w:rPr>
          <w:szCs w:val="18"/>
          <w:lang w:val="es-SV"/>
        </w:rPr>
      </w:pPr>
      <w:r w:rsidRPr="0051074D">
        <w:rPr>
          <w:szCs w:val="18"/>
          <w:lang w:val="fr-CH"/>
        </w:rPr>
        <w:tab/>
      </w:r>
      <w:r w:rsidRPr="0051074D">
        <w:rPr>
          <w:rStyle w:val="Refdenotaalpie"/>
          <w:szCs w:val="18"/>
          <w:lang w:val="es-ES_tradnl"/>
        </w:rPr>
        <w:footnoteRef/>
      </w:r>
      <w:r w:rsidRPr="000D59FF">
        <w:rPr>
          <w:szCs w:val="18"/>
          <w:lang w:val="en-US"/>
        </w:rPr>
        <w:tab/>
      </w:r>
      <w:hyperlink r:id="rId4" w:history="1">
        <w:r w:rsidRPr="000D59FF">
          <w:rPr>
            <w:rStyle w:val="Hipervnculo"/>
            <w:szCs w:val="18"/>
            <w:lang w:val="en-US"/>
          </w:rPr>
          <w:t>CAT/C/HND/CO/2</w:t>
        </w:r>
      </w:hyperlink>
      <w:r w:rsidRPr="000D59FF">
        <w:rPr>
          <w:rStyle w:val="Hipervnculo"/>
          <w:szCs w:val="18"/>
          <w:lang w:val="en-US"/>
        </w:rPr>
        <w:t xml:space="preserve">, </w:t>
      </w:r>
      <w:r w:rsidRPr="000D59FF">
        <w:rPr>
          <w:szCs w:val="18"/>
          <w:lang w:val="en-US"/>
        </w:rPr>
        <w:t xml:space="preserve">párr. </w:t>
      </w:r>
      <w:r w:rsidRPr="0051074D">
        <w:rPr>
          <w:szCs w:val="18"/>
          <w:lang w:val="es-SV"/>
        </w:rPr>
        <w:t>53.</w:t>
      </w:r>
    </w:p>
  </w:footnote>
  <w:footnote w:id="6">
    <w:p w14:paraId="6E00D9F6" w14:textId="77777777" w:rsidR="000D59FF" w:rsidRPr="0051074D" w:rsidRDefault="000D59FF" w:rsidP="000D59FF">
      <w:pPr>
        <w:pStyle w:val="Textonotapie"/>
        <w:rPr>
          <w:szCs w:val="18"/>
          <w:lang w:val="es-SV"/>
        </w:rPr>
      </w:pPr>
      <w:r w:rsidRPr="0051074D">
        <w:rPr>
          <w:szCs w:val="18"/>
          <w:lang w:val="es-SV"/>
        </w:rPr>
        <w:tab/>
      </w:r>
      <w:r w:rsidRPr="0051074D">
        <w:rPr>
          <w:rStyle w:val="Refdenotaalpie"/>
          <w:szCs w:val="18"/>
          <w:lang w:val="es-ES_tradnl"/>
        </w:rPr>
        <w:footnoteRef/>
      </w:r>
      <w:r w:rsidRPr="0051074D">
        <w:rPr>
          <w:szCs w:val="18"/>
          <w:lang w:val="es-SV"/>
        </w:rPr>
        <w:t xml:space="preserve"> </w:t>
      </w:r>
      <w:r w:rsidRPr="0051074D">
        <w:rPr>
          <w:szCs w:val="18"/>
          <w:lang w:val="es-SV"/>
        </w:rPr>
        <w:tab/>
      </w:r>
      <w:r w:rsidRPr="0051074D">
        <w:rPr>
          <w:i/>
          <w:szCs w:val="18"/>
          <w:lang w:val="es-SV"/>
        </w:rPr>
        <w:t>Ibid.</w:t>
      </w:r>
      <w:r w:rsidRPr="0051074D">
        <w:rPr>
          <w:iCs/>
          <w:szCs w:val="18"/>
          <w:lang w:val="es-SV"/>
        </w:rPr>
        <w:t>,</w:t>
      </w:r>
      <w:r w:rsidRPr="0051074D">
        <w:rPr>
          <w:i/>
          <w:szCs w:val="18"/>
          <w:lang w:val="es-SV"/>
        </w:rPr>
        <w:t xml:space="preserve"> </w:t>
      </w:r>
      <w:r w:rsidRPr="0051074D">
        <w:rPr>
          <w:szCs w:val="18"/>
          <w:lang w:val="es-SV"/>
        </w:rPr>
        <w:t>párrs. 16, 20 a) y c), 30 y 44.</w:t>
      </w:r>
    </w:p>
  </w:footnote>
  <w:footnote w:id="7">
    <w:p w14:paraId="31B6968C" w14:textId="77777777" w:rsidR="000D59FF" w:rsidRPr="000D59FF" w:rsidRDefault="000D59FF" w:rsidP="000D59FF">
      <w:pPr>
        <w:pStyle w:val="Textonotapie"/>
        <w:widowControl w:val="0"/>
        <w:rPr>
          <w:szCs w:val="18"/>
        </w:rPr>
      </w:pPr>
      <w:r w:rsidRPr="0051074D">
        <w:rPr>
          <w:szCs w:val="18"/>
          <w:lang w:val="es-SV"/>
        </w:rPr>
        <w:tab/>
      </w:r>
      <w:r w:rsidRPr="0051074D">
        <w:rPr>
          <w:rStyle w:val="Refdenotaalpie"/>
          <w:szCs w:val="18"/>
          <w:lang w:val="es-ES_tradnl"/>
        </w:rPr>
        <w:footnoteRef/>
      </w:r>
      <w:r w:rsidRPr="000D59FF">
        <w:rPr>
          <w:szCs w:val="18"/>
        </w:rPr>
        <w:tab/>
      </w:r>
      <w:hyperlink r:id="rId5" w:history="1">
        <w:r w:rsidRPr="000D59FF">
          <w:rPr>
            <w:rStyle w:val="Hipervnculo"/>
            <w:szCs w:val="18"/>
          </w:rPr>
          <w:t>CAT/C/HND/CO/2/Add.1</w:t>
        </w:r>
      </w:hyperlink>
      <w:r w:rsidRPr="000D59FF">
        <w:rPr>
          <w:szCs w:val="18"/>
        </w:rPr>
        <w:t xml:space="preserve">. </w:t>
      </w:r>
    </w:p>
  </w:footnote>
  <w:footnote w:id="8">
    <w:p w14:paraId="44BA4D27" w14:textId="77777777" w:rsidR="000D59FF" w:rsidRPr="00FB22AF" w:rsidRDefault="000D59FF" w:rsidP="000D59FF">
      <w:pPr>
        <w:pStyle w:val="Textonotapie"/>
      </w:pPr>
      <w:r w:rsidRPr="000D59FF">
        <w:tab/>
      </w:r>
      <w:r w:rsidRPr="0051074D">
        <w:rPr>
          <w:rStyle w:val="Refdenotaalpie"/>
        </w:rPr>
        <w:footnoteRef/>
      </w:r>
      <w:r w:rsidRPr="00FB22AF">
        <w:t xml:space="preserve"> </w:t>
      </w:r>
      <w:r w:rsidRPr="00FB22AF">
        <w:tab/>
      </w:r>
      <w:r w:rsidRPr="00FB22AF">
        <w:tab/>
        <w:t xml:space="preserve">Véase </w:t>
      </w:r>
      <w:hyperlink r:id="rId6" w:history="1">
        <w:r w:rsidRPr="00FB22AF">
          <w:rPr>
            <w:rStyle w:val="Hipervnculo"/>
          </w:rPr>
          <w:t>https://tbinternet.ohchr.org/_layouts/15/treatybodyexternal/Download.aspx?symbolno=INT%2FCAT%2FFUL%2FHND%2F32212&amp;Lang=en</w:t>
        </w:r>
      </w:hyperlink>
      <w:r w:rsidRPr="00FB22AF">
        <w:t xml:space="preserve"> (en inglés solamente).</w:t>
      </w:r>
    </w:p>
  </w:footnote>
  <w:footnote w:id="9">
    <w:p w14:paraId="3A2EB845" w14:textId="77777777" w:rsidR="000D59FF" w:rsidRPr="00FB22AF" w:rsidRDefault="000D59FF" w:rsidP="000D59FF">
      <w:pPr>
        <w:pStyle w:val="Textonotapie"/>
      </w:pPr>
      <w:r w:rsidRPr="00FB22AF">
        <w:tab/>
      </w:r>
      <w:r w:rsidRPr="0051074D">
        <w:rPr>
          <w:rStyle w:val="Refdenotaalpie"/>
        </w:rPr>
        <w:footnoteRef/>
      </w:r>
      <w:r w:rsidRPr="0051074D">
        <w:rPr>
          <w:lang w:val="es-SV"/>
        </w:rPr>
        <w:tab/>
      </w:r>
      <w:r w:rsidRPr="0051074D">
        <w:rPr>
          <w:lang w:val="es-SV"/>
        </w:rPr>
        <w:tab/>
      </w:r>
      <w:hyperlink r:id="rId7" w:history="1">
        <w:r w:rsidRPr="0051074D">
          <w:rPr>
            <w:rStyle w:val="Hipervnculo"/>
            <w:szCs w:val="18"/>
            <w:lang w:val="es-SV"/>
          </w:rPr>
          <w:t>A/HRC/52/24</w:t>
        </w:r>
      </w:hyperlink>
      <w:r w:rsidRPr="0051074D">
        <w:rPr>
          <w:szCs w:val="18"/>
          <w:lang w:val="es-SV"/>
        </w:rPr>
        <w:t xml:space="preserve">, párr. 10; y </w:t>
      </w:r>
      <w:hyperlink r:id="rId8" w:history="1">
        <w:r w:rsidRPr="0051074D">
          <w:rPr>
            <w:rStyle w:val="Hipervnculo"/>
            <w:lang w:val="es-SV"/>
          </w:rPr>
          <w:t>A/HRC/54/22/Add.2</w:t>
        </w:r>
      </w:hyperlink>
      <w:r w:rsidRPr="0051074D">
        <w:rPr>
          <w:lang w:val="es-SV"/>
        </w:rPr>
        <w:t xml:space="preserve">, </w:t>
      </w:r>
      <w:r w:rsidRPr="0051074D">
        <w:rPr>
          <w:szCs w:val="18"/>
          <w:lang w:val="es-SV"/>
        </w:rPr>
        <w:t xml:space="preserve">párr. </w:t>
      </w:r>
      <w:r w:rsidRPr="00FB22AF">
        <w:rPr>
          <w:szCs w:val="18"/>
        </w:rPr>
        <w:t>15.</w:t>
      </w:r>
    </w:p>
  </w:footnote>
  <w:footnote w:id="10">
    <w:p w14:paraId="2D600682" w14:textId="77777777" w:rsidR="000D59FF" w:rsidRPr="0051074D" w:rsidRDefault="000D59FF" w:rsidP="000D59FF">
      <w:pPr>
        <w:pStyle w:val="Textonotapie"/>
      </w:pPr>
      <w:r w:rsidRPr="00FB22AF">
        <w:tab/>
      </w:r>
      <w:r w:rsidRPr="0051074D">
        <w:rPr>
          <w:rStyle w:val="Refdenotaalpie"/>
        </w:rPr>
        <w:footnoteRef/>
      </w:r>
      <w:r w:rsidRPr="0051074D">
        <w:tab/>
      </w:r>
      <w:r w:rsidRPr="0051074D">
        <w:tab/>
      </w:r>
      <w:hyperlink r:id="rId9" w:history="1">
        <w:r w:rsidRPr="0051074D">
          <w:rPr>
            <w:rStyle w:val="Hipervnculo"/>
            <w:szCs w:val="18"/>
          </w:rPr>
          <w:t>CED/C/HND/OAI/1</w:t>
        </w:r>
      </w:hyperlink>
      <w:r w:rsidRPr="0051074D">
        <w:rPr>
          <w:szCs w:val="18"/>
        </w:rPr>
        <w:t>, párr. 30</w:t>
      </w:r>
      <w:r>
        <w:rPr>
          <w:szCs w:val="18"/>
        </w:rPr>
        <w:t xml:space="preserve"> </w:t>
      </w:r>
      <w:r w:rsidRPr="0051074D">
        <w:rPr>
          <w:szCs w:val="18"/>
        </w:rPr>
        <w:t>c).</w:t>
      </w:r>
    </w:p>
  </w:footnote>
  <w:footnote w:id="11">
    <w:p w14:paraId="57E68217" w14:textId="77777777" w:rsidR="000D59FF" w:rsidRPr="0051074D" w:rsidRDefault="000D59FF" w:rsidP="000D59FF">
      <w:pPr>
        <w:pStyle w:val="Textonotapie"/>
      </w:pPr>
      <w:r w:rsidRPr="0051074D">
        <w:tab/>
      </w:r>
      <w:r w:rsidRPr="0051074D">
        <w:rPr>
          <w:rStyle w:val="Refdenotaalpie"/>
        </w:rPr>
        <w:footnoteRef/>
      </w:r>
      <w:r w:rsidRPr="0051074D">
        <w:t xml:space="preserve"> </w:t>
      </w:r>
      <w:r w:rsidRPr="0051074D">
        <w:tab/>
      </w:r>
      <w:r w:rsidRPr="0051074D">
        <w:tab/>
      </w:r>
      <w:hyperlink r:id="rId10" w:history="1">
        <w:r w:rsidRPr="0051074D">
          <w:rPr>
            <w:rStyle w:val="Hipervnculo"/>
          </w:rPr>
          <w:t>A/HRC/49/21</w:t>
        </w:r>
      </w:hyperlink>
      <w:r w:rsidRPr="0051074D">
        <w:t xml:space="preserve">, </w:t>
      </w:r>
      <w:r w:rsidRPr="0051074D">
        <w:rPr>
          <w:szCs w:val="18"/>
        </w:rPr>
        <w:t>p</w:t>
      </w:r>
      <w:r w:rsidRPr="0051074D">
        <w:rPr>
          <w:rFonts w:eastAsia="Arial"/>
          <w:szCs w:val="18"/>
        </w:rPr>
        <w:t>á</w:t>
      </w:r>
      <w:r w:rsidRPr="0051074D">
        <w:rPr>
          <w:szCs w:val="18"/>
        </w:rPr>
        <w:t>rr. 15.</w:t>
      </w:r>
    </w:p>
  </w:footnote>
  <w:footnote w:id="12">
    <w:p w14:paraId="41199687" w14:textId="77777777" w:rsidR="000D59FF" w:rsidRPr="0051074D" w:rsidRDefault="000D59FF" w:rsidP="000D59FF">
      <w:pPr>
        <w:pStyle w:val="Textonotapie"/>
        <w:rPr>
          <w:szCs w:val="18"/>
          <w:lang w:val="es-SV"/>
        </w:rPr>
      </w:pPr>
      <w:r w:rsidRPr="0051074D">
        <w:rPr>
          <w:szCs w:val="18"/>
        </w:rPr>
        <w:tab/>
      </w:r>
      <w:r w:rsidRPr="0051074D">
        <w:rPr>
          <w:rStyle w:val="Refdenotaalpie"/>
          <w:szCs w:val="18"/>
        </w:rPr>
        <w:footnoteRef/>
      </w:r>
      <w:r w:rsidRPr="0051074D">
        <w:rPr>
          <w:szCs w:val="18"/>
        </w:rPr>
        <w:t xml:space="preserve"> </w:t>
      </w:r>
      <w:r w:rsidRPr="0051074D">
        <w:rPr>
          <w:szCs w:val="18"/>
        </w:rPr>
        <w:tab/>
      </w:r>
      <w:hyperlink r:id="rId11" w:history="1">
        <w:r w:rsidRPr="0051074D">
          <w:rPr>
            <w:rStyle w:val="Hipervnculo"/>
            <w:szCs w:val="18"/>
          </w:rPr>
          <w:t>CED/C/HND/OAI/1</w:t>
        </w:r>
      </w:hyperlink>
      <w:r w:rsidRPr="0051074D">
        <w:t xml:space="preserve">, </w:t>
      </w:r>
      <w:r w:rsidRPr="0051074D">
        <w:rPr>
          <w:szCs w:val="18"/>
        </w:rPr>
        <w:t xml:space="preserve">párrs. </w:t>
      </w:r>
      <w:r w:rsidRPr="00FB22AF">
        <w:rPr>
          <w:szCs w:val="18"/>
        </w:rPr>
        <w:t xml:space="preserve">10 y 11; </w:t>
      </w:r>
      <w:hyperlink r:id="rId12" w:history="1">
        <w:r w:rsidRPr="00FB22AF">
          <w:rPr>
            <w:rStyle w:val="Hipervnculo"/>
          </w:rPr>
          <w:t>A/HRC/37/3/Add.2</w:t>
        </w:r>
      </w:hyperlink>
      <w:r w:rsidRPr="00FB22AF">
        <w:t xml:space="preserve">, </w:t>
      </w:r>
      <w:r w:rsidRPr="00FB22AF">
        <w:rPr>
          <w:szCs w:val="18"/>
        </w:rPr>
        <w:t>p</w:t>
      </w:r>
      <w:r w:rsidRPr="00FB22AF">
        <w:rPr>
          <w:rFonts w:eastAsia="Arial"/>
          <w:szCs w:val="18"/>
        </w:rPr>
        <w:t>á</w:t>
      </w:r>
      <w:r w:rsidRPr="00FB22AF">
        <w:rPr>
          <w:szCs w:val="18"/>
        </w:rPr>
        <w:t xml:space="preserve">rr. 19; </w:t>
      </w:r>
      <w:hyperlink r:id="rId13" w:history="1">
        <w:r w:rsidRPr="00FB22AF">
          <w:rPr>
            <w:rStyle w:val="Hipervnculo"/>
          </w:rPr>
          <w:t>A/HRC/40/3/Add.2</w:t>
        </w:r>
      </w:hyperlink>
      <w:r w:rsidRPr="00FB22AF">
        <w:t xml:space="preserve">, </w:t>
      </w:r>
      <w:r w:rsidRPr="00FB22AF">
        <w:rPr>
          <w:szCs w:val="18"/>
        </w:rPr>
        <w:t>p</w:t>
      </w:r>
      <w:r w:rsidRPr="00FB22AF">
        <w:rPr>
          <w:rFonts w:eastAsia="Arial"/>
          <w:szCs w:val="18"/>
        </w:rPr>
        <w:t>á</w:t>
      </w:r>
      <w:r w:rsidRPr="00FB22AF">
        <w:rPr>
          <w:szCs w:val="18"/>
        </w:rPr>
        <w:t>rrs. 25 y 26;</w:t>
      </w:r>
      <w:r w:rsidRPr="00FB22AF">
        <w:t xml:space="preserve"> </w:t>
      </w:r>
      <w:hyperlink r:id="rId14" w:history="1">
        <w:r w:rsidRPr="00FB22AF">
          <w:rPr>
            <w:rStyle w:val="Hipervnculo"/>
          </w:rPr>
          <w:t>A/HRC/49/21</w:t>
        </w:r>
      </w:hyperlink>
      <w:r w:rsidRPr="00FB22AF">
        <w:t xml:space="preserve">, </w:t>
      </w:r>
      <w:r w:rsidRPr="00FB22AF">
        <w:rPr>
          <w:szCs w:val="18"/>
        </w:rPr>
        <w:t>p</w:t>
      </w:r>
      <w:r w:rsidRPr="00FB22AF">
        <w:rPr>
          <w:rFonts w:eastAsia="Arial"/>
          <w:szCs w:val="18"/>
        </w:rPr>
        <w:t>á</w:t>
      </w:r>
      <w:r w:rsidRPr="00FB22AF">
        <w:rPr>
          <w:szCs w:val="18"/>
        </w:rPr>
        <w:t xml:space="preserve">rr. </w:t>
      </w:r>
      <w:r w:rsidRPr="0051074D">
        <w:rPr>
          <w:szCs w:val="18"/>
        </w:rPr>
        <w:t xml:space="preserve">23; y </w:t>
      </w:r>
      <w:hyperlink r:id="rId15" w:history="1">
        <w:r w:rsidRPr="0051074D">
          <w:rPr>
            <w:rStyle w:val="Hipervnculo"/>
          </w:rPr>
          <w:t>A/HRC/46/75</w:t>
        </w:r>
      </w:hyperlink>
      <w:r w:rsidRPr="0051074D">
        <w:t xml:space="preserve">, </w:t>
      </w:r>
      <w:r w:rsidRPr="0051074D">
        <w:rPr>
          <w:szCs w:val="18"/>
        </w:rPr>
        <w:t>p</w:t>
      </w:r>
      <w:r w:rsidRPr="0051074D">
        <w:rPr>
          <w:rFonts w:eastAsia="Arial"/>
          <w:szCs w:val="18"/>
        </w:rPr>
        <w:t>á</w:t>
      </w:r>
      <w:r w:rsidRPr="0051074D">
        <w:rPr>
          <w:szCs w:val="18"/>
        </w:rPr>
        <w:t>rr. 24.</w:t>
      </w:r>
      <w:r w:rsidRPr="0051074D">
        <w:rPr>
          <w:szCs w:val="18"/>
          <w:lang w:val="es-SV"/>
        </w:rPr>
        <w:t xml:space="preserve"> Véanse también </w:t>
      </w:r>
      <w:hyperlink r:id="rId16" w:history="1">
        <w:r w:rsidRPr="00AD6179">
          <w:rPr>
            <w:rStyle w:val="Hipervnculo"/>
            <w:szCs w:val="18"/>
            <w:lang w:val="es-SV"/>
          </w:rPr>
          <w:t>https://www.ohchr.org/sites/default/files/documents/issues/executions/sr-sumex/statements/2023-06-02-eom-statement-honduras-sr-sumex.pdf</w:t>
        </w:r>
      </w:hyperlink>
      <w:r w:rsidRPr="0051074D">
        <w:rPr>
          <w:szCs w:val="18"/>
          <w:lang w:val="es-SV"/>
        </w:rPr>
        <w:t>.</w:t>
      </w:r>
    </w:p>
  </w:footnote>
  <w:footnote w:id="13">
    <w:p w14:paraId="0DB0A1A5" w14:textId="77777777" w:rsidR="000D59FF" w:rsidRPr="0051074D" w:rsidRDefault="000D59FF" w:rsidP="000D59FF">
      <w:pPr>
        <w:pStyle w:val="Textonotapie"/>
        <w:rPr>
          <w:lang w:val="es-SV"/>
        </w:rPr>
      </w:pPr>
      <w:r w:rsidRPr="0051074D">
        <w:rPr>
          <w:lang w:val="es-SV"/>
        </w:rPr>
        <w:tab/>
      </w:r>
      <w:r w:rsidRPr="0051074D">
        <w:rPr>
          <w:rStyle w:val="Refdenotaalpie"/>
        </w:rPr>
        <w:footnoteRef/>
      </w:r>
      <w:r w:rsidRPr="0051074D">
        <w:rPr>
          <w:lang w:val="es-SV"/>
        </w:rPr>
        <w:t xml:space="preserve"> </w:t>
      </w:r>
      <w:r w:rsidRPr="0051074D">
        <w:rPr>
          <w:lang w:val="es-SV"/>
        </w:rPr>
        <w:tab/>
      </w:r>
      <w:hyperlink r:id="rId17" w:history="1">
        <w:r w:rsidRPr="0051074D">
          <w:rPr>
            <w:rStyle w:val="Hipervnculo"/>
            <w:lang w:val="es-SV"/>
          </w:rPr>
          <w:t>A/HRC/49/21</w:t>
        </w:r>
      </w:hyperlink>
      <w:r w:rsidRPr="0051074D">
        <w:rPr>
          <w:lang w:val="es-SV"/>
        </w:rPr>
        <w:t xml:space="preserve">, </w:t>
      </w:r>
      <w:r w:rsidRPr="0051074D">
        <w:rPr>
          <w:szCs w:val="18"/>
          <w:lang w:val="es-SV"/>
        </w:rPr>
        <w:t>p</w:t>
      </w:r>
      <w:r w:rsidRPr="0051074D">
        <w:rPr>
          <w:rFonts w:eastAsia="Arial"/>
          <w:szCs w:val="18"/>
          <w:lang w:val="es-SV"/>
        </w:rPr>
        <w:t>á</w:t>
      </w:r>
      <w:r w:rsidRPr="0051074D">
        <w:rPr>
          <w:szCs w:val="18"/>
          <w:lang w:val="es-SV"/>
        </w:rPr>
        <w:t xml:space="preserve">rr. 20. Véanse también </w:t>
      </w:r>
      <w:hyperlink r:id="rId18" w:history="1">
        <w:r w:rsidRPr="00AD6179">
          <w:rPr>
            <w:rStyle w:val="Hipervnculo"/>
            <w:szCs w:val="18"/>
            <w:lang w:val="es-SV"/>
          </w:rPr>
          <w:t>https://www.ohchr.org/es/statements-and-speeches/2023/03/colombia-honduras-guatemala-and-cyprus-reports-are-presented-high</w:t>
        </w:r>
      </w:hyperlink>
      <w:r w:rsidRPr="0051074D">
        <w:rPr>
          <w:szCs w:val="18"/>
          <w:lang w:val="es-SV"/>
        </w:rPr>
        <w:t xml:space="preserve">; </w:t>
      </w:r>
      <w:hyperlink r:id="rId19" w:history="1">
        <w:r w:rsidRPr="00AD6179">
          <w:rPr>
            <w:rStyle w:val="Hipervnculo"/>
            <w:szCs w:val="18"/>
            <w:lang w:val="es-SV"/>
          </w:rPr>
          <w:t>https://www.ohchr.org/sites/default/files/Documents/Countries/HN/INFORMETEM%C3%81TICO2017Enero2020.pdf</w:t>
        </w:r>
      </w:hyperlink>
      <w:r w:rsidRPr="0051074D">
        <w:rPr>
          <w:szCs w:val="18"/>
          <w:lang w:val="es-SV"/>
        </w:rPr>
        <w:t xml:space="preserve">, párrs. 89 a 96; y la comunicación </w:t>
      </w:r>
      <w:r w:rsidRPr="0051074D">
        <w:rPr>
          <w:szCs w:val="18"/>
          <w:bdr w:val="none" w:sz="0" w:space="0" w:color="auto" w:frame="1"/>
          <w:lang w:val="es-SV"/>
        </w:rPr>
        <w:t>HND 1/2020</w:t>
      </w:r>
      <w:r w:rsidRPr="0051074D">
        <w:rPr>
          <w:rStyle w:val="Hipervnculo"/>
          <w:szCs w:val="18"/>
          <w:bdr w:val="none" w:sz="0" w:space="0" w:color="auto" w:frame="1"/>
          <w:lang w:val="es-SV"/>
        </w:rPr>
        <w:t xml:space="preserve">. </w:t>
      </w:r>
      <w:r w:rsidRPr="0051074D">
        <w:rPr>
          <w:szCs w:val="18"/>
          <w:lang w:val="es-SV"/>
        </w:rPr>
        <w:t xml:space="preserve">Todas las comunicaciones citadas en el presente documento se pueden consultar en </w:t>
      </w:r>
      <w:hyperlink r:id="rId20" w:history="1">
        <w:r w:rsidRPr="00AD6179">
          <w:rPr>
            <w:rStyle w:val="Hipervnculo"/>
            <w:szCs w:val="18"/>
            <w:lang w:val="es-SV"/>
          </w:rPr>
          <w:t>https://spcommreports.ohchr.org/TmSearch/Results</w:t>
        </w:r>
      </w:hyperlink>
      <w:r w:rsidRPr="0051074D">
        <w:rPr>
          <w:szCs w:val="18"/>
          <w:lang w:val="es-SV"/>
        </w:rPr>
        <w:t>.</w:t>
      </w:r>
    </w:p>
  </w:footnote>
  <w:footnote w:id="14">
    <w:p w14:paraId="4C36004C" w14:textId="77777777" w:rsidR="000D59FF" w:rsidRPr="000D59FF" w:rsidRDefault="000D59FF" w:rsidP="000D59FF">
      <w:pPr>
        <w:pStyle w:val="Textonotapie"/>
        <w:rPr>
          <w:lang w:val="en-US"/>
        </w:rPr>
      </w:pPr>
      <w:r w:rsidRPr="0051074D">
        <w:tab/>
      </w:r>
      <w:r w:rsidRPr="0051074D">
        <w:rPr>
          <w:rStyle w:val="Refdenotaalpie"/>
        </w:rPr>
        <w:footnoteRef/>
      </w:r>
      <w:r w:rsidRPr="000D59FF">
        <w:rPr>
          <w:lang w:val="en-US"/>
        </w:rPr>
        <w:t xml:space="preserve"> </w:t>
      </w:r>
      <w:r w:rsidRPr="000D59FF">
        <w:rPr>
          <w:lang w:val="en-US"/>
        </w:rPr>
        <w:tab/>
      </w:r>
      <w:r w:rsidRPr="000D59FF">
        <w:rPr>
          <w:lang w:val="en-US"/>
        </w:rPr>
        <w:tab/>
        <w:t xml:space="preserve">Véase </w:t>
      </w:r>
      <w:hyperlink r:id="rId21" w:history="1">
        <w:r w:rsidRPr="000D59FF">
          <w:rPr>
            <w:rStyle w:val="Hipervnculo"/>
            <w:lang w:val="en-US"/>
          </w:rPr>
          <w:t>A/HRC/55/60</w:t>
        </w:r>
      </w:hyperlink>
      <w:r w:rsidRPr="000D59FF">
        <w:rPr>
          <w:rStyle w:val="ui-provider"/>
          <w:lang w:val="en-US"/>
        </w:rPr>
        <w:t>.</w:t>
      </w:r>
    </w:p>
  </w:footnote>
  <w:footnote w:id="15">
    <w:p w14:paraId="4EB636C7" w14:textId="77777777" w:rsidR="000D59FF" w:rsidRPr="0051074D" w:rsidRDefault="000D59FF" w:rsidP="000D59FF">
      <w:pPr>
        <w:pStyle w:val="Textonotapie"/>
        <w:rPr>
          <w:szCs w:val="18"/>
        </w:rPr>
      </w:pPr>
      <w:r w:rsidRPr="000D59FF">
        <w:rPr>
          <w:szCs w:val="18"/>
          <w:lang w:val="en-US"/>
        </w:rPr>
        <w:tab/>
      </w:r>
      <w:r w:rsidRPr="0051074D">
        <w:rPr>
          <w:rStyle w:val="Refdenotaalpie"/>
          <w:szCs w:val="18"/>
        </w:rPr>
        <w:footnoteRef/>
      </w:r>
      <w:r w:rsidRPr="000D59FF">
        <w:rPr>
          <w:szCs w:val="18"/>
          <w:lang w:val="en-US"/>
        </w:rPr>
        <w:tab/>
      </w:r>
      <w:r w:rsidRPr="000D59FF">
        <w:rPr>
          <w:szCs w:val="18"/>
          <w:lang w:val="en-US"/>
        </w:rPr>
        <w:tab/>
      </w:r>
      <w:hyperlink r:id="rId22" w:history="1">
        <w:r w:rsidRPr="000D59FF">
          <w:rPr>
            <w:rStyle w:val="Hipervnculo"/>
            <w:lang w:val="en-US"/>
          </w:rPr>
          <w:t>A/HRC/43/3/Add.2</w:t>
        </w:r>
      </w:hyperlink>
      <w:r w:rsidRPr="000D59FF">
        <w:rPr>
          <w:lang w:val="en-US"/>
        </w:rPr>
        <w:t xml:space="preserve">, </w:t>
      </w:r>
      <w:r w:rsidRPr="000D59FF">
        <w:rPr>
          <w:szCs w:val="18"/>
          <w:lang w:val="en-US"/>
        </w:rPr>
        <w:t>p</w:t>
      </w:r>
      <w:r w:rsidRPr="000D59FF">
        <w:rPr>
          <w:rFonts w:eastAsia="Arial"/>
          <w:szCs w:val="18"/>
          <w:lang w:val="en-US"/>
        </w:rPr>
        <w:t>á</w:t>
      </w:r>
      <w:r w:rsidRPr="000D59FF">
        <w:rPr>
          <w:szCs w:val="18"/>
          <w:lang w:val="en-US"/>
        </w:rPr>
        <w:t xml:space="preserve">rrs. </w:t>
      </w:r>
      <w:r w:rsidRPr="0051074D">
        <w:rPr>
          <w:szCs w:val="18"/>
          <w:lang w:val="es-SV"/>
        </w:rPr>
        <w:t xml:space="preserve">26 y 31; </w:t>
      </w:r>
      <w:hyperlink r:id="rId23" w:history="1">
        <w:r w:rsidRPr="0051074D">
          <w:rPr>
            <w:rStyle w:val="Hipervnculo"/>
            <w:lang w:val="es-SV"/>
          </w:rPr>
          <w:t>A/HRC/49/21</w:t>
        </w:r>
      </w:hyperlink>
      <w:r w:rsidRPr="0051074D">
        <w:rPr>
          <w:lang w:val="es-SV"/>
        </w:rPr>
        <w:t xml:space="preserve">, </w:t>
      </w:r>
      <w:r w:rsidRPr="0051074D">
        <w:rPr>
          <w:szCs w:val="18"/>
          <w:lang w:val="es-SV"/>
        </w:rPr>
        <w:t>p</w:t>
      </w:r>
      <w:r w:rsidRPr="0051074D">
        <w:rPr>
          <w:rFonts w:eastAsia="Arial"/>
          <w:szCs w:val="18"/>
          <w:lang w:val="es-SV"/>
        </w:rPr>
        <w:t>á</w:t>
      </w:r>
      <w:r w:rsidRPr="0051074D">
        <w:rPr>
          <w:szCs w:val="18"/>
          <w:lang w:val="es-SV"/>
        </w:rPr>
        <w:t xml:space="preserve">rr. </w:t>
      </w:r>
      <w:r w:rsidRPr="0051074D">
        <w:rPr>
          <w:szCs w:val="18"/>
        </w:rPr>
        <w:t xml:space="preserve">30; y </w:t>
      </w:r>
      <w:hyperlink r:id="rId24" w:history="1">
        <w:r w:rsidRPr="0051074D">
          <w:rPr>
            <w:rStyle w:val="Hipervnculo"/>
            <w:szCs w:val="18"/>
          </w:rPr>
          <w:t>A/HRC/46/75</w:t>
        </w:r>
      </w:hyperlink>
      <w:r w:rsidRPr="0051074D">
        <w:rPr>
          <w:szCs w:val="18"/>
        </w:rPr>
        <w:t>, párr. 18.</w:t>
      </w:r>
    </w:p>
  </w:footnote>
  <w:footnote w:id="16">
    <w:p w14:paraId="3F6061F6" w14:textId="77777777" w:rsidR="000D59FF" w:rsidRPr="0051074D" w:rsidRDefault="000D59FF" w:rsidP="000D59FF">
      <w:pPr>
        <w:pStyle w:val="Textonotapie"/>
        <w:rPr>
          <w:szCs w:val="18"/>
        </w:rPr>
      </w:pPr>
      <w:r w:rsidRPr="0051074D">
        <w:rPr>
          <w:szCs w:val="18"/>
        </w:rPr>
        <w:tab/>
      </w:r>
      <w:r w:rsidRPr="0051074D">
        <w:rPr>
          <w:rStyle w:val="Refdenotaalpie"/>
          <w:szCs w:val="18"/>
        </w:rPr>
        <w:footnoteRef/>
      </w:r>
      <w:r w:rsidRPr="00FB22AF">
        <w:rPr>
          <w:szCs w:val="18"/>
        </w:rPr>
        <w:tab/>
      </w:r>
      <w:r w:rsidRPr="00FB22AF">
        <w:rPr>
          <w:szCs w:val="18"/>
        </w:rPr>
        <w:tab/>
      </w:r>
      <w:hyperlink r:id="rId25" w:history="1">
        <w:r w:rsidRPr="00FB22AF">
          <w:rPr>
            <w:rStyle w:val="Hipervnculo"/>
          </w:rPr>
          <w:t>CED/C/HND/OAI/1</w:t>
        </w:r>
      </w:hyperlink>
      <w:r w:rsidRPr="00FB22AF">
        <w:rPr>
          <w:szCs w:val="18"/>
        </w:rPr>
        <w:t xml:space="preserve">, párrs. </w:t>
      </w:r>
      <w:r w:rsidRPr="0051074D">
        <w:rPr>
          <w:szCs w:val="18"/>
        </w:rPr>
        <w:t xml:space="preserve">30 y 31; y </w:t>
      </w:r>
      <w:hyperlink r:id="rId26" w:history="1">
        <w:r w:rsidRPr="0051074D">
          <w:rPr>
            <w:rStyle w:val="Hipervnculo"/>
            <w:szCs w:val="18"/>
          </w:rPr>
          <w:t>A/HRC/52/24</w:t>
        </w:r>
      </w:hyperlink>
      <w:r w:rsidRPr="0051074D">
        <w:rPr>
          <w:szCs w:val="18"/>
        </w:rPr>
        <w:t>, párr. 51.</w:t>
      </w:r>
    </w:p>
  </w:footnote>
  <w:footnote w:id="17">
    <w:p w14:paraId="6F9AE2E5" w14:textId="77777777" w:rsidR="000D59FF" w:rsidRPr="0051074D" w:rsidRDefault="000D59FF" w:rsidP="000D59FF">
      <w:pPr>
        <w:pStyle w:val="Textonotapie"/>
        <w:rPr>
          <w:szCs w:val="18"/>
          <w:lang w:val="es-SV"/>
        </w:rPr>
      </w:pPr>
      <w:r w:rsidRPr="0051074D">
        <w:rPr>
          <w:szCs w:val="18"/>
        </w:rPr>
        <w:tab/>
      </w:r>
      <w:r w:rsidRPr="0051074D">
        <w:rPr>
          <w:rStyle w:val="Refdenotaalpie"/>
          <w:szCs w:val="18"/>
        </w:rPr>
        <w:footnoteRef/>
      </w:r>
      <w:r w:rsidRPr="0051074D">
        <w:rPr>
          <w:szCs w:val="18"/>
        </w:rPr>
        <w:tab/>
      </w:r>
      <w:r w:rsidRPr="0051074D">
        <w:rPr>
          <w:szCs w:val="18"/>
        </w:rPr>
        <w:tab/>
      </w:r>
      <w:hyperlink r:id="rId27" w:history="1">
        <w:r w:rsidRPr="0051074D">
          <w:rPr>
            <w:rStyle w:val="Hipervnculo"/>
            <w:szCs w:val="18"/>
          </w:rPr>
          <w:t>CAT/C/HND/3</w:t>
        </w:r>
      </w:hyperlink>
      <w:r w:rsidRPr="0051074D">
        <w:rPr>
          <w:szCs w:val="18"/>
        </w:rPr>
        <w:t xml:space="preserve">, párrs. 164 a 166 y 172 a 175; </w:t>
      </w:r>
      <w:hyperlink r:id="rId28" w:history="1">
        <w:r w:rsidRPr="0051074D">
          <w:rPr>
            <w:rStyle w:val="Hipervnculo"/>
            <w:szCs w:val="18"/>
          </w:rPr>
          <w:t>A/HRC/46/75</w:t>
        </w:r>
      </w:hyperlink>
      <w:r w:rsidRPr="0051074D">
        <w:rPr>
          <w:szCs w:val="18"/>
        </w:rPr>
        <w:t>, párr. 19;</w:t>
      </w:r>
      <w:r w:rsidRPr="0051074D">
        <w:t xml:space="preserve"> </w:t>
      </w:r>
      <w:hyperlink r:id="rId29" w:history="1">
        <w:r w:rsidRPr="0051074D">
          <w:rPr>
            <w:rStyle w:val="Hipervnculo"/>
          </w:rPr>
          <w:t>A/HRC/52/24</w:t>
        </w:r>
      </w:hyperlink>
      <w:r w:rsidRPr="0051074D">
        <w:t xml:space="preserve">, </w:t>
      </w:r>
      <w:r w:rsidRPr="0051074D">
        <w:rPr>
          <w:szCs w:val="18"/>
        </w:rPr>
        <w:t>párr.</w:t>
      </w:r>
      <w:r>
        <w:rPr>
          <w:szCs w:val="18"/>
        </w:rPr>
        <w:t xml:space="preserve"> </w:t>
      </w:r>
      <w:r w:rsidRPr="0051074D">
        <w:rPr>
          <w:szCs w:val="18"/>
        </w:rPr>
        <w:t xml:space="preserve">53; </w:t>
      </w:r>
      <w:hyperlink r:id="rId30" w:history="1">
        <w:r w:rsidRPr="0051074D">
          <w:rPr>
            <w:rStyle w:val="Hipervnculo"/>
          </w:rPr>
          <w:t>A/HRC/43/3/Add.2</w:t>
        </w:r>
      </w:hyperlink>
      <w:r w:rsidRPr="0051074D">
        <w:t xml:space="preserve">, </w:t>
      </w:r>
      <w:r w:rsidRPr="0051074D">
        <w:rPr>
          <w:szCs w:val="18"/>
        </w:rPr>
        <w:t xml:space="preserve">párrs. 30 a 32; y </w:t>
      </w:r>
      <w:hyperlink r:id="rId31" w:history="1">
        <w:r w:rsidRPr="0051074D">
          <w:rPr>
            <w:rStyle w:val="Hipervnculo"/>
          </w:rPr>
          <w:t>A/HRC/40/3/Add.2</w:t>
        </w:r>
      </w:hyperlink>
      <w:r w:rsidRPr="0051074D">
        <w:t xml:space="preserve">, </w:t>
      </w:r>
      <w:r w:rsidRPr="0051074D">
        <w:rPr>
          <w:szCs w:val="18"/>
        </w:rPr>
        <w:t>p</w:t>
      </w:r>
      <w:r w:rsidRPr="0051074D">
        <w:rPr>
          <w:rFonts w:eastAsia="Arial"/>
          <w:szCs w:val="18"/>
        </w:rPr>
        <w:t>á</w:t>
      </w:r>
      <w:r w:rsidRPr="0051074D">
        <w:rPr>
          <w:szCs w:val="18"/>
        </w:rPr>
        <w:t>rrs.</w:t>
      </w:r>
      <w:r>
        <w:rPr>
          <w:szCs w:val="18"/>
        </w:rPr>
        <w:t xml:space="preserve"> </w:t>
      </w:r>
      <w:r w:rsidRPr="0051074D">
        <w:rPr>
          <w:szCs w:val="18"/>
          <w:lang w:val="es-SV"/>
        </w:rPr>
        <w:t xml:space="preserve">35 y 36. Véase también la comunicación </w:t>
      </w:r>
      <w:r w:rsidRPr="00FB22AF">
        <w:t>HND 2/2023</w:t>
      </w:r>
      <w:r w:rsidRPr="0051074D">
        <w:rPr>
          <w:szCs w:val="18"/>
          <w:lang w:val="es-SV"/>
        </w:rPr>
        <w:t>.</w:t>
      </w:r>
    </w:p>
  </w:footnote>
  <w:footnote w:id="18">
    <w:p w14:paraId="23FF64CD" w14:textId="77777777" w:rsidR="000D59FF" w:rsidRPr="0051074D" w:rsidRDefault="000D59FF" w:rsidP="000D59FF">
      <w:pPr>
        <w:pStyle w:val="Textonotapie"/>
        <w:rPr>
          <w:szCs w:val="18"/>
          <w:lang w:val="es-SV"/>
        </w:rPr>
      </w:pPr>
      <w:r w:rsidRPr="0051074D">
        <w:rPr>
          <w:szCs w:val="18"/>
          <w:lang w:val="es-SV"/>
        </w:rPr>
        <w:tab/>
      </w:r>
      <w:r w:rsidRPr="0051074D">
        <w:rPr>
          <w:rStyle w:val="Refdenotaalpie"/>
          <w:szCs w:val="18"/>
        </w:rPr>
        <w:footnoteRef/>
      </w:r>
      <w:r w:rsidRPr="0051074D">
        <w:rPr>
          <w:szCs w:val="18"/>
          <w:lang w:val="es-419"/>
        </w:rPr>
        <w:tab/>
      </w:r>
      <w:r w:rsidRPr="0051074D">
        <w:rPr>
          <w:szCs w:val="18"/>
          <w:lang w:val="es-419"/>
        </w:rPr>
        <w:tab/>
      </w:r>
      <w:hyperlink r:id="rId32" w:history="1">
        <w:r w:rsidRPr="0051074D">
          <w:rPr>
            <w:rStyle w:val="Hipervnculo"/>
            <w:lang w:val="es-419"/>
          </w:rPr>
          <w:t>A/HRC/49/21</w:t>
        </w:r>
      </w:hyperlink>
      <w:r w:rsidRPr="0051074D">
        <w:rPr>
          <w:lang w:val="es-419"/>
        </w:rPr>
        <w:t xml:space="preserve">, </w:t>
      </w:r>
      <w:r w:rsidRPr="0051074D">
        <w:rPr>
          <w:szCs w:val="18"/>
          <w:lang w:val="es-419"/>
        </w:rPr>
        <w:t>p</w:t>
      </w:r>
      <w:r w:rsidRPr="0051074D">
        <w:rPr>
          <w:rFonts w:eastAsia="Arial"/>
          <w:szCs w:val="18"/>
          <w:lang w:val="es-419"/>
        </w:rPr>
        <w:t>á</w:t>
      </w:r>
      <w:r w:rsidRPr="0051074D">
        <w:rPr>
          <w:szCs w:val="18"/>
          <w:lang w:val="es-419"/>
        </w:rPr>
        <w:t xml:space="preserve">rr. </w:t>
      </w:r>
      <w:r w:rsidRPr="0051074D">
        <w:rPr>
          <w:szCs w:val="18"/>
          <w:lang w:val="es-SV"/>
        </w:rPr>
        <w:t>33.</w:t>
      </w:r>
    </w:p>
  </w:footnote>
  <w:footnote w:id="19">
    <w:p w14:paraId="17CADED2" w14:textId="77777777" w:rsidR="000D59FF" w:rsidRPr="00FB22AF" w:rsidRDefault="000D59FF" w:rsidP="000D59FF">
      <w:pPr>
        <w:pStyle w:val="Textonotapie"/>
      </w:pPr>
      <w:r w:rsidRPr="0051074D">
        <w:rPr>
          <w:lang w:val="es-SV"/>
        </w:rPr>
        <w:tab/>
      </w:r>
      <w:r w:rsidRPr="0051074D">
        <w:rPr>
          <w:rStyle w:val="Refdenotaalpie"/>
        </w:rPr>
        <w:footnoteRef/>
      </w:r>
      <w:r w:rsidRPr="00FB22AF">
        <w:t xml:space="preserve"> </w:t>
      </w:r>
      <w:r w:rsidRPr="00FB22AF">
        <w:tab/>
      </w:r>
      <w:r w:rsidRPr="00FB22AF">
        <w:tab/>
      </w:r>
      <w:r w:rsidRPr="00FB22AF">
        <w:rPr>
          <w:szCs w:val="18"/>
        </w:rPr>
        <w:t xml:space="preserve">Véase </w:t>
      </w:r>
      <w:hyperlink r:id="rId33" w:history="1">
        <w:r w:rsidRPr="00FB22AF">
          <w:rPr>
            <w:rStyle w:val="Hipervnculo"/>
          </w:rPr>
          <w:t>https://www.ohchr.org/sites/default/files/documents/issues/executions/sr-sumex/statements/2023-06-02-eom-statement-honduras-sr-sumex.pdf</w:t>
        </w:r>
      </w:hyperlink>
      <w:r w:rsidRPr="00FB22AF">
        <w:t>.</w:t>
      </w:r>
    </w:p>
  </w:footnote>
  <w:footnote w:id="20">
    <w:p w14:paraId="5CD2E9AA" w14:textId="77777777" w:rsidR="000D59FF" w:rsidRPr="0051074D" w:rsidRDefault="000D59FF" w:rsidP="000D59FF">
      <w:pPr>
        <w:pStyle w:val="Textonotapie"/>
        <w:rPr>
          <w:szCs w:val="18"/>
          <w:lang w:val="es-SV"/>
        </w:rPr>
      </w:pPr>
      <w:r w:rsidRPr="00FB22AF">
        <w:rPr>
          <w:szCs w:val="18"/>
        </w:rPr>
        <w:tab/>
      </w:r>
      <w:r w:rsidRPr="0051074D">
        <w:rPr>
          <w:rStyle w:val="Refdenotaalpie"/>
          <w:szCs w:val="18"/>
        </w:rPr>
        <w:footnoteRef/>
      </w:r>
      <w:r w:rsidRPr="0051074D">
        <w:rPr>
          <w:szCs w:val="18"/>
          <w:lang w:val="es-SV"/>
        </w:rPr>
        <w:tab/>
      </w:r>
      <w:r w:rsidRPr="0051074D">
        <w:rPr>
          <w:szCs w:val="18"/>
          <w:lang w:val="es-SV"/>
        </w:rPr>
        <w:tab/>
      </w:r>
      <w:hyperlink r:id="rId34" w:history="1">
        <w:r w:rsidRPr="0051074D">
          <w:rPr>
            <w:rStyle w:val="Hipervnculo"/>
            <w:szCs w:val="18"/>
            <w:lang w:val="es-SV"/>
          </w:rPr>
          <w:t>A/HRC/52/24</w:t>
        </w:r>
      </w:hyperlink>
      <w:r w:rsidRPr="0051074D">
        <w:rPr>
          <w:szCs w:val="18"/>
          <w:lang w:val="es-SV"/>
        </w:rPr>
        <w:t xml:space="preserve">, párr. 52; </w:t>
      </w:r>
      <w:hyperlink r:id="rId35" w:history="1">
        <w:r w:rsidRPr="0051074D">
          <w:rPr>
            <w:rStyle w:val="Hipervnculo"/>
            <w:szCs w:val="18"/>
            <w:lang w:val="es-SV"/>
          </w:rPr>
          <w:t>A/HRC/46/75</w:t>
        </w:r>
      </w:hyperlink>
      <w:r w:rsidRPr="0051074D">
        <w:rPr>
          <w:szCs w:val="18"/>
          <w:lang w:val="es-SV"/>
        </w:rPr>
        <w:t xml:space="preserve">, párr. 17; y </w:t>
      </w:r>
      <w:hyperlink r:id="rId36" w:history="1">
        <w:r w:rsidRPr="0051074D">
          <w:rPr>
            <w:rStyle w:val="Hipervnculo"/>
            <w:lang w:val="es-SV"/>
          </w:rPr>
          <w:t>A/HRC/49/21</w:t>
        </w:r>
      </w:hyperlink>
      <w:r w:rsidRPr="0051074D">
        <w:rPr>
          <w:lang w:val="es-SV"/>
        </w:rPr>
        <w:t xml:space="preserve">, </w:t>
      </w:r>
      <w:r w:rsidRPr="0051074D">
        <w:rPr>
          <w:szCs w:val="18"/>
          <w:lang w:val="es-SV"/>
        </w:rPr>
        <w:t>p</w:t>
      </w:r>
      <w:r w:rsidRPr="0051074D">
        <w:rPr>
          <w:rFonts w:eastAsia="Arial"/>
          <w:szCs w:val="18"/>
          <w:lang w:val="es-SV"/>
        </w:rPr>
        <w:t>á</w:t>
      </w:r>
      <w:r w:rsidRPr="0051074D">
        <w:rPr>
          <w:szCs w:val="18"/>
          <w:lang w:val="es-SV"/>
        </w:rPr>
        <w:t>rr. 30.</w:t>
      </w:r>
    </w:p>
  </w:footnote>
  <w:footnote w:id="21">
    <w:p w14:paraId="225B149F" w14:textId="77777777" w:rsidR="000D59FF" w:rsidRPr="0051074D" w:rsidRDefault="000D59FF" w:rsidP="000D59FF">
      <w:pPr>
        <w:pStyle w:val="Textonotapie"/>
        <w:rPr>
          <w:szCs w:val="18"/>
        </w:rPr>
      </w:pPr>
      <w:r w:rsidRPr="0051074D">
        <w:rPr>
          <w:szCs w:val="18"/>
          <w:lang w:val="es-SV"/>
        </w:rPr>
        <w:tab/>
      </w:r>
      <w:r w:rsidRPr="0051074D">
        <w:rPr>
          <w:rStyle w:val="Refdenotaalpie"/>
          <w:szCs w:val="18"/>
        </w:rPr>
        <w:footnoteRef/>
      </w:r>
      <w:r w:rsidRPr="0051074D">
        <w:rPr>
          <w:szCs w:val="18"/>
          <w:lang w:val="es-SV"/>
        </w:rPr>
        <w:tab/>
      </w:r>
      <w:hyperlink r:id="rId37" w:history="1">
        <w:r w:rsidRPr="0051074D">
          <w:rPr>
            <w:rStyle w:val="Hipervnculo"/>
            <w:lang w:val="es-SV"/>
          </w:rPr>
          <w:t>A/HRC/46/75</w:t>
        </w:r>
      </w:hyperlink>
      <w:r w:rsidRPr="0051074D">
        <w:rPr>
          <w:lang w:val="es-SV"/>
        </w:rPr>
        <w:t xml:space="preserve">, </w:t>
      </w:r>
      <w:r w:rsidRPr="0051074D">
        <w:rPr>
          <w:szCs w:val="18"/>
          <w:lang w:val="es-SV"/>
        </w:rPr>
        <w:t xml:space="preserve">párr. </w:t>
      </w:r>
      <w:r w:rsidRPr="0051074D">
        <w:rPr>
          <w:szCs w:val="18"/>
        </w:rPr>
        <w:t xml:space="preserve">19; y </w:t>
      </w:r>
      <w:hyperlink r:id="rId38" w:history="1">
        <w:r w:rsidRPr="0051074D">
          <w:rPr>
            <w:rStyle w:val="Hipervnculo"/>
          </w:rPr>
          <w:t>CEDAW/C/HND/CO/9</w:t>
        </w:r>
      </w:hyperlink>
      <w:r w:rsidRPr="0051074D">
        <w:t xml:space="preserve">, </w:t>
      </w:r>
      <w:r w:rsidRPr="0051074D">
        <w:rPr>
          <w:szCs w:val="18"/>
        </w:rPr>
        <w:t>párrs. 44 y 45.</w:t>
      </w:r>
    </w:p>
  </w:footnote>
  <w:footnote w:id="22">
    <w:p w14:paraId="1B32E6E3" w14:textId="77777777" w:rsidR="000D59FF" w:rsidRPr="0051074D" w:rsidRDefault="000D59FF" w:rsidP="000D59FF">
      <w:pPr>
        <w:pStyle w:val="Textonotapie"/>
      </w:pPr>
      <w:r w:rsidRPr="0051074D">
        <w:tab/>
      </w:r>
      <w:r w:rsidRPr="0051074D">
        <w:rPr>
          <w:rStyle w:val="Refdenotaalpie"/>
        </w:rPr>
        <w:footnoteRef/>
      </w:r>
      <w:r w:rsidRPr="0051074D">
        <w:tab/>
      </w:r>
      <w:r w:rsidRPr="0051074D">
        <w:tab/>
        <w:t>Comité de Derechos Humanos, observación general núm.</w:t>
      </w:r>
      <w:r>
        <w:t xml:space="preserve"> </w:t>
      </w:r>
      <w:r w:rsidRPr="0051074D">
        <w:t>35 (2014), párrs. 32 y 34</w:t>
      </w:r>
      <w:r w:rsidRPr="0051074D">
        <w:rPr>
          <w:i/>
          <w:iCs/>
        </w:rPr>
        <w:t>.</w:t>
      </w:r>
    </w:p>
  </w:footnote>
  <w:footnote w:id="23">
    <w:p w14:paraId="0AD0651D" w14:textId="77777777" w:rsidR="000D59FF" w:rsidRPr="000D59FF" w:rsidRDefault="000D59FF" w:rsidP="000D59FF">
      <w:pPr>
        <w:pStyle w:val="Textonotapie"/>
      </w:pPr>
      <w:r w:rsidRPr="0051074D">
        <w:tab/>
      </w:r>
      <w:r w:rsidRPr="0051074D">
        <w:rPr>
          <w:rStyle w:val="Refdenotaalpie"/>
        </w:rPr>
        <w:footnoteRef/>
      </w:r>
      <w:r w:rsidRPr="000D59FF">
        <w:tab/>
        <w:t xml:space="preserve">Véase </w:t>
      </w:r>
      <w:hyperlink r:id="rId39" w:history="1">
        <w:r w:rsidRPr="000D59FF">
          <w:rPr>
            <w:rStyle w:val="Hipervnculo"/>
          </w:rPr>
          <w:t>https://www.ohchr.org/sites/default/files/documents/issues/ruleoflaw/Briefer-Online-hearings-justice-systems-ES.pdf</w:t>
        </w:r>
      </w:hyperlink>
      <w:r w:rsidRPr="000D59FF">
        <w:t xml:space="preserve">. </w:t>
      </w:r>
    </w:p>
  </w:footnote>
  <w:footnote w:id="24">
    <w:p w14:paraId="77C3CA6C" w14:textId="77777777" w:rsidR="000D59FF" w:rsidRPr="000D59FF" w:rsidRDefault="000D59FF" w:rsidP="000D59FF">
      <w:pPr>
        <w:pStyle w:val="Textonotapie"/>
        <w:rPr>
          <w:szCs w:val="18"/>
          <w:lang w:val="en-US"/>
        </w:rPr>
      </w:pPr>
      <w:r w:rsidRPr="000D59FF">
        <w:rPr>
          <w:szCs w:val="18"/>
        </w:rPr>
        <w:tab/>
      </w:r>
      <w:r w:rsidRPr="0051074D">
        <w:rPr>
          <w:rStyle w:val="Refdenotaalpie"/>
          <w:szCs w:val="18"/>
        </w:rPr>
        <w:footnoteRef/>
      </w:r>
      <w:r w:rsidRPr="000D59FF">
        <w:rPr>
          <w:szCs w:val="18"/>
          <w:lang w:val="en-US"/>
        </w:rPr>
        <w:t xml:space="preserve"> </w:t>
      </w:r>
      <w:r w:rsidRPr="000D59FF">
        <w:rPr>
          <w:szCs w:val="18"/>
          <w:lang w:val="en-US"/>
        </w:rPr>
        <w:tab/>
      </w:r>
      <w:r w:rsidRPr="000D59FF">
        <w:rPr>
          <w:szCs w:val="18"/>
          <w:lang w:val="en-US"/>
        </w:rPr>
        <w:tab/>
      </w:r>
      <w:hyperlink r:id="rId40" w:history="1">
        <w:r w:rsidRPr="000D59FF">
          <w:rPr>
            <w:rStyle w:val="Hipervnculo"/>
            <w:lang w:val="en-US"/>
          </w:rPr>
          <w:t>A/HRC/52/24</w:t>
        </w:r>
      </w:hyperlink>
      <w:r w:rsidRPr="000D59FF">
        <w:rPr>
          <w:lang w:val="en-US"/>
        </w:rPr>
        <w:t xml:space="preserve">, </w:t>
      </w:r>
      <w:r w:rsidRPr="000D59FF">
        <w:rPr>
          <w:szCs w:val="18"/>
          <w:lang w:val="en-US"/>
        </w:rPr>
        <w:t xml:space="preserve">párr. 54. </w:t>
      </w:r>
    </w:p>
  </w:footnote>
  <w:footnote w:id="25">
    <w:p w14:paraId="2D39769D" w14:textId="77777777" w:rsidR="000D59FF" w:rsidRPr="000D59FF" w:rsidRDefault="000D59FF" w:rsidP="000D59FF">
      <w:pPr>
        <w:pStyle w:val="Textonotapie"/>
        <w:rPr>
          <w:szCs w:val="18"/>
          <w:lang w:val="en-US"/>
        </w:rPr>
      </w:pPr>
      <w:r w:rsidRPr="000D59FF">
        <w:rPr>
          <w:szCs w:val="18"/>
          <w:lang w:val="en-US"/>
        </w:rPr>
        <w:tab/>
      </w:r>
      <w:r w:rsidRPr="0051074D">
        <w:rPr>
          <w:rStyle w:val="Refdenotaalpie"/>
          <w:szCs w:val="18"/>
        </w:rPr>
        <w:footnoteRef/>
      </w:r>
      <w:r w:rsidRPr="000D59FF">
        <w:rPr>
          <w:szCs w:val="18"/>
          <w:lang w:val="en-US"/>
        </w:rPr>
        <w:t xml:space="preserve"> </w:t>
      </w:r>
      <w:r w:rsidRPr="000D59FF">
        <w:rPr>
          <w:szCs w:val="18"/>
          <w:lang w:val="en-US"/>
        </w:rPr>
        <w:tab/>
      </w:r>
      <w:r w:rsidRPr="000D59FF">
        <w:rPr>
          <w:szCs w:val="18"/>
          <w:lang w:val="en-US"/>
        </w:rPr>
        <w:tab/>
      </w:r>
      <w:hyperlink r:id="rId41" w:history="1">
        <w:r w:rsidRPr="000D59FF">
          <w:rPr>
            <w:rStyle w:val="Hipervnculo"/>
            <w:szCs w:val="18"/>
            <w:lang w:val="en-US"/>
          </w:rPr>
          <w:t>A/HRC/46/75</w:t>
        </w:r>
      </w:hyperlink>
      <w:r w:rsidRPr="000D59FF">
        <w:rPr>
          <w:szCs w:val="18"/>
          <w:lang w:val="en-US"/>
        </w:rPr>
        <w:t>, párr. 20.</w:t>
      </w:r>
    </w:p>
  </w:footnote>
  <w:footnote w:id="26">
    <w:p w14:paraId="108835BC" w14:textId="77777777" w:rsidR="000D59FF" w:rsidRPr="00FB22AF" w:rsidRDefault="000D59FF" w:rsidP="000D59FF">
      <w:pPr>
        <w:pStyle w:val="Textonotapie"/>
        <w:rPr>
          <w:lang w:val="en-US"/>
        </w:rPr>
      </w:pPr>
      <w:r w:rsidRPr="000D59FF">
        <w:rPr>
          <w:lang w:val="en-US"/>
        </w:rPr>
        <w:tab/>
      </w:r>
      <w:r w:rsidRPr="0051074D">
        <w:rPr>
          <w:rStyle w:val="Refdenotaalpie"/>
        </w:rPr>
        <w:footnoteRef/>
      </w:r>
      <w:r w:rsidRPr="000D59FF">
        <w:rPr>
          <w:lang w:val="en-US"/>
        </w:rPr>
        <w:t xml:space="preserve"> </w:t>
      </w:r>
      <w:r w:rsidRPr="000D59FF">
        <w:rPr>
          <w:lang w:val="en-US"/>
        </w:rPr>
        <w:tab/>
      </w:r>
      <w:r w:rsidRPr="000D59FF">
        <w:rPr>
          <w:lang w:val="en-US"/>
        </w:rPr>
        <w:tab/>
      </w:r>
      <w:hyperlink r:id="rId42" w:history="1">
        <w:r w:rsidRPr="000D59FF">
          <w:rPr>
            <w:rStyle w:val="Hipervnculo"/>
            <w:lang w:val="en-US"/>
          </w:rPr>
          <w:t>CAT/OP/12/5</w:t>
        </w:r>
      </w:hyperlink>
      <w:r w:rsidRPr="000D59FF">
        <w:rPr>
          <w:lang w:val="en-US"/>
        </w:rPr>
        <w:t xml:space="preserve">, párrs. </w:t>
      </w:r>
      <w:r w:rsidRPr="00FB22AF">
        <w:rPr>
          <w:lang w:val="en-US"/>
        </w:rPr>
        <w:t>16 a 20.</w:t>
      </w:r>
    </w:p>
  </w:footnote>
  <w:footnote w:id="27">
    <w:p w14:paraId="548238D3" w14:textId="77777777" w:rsidR="000D59FF" w:rsidRPr="000D59FF" w:rsidRDefault="000D59FF" w:rsidP="000D59FF">
      <w:pPr>
        <w:pStyle w:val="Textonotapie"/>
        <w:rPr>
          <w:lang w:val="en-US"/>
        </w:rPr>
      </w:pPr>
      <w:r w:rsidRPr="00FB22AF">
        <w:rPr>
          <w:lang w:val="en-US"/>
        </w:rPr>
        <w:tab/>
      </w:r>
      <w:r w:rsidRPr="0051074D">
        <w:rPr>
          <w:rStyle w:val="Refdenotaalpie"/>
        </w:rPr>
        <w:footnoteRef/>
      </w:r>
      <w:r w:rsidRPr="00FB22AF">
        <w:rPr>
          <w:lang w:val="en-US"/>
        </w:rPr>
        <w:t xml:space="preserve"> </w:t>
      </w:r>
      <w:r w:rsidRPr="00FB22AF">
        <w:rPr>
          <w:lang w:val="en-US"/>
        </w:rPr>
        <w:tab/>
      </w:r>
      <w:r w:rsidRPr="00FB22AF">
        <w:rPr>
          <w:lang w:val="en-US"/>
        </w:rPr>
        <w:tab/>
      </w:r>
      <w:hyperlink r:id="rId43" w:history="1">
        <w:r w:rsidRPr="00FB22AF">
          <w:rPr>
            <w:rStyle w:val="Hipervnculo"/>
            <w:lang w:val="en-US"/>
          </w:rPr>
          <w:t>A/HRC/52/24</w:t>
        </w:r>
      </w:hyperlink>
      <w:r w:rsidRPr="00FB22AF">
        <w:rPr>
          <w:lang w:val="en-US"/>
        </w:rPr>
        <w:t xml:space="preserve">, </w:t>
      </w:r>
      <w:r w:rsidRPr="00FB22AF">
        <w:rPr>
          <w:szCs w:val="18"/>
          <w:lang w:val="en-US"/>
        </w:rPr>
        <w:t xml:space="preserve">párr. 38; y </w:t>
      </w:r>
      <w:hyperlink r:id="rId44" w:history="1">
        <w:r w:rsidRPr="00FB22AF">
          <w:rPr>
            <w:rStyle w:val="Hipervnculo"/>
            <w:lang w:val="en-US"/>
          </w:rPr>
          <w:t>A/HRC/54/22/Add.2</w:t>
        </w:r>
      </w:hyperlink>
      <w:r w:rsidRPr="00FB22AF">
        <w:rPr>
          <w:lang w:val="en-US"/>
        </w:rPr>
        <w:t xml:space="preserve">, </w:t>
      </w:r>
      <w:r w:rsidRPr="00FB22AF">
        <w:rPr>
          <w:szCs w:val="18"/>
          <w:lang w:val="en-US"/>
        </w:rPr>
        <w:t xml:space="preserve">párr. </w:t>
      </w:r>
      <w:r w:rsidRPr="000D59FF">
        <w:rPr>
          <w:szCs w:val="18"/>
          <w:lang w:val="en-US"/>
        </w:rPr>
        <w:t>47.</w:t>
      </w:r>
    </w:p>
  </w:footnote>
  <w:footnote w:id="28">
    <w:p w14:paraId="22CAD417" w14:textId="77777777" w:rsidR="000D59FF" w:rsidRPr="000D59FF" w:rsidRDefault="000D59FF" w:rsidP="000D59FF">
      <w:pPr>
        <w:pStyle w:val="Textonotapie"/>
        <w:rPr>
          <w:szCs w:val="18"/>
          <w:lang w:val="en-US"/>
        </w:rPr>
      </w:pPr>
      <w:r w:rsidRPr="000D59FF">
        <w:rPr>
          <w:szCs w:val="18"/>
          <w:lang w:val="en-US"/>
        </w:rPr>
        <w:tab/>
      </w:r>
      <w:r w:rsidRPr="0051074D">
        <w:rPr>
          <w:rStyle w:val="Refdenotaalpie"/>
          <w:szCs w:val="18"/>
        </w:rPr>
        <w:footnoteRef/>
      </w:r>
      <w:r w:rsidRPr="000D59FF">
        <w:rPr>
          <w:szCs w:val="18"/>
          <w:lang w:val="en-US"/>
        </w:rPr>
        <w:t xml:space="preserve"> </w:t>
      </w:r>
      <w:r w:rsidRPr="000D59FF">
        <w:rPr>
          <w:szCs w:val="18"/>
          <w:lang w:val="en-US"/>
        </w:rPr>
        <w:tab/>
      </w:r>
      <w:r w:rsidRPr="000D59FF">
        <w:rPr>
          <w:szCs w:val="18"/>
          <w:lang w:val="en-US"/>
        </w:rPr>
        <w:tab/>
      </w:r>
      <w:hyperlink r:id="rId45" w:history="1">
        <w:r w:rsidRPr="000D59FF">
          <w:rPr>
            <w:rStyle w:val="Hipervnculo"/>
            <w:szCs w:val="18"/>
            <w:lang w:val="en-US"/>
          </w:rPr>
          <w:t>CAT/C/HND/CO/2</w:t>
        </w:r>
      </w:hyperlink>
      <w:r w:rsidRPr="000D59FF">
        <w:rPr>
          <w:szCs w:val="18"/>
          <w:lang w:val="en-US"/>
        </w:rPr>
        <w:t>, párrs. 39 y 40.</w:t>
      </w:r>
    </w:p>
  </w:footnote>
  <w:footnote w:id="29">
    <w:p w14:paraId="5A373D3D" w14:textId="77777777" w:rsidR="000D59FF" w:rsidRPr="0051074D" w:rsidRDefault="000D59FF" w:rsidP="000D59FF">
      <w:pPr>
        <w:pStyle w:val="Textonotapie"/>
        <w:rPr>
          <w:szCs w:val="18"/>
        </w:rPr>
      </w:pPr>
      <w:r w:rsidRPr="000D59FF">
        <w:rPr>
          <w:szCs w:val="18"/>
          <w:lang w:val="en-US"/>
        </w:rPr>
        <w:tab/>
      </w:r>
      <w:r w:rsidRPr="0051074D">
        <w:rPr>
          <w:rStyle w:val="Refdenotaalpie"/>
          <w:szCs w:val="18"/>
        </w:rPr>
        <w:footnoteRef/>
      </w:r>
      <w:r w:rsidRPr="00FB22AF">
        <w:rPr>
          <w:szCs w:val="18"/>
          <w:lang w:val="en-US"/>
        </w:rPr>
        <w:t xml:space="preserve"> </w:t>
      </w:r>
      <w:r w:rsidRPr="00FB22AF">
        <w:rPr>
          <w:szCs w:val="18"/>
          <w:lang w:val="en-US"/>
        </w:rPr>
        <w:tab/>
      </w:r>
      <w:r w:rsidRPr="00FB22AF">
        <w:rPr>
          <w:szCs w:val="18"/>
          <w:lang w:val="en-US"/>
        </w:rPr>
        <w:tab/>
      </w:r>
      <w:hyperlink r:id="rId46" w:history="1">
        <w:r w:rsidRPr="00FB22AF">
          <w:rPr>
            <w:rStyle w:val="Hipervnculo"/>
            <w:lang w:val="en-US"/>
          </w:rPr>
          <w:t>CED/C/HND/OAI/1</w:t>
        </w:r>
      </w:hyperlink>
      <w:r w:rsidRPr="00FB22AF">
        <w:rPr>
          <w:rStyle w:val="Hipervnculo"/>
          <w:szCs w:val="18"/>
          <w:lang w:val="en-US"/>
        </w:rPr>
        <w:t xml:space="preserve">, </w:t>
      </w:r>
      <w:r w:rsidRPr="00FB22AF">
        <w:rPr>
          <w:szCs w:val="18"/>
          <w:lang w:val="en-US"/>
        </w:rPr>
        <w:t xml:space="preserve">párrs. </w:t>
      </w:r>
      <w:r w:rsidRPr="0051074D">
        <w:rPr>
          <w:szCs w:val="18"/>
        </w:rPr>
        <w:t>34 y 35.</w:t>
      </w:r>
    </w:p>
  </w:footnote>
  <w:footnote w:id="30">
    <w:p w14:paraId="1435208F" w14:textId="77777777" w:rsidR="000D59FF" w:rsidRPr="0051074D" w:rsidRDefault="000D59FF" w:rsidP="000D59FF">
      <w:pPr>
        <w:pStyle w:val="Textonotapie"/>
        <w:rPr>
          <w:szCs w:val="18"/>
        </w:rPr>
      </w:pPr>
      <w:r w:rsidRPr="0051074D">
        <w:rPr>
          <w:szCs w:val="18"/>
        </w:rPr>
        <w:tab/>
      </w:r>
      <w:r w:rsidRPr="0051074D">
        <w:rPr>
          <w:rStyle w:val="Refdenotaalpie"/>
          <w:szCs w:val="18"/>
        </w:rPr>
        <w:footnoteRef/>
      </w:r>
      <w:r w:rsidRPr="0051074D">
        <w:rPr>
          <w:szCs w:val="18"/>
        </w:rPr>
        <w:t xml:space="preserve"> </w:t>
      </w:r>
      <w:r w:rsidRPr="0051074D">
        <w:rPr>
          <w:szCs w:val="18"/>
        </w:rPr>
        <w:tab/>
      </w:r>
      <w:r w:rsidRPr="0051074D">
        <w:rPr>
          <w:szCs w:val="18"/>
        </w:rPr>
        <w:tab/>
      </w:r>
      <w:hyperlink r:id="rId47" w:history="1">
        <w:r w:rsidRPr="0051074D">
          <w:rPr>
            <w:rStyle w:val="Hipervnculo"/>
          </w:rPr>
          <w:t>A/HRC/49/21</w:t>
        </w:r>
      </w:hyperlink>
      <w:r w:rsidRPr="0051074D">
        <w:t xml:space="preserve">, </w:t>
      </w:r>
      <w:r w:rsidRPr="0051074D">
        <w:rPr>
          <w:szCs w:val="18"/>
        </w:rPr>
        <w:t>p</w:t>
      </w:r>
      <w:r w:rsidRPr="0051074D">
        <w:rPr>
          <w:rFonts w:eastAsia="Arial"/>
          <w:szCs w:val="18"/>
        </w:rPr>
        <w:t>á</w:t>
      </w:r>
      <w:r w:rsidRPr="0051074D">
        <w:rPr>
          <w:szCs w:val="18"/>
        </w:rPr>
        <w:t>rr. 20;</w:t>
      </w:r>
      <w:r w:rsidRPr="0051074D">
        <w:t xml:space="preserve"> </w:t>
      </w:r>
      <w:hyperlink r:id="rId48" w:history="1">
        <w:r w:rsidRPr="0051074D">
          <w:rPr>
            <w:rStyle w:val="Hipervnculo"/>
          </w:rPr>
          <w:t>A/HRC/52/24</w:t>
        </w:r>
      </w:hyperlink>
      <w:r w:rsidRPr="0051074D">
        <w:t>,</w:t>
      </w:r>
      <w:r w:rsidRPr="0051074D">
        <w:rPr>
          <w:szCs w:val="18"/>
        </w:rPr>
        <w:t xml:space="preserve"> p</w:t>
      </w:r>
      <w:r w:rsidRPr="0051074D">
        <w:rPr>
          <w:rFonts w:eastAsia="Arial"/>
          <w:szCs w:val="18"/>
        </w:rPr>
        <w:t>á</w:t>
      </w:r>
      <w:r w:rsidRPr="0051074D">
        <w:rPr>
          <w:szCs w:val="18"/>
        </w:rPr>
        <w:t xml:space="preserve">rr. 37; y </w:t>
      </w:r>
      <w:hyperlink r:id="rId49" w:history="1">
        <w:r w:rsidRPr="0051074D">
          <w:rPr>
            <w:rStyle w:val="Hipervnculo"/>
          </w:rPr>
          <w:t>A/HRC/54/22/Add.2</w:t>
        </w:r>
      </w:hyperlink>
      <w:r w:rsidRPr="0051074D">
        <w:t xml:space="preserve">, </w:t>
      </w:r>
      <w:r w:rsidRPr="0051074D">
        <w:rPr>
          <w:szCs w:val="18"/>
        </w:rPr>
        <w:t>párr.</w:t>
      </w:r>
      <w:r>
        <w:rPr>
          <w:szCs w:val="18"/>
        </w:rPr>
        <w:t xml:space="preserve"> </w:t>
      </w:r>
      <w:r w:rsidRPr="0051074D">
        <w:rPr>
          <w:szCs w:val="18"/>
        </w:rPr>
        <w:t>74.</w:t>
      </w:r>
    </w:p>
  </w:footnote>
  <w:footnote w:id="31">
    <w:p w14:paraId="552EC7CB" w14:textId="77777777" w:rsidR="000D59FF" w:rsidRPr="000D59FF" w:rsidRDefault="000D59FF" w:rsidP="000D59FF">
      <w:pPr>
        <w:pStyle w:val="Textonotapie"/>
        <w:rPr>
          <w:lang w:val="en-US"/>
        </w:rPr>
      </w:pPr>
      <w:r w:rsidRPr="0051074D">
        <w:tab/>
      </w:r>
      <w:r w:rsidRPr="0051074D">
        <w:rPr>
          <w:rStyle w:val="Refdenotaalpie"/>
        </w:rPr>
        <w:footnoteRef/>
      </w:r>
      <w:r w:rsidRPr="000D59FF">
        <w:t xml:space="preserve"> </w:t>
      </w:r>
      <w:r w:rsidRPr="000D59FF">
        <w:tab/>
      </w:r>
      <w:r w:rsidRPr="000D59FF">
        <w:tab/>
      </w:r>
      <w:hyperlink r:id="rId50" w:history="1">
        <w:r w:rsidRPr="000D59FF">
          <w:rPr>
            <w:rStyle w:val="Hipervnculo"/>
          </w:rPr>
          <w:t>CED/C/HND/OAI/1</w:t>
        </w:r>
      </w:hyperlink>
      <w:r w:rsidRPr="000D59FF">
        <w:t xml:space="preserve">, </w:t>
      </w:r>
      <w:r w:rsidRPr="000D59FF">
        <w:rPr>
          <w:szCs w:val="18"/>
        </w:rPr>
        <w:t xml:space="preserve">párrs. </w:t>
      </w:r>
      <w:r w:rsidRPr="0051074D">
        <w:rPr>
          <w:szCs w:val="18"/>
          <w:lang w:val="es-SV"/>
        </w:rPr>
        <w:t xml:space="preserve">14 y 15; y </w:t>
      </w:r>
      <w:hyperlink r:id="rId51" w:history="1">
        <w:r w:rsidRPr="0051074D">
          <w:rPr>
            <w:rStyle w:val="Hipervnculo"/>
            <w:lang w:val="es-SV"/>
          </w:rPr>
          <w:t>A/HRC/54/22/Add.2</w:t>
        </w:r>
      </w:hyperlink>
      <w:r w:rsidRPr="0051074D">
        <w:rPr>
          <w:lang w:val="es-SV"/>
        </w:rPr>
        <w:t xml:space="preserve">, </w:t>
      </w:r>
      <w:r w:rsidRPr="0051074D">
        <w:rPr>
          <w:szCs w:val="18"/>
          <w:lang w:val="es-SV"/>
        </w:rPr>
        <w:t xml:space="preserve">párr. </w:t>
      </w:r>
      <w:r w:rsidRPr="000D59FF">
        <w:rPr>
          <w:szCs w:val="18"/>
          <w:lang w:val="en-US"/>
        </w:rPr>
        <w:t xml:space="preserve">18 y 45. </w:t>
      </w:r>
    </w:p>
  </w:footnote>
  <w:footnote w:id="32">
    <w:p w14:paraId="7EB39946" w14:textId="77777777" w:rsidR="000D59FF" w:rsidRPr="000D59FF" w:rsidRDefault="000D59FF" w:rsidP="000D59FF">
      <w:pPr>
        <w:pStyle w:val="Textonotapie"/>
        <w:rPr>
          <w:lang w:val="en-US"/>
        </w:rPr>
      </w:pPr>
      <w:r w:rsidRPr="000D59FF">
        <w:rPr>
          <w:lang w:val="en-US"/>
        </w:rPr>
        <w:tab/>
      </w:r>
      <w:r w:rsidRPr="0051074D">
        <w:rPr>
          <w:rStyle w:val="Refdenotaalpie"/>
        </w:rPr>
        <w:footnoteRef/>
      </w:r>
      <w:r w:rsidRPr="000D59FF">
        <w:rPr>
          <w:lang w:val="en-US"/>
        </w:rPr>
        <w:t xml:space="preserve"> </w:t>
      </w:r>
      <w:r w:rsidRPr="000D59FF">
        <w:rPr>
          <w:lang w:val="en-US"/>
        </w:rPr>
        <w:tab/>
      </w:r>
      <w:r w:rsidRPr="000D59FF">
        <w:rPr>
          <w:lang w:val="en-US"/>
        </w:rPr>
        <w:tab/>
      </w:r>
      <w:hyperlink r:id="rId52" w:history="1">
        <w:r w:rsidRPr="000D59FF">
          <w:rPr>
            <w:rStyle w:val="Hipervnculo"/>
            <w:szCs w:val="18"/>
            <w:lang w:val="en-US"/>
          </w:rPr>
          <w:t>CED/C/HND/OAI/1</w:t>
        </w:r>
      </w:hyperlink>
      <w:r w:rsidRPr="000D59FF">
        <w:rPr>
          <w:lang w:val="en-US"/>
        </w:rPr>
        <w:t xml:space="preserve">, </w:t>
      </w:r>
      <w:r w:rsidRPr="000D59FF">
        <w:rPr>
          <w:szCs w:val="18"/>
          <w:lang w:val="en-US"/>
        </w:rPr>
        <w:t>párr. 15.</w:t>
      </w:r>
    </w:p>
  </w:footnote>
  <w:footnote w:id="33">
    <w:p w14:paraId="4B0C0D29" w14:textId="77777777" w:rsidR="000D59FF" w:rsidRPr="000D59FF" w:rsidRDefault="000D59FF" w:rsidP="000D59FF">
      <w:pPr>
        <w:pStyle w:val="Textonotapie"/>
        <w:rPr>
          <w:szCs w:val="18"/>
          <w:lang w:val="en-US"/>
        </w:rPr>
      </w:pPr>
      <w:r w:rsidRPr="000D59FF">
        <w:rPr>
          <w:szCs w:val="18"/>
          <w:lang w:val="en-US"/>
        </w:rPr>
        <w:tab/>
      </w:r>
      <w:r w:rsidRPr="0051074D">
        <w:rPr>
          <w:rStyle w:val="Refdenotaalpie"/>
          <w:szCs w:val="18"/>
        </w:rPr>
        <w:footnoteRef/>
      </w:r>
      <w:r w:rsidRPr="000D59FF">
        <w:rPr>
          <w:szCs w:val="18"/>
          <w:lang w:val="en-US"/>
        </w:rPr>
        <w:t xml:space="preserve"> </w:t>
      </w:r>
      <w:r w:rsidRPr="000D59FF">
        <w:rPr>
          <w:szCs w:val="18"/>
          <w:lang w:val="en-US"/>
        </w:rPr>
        <w:tab/>
      </w:r>
      <w:r w:rsidRPr="000D59FF">
        <w:rPr>
          <w:szCs w:val="18"/>
          <w:lang w:val="en-US"/>
        </w:rPr>
        <w:tab/>
      </w:r>
      <w:hyperlink r:id="rId53" w:history="1">
        <w:r w:rsidRPr="000D59FF">
          <w:rPr>
            <w:rStyle w:val="Hipervnculo"/>
            <w:lang w:val="en-US"/>
          </w:rPr>
          <w:t>A/HRC/54/22/Add.2</w:t>
        </w:r>
      </w:hyperlink>
      <w:r w:rsidRPr="000D59FF">
        <w:rPr>
          <w:lang w:val="en-US"/>
        </w:rPr>
        <w:t xml:space="preserve">, </w:t>
      </w:r>
      <w:r w:rsidRPr="000D59FF">
        <w:rPr>
          <w:szCs w:val="18"/>
          <w:lang w:val="en-US"/>
        </w:rPr>
        <w:t xml:space="preserve">párrs. 52 a 62. </w:t>
      </w:r>
    </w:p>
  </w:footnote>
  <w:footnote w:id="34">
    <w:p w14:paraId="2861CC1E" w14:textId="77777777" w:rsidR="000D59FF" w:rsidRPr="0051074D" w:rsidRDefault="000D59FF" w:rsidP="000D59FF">
      <w:pPr>
        <w:pStyle w:val="Textonotapie"/>
        <w:rPr>
          <w:lang w:val="es-SV"/>
        </w:rPr>
      </w:pPr>
      <w:r w:rsidRPr="000D59FF">
        <w:rPr>
          <w:lang w:val="en-US"/>
        </w:rPr>
        <w:tab/>
      </w:r>
      <w:r w:rsidRPr="0051074D">
        <w:rPr>
          <w:rStyle w:val="Refdenotaalpie"/>
        </w:rPr>
        <w:footnoteRef/>
      </w:r>
      <w:r w:rsidRPr="000D59FF">
        <w:rPr>
          <w:lang w:val="en-US"/>
        </w:rPr>
        <w:t xml:space="preserve"> </w:t>
      </w:r>
      <w:r w:rsidRPr="000D59FF">
        <w:rPr>
          <w:lang w:val="en-US"/>
        </w:rPr>
        <w:tab/>
      </w:r>
      <w:r w:rsidRPr="000D59FF">
        <w:rPr>
          <w:lang w:val="en-US"/>
        </w:rPr>
        <w:tab/>
      </w:r>
      <w:hyperlink r:id="rId54" w:history="1">
        <w:r w:rsidRPr="000D59FF">
          <w:rPr>
            <w:rStyle w:val="Hipervnculo"/>
            <w:szCs w:val="18"/>
            <w:lang w:val="en-US"/>
          </w:rPr>
          <w:t>CEDAW/C/HND/CO/9</w:t>
        </w:r>
      </w:hyperlink>
      <w:r w:rsidRPr="000D59FF">
        <w:rPr>
          <w:szCs w:val="18"/>
          <w:lang w:val="en-US"/>
        </w:rPr>
        <w:t xml:space="preserve">, párrs. </w:t>
      </w:r>
      <w:r w:rsidRPr="0051074D">
        <w:rPr>
          <w:szCs w:val="18"/>
          <w:lang w:val="es-SV"/>
        </w:rPr>
        <w:t xml:space="preserve">30 y 31; </w:t>
      </w:r>
      <w:hyperlink r:id="rId55" w:history="1">
        <w:r w:rsidRPr="0051074D">
          <w:rPr>
            <w:rStyle w:val="Hipervnculo"/>
            <w:szCs w:val="18"/>
            <w:lang w:val="es-SV"/>
          </w:rPr>
          <w:t>A/HRC/49/21</w:t>
        </w:r>
      </w:hyperlink>
      <w:r w:rsidRPr="0051074D">
        <w:rPr>
          <w:szCs w:val="18"/>
          <w:lang w:val="es-SV"/>
        </w:rPr>
        <w:t xml:space="preserve">, párrs. 19, 40 y 43 a 48; </w:t>
      </w:r>
      <w:hyperlink r:id="rId56" w:history="1">
        <w:r w:rsidRPr="0051074D">
          <w:rPr>
            <w:rStyle w:val="Hipervnculo"/>
            <w:lang w:val="es-SV"/>
          </w:rPr>
          <w:t>A/HRC/54/22/Add.2</w:t>
        </w:r>
      </w:hyperlink>
      <w:r w:rsidRPr="0051074D">
        <w:rPr>
          <w:lang w:val="es-SV"/>
        </w:rPr>
        <w:t xml:space="preserve">, </w:t>
      </w:r>
      <w:r w:rsidRPr="0051074D">
        <w:rPr>
          <w:szCs w:val="18"/>
          <w:lang w:val="es-SV"/>
        </w:rPr>
        <w:t>p</w:t>
      </w:r>
      <w:r w:rsidRPr="0051074D">
        <w:rPr>
          <w:rFonts w:eastAsia="Arial"/>
          <w:szCs w:val="18"/>
          <w:lang w:val="es-SV"/>
        </w:rPr>
        <w:t>á</w:t>
      </w:r>
      <w:r w:rsidRPr="0051074D">
        <w:rPr>
          <w:szCs w:val="18"/>
          <w:lang w:val="es-SV"/>
        </w:rPr>
        <w:t>rrs.</w:t>
      </w:r>
      <w:r>
        <w:rPr>
          <w:szCs w:val="18"/>
          <w:lang w:val="es-SV"/>
        </w:rPr>
        <w:t xml:space="preserve"> </w:t>
      </w:r>
      <w:r w:rsidRPr="0051074D">
        <w:rPr>
          <w:szCs w:val="18"/>
          <w:lang w:val="es-SV"/>
        </w:rPr>
        <w:t xml:space="preserve">40 y 41; y </w:t>
      </w:r>
      <w:hyperlink r:id="rId57" w:history="1">
        <w:r w:rsidRPr="0051074D">
          <w:rPr>
            <w:rStyle w:val="Hipervnculo"/>
            <w:szCs w:val="18"/>
            <w:lang w:val="es-SV"/>
          </w:rPr>
          <w:t>A/HRC/WGAD/2020/85</w:t>
        </w:r>
      </w:hyperlink>
      <w:r w:rsidRPr="0051074D">
        <w:rPr>
          <w:szCs w:val="18"/>
          <w:lang w:val="es-SV"/>
        </w:rPr>
        <w:t xml:space="preserve">. Véanse también las comunicaciones HND 3/2023, HND 1/2023, </w:t>
      </w:r>
      <w:r w:rsidRPr="0051074D">
        <w:rPr>
          <w:szCs w:val="18"/>
          <w:bdr w:val="none" w:sz="0" w:space="0" w:color="auto" w:frame="1"/>
          <w:lang w:val="es-SV"/>
        </w:rPr>
        <w:t>HND 2/2022</w:t>
      </w:r>
      <w:r w:rsidRPr="0051074D">
        <w:rPr>
          <w:color w:val="212529"/>
          <w:szCs w:val="18"/>
          <w:lang w:val="es-SV"/>
        </w:rPr>
        <w:t xml:space="preserve">, </w:t>
      </w:r>
      <w:r w:rsidRPr="0051074D">
        <w:rPr>
          <w:szCs w:val="18"/>
          <w:bdr w:val="none" w:sz="0" w:space="0" w:color="auto" w:frame="1"/>
          <w:lang w:val="es-SV"/>
        </w:rPr>
        <w:t>HND 8/2021</w:t>
      </w:r>
      <w:r w:rsidRPr="0051074D">
        <w:rPr>
          <w:color w:val="212529"/>
          <w:szCs w:val="18"/>
          <w:lang w:val="es-SV"/>
        </w:rPr>
        <w:t xml:space="preserve">, </w:t>
      </w:r>
      <w:r w:rsidRPr="0051074D">
        <w:rPr>
          <w:szCs w:val="18"/>
          <w:bdr w:val="none" w:sz="0" w:space="0" w:color="auto" w:frame="1"/>
          <w:lang w:val="es-SV"/>
        </w:rPr>
        <w:t>HND 6/2021</w:t>
      </w:r>
      <w:r w:rsidRPr="0051074D">
        <w:rPr>
          <w:color w:val="212529"/>
          <w:szCs w:val="18"/>
          <w:lang w:val="es-SV"/>
        </w:rPr>
        <w:t xml:space="preserve">, </w:t>
      </w:r>
      <w:r w:rsidRPr="0051074D">
        <w:rPr>
          <w:szCs w:val="18"/>
          <w:bdr w:val="none" w:sz="0" w:space="0" w:color="auto" w:frame="1"/>
          <w:lang w:val="es-SV"/>
        </w:rPr>
        <w:t>HND 5/2021</w:t>
      </w:r>
      <w:r w:rsidRPr="0051074D">
        <w:rPr>
          <w:color w:val="212529"/>
          <w:szCs w:val="18"/>
          <w:lang w:val="es-SV"/>
        </w:rPr>
        <w:t xml:space="preserve">, </w:t>
      </w:r>
      <w:r w:rsidRPr="0051074D">
        <w:rPr>
          <w:szCs w:val="18"/>
          <w:bdr w:val="none" w:sz="0" w:space="0" w:color="auto" w:frame="1"/>
          <w:lang w:val="es-SV"/>
        </w:rPr>
        <w:t>HND 4/2021</w:t>
      </w:r>
      <w:r w:rsidRPr="0051074D">
        <w:rPr>
          <w:color w:val="212529"/>
          <w:szCs w:val="18"/>
          <w:lang w:val="es-SV"/>
        </w:rPr>
        <w:t xml:space="preserve">, </w:t>
      </w:r>
      <w:r w:rsidRPr="0051074D">
        <w:rPr>
          <w:szCs w:val="18"/>
          <w:bdr w:val="none" w:sz="0" w:space="0" w:color="auto" w:frame="1"/>
          <w:lang w:val="es-SV"/>
        </w:rPr>
        <w:t>HND 3/2021</w:t>
      </w:r>
      <w:r w:rsidRPr="0051074D">
        <w:rPr>
          <w:color w:val="212529"/>
          <w:szCs w:val="18"/>
          <w:lang w:val="es-SV"/>
        </w:rPr>
        <w:t xml:space="preserve">, </w:t>
      </w:r>
      <w:r w:rsidRPr="0051074D">
        <w:rPr>
          <w:szCs w:val="18"/>
          <w:bdr w:val="none" w:sz="0" w:space="0" w:color="auto" w:frame="1"/>
          <w:lang w:val="es-SV"/>
        </w:rPr>
        <w:t>HND 1/2021</w:t>
      </w:r>
      <w:r w:rsidRPr="0051074D">
        <w:rPr>
          <w:color w:val="212529"/>
          <w:szCs w:val="18"/>
          <w:lang w:val="es-SV"/>
        </w:rPr>
        <w:t xml:space="preserve">, </w:t>
      </w:r>
      <w:r w:rsidRPr="0051074D">
        <w:rPr>
          <w:szCs w:val="18"/>
          <w:bdr w:val="none" w:sz="0" w:space="0" w:color="auto" w:frame="1"/>
          <w:lang w:val="es-SV"/>
        </w:rPr>
        <w:t>HND 2/2020</w:t>
      </w:r>
      <w:r w:rsidRPr="0051074D">
        <w:rPr>
          <w:color w:val="212529"/>
          <w:szCs w:val="18"/>
          <w:lang w:val="es-SV"/>
        </w:rPr>
        <w:t xml:space="preserve">, </w:t>
      </w:r>
      <w:r w:rsidRPr="0051074D">
        <w:rPr>
          <w:szCs w:val="18"/>
          <w:bdr w:val="none" w:sz="0" w:space="0" w:color="auto" w:frame="1"/>
          <w:lang w:val="es-SV"/>
        </w:rPr>
        <w:t>HND 4/2019</w:t>
      </w:r>
      <w:r w:rsidRPr="0051074D">
        <w:rPr>
          <w:color w:val="212529"/>
          <w:szCs w:val="18"/>
          <w:lang w:val="es-SV"/>
        </w:rPr>
        <w:t xml:space="preserve"> y </w:t>
      </w:r>
      <w:r w:rsidRPr="0051074D">
        <w:rPr>
          <w:szCs w:val="18"/>
          <w:bdr w:val="none" w:sz="0" w:space="0" w:color="auto" w:frame="1"/>
          <w:lang w:val="es-SV"/>
        </w:rPr>
        <w:t>HND 2/2019</w:t>
      </w:r>
      <w:r w:rsidRPr="0051074D">
        <w:rPr>
          <w:szCs w:val="18"/>
          <w:lang w:val="es-SV"/>
        </w:rPr>
        <w:t xml:space="preserve">. </w:t>
      </w:r>
    </w:p>
  </w:footnote>
  <w:footnote w:id="35">
    <w:p w14:paraId="4AE055CB" w14:textId="77777777" w:rsidR="000D59FF" w:rsidRPr="00FB22AF" w:rsidRDefault="000D59FF" w:rsidP="000D59FF">
      <w:pPr>
        <w:pStyle w:val="Textonotapie"/>
        <w:widowControl w:val="0"/>
        <w:rPr>
          <w:lang w:val="en-US"/>
        </w:rPr>
      </w:pPr>
      <w:r w:rsidRPr="00FB22AF">
        <w:tab/>
      </w:r>
      <w:r w:rsidRPr="0051074D">
        <w:rPr>
          <w:rStyle w:val="Refdenotaalpie"/>
        </w:rPr>
        <w:footnoteRef/>
      </w:r>
      <w:r w:rsidRPr="000D59FF">
        <w:rPr>
          <w:lang w:val="en-US"/>
        </w:rPr>
        <w:tab/>
      </w:r>
      <w:hyperlink r:id="rId58" w:history="1">
        <w:r w:rsidRPr="000D59FF">
          <w:rPr>
            <w:rStyle w:val="Hipervnculo"/>
            <w:lang w:val="en-US"/>
          </w:rPr>
          <w:t>CAT/C/HND/QPR/3</w:t>
        </w:r>
      </w:hyperlink>
      <w:r w:rsidRPr="000D59FF">
        <w:rPr>
          <w:lang w:val="en-US"/>
        </w:rPr>
        <w:t xml:space="preserve">, párr. 32; y </w:t>
      </w:r>
      <w:hyperlink r:id="rId59" w:history="1">
        <w:r w:rsidRPr="000D59FF">
          <w:rPr>
            <w:rStyle w:val="Hipervnculo"/>
            <w:lang w:val="en-US"/>
          </w:rPr>
          <w:t>CAT/C/HND/CO/2</w:t>
        </w:r>
      </w:hyperlink>
      <w:r w:rsidRPr="000D59FF">
        <w:rPr>
          <w:lang w:val="en-US"/>
        </w:rPr>
        <w:t>, párr. 43.</w:t>
      </w:r>
    </w:p>
  </w:footnote>
  <w:footnote w:id="36">
    <w:p w14:paraId="1B481DBF" w14:textId="77777777" w:rsidR="000D59FF" w:rsidRPr="0051074D" w:rsidRDefault="000D59FF" w:rsidP="000D59FF">
      <w:pPr>
        <w:pStyle w:val="Textonotapie"/>
        <w:rPr>
          <w:szCs w:val="18"/>
          <w:lang w:val="es-SV"/>
        </w:rPr>
      </w:pPr>
      <w:r w:rsidRPr="00FB22AF">
        <w:rPr>
          <w:lang w:val="en-US"/>
        </w:rPr>
        <w:tab/>
      </w:r>
      <w:r w:rsidRPr="0051074D">
        <w:rPr>
          <w:rStyle w:val="Refdenotaalpie"/>
        </w:rPr>
        <w:footnoteRef/>
      </w:r>
      <w:r w:rsidRPr="000D59FF">
        <w:rPr>
          <w:lang w:val="en-US"/>
        </w:rPr>
        <w:t xml:space="preserve"> </w:t>
      </w:r>
      <w:r w:rsidRPr="000D59FF">
        <w:rPr>
          <w:lang w:val="en-US"/>
        </w:rPr>
        <w:tab/>
      </w:r>
      <w:r w:rsidRPr="000D59FF">
        <w:rPr>
          <w:lang w:val="en-US"/>
        </w:rPr>
        <w:tab/>
      </w:r>
      <w:hyperlink r:id="rId60" w:history="1">
        <w:r w:rsidRPr="000D59FF">
          <w:rPr>
            <w:rStyle w:val="Hipervnculo"/>
            <w:lang w:val="en-US"/>
          </w:rPr>
          <w:t>CEDAW/C/HND/CO/9</w:t>
        </w:r>
      </w:hyperlink>
      <w:r w:rsidRPr="000D59FF">
        <w:rPr>
          <w:color w:val="000000"/>
          <w:szCs w:val="18"/>
          <w:shd w:val="clear" w:color="auto" w:fill="FFFFFF"/>
          <w:lang w:val="en-US"/>
        </w:rPr>
        <w:t xml:space="preserve">, </w:t>
      </w:r>
      <w:r w:rsidRPr="000D59FF">
        <w:rPr>
          <w:szCs w:val="18"/>
          <w:lang w:val="en-US"/>
        </w:rPr>
        <w:t>p</w:t>
      </w:r>
      <w:r w:rsidRPr="000D59FF">
        <w:rPr>
          <w:rFonts w:eastAsia="Arial"/>
          <w:szCs w:val="18"/>
          <w:lang w:val="en-US"/>
        </w:rPr>
        <w:t>á</w:t>
      </w:r>
      <w:r w:rsidRPr="000D59FF">
        <w:rPr>
          <w:szCs w:val="18"/>
          <w:lang w:val="en-US"/>
        </w:rPr>
        <w:t xml:space="preserve">rrs. </w:t>
      </w:r>
      <w:r w:rsidRPr="0051074D">
        <w:rPr>
          <w:szCs w:val="18"/>
          <w:lang w:val="es-419"/>
        </w:rPr>
        <w:t xml:space="preserve">14, 15, 24 y 25; </w:t>
      </w:r>
      <w:hyperlink r:id="rId61" w:history="1">
        <w:r w:rsidRPr="0051074D">
          <w:rPr>
            <w:rStyle w:val="Hipervnculo"/>
            <w:szCs w:val="18"/>
            <w:lang w:val="es-419"/>
          </w:rPr>
          <w:t>A/HRC/52/24</w:t>
        </w:r>
      </w:hyperlink>
      <w:r w:rsidRPr="0051074D">
        <w:rPr>
          <w:szCs w:val="18"/>
          <w:lang w:val="es-419"/>
        </w:rPr>
        <w:t>, p</w:t>
      </w:r>
      <w:r w:rsidRPr="0051074D">
        <w:rPr>
          <w:rFonts w:eastAsia="Arial"/>
          <w:szCs w:val="18"/>
          <w:lang w:val="es-419"/>
        </w:rPr>
        <w:t>á</w:t>
      </w:r>
      <w:r w:rsidRPr="0051074D">
        <w:rPr>
          <w:szCs w:val="18"/>
          <w:lang w:val="es-419"/>
        </w:rPr>
        <w:t xml:space="preserve">rrs. 79 a 81; </w:t>
      </w:r>
      <w:hyperlink r:id="rId62" w:history="1">
        <w:r w:rsidRPr="0051074D">
          <w:rPr>
            <w:rStyle w:val="Hipervnculo"/>
            <w:szCs w:val="18"/>
            <w:lang w:val="es-419"/>
          </w:rPr>
          <w:t>A/HRC/46/75</w:t>
        </w:r>
      </w:hyperlink>
      <w:r w:rsidRPr="0051074D">
        <w:rPr>
          <w:szCs w:val="18"/>
          <w:lang w:val="es-419"/>
        </w:rPr>
        <w:t>, p</w:t>
      </w:r>
      <w:r w:rsidRPr="0051074D">
        <w:rPr>
          <w:rFonts w:eastAsia="Arial"/>
          <w:szCs w:val="18"/>
          <w:lang w:val="es-419"/>
        </w:rPr>
        <w:t>á</w:t>
      </w:r>
      <w:r w:rsidRPr="0051074D">
        <w:rPr>
          <w:szCs w:val="18"/>
          <w:lang w:val="es-419"/>
        </w:rPr>
        <w:t>rr.</w:t>
      </w:r>
      <w:r>
        <w:rPr>
          <w:szCs w:val="18"/>
          <w:lang w:val="es-419"/>
        </w:rPr>
        <w:t xml:space="preserve"> </w:t>
      </w:r>
      <w:r w:rsidRPr="0051074D">
        <w:rPr>
          <w:szCs w:val="18"/>
          <w:lang w:val="es-419"/>
        </w:rPr>
        <w:t xml:space="preserve">52 y 53; y </w:t>
      </w:r>
      <w:hyperlink r:id="rId63" w:history="1">
        <w:r w:rsidRPr="0051074D">
          <w:rPr>
            <w:rStyle w:val="Hipervnculo"/>
            <w:szCs w:val="18"/>
            <w:lang w:val="es-419"/>
          </w:rPr>
          <w:t>A/HRC/49/21</w:t>
        </w:r>
      </w:hyperlink>
      <w:r w:rsidRPr="0051074D">
        <w:rPr>
          <w:szCs w:val="18"/>
          <w:lang w:val="es-419"/>
        </w:rPr>
        <w:t>, p</w:t>
      </w:r>
      <w:r w:rsidRPr="0051074D">
        <w:rPr>
          <w:rFonts w:eastAsia="Arial"/>
          <w:szCs w:val="18"/>
          <w:lang w:val="es-419"/>
        </w:rPr>
        <w:t>á</w:t>
      </w:r>
      <w:r w:rsidRPr="0051074D">
        <w:rPr>
          <w:szCs w:val="18"/>
          <w:lang w:val="es-419"/>
        </w:rPr>
        <w:t xml:space="preserve">rrs. </w:t>
      </w:r>
      <w:r w:rsidRPr="0051074D">
        <w:rPr>
          <w:szCs w:val="18"/>
          <w:lang w:val="es-SV"/>
        </w:rPr>
        <w:t xml:space="preserve">6, 12 y 63. Véase también la comunicación </w:t>
      </w:r>
      <w:r w:rsidRPr="0051074D">
        <w:rPr>
          <w:szCs w:val="18"/>
          <w:bdr w:val="none" w:sz="0" w:space="0" w:color="auto" w:frame="1"/>
          <w:lang w:val="es-SV"/>
        </w:rPr>
        <w:t>HND 1/2022</w:t>
      </w:r>
      <w:r w:rsidRPr="0051074D">
        <w:rPr>
          <w:color w:val="212529"/>
          <w:szCs w:val="18"/>
          <w:lang w:val="es-SV"/>
        </w:rPr>
        <w:t>;</w:t>
      </w:r>
    </w:p>
  </w:footnote>
  <w:footnote w:id="37">
    <w:p w14:paraId="38A9E96D" w14:textId="77777777" w:rsidR="000D59FF" w:rsidRPr="00FB22AF" w:rsidRDefault="000D59FF" w:rsidP="000D59FF">
      <w:pPr>
        <w:pStyle w:val="Textonotapie"/>
      </w:pPr>
      <w:r w:rsidRPr="0051074D">
        <w:rPr>
          <w:szCs w:val="18"/>
          <w:lang w:val="es-419"/>
        </w:rPr>
        <w:tab/>
      </w:r>
      <w:r w:rsidRPr="0051074D">
        <w:rPr>
          <w:rStyle w:val="Refdenotaalpie"/>
          <w:szCs w:val="18"/>
        </w:rPr>
        <w:footnoteRef/>
      </w:r>
      <w:r w:rsidRPr="00FB22AF">
        <w:rPr>
          <w:szCs w:val="18"/>
        </w:rPr>
        <w:t xml:space="preserve"> </w:t>
      </w:r>
      <w:r w:rsidRPr="00FB22AF">
        <w:rPr>
          <w:szCs w:val="18"/>
        </w:rPr>
        <w:tab/>
      </w:r>
      <w:r w:rsidRPr="00FB22AF">
        <w:rPr>
          <w:szCs w:val="18"/>
        </w:rPr>
        <w:tab/>
      </w:r>
      <w:hyperlink r:id="rId64" w:history="1">
        <w:r w:rsidRPr="00FB22AF">
          <w:rPr>
            <w:rStyle w:val="Hipervnculo"/>
            <w:szCs w:val="18"/>
          </w:rPr>
          <w:t>A/HRC/46/12</w:t>
        </w:r>
      </w:hyperlink>
      <w:r w:rsidRPr="00FB22AF">
        <w:rPr>
          <w:szCs w:val="18"/>
        </w:rPr>
        <w:t>, p</w:t>
      </w:r>
      <w:r w:rsidRPr="00FB22AF">
        <w:rPr>
          <w:rFonts w:eastAsia="Arial"/>
          <w:szCs w:val="18"/>
        </w:rPr>
        <w:t>á</w:t>
      </w:r>
      <w:r w:rsidRPr="00FB22AF">
        <w:rPr>
          <w:szCs w:val="18"/>
        </w:rPr>
        <w:t xml:space="preserve">rrs. 104.162 a 104.165, 104.169, 104.171, 104.174 a 104.175, 104.178, 104.183, 104.188, 104.190 a 104.193, 104.195, 104.198; y </w:t>
      </w:r>
      <w:hyperlink r:id="rId65" w:history="1">
        <w:r w:rsidRPr="00FB22AF">
          <w:rPr>
            <w:rStyle w:val="Hipervnculo"/>
          </w:rPr>
          <w:t>A/HRC/46/12/Add.1</w:t>
        </w:r>
      </w:hyperlink>
      <w:r w:rsidRPr="00FB22AF">
        <w:t>.</w:t>
      </w:r>
    </w:p>
  </w:footnote>
  <w:footnote w:id="38">
    <w:p w14:paraId="696CC78C" w14:textId="77777777" w:rsidR="000D59FF" w:rsidRPr="0051074D" w:rsidRDefault="000D59FF" w:rsidP="000D59FF">
      <w:pPr>
        <w:pStyle w:val="Textonotapie"/>
      </w:pPr>
      <w:r w:rsidRPr="00FB22AF">
        <w:tab/>
      </w:r>
      <w:r w:rsidRPr="0051074D">
        <w:rPr>
          <w:rStyle w:val="Refdenotaalpie"/>
        </w:rPr>
        <w:footnoteRef/>
      </w:r>
      <w:r w:rsidRPr="000D59FF">
        <w:rPr>
          <w:lang w:val="en-US"/>
        </w:rPr>
        <w:t xml:space="preserve"> </w:t>
      </w:r>
      <w:r w:rsidRPr="000D59FF">
        <w:rPr>
          <w:lang w:val="en-US"/>
        </w:rPr>
        <w:tab/>
      </w:r>
      <w:r w:rsidRPr="000D59FF">
        <w:rPr>
          <w:lang w:val="en-US"/>
        </w:rPr>
        <w:tab/>
      </w:r>
      <w:hyperlink r:id="rId66" w:history="1">
        <w:r w:rsidRPr="000D59FF">
          <w:rPr>
            <w:rStyle w:val="Hipervnculo"/>
            <w:szCs w:val="18"/>
            <w:lang w:val="en-US"/>
          </w:rPr>
          <w:t>CEDAW/C/HND/CO/9</w:t>
        </w:r>
      </w:hyperlink>
      <w:r w:rsidRPr="000D59FF">
        <w:rPr>
          <w:szCs w:val="18"/>
          <w:lang w:val="en-US"/>
        </w:rPr>
        <w:t xml:space="preserve">, párrs. </w:t>
      </w:r>
      <w:r w:rsidRPr="0051074D">
        <w:rPr>
          <w:szCs w:val="18"/>
        </w:rPr>
        <w:t xml:space="preserve">38 a 39; </w:t>
      </w:r>
      <w:hyperlink r:id="rId67" w:history="1">
        <w:r w:rsidRPr="0051074D">
          <w:rPr>
            <w:rStyle w:val="Hipervnculo"/>
            <w:szCs w:val="18"/>
          </w:rPr>
          <w:t>A/HRC/52/24</w:t>
        </w:r>
      </w:hyperlink>
      <w:r w:rsidRPr="0051074D">
        <w:rPr>
          <w:szCs w:val="18"/>
        </w:rPr>
        <w:t>,</w:t>
      </w:r>
      <w:r w:rsidRPr="0051074D">
        <w:rPr>
          <w:b/>
          <w:bCs/>
          <w:szCs w:val="18"/>
        </w:rPr>
        <w:t xml:space="preserve"> </w:t>
      </w:r>
      <w:r w:rsidRPr="0051074D">
        <w:rPr>
          <w:szCs w:val="18"/>
        </w:rPr>
        <w:t>p</w:t>
      </w:r>
      <w:r w:rsidRPr="0051074D">
        <w:rPr>
          <w:rFonts w:eastAsia="Arial"/>
          <w:szCs w:val="18"/>
        </w:rPr>
        <w:t>á</w:t>
      </w:r>
      <w:r w:rsidRPr="0051074D">
        <w:rPr>
          <w:szCs w:val="18"/>
        </w:rPr>
        <w:t xml:space="preserve">rr. 82; y </w:t>
      </w:r>
      <w:hyperlink r:id="rId68" w:history="1">
        <w:r w:rsidRPr="0051074D">
          <w:rPr>
            <w:rStyle w:val="Hipervnculo"/>
          </w:rPr>
          <w:t>A/HRC/49/21</w:t>
        </w:r>
      </w:hyperlink>
      <w:r w:rsidRPr="0051074D">
        <w:t xml:space="preserve">, </w:t>
      </w:r>
      <w:r w:rsidRPr="0051074D">
        <w:rPr>
          <w:szCs w:val="18"/>
        </w:rPr>
        <w:t>p</w:t>
      </w:r>
      <w:r w:rsidRPr="0051074D">
        <w:rPr>
          <w:rFonts w:eastAsia="Arial"/>
          <w:szCs w:val="18"/>
        </w:rPr>
        <w:t>á</w:t>
      </w:r>
      <w:r w:rsidRPr="0051074D">
        <w:rPr>
          <w:szCs w:val="18"/>
        </w:rPr>
        <w:t>rr. 65.</w:t>
      </w:r>
    </w:p>
  </w:footnote>
  <w:footnote w:id="39">
    <w:p w14:paraId="0D30349B" w14:textId="77777777" w:rsidR="000D59FF" w:rsidRPr="0051074D" w:rsidRDefault="000D59FF" w:rsidP="000D59FF">
      <w:pPr>
        <w:pStyle w:val="Textonotapie"/>
        <w:rPr>
          <w:szCs w:val="18"/>
          <w:lang w:val="es-419"/>
        </w:rPr>
      </w:pPr>
      <w:r w:rsidRPr="0051074D">
        <w:rPr>
          <w:szCs w:val="18"/>
        </w:rPr>
        <w:tab/>
      </w:r>
      <w:r w:rsidRPr="0051074D">
        <w:rPr>
          <w:rStyle w:val="Refdenotaalpie"/>
          <w:szCs w:val="18"/>
        </w:rPr>
        <w:footnoteRef/>
      </w:r>
      <w:r w:rsidRPr="0051074D">
        <w:rPr>
          <w:szCs w:val="18"/>
        </w:rPr>
        <w:t xml:space="preserve"> </w:t>
      </w:r>
      <w:r w:rsidRPr="0051074D">
        <w:rPr>
          <w:szCs w:val="18"/>
        </w:rPr>
        <w:tab/>
      </w:r>
      <w:r w:rsidRPr="0051074D">
        <w:rPr>
          <w:szCs w:val="18"/>
        </w:rPr>
        <w:tab/>
      </w:r>
      <w:hyperlink r:id="rId69" w:history="1">
        <w:r w:rsidRPr="0051074D">
          <w:rPr>
            <w:rStyle w:val="Hipervnculo"/>
            <w:szCs w:val="18"/>
          </w:rPr>
          <w:t>A/HRC/46/75</w:t>
        </w:r>
      </w:hyperlink>
      <w:r w:rsidRPr="0051074D">
        <w:rPr>
          <w:szCs w:val="18"/>
        </w:rPr>
        <w:t>, p</w:t>
      </w:r>
      <w:r w:rsidRPr="0051074D">
        <w:rPr>
          <w:rFonts w:eastAsia="Arial"/>
          <w:szCs w:val="18"/>
        </w:rPr>
        <w:t>á</w:t>
      </w:r>
      <w:r w:rsidRPr="0051074D">
        <w:rPr>
          <w:szCs w:val="18"/>
        </w:rPr>
        <w:t xml:space="preserve">rrs. 57 a 59; </w:t>
      </w:r>
      <w:hyperlink r:id="rId70" w:history="1">
        <w:r w:rsidRPr="0051074D">
          <w:rPr>
            <w:rStyle w:val="Hipervnculo"/>
          </w:rPr>
          <w:t>A/HRC/49/21</w:t>
        </w:r>
      </w:hyperlink>
      <w:r w:rsidRPr="0051074D">
        <w:t xml:space="preserve">, </w:t>
      </w:r>
      <w:r w:rsidRPr="0051074D">
        <w:rPr>
          <w:szCs w:val="18"/>
        </w:rPr>
        <w:t>p</w:t>
      </w:r>
      <w:r w:rsidRPr="0051074D">
        <w:rPr>
          <w:rFonts w:eastAsia="Arial"/>
          <w:szCs w:val="18"/>
        </w:rPr>
        <w:t>á</w:t>
      </w:r>
      <w:r w:rsidRPr="0051074D">
        <w:rPr>
          <w:szCs w:val="18"/>
        </w:rPr>
        <w:t xml:space="preserve">rrs. 67 y 68; </w:t>
      </w:r>
      <w:hyperlink r:id="rId71" w:history="1">
        <w:r w:rsidRPr="0051074D">
          <w:rPr>
            <w:rStyle w:val="Hipervnculo"/>
            <w:szCs w:val="18"/>
          </w:rPr>
          <w:t>A/HRC/52/24</w:t>
        </w:r>
      </w:hyperlink>
      <w:r w:rsidRPr="0051074D">
        <w:rPr>
          <w:szCs w:val="18"/>
        </w:rPr>
        <w:t>, p</w:t>
      </w:r>
      <w:r w:rsidRPr="0051074D">
        <w:rPr>
          <w:rFonts w:eastAsia="Arial"/>
          <w:szCs w:val="18"/>
        </w:rPr>
        <w:t>á</w:t>
      </w:r>
      <w:r w:rsidRPr="0051074D">
        <w:rPr>
          <w:szCs w:val="18"/>
        </w:rPr>
        <w:t xml:space="preserve">rrs. 83 y 84; y </w:t>
      </w:r>
      <w:hyperlink r:id="rId72" w:history="1">
        <w:r w:rsidRPr="0051074D">
          <w:rPr>
            <w:rStyle w:val="Hipervnculo"/>
          </w:rPr>
          <w:t>CEDAW/C/HND/CO/9</w:t>
        </w:r>
      </w:hyperlink>
      <w:r w:rsidRPr="0051074D">
        <w:t xml:space="preserve">, </w:t>
      </w:r>
      <w:r w:rsidRPr="0051074D">
        <w:rPr>
          <w:szCs w:val="18"/>
        </w:rPr>
        <w:t>p</w:t>
      </w:r>
      <w:r w:rsidRPr="0051074D">
        <w:rPr>
          <w:rFonts w:eastAsia="Arial"/>
          <w:szCs w:val="18"/>
        </w:rPr>
        <w:t>á</w:t>
      </w:r>
      <w:r w:rsidRPr="0051074D">
        <w:rPr>
          <w:szCs w:val="18"/>
        </w:rPr>
        <w:t xml:space="preserve">rrs. </w:t>
      </w:r>
      <w:r w:rsidRPr="0051074D">
        <w:rPr>
          <w:szCs w:val="18"/>
          <w:lang w:val="es-419"/>
        </w:rPr>
        <w:t>24 f) y 25.</w:t>
      </w:r>
    </w:p>
  </w:footnote>
  <w:footnote w:id="40">
    <w:p w14:paraId="0D5EE39F" w14:textId="4BBEFA09" w:rsidR="000D59FF" w:rsidRPr="0051074D" w:rsidRDefault="000D59FF" w:rsidP="000D59FF">
      <w:pPr>
        <w:pStyle w:val="Textonotapie"/>
        <w:rPr>
          <w:lang w:val="es-SV"/>
        </w:rPr>
      </w:pPr>
      <w:r w:rsidRPr="0051074D">
        <w:rPr>
          <w:lang w:val="es-419"/>
        </w:rPr>
        <w:tab/>
      </w:r>
      <w:r w:rsidRPr="0051074D">
        <w:rPr>
          <w:rStyle w:val="Refdenotaalpie"/>
        </w:rPr>
        <w:footnoteRef/>
      </w:r>
      <w:r w:rsidRPr="0051074D">
        <w:rPr>
          <w:lang w:val="es-SV"/>
        </w:rPr>
        <w:t xml:space="preserve"> </w:t>
      </w:r>
      <w:r w:rsidRPr="0051074D">
        <w:rPr>
          <w:lang w:val="es-SV"/>
        </w:rPr>
        <w:tab/>
      </w:r>
      <w:r w:rsidRPr="0051074D">
        <w:rPr>
          <w:lang w:val="es-SV"/>
        </w:rPr>
        <w:tab/>
      </w:r>
      <w:hyperlink r:id="rId73" w:history="1">
        <w:r w:rsidRPr="0051074D">
          <w:rPr>
            <w:rStyle w:val="Hipervnculo"/>
            <w:lang w:val="es-SV"/>
          </w:rPr>
          <w:t>A/HRC/54/22/Add.2</w:t>
        </w:r>
      </w:hyperlink>
      <w:r w:rsidRPr="0051074D">
        <w:rPr>
          <w:lang w:val="es-SV"/>
        </w:rPr>
        <w:t xml:space="preserve">, </w:t>
      </w:r>
      <w:r w:rsidRPr="0051074D">
        <w:rPr>
          <w:szCs w:val="18"/>
          <w:lang w:val="es-SV"/>
        </w:rPr>
        <w:t>p</w:t>
      </w:r>
      <w:r w:rsidRPr="0051074D">
        <w:rPr>
          <w:rFonts w:eastAsia="Arial"/>
          <w:szCs w:val="18"/>
          <w:lang w:val="es-SV"/>
        </w:rPr>
        <w:t>á</w:t>
      </w:r>
      <w:r w:rsidRPr="0051074D">
        <w:rPr>
          <w:szCs w:val="18"/>
          <w:lang w:val="es-SV"/>
        </w:rPr>
        <w:t xml:space="preserve">rrs. 32 y 67; y </w:t>
      </w:r>
      <w:hyperlink r:id="rId74" w:history="1">
        <w:r w:rsidRPr="00DB6311">
          <w:rPr>
            <w:rStyle w:val="Hipervnculo"/>
          </w:rPr>
          <w:t>CED/C/HND/OAI/1</w:t>
        </w:r>
      </w:hyperlink>
      <w:r w:rsidRPr="0051074D">
        <w:rPr>
          <w:lang w:val="es-SV"/>
        </w:rPr>
        <w:t>, párrs. 42 y 43. Véase también la comunicación HND 2/2021.</w:t>
      </w:r>
    </w:p>
  </w:footnote>
  <w:footnote w:id="41">
    <w:p w14:paraId="0C4EFEEA" w14:textId="77777777" w:rsidR="000D59FF" w:rsidRPr="0051074D" w:rsidRDefault="000D59FF" w:rsidP="000D59FF">
      <w:pPr>
        <w:pStyle w:val="Textonotapie"/>
      </w:pPr>
      <w:r w:rsidRPr="0051074D">
        <w:rPr>
          <w:lang w:val="es-SV"/>
        </w:rPr>
        <w:tab/>
      </w:r>
      <w:r w:rsidRPr="0051074D">
        <w:rPr>
          <w:rStyle w:val="Refdenotaalpie"/>
        </w:rPr>
        <w:footnoteRef/>
      </w:r>
      <w:r w:rsidRPr="0051074D">
        <w:rPr>
          <w:lang w:val="es-SV"/>
        </w:rPr>
        <w:t xml:space="preserve"> </w:t>
      </w:r>
      <w:r w:rsidRPr="0051074D">
        <w:rPr>
          <w:lang w:val="es-SV"/>
        </w:rPr>
        <w:tab/>
      </w:r>
      <w:r w:rsidRPr="0051074D">
        <w:rPr>
          <w:lang w:val="es-SV"/>
        </w:rPr>
        <w:tab/>
      </w:r>
      <w:hyperlink r:id="rId75" w:history="1">
        <w:r w:rsidRPr="0051074D">
          <w:rPr>
            <w:rStyle w:val="Hipervnculo"/>
            <w:lang w:val="es-SV"/>
          </w:rPr>
          <w:t>A/HRC/49/21</w:t>
        </w:r>
      </w:hyperlink>
      <w:r w:rsidRPr="0051074D">
        <w:rPr>
          <w:lang w:val="es-SV"/>
        </w:rPr>
        <w:t xml:space="preserve">, </w:t>
      </w:r>
      <w:r w:rsidRPr="0051074D">
        <w:rPr>
          <w:szCs w:val="18"/>
          <w:lang w:val="es-SV"/>
        </w:rPr>
        <w:t>p</w:t>
      </w:r>
      <w:r w:rsidRPr="0051074D">
        <w:rPr>
          <w:rFonts w:eastAsia="Arial"/>
          <w:szCs w:val="18"/>
          <w:lang w:val="es-SV"/>
        </w:rPr>
        <w:t>á</w:t>
      </w:r>
      <w:r w:rsidRPr="0051074D">
        <w:rPr>
          <w:szCs w:val="18"/>
          <w:lang w:val="es-SV"/>
        </w:rPr>
        <w:t xml:space="preserve">rr. </w:t>
      </w:r>
      <w:r w:rsidRPr="0051074D">
        <w:rPr>
          <w:szCs w:val="18"/>
        </w:rPr>
        <w:t>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1AF06" w14:textId="1AB7A2B5" w:rsidR="000D59FF" w:rsidRPr="000D59FF" w:rsidRDefault="00061197">
    <w:pPr>
      <w:pStyle w:val="Encabezado"/>
    </w:pPr>
    <w:r>
      <w:fldChar w:fldCharType="begin"/>
    </w:r>
    <w:r>
      <w:instrText xml:space="preserve"> TITLE  \* MERGEFORMAT </w:instrText>
    </w:r>
    <w:r>
      <w:fldChar w:fldCharType="separate"/>
    </w:r>
    <w:r w:rsidR="0001546D">
      <w:t>CAT/C/</w:t>
    </w:r>
    <w:proofErr w:type="spellStart"/>
    <w:r w:rsidR="0001546D">
      <w:t>HND</w:t>
    </w:r>
    <w:proofErr w:type="spellEnd"/>
    <w:r w:rsidR="0001546D">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3726C" w14:textId="4D7F1868" w:rsidR="000D59FF" w:rsidRPr="000D59FF" w:rsidRDefault="00061197" w:rsidP="000D59FF">
    <w:pPr>
      <w:pStyle w:val="Encabezado"/>
      <w:jc w:val="right"/>
    </w:pPr>
    <w:r>
      <w:fldChar w:fldCharType="begin"/>
    </w:r>
    <w:r>
      <w:instrText xml:space="preserve"> TITLE  \* MERGEFORMAT </w:instrText>
    </w:r>
    <w:r>
      <w:fldChar w:fldCharType="separate"/>
    </w:r>
    <w:r w:rsidR="0001546D">
      <w:t>CAT/C/</w:t>
    </w:r>
    <w:proofErr w:type="spellStart"/>
    <w:r w:rsidR="0001546D">
      <w:t>HND</w:t>
    </w:r>
    <w:proofErr w:type="spellEnd"/>
    <w:r w:rsidR="0001546D">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141F50"/>
    <w:multiLevelType w:val="hybridMultilevel"/>
    <w:tmpl w:val="C5C0E9D4"/>
    <w:lvl w:ilvl="0" w:tplc="109ECA6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FF470B"/>
    <w:multiLevelType w:val="hybridMultilevel"/>
    <w:tmpl w:val="43B49F12"/>
    <w:lvl w:ilvl="0" w:tplc="6CB4B05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7" w15:restartNumberingAfterBreak="0">
    <w:nsid w:val="2F0D48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ACF4EB2"/>
    <w:multiLevelType w:val="hybridMultilevel"/>
    <w:tmpl w:val="CB6C816A"/>
    <w:lvl w:ilvl="0" w:tplc="BECAE4D8">
      <w:start w:val="1"/>
      <w:numFmt w:val="bullet"/>
      <w:lvlText w:val="•"/>
      <w:lvlJc w:val="left"/>
      <w:pPr>
        <w:tabs>
          <w:tab w:val="num" w:pos="2268"/>
        </w:tabs>
        <w:ind w:left="2268" w:hanging="170"/>
      </w:pPr>
      <w:rPr>
        <w:rFonts w:ascii="Times New Roman" w:hAnsi="Times New Roman" w:cs="Times New Roman" w:hint="default"/>
      </w:rPr>
    </w:lvl>
    <w:lvl w:ilvl="1" w:tplc="C226DFA8" w:tentative="1">
      <w:start w:val="1"/>
      <w:numFmt w:val="bullet"/>
      <w:lvlText w:val="o"/>
      <w:lvlJc w:val="left"/>
      <w:pPr>
        <w:tabs>
          <w:tab w:val="num" w:pos="3708"/>
        </w:tabs>
        <w:ind w:left="3708" w:hanging="360"/>
      </w:pPr>
      <w:rPr>
        <w:rFonts w:ascii="Courier New" w:hAnsi="Courier New" w:hint="default"/>
      </w:rPr>
    </w:lvl>
    <w:lvl w:ilvl="2" w:tplc="D14619E6" w:tentative="1">
      <w:start w:val="1"/>
      <w:numFmt w:val="bullet"/>
      <w:lvlText w:val=""/>
      <w:lvlJc w:val="left"/>
      <w:pPr>
        <w:tabs>
          <w:tab w:val="num" w:pos="4428"/>
        </w:tabs>
        <w:ind w:left="4428" w:hanging="360"/>
      </w:pPr>
      <w:rPr>
        <w:rFonts w:ascii="Wingdings" w:hAnsi="Wingdings" w:hint="default"/>
      </w:rPr>
    </w:lvl>
    <w:lvl w:ilvl="3" w:tplc="D2A4804E" w:tentative="1">
      <w:start w:val="1"/>
      <w:numFmt w:val="bullet"/>
      <w:lvlText w:val=""/>
      <w:lvlJc w:val="left"/>
      <w:pPr>
        <w:tabs>
          <w:tab w:val="num" w:pos="5148"/>
        </w:tabs>
        <w:ind w:left="5148" w:hanging="360"/>
      </w:pPr>
      <w:rPr>
        <w:rFonts w:ascii="Symbol" w:hAnsi="Symbol" w:hint="default"/>
      </w:rPr>
    </w:lvl>
    <w:lvl w:ilvl="4" w:tplc="AC14027C" w:tentative="1">
      <w:start w:val="1"/>
      <w:numFmt w:val="bullet"/>
      <w:lvlText w:val="o"/>
      <w:lvlJc w:val="left"/>
      <w:pPr>
        <w:tabs>
          <w:tab w:val="num" w:pos="5868"/>
        </w:tabs>
        <w:ind w:left="5868" w:hanging="360"/>
      </w:pPr>
      <w:rPr>
        <w:rFonts w:ascii="Courier New" w:hAnsi="Courier New" w:hint="default"/>
      </w:rPr>
    </w:lvl>
    <w:lvl w:ilvl="5" w:tplc="8FF2D562" w:tentative="1">
      <w:start w:val="1"/>
      <w:numFmt w:val="bullet"/>
      <w:lvlText w:val=""/>
      <w:lvlJc w:val="left"/>
      <w:pPr>
        <w:tabs>
          <w:tab w:val="num" w:pos="6588"/>
        </w:tabs>
        <w:ind w:left="6588" w:hanging="360"/>
      </w:pPr>
      <w:rPr>
        <w:rFonts w:ascii="Wingdings" w:hAnsi="Wingdings" w:hint="default"/>
      </w:rPr>
    </w:lvl>
    <w:lvl w:ilvl="6" w:tplc="BEB82620" w:tentative="1">
      <w:start w:val="1"/>
      <w:numFmt w:val="bullet"/>
      <w:lvlText w:val=""/>
      <w:lvlJc w:val="left"/>
      <w:pPr>
        <w:tabs>
          <w:tab w:val="num" w:pos="7308"/>
        </w:tabs>
        <w:ind w:left="7308" w:hanging="360"/>
      </w:pPr>
      <w:rPr>
        <w:rFonts w:ascii="Symbol" w:hAnsi="Symbol" w:hint="default"/>
      </w:rPr>
    </w:lvl>
    <w:lvl w:ilvl="7" w:tplc="DC1E2D2E" w:tentative="1">
      <w:start w:val="1"/>
      <w:numFmt w:val="bullet"/>
      <w:lvlText w:val="o"/>
      <w:lvlJc w:val="left"/>
      <w:pPr>
        <w:tabs>
          <w:tab w:val="num" w:pos="8028"/>
        </w:tabs>
        <w:ind w:left="8028" w:hanging="360"/>
      </w:pPr>
      <w:rPr>
        <w:rFonts w:ascii="Courier New" w:hAnsi="Courier New" w:hint="default"/>
      </w:rPr>
    </w:lvl>
    <w:lvl w:ilvl="8" w:tplc="C2E421EE"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8AD07B2"/>
    <w:multiLevelType w:val="hybridMultilevel"/>
    <w:tmpl w:val="7FEE3222"/>
    <w:lvl w:ilvl="0" w:tplc="835E13F6">
      <w:start w:val="1"/>
      <w:numFmt w:val="bullet"/>
      <w:lvlText w:val="•"/>
      <w:lvlJc w:val="left"/>
      <w:pPr>
        <w:tabs>
          <w:tab w:val="num" w:pos="1701"/>
        </w:tabs>
        <w:ind w:left="1701" w:hanging="170"/>
      </w:pPr>
      <w:rPr>
        <w:rFonts w:ascii="Times New Roman" w:hAnsi="Times New Roman" w:cs="Times New Roman" w:hint="default"/>
      </w:rPr>
    </w:lvl>
    <w:lvl w:ilvl="1" w:tplc="1A908DBC" w:tentative="1">
      <w:start w:val="1"/>
      <w:numFmt w:val="bullet"/>
      <w:lvlText w:val="o"/>
      <w:lvlJc w:val="left"/>
      <w:pPr>
        <w:tabs>
          <w:tab w:val="num" w:pos="3141"/>
        </w:tabs>
        <w:ind w:left="3141" w:hanging="360"/>
      </w:pPr>
      <w:rPr>
        <w:rFonts w:ascii="Courier New" w:hAnsi="Courier New" w:hint="default"/>
      </w:rPr>
    </w:lvl>
    <w:lvl w:ilvl="2" w:tplc="D6724E80" w:tentative="1">
      <w:start w:val="1"/>
      <w:numFmt w:val="bullet"/>
      <w:lvlText w:val=""/>
      <w:lvlJc w:val="left"/>
      <w:pPr>
        <w:tabs>
          <w:tab w:val="num" w:pos="3861"/>
        </w:tabs>
        <w:ind w:left="3861" w:hanging="360"/>
      </w:pPr>
      <w:rPr>
        <w:rFonts w:ascii="Wingdings" w:hAnsi="Wingdings" w:hint="default"/>
      </w:rPr>
    </w:lvl>
    <w:lvl w:ilvl="3" w:tplc="1004BE78" w:tentative="1">
      <w:start w:val="1"/>
      <w:numFmt w:val="bullet"/>
      <w:lvlText w:val=""/>
      <w:lvlJc w:val="left"/>
      <w:pPr>
        <w:tabs>
          <w:tab w:val="num" w:pos="4581"/>
        </w:tabs>
        <w:ind w:left="4581" w:hanging="360"/>
      </w:pPr>
      <w:rPr>
        <w:rFonts w:ascii="Symbol" w:hAnsi="Symbol" w:hint="default"/>
      </w:rPr>
    </w:lvl>
    <w:lvl w:ilvl="4" w:tplc="A0124BE0" w:tentative="1">
      <w:start w:val="1"/>
      <w:numFmt w:val="bullet"/>
      <w:lvlText w:val="o"/>
      <w:lvlJc w:val="left"/>
      <w:pPr>
        <w:tabs>
          <w:tab w:val="num" w:pos="5301"/>
        </w:tabs>
        <w:ind w:left="5301" w:hanging="360"/>
      </w:pPr>
      <w:rPr>
        <w:rFonts w:ascii="Courier New" w:hAnsi="Courier New" w:hint="default"/>
      </w:rPr>
    </w:lvl>
    <w:lvl w:ilvl="5" w:tplc="1DB868E8" w:tentative="1">
      <w:start w:val="1"/>
      <w:numFmt w:val="bullet"/>
      <w:lvlText w:val=""/>
      <w:lvlJc w:val="left"/>
      <w:pPr>
        <w:tabs>
          <w:tab w:val="num" w:pos="6021"/>
        </w:tabs>
        <w:ind w:left="6021" w:hanging="360"/>
      </w:pPr>
      <w:rPr>
        <w:rFonts w:ascii="Wingdings" w:hAnsi="Wingdings" w:hint="default"/>
      </w:rPr>
    </w:lvl>
    <w:lvl w:ilvl="6" w:tplc="E984355E" w:tentative="1">
      <w:start w:val="1"/>
      <w:numFmt w:val="bullet"/>
      <w:lvlText w:val=""/>
      <w:lvlJc w:val="left"/>
      <w:pPr>
        <w:tabs>
          <w:tab w:val="num" w:pos="6741"/>
        </w:tabs>
        <w:ind w:left="6741" w:hanging="360"/>
      </w:pPr>
      <w:rPr>
        <w:rFonts w:ascii="Symbol" w:hAnsi="Symbol" w:hint="default"/>
      </w:rPr>
    </w:lvl>
    <w:lvl w:ilvl="7" w:tplc="CB74C28C" w:tentative="1">
      <w:start w:val="1"/>
      <w:numFmt w:val="bullet"/>
      <w:lvlText w:val="o"/>
      <w:lvlJc w:val="left"/>
      <w:pPr>
        <w:tabs>
          <w:tab w:val="num" w:pos="7461"/>
        </w:tabs>
        <w:ind w:left="7461" w:hanging="360"/>
      </w:pPr>
      <w:rPr>
        <w:rFonts w:ascii="Courier New" w:hAnsi="Courier New" w:hint="default"/>
      </w:rPr>
    </w:lvl>
    <w:lvl w:ilvl="8" w:tplc="108C4688"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42344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16135374">
    <w:abstractNumId w:val="29"/>
  </w:num>
  <w:num w:numId="2" w16cid:durableId="1682128215">
    <w:abstractNumId w:val="19"/>
  </w:num>
  <w:num w:numId="3" w16cid:durableId="302391211">
    <w:abstractNumId w:val="32"/>
  </w:num>
  <w:num w:numId="4" w16cid:durableId="433672729">
    <w:abstractNumId w:val="30"/>
  </w:num>
  <w:num w:numId="5" w16cid:durableId="1099332605">
    <w:abstractNumId w:val="26"/>
  </w:num>
  <w:num w:numId="6" w16cid:durableId="1935237027">
    <w:abstractNumId w:val="8"/>
  </w:num>
  <w:num w:numId="7" w16cid:durableId="1950695656">
    <w:abstractNumId w:val="3"/>
  </w:num>
  <w:num w:numId="8" w16cid:durableId="1675916159">
    <w:abstractNumId w:val="2"/>
  </w:num>
  <w:num w:numId="9" w16cid:durableId="1113475296">
    <w:abstractNumId w:val="1"/>
  </w:num>
  <w:num w:numId="10" w16cid:durableId="1134560223">
    <w:abstractNumId w:val="0"/>
  </w:num>
  <w:num w:numId="11" w16cid:durableId="847014448">
    <w:abstractNumId w:val="9"/>
  </w:num>
  <w:num w:numId="12" w16cid:durableId="1825394038">
    <w:abstractNumId w:val="7"/>
  </w:num>
  <w:num w:numId="13" w16cid:durableId="137384882">
    <w:abstractNumId w:val="6"/>
  </w:num>
  <w:num w:numId="14" w16cid:durableId="174200203">
    <w:abstractNumId w:val="5"/>
  </w:num>
  <w:num w:numId="15" w16cid:durableId="793719109">
    <w:abstractNumId w:val="4"/>
  </w:num>
  <w:num w:numId="16" w16cid:durableId="1509638042">
    <w:abstractNumId w:val="11"/>
  </w:num>
  <w:num w:numId="17" w16cid:durableId="2101947519">
    <w:abstractNumId w:val="29"/>
  </w:num>
  <w:num w:numId="18" w16cid:durableId="227766441">
    <w:abstractNumId w:val="19"/>
  </w:num>
  <w:num w:numId="19" w16cid:durableId="1286933833">
    <w:abstractNumId w:val="11"/>
  </w:num>
  <w:num w:numId="20" w16cid:durableId="849753750">
    <w:abstractNumId w:val="32"/>
  </w:num>
  <w:num w:numId="21" w16cid:durableId="81730588">
    <w:abstractNumId w:val="30"/>
  </w:num>
  <w:num w:numId="22" w16cid:durableId="1026831671">
    <w:abstractNumId w:val="22"/>
  </w:num>
  <w:num w:numId="23" w16cid:durableId="412553445">
    <w:abstractNumId w:val="22"/>
  </w:num>
  <w:num w:numId="24" w16cid:durableId="123235673">
    <w:abstractNumId w:val="26"/>
  </w:num>
  <w:num w:numId="25" w16cid:durableId="1349873957">
    <w:abstractNumId w:val="9"/>
  </w:num>
  <w:num w:numId="26" w16cid:durableId="638919739">
    <w:abstractNumId w:val="7"/>
  </w:num>
  <w:num w:numId="27" w16cid:durableId="743721896">
    <w:abstractNumId w:val="6"/>
  </w:num>
  <w:num w:numId="28" w16cid:durableId="1516766057">
    <w:abstractNumId w:val="5"/>
  </w:num>
  <w:num w:numId="29" w16cid:durableId="407116018">
    <w:abstractNumId w:val="4"/>
  </w:num>
  <w:num w:numId="30" w16cid:durableId="107049076">
    <w:abstractNumId w:val="8"/>
  </w:num>
  <w:num w:numId="31" w16cid:durableId="712192662">
    <w:abstractNumId w:val="3"/>
  </w:num>
  <w:num w:numId="32" w16cid:durableId="450367657">
    <w:abstractNumId w:val="2"/>
  </w:num>
  <w:num w:numId="33" w16cid:durableId="80490643">
    <w:abstractNumId w:val="1"/>
  </w:num>
  <w:num w:numId="34" w16cid:durableId="1286154001">
    <w:abstractNumId w:val="0"/>
  </w:num>
  <w:num w:numId="35" w16cid:durableId="1905334723">
    <w:abstractNumId w:val="28"/>
  </w:num>
  <w:num w:numId="36" w16cid:durableId="101925787">
    <w:abstractNumId w:val="20"/>
  </w:num>
  <w:num w:numId="37" w16cid:durableId="1508590527">
    <w:abstractNumId w:val="27"/>
  </w:num>
  <w:num w:numId="38" w16cid:durableId="810706028">
    <w:abstractNumId w:val="23"/>
  </w:num>
  <w:num w:numId="39" w16cid:durableId="1597471623">
    <w:abstractNumId w:val="18"/>
  </w:num>
  <w:num w:numId="40" w16cid:durableId="1341353673">
    <w:abstractNumId w:val="13"/>
  </w:num>
  <w:num w:numId="41" w16cid:durableId="1395160977">
    <w:abstractNumId w:val="10"/>
  </w:num>
  <w:num w:numId="42" w16cid:durableId="1165244814">
    <w:abstractNumId w:val="25"/>
  </w:num>
  <w:num w:numId="43" w16cid:durableId="913121292">
    <w:abstractNumId w:val="12"/>
  </w:num>
  <w:num w:numId="44" w16cid:durableId="549003268">
    <w:abstractNumId w:val="15"/>
  </w:num>
  <w:num w:numId="45" w16cid:durableId="2105951622">
    <w:abstractNumId w:val="24"/>
  </w:num>
  <w:num w:numId="46" w16cid:durableId="1437140587">
    <w:abstractNumId w:val="21"/>
  </w:num>
  <w:num w:numId="47" w16cid:durableId="1700399423">
    <w:abstractNumId w:val="17"/>
  </w:num>
  <w:num w:numId="48" w16cid:durableId="1750542366">
    <w:abstractNumId w:val="31"/>
  </w:num>
  <w:num w:numId="49" w16cid:durableId="1373766189">
    <w:abstractNumId w:val="16"/>
  </w:num>
  <w:num w:numId="50" w16cid:durableId="43066902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D48"/>
    <w:rsid w:val="00004304"/>
    <w:rsid w:val="0001546D"/>
    <w:rsid w:val="00033EE1"/>
    <w:rsid w:val="00042B72"/>
    <w:rsid w:val="000558BD"/>
    <w:rsid w:val="00061197"/>
    <w:rsid w:val="0008780D"/>
    <w:rsid w:val="000B57E7"/>
    <w:rsid w:val="000B6373"/>
    <w:rsid w:val="000D59FF"/>
    <w:rsid w:val="000E713F"/>
    <w:rsid w:val="000F09DF"/>
    <w:rsid w:val="000F61B2"/>
    <w:rsid w:val="001075E9"/>
    <w:rsid w:val="00147975"/>
    <w:rsid w:val="00180183"/>
    <w:rsid w:val="0018024D"/>
    <w:rsid w:val="00180AD1"/>
    <w:rsid w:val="0018649F"/>
    <w:rsid w:val="00196389"/>
    <w:rsid w:val="001B3EF6"/>
    <w:rsid w:val="001C7A89"/>
    <w:rsid w:val="00217D36"/>
    <w:rsid w:val="00241144"/>
    <w:rsid w:val="002A2EFC"/>
    <w:rsid w:val="002C0E18"/>
    <w:rsid w:val="002D5AAC"/>
    <w:rsid w:val="002F1D90"/>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6F6D65"/>
    <w:rsid w:val="007021FF"/>
    <w:rsid w:val="00712895"/>
    <w:rsid w:val="00740428"/>
    <w:rsid w:val="00757357"/>
    <w:rsid w:val="0080117D"/>
    <w:rsid w:val="00825F8D"/>
    <w:rsid w:val="0083326A"/>
    <w:rsid w:val="00834B71"/>
    <w:rsid w:val="00844557"/>
    <w:rsid w:val="0086445C"/>
    <w:rsid w:val="00894693"/>
    <w:rsid w:val="008A08D7"/>
    <w:rsid w:val="008B6909"/>
    <w:rsid w:val="00906890"/>
    <w:rsid w:val="00911BE4"/>
    <w:rsid w:val="00930739"/>
    <w:rsid w:val="0093114A"/>
    <w:rsid w:val="00951972"/>
    <w:rsid w:val="009608F3"/>
    <w:rsid w:val="00983ECA"/>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DB6311"/>
    <w:rsid w:val="00DC427B"/>
    <w:rsid w:val="00DE4223"/>
    <w:rsid w:val="00E73F76"/>
    <w:rsid w:val="00E876C3"/>
    <w:rsid w:val="00EA2C9F"/>
    <w:rsid w:val="00EB7D48"/>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5ED7A"/>
  <w15:docId w15:val="{75D442DC-9D12-47B4-9B25-CEEC444B5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DE4223"/>
    <w:pPr>
      <w:keepNext/>
      <w:outlineLvl w:val="1"/>
    </w:pPr>
    <w:rPr>
      <w:rFonts w:cs="Arial"/>
      <w:bCs/>
      <w:iCs/>
      <w:szCs w:val="28"/>
    </w:rPr>
  </w:style>
  <w:style w:type="paragraph" w:styleId="Ttulo3">
    <w:name w:val="heading 3"/>
    <w:basedOn w:val="Normal"/>
    <w:next w:val="Normal"/>
    <w:link w:val="Ttulo3Car"/>
    <w:semiHidden/>
    <w:qFormat/>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DE4223"/>
    <w:pPr>
      <w:keepNext/>
      <w:spacing w:before="240" w:after="60"/>
      <w:outlineLvl w:val="3"/>
    </w:pPr>
    <w:rPr>
      <w:b/>
      <w:bCs/>
      <w:sz w:val="28"/>
      <w:szCs w:val="28"/>
    </w:rPr>
  </w:style>
  <w:style w:type="paragraph" w:styleId="Ttulo5">
    <w:name w:val="heading 5"/>
    <w:basedOn w:val="Normal"/>
    <w:next w:val="Normal"/>
    <w:link w:val="Ttulo5Car"/>
    <w:semiHidden/>
    <w:qFormat/>
    <w:rsid w:val="00DE4223"/>
    <w:pPr>
      <w:spacing w:before="240" w:after="60"/>
      <w:outlineLvl w:val="4"/>
    </w:pPr>
    <w:rPr>
      <w:b/>
      <w:bCs/>
      <w:i/>
      <w:iCs/>
      <w:sz w:val="26"/>
      <w:szCs w:val="26"/>
    </w:rPr>
  </w:style>
  <w:style w:type="paragraph" w:styleId="Ttulo6">
    <w:name w:val="heading 6"/>
    <w:basedOn w:val="Normal"/>
    <w:next w:val="Normal"/>
    <w:link w:val="Ttulo6Car"/>
    <w:semiHidden/>
    <w:qFormat/>
    <w:rsid w:val="00DE4223"/>
    <w:pPr>
      <w:spacing w:before="240" w:after="60"/>
      <w:outlineLvl w:val="5"/>
    </w:pPr>
    <w:rPr>
      <w:b/>
      <w:bCs/>
      <w:sz w:val="22"/>
      <w:szCs w:val="22"/>
    </w:rPr>
  </w:style>
  <w:style w:type="paragraph" w:styleId="Ttulo7">
    <w:name w:val="heading 7"/>
    <w:basedOn w:val="Normal"/>
    <w:next w:val="Normal"/>
    <w:link w:val="Ttulo7Car"/>
    <w:semiHidden/>
    <w:qFormat/>
    <w:rsid w:val="00DE4223"/>
    <w:pPr>
      <w:spacing w:before="240" w:after="60"/>
      <w:outlineLvl w:val="6"/>
    </w:pPr>
    <w:rPr>
      <w:sz w:val="24"/>
      <w:szCs w:val="24"/>
    </w:rPr>
  </w:style>
  <w:style w:type="paragraph" w:styleId="Ttulo8">
    <w:name w:val="heading 8"/>
    <w:basedOn w:val="Normal"/>
    <w:next w:val="Normal"/>
    <w:link w:val="Ttulo8Car"/>
    <w:semiHidden/>
    <w:qFormat/>
    <w:rsid w:val="00DE4223"/>
    <w:pPr>
      <w:spacing w:before="240" w:after="60"/>
      <w:outlineLvl w:val="7"/>
    </w:pPr>
    <w:rPr>
      <w:i/>
      <w:iCs/>
      <w:sz w:val="24"/>
      <w:szCs w:val="24"/>
    </w:rPr>
  </w:style>
  <w:style w:type="paragraph" w:styleId="Ttulo9">
    <w:name w:val="heading 9"/>
    <w:basedOn w:val="Normal"/>
    <w:next w:val="Normal"/>
    <w:link w:val="Ttulo9Car"/>
    <w:semiHidden/>
    <w:qFormat/>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BVI fnr,Footnote,Footnote Refernece,Footnote symbol,Fußnotenzeichen_Raxen,Superscript 6 Point,Texto de nota al pie,ftref,fusnot Char,nota pié di pagina,Footnote reference number,Times 10 Point,Exposant 3 Point,callout"/>
    <w:link w:val="BVIfnrChar"/>
    <w:uiPriority w:val="99"/>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E4223"/>
    <w:pPr>
      <w:keepNext/>
      <w:keepLines/>
      <w:spacing w:before="240" w:after="240" w:line="580" w:lineRule="exact"/>
      <w:ind w:left="1134" w:right="1134"/>
    </w:pPr>
    <w:rPr>
      <w:b/>
      <w:sz w:val="56"/>
    </w:rPr>
  </w:style>
  <w:style w:type="paragraph" w:customStyle="1" w:styleId="SSG">
    <w:name w:val="__S_S_G"/>
    <w:basedOn w:val="Normal"/>
    <w:next w:val="Normal"/>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E4223"/>
    <w:rPr>
      <w:sz w:val="16"/>
    </w:rPr>
  </w:style>
  <w:style w:type="paragraph" w:customStyle="1" w:styleId="XLargeG">
    <w:name w:val="__XLarge_G"/>
    <w:basedOn w:val="Normal"/>
    <w:next w:val="Normal"/>
    <w:rsid w:val="00DE4223"/>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Text Blue,stile 1,Footnote1"/>
    <w:basedOn w:val="Normal"/>
    <w:link w:val="TextonotapieCar"/>
    <w:uiPriority w:val="99"/>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qFormat/>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99"/>
    <w:rsid w:val="00DE4223"/>
    <w:rPr>
      <w:color w:val="0000FF"/>
      <w:u w:val="none"/>
    </w:rPr>
  </w:style>
  <w:style w:type="character" w:styleId="Hipervnculovisitado">
    <w:name w:val="FollowedHyperlink"/>
    <w:uiPriority w:val="99"/>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qFormat/>
    <w:rsid w:val="00DE4223"/>
    <w:rPr>
      <w:b/>
      <w:sz w:val="18"/>
    </w:rPr>
  </w:style>
  <w:style w:type="character" w:styleId="Refdenotaalfinal">
    <w:name w:val="endnote reference"/>
    <w:aliases w:val="1_G"/>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17"/>
      </w:numPr>
      <w:spacing w:after="120"/>
      <w:ind w:right="1134"/>
      <w:jc w:val="both"/>
    </w:pPr>
    <w:rPr>
      <w:lang w:eastAsia="en-US"/>
    </w:rPr>
  </w:style>
  <w:style w:type="paragraph" w:customStyle="1" w:styleId="Bullet2G">
    <w:name w:val="_Bullet 2_G"/>
    <w:basedOn w:val="Normal"/>
    <w:qFormat/>
    <w:rsid w:val="00DE4223"/>
    <w:pPr>
      <w:numPr>
        <w:numId w:val="18"/>
      </w:numPr>
      <w:spacing w:after="120"/>
      <w:ind w:right="1134"/>
      <w:jc w:val="both"/>
    </w:pPr>
  </w:style>
  <w:style w:type="paragraph" w:styleId="Textodeglobo">
    <w:name w:val="Balloon Text"/>
    <w:basedOn w:val="Normal"/>
    <w:link w:val="TextodegloboCar"/>
    <w:uiPriority w:val="99"/>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4223"/>
    <w:rPr>
      <w:rFonts w:ascii="Segoe UI" w:hAnsi="Segoe UI" w:cs="Segoe UI"/>
      <w:sz w:val="18"/>
      <w:szCs w:val="18"/>
      <w:lang w:val="es-ES" w:eastAsia="es-ES"/>
    </w:rPr>
  </w:style>
  <w:style w:type="paragraph" w:customStyle="1" w:styleId="ParNoG">
    <w:name w:val="_ParNo_G"/>
    <w:basedOn w:val="Normal"/>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uiPriority w:val="99"/>
    <w:qFormat/>
    <w:rsid w:val="00DE4223"/>
    <w:rPr>
      <w:sz w:val="18"/>
      <w:lang w:val="es-ES" w:eastAsia="es-ES"/>
    </w:rPr>
  </w:style>
  <w:style w:type="character" w:customStyle="1" w:styleId="TextonotaalfinalCar">
    <w:name w:val="Texto nota al final Car"/>
    <w:aliases w:val="2_G Car"/>
    <w:basedOn w:val="Fuentedeprrafopredeter"/>
    <w:link w:val="Textonotaalfinal"/>
    <w:rsid w:val="00DE4223"/>
    <w:rPr>
      <w:sz w:val="18"/>
      <w:lang w:val="es-ES" w:eastAsia="es-ES"/>
    </w:rPr>
  </w:style>
  <w:style w:type="character" w:customStyle="1" w:styleId="PiedepginaCar">
    <w:name w:val="Pie de página Car"/>
    <w:aliases w:val="3_G Car"/>
    <w:basedOn w:val="Fuentedeprrafopredeter"/>
    <w:link w:val="Piedepgina"/>
    <w:rsid w:val="00DE4223"/>
    <w:rPr>
      <w:sz w:val="16"/>
      <w:lang w:val="es-ES" w:eastAsia="es-ES"/>
    </w:rPr>
  </w:style>
  <w:style w:type="character" w:customStyle="1" w:styleId="EncabezadoCar">
    <w:name w:val="Encabezado Car"/>
    <w:aliases w:val="6_G Car"/>
    <w:basedOn w:val="Fuentedeprrafopredeter"/>
    <w:link w:val="Encabezado"/>
    <w:rsid w:val="00DE4223"/>
    <w:rPr>
      <w:b/>
      <w:sz w:val="18"/>
      <w:lang w:val="es-ES" w:eastAsia="es-ES"/>
    </w:rPr>
  </w:style>
  <w:style w:type="character" w:customStyle="1" w:styleId="Ttulo1Car">
    <w:name w:val="Título 1 Car"/>
    <w:aliases w:val="Cuadro_G Car,Table_G Car"/>
    <w:basedOn w:val="Fuentedeprrafopredeter"/>
    <w:link w:val="Ttulo1"/>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Refdenotaalpie"/>
    <w:uiPriority w:val="99"/>
    <w:rsid w:val="000D59FF"/>
    <w:pPr>
      <w:spacing w:after="160" w:line="240" w:lineRule="exact"/>
    </w:pPr>
    <w:rPr>
      <w:sz w:val="18"/>
      <w:vertAlign w:val="superscript"/>
      <w:lang w:val="en-US" w:eastAsia="zh-CN"/>
    </w:rPr>
  </w:style>
  <w:style w:type="character" w:customStyle="1" w:styleId="Ttulo2Car">
    <w:name w:val="Título 2 Car"/>
    <w:basedOn w:val="Fuentedeprrafopredeter"/>
    <w:link w:val="Ttulo2"/>
    <w:semiHidden/>
    <w:rsid w:val="000D59FF"/>
    <w:rPr>
      <w:rFonts w:cs="Arial"/>
      <w:bCs/>
      <w:iCs/>
      <w:szCs w:val="28"/>
      <w:lang w:val="es-ES" w:eastAsia="es-ES"/>
    </w:rPr>
  </w:style>
  <w:style w:type="character" w:customStyle="1" w:styleId="Ttulo3Car">
    <w:name w:val="Título 3 Car"/>
    <w:basedOn w:val="Fuentedeprrafopredeter"/>
    <w:link w:val="Ttulo3"/>
    <w:semiHidden/>
    <w:rsid w:val="000D59FF"/>
    <w:rPr>
      <w:rFonts w:ascii="Arial" w:hAnsi="Arial" w:cs="Arial"/>
      <w:b/>
      <w:bCs/>
      <w:sz w:val="26"/>
      <w:szCs w:val="26"/>
      <w:lang w:val="es-ES" w:eastAsia="es-ES"/>
    </w:rPr>
  </w:style>
  <w:style w:type="character" w:customStyle="1" w:styleId="Ttulo4Car">
    <w:name w:val="Título 4 Car"/>
    <w:basedOn w:val="Fuentedeprrafopredeter"/>
    <w:link w:val="Ttulo4"/>
    <w:semiHidden/>
    <w:rsid w:val="000D59FF"/>
    <w:rPr>
      <w:b/>
      <w:bCs/>
      <w:sz w:val="28"/>
      <w:szCs w:val="28"/>
      <w:lang w:val="es-ES" w:eastAsia="es-ES"/>
    </w:rPr>
  </w:style>
  <w:style w:type="character" w:customStyle="1" w:styleId="Ttulo5Car">
    <w:name w:val="Título 5 Car"/>
    <w:basedOn w:val="Fuentedeprrafopredeter"/>
    <w:link w:val="Ttulo5"/>
    <w:semiHidden/>
    <w:rsid w:val="000D59FF"/>
    <w:rPr>
      <w:b/>
      <w:bCs/>
      <w:i/>
      <w:iCs/>
      <w:sz w:val="26"/>
      <w:szCs w:val="26"/>
      <w:lang w:val="es-ES" w:eastAsia="es-ES"/>
    </w:rPr>
  </w:style>
  <w:style w:type="character" w:customStyle="1" w:styleId="Ttulo6Car">
    <w:name w:val="Título 6 Car"/>
    <w:basedOn w:val="Fuentedeprrafopredeter"/>
    <w:link w:val="Ttulo6"/>
    <w:semiHidden/>
    <w:rsid w:val="000D59FF"/>
    <w:rPr>
      <w:b/>
      <w:bCs/>
      <w:sz w:val="22"/>
      <w:szCs w:val="22"/>
      <w:lang w:val="es-ES" w:eastAsia="es-ES"/>
    </w:rPr>
  </w:style>
  <w:style w:type="character" w:customStyle="1" w:styleId="Ttulo7Car">
    <w:name w:val="Título 7 Car"/>
    <w:basedOn w:val="Fuentedeprrafopredeter"/>
    <w:link w:val="Ttulo7"/>
    <w:semiHidden/>
    <w:rsid w:val="000D59FF"/>
    <w:rPr>
      <w:sz w:val="24"/>
      <w:szCs w:val="24"/>
      <w:lang w:val="es-ES" w:eastAsia="es-ES"/>
    </w:rPr>
  </w:style>
  <w:style w:type="character" w:customStyle="1" w:styleId="Ttulo8Car">
    <w:name w:val="Título 8 Car"/>
    <w:basedOn w:val="Fuentedeprrafopredeter"/>
    <w:link w:val="Ttulo8"/>
    <w:semiHidden/>
    <w:rsid w:val="000D59FF"/>
    <w:rPr>
      <w:i/>
      <w:iCs/>
      <w:sz w:val="24"/>
      <w:szCs w:val="24"/>
      <w:lang w:val="es-ES" w:eastAsia="es-ES"/>
    </w:rPr>
  </w:style>
  <w:style w:type="character" w:customStyle="1" w:styleId="Ttulo9Car">
    <w:name w:val="Título 9 Car"/>
    <w:basedOn w:val="Fuentedeprrafopredeter"/>
    <w:link w:val="Ttulo9"/>
    <w:semiHidden/>
    <w:rsid w:val="000D59FF"/>
    <w:rPr>
      <w:rFonts w:ascii="Arial" w:hAnsi="Arial" w:cs="Arial"/>
      <w:sz w:val="22"/>
      <w:szCs w:val="22"/>
      <w:lang w:val="es-ES" w:eastAsia="es-ES"/>
    </w:rPr>
  </w:style>
  <w:style w:type="table" w:customStyle="1" w:styleId="Tablaconcuadrcula10">
    <w:name w:val="Tabla con cuadrícula1"/>
    <w:basedOn w:val="Tablanormal"/>
    <w:rsid w:val="000D59FF"/>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anormal"/>
    <w:rsid w:val="000D59FF"/>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0D59FF"/>
    <w:pPr>
      <w:numPr>
        <w:numId w:val="41"/>
      </w:numPr>
      <w:tabs>
        <w:tab w:val="clear" w:pos="2835"/>
      </w:tabs>
      <w:suppressAutoHyphens/>
    </w:pPr>
    <w:rPr>
      <w:rFonts w:eastAsia="SimSun"/>
      <w:lang w:val="en-GB" w:eastAsia="zh-CN"/>
    </w:rPr>
  </w:style>
  <w:style w:type="character" w:styleId="Ttulodellibro">
    <w:name w:val="Book Title"/>
    <w:basedOn w:val="Fuentedeprrafopredeter"/>
    <w:uiPriority w:val="33"/>
    <w:rsid w:val="000D59FF"/>
    <w:rPr>
      <w:b/>
      <w:bCs/>
      <w:smallCaps/>
      <w:spacing w:val="5"/>
    </w:rPr>
  </w:style>
  <w:style w:type="paragraph" w:styleId="Revisin">
    <w:name w:val="Revision"/>
    <w:hidden/>
    <w:uiPriority w:val="99"/>
    <w:semiHidden/>
    <w:rsid w:val="000D59FF"/>
    <w:rPr>
      <w:rFonts w:eastAsia="SimSun"/>
      <w:lang w:val="en-GB"/>
    </w:rPr>
  </w:style>
  <w:style w:type="character" w:styleId="Refdecomentario">
    <w:name w:val="annotation reference"/>
    <w:basedOn w:val="Fuentedeprrafopredeter"/>
    <w:uiPriority w:val="99"/>
    <w:semiHidden/>
    <w:unhideWhenUsed/>
    <w:rsid w:val="000D59FF"/>
    <w:rPr>
      <w:sz w:val="16"/>
      <w:szCs w:val="16"/>
    </w:rPr>
  </w:style>
  <w:style w:type="paragraph" w:styleId="Textocomentario">
    <w:name w:val="annotation text"/>
    <w:basedOn w:val="Normal"/>
    <w:link w:val="TextocomentarioCar"/>
    <w:uiPriority w:val="99"/>
    <w:unhideWhenUsed/>
    <w:rsid w:val="000D59FF"/>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0D59FF"/>
    <w:rPr>
      <w:rFonts w:eastAsia="SimSun"/>
      <w:lang w:val="en-GB"/>
    </w:rPr>
  </w:style>
  <w:style w:type="paragraph" w:styleId="Asuntodelcomentario">
    <w:name w:val="annotation subject"/>
    <w:basedOn w:val="Textocomentario"/>
    <w:next w:val="Textocomentario"/>
    <w:link w:val="AsuntodelcomentarioCar"/>
    <w:uiPriority w:val="99"/>
    <w:semiHidden/>
    <w:unhideWhenUsed/>
    <w:rsid w:val="000D59FF"/>
    <w:rPr>
      <w:b/>
      <w:bCs/>
    </w:rPr>
  </w:style>
  <w:style w:type="character" w:customStyle="1" w:styleId="AsuntodelcomentarioCar">
    <w:name w:val="Asunto del comentario Car"/>
    <w:basedOn w:val="TextocomentarioCar"/>
    <w:link w:val="Asuntodelcomentario"/>
    <w:uiPriority w:val="99"/>
    <w:semiHidden/>
    <w:rsid w:val="000D59FF"/>
    <w:rPr>
      <w:rFonts w:eastAsia="SimSun"/>
      <w:b/>
      <w:bCs/>
      <w:lang w:val="en-GB"/>
    </w:rPr>
  </w:style>
  <w:style w:type="character" w:customStyle="1" w:styleId="ui-provider">
    <w:name w:val="ui-provider"/>
    <w:basedOn w:val="Fuentedeprrafopredeter"/>
    <w:rsid w:val="000D59FF"/>
  </w:style>
  <w:style w:type="character" w:customStyle="1" w:styleId="cf01">
    <w:name w:val="cf01"/>
    <w:basedOn w:val="Fuentedeprrafopredeter"/>
    <w:rsid w:val="000D59FF"/>
    <w:rPr>
      <w:rFonts w:ascii="Segoe UI" w:hAnsi="Segoe UI" w:cs="Segoe UI" w:hint="default"/>
      <w:sz w:val="18"/>
      <w:szCs w:val="18"/>
    </w:rPr>
  </w:style>
  <w:style w:type="character" w:customStyle="1" w:styleId="H23GChar">
    <w:name w:val="_ H_2/3_G Char"/>
    <w:link w:val="H23G"/>
    <w:locked/>
    <w:rsid w:val="000D59FF"/>
    <w:rPr>
      <w:b/>
      <w:lang w:val="es-ES" w:eastAsia="es-ES"/>
    </w:rPr>
  </w:style>
  <w:style w:type="paragraph" w:customStyle="1" w:styleId="pf0">
    <w:name w:val="pf0"/>
    <w:basedOn w:val="Normal"/>
    <w:rsid w:val="000D59FF"/>
    <w:pPr>
      <w:spacing w:before="100" w:beforeAutospacing="1" w:after="100" w:afterAutospacing="1" w:line="240" w:lineRule="auto"/>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sp/A/HRC/40/3/Add.2" TargetMode="External"/><Relationship Id="rId18" Type="http://schemas.openxmlformats.org/officeDocument/2006/relationships/hyperlink" Target="https://www.ohchr.org/es/statements-and-speeches/2023/03/colombia-honduras-guatemala-and-cyprus-reports-are-presented-high" TargetMode="External"/><Relationship Id="rId26" Type="http://schemas.openxmlformats.org/officeDocument/2006/relationships/hyperlink" Target="http://undocs.org/sp/A/HRC/52/24" TargetMode="External"/><Relationship Id="rId39" Type="http://schemas.openxmlformats.org/officeDocument/2006/relationships/hyperlink" Target="https://www.ohchr.org/sites/default/files/documents/issues/ruleoflaw/Briefer-Online-hearings-justice-systems-ES.pdf" TargetMode="External"/><Relationship Id="rId21" Type="http://schemas.openxmlformats.org/officeDocument/2006/relationships/hyperlink" Target="http://undocs.org/sp/A/HRC/55/60" TargetMode="External"/><Relationship Id="rId34" Type="http://schemas.openxmlformats.org/officeDocument/2006/relationships/hyperlink" Target="http://undocs.org/sp/A/HRC/52/24" TargetMode="External"/><Relationship Id="rId42" Type="http://schemas.openxmlformats.org/officeDocument/2006/relationships/hyperlink" Target="http://undocs.org/sp/CAT/OP/12/5" TargetMode="External"/><Relationship Id="rId47" Type="http://schemas.openxmlformats.org/officeDocument/2006/relationships/hyperlink" Target="http://undocs.org/sp/A/HRC/49/21" TargetMode="External"/><Relationship Id="rId50" Type="http://schemas.openxmlformats.org/officeDocument/2006/relationships/hyperlink" Target="http://undocs.org/sp/CED/C/HND/OAI/1" TargetMode="External"/><Relationship Id="rId55" Type="http://schemas.openxmlformats.org/officeDocument/2006/relationships/hyperlink" Target="http://undocs.org/sp/A/HRC/49/21" TargetMode="External"/><Relationship Id="rId63" Type="http://schemas.openxmlformats.org/officeDocument/2006/relationships/hyperlink" Target="http://undocs.org/sp/A/HRC/49/21" TargetMode="External"/><Relationship Id="rId68" Type="http://schemas.openxmlformats.org/officeDocument/2006/relationships/hyperlink" Target="http://undocs.org/sp/A/HRC/49/21" TargetMode="External"/><Relationship Id="rId7" Type="http://schemas.openxmlformats.org/officeDocument/2006/relationships/hyperlink" Target="http://undocs.org/sp/A/HRC/52/24" TargetMode="External"/><Relationship Id="rId71" Type="http://schemas.openxmlformats.org/officeDocument/2006/relationships/hyperlink" Target="http://undocs.org/sp/A/HRC/52/24" TargetMode="External"/><Relationship Id="rId2" Type="http://schemas.openxmlformats.org/officeDocument/2006/relationships/hyperlink" Target="http://undocs.org/sp/CAT/C/SR.2076" TargetMode="External"/><Relationship Id="rId16" Type="http://schemas.openxmlformats.org/officeDocument/2006/relationships/hyperlink" Target="https://www.ohchr.org/sites/default/files/documents/issues/executions/sr-sumex/statements/2023-06-02-eom-statement-honduras-sr-sumex.pdf" TargetMode="External"/><Relationship Id="rId29" Type="http://schemas.openxmlformats.org/officeDocument/2006/relationships/hyperlink" Target="http://undocs.org/sp/A/HRC/52/24" TargetMode="External"/><Relationship Id="rId11" Type="http://schemas.openxmlformats.org/officeDocument/2006/relationships/hyperlink" Target="http://undocs.org/sp/CED/C/HND/OAI/1" TargetMode="External"/><Relationship Id="rId24" Type="http://schemas.openxmlformats.org/officeDocument/2006/relationships/hyperlink" Target="http://undocs.org/sp/A/HRC/46/75" TargetMode="External"/><Relationship Id="rId32" Type="http://schemas.openxmlformats.org/officeDocument/2006/relationships/hyperlink" Target="http://undocs.org/sp/A/HRC/49/21" TargetMode="External"/><Relationship Id="rId37" Type="http://schemas.openxmlformats.org/officeDocument/2006/relationships/hyperlink" Target="http://undocs.org/sp/A/HRC/46/75" TargetMode="External"/><Relationship Id="rId40" Type="http://schemas.openxmlformats.org/officeDocument/2006/relationships/hyperlink" Target="http://undocs.org/sp/A/HRC/52/24" TargetMode="External"/><Relationship Id="rId45" Type="http://schemas.openxmlformats.org/officeDocument/2006/relationships/hyperlink" Target="http://undocs.org/sp/CAT/C/HND/CO/2" TargetMode="External"/><Relationship Id="rId53" Type="http://schemas.openxmlformats.org/officeDocument/2006/relationships/hyperlink" Target="http://undocs.org/sp/A/HRC/54/22/Add.2" TargetMode="External"/><Relationship Id="rId58" Type="http://schemas.openxmlformats.org/officeDocument/2006/relationships/hyperlink" Target="http://undocs.org/sp/CAT/C/HND/QPR/3" TargetMode="External"/><Relationship Id="rId66" Type="http://schemas.openxmlformats.org/officeDocument/2006/relationships/hyperlink" Target="http://undocs.org/sp/CEDAW/C/HND/CO/9" TargetMode="External"/><Relationship Id="rId74" Type="http://schemas.openxmlformats.org/officeDocument/2006/relationships/hyperlink" Target="https://undocs.org/es/CED/C/HND/OAI/1" TargetMode="External"/><Relationship Id="rId5" Type="http://schemas.openxmlformats.org/officeDocument/2006/relationships/hyperlink" Target="http://undocs.org/sp/CAT/C/HND/CO/2/Add.1" TargetMode="External"/><Relationship Id="rId15" Type="http://schemas.openxmlformats.org/officeDocument/2006/relationships/hyperlink" Target="http://undocs.org/sp/A/HRC/46/75" TargetMode="External"/><Relationship Id="rId23" Type="http://schemas.openxmlformats.org/officeDocument/2006/relationships/hyperlink" Target="http://undocs.org/sp/A/HRC/49/21" TargetMode="External"/><Relationship Id="rId28" Type="http://schemas.openxmlformats.org/officeDocument/2006/relationships/hyperlink" Target="http://undocs.org/sp/A/HRC/46/75" TargetMode="External"/><Relationship Id="rId36" Type="http://schemas.openxmlformats.org/officeDocument/2006/relationships/hyperlink" Target="http://undocs.org/sp/A/HRC/49/21" TargetMode="External"/><Relationship Id="rId49" Type="http://schemas.openxmlformats.org/officeDocument/2006/relationships/hyperlink" Target="http://undocs.org/sp/A/HRC/54/22/Add.2" TargetMode="External"/><Relationship Id="rId57" Type="http://schemas.openxmlformats.org/officeDocument/2006/relationships/hyperlink" Target="http://undocs.org/sp/A/HRC/WGAD/2020/85" TargetMode="External"/><Relationship Id="rId61" Type="http://schemas.openxmlformats.org/officeDocument/2006/relationships/hyperlink" Target="http://undocs.org/sp/A/HRC/52/24" TargetMode="External"/><Relationship Id="rId10" Type="http://schemas.openxmlformats.org/officeDocument/2006/relationships/hyperlink" Target="http://undocs.org/sp/A/HRC/49/21" TargetMode="External"/><Relationship Id="rId19" Type="http://schemas.openxmlformats.org/officeDocument/2006/relationships/hyperlink" Target="https://www.ohchr.org/sites/default/files/Documents/Countries/HN/INFORMETEM%C3%81TICO2017Enero2020.pdf" TargetMode="External"/><Relationship Id="rId31" Type="http://schemas.openxmlformats.org/officeDocument/2006/relationships/hyperlink" Target="http://undocs.org/sp/A/HRC/40/3/Add.2" TargetMode="External"/><Relationship Id="rId44" Type="http://schemas.openxmlformats.org/officeDocument/2006/relationships/hyperlink" Target="http://undocs.org/sp/A/HRC/54/22/Add.2" TargetMode="External"/><Relationship Id="rId52" Type="http://schemas.openxmlformats.org/officeDocument/2006/relationships/hyperlink" Target="http://undocs.org/sp/CED/C/HND/OAI/1" TargetMode="External"/><Relationship Id="rId60" Type="http://schemas.openxmlformats.org/officeDocument/2006/relationships/hyperlink" Target="http://undocs.org/sp/CEDAW/C/HND/CO/9" TargetMode="External"/><Relationship Id="rId65" Type="http://schemas.openxmlformats.org/officeDocument/2006/relationships/hyperlink" Target="http://undocs.org/sp/A/HRC/46/12/Add.1" TargetMode="External"/><Relationship Id="rId73" Type="http://schemas.openxmlformats.org/officeDocument/2006/relationships/hyperlink" Target="http://undocs.org/sp/A/HRC/54/22/Add.2" TargetMode="External"/><Relationship Id="rId4" Type="http://schemas.openxmlformats.org/officeDocument/2006/relationships/hyperlink" Target="http://undocs.org/sp/CAT/C/HND/CO/2" TargetMode="External"/><Relationship Id="rId9" Type="http://schemas.openxmlformats.org/officeDocument/2006/relationships/hyperlink" Target="http://undocs.org/sp/CED/C/HND/OAI/1" TargetMode="External"/><Relationship Id="rId14" Type="http://schemas.openxmlformats.org/officeDocument/2006/relationships/hyperlink" Target="http://undocs.org/sp/A/HRC/49/21" TargetMode="External"/><Relationship Id="rId22" Type="http://schemas.openxmlformats.org/officeDocument/2006/relationships/hyperlink" Target="http://undocs.org/sp/A/HRC/43/3/Add.2" TargetMode="External"/><Relationship Id="rId27" Type="http://schemas.openxmlformats.org/officeDocument/2006/relationships/hyperlink" Target="http://undocs.org/sp/CAT/C/HND/3" TargetMode="External"/><Relationship Id="rId30" Type="http://schemas.openxmlformats.org/officeDocument/2006/relationships/hyperlink" Target="http://undocs.org/sp/A/HRC/43/3/Add.2" TargetMode="External"/><Relationship Id="rId35" Type="http://schemas.openxmlformats.org/officeDocument/2006/relationships/hyperlink" Target="http://undocs.org/sp/A/HRC/46/75" TargetMode="External"/><Relationship Id="rId43" Type="http://schemas.openxmlformats.org/officeDocument/2006/relationships/hyperlink" Target="http://undocs.org/sp/A/HRC/52/24" TargetMode="External"/><Relationship Id="rId48" Type="http://schemas.openxmlformats.org/officeDocument/2006/relationships/hyperlink" Target="http://undocs.org/sp/A/HRC/52/24" TargetMode="External"/><Relationship Id="rId56" Type="http://schemas.openxmlformats.org/officeDocument/2006/relationships/hyperlink" Target="http://undocs.org/sp/A/HRC/54/22/Add.2" TargetMode="External"/><Relationship Id="rId64" Type="http://schemas.openxmlformats.org/officeDocument/2006/relationships/hyperlink" Target="http://undocs.org/sp/A/HRC/46/12" TargetMode="External"/><Relationship Id="rId69" Type="http://schemas.openxmlformats.org/officeDocument/2006/relationships/hyperlink" Target="http://undocs.org/sp/A/HRC/46/75" TargetMode="External"/><Relationship Id="rId8" Type="http://schemas.openxmlformats.org/officeDocument/2006/relationships/hyperlink" Target="http://undocs.org/sp/A/HRC/54/22/Add.2" TargetMode="External"/><Relationship Id="rId51" Type="http://schemas.openxmlformats.org/officeDocument/2006/relationships/hyperlink" Target="http://undocs.org/sp/A/HRC/54/22/Add.2" TargetMode="External"/><Relationship Id="rId72" Type="http://schemas.openxmlformats.org/officeDocument/2006/relationships/hyperlink" Target="http://undocs.org/sp/CEDAW/C/HND/CO/9" TargetMode="External"/><Relationship Id="rId3" Type="http://schemas.openxmlformats.org/officeDocument/2006/relationships/hyperlink" Target="http://undocs.org/sp/CAT/C/SR.2079" TargetMode="External"/><Relationship Id="rId12" Type="http://schemas.openxmlformats.org/officeDocument/2006/relationships/hyperlink" Target="http://undocs.org/sp/A/HRC/37/3/Add.2" TargetMode="External"/><Relationship Id="rId17" Type="http://schemas.openxmlformats.org/officeDocument/2006/relationships/hyperlink" Target="http://undocs.org/sp/A/HRC/49/21" TargetMode="External"/><Relationship Id="rId25" Type="http://schemas.openxmlformats.org/officeDocument/2006/relationships/hyperlink" Target="http://undocs.org/sp/CED/C/HND/OAI/1" TargetMode="External"/><Relationship Id="rId33" Type="http://schemas.openxmlformats.org/officeDocument/2006/relationships/hyperlink" Target="https://www.ohchr.org/sites/default/files/documents/issues/executions/sr-sumex/statements/2023-06-02-eom-statement-honduras-sr-sumex.pdf" TargetMode="External"/><Relationship Id="rId38" Type="http://schemas.openxmlformats.org/officeDocument/2006/relationships/hyperlink" Target="http://undocs.org/sp/CEDAW/C/HND/CO/9" TargetMode="External"/><Relationship Id="rId46" Type="http://schemas.openxmlformats.org/officeDocument/2006/relationships/hyperlink" Target="http://undocs.org/sp/CED/C/HND/OAI/1" TargetMode="External"/><Relationship Id="rId59" Type="http://schemas.openxmlformats.org/officeDocument/2006/relationships/hyperlink" Target="http://undocs.org/sp/CAT/C/HND/CO/2" TargetMode="External"/><Relationship Id="rId67" Type="http://schemas.openxmlformats.org/officeDocument/2006/relationships/hyperlink" Target="http://undocs.org/sp/A/HRC/52/24" TargetMode="External"/><Relationship Id="rId20" Type="http://schemas.openxmlformats.org/officeDocument/2006/relationships/hyperlink" Target="https://spcommreports.ohchr.org/TmSearch/Results" TargetMode="External"/><Relationship Id="rId41" Type="http://schemas.openxmlformats.org/officeDocument/2006/relationships/hyperlink" Target="http://undocs.org/sp/A/HRC/46/75" TargetMode="External"/><Relationship Id="rId54" Type="http://schemas.openxmlformats.org/officeDocument/2006/relationships/hyperlink" Target="http://undocs.org/sp/CEDAW/C/HND/CO/9" TargetMode="External"/><Relationship Id="rId62" Type="http://schemas.openxmlformats.org/officeDocument/2006/relationships/hyperlink" Target="http://undocs.org/sp/A/HRC/46/75" TargetMode="External"/><Relationship Id="rId70" Type="http://schemas.openxmlformats.org/officeDocument/2006/relationships/hyperlink" Target="http://undocs.org/sp/A/HRC/49/21" TargetMode="External"/><Relationship Id="rId75" Type="http://schemas.openxmlformats.org/officeDocument/2006/relationships/hyperlink" Target="http://undocs.org/sp/A/HRC/49/21" TargetMode="External"/><Relationship Id="rId1" Type="http://schemas.openxmlformats.org/officeDocument/2006/relationships/hyperlink" Target="http://undocs.org/sp/CAT/C/HND/3" TargetMode="External"/><Relationship Id="rId6" Type="http://schemas.openxmlformats.org/officeDocument/2006/relationships/hyperlink" Target="https://tbinternet.ohchr.org/_layouts/15/treatybodyexternal/Download.aspx?symbolno=INT%2FCAT%2FFUL%2FHND%2F3221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15</Pages>
  <Words>7748</Words>
  <Characters>44165</Characters>
  <Application>Microsoft Office Word</Application>
  <DocSecurity>0</DocSecurity>
  <Lines>368</Lines>
  <Paragraphs>103</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51810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CAT/C/HND/CO/3</dc:title>
  <dc:subject/>
  <dc:creator>Carlos Ariel BRAGUNDE LOPEZ</dc:creator>
  <cp:keywords/>
  <cp:lastModifiedBy>Luz Urquizu Marroquin</cp:lastModifiedBy>
  <cp:revision>3</cp:revision>
  <cp:lastPrinted>2024-05-28T07:22:00Z</cp:lastPrinted>
  <dcterms:created xsi:type="dcterms:W3CDTF">2024-05-28T07:22:00Z</dcterms:created>
  <dcterms:modified xsi:type="dcterms:W3CDTF">2024-05-28T07:23:00Z</dcterms:modified>
</cp:coreProperties>
</file>