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18AE0E5A" w14:textId="77777777" w:rsidTr="00E866BF">
        <w:trPr>
          <w:trHeight w:hRule="exact" w:val="851"/>
        </w:trPr>
        <w:tc>
          <w:tcPr>
            <w:tcW w:w="1274" w:type="dxa"/>
            <w:tcBorders>
              <w:bottom w:val="single" w:sz="4" w:space="0" w:color="auto"/>
            </w:tcBorders>
          </w:tcPr>
          <w:p w14:paraId="489D994D" w14:textId="77777777" w:rsidR="006B3E27" w:rsidRPr="008F729B" w:rsidRDefault="006B3E27" w:rsidP="00894ADC">
            <w:pPr>
              <w:kinsoku w:val="0"/>
              <w:overflowPunct w:val="0"/>
              <w:autoSpaceDE w:val="0"/>
              <w:autoSpaceDN w:val="0"/>
              <w:adjustRightInd w:val="0"/>
              <w:snapToGrid w:val="0"/>
              <w:spacing w:after="80" w:line="480" w:lineRule="exact"/>
              <w:jc w:val="left"/>
              <w:rPr>
                <w:szCs w:val="40"/>
              </w:rPr>
            </w:pPr>
          </w:p>
        </w:tc>
        <w:tc>
          <w:tcPr>
            <w:tcW w:w="4679" w:type="dxa"/>
            <w:tcBorders>
              <w:bottom w:val="single" w:sz="4" w:space="0" w:color="auto"/>
            </w:tcBorders>
            <w:vAlign w:val="bottom"/>
          </w:tcPr>
          <w:p w14:paraId="610EE840"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13F0D1D2" w14:textId="77777777" w:rsidR="006B3E27" w:rsidRPr="00432855" w:rsidRDefault="00432855" w:rsidP="00432855">
            <w:pPr>
              <w:bidi w:val="0"/>
              <w:jc w:val="left"/>
            </w:pPr>
            <w:r w:rsidRPr="00432855">
              <w:rPr>
                <w:sz w:val="40"/>
              </w:rPr>
              <w:t>CED</w:t>
            </w:r>
            <w:r>
              <w:t>/C/</w:t>
            </w:r>
            <w:r w:rsidRPr="00FA58B2">
              <w:t>20</w:t>
            </w:r>
            <w:r>
              <w:t>/</w:t>
            </w:r>
            <w:r w:rsidRPr="00FA58B2">
              <w:t>2</w:t>
            </w:r>
          </w:p>
        </w:tc>
      </w:tr>
      <w:tr w:rsidR="006B3E27" w:rsidRPr="008F729B" w14:paraId="1E59CD2D" w14:textId="77777777" w:rsidTr="00E866BF">
        <w:trPr>
          <w:trHeight w:hRule="exact" w:val="2835"/>
        </w:trPr>
        <w:tc>
          <w:tcPr>
            <w:tcW w:w="1274" w:type="dxa"/>
            <w:tcBorders>
              <w:top w:val="single" w:sz="4" w:space="0" w:color="auto"/>
              <w:bottom w:val="single" w:sz="12" w:space="0" w:color="auto"/>
            </w:tcBorders>
          </w:tcPr>
          <w:p w14:paraId="68695AD9" w14:textId="77777777" w:rsidR="006B3E27" w:rsidRPr="008F729B" w:rsidRDefault="0059622A" w:rsidP="008F729B">
            <w:pPr>
              <w:jc w:val="center"/>
              <w:rPr>
                <w:rtl/>
              </w:rPr>
            </w:pPr>
            <w:r w:rsidRPr="008F729B">
              <w:rPr>
                <w:noProof/>
              </w:rPr>
              <w:drawing>
                <wp:inline distT="0" distB="0" distL="0" distR="0" wp14:anchorId="450C2B73" wp14:editId="7EEBAC7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2CCF33F7" w14:textId="77777777" w:rsidR="006B3E27" w:rsidRPr="008F729B" w:rsidRDefault="004E1586" w:rsidP="00E866BF">
            <w:pPr>
              <w:spacing w:before="160" w:after="40" w:line="560" w:lineRule="exact"/>
              <w:ind w:left="57"/>
              <w:jc w:val="left"/>
              <w:rPr>
                <w:b/>
                <w:bCs/>
                <w:sz w:val="44"/>
                <w:szCs w:val="44"/>
                <w:rtl/>
              </w:rPr>
            </w:pPr>
            <w:r w:rsidRPr="008F729B">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24094B3F" w14:textId="77777777" w:rsidR="006A69CA" w:rsidRDefault="00432855" w:rsidP="008F729B">
            <w:pPr>
              <w:bidi w:val="0"/>
              <w:spacing w:before="240"/>
              <w:jc w:val="left"/>
            </w:pPr>
            <w:r>
              <w:t>Distr.: General</w:t>
            </w:r>
          </w:p>
          <w:p w14:paraId="1398726D" w14:textId="11456DF4" w:rsidR="00432855" w:rsidRDefault="00957740" w:rsidP="00432855">
            <w:pPr>
              <w:bidi w:val="0"/>
              <w:spacing w:line="240" w:lineRule="exact"/>
              <w:jc w:val="left"/>
            </w:pPr>
            <w:r>
              <w:t>28 May 2021</w:t>
            </w:r>
          </w:p>
          <w:p w14:paraId="5A6A7E76" w14:textId="77777777" w:rsidR="00432855" w:rsidRDefault="00432855" w:rsidP="00432855">
            <w:pPr>
              <w:bidi w:val="0"/>
              <w:spacing w:line="240" w:lineRule="exact"/>
              <w:jc w:val="left"/>
            </w:pPr>
            <w:r>
              <w:t>Arabic</w:t>
            </w:r>
          </w:p>
          <w:p w14:paraId="42825DEB" w14:textId="77777777" w:rsidR="00432855" w:rsidRPr="00432855" w:rsidRDefault="00432855" w:rsidP="00432855">
            <w:pPr>
              <w:bidi w:val="0"/>
              <w:spacing w:line="240" w:lineRule="exact"/>
              <w:jc w:val="left"/>
            </w:pPr>
            <w:r>
              <w:t>Original: English</w:t>
            </w:r>
          </w:p>
        </w:tc>
      </w:tr>
    </w:tbl>
    <w:p w14:paraId="639996D8" w14:textId="77777777" w:rsidR="00971B29" w:rsidRPr="00424F1F" w:rsidRDefault="00971B29" w:rsidP="00424F1F">
      <w:pPr>
        <w:spacing w:before="120" w:line="360" w:lineRule="exact"/>
        <w:textDirection w:val="tbRlV"/>
        <w:rPr>
          <w:b/>
          <w:bCs/>
          <w:sz w:val="26"/>
          <w:szCs w:val="26"/>
          <w:lang w:val="ar-SA" w:eastAsia="zh-TW" w:bidi="en-GB"/>
        </w:rPr>
      </w:pPr>
      <w:r w:rsidRPr="00424F1F">
        <w:rPr>
          <w:b/>
          <w:bCs/>
          <w:sz w:val="26"/>
          <w:szCs w:val="26"/>
          <w:rtl/>
        </w:rPr>
        <w:t>اللجنة المعنية بحالات الاختفاء القسري</w:t>
      </w:r>
    </w:p>
    <w:p w14:paraId="163CC346" w14:textId="77777777" w:rsidR="00971B29" w:rsidRPr="00E85773" w:rsidRDefault="00971B29" w:rsidP="00E5388D">
      <w:pPr>
        <w:pStyle w:val="HChGA"/>
        <w:rPr>
          <w:spacing w:val="-2"/>
          <w:szCs w:val="20"/>
          <w:lang w:val="en-US" w:eastAsia="zh-TW" w:bidi="en-GB"/>
        </w:rPr>
      </w:pPr>
      <w:r w:rsidRPr="00E85773">
        <w:rPr>
          <w:spacing w:val="-2"/>
          <w:rtl/>
        </w:rPr>
        <w:tab/>
      </w:r>
      <w:r w:rsidRPr="00E85773">
        <w:rPr>
          <w:spacing w:val="-2"/>
          <w:rtl/>
        </w:rPr>
        <w:tab/>
        <w:t>تقرير عن طلبات الإجراءات العاجلة المقدمة بموجب المادة 30 من الاتفاقية</w:t>
      </w:r>
      <w:r w:rsidRPr="00E85773">
        <w:rPr>
          <w:b w:val="0"/>
          <w:bCs w:val="0"/>
          <w:spacing w:val="-2"/>
          <w:sz w:val="26"/>
          <w:szCs w:val="26"/>
          <w:rtl/>
        </w:rPr>
        <w:footnoteReference w:customMarkFollows="1" w:id="1"/>
        <w:t>*</w:t>
      </w:r>
    </w:p>
    <w:p w14:paraId="341C1000" w14:textId="271920CA" w:rsidR="00971B29" w:rsidRPr="00F51BB9" w:rsidRDefault="00971B29" w:rsidP="00E5388D">
      <w:pPr>
        <w:pStyle w:val="H1GA"/>
        <w:rPr>
          <w:szCs w:val="20"/>
          <w:lang w:val="ar-SA" w:eastAsia="zh-TW" w:bidi="en-GB"/>
        </w:rPr>
      </w:pPr>
      <w:r>
        <w:rPr>
          <w:rtl/>
        </w:rPr>
        <w:tab/>
        <w:t>ألف-</w:t>
      </w:r>
      <w:r>
        <w:rPr>
          <w:rtl/>
        </w:rPr>
        <w:tab/>
        <w:t>مقدمة</w:t>
      </w:r>
    </w:p>
    <w:p w14:paraId="339E92FD" w14:textId="4E4B29C7" w:rsidR="00971B29" w:rsidRPr="00F51BB9" w:rsidRDefault="00971B29" w:rsidP="00971B29">
      <w:pPr>
        <w:pStyle w:val="SingleTxtGA"/>
        <w:rPr>
          <w:szCs w:val="20"/>
          <w:lang w:val="ar-SA" w:eastAsia="zh-TW" w:bidi="en-GB"/>
        </w:rPr>
      </w:pPr>
      <w:r w:rsidRPr="00FA58B2">
        <w:rPr>
          <w:rtl/>
        </w:rPr>
        <w:t>1</w:t>
      </w:r>
      <w:r>
        <w:rPr>
          <w:rFonts w:ascii="Traditional Arabic"/>
          <w:szCs w:val="20"/>
          <w:rtl/>
        </w:rPr>
        <w:t>-</w:t>
      </w:r>
      <w:r>
        <w:rPr>
          <w:rtl/>
        </w:rPr>
        <w:tab/>
        <w:t xml:space="preserve">تنص المادتان </w:t>
      </w:r>
      <w:r w:rsidRPr="00FA58B2">
        <w:rPr>
          <w:rtl/>
        </w:rPr>
        <w:t>57</w:t>
      </w:r>
      <w:r>
        <w:rPr>
          <w:rtl/>
        </w:rPr>
        <w:t xml:space="preserve"> و</w:t>
      </w:r>
      <w:r w:rsidRPr="00FA58B2">
        <w:rPr>
          <w:rtl/>
        </w:rPr>
        <w:t>58</w:t>
      </w:r>
      <w:r>
        <w:rPr>
          <w:rtl/>
        </w:rPr>
        <w:t xml:space="preserve"> من النظام الداخلي للجنة على توجيه عناية اللجنة إلى جميع طلبات الإجراءات العاجلة المقدمة لكي تنظر فيها </w:t>
      </w:r>
      <w:r w:rsidR="00B33122">
        <w:rPr>
          <w:rtl/>
        </w:rPr>
        <w:t>وفقاً</w:t>
      </w:r>
      <w:r>
        <w:rPr>
          <w:rtl/>
        </w:rPr>
        <w:t xml:space="preserve"> للمادة </w:t>
      </w:r>
      <w:r w:rsidRPr="00FA58B2">
        <w:rPr>
          <w:rtl/>
        </w:rPr>
        <w:t>30</w:t>
      </w:r>
      <w:r>
        <w:rPr>
          <w:rtl/>
        </w:rPr>
        <w:t xml:space="preserve"> من الاتفاقية. ويمكن إتاحة النص الكامل لأي طلب من هذا القبيل باللغة التي قُدِّم بها لأي عضو من أعضاء اللجنة بناءً على طلبه. ويوجز هذا التقرير المسائل الرئيسية التي تم التطرق إليها فيما يتعلق بطلبات الإجراءات العاجلة التي تلقتها اللجنة بموجب المادة </w:t>
      </w:r>
      <w:r w:rsidRPr="00FA58B2">
        <w:rPr>
          <w:rtl/>
        </w:rPr>
        <w:t>30</w:t>
      </w:r>
      <w:r>
        <w:rPr>
          <w:rtl/>
        </w:rPr>
        <w:t xml:space="preserve"> من الاتفاقية، والقرارات المتخذة بشأن تلك الطلبات منذ الدورة التاسعة عشرة.</w:t>
      </w:r>
    </w:p>
    <w:p w14:paraId="6579B638" w14:textId="4848ACC7" w:rsidR="00971B29" w:rsidRPr="00F51BB9" w:rsidRDefault="00971B29" w:rsidP="00971B29">
      <w:pPr>
        <w:pStyle w:val="H1GA"/>
        <w:rPr>
          <w:szCs w:val="20"/>
          <w:lang w:val="ar-SA" w:eastAsia="zh-TW" w:bidi="en-GB"/>
        </w:rPr>
      </w:pPr>
      <w:r>
        <w:rPr>
          <w:rtl/>
        </w:rPr>
        <w:tab/>
        <w:t>باء-</w:t>
      </w:r>
      <w:r>
        <w:rPr>
          <w:rtl/>
        </w:rPr>
        <w:tab/>
        <w:t>طلبات الإجراءات العاجلة الواردة منذ الدورة التاسعة عشرة للجنة</w:t>
      </w:r>
    </w:p>
    <w:p w14:paraId="09507909" w14:textId="305B53A0" w:rsidR="00971B29" w:rsidRDefault="00971B29" w:rsidP="00971B29">
      <w:pPr>
        <w:pStyle w:val="SingleTxtGA"/>
        <w:rPr>
          <w:szCs w:val="20"/>
          <w:lang w:val="ar-SA" w:eastAsia="zh-TW" w:bidi="en-GB"/>
        </w:rPr>
      </w:pPr>
      <w:r w:rsidRPr="00FA58B2">
        <w:rPr>
          <w:rtl/>
        </w:rPr>
        <w:t>2</w:t>
      </w:r>
      <w:r>
        <w:rPr>
          <w:rFonts w:ascii="Traditional Arabic"/>
          <w:szCs w:val="20"/>
          <w:rtl/>
        </w:rPr>
        <w:t>-</w:t>
      </w:r>
      <w:r>
        <w:rPr>
          <w:rtl/>
        </w:rPr>
        <w:tab/>
        <w:t xml:space="preserve">أدرجت اللجنة في تقريرها المتعلق بطلبات الإجراءات العاجلة والمعتمد في دورتها التاسعة عشرة القرارات التي اتُّخذت بشأن طلبات الإجراءات العاجلة المسجّلة حتى </w:t>
      </w:r>
      <w:r w:rsidRPr="00FA58B2">
        <w:rPr>
          <w:rtl/>
        </w:rPr>
        <w:t>31</w:t>
      </w:r>
      <w:r>
        <w:rPr>
          <w:rtl/>
        </w:rPr>
        <w:t xml:space="preserve"> آب/أغسطس </w:t>
      </w:r>
      <w:r w:rsidRPr="00FA58B2">
        <w:rPr>
          <w:rtl/>
        </w:rPr>
        <w:t>2020</w:t>
      </w:r>
      <w:r>
        <w:rPr>
          <w:rtl/>
        </w:rPr>
        <w:t xml:space="preserve">، والبالغ عددها </w:t>
      </w:r>
      <w:r w:rsidRPr="00FA58B2">
        <w:rPr>
          <w:rtl/>
        </w:rPr>
        <w:t>969</w:t>
      </w:r>
      <w:r>
        <w:rPr>
          <w:rtl/>
        </w:rPr>
        <w:t xml:space="preserve"> طلباً</w:t>
      </w:r>
      <w:r w:rsidR="00BB5F1C">
        <w:rPr>
          <w:rStyle w:val="FootnoteReference"/>
          <w:szCs w:val="22"/>
          <w:rtl/>
        </w:rPr>
        <w:t>(</w:t>
      </w:r>
      <w:r w:rsidR="00BB5F1C" w:rsidRPr="008A0642">
        <w:rPr>
          <w:rStyle w:val="FootnoteReference"/>
          <w:szCs w:val="22"/>
          <w:rtl/>
        </w:rPr>
        <w:footnoteReference w:id="2"/>
      </w:r>
      <w:r w:rsidR="00BB5F1C">
        <w:rPr>
          <w:rStyle w:val="FootnoteReference"/>
          <w:szCs w:val="22"/>
          <w:rtl/>
        </w:rPr>
        <w:t>)</w:t>
      </w:r>
      <w:r w:rsidR="008A0642">
        <w:rPr>
          <w:rFonts w:hint="cs"/>
          <w:rtl/>
        </w:rPr>
        <w:t>.</w:t>
      </w:r>
      <w:r>
        <w:rPr>
          <w:rtl/>
        </w:rPr>
        <w:t xml:space="preserve"> وفي الفترة من ذلك التاريخ حتى </w:t>
      </w:r>
      <w:r w:rsidRPr="00FA58B2">
        <w:rPr>
          <w:rtl/>
        </w:rPr>
        <w:t>1</w:t>
      </w:r>
      <w:r>
        <w:rPr>
          <w:rtl/>
        </w:rPr>
        <w:t xml:space="preserve"> نيسان/أبريل </w:t>
      </w:r>
      <w:r w:rsidRPr="00FA58B2">
        <w:rPr>
          <w:rtl/>
        </w:rPr>
        <w:t>2021</w:t>
      </w:r>
      <w:r>
        <w:rPr>
          <w:rtl/>
        </w:rPr>
        <w:t xml:space="preserve">، تلقّت اللجنة </w:t>
      </w:r>
      <w:r w:rsidRPr="00FA58B2">
        <w:rPr>
          <w:rtl/>
        </w:rPr>
        <w:t>47</w:t>
      </w:r>
      <w:r>
        <w:rPr>
          <w:rtl/>
        </w:rPr>
        <w:t xml:space="preserve"> طلباً جديداً لاتخاذ الإجراءات العاجلة، سُجل منها </w:t>
      </w:r>
      <w:r w:rsidRPr="00FA58B2">
        <w:rPr>
          <w:rtl/>
        </w:rPr>
        <w:t>44</w:t>
      </w:r>
      <w:r>
        <w:rPr>
          <w:rtl/>
        </w:rPr>
        <w:t xml:space="preserve"> طلباً. ولم تسجَّل ثلاثة طلبات لأنها تتعلق بحالات اختفاء ادُّعي وقوعها في دول لم تصدق على الاتفاقية: و</w:t>
      </w:r>
      <w:r w:rsidR="00B33122">
        <w:rPr>
          <w:rtl/>
        </w:rPr>
        <w:t>وفقاً</w:t>
      </w:r>
      <w:r>
        <w:rPr>
          <w:rtl/>
        </w:rPr>
        <w:t xml:space="preserve"> للممارسة المكرسة، أحيلت تلك الطلبات الثلاثة إلى الفريق العامل المعني بحالات الاختفاء القسري أو غير الطوعي. ولم يسجّل طلبان آخران لأن مكان الأشخاص المعنيين قد حُدّد. وتتعلق الطلبات المسجلة الجديدة وعددها </w:t>
      </w:r>
      <w:r w:rsidRPr="00FA58B2">
        <w:rPr>
          <w:rtl/>
        </w:rPr>
        <w:t>44</w:t>
      </w:r>
      <w:r>
        <w:rPr>
          <w:rtl/>
        </w:rPr>
        <w:t xml:space="preserve"> طلبا</w:t>
      </w:r>
      <w:r w:rsidR="00C8294A">
        <w:rPr>
          <w:rFonts w:hint="cs"/>
          <w:rtl/>
        </w:rPr>
        <w:t>ً</w:t>
      </w:r>
      <w:r>
        <w:rPr>
          <w:rtl/>
        </w:rPr>
        <w:t xml:space="preserve"> بحالات اختفاء في باراغواي وبوركينا فاسو وبيرو وتوغو وكولومبيا والمكسيك وهندوراس والمغرب.</w:t>
      </w:r>
    </w:p>
    <w:p w14:paraId="6F3FF6F4" w14:textId="4E28DBF5" w:rsidR="00971B29" w:rsidRPr="00971B29" w:rsidRDefault="00971B29" w:rsidP="00971B29">
      <w:pPr>
        <w:pStyle w:val="SingleTxtGA"/>
        <w:rPr>
          <w:szCs w:val="20"/>
          <w:lang w:val="en-US" w:eastAsia="zh-TW" w:bidi="en-GB"/>
        </w:rPr>
      </w:pPr>
      <w:r w:rsidRPr="00FA58B2">
        <w:rPr>
          <w:rtl/>
        </w:rPr>
        <w:t>3</w:t>
      </w:r>
      <w:r>
        <w:rPr>
          <w:rFonts w:ascii="Traditional Arabic"/>
          <w:szCs w:val="20"/>
          <w:rtl/>
        </w:rPr>
        <w:t>-</w:t>
      </w:r>
      <w:r>
        <w:rPr>
          <w:rtl/>
        </w:rPr>
        <w:tab/>
        <w:t xml:space="preserve">وحتى </w:t>
      </w:r>
      <w:r w:rsidRPr="00FA58B2">
        <w:rPr>
          <w:rtl/>
        </w:rPr>
        <w:t>1</w:t>
      </w:r>
      <w:r>
        <w:rPr>
          <w:rtl/>
        </w:rPr>
        <w:t xml:space="preserve"> نيسان/أبريل </w:t>
      </w:r>
      <w:r w:rsidRPr="00FA58B2">
        <w:rPr>
          <w:rtl/>
        </w:rPr>
        <w:t>2021</w:t>
      </w:r>
      <w:r>
        <w:rPr>
          <w:rtl/>
        </w:rPr>
        <w:t xml:space="preserve">، سجلت اللجنة ما مجموعه </w:t>
      </w:r>
      <w:r w:rsidRPr="00FA58B2">
        <w:rPr>
          <w:rtl/>
        </w:rPr>
        <w:t>013</w:t>
      </w:r>
      <w:r>
        <w:rPr>
          <w:rFonts w:ascii="Traditional Arabic"/>
          <w:szCs w:val="20"/>
          <w:rtl/>
        </w:rPr>
        <w:t xml:space="preserve"> </w:t>
      </w:r>
      <w:r w:rsidRPr="00FA58B2">
        <w:rPr>
          <w:rtl/>
        </w:rPr>
        <w:t>1</w:t>
      </w:r>
      <w:r>
        <w:rPr>
          <w:rtl/>
        </w:rPr>
        <w:t xml:space="preserve"> طلبا</w:t>
      </w:r>
      <w:r w:rsidR="00B650CB">
        <w:rPr>
          <w:rFonts w:hint="cs"/>
          <w:rtl/>
        </w:rPr>
        <w:t>ً</w:t>
      </w:r>
      <w:r>
        <w:rPr>
          <w:rtl/>
        </w:rPr>
        <w:t xml:space="preserve"> لاتخاذ الإجراءات العاجلة، كما هو مبيَّن في الجدول.</w:t>
      </w:r>
    </w:p>
    <w:p w14:paraId="03F1E0AF" w14:textId="77777777" w:rsidR="00971B29" w:rsidRPr="00F51BB9" w:rsidRDefault="00971B29" w:rsidP="0072522F">
      <w:pPr>
        <w:pStyle w:val="H23GA"/>
        <w:rPr>
          <w:lang w:val="ar-SA" w:eastAsia="zh-TW" w:bidi="en-GB"/>
        </w:rPr>
      </w:pPr>
      <w:r>
        <w:rPr>
          <w:rtl/>
        </w:rPr>
        <w:lastRenderedPageBreak/>
        <w:tab/>
      </w:r>
      <w:r>
        <w:rPr>
          <w:rtl/>
        </w:rPr>
        <w:tab/>
        <w:t xml:space="preserve">طلبات اتخاذ الإجراءات العاجلة المسجلة حتى </w:t>
      </w:r>
      <w:r w:rsidRPr="00FA58B2">
        <w:rPr>
          <w:rtl/>
        </w:rPr>
        <w:t>1</w:t>
      </w:r>
      <w:r>
        <w:rPr>
          <w:rtl/>
        </w:rPr>
        <w:t xml:space="preserve"> نيسان/أبريل </w:t>
      </w:r>
      <w:r w:rsidRPr="00FA58B2">
        <w:rPr>
          <w:rtl/>
        </w:rPr>
        <w:t>2021</w:t>
      </w:r>
      <w:r>
        <w:rPr>
          <w:rtl/>
        </w:rPr>
        <w:t>، لكل سنة ولكل دولة طرف</w:t>
      </w:r>
    </w:p>
    <w:tbl>
      <w:tblPr>
        <w:bidiVisual/>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48"/>
        <w:gridCol w:w="325"/>
        <w:gridCol w:w="323"/>
        <w:gridCol w:w="324"/>
        <w:gridCol w:w="323"/>
        <w:gridCol w:w="324"/>
        <w:gridCol w:w="323"/>
        <w:gridCol w:w="453"/>
        <w:gridCol w:w="356"/>
        <w:gridCol w:w="429"/>
        <w:gridCol w:w="466"/>
        <w:gridCol w:w="384"/>
        <w:gridCol w:w="305"/>
        <w:gridCol w:w="357"/>
        <w:gridCol w:w="324"/>
        <w:gridCol w:w="483"/>
        <w:gridCol w:w="325"/>
        <w:gridCol w:w="332"/>
        <w:gridCol w:w="426"/>
        <w:gridCol w:w="382"/>
        <w:gridCol w:w="326"/>
        <w:gridCol w:w="346"/>
        <w:gridCol w:w="363"/>
        <w:gridCol w:w="393"/>
        <w:gridCol w:w="599"/>
      </w:tblGrid>
      <w:tr w:rsidR="00971B29" w:rsidRPr="0072522F" w14:paraId="5B38A3D0" w14:textId="77777777" w:rsidTr="0072522F">
        <w:trPr>
          <w:cantSplit/>
          <w:trHeight w:val="2174"/>
          <w:tblHeader/>
        </w:trPr>
        <w:tc>
          <w:tcPr>
            <w:tcW w:w="648" w:type="dxa"/>
            <w:tcBorders>
              <w:top w:val="single" w:sz="4" w:space="0" w:color="auto"/>
              <w:bottom w:val="single" w:sz="12" w:space="0" w:color="auto"/>
            </w:tcBorders>
            <w:shd w:val="clear" w:color="auto" w:fill="auto"/>
            <w:vAlign w:val="bottom"/>
          </w:tcPr>
          <w:p w14:paraId="71455EBB"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السنة</w:t>
            </w:r>
          </w:p>
        </w:tc>
        <w:tc>
          <w:tcPr>
            <w:tcW w:w="325" w:type="dxa"/>
            <w:tcBorders>
              <w:top w:val="single" w:sz="4" w:space="0" w:color="auto"/>
              <w:bottom w:val="single" w:sz="12" w:space="0" w:color="auto"/>
            </w:tcBorders>
            <w:shd w:val="clear" w:color="auto" w:fill="auto"/>
            <w:textDirection w:val="btLr"/>
            <w:vAlign w:val="bottom"/>
          </w:tcPr>
          <w:p w14:paraId="0D501EE1"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الأرجنتين</w:t>
            </w:r>
          </w:p>
        </w:tc>
        <w:tc>
          <w:tcPr>
            <w:tcW w:w="323" w:type="dxa"/>
            <w:tcBorders>
              <w:top w:val="single" w:sz="4" w:space="0" w:color="auto"/>
              <w:bottom w:val="single" w:sz="12" w:space="0" w:color="auto"/>
            </w:tcBorders>
            <w:shd w:val="clear" w:color="auto" w:fill="auto"/>
            <w:textDirection w:val="btLr"/>
            <w:vAlign w:val="bottom"/>
          </w:tcPr>
          <w:p w14:paraId="55BD436D"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أرمينيا</w:t>
            </w:r>
          </w:p>
        </w:tc>
        <w:tc>
          <w:tcPr>
            <w:tcW w:w="324" w:type="dxa"/>
            <w:tcBorders>
              <w:top w:val="single" w:sz="4" w:space="0" w:color="auto"/>
              <w:bottom w:val="single" w:sz="12" w:space="0" w:color="auto"/>
            </w:tcBorders>
            <w:shd w:val="clear" w:color="auto" w:fill="auto"/>
            <w:textDirection w:val="btLr"/>
            <w:vAlign w:val="bottom"/>
          </w:tcPr>
          <w:p w14:paraId="58D09472"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بوليفيا (دولة - المتعددة القوميات)</w:t>
            </w:r>
          </w:p>
        </w:tc>
        <w:tc>
          <w:tcPr>
            <w:tcW w:w="323" w:type="dxa"/>
            <w:tcBorders>
              <w:top w:val="single" w:sz="4" w:space="0" w:color="auto"/>
              <w:bottom w:val="single" w:sz="12" w:space="0" w:color="auto"/>
            </w:tcBorders>
            <w:shd w:val="clear" w:color="auto" w:fill="auto"/>
            <w:textDirection w:val="btLr"/>
            <w:vAlign w:val="bottom"/>
          </w:tcPr>
          <w:p w14:paraId="54DBD02D"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البرازيل</w:t>
            </w:r>
          </w:p>
        </w:tc>
        <w:tc>
          <w:tcPr>
            <w:tcW w:w="324" w:type="dxa"/>
            <w:tcBorders>
              <w:top w:val="single" w:sz="4" w:space="0" w:color="auto"/>
              <w:bottom w:val="single" w:sz="12" w:space="0" w:color="auto"/>
            </w:tcBorders>
            <w:shd w:val="clear" w:color="auto" w:fill="auto"/>
            <w:textDirection w:val="btLr"/>
            <w:vAlign w:val="bottom"/>
          </w:tcPr>
          <w:p w14:paraId="0FCE245E"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بوركينا فاسو</w:t>
            </w:r>
          </w:p>
        </w:tc>
        <w:tc>
          <w:tcPr>
            <w:tcW w:w="323" w:type="dxa"/>
            <w:tcBorders>
              <w:top w:val="single" w:sz="4" w:space="0" w:color="auto"/>
              <w:bottom w:val="single" w:sz="12" w:space="0" w:color="auto"/>
            </w:tcBorders>
            <w:shd w:val="clear" w:color="auto" w:fill="auto"/>
            <w:textDirection w:val="btLr"/>
            <w:vAlign w:val="bottom"/>
          </w:tcPr>
          <w:p w14:paraId="7255F1B4"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كمبوديا</w:t>
            </w:r>
          </w:p>
        </w:tc>
        <w:tc>
          <w:tcPr>
            <w:tcW w:w="453" w:type="dxa"/>
            <w:tcBorders>
              <w:top w:val="single" w:sz="4" w:space="0" w:color="auto"/>
              <w:bottom w:val="single" w:sz="12" w:space="0" w:color="auto"/>
            </w:tcBorders>
            <w:shd w:val="clear" w:color="auto" w:fill="auto"/>
            <w:textDirection w:val="btLr"/>
            <w:vAlign w:val="bottom"/>
          </w:tcPr>
          <w:p w14:paraId="66267223"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كولومبيا</w:t>
            </w:r>
          </w:p>
        </w:tc>
        <w:tc>
          <w:tcPr>
            <w:tcW w:w="356" w:type="dxa"/>
            <w:tcBorders>
              <w:top w:val="single" w:sz="4" w:space="0" w:color="auto"/>
              <w:bottom w:val="single" w:sz="12" w:space="0" w:color="auto"/>
            </w:tcBorders>
            <w:shd w:val="clear" w:color="auto" w:fill="auto"/>
            <w:textDirection w:val="btLr"/>
            <w:vAlign w:val="bottom"/>
          </w:tcPr>
          <w:p w14:paraId="6BF58A58"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كوبا</w:t>
            </w:r>
          </w:p>
        </w:tc>
        <w:tc>
          <w:tcPr>
            <w:tcW w:w="429" w:type="dxa"/>
            <w:tcBorders>
              <w:top w:val="single" w:sz="4" w:space="0" w:color="auto"/>
              <w:bottom w:val="single" w:sz="12" w:space="0" w:color="auto"/>
            </w:tcBorders>
            <w:shd w:val="clear" w:color="auto" w:fill="auto"/>
            <w:textDirection w:val="btLr"/>
            <w:vAlign w:val="bottom"/>
          </w:tcPr>
          <w:p w14:paraId="45C945CF"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هندوراس</w:t>
            </w:r>
          </w:p>
        </w:tc>
        <w:tc>
          <w:tcPr>
            <w:tcW w:w="466" w:type="dxa"/>
            <w:tcBorders>
              <w:top w:val="single" w:sz="4" w:space="0" w:color="auto"/>
              <w:bottom w:val="single" w:sz="12" w:space="0" w:color="auto"/>
            </w:tcBorders>
            <w:shd w:val="clear" w:color="auto" w:fill="auto"/>
            <w:textDirection w:val="btLr"/>
            <w:vAlign w:val="bottom"/>
          </w:tcPr>
          <w:p w14:paraId="5587E925"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العراق</w:t>
            </w:r>
          </w:p>
        </w:tc>
        <w:tc>
          <w:tcPr>
            <w:tcW w:w="384" w:type="dxa"/>
            <w:tcBorders>
              <w:top w:val="single" w:sz="4" w:space="0" w:color="auto"/>
              <w:bottom w:val="single" w:sz="12" w:space="0" w:color="auto"/>
            </w:tcBorders>
            <w:shd w:val="clear" w:color="auto" w:fill="auto"/>
            <w:textDirection w:val="btLr"/>
            <w:vAlign w:val="bottom"/>
          </w:tcPr>
          <w:p w14:paraId="5A080D34"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كازاخستان</w:t>
            </w:r>
          </w:p>
        </w:tc>
        <w:tc>
          <w:tcPr>
            <w:tcW w:w="305" w:type="dxa"/>
            <w:tcBorders>
              <w:top w:val="single" w:sz="4" w:space="0" w:color="auto"/>
              <w:bottom w:val="single" w:sz="12" w:space="0" w:color="auto"/>
            </w:tcBorders>
            <w:shd w:val="clear" w:color="auto" w:fill="auto"/>
            <w:textDirection w:val="btLr"/>
            <w:vAlign w:val="bottom"/>
          </w:tcPr>
          <w:p w14:paraId="01EF58CA" w14:textId="77777777" w:rsidR="00971B29" w:rsidRPr="0072522F" w:rsidRDefault="00971B29" w:rsidP="0072522F">
            <w:pPr>
              <w:spacing w:before="20" w:after="40" w:line="300" w:lineRule="exact"/>
              <w:ind w:left="57" w:right="57"/>
              <w:textDirection w:val="tbRlV"/>
              <w:rPr>
                <w:i/>
                <w:sz w:val="18"/>
                <w:szCs w:val="18"/>
                <w:lang w:eastAsia="zh-TW" w:bidi="en-GB"/>
              </w:rPr>
            </w:pPr>
            <w:r w:rsidRPr="0072522F">
              <w:rPr>
                <w:i/>
                <w:iCs/>
                <w:sz w:val="18"/>
                <w:szCs w:val="18"/>
                <w:rtl/>
              </w:rPr>
              <w:t>ليتوانيا</w:t>
            </w:r>
          </w:p>
        </w:tc>
        <w:tc>
          <w:tcPr>
            <w:tcW w:w="357" w:type="dxa"/>
            <w:tcBorders>
              <w:top w:val="single" w:sz="4" w:space="0" w:color="auto"/>
              <w:bottom w:val="single" w:sz="12" w:space="0" w:color="auto"/>
            </w:tcBorders>
            <w:shd w:val="clear" w:color="auto" w:fill="auto"/>
            <w:textDirection w:val="btLr"/>
            <w:vAlign w:val="bottom"/>
          </w:tcPr>
          <w:p w14:paraId="562DE924"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مالي</w:t>
            </w:r>
          </w:p>
        </w:tc>
        <w:tc>
          <w:tcPr>
            <w:tcW w:w="324" w:type="dxa"/>
            <w:tcBorders>
              <w:top w:val="single" w:sz="4" w:space="0" w:color="auto"/>
              <w:bottom w:val="single" w:sz="12" w:space="0" w:color="auto"/>
            </w:tcBorders>
            <w:shd w:val="clear" w:color="auto" w:fill="auto"/>
            <w:textDirection w:val="btLr"/>
            <w:vAlign w:val="bottom"/>
          </w:tcPr>
          <w:p w14:paraId="3A55E6EB"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موريتانيا</w:t>
            </w:r>
          </w:p>
        </w:tc>
        <w:tc>
          <w:tcPr>
            <w:tcW w:w="483" w:type="dxa"/>
            <w:tcBorders>
              <w:top w:val="single" w:sz="4" w:space="0" w:color="auto"/>
              <w:bottom w:val="single" w:sz="12" w:space="0" w:color="auto"/>
            </w:tcBorders>
            <w:shd w:val="clear" w:color="auto" w:fill="auto"/>
            <w:textDirection w:val="btLr"/>
            <w:vAlign w:val="bottom"/>
          </w:tcPr>
          <w:p w14:paraId="0C8891E0"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المكسيك</w:t>
            </w:r>
          </w:p>
        </w:tc>
        <w:tc>
          <w:tcPr>
            <w:tcW w:w="325" w:type="dxa"/>
            <w:tcBorders>
              <w:top w:val="single" w:sz="4" w:space="0" w:color="auto"/>
              <w:bottom w:val="single" w:sz="12" w:space="0" w:color="auto"/>
            </w:tcBorders>
            <w:shd w:val="clear" w:color="auto" w:fill="auto"/>
            <w:textDirection w:val="btLr"/>
            <w:vAlign w:val="bottom"/>
          </w:tcPr>
          <w:p w14:paraId="6E51034E"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المغرب</w:t>
            </w:r>
          </w:p>
        </w:tc>
        <w:tc>
          <w:tcPr>
            <w:tcW w:w="332" w:type="dxa"/>
            <w:tcBorders>
              <w:top w:val="single" w:sz="4" w:space="0" w:color="auto"/>
              <w:bottom w:val="single" w:sz="12" w:space="0" w:color="auto"/>
            </w:tcBorders>
            <w:shd w:val="clear" w:color="auto" w:fill="auto"/>
            <w:textDirection w:val="btLr"/>
            <w:vAlign w:val="bottom"/>
          </w:tcPr>
          <w:p w14:paraId="34F8CBBC"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النيجر</w:t>
            </w:r>
          </w:p>
        </w:tc>
        <w:tc>
          <w:tcPr>
            <w:tcW w:w="426" w:type="dxa"/>
            <w:tcBorders>
              <w:top w:val="single" w:sz="4" w:space="0" w:color="auto"/>
              <w:bottom w:val="single" w:sz="12" w:space="0" w:color="auto"/>
            </w:tcBorders>
            <w:shd w:val="clear" w:color="auto" w:fill="auto"/>
            <w:textDirection w:val="btLr"/>
            <w:vAlign w:val="bottom"/>
          </w:tcPr>
          <w:p w14:paraId="47ACC3A3"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باراغواي</w:t>
            </w:r>
          </w:p>
        </w:tc>
        <w:tc>
          <w:tcPr>
            <w:tcW w:w="382" w:type="dxa"/>
            <w:tcBorders>
              <w:top w:val="single" w:sz="4" w:space="0" w:color="auto"/>
              <w:bottom w:val="single" w:sz="12" w:space="0" w:color="auto"/>
            </w:tcBorders>
            <w:shd w:val="clear" w:color="auto" w:fill="auto"/>
            <w:textDirection w:val="btLr"/>
            <w:vAlign w:val="bottom"/>
          </w:tcPr>
          <w:p w14:paraId="49DA23F9"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بيرو</w:t>
            </w:r>
          </w:p>
        </w:tc>
        <w:tc>
          <w:tcPr>
            <w:tcW w:w="326" w:type="dxa"/>
            <w:tcBorders>
              <w:top w:val="single" w:sz="4" w:space="0" w:color="auto"/>
              <w:bottom w:val="single" w:sz="12" w:space="0" w:color="auto"/>
            </w:tcBorders>
            <w:shd w:val="clear" w:color="auto" w:fill="auto"/>
            <w:textDirection w:val="btLr"/>
            <w:vAlign w:val="bottom"/>
          </w:tcPr>
          <w:p w14:paraId="50A2E68A"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سري لانكا</w:t>
            </w:r>
          </w:p>
        </w:tc>
        <w:tc>
          <w:tcPr>
            <w:tcW w:w="346" w:type="dxa"/>
            <w:tcBorders>
              <w:top w:val="single" w:sz="4" w:space="0" w:color="auto"/>
              <w:bottom w:val="single" w:sz="12" w:space="0" w:color="auto"/>
            </w:tcBorders>
            <w:shd w:val="clear" w:color="auto" w:fill="auto"/>
            <w:textDirection w:val="btLr"/>
            <w:vAlign w:val="bottom"/>
          </w:tcPr>
          <w:p w14:paraId="1473293B"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سلوفاكيا</w:t>
            </w:r>
          </w:p>
        </w:tc>
        <w:tc>
          <w:tcPr>
            <w:tcW w:w="363" w:type="dxa"/>
            <w:tcBorders>
              <w:top w:val="single" w:sz="4" w:space="0" w:color="auto"/>
              <w:bottom w:val="single" w:sz="12" w:space="0" w:color="auto"/>
            </w:tcBorders>
            <w:shd w:val="clear" w:color="auto" w:fill="auto"/>
            <w:textDirection w:val="btLr"/>
            <w:vAlign w:val="bottom"/>
          </w:tcPr>
          <w:p w14:paraId="210181E5" w14:textId="77777777" w:rsidR="00971B29" w:rsidRPr="0072522F" w:rsidRDefault="00971B29" w:rsidP="0072522F">
            <w:pPr>
              <w:spacing w:before="20" w:after="40" w:line="300" w:lineRule="exact"/>
              <w:ind w:left="57" w:right="57"/>
              <w:textDirection w:val="tbRlV"/>
              <w:rPr>
                <w:i/>
                <w:sz w:val="18"/>
                <w:szCs w:val="18"/>
                <w:lang w:eastAsia="zh-TW" w:bidi="en-GB"/>
              </w:rPr>
            </w:pPr>
            <w:r w:rsidRPr="0072522F">
              <w:rPr>
                <w:i/>
                <w:iCs/>
                <w:sz w:val="18"/>
                <w:szCs w:val="18"/>
                <w:rtl/>
              </w:rPr>
              <w:t>توغو</w:t>
            </w:r>
          </w:p>
        </w:tc>
        <w:tc>
          <w:tcPr>
            <w:tcW w:w="393" w:type="dxa"/>
            <w:tcBorders>
              <w:top w:val="single" w:sz="4" w:space="0" w:color="auto"/>
              <w:bottom w:val="single" w:sz="12" w:space="0" w:color="auto"/>
            </w:tcBorders>
            <w:shd w:val="clear" w:color="auto" w:fill="auto"/>
            <w:textDirection w:val="btLr"/>
            <w:vAlign w:val="bottom"/>
          </w:tcPr>
          <w:p w14:paraId="51E0F047" w14:textId="77777777" w:rsidR="00971B29" w:rsidRPr="0072522F" w:rsidRDefault="00971B29" w:rsidP="0072522F">
            <w:pPr>
              <w:spacing w:before="20" w:after="40" w:line="300" w:lineRule="exact"/>
              <w:ind w:left="57" w:right="57"/>
              <w:textDirection w:val="tbRlV"/>
              <w:rPr>
                <w:i/>
                <w:sz w:val="18"/>
                <w:szCs w:val="18"/>
                <w:lang w:val="ar-SA" w:eastAsia="zh-TW" w:bidi="en-GB"/>
              </w:rPr>
            </w:pPr>
            <w:r w:rsidRPr="0072522F">
              <w:rPr>
                <w:i/>
                <w:iCs/>
                <w:sz w:val="18"/>
                <w:szCs w:val="18"/>
                <w:rtl/>
              </w:rPr>
              <w:t>تونس</w:t>
            </w:r>
          </w:p>
        </w:tc>
        <w:tc>
          <w:tcPr>
            <w:tcW w:w="599" w:type="dxa"/>
            <w:tcBorders>
              <w:top w:val="single" w:sz="4" w:space="0" w:color="auto"/>
              <w:bottom w:val="single" w:sz="12" w:space="0" w:color="auto"/>
            </w:tcBorders>
            <w:shd w:val="clear" w:color="auto" w:fill="auto"/>
            <w:tcMar>
              <w:right w:w="28" w:type="dxa"/>
            </w:tcMar>
            <w:vAlign w:val="bottom"/>
          </w:tcPr>
          <w:p w14:paraId="3D6EB593" w14:textId="77777777" w:rsidR="00971B29" w:rsidRPr="0072522F" w:rsidRDefault="00971B29" w:rsidP="0072522F">
            <w:pPr>
              <w:spacing w:before="20" w:after="40" w:line="300" w:lineRule="exact"/>
              <w:ind w:left="57"/>
              <w:textDirection w:val="tbRlV"/>
              <w:rPr>
                <w:b/>
                <w:bCs/>
                <w:i/>
                <w:sz w:val="18"/>
                <w:szCs w:val="18"/>
                <w:lang w:val="ar-SA" w:eastAsia="zh-TW" w:bidi="en-GB"/>
              </w:rPr>
            </w:pPr>
            <w:r w:rsidRPr="0072522F">
              <w:rPr>
                <w:b/>
                <w:bCs/>
                <w:i/>
                <w:iCs/>
                <w:sz w:val="18"/>
                <w:szCs w:val="18"/>
                <w:rtl/>
              </w:rPr>
              <w:t>المجموع</w:t>
            </w:r>
          </w:p>
        </w:tc>
      </w:tr>
      <w:tr w:rsidR="00971B29" w:rsidRPr="0072522F" w14:paraId="17D3ECFF" w14:textId="77777777" w:rsidTr="0072522F">
        <w:tc>
          <w:tcPr>
            <w:tcW w:w="648" w:type="dxa"/>
            <w:tcBorders>
              <w:top w:val="single" w:sz="12" w:space="0" w:color="auto"/>
            </w:tcBorders>
            <w:shd w:val="clear" w:color="auto" w:fill="auto"/>
          </w:tcPr>
          <w:p w14:paraId="26F1537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2012</w:t>
            </w:r>
          </w:p>
        </w:tc>
        <w:tc>
          <w:tcPr>
            <w:tcW w:w="325" w:type="dxa"/>
            <w:tcBorders>
              <w:top w:val="single" w:sz="12" w:space="0" w:color="auto"/>
            </w:tcBorders>
            <w:shd w:val="clear" w:color="auto" w:fill="auto"/>
            <w:tcMar>
              <w:right w:w="28" w:type="dxa"/>
            </w:tcMar>
            <w:vAlign w:val="bottom"/>
          </w:tcPr>
          <w:p w14:paraId="131C6543"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tcBorders>
              <w:top w:val="single" w:sz="12" w:space="0" w:color="auto"/>
            </w:tcBorders>
            <w:shd w:val="clear" w:color="auto" w:fill="auto"/>
            <w:tcMar>
              <w:right w:w="28" w:type="dxa"/>
            </w:tcMar>
            <w:vAlign w:val="bottom"/>
          </w:tcPr>
          <w:p w14:paraId="43656B12"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tcBorders>
              <w:top w:val="single" w:sz="12" w:space="0" w:color="auto"/>
            </w:tcBorders>
            <w:shd w:val="clear" w:color="auto" w:fill="auto"/>
            <w:vAlign w:val="bottom"/>
          </w:tcPr>
          <w:p w14:paraId="24C96011"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tcBorders>
              <w:top w:val="single" w:sz="12" w:space="0" w:color="auto"/>
            </w:tcBorders>
            <w:shd w:val="clear" w:color="auto" w:fill="auto"/>
            <w:tcMar>
              <w:right w:w="28" w:type="dxa"/>
            </w:tcMar>
            <w:vAlign w:val="bottom"/>
          </w:tcPr>
          <w:p w14:paraId="5C772D7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tcBorders>
              <w:top w:val="single" w:sz="12" w:space="0" w:color="auto"/>
            </w:tcBorders>
            <w:shd w:val="clear" w:color="auto" w:fill="auto"/>
            <w:vAlign w:val="bottom"/>
          </w:tcPr>
          <w:p w14:paraId="6317038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tcBorders>
              <w:top w:val="single" w:sz="12" w:space="0" w:color="auto"/>
            </w:tcBorders>
            <w:shd w:val="clear" w:color="auto" w:fill="auto"/>
            <w:tcMar>
              <w:right w:w="28" w:type="dxa"/>
            </w:tcMar>
            <w:vAlign w:val="bottom"/>
          </w:tcPr>
          <w:p w14:paraId="04EFCDE2"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53" w:type="dxa"/>
            <w:tcBorders>
              <w:top w:val="single" w:sz="12" w:space="0" w:color="auto"/>
            </w:tcBorders>
            <w:shd w:val="clear" w:color="auto" w:fill="auto"/>
            <w:tcMar>
              <w:right w:w="28" w:type="dxa"/>
            </w:tcMar>
            <w:vAlign w:val="bottom"/>
          </w:tcPr>
          <w:p w14:paraId="7EB9F72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56" w:type="dxa"/>
            <w:tcBorders>
              <w:top w:val="single" w:sz="12" w:space="0" w:color="auto"/>
            </w:tcBorders>
            <w:shd w:val="clear" w:color="auto" w:fill="auto"/>
            <w:tcMar>
              <w:right w:w="28" w:type="dxa"/>
            </w:tcMar>
            <w:vAlign w:val="bottom"/>
          </w:tcPr>
          <w:p w14:paraId="3F4C22E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9" w:type="dxa"/>
            <w:tcBorders>
              <w:top w:val="single" w:sz="12" w:space="0" w:color="auto"/>
            </w:tcBorders>
            <w:shd w:val="clear" w:color="auto" w:fill="auto"/>
            <w:tcMar>
              <w:right w:w="28" w:type="dxa"/>
            </w:tcMar>
            <w:vAlign w:val="bottom"/>
          </w:tcPr>
          <w:p w14:paraId="66E4FD7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66" w:type="dxa"/>
            <w:tcBorders>
              <w:top w:val="single" w:sz="12" w:space="0" w:color="auto"/>
            </w:tcBorders>
            <w:shd w:val="clear" w:color="auto" w:fill="auto"/>
            <w:tcMar>
              <w:right w:w="28" w:type="dxa"/>
            </w:tcMar>
            <w:vAlign w:val="bottom"/>
          </w:tcPr>
          <w:p w14:paraId="79DCCBD7"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84" w:type="dxa"/>
            <w:tcBorders>
              <w:top w:val="single" w:sz="12" w:space="0" w:color="auto"/>
            </w:tcBorders>
            <w:shd w:val="clear" w:color="auto" w:fill="auto"/>
            <w:tcMar>
              <w:right w:w="28" w:type="dxa"/>
            </w:tcMar>
            <w:vAlign w:val="bottom"/>
          </w:tcPr>
          <w:p w14:paraId="268502D9"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05" w:type="dxa"/>
            <w:tcBorders>
              <w:top w:val="single" w:sz="12" w:space="0" w:color="auto"/>
            </w:tcBorders>
            <w:shd w:val="clear" w:color="auto" w:fill="auto"/>
            <w:tcMar>
              <w:right w:w="28" w:type="dxa"/>
            </w:tcMar>
            <w:vAlign w:val="bottom"/>
          </w:tcPr>
          <w:p w14:paraId="57CB0F87"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57" w:type="dxa"/>
            <w:tcBorders>
              <w:top w:val="single" w:sz="12" w:space="0" w:color="auto"/>
            </w:tcBorders>
            <w:shd w:val="clear" w:color="auto" w:fill="auto"/>
            <w:vAlign w:val="bottom"/>
          </w:tcPr>
          <w:p w14:paraId="241F9FF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tcBorders>
              <w:top w:val="single" w:sz="12" w:space="0" w:color="auto"/>
            </w:tcBorders>
            <w:shd w:val="clear" w:color="auto" w:fill="auto"/>
            <w:tcMar>
              <w:right w:w="28" w:type="dxa"/>
            </w:tcMar>
            <w:vAlign w:val="bottom"/>
          </w:tcPr>
          <w:p w14:paraId="6C477142"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83" w:type="dxa"/>
            <w:tcBorders>
              <w:top w:val="single" w:sz="12" w:space="0" w:color="auto"/>
            </w:tcBorders>
            <w:shd w:val="clear" w:color="auto" w:fill="auto"/>
            <w:tcMar>
              <w:right w:w="28" w:type="dxa"/>
            </w:tcMar>
            <w:vAlign w:val="bottom"/>
          </w:tcPr>
          <w:p w14:paraId="0BD0DE3A"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5</w:t>
            </w:r>
          </w:p>
        </w:tc>
        <w:tc>
          <w:tcPr>
            <w:tcW w:w="325" w:type="dxa"/>
            <w:tcBorders>
              <w:top w:val="single" w:sz="12" w:space="0" w:color="auto"/>
            </w:tcBorders>
            <w:shd w:val="clear" w:color="auto" w:fill="auto"/>
            <w:tcMar>
              <w:right w:w="28" w:type="dxa"/>
            </w:tcMar>
            <w:vAlign w:val="bottom"/>
          </w:tcPr>
          <w:p w14:paraId="66EA044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32" w:type="dxa"/>
            <w:tcBorders>
              <w:top w:val="single" w:sz="12" w:space="0" w:color="auto"/>
            </w:tcBorders>
            <w:shd w:val="clear" w:color="auto" w:fill="auto"/>
            <w:vAlign w:val="bottom"/>
          </w:tcPr>
          <w:p w14:paraId="3AB1F965"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6" w:type="dxa"/>
            <w:tcBorders>
              <w:top w:val="single" w:sz="12" w:space="0" w:color="auto"/>
            </w:tcBorders>
            <w:shd w:val="clear" w:color="auto" w:fill="auto"/>
            <w:vAlign w:val="bottom"/>
          </w:tcPr>
          <w:p w14:paraId="58B971F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82" w:type="dxa"/>
            <w:tcBorders>
              <w:top w:val="single" w:sz="12" w:space="0" w:color="auto"/>
            </w:tcBorders>
            <w:shd w:val="clear" w:color="auto" w:fill="auto"/>
            <w:vAlign w:val="bottom"/>
          </w:tcPr>
          <w:p w14:paraId="5D567F4D"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6" w:type="dxa"/>
            <w:tcBorders>
              <w:top w:val="single" w:sz="12" w:space="0" w:color="auto"/>
            </w:tcBorders>
            <w:shd w:val="clear" w:color="auto" w:fill="auto"/>
            <w:tcMar>
              <w:right w:w="28" w:type="dxa"/>
            </w:tcMar>
            <w:vAlign w:val="bottom"/>
          </w:tcPr>
          <w:p w14:paraId="5A5E93F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46" w:type="dxa"/>
            <w:tcBorders>
              <w:top w:val="single" w:sz="12" w:space="0" w:color="auto"/>
            </w:tcBorders>
            <w:shd w:val="clear" w:color="auto" w:fill="auto"/>
            <w:vAlign w:val="bottom"/>
          </w:tcPr>
          <w:p w14:paraId="7960947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63" w:type="dxa"/>
            <w:tcBorders>
              <w:top w:val="single" w:sz="12" w:space="0" w:color="auto"/>
            </w:tcBorders>
            <w:shd w:val="clear" w:color="auto" w:fill="auto"/>
            <w:tcMar>
              <w:right w:w="28" w:type="dxa"/>
            </w:tcMar>
            <w:vAlign w:val="bottom"/>
          </w:tcPr>
          <w:p w14:paraId="092CC2F2"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93" w:type="dxa"/>
            <w:tcBorders>
              <w:top w:val="single" w:sz="12" w:space="0" w:color="auto"/>
            </w:tcBorders>
            <w:shd w:val="clear" w:color="auto" w:fill="auto"/>
            <w:tcMar>
              <w:right w:w="28" w:type="dxa"/>
            </w:tcMar>
            <w:vAlign w:val="bottom"/>
          </w:tcPr>
          <w:p w14:paraId="153F816D"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599" w:type="dxa"/>
            <w:tcBorders>
              <w:top w:val="single" w:sz="12" w:space="0" w:color="auto"/>
            </w:tcBorders>
            <w:shd w:val="clear" w:color="auto" w:fill="auto"/>
            <w:tcMar>
              <w:right w:w="28" w:type="dxa"/>
            </w:tcMar>
            <w:vAlign w:val="bottom"/>
          </w:tcPr>
          <w:p w14:paraId="4054FF53" w14:textId="77777777" w:rsidR="00971B29" w:rsidRPr="0072522F" w:rsidRDefault="00971B29" w:rsidP="0072522F">
            <w:pPr>
              <w:spacing w:before="20" w:after="40" w:line="300" w:lineRule="exact"/>
              <w:ind w:left="57"/>
              <w:textDirection w:val="tbRlV"/>
              <w:rPr>
                <w:b/>
                <w:bCs/>
                <w:sz w:val="18"/>
                <w:szCs w:val="18"/>
              </w:rPr>
            </w:pPr>
            <w:r w:rsidRPr="0072522F">
              <w:rPr>
                <w:b/>
                <w:bCs/>
                <w:sz w:val="18"/>
                <w:szCs w:val="18"/>
                <w:rtl/>
              </w:rPr>
              <w:t>5</w:t>
            </w:r>
          </w:p>
        </w:tc>
      </w:tr>
      <w:tr w:rsidR="00971B29" w:rsidRPr="0072522F" w14:paraId="481703A1" w14:textId="77777777" w:rsidTr="0072522F">
        <w:tc>
          <w:tcPr>
            <w:tcW w:w="648" w:type="dxa"/>
            <w:shd w:val="clear" w:color="auto" w:fill="auto"/>
          </w:tcPr>
          <w:p w14:paraId="38379DF2"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2013</w:t>
            </w:r>
          </w:p>
        </w:tc>
        <w:tc>
          <w:tcPr>
            <w:tcW w:w="325" w:type="dxa"/>
            <w:shd w:val="clear" w:color="auto" w:fill="auto"/>
            <w:tcMar>
              <w:right w:w="28" w:type="dxa"/>
            </w:tcMar>
            <w:vAlign w:val="bottom"/>
          </w:tcPr>
          <w:p w14:paraId="48B3264E"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1BD14C9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vAlign w:val="bottom"/>
          </w:tcPr>
          <w:p w14:paraId="4772FC11"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213CE42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vAlign w:val="bottom"/>
          </w:tcPr>
          <w:p w14:paraId="38098D0D"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6175003D"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53" w:type="dxa"/>
            <w:shd w:val="clear" w:color="auto" w:fill="auto"/>
            <w:tcMar>
              <w:right w:w="28" w:type="dxa"/>
            </w:tcMar>
            <w:vAlign w:val="bottom"/>
          </w:tcPr>
          <w:p w14:paraId="6097202A"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56" w:type="dxa"/>
            <w:shd w:val="clear" w:color="auto" w:fill="auto"/>
            <w:tcMar>
              <w:right w:w="28" w:type="dxa"/>
            </w:tcMar>
            <w:vAlign w:val="bottom"/>
          </w:tcPr>
          <w:p w14:paraId="20B9DCB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9" w:type="dxa"/>
            <w:shd w:val="clear" w:color="auto" w:fill="auto"/>
            <w:tcMar>
              <w:right w:w="28" w:type="dxa"/>
            </w:tcMar>
            <w:vAlign w:val="bottom"/>
          </w:tcPr>
          <w:p w14:paraId="15549905"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66" w:type="dxa"/>
            <w:shd w:val="clear" w:color="auto" w:fill="auto"/>
            <w:tcMar>
              <w:right w:w="28" w:type="dxa"/>
            </w:tcMar>
            <w:vAlign w:val="bottom"/>
          </w:tcPr>
          <w:p w14:paraId="697F0E0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84" w:type="dxa"/>
            <w:shd w:val="clear" w:color="auto" w:fill="auto"/>
            <w:tcMar>
              <w:right w:w="28" w:type="dxa"/>
            </w:tcMar>
            <w:vAlign w:val="bottom"/>
          </w:tcPr>
          <w:p w14:paraId="4A4B4CF6"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05" w:type="dxa"/>
            <w:shd w:val="clear" w:color="auto" w:fill="auto"/>
            <w:tcMar>
              <w:right w:w="28" w:type="dxa"/>
            </w:tcMar>
            <w:vAlign w:val="bottom"/>
          </w:tcPr>
          <w:p w14:paraId="45D44857"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57" w:type="dxa"/>
            <w:shd w:val="clear" w:color="auto" w:fill="auto"/>
            <w:vAlign w:val="bottom"/>
          </w:tcPr>
          <w:p w14:paraId="7BE81CAD"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tcMar>
              <w:right w:w="28" w:type="dxa"/>
            </w:tcMar>
            <w:vAlign w:val="bottom"/>
          </w:tcPr>
          <w:p w14:paraId="12A1085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83" w:type="dxa"/>
            <w:shd w:val="clear" w:color="auto" w:fill="auto"/>
            <w:tcMar>
              <w:right w:w="28" w:type="dxa"/>
            </w:tcMar>
            <w:vAlign w:val="bottom"/>
          </w:tcPr>
          <w:p w14:paraId="46C9D63C"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4</w:t>
            </w:r>
          </w:p>
        </w:tc>
        <w:tc>
          <w:tcPr>
            <w:tcW w:w="325" w:type="dxa"/>
            <w:shd w:val="clear" w:color="auto" w:fill="auto"/>
            <w:tcMar>
              <w:right w:w="28" w:type="dxa"/>
            </w:tcMar>
            <w:vAlign w:val="bottom"/>
          </w:tcPr>
          <w:p w14:paraId="482C9376"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32" w:type="dxa"/>
            <w:shd w:val="clear" w:color="auto" w:fill="auto"/>
            <w:vAlign w:val="bottom"/>
          </w:tcPr>
          <w:p w14:paraId="712203A2"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6" w:type="dxa"/>
            <w:shd w:val="clear" w:color="auto" w:fill="auto"/>
            <w:vAlign w:val="bottom"/>
          </w:tcPr>
          <w:p w14:paraId="40F26206"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82" w:type="dxa"/>
            <w:shd w:val="clear" w:color="auto" w:fill="auto"/>
            <w:vAlign w:val="bottom"/>
          </w:tcPr>
          <w:p w14:paraId="2DA769E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6" w:type="dxa"/>
            <w:shd w:val="clear" w:color="auto" w:fill="auto"/>
            <w:tcMar>
              <w:right w:w="28" w:type="dxa"/>
            </w:tcMar>
            <w:vAlign w:val="bottom"/>
          </w:tcPr>
          <w:p w14:paraId="0A96A813"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46" w:type="dxa"/>
            <w:shd w:val="clear" w:color="auto" w:fill="auto"/>
            <w:vAlign w:val="bottom"/>
          </w:tcPr>
          <w:p w14:paraId="50BA9C9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63" w:type="dxa"/>
            <w:shd w:val="clear" w:color="auto" w:fill="auto"/>
            <w:tcMar>
              <w:right w:w="28" w:type="dxa"/>
            </w:tcMar>
            <w:vAlign w:val="bottom"/>
          </w:tcPr>
          <w:p w14:paraId="221750B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93" w:type="dxa"/>
            <w:shd w:val="clear" w:color="auto" w:fill="auto"/>
            <w:tcMar>
              <w:right w:w="28" w:type="dxa"/>
            </w:tcMar>
            <w:vAlign w:val="bottom"/>
          </w:tcPr>
          <w:p w14:paraId="737F2A01"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599" w:type="dxa"/>
            <w:shd w:val="clear" w:color="auto" w:fill="auto"/>
            <w:tcMar>
              <w:right w:w="28" w:type="dxa"/>
            </w:tcMar>
            <w:vAlign w:val="bottom"/>
          </w:tcPr>
          <w:p w14:paraId="707B5FCC" w14:textId="77777777" w:rsidR="00971B29" w:rsidRPr="0072522F" w:rsidRDefault="00971B29" w:rsidP="0072522F">
            <w:pPr>
              <w:spacing w:before="20" w:after="40" w:line="300" w:lineRule="exact"/>
              <w:ind w:left="57"/>
              <w:textDirection w:val="tbRlV"/>
              <w:rPr>
                <w:b/>
                <w:bCs/>
                <w:sz w:val="18"/>
                <w:szCs w:val="18"/>
              </w:rPr>
            </w:pPr>
            <w:r w:rsidRPr="0072522F">
              <w:rPr>
                <w:b/>
                <w:bCs/>
                <w:sz w:val="18"/>
                <w:szCs w:val="18"/>
                <w:rtl/>
              </w:rPr>
              <w:t>5</w:t>
            </w:r>
          </w:p>
        </w:tc>
      </w:tr>
      <w:tr w:rsidR="00971B29" w:rsidRPr="0072522F" w14:paraId="06ADDADF" w14:textId="77777777" w:rsidTr="0072522F">
        <w:tc>
          <w:tcPr>
            <w:tcW w:w="648" w:type="dxa"/>
            <w:shd w:val="clear" w:color="auto" w:fill="auto"/>
          </w:tcPr>
          <w:p w14:paraId="35F30E55"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2014</w:t>
            </w:r>
          </w:p>
        </w:tc>
        <w:tc>
          <w:tcPr>
            <w:tcW w:w="325" w:type="dxa"/>
            <w:shd w:val="clear" w:color="auto" w:fill="auto"/>
            <w:tcMar>
              <w:right w:w="28" w:type="dxa"/>
            </w:tcMar>
            <w:vAlign w:val="bottom"/>
          </w:tcPr>
          <w:p w14:paraId="48799A5C"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7C23A032"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vAlign w:val="bottom"/>
          </w:tcPr>
          <w:p w14:paraId="7DC5AA2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231C9985"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24" w:type="dxa"/>
            <w:shd w:val="clear" w:color="auto" w:fill="auto"/>
            <w:vAlign w:val="bottom"/>
          </w:tcPr>
          <w:p w14:paraId="1B3A3B97"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240CD325"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453" w:type="dxa"/>
            <w:shd w:val="clear" w:color="auto" w:fill="auto"/>
            <w:tcMar>
              <w:right w:w="28" w:type="dxa"/>
            </w:tcMar>
            <w:vAlign w:val="bottom"/>
          </w:tcPr>
          <w:p w14:paraId="1B0CEA44"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56" w:type="dxa"/>
            <w:shd w:val="clear" w:color="auto" w:fill="auto"/>
            <w:tcMar>
              <w:right w:w="28" w:type="dxa"/>
            </w:tcMar>
            <w:vAlign w:val="bottom"/>
          </w:tcPr>
          <w:p w14:paraId="5983F28A"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9" w:type="dxa"/>
            <w:shd w:val="clear" w:color="auto" w:fill="auto"/>
            <w:tcMar>
              <w:right w:w="28" w:type="dxa"/>
            </w:tcMar>
            <w:vAlign w:val="bottom"/>
          </w:tcPr>
          <w:p w14:paraId="35FC8F0C"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66" w:type="dxa"/>
            <w:shd w:val="clear" w:color="auto" w:fill="auto"/>
            <w:tcMar>
              <w:right w:w="28" w:type="dxa"/>
            </w:tcMar>
            <w:vAlign w:val="bottom"/>
          </w:tcPr>
          <w:p w14:paraId="35087CF4"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5</w:t>
            </w:r>
          </w:p>
        </w:tc>
        <w:tc>
          <w:tcPr>
            <w:tcW w:w="384" w:type="dxa"/>
            <w:shd w:val="clear" w:color="auto" w:fill="auto"/>
            <w:tcMar>
              <w:right w:w="28" w:type="dxa"/>
            </w:tcMar>
            <w:vAlign w:val="bottom"/>
          </w:tcPr>
          <w:p w14:paraId="21AE5BF5"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05" w:type="dxa"/>
            <w:shd w:val="clear" w:color="auto" w:fill="auto"/>
            <w:tcMar>
              <w:right w:w="28" w:type="dxa"/>
            </w:tcMar>
            <w:vAlign w:val="bottom"/>
          </w:tcPr>
          <w:p w14:paraId="390A8C23"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57" w:type="dxa"/>
            <w:shd w:val="clear" w:color="auto" w:fill="auto"/>
            <w:vAlign w:val="bottom"/>
          </w:tcPr>
          <w:p w14:paraId="64AEF527"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tcMar>
              <w:right w:w="28" w:type="dxa"/>
            </w:tcMar>
            <w:vAlign w:val="bottom"/>
          </w:tcPr>
          <w:p w14:paraId="26FFBC3A"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83" w:type="dxa"/>
            <w:shd w:val="clear" w:color="auto" w:fill="auto"/>
            <w:tcMar>
              <w:right w:w="28" w:type="dxa"/>
            </w:tcMar>
            <w:vAlign w:val="bottom"/>
          </w:tcPr>
          <w:p w14:paraId="3BE4B57E"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43</w:t>
            </w:r>
          </w:p>
        </w:tc>
        <w:tc>
          <w:tcPr>
            <w:tcW w:w="325" w:type="dxa"/>
            <w:shd w:val="clear" w:color="auto" w:fill="auto"/>
            <w:tcMar>
              <w:right w:w="28" w:type="dxa"/>
            </w:tcMar>
            <w:vAlign w:val="bottom"/>
          </w:tcPr>
          <w:p w14:paraId="501373F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32" w:type="dxa"/>
            <w:shd w:val="clear" w:color="auto" w:fill="auto"/>
            <w:vAlign w:val="bottom"/>
          </w:tcPr>
          <w:p w14:paraId="1555D395"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6" w:type="dxa"/>
            <w:shd w:val="clear" w:color="auto" w:fill="auto"/>
            <w:vAlign w:val="bottom"/>
          </w:tcPr>
          <w:p w14:paraId="18A2BBB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82" w:type="dxa"/>
            <w:shd w:val="clear" w:color="auto" w:fill="auto"/>
            <w:vAlign w:val="bottom"/>
          </w:tcPr>
          <w:p w14:paraId="36084B59"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6" w:type="dxa"/>
            <w:shd w:val="clear" w:color="auto" w:fill="auto"/>
            <w:tcMar>
              <w:right w:w="28" w:type="dxa"/>
            </w:tcMar>
            <w:vAlign w:val="bottom"/>
          </w:tcPr>
          <w:p w14:paraId="773F767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46" w:type="dxa"/>
            <w:shd w:val="clear" w:color="auto" w:fill="auto"/>
            <w:vAlign w:val="bottom"/>
          </w:tcPr>
          <w:p w14:paraId="58AF901C"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63" w:type="dxa"/>
            <w:shd w:val="clear" w:color="auto" w:fill="auto"/>
            <w:tcMar>
              <w:right w:w="28" w:type="dxa"/>
            </w:tcMar>
            <w:vAlign w:val="bottom"/>
          </w:tcPr>
          <w:p w14:paraId="623871E3"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93" w:type="dxa"/>
            <w:shd w:val="clear" w:color="auto" w:fill="auto"/>
            <w:tcMar>
              <w:right w:w="28" w:type="dxa"/>
            </w:tcMar>
            <w:vAlign w:val="bottom"/>
          </w:tcPr>
          <w:p w14:paraId="2A760B0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599" w:type="dxa"/>
            <w:shd w:val="clear" w:color="auto" w:fill="auto"/>
            <w:tcMar>
              <w:right w:w="28" w:type="dxa"/>
            </w:tcMar>
            <w:vAlign w:val="bottom"/>
          </w:tcPr>
          <w:p w14:paraId="0D90CA4E" w14:textId="77777777" w:rsidR="00971B29" w:rsidRPr="0072522F" w:rsidRDefault="00971B29" w:rsidP="0072522F">
            <w:pPr>
              <w:spacing w:before="20" w:after="40" w:line="300" w:lineRule="exact"/>
              <w:ind w:left="57"/>
              <w:textDirection w:val="tbRlV"/>
              <w:rPr>
                <w:b/>
                <w:bCs/>
                <w:sz w:val="18"/>
                <w:szCs w:val="18"/>
                <w:lang w:val="ar-SA" w:eastAsia="zh-TW" w:bidi="en-GB"/>
              </w:rPr>
            </w:pPr>
            <w:r w:rsidRPr="0072522F">
              <w:rPr>
                <w:b/>
                <w:bCs/>
                <w:sz w:val="18"/>
                <w:szCs w:val="18"/>
                <w:rtl/>
              </w:rPr>
              <w:t>51</w:t>
            </w:r>
          </w:p>
        </w:tc>
      </w:tr>
      <w:tr w:rsidR="00971B29" w:rsidRPr="0072522F" w14:paraId="6B76EA4E" w14:textId="77777777" w:rsidTr="0072522F">
        <w:tc>
          <w:tcPr>
            <w:tcW w:w="648" w:type="dxa"/>
            <w:shd w:val="clear" w:color="auto" w:fill="auto"/>
          </w:tcPr>
          <w:p w14:paraId="56B249E5"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2015</w:t>
            </w:r>
          </w:p>
        </w:tc>
        <w:tc>
          <w:tcPr>
            <w:tcW w:w="325" w:type="dxa"/>
            <w:shd w:val="clear" w:color="auto" w:fill="auto"/>
            <w:tcMar>
              <w:right w:w="28" w:type="dxa"/>
            </w:tcMar>
            <w:vAlign w:val="bottom"/>
          </w:tcPr>
          <w:p w14:paraId="10C9A877"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2350A1A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vAlign w:val="bottom"/>
          </w:tcPr>
          <w:p w14:paraId="6755E432"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65204746"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vAlign w:val="bottom"/>
          </w:tcPr>
          <w:p w14:paraId="225B44F6"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227166DD"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53" w:type="dxa"/>
            <w:shd w:val="clear" w:color="auto" w:fill="auto"/>
            <w:tcMar>
              <w:right w:w="28" w:type="dxa"/>
            </w:tcMar>
            <w:vAlign w:val="bottom"/>
          </w:tcPr>
          <w:p w14:paraId="7383E96C"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3</w:t>
            </w:r>
          </w:p>
        </w:tc>
        <w:tc>
          <w:tcPr>
            <w:tcW w:w="356" w:type="dxa"/>
            <w:shd w:val="clear" w:color="auto" w:fill="auto"/>
            <w:tcMar>
              <w:right w:w="28" w:type="dxa"/>
            </w:tcMar>
            <w:vAlign w:val="bottom"/>
          </w:tcPr>
          <w:p w14:paraId="269EDCD5"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9" w:type="dxa"/>
            <w:shd w:val="clear" w:color="auto" w:fill="auto"/>
            <w:tcMar>
              <w:right w:w="28" w:type="dxa"/>
            </w:tcMar>
            <w:vAlign w:val="bottom"/>
          </w:tcPr>
          <w:p w14:paraId="378A8FF3"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66" w:type="dxa"/>
            <w:shd w:val="clear" w:color="auto" w:fill="auto"/>
            <w:tcMar>
              <w:right w:w="28" w:type="dxa"/>
            </w:tcMar>
            <w:vAlign w:val="bottom"/>
          </w:tcPr>
          <w:p w14:paraId="59C13C6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42</w:t>
            </w:r>
          </w:p>
        </w:tc>
        <w:tc>
          <w:tcPr>
            <w:tcW w:w="384" w:type="dxa"/>
            <w:shd w:val="clear" w:color="auto" w:fill="auto"/>
            <w:tcMar>
              <w:right w:w="28" w:type="dxa"/>
            </w:tcMar>
            <w:vAlign w:val="bottom"/>
          </w:tcPr>
          <w:p w14:paraId="65386263"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05" w:type="dxa"/>
            <w:shd w:val="clear" w:color="auto" w:fill="auto"/>
            <w:tcMar>
              <w:right w:w="28" w:type="dxa"/>
            </w:tcMar>
            <w:vAlign w:val="bottom"/>
          </w:tcPr>
          <w:p w14:paraId="3F2357AA"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57" w:type="dxa"/>
            <w:shd w:val="clear" w:color="auto" w:fill="auto"/>
            <w:vAlign w:val="bottom"/>
          </w:tcPr>
          <w:p w14:paraId="49E6FD95"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tcMar>
              <w:right w:w="28" w:type="dxa"/>
            </w:tcMar>
            <w:vAlign w:val="bottom"/>
          </w:tcPr>
          <w:p w14:paraId="3D9B1B6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83" w:type="dxa"/>
            <w:shd w:val="clear" w:color="auto" w:fill="auto"/>
            <w:tcMar>
              <w:right w:w="28" w:type="dxa"/>
            </w:tcMar>
            <w:vAlign w:val="bottom"/>
          </w:tcPr>
          <w:p w14:paraId="0276922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166</w:t>
            </w:r>
          </w:p>
        </w:tc>
        <w:tc>
          <w:tcPr>
            <w:tcW w:w="325" w:type="dxa"/>
            <w:shd w:val="clear" w:color="auto" w:fill="auto"/>
            <w:tcMar>
              <w:right w:w="28" w:type="dxa"/>
            </w:tcMar>
            <w:vAlign w:val="bottom"/>
          </w:tcPr>
          <w:p w14:paraId="19D11525"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32" w:type="dxa"/>
            <w:shd w:val="clear" w:color="auto" w:fill="auto"/>
            <w:vAlign w:val="bottom"/>
          </w:tcPr>
          <w:p w14:paraId="0524EA6A"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6" w:type="dxa"/>
            <w:shd w:val="clear" w:color="auto" w:fill="auto"/>
            <w:vAlign w:val="bottom"/>
          </w:tcPr>
          <w:p w14:paraId="744190F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82" w:type="dxa"/>
            <w:shd w:val="clear" w:color="auto" w:fill="auto"/>
            <w:vAlign w:val="bottom"/>
          </w:tcPr>
          <w:p w14:paraId="12623C61"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6" w:type="dxa"/>
            <w:shd w:val="clear" w:color="auto" w:fill="auto"/>
            <w:tcMar>
              <w:right w:w="28" w:type="dxa"/>
            </w:tcMar>
            <w:vAlign w:val="bottom"/>
          </w:tcPr>
          <w:p w14:paraId="5DB30C02"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46" w:type="dxa"/>
            <w:shd w:val="clear" w:color="auto" w:fill="auto"/>
            <w:vAlign w:val="bottom"/>
          </w:tcPr>
          <w:p w14:paraId="38E0A076"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63" w:type="dxa"/>
            <w:shd w:val="clear" w:color="auto" w:fill="auto"/>
            <w:tcMar>
              <w:right w:w="28" w:type="dxa"/>
            </w:tcMar>
            <w:vAlign w:val="bottom"/>
          </w:tcPr>
          <w:p w14:paraId="1C78B2C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93" w:type="dxa"/>
            <w:shd w:val="clear" w:color="auto" w:fill="auto"/>
            <w:tcMar>
              <w:right w:w="28" w:type="dxa"/>
            </w:tcMar>
            <w:vAlign w:val="bottom"/>
          </w:tcPr>
          <w:p w14:paraId="5D6E281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599" w:type="dxa"/>
            <w:shd w:val="clear" w:color="auto" w:fill="auto"/>
            <w:tcMar>
              <w:right w:w="28" w:type="dxa"/>
            </w:tcMar>
            <w:vAlign w:val="bottom"/>
          </w:tcPr>
          <w:p w14:paraId="66051155" w14:textId="77777777" w:rsidR="00971B29" w:rsidRPr="0072522F" w:rsidRDefault="00971B29" w:rsidP="0072522F">
            <w:pPr>
              <w:spacing w:before="20" w:after="40" w:line="300" w:lineRule="exact"/>
              <w:ind w:left="57"/>
              <w:textDirection w:val="tbRlV"/>
              <w:rPr>
                <w:b/>
                <w:bCs/>
                <w:sz w:val="18"/>
                <w:szCs w:val="18"/>
                <w:lang w:val="ar-SA" w:eastAsia="zh-TW" w:bidi="en-GB"/>
              </w:rPr>
            </w:pPr>
            <w:r w:rsidRPr="0072522F">
              <w:rPr>
                <w:b/>
                <w:bCs/>
                <w:sz w:val="18"/>
                <w:szCs w:val="18"/>
                <w:rtl/>
              </w:rPr>
              <w:t>211</w:t>
            </w:r>
          </w:p>
        </w:tc>
      </w:tr>
      <w:tr w:rsidR="00971B29" w:rsidRPr="0072522F" w14:paraId="6A892955" w14:textId="77777777" w:rsidTr="0072522F">
        <w:tc>
          <w:tcPr>
            <w:tcW w:w="648" w:type="dxa"/>
            <w:shd w:val="clear" w:color="auto" w:fill="auto"/>
          </w:tcPr>
          <w:p w14:paraId="4C0798EA"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2016</w:t>
            </w:r>
          </w:p>
        </w:tc>
        <w:tc>
          <w:tcPr>
            <w:tcW w:w="325" w:type="dxa"/>
            <w:shd w:val="clear" w:color="auto" w:fill="auto"/>
            <w:tcMar>
              <w:right w:w="28" w:type="dxa"/>
            </w:tcMar>
            <w:vAlign w:val="bottom"/>
          </w:tcPr>
          <w:p w14:paraId="5A82161C"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4B97067D"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vAlign w:val="bottom"/>
          </w:tcPr>
          <w:p w14:paraId="7BE0CCD6"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7A1F2F5D"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vAlign w:val="bottom"/>
          </w:tcPr>
          <w:p w14:paraId="19690C4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6E08E59E"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53" w:type="dxa"/>
            <w:shd w:val="clear" w:color="auto" w:fill="auto"/>
            <w:tcMar>
              <w:right w:w="28" w:type="dxa"/>
            </w:tcMar>
            <w:vAlign w:val="bottom"/>
          </w:tcPr>
          <w:p w14:paraId="665DD8D4"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4</w:t>
            </w:r>
          </w:p>
        </w:tc>
        <w:tc>
          <w:tcPr>
            <w:tcW w:w="356" w:type="dxa"/>
            <w:shd w:val="clear" w:color="auto" w:fill="auto"/>
            <w:tcMar>
              <w:right w:w="28" w:type="dxa"/>
            </w:tcMar>
            <w:vAlign w:val="bottom"/>
          </w:tcPr>
          <w:p w14:paraId="395435BA"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9" w:type="dxa"/>
            <w:shd w:val="clear" w:color="auto" w:fill="auto"/>
            <w:tcMar>
              <w:right w:w="28" w:type="dxa"/>
            </w:tcMar>
            <w:vAlign w:val="bottom"/>
          </w:tcPr>
          <w:p w14:paraId="6E9DEBF2"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66" w:type="dxa"/>
            <w:shd w:val="clear" w:color="auto" w:fill="auto"/>
            <w:tcMar>
              <w:right w:w="28" w:type="dxa"/>
            </w:tcMar>
            <w:vAlign w:val="bottom"/>
          </w:tcPr>
          <w:p w14:paraId="3B7198C7"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22</w:t>
            </w:r>
          </w:p>
        </w:tc>
        <w:tc>
          <w:tcPr>
            <w:tcW w:w="384" w:type="dxa"/>
            <w:shd w:val="clear" w:color="auto" w:fill="auto"/>
            <w:tcMar>
              <w:right w:w="28" w:type="dxa"/>
            </w:tcMar>
            <w:vAlign w:val="bottom"/>
          </w:tcPr>
          <w:p w14:paraId="0FFED97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05" w:type="dxa"/>
            <w:shd w:val="clear" w:color="auto" w:fill="auto"/>
            <w:tcMar>
              <w:right w:w="28" w:type="dxa"/>
            </w:tcMar>
            <w:vAlign w:val="bottom"/>
          </w:tcPr>
          <w:p w14:paraId="3EEA9063"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57" w:type="dxa"/>
            <w:shd w:val="clear" w:color="auto" w:fill="auto"/>
            <w:vAlign w:val="bottom"/>
          </w:tcPr>
          <w:p w14:paraId="47B2091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tcMar>
              <w:right w:w="28" w:type="dxa"/>
            </w:tcMar>
            <w:vAlign w:val="bottom"/>
          </w:tcPr>
          <w:p w14:paraId="1413C379"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83" w:type="dxa"/>
            <w:shd w:val="clear" w:color="auto" w:fill="auto"/>
            <w:tcMar>
              <w:right w:w="28" w:type="dxa"/>
            </w:tcMar>
            <w:vAlign w:val="bottom"/>
          </w:tcPr>
          <w:p w14:paraId="553EC60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58</w:t>
            </w:r>
          </w:p>
        </w:tc>
        <w:tc>
          <w:tcPr>
            <w:tcW w:w="325" w:type="dxa"/>
            <w:shd w:val="clear" w:color="auto" w:fill="auto"/>
            <w:tcMar>
              <w:right w:w="28" w:type="dxa"/>
            </w:tcMar>
            <w:vAlign w:val="bottom"/>
          </w:tcPr>
          <w:p w14:paraId="644103C4"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32" w:type="dxa"/>
            <w:shd w:val="clear" w:color="auto" w:fill="auto"/>
            <w:vAlign w:val="bottom"/>
          </w:tcPr>
          <w:p w14:paraId="2D3A59A2"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6" w:type="dxa"/>
            <w:shd w:val="clear" w:color="auto" w:fill="auto"/>
            <w:vAlign w:val="bottom"/>
          </w:tcPr>
          <w:p w14:paraId="328D771E"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82" w:type="dxa"/>
            <w:shd w:val="clear" w:color="auto" w:fill="auto"/>
            <w:vAlign w:val="bottom"/>
          </w:tcPr>
          <w:p w14:paraId="781F7683"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6" w:type="dxa"/>
            <w:shd w:val="clear" w:color="auto" w:fill="auto"/>
            <w:tcMar>
              <w:right w:w="28" w:type="dxa"/>
            </w:tcMar>
            <w:vAlign w:val="bottom"/>
          </w:tcPr>
          <w:p w14:paraId="6A127DC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46" w:type="dxa"/>
            <w:shd w:val="clear" w:color="auto" w:fill="auto"/>
            <w:vAlign w:val="bottom"/>
          </w:tcPr>
          <w:p w14:paraId="626FC3E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63" w:type="dxa"/>
            <w:shd w:val="clear" w:color="auto" w:fill="auto"/>
            <w:tcMar>
              <w:right w:w="28" w:type="dxa"/>
            </w:tcMar>
            <w:vAlign w:val="bottom"/>
          </w:tcPr>
          <w:p w14:paraId="74BB9736"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93" w:type="dxa"/>
            <w:shd w:val="clear" w:color="auto" w:fill="auto"/>
            <w:tcMar>
              <w:right w:w="28" w:type="dxa"/>
            </w:tcMar>
            <w:vAlign w:val="bottom"/>
          </w:tcPr>
          <w:p w14:paraId="5BA4DD17"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599" w:type="dxa"/>
            <w:shd w:val="clear" w:color="auto" w:fill="auto"/>
            <w:tcMar>
              <w:right w:w="28" w:type="dxa"/>
            </w:tcMar>
            <w:vAlign w:val="bottom"/>
          </w:tcPr>
          <w:p w14:paraId="5EC2998A" w14:textId="77777777" w:rsidR="00971B29" w:rsidRPr="0072522F" w:rsidRDefault="00971B29" w:rsidP="0072522F">
            <w:pPr>
              <w:spacing w:before="20" w:after="40" w:line="300" w:lineRule="exact"/>
              <w:ind w:left="57"/>
              <w:textDirection w:val="tbRlV"/>
              <w:rPr>
                <w:b/>
                <w:bCs/>
                <w:sz w:val="18"/>
                <w:szCs w:val="18"/>
                <w:lang w:val="ar-SA" w:eastAsia="zh-TW" w:bidi="en-GB"/>
              </w:rPr>
            </w:pPr>
            <w:r w:rsidRPr="0072522F">
              <w:rPr>
                <w:b/>
                <w:bCs/>
                <w:sz w:val="18"/>
                <w:szCs w:val="18"/>
                <w:rtl/>
              </w:rPr>
              <w:t>85</w:t>
            </w:r>
          </w:p>
        </w:tc>
      </w:tr>
      <w:tr w:rsidR="00971B29" w:rsidRPr="0072522F" w14:paraId="4DE3915A" w14:textId="77777777" w:rsidTr="0072522F">
        <w:tc>
          <w:tcPr>
            <w:tcW w:w="648" w:type="dxa"/>
            <w:shd w:val="clear" w:color="auto" w:fill="auto"/>
          </w:tcPr>
          <w:p w14:paraId="2B0398C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2017</w:t>
            </w:r>
          </w:p>
        </w:tc>
        <w:tc>
          <w:tcPr>
            <w:tcW w:w="325" w:type="dxa"/>
            <w:shd w:val="clear" w:color="auto" w:fill="auto"/>
            <w:tcMar>
              <w:right w:w="28" w:type="dxa"/>
            </w:tcMar>
            <w:vAlign w:val="bottom"/>
          </w:tcPr>
          <w:p w14:paraId="44096156"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2</w:t>
            </w:r>
          </w:p>
        </w:tc>
        <w:tc>
          <w:tcPr>
            <w:tcW w:w="323" w:type="dxa"/>
            <w:shd w:val="clear" w:color="auto" w:fill="auto"/>
            <w:tcMar>
              <w:right w:w="28" w:type="dxa"/>
            </w:tcMar>
            <w:vAlign w:val="bottom"/>
          </w:tcPr>
          <w:p w14:paraId="36E805EC"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24" w:type="dxa"/>
            <w:shd w:val="clear" w:color="auto" w:fill="auto"/>
            <w:vAlign w:val="bottom"/>
          </w:tcPr>
          <w:p w14:paraId="7E37F4DD"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43B9C316"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vAlign w:val="bottom"/>
          </w:tcPr>
          <w:p w14:paraId="487E061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25BDB90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53" w:type="dxa"/>
            <w:shd w:val="clear" w:color="auto" w:fill="auto"/>
            <w:tcMar>
              <w:right w:w="28" w:type="dxa"/>
            </w:tcMar>
            <w:vAlign w:val="bottom"/>
          </w:tcPr>
          <w:p w14:paraId="7A6F9B8D"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3</w:t>
            </w:r>
          </w:p>
        </w:tc>
        <w:tc>
          <w:tcPr>
            <w:tcW w:w="356" w:type="dxa"/>
            <w:shd w:val="clear" w:color="auto" w:fill="auto"/>
            <w:tcMar>
              <w:right w:w="28" w:type="dxa"/>
            </w:tcMar>
            <w:vAlign w:val="bottom"/>
          </w:tcPr>
          <w:p w14:paraId="26AF6CE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9" w:type="dxa"/>
            <w:shd w:val="clear" w:color="auto" w:fill="auto"/>
            <w:tcMar>
              <w:right w:w="28" w:type="dxa"/>
            </w:tcMar>
            <w:vAlign w:val="bottom"/>
          </w:tcPr>
          <w:p w14:paraId="32F1BD59"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66" w:type="dxa"/>
            <w:shd w:val="clear" w:color="auto" w:fill="auto"/>
            <w:tcMar>
              <w:right w:w="28" w:type="dxa"/>
            </w:tcMar>
            <w:vAlign w:val="bottom"/>
          </w:tcPr>
          <w:p w14:paraId="7EF9DA97"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43</w:t>
            </w:r>
          </w:p>
        </w:tc>
        <w:tc>
          <w:tcPr>
            <w:tcW w:w="384" w:type="dxa"/>
            <w:shd w:val="clear" w:color="auto" w:fill="auto"/>
            <w:tcMar>
              <w:right w:w="28" w:type="dxa"/>
            </w:tcMar>
            <w:vAlign w:val="bottom"/>
          </w:tcPr>
          <w:p w14:paraId="5243DC33"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2</w:t>
            </w:r>
          </w:p>
        </w:tc>
        <w:tc>
          <w:tcPr>
            <w:tcW w:w="305" w:type="dxa"/>
            <w:shd w:val="clear" w:color="auto" w:fill="auto"/>
            <w:tcMar>
              <w:right w:w="28" w:type="dxa"/>
            </w:tcMar>
            <w:vAlign w:val="bottom"/>
          </w:tcPr>
          <w:p w14:paraId="1063686C"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57" w:type="dxa"/>
            <w:shd w:val="clear" w:color="auto" w:fill="auto"/>
            <w:vAlign w:val="bottom"/>
          </w:tcPr>
          <w:p w14:paraId="50A9AD2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tcMar>
              <w:right w:w="28" w:type="dxa"/>
            </w:tcMar>
            <w:vAlign w:val="bottom"/>
          </w:tcPr>
          <w:p w14:paraId="1865B586"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483" w:type="dxa"/>
            <w:shd w:val="clear" w:color="auto" w:fill="auto"/>
            <w:tcMar>
              <w:right w:w="28" w:type="dxa"/>
            </w:tcMar>
            <w:vAlign w:val="bottom"/>
          </w:tcPr>
          <w:p w14:paraId="10F19A2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31</w:t>
            </w:r>
          </w:p>
        </w:tc>
        <w:tc>
          <w:tcPr>
            <w:tcW w:w="325" w:type="dxa"/>
            <w:shd w:val="clear" w:color="auto" w:fill="auto"/>
            <w:tcMar>
              <w:right w:w="28" w:type="dxa"/>
            </w:tcMar>
            <w:vAlign w:val="bottom"/>
          </w:tcPr>
          <w:p w14:paraId="1FB417D9"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2</w:t>
            </w:r>
          </w:p>
        </w:tc>
        <w:tc>
          <w:tcPr>
            <w:tcW w:w="332" w:type="dxa"/>
            <w:shd w:val="clear" w:color="auto" w:fill="auto"/>
            <w:vAlign w:val="bottom"/>
          </w:tcPr>
          <w:p w14:paraId="5B03AA76"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6" w:type="dxa"/>
            <w:shd w:val="clear" w:color="auto" w:fill="auto"/>
            <w:vAlign w:val="bottom"/>
          </w:tcPr>
          <w:p w14:paraId="36AF4769"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82" w:type="dxa"/>
            <w:shd w:val="clear" w:color="auto" w:fill="auto"/>
            <w:vAlign w:val="bottom"/>
          </w:tcPr>
          <w:p w14:paraId="7D53591D"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6" w:type="dxa"/>
            <w:shd w:val="clear" w:color="auto" w:fill="auto"/>
            <w:tcMar>
              <w:right w:w="28" w:type="dxa"/>
            </w:tcMar>
            <w:vAlign w:val="bottom"/>
          </w:tcPr>
          <w:p w14:paraId="018EA2CD"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46" w:type="dxa"/>
            <w:shd w:val="clear" w:color="auto" w:fill="auto"/>
            <w:vAlign w:val="bottom"/>
          </w:tcPr>
          <w:p w14:paraId="5808504A"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63" w:type="dxa"/>
            <w:shd w:val="clear" w:color="auto" w:fill="auto"/>
            <w:tcMar>
              <w:right w:w="28" w:type="dxa"/>
            </w:tcMar>
            <w:vAlign w:val="bottom"/>
          </w:tcPr>
          <w:p w14:paraId="51FCFB1A"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93" w:type="dxa"/>
            <w:shd w:val="clear" w:color="auto" w:fill="auto"/>
            <w:tcMar>
              <w:right w:w="28" w:type="dxa"/>
            </w:tcMar>
            <w:vAlign w:val="bottom"/>
          </w:tcPr>
          <w:p w14:paraId="713A000A"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599" w:type="dxa"/>
            <w:shd w:val="clear" w:color="auto" w:fill="auto"/>
            <w:tcMar>
              <w:right w:w="28" w:type="dxa"/>
            </w:tcMar>
            <w:vAlign w:val="bottom"/>
          </w:tcPr>
          <w:p w14:paraId="5920798A" w14:textId="77777777" w:rsidR="00971B29" w:rsidRPr="0072522F" w:rsidRDefault="00971B29" w:rsidP="0072522F">
            <w:pPr>
              <w:spacing w:before="20" w:after="40" w:line="300" w:lineRule="exact"/>
              <w:ind w:left="57"/>
              <w:textDirection w:val="tbRlV"/>
              <w:rPr>
                <w:b/>
                <w:bCs/>
                <w:sz w:val="18"/>
                <w:szCs w:val="18"/>
                <w:lang w:val="ar-SA" w:eastAsia="zh-TW" w:bidi="en-GB"/>
              </w:rPr>
            </w:pPr>
            <w:r w:rsidRPr="0072522F">
              <w:rPr>
                <w:b/>
                <w:bCs/>
                <w:sz w:val="18"/>
                <w:szCs w:val="18"/>
                <w:rtl/>
              </w:rPr>
              <w:t>86</w:t>
            </w:r>
          </w:p>
        </w:tc>
      </w:tr>
      <w:tr w:rsidR="00971B29" w:rsidRPr="0072522F" w14:paraId="097A0097" w14:textId="77777777" w:rsidTr="0072522F">
        <w:tc>
          <w:tcPr>
            <w:tcW w:w="648" w:type="dxa"/>
            <w:shd w:val="clear" w:color="auto" w:fill="auto"/>
          </w:tcPr>
          <w:p w14:paraId="2E4C0AF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2018</w:t>
            </w:r>
          </w:p>
        </w:tc>
        <w:tc>
          <w:tcPr>
            <w:tcW w:w="325" w:type="dxa"/>
            <w:shd w:val="clear" w:color="auto" w:fill="auto"/>
            <w:tcMar>
              <w:right w:w="28" w:type="dxa"/>
            </w:tcMar>
            <w:vAlign w:val="bottom"/>
          </w:tcPr>
          <w:p w14:paraId="364D03A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43916B9E"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vAlign w:val="bottom"/>
          </w:tcPr>
          <w:p w14:paraId="3CDA595A"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1FA29A1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vAlign w:val="bottom"/>
          </w:tcPr>
          <w:p w14:paraId="3BFDB693"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0F51FFE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53" w:type="dxa"/>
            <w:shd w:val="clear" w:color="auto" w:fill="auto"/>
            <w:tcMar>
              <w:right w:w="28" w:type="dxa"/>
            </w:tcMar>
            <w:vAlign w:val="bottom"/>
          </w:tcPr>
          <w:p w14:paraId="57D39E08"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9</w:t>
            </w:r>
          </w:p>
        </w:tc>
        <w:tc>
          <w:tcPr>
            <w:tcW w:w="356" w:type="dxa"/>
            <w:shd w:val="clear" w:color="auto" w:fill="auto"/>
            <w:tcMar>
              <w:right w:w="28" w:type="dxa"/>
            </w:tcMar>
            <w:vAlign w:val="bottom"/>
          </w:tcPr>
          <w:p w14:paraId="6C627391"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429" w:type="dxa"/>
            <w:shd w:val="clear" w:color="auto" w:fill="auto"/>
            <w:tcMar>
              <w:right w:w="28" w:type="dxa"/>
            </w:tcMar>
            <w:vAlign w:val="bottom"/>
          </w:tcPr>
          <w:p w14:paraId="17F879A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14</w:t>
            </w:r>
          </w:p>
        </w:tc>
        <w:tc>
          <w:tcPr>
            <w:tcW w:w="466" w:type="dxa"/>
            <w:shd w:val="clear" w:color="auto" w:fill="auto"/>
            <w:tcMar>
              <w:right w:w="28" w:type="dxa"/>
            </w:tcMar>
            <w:vAlign w:val="bottom"/>
          </w:tcPr>
          <w:p w14:paraId="325F34B6"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50</w:t>
            </w:r>
          </w:p>
        </w:tc>
        <w:tc>
          <w:tcPr>
            <w:tcW w:w="384" w:type="dxa"/>
            <w:shd w:val="clear" w:color="auto" w:fill="auto"/>
            <w:tcMar>
              <w:right w:w="28" w:type="dxa"/>
            </w:tcMar>
            <w:vAlign w:val="bottom"/>
          </w:tcPr>
          <w:p w14:paraId="0976036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05" w:type="dxa"/>
            <w:shd w:val="clear" w:color="auto" w:fill="auto"/>
            <w:tcMar>
              <w:right w:w="28" w:type="dxa"/>
            </w:tcMar>
            <w:vAlign w:val="bottom"/>
          </w:tcPr>
          <w:p w14:paraId="0F6E8096"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57" w:type="dxa"/>
            <w:shd w:val="clear" w:color="auto" w:fill="auto"/>
            <w:vAlign w:val="bottom"/>
          </w:tcPr>
          <w:p w14:paraId="1D47A401"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tcMar>
              <w:right w:w="28" w:type="dxa"/>
            </w:tcMar>
            <w:vAlign w:val="bottom"/>
          </w:tcPr>
          <w:p w14:paraId="606B85F7"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83" w:type="dxa"/>
            <w:shd w:val="clear" w:color="auto" w:fill="auto"/>
            <w:tcMar>
              <w:right w:w="28" w:type="dxa"/>
            </w:tcMar>
            <w:vAlign w:val="bottom"/>
          </w:tcPr>
          <w:p w14:paraId="17FF3923"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42</w:t>
            </w:r>
          </w:p>
        </w:tc>
        <w:tc>
          <w:tcPr>
            <w:tcW w:w="325" w:type="dxa"/>
            <w:shd w:val="clear" w:color="auto" w:fill="auto"/>
            <w:tcMar>
              <w:right w:w="28" w:type="dxa"/>
            </w:tcMar>
            <w:vAlign w:val="bottom"/>
          </w:tcPr>
          <w:p w14:paraId="353FB67A"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32" w:type="dxa"/>
            <w:shd w:val="clear" w:color="auto" w:fill="auto"/>
            <w:vAlign w:val="bottom"/>
          </w:tcPr>
          <w:p w14:paraId="68483A17"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6" w:type="dxa"/>
            <w:shd w:val="clear" w:color="auto" w:fill="auto"/>
            <w:vAlign w:val="bottom"/>
          </w:tcPr>
          <w:p w14:paraId="35E9610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82" w:type="dxa"/>
            <w:shd w:val="clear" w:color="auto" w:fill="auto"/>
            <w:vAlign w:val="bottom"/>
          </w:tcPr>
          <w:p w14:paraId="553CB0EC"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6" w:type="dxa"/>
            <w:shd w:val="clear" w:color="auto" w:fill="auto"/>
            <w:tcMar>
              <w:right w:w="28" w:type="dxa"/>
            </w:tcMar>
            <w:vAlign w:val="bottom"/>
          </w:tcPr>
          <w:p w14:paraId="145C23F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46" w:type="dxa"/>
            <w:shd w:val="clear" w:color="auto" w:fill="auto"/>
            <w:vAlign w:val="bottom"/>
          </w:tcPr>
          <w:p w14:paraId="2DDD0A49"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63" w:type="dxa"/>
            <w:shd w:val="clear" w:color="auto" w:fill="auto"/>
            <w:tcMar>
              <w:right w:w="28" w:type="dxa"/>
            </w:tcMar>
            <w:vAlign w:val="bottom"/>
          </w:tcPr>
          <w:p w14:paraId="13E04B8B"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2</w:t>
            </w:r>
          </w:p>
        </w:tc>
        <w:tc>
          <w:tcPr>
            <w:tcW w:w="393" w:type="dxa"/>
            <w:shd w:val="clear" w:color="auto" w:fill="auto"/>
            <w:tcMar>
              <w:right w:w="28" w:type="dxa"/>
            </w:tcMar>
            <w:vAlign w:val="bottom"/>
          </w:tcPr>
          <w:p w14:paraId="1EBECFBE"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599" w:type="dxa"/>
            <w:shd w:val="clear" w:color="auto" w:fill="auto"/>
            <w:tcMar>
              <w:right w:w="28" w:type="dxa"/>
            </w:tcMar>
            <w:vAlign w:val="bottom"/>
          </w:tcPr>
          <w:p w14:paraId="19346100" w14:textId="77777777" w:rsidR="00971B29" w:rsidRPr="0072522F" w:rsidRDefault="00971B29" w:rsidP="0072522F">
            <w:pPr>
              <w:spacing w:before="20" w:after="40" w:line="300" w:lineRule="exact"/>
              <w:ind w:left="57"/>
              <w:textDirection w:val="tbRlV"/>
              <w:rPr>
                <w:b/>
                <w:bCs/>
                <w:sz w:val="18"/>
                <w:szCs w:val="18"/>
                <w:lang w:val="ar-SA" w:eastAsia="zh-TW" w:bidi="en-GB"/>
              </w:rPr>
            </w:pPr>
            <w:r w:rsidRPr="0072522F">
              <w:rPr>
                <w:b/>
                <w:bCs/>
                <w:sz w:val="18"/>
                <w:szCs w:val="18"/>
                <w:rtl/>
              </w:rPr>
              <w:t>118</w:t>
            </w:r>
          </w:p>
        </w:tc>
      </w:tr>
      <w:tr w:rsidR="00971B29" w:rsidRPr="0072522F" w14:paraId="0E351663" w14:textId="77777777" w:rsidTr="0072522F">
        <w:tc>
          <w:tcPr>
            <w:tcW w:w="648" w:type="dxa"/>
            <w:shd w:val="clear" w:color="auto" w:fill="auto"/>
          </w:tcPr>
          <w:p w14:paraId="28754E3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2019</w:t>
            </w:r>
          </w:p>
        </w:tc>
        <w:tc>
          <w:tcPr>
            <w:tcW w:w="325" w:type="dxa"/>
            <w:shd w:val="clear" w:color="auto" w:fill="auto"/>
            <w:tcMar>
              <w:right w:w="28" w:type="dxa"/>
            </w:tcMar>
            <w:vAlign w:val="bottom"/>
          </w:tcPr>
          <w:p w14:paraId="37455D2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7B139993"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vAlign w:val="bottom"/>
          </w:tcPr>
          <w:p w14:paraId="39F798A2"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23" w:type="dxa"/>
            <w:shd w:val="clear" w:color="auto" w:fill="auto"/>
            <w:tcMar>
              <w:right w:w="28" w:type="dxa"/>
            </w:tcMar>
            <w:vAlign w:val="bottom"/>
          </w:tcPr>
          <w:p w14:paraId="6AA75EF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vAlign w:val="bottom"/>
          </w:tcPr>
          <w:p w14:paraId="31F3C51C"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6FDD9BA9"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2</w:t>
            </w:r>
          </w:p>
        </w:tc>
        <w:tc>
          <w:tcPr>
            <w:tcW w:w="453" w:type="dxa"/>
            <w:shd w:val="clear" w:color="auto" w:fill="auto"/>
            <w:tcMar>
              <w:right w:w="28" w:type="dxa"/>
            </w:tcMar>
            <w:vAlign w:val="bottom"/>
          </w:tcPr>
          <w:p w14:paraId="23A99017"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3</w:t>
            </w:r>
          </w:p>
        </w:tc>
        <w:tc>
          <w:tcPr>
            <w:tcW w:w="356" w:type="dxa"/>
            <w:shd w:val="clear" w:color="auto" w:fill="auto"/>
            <w:tcMar>
              <w:right w:w="28" w:type="dxa"/>
            </w:tcMar>
            <w:vAlign w:val="bottom"/>
          </w:tcPr>
          <w:p w14:paraId="3B099933"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3</w:t>
            </w:r>
          </w:p>
        </w:tc>
        <w:tc>
          <w:tcPr>
            <w:tcW w:w="429" w:type="dxa"/>
            <w:shd w:val="clear" w:color="auto" w:fill="auto"/>
            <w:tcMar>
              <w:right w:w="28" w:type="dxa"/>
            </w:tcMar>
            <w:vAlign w:val="bottom"/>
          </w:tcPr>
          <w:p w14:paraId="7A470101"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66" w:type="dxa"/>
            <w:shd w:val="clear" w:color="auto" w:fill="auto"/>
            <w:tcMar>
              <w:right w:w="28" w:type="dxa"/>
            </w:tcMar>
            <w:vAlign w:val="bottom"/>
          </w:tcPr>
          <w:p w14:paraId="10FE8E82"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226</w:t>
            </w:r>
          </w:p>
        </w:tc>
        <w:tc>
          <w:tcPr>
            <w:tcW w:w="384" w:type="dxa"/>
            <w:shd w:val="clear" w:color="auto" w:fill="auto"/>
            <w:tcMar>
              <w:right w:w="28" w:type="dxa"/>
            </w:tcMar>
            <w:vAlign w:val="bottom"/>
          </w:tcPr>
          <w:p w14:paraId="10ADD08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05" w:type="dxa"/>
            <w:shd w:val="clear" w:color="auto" w:fill="auto"/>
            <w:tcMar>
              <w:right w:w="28" w:type="dxa"/>
            </w:tcMar>
            <w:vAlign w:val="bottom"/>
          </w:tcPr>
          <w:p w14:paraId="77262AA0"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2</w:t>
            </w:r>
          </w:p>
        </w:tc>
        <w:tc>
          <w:tcPr>
            <w:tcW w:w="357" w:type="dxa"/>
            <w:shd w:val="clear" w:color="auto" w:fill="auto"/>
            <w:vAlign w:val="bottom"/>
          </w:tcPr>
          <w:p w14:paraId="0E3E3CEE"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tcMar>
              <w:right w:w="28" w:type="dxa"/>
            </w:tcMar>
            <w:vAlign w:val="bottom"/>
          </w:tcPr>
          <w:p w14:paraId="04B4333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83" w:type="dxa"/>
            <w:shd w:val="clear" w:color="auto" w:fill="auto"/>
            <w:tcMar>
              <w:right w:w="28" w:type="dxa"/>
            </w:tcMar>
            <w:vAlign w:val="bottom"/>
          </w:tcPr>
          <w:p w14:paraId="101E1DD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10</w:t>
            </w:r>
          </w:p>
        </w:tc>
        <w:tc>
          <w:tcPr>
            <w:tcW w:w="325" w:type="dxa"/>
            <w:shd w:val="clear" w:color="auto" w:fill="auto"/>
            <w:tcMar>
              <w:right w:w="28" w:type="dxa"/>
            </w:tcMar>
            <w:vAlign w:val="bottom"/>
          </w:tcPr>
          <w:p w14:paraId="6E6AF4C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32" w:type="dxa"/>
            <w:shd w:val="clear" w:color="auto" w:fill="auto"/>
            <w:vAlign w:val="bottom"/>
          </w:tcPr>
          <w:p w14:paraId="183C666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6" w:type="dxa"/>
            <w:shd w:val="clear" w:color="auto" w:fill="auto"/>
            <w:vAlign w:val="bottom"/>
          </w:tcPr>
          <w:p w14:paraId="60326D6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82" w:type="dxa"/>
            <w:shd w:val="clear" w:color="auto" w:fill="auto"/>
            <w:vAlign w:val="bottom"/>
          </w:tcPr>
          <w:p w14:paraId="099B709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6" w:type="dxa"/>
            <w:shd w:val="clear" w:color="auto" w:fill="auto"/>
            <w:tcMar>
              <w:right w:w="28" w:type="dxa"/>
            </w:tcMar>
            <w:vAlign w:val="bottom"/>
          </w:tcPr>
          <w:p w14:paraId="2B3B33D6"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46" w:type="dxa"/>
            <w:shd w:val="clear" w:color="auto" w:fill="auto"/>
            <w:vAlign w:val="bottom"/>
          </w:tcPr>
          <w:p w14:paraId="1940709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63" w:type="dxa"/>
            <w:shd w:val="clear" w:color="auto" w:fill="auto"/>
            <w:tcMar>
              <w:right w:w="28" w:type="dxa"/>
            </w:tcMar>
            <w:vAlign w:val="bottom"/>
          </w:tcPr>
          <w:p w14:paraId="582AF34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93" w:type="dxa"/>
            <w:shd w:val="clear" w:color="auto" w:fill="auto"/>
            <w:tcMar>
              <w:right w:w="28" w:type="dxa"/>
            </w:tcMar>
            <w:vAlign w:val="bottom"/>
          </w:tcPr>
          <w:p w14:paraId="02C459D1"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599" w:type="dxa"/>
            <w:shd w:val="clear" w:color="auto" w:fill="auto"/>
            <w:tcMar>
              <w:right w:w="28" w:type="dxa"/>
            </w:tcMar>
            <w:vAlign w:val="bottom"/>
          </w:tcPr>
          <w:p w14:paraId="41B66B09" w14:textId="77777777" w:rsidR="00971B29" w:rsidRPr="0072522F" w:rsidRDefault="00971B29" w:rsidP="0072522F">
            <w:pPr>
              <w:spacing w:before="20" w:after="40" w:line="300" w:lineRule="exact"/>
              <w:ind w:left="57"/>
              <w:textDirection w:val="tbRlV"/>
              <w:rPr>
                <w:b/>
                <w:bCs/>
                <w:sz w:val="18"/>
                <w:szCs w:val="18"/>
                <w:lang w:val="ar-SA" w:eastAsia="zh-TW" w:bidi="en-GB"/>
              </w:rPr>
            </w:pPr>
            <w:r w:rsidRPr="0072522F">
              <w:rPr>
                <w:b/>
                <w:bCs/>
                <w:sz w:val="18"/>
                <w:szCs w:val="18"/>
                <w:rtl/>
              </w:rPr>
              <w:t>248</w:t>
            </w:r>
          </w:p>
        </w:tc>
      </w:tr>
      <w:tr w:rsidR="00971B29" w:rsidRPr="0072522F" w14:paraId="318E4D29" w14:textId="77777777" w:rsidTr="0072522F">
        <w:tc>
          <w:tcPr>
            <w:tcW w:w="648" w:type="dxa"/>
            <w:shd w:val="clear" w:color="auto" w:fill="auto"/>
          </w:tcPr>
          <w:p w14:paraId="25A87D7A"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2020</w:t>
            </w:r>
          </w:p>
        </w:tc>
        <w:tc>
          <w:tcPr>
            <w:tcW w:w="325" w:type="dxa"/>
            <w:shd w:val="clear" w:color="auto" w:fill="auto"/>
            <w:tcMar>
              <w:right w:w="28" w:type="dxa"/>
            </w:tcMar>
            <w:vAlign w:val="bottom"/>
          </w:tcPr>
          <w:p w14:paraId="4BE27CEC"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23" w:type="dxa"/>
            <w:shd w:val="clear" w:color="auto" w:fill="auto"/>
            <w:tcMar>
              <w:right w:w="28" w:type="dxa"/>
            </w:tcMar>
            <w:vAlign w:val="bottom"/>
          </w:tcPr>
          <w:p w14:paraId="4ADF4E23"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vAlign w:val="bottom"/>
          </w:tcPr>
          <w:p w14:paraId="73C57DD6"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shd w:val="clear" w:color="auto" w:fill="auto"/>
            <w:tcMar>
              <w:right w:w="28" w:type="dxa"/>
            </w:tcMar>
            <w:vAlign w:val="bottom"/>
          </w:tcPr>
          <w:p w14:paraId="7A7974D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shd w:val="clear" w:color="auto" w:fill="auto"/>
            <w:vAlign w:val="bottom"/>
          </w:tcPr>
          <w:p w14:paraId="20859237"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23" w:type="dxa"/>
            <w:shd w:val="clear" w:color="auto" w:fill="auto"/>
            <w:tcMar>
              <w:right w:w="28" w:type="dxa"/>
            </w:tcMar>
            <w:vAlign w:val="bottom"/>
          </w:tcPr>
          <w:p w14:paraId="3F46FD8E"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453" w:type="dxa"/>
            <w:shd w:val="clear" w:color="auto" w:fill="auto"/>
            <w:tcMar>
              <w:right w:w="28" w:type="dxa"/>
            </w:tcMar>
            <w:vAlign w:val="bottom"/>
          </w:tcPr>
          <w:p w14:paraId="217A058F"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2</w:t>
            </w:r>
          </w:p>
        </w:tc>
        <w:tc>
          <w:tcPr>
            <w:tcW w:w="356" w:type="dxa"/>
            <w:shd w:val="clear" w:color="auto" w:fill="auto"/>
            <w:tcMar>
              <w:right w:w="28" w:type="dxa"/>
            </w:tcMar>
            <w:vAlign w:val="bottom"/>
          </w:tcPr>
          <w:p w14:paraId="6133F1AD"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9" w:type="dxa"/>
            <w:shd w:val="clear" w:color="auto" w:fill="auto"/>
            <w:tcMar>
              <w:right w:w="28" w:type="dxa"/>
            </w:tcMar>
            <w:vAlign w:val="bottom"/>
          </w:tcPr>
          <w:p w14:paraId="20CB5291"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9</w:t>
            </w:r>
          </w:p>
        </w:tc>
        <w:tc>
          <w:tcPr>
            <w:tcW w:w="466" w:type="dxa"/>
            <w:shd w:val="clear" w:color="auto" w:fill="auto"/>
            <w:tcMar>
              <w:right w:w="28" w:type="dxa"/>
            </w:tcMar>
            <w:vAlign w:val="bottom"/>
          </w:tcPr>
          <w:p w14:paraId="332B3A8D"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103</w:t>
            </w:r>
          </w:p>
        </w:tc>
        <w:tc>
          <w:tcPr>
            <w:tcW w:w="384" w:type="dxa"/>
            <w:shd w:val="clear" w:color="auto" w:fill="auto"/>
            <w:tcMar>
              <w:right w:w="28" w:type="dxa"/>
            </w:tcMar>
            <w:vAlign w:val="bottom"/>
          </w:tcPr>
          <w:p w14:paraId="1C71FDB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05" w:type="dxa"/>
            <w:shd w:val="clear" w:color="auto" w:fill="auto"/>
            <w:tcMar>
              <w:right w:w="28" w:type="dxa"/>
            </w:tcMar>
            <w:vAlign w:val="bottom"/>
          </w:tcPr>
          <w:p w14:paraId="5C1EAAF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57" w:type="dxa"/>
            <w:shd w:val="clear" w:color="auto" w:fill="auto"/>
            <w:vAlign w:val="bottom"/>
          </w:tcPr>
          <w:p w14:paraId="1F92D2DA"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24" w:type="dxa"/>
            <w:shd w:val="clear" w:color="auto" w:fill="auto"/>
            <w:tcMar>
              <w:right w:w="28" w:type="dxa"/>
            </w:tcMar>
            <w:vAlign w:val="bottom"/>
          </w:tcPr>
          <w:p w14:paraId="5EAFC35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83" w:type="dxa"/>
            <w:shd w:val="clear" w:color="auto" w:fill="auto"/>
            <w:tcMar>
              <w:right w:w="28" w:type="dxa"/>
            </w:tcMar>
            <w:vAlign w:val="bottom"/>
          </w:tcPr>
          <w:p w14:paraId="17E5F21E"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57</w:t>
            </w:r>
          </w:p>
        </w:tc>
        <w:tc>
          <w:tcPr>
            <w:tcW w:w="325" w:type="dxa"/>
            <w:shd w:val="clear" w:color="auto" w:fill="auto"/>
            <w:tcMar>
              <w:right w:w="28" w:type="dxa"/>
            </w:tcMar>
            <w:vAlign w:val="bottom"/>
          </w:tcPr>
          <w:p w14:paraId="6B8638F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32" w:type="dxa"/>
            <w:shd w:val="clear" w:color="auto" w:fill="auto"/>
            <w:vAlign w:val="bottom"/>
          </w:tcPr>
          <w:p w14:paraId="17456F26"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426" w:type="dxa"/>
            <w:shd w:val="clear" w:color="auto" w:fill="auto"/>
            <w:vAlign w:val="bottom"/>
          </w:tcPr>
          <w:p w14:paraId="5DC5B67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82" w:type="dxa"/>
            <w:shd w:val="clear" w:color="auto" w:fill="auto"/>
            <w:vAlign w:val="bottom"/>
          </w:tcPr>
          <w:p w14:paraId="04F676F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14</w:t>
            </w:r>
          </w:p>
        </w:tc>
        <w:tc>
          <w:tcPr>
            <w:tcW w:w="326" w:type="dxa"/>
            <w:shd w:val="clear" w:color="auto" w:fill="auto"/>
            <w:tcMar>
              <w:right w:w="28" w:type="dxa"/>
            </w:tcMar>
            <w:vAlign w:val="bottom"/>
          </w:tcPr>
          <w:p w14:paraId="7E3D7807"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46" w:type="dxa"/>
            <w:shd w:val="clear" w:color="auto" w:fill="auto"/>
            <w:vAlign w:val="bottom"/>
          </w:tcPr>
          <w:p w14:paraId="17329025"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63" w:type="dxa"/>
            <w:shd w:val="clear" w:color="auto" w:fill="auto"/>
            <w:tcMar>
              <w:right w:w="28" w:type="dxa"/>
            </w:tcMar>
            <w:vAlign w:val="bottom"/>
          </w:tcPr>
          <w:p w14:paraId="09D088A0"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93" w:type="dxa"/>
            <w:shd w:val="clear" w:color="auto" w:fill="auto"/>
            <w:tcMar>
              <w:right w:w="28" w:type="dxa"/>
            </w:tcMar>
            <w:vAlign w:val="bottom"/>
          </w:tcPr>
          <w:p w14:paraId="201629E9"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599" w:type="dxa"/>
            <w:shd w:val="clear" w:color="auto" w:fill="auto"/>
            <w:tcMar>
              <w:right w:w="28" w:type="dxa"/>
            </w:tcMar>
            <w:vAlign w:val="bottom"/>
          </w:tcPr>
          <w:p w14:paraId="0D528393" w14:textId="77777777" w:rsidR="00971B29" w:rsidRPr="0072522F" w:rsidRDefault="00971B29" w:rsidP="0072522F">
            <w:pPr>
              <w:spacing w:before="20" w:after="40" w:line="300" w:lineRule="exact"/>
              <w:ind w:left="57"/>
              <w:textDirection w:val="tbRlV"/>
              <w:rPr>
                <w:b/>
                <w:bCs/>
                <w:sz w:val="18"/>
                <w:szCs w:val="18"/>
                <w:lang w:val="ar-SA" w:eastAsia="zh-TW" w:bidi="en-GB"/>
              </w:rPr>
            </w:pPr>
            <w:r w:rsidRPr="0072522F">
              <w:rPr>
                <w:b/>
                <w:bCs/>
                <w:sz w:val="18"/>
                <w:szCs w:val="18"/>
                <w:rtl/>
              </w:rPr>
              <w:t>192</w:t>
            </w:r>
          </w:p>
        </w:tc>
      </w:tr>
      <w:tr w:rsidR="00971B29" w:rsidRPr="0072522F" w14:paraId="5E13660C" w14:textId="77777777" w:rsidTr="0072522F">
        <w:tc>
          <w:tcPr>
            <w:tcW w:w="648" w:type="dxa"/>
            <w:tcBorders>
              <w:bottom w:val="single" w:sz="4" w:space="0" w:color="auto"/>
            </w:tcBorders>
            <w:shd w:val="clear" w:color="auto" w:fill="auto"/>
          </w:tcPr>
          <w:p w14:paraId="3B32DE8F" w14:textId="7DEB8D60" w:rsidR="00971B29" w:rsidRPr="0072522F" w:rsidRDefault="00971B29" w:rsidP="0072522F">
            <w:pPr>
              <w:spacing w:before="20" w:after="40" w:line="300" w:lineRule="exact"/>
              <w:ind w:left="57" w:right="57"/>
              <w:textDirection w:val="tbRlV"/>
              <w:rPr>
                <w:sz w:val="18"/>
                <w:szCs w:val="18"/>
                <w:lang w:val="ar-SA" w:eastAsia="zh-TW" w:bidi="en-GB"/>
              </w:rPr>
            </w:pPr>
            <w:r w:rsidRPr="0072522F">
              <w:rPr>
                <w:sz w:val="18"/>
                <w:szCs w:val="18"/>
                <w:rtl/>
              </w:rPr>
              <w:t>2021</w:t>
            </w:r>
            <w:r w:rsidR="007C727D" w:rsidRPr="007C727D">
              <w:rPr>
                <w:rFonts w:ascii="Simplified Arabic" w:hAnsi="Simplified Arabic"/>
                <w:sz w:val="18"/>
                <w:szCs w:val="18"/>
                <w:vertAlign w:val="superscript"/>
                <w:rtl/>
              </w:rPr>
              <w:t>(</w:t>
            </w:r>
            <w:r w:rsidRPr="007C727D">
              <w:rPr>
                <w:rFonts w:ascii="Simplified Arabic" w:hAnsi="Simplified Arabic"/>
                <w:sz w:val="18"/>
                <w:szCs w:val="18"/>
                <w:vertAlign w:val="superscript"/>
                <w:rtl/>
              </w:rPr>
              <w:t>أ</w:t>
            </w:r>
            <w:r w:rsidR="007C727D" w:rsidRPr="007C727D">
              <w:rPr>
                <w:rFonts w:ascii="Simplified Arabic" w:hAnsi="Simplified Arabic"/>
                <w:sz w:val="18"/>
                <w:szCs w:val="18"/>
                <w:vertAlign w:val="superscript"/>
                <w:rtl/>
              </w:rPr>
              <w:t>)</w:t>
            </w:r>
          </w:p>
        </w:tc>
        <w:tc>
          <w:tcPr>
            <w:tcW w:w="325" w:type="dxa"/>
            <w:tcBorders>
              <w:bottom w:val="single" w:sz="4" w:space="0" w:color="auto"/>
            </w:tcBorders>
            <w:shd w:val="clear" w:color="auto" w:fill="auto"/>
            <w:tcMar>
              <w:right w:w="28" w:type="dxa"/>
            </w:tcMar>
            <w:vAlign w:val="bottom"/>
          </w:tcPr>
          <w:p w14:paraId="2990E46D"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tcBorders>
              <w:bottom w:val="single" w:sz="4" w:space="0" w:color="auto"/>
            </w:tcBorders>
            <w:shd w:val="clear" w:color="auto" w:fill="auto"/>
            <w:tcMar>
              <w:right w:w="28" w:type="dxa"/>
            </w:tcMar>
            <w:vAlign w:val="bottom"/>
          </w:tcPr>
          <w:p w14:paraId="3697E039"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tcBorders>
              <w:bottom w:val="single" w:sz="4" w:space="0" w:color="auto"/>
            </w:tcBorders>
            <w:shd w:val="clear" w:color="auto" w:fill="auto"/>
            <w:vAlign w:val="bottom"/>
          </w:tcPr>
          <w:p w14:paraId="7B81AE2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tcBorders>
              <w:bottom w:val="single" w:sz="4" w:space="0" w:color="auto"/>
            </w:tcBorders>
            <w:shd w:val="clear" w:color="auto" w:fill="auto"/>
            <w:tcMar>
              <w:right w:w="28" w:type="dxa"/>
            </w:tcMar>
            <w:vAlign w:val="bottom"/>
          </w:tcPr>
          <w:p w14:paraId="39028733"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tcBorders>
              <w:bottom w:val="single" w:sz="4" w:space="0" w:color="auto"/>
            </w:tcBorders>
            <w:shd w:val="clear" w:color="auto" w:fill="auto"/>
            <w:vAlign w:val="bottom"/>
          </w:tcPr>
          <w:p w14:paraId="31098D90"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3" w:type="dxa"/>
            <w:tcBorders>
              <w:bottom w:val="single" w:sz="4" w:space="0" w:color="auto"/>
            </w:tcBorders>
            <w:shd w:val="clear" w:color="auto" w:fill="auto"/>
            <w:tcMar>
              <w:right w:w="28" w:type="dxa"/>
            </w:tcMar>
            <w:vAlign w:val="bottom"/>
          </w:tcPr>
          <w:p w14:paraId="5688A594"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53" w:type="dxa"/>
            <w:tcBorders>
              <w:bottom w:val="single" w:sz="4" w:space="0" w:color="auto"/>
            </w:tcBorders>
            <w:shd w:val="clear" w:color="auto" w:fill="auto"/>
            <w:tcMar>
              <w:right w:w="28" w:type="dxa"/>
            </w:tcMar>
            <w:vAlign w:val="bottom"/>
          </w:tcPr>
          <w:p w14:paraId="5344F78E"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56" w:type="dxa"/>
            <w:tcBorders>
              <w:bottom w:val="single" w:sz="4" w:space="0" w:color="auto"/>
            </w:tcBorders>
            <w:shd w:val="clear" w:color="auto" w:fill="auto"/>
            <w:tcMar>
              <w:right w:w="28" w:type="dxa"/>
            </w:tcMar>
            <w:vAlign w:val="bottom"/>
          </w:tcPr>
          <w:p w14:paraId="17D9E5CB"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9" w:type="dxa"/>
            <w:tcBorders>
              <w:bottom w:val="single" w:sz="4" w:space="0" w:color="auto"/>
            </w:tcBorders>
            <w:shd w:val="clear" w:color="auto" w:fill="auto"/>
            <w:tcMar>
              <w:right w:w="28" w:type="dxa"/>
            </w:tcMar>
            <w:vAlign w:val="bottom"/>
          </w:tcPr>
          <w:p w14:paraId="1D51631B"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466" w:type="dxa"/>
            <w:tcBorders>
              <w:bottom w:val="single" w:sz="4" w:space="0" w:color="auto"/>
            </w:tcBorders>
            <w:shd w:val="clear" w:color="auto" w:fill="auto"/>
            <w:tcMar>
              <w:right w:w="28" w:type="dxa"/>
            </w:tcMar>
            <w:vAlign w:val="bottom"/>
          </w:tcPr>
          <w:p w14:paraId="5653CBCA"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84" w:type="dxa"/>
            <w:tcBorders>
              <w:bottom w:val="single" w:sz="4" w:space="0" w:color="auto"/>
            </w:tcBorders>
            <w:shd w:val="clear" w:color="auto" w:fill="auto"/>
            <w:tcMar>
              <w:right w:w="28" w:type="dxa"/>
            </w:tcMar>
            <w:vAlign w:val="bottom"/>
          </w:tcPr>
          <w:p w14:paraId="67BDDB13" w14:textId="77777777" w:rsidR="00971B29" w:rsidRPr="0072522F" w:rsidRDefault="00971B29" w:rsidP="0072522F">
            <w:pPr>
              <w:spacing w:before="20" w:after="40" w:line="300" w:lineRule="exact"/>
              <w:ind w:left="57" w:right="57"/>
              <w:textDirection w:val="tbRlV"/>
              <w:rPr>
                <w:sz w:val="18"/>
                <w:szCs w:val="18"/>
                <w:lang w:eastAsia="zh-TW" w:bidi="en-GB"/>
              </w:rPr>
            </w:pPr>
            <w:r w:rsidRPr="0072522F">
              <w:rPr>
                <w:rFonts w:ascii="Traditional Arabic"/>
                <w:sz w:val="18"/>
                <w:szCs w:val="18"/>
              </w:rPr>
              <w:t>-</w:t>
            </w:r>
          </w:p>
        </w:tc>
        <w:tc>
          <w:tcPr>
            <w:tcW w:w="305" w:type="dxa"/>
            <w:tcBorders>
              <w:bottom w:val="single" w:sz="4" w:space="0" w:color="auto"/>
            </w:tcBorders>
            <w:shd w:val="clear" w:color="auto" w:fill="auto"/>
            <w:tcMar>
              <w:right w:w="28" w:type="dxa"/>
            </w:tcMar>
            <w:vAlign w:val="bottom"/>
          </w:tcPr>
          <w:p w14:paraId="798A47C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57" w:type="dxa"/>
            <w:tcBorders>
              <w:bottom w:val="single" w:sz="4" w:space="0" w:color="auto"/>
            </w:tcBorders>
            <w:shd w:val="clear" w:color="auto" w:fill="auto"/>
            <w:vAlign w:val="bottom"/>
          </w:tcPr>
          <w:p w14:paraId="48F1BD38"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4" w:type="dxa"/>
            <w:tcBorders>
              <w:bottom w:val="single" w:sz="4" w:space="0" w:color="auto"/>
            </w:tcBorders>
            <w:shd w:val="clear" w:color="auto" w:fill="auto"/>
            <w:tcMar>
              <w:right w:w="28" w:type="dxa"/>
            </w:tcMar>
            <w:vAlign w:val="bottom"/>
          </w:tcPr>
          <w:p w14:paraId="7CF4F245"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83" w:type="dxa"/>
            <w:tcBorders>
              <w:bottom w:val="single" w:sz="4" w:space="0" w:color="auto"/>
            </w:tcBorders>
            <w:shd w:val="clear" w:color="auto" w:fill="auto"/>
            <w:tcMar>
              <w:right w:w="28" w:type="dxa"/>
            </w:tcMar>
            <w:vAlign w:val="bottom"/>
          </w:tcPr>
          <w:p w14:paraId="5BFF349B"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8</w:t>
            </w:r>
          </w:p>
        </w:tc>
        <w:tc>
          <w:tcPr>
            <w:tcW w:w="325" w:type="dxa"/>
            <w:tcBorders>
              <w:bottom w:val="single" w:sz="4" w:space="0" w:color="auto"/>
            </w:tcBorders>
            <w:shd w:val="clear" w:color="auto" w:fill="auto"/>
            <w:tcMar>
              <w:right w:w="28" w:type="dxa"/>
            </w:tcMar>
            <w:vAlign w:val="bottom"/>
          </w:tcPr>
          <w:p w14:paraId="6891FBBE"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32" w:type="dxa"/>
            <w:tcBorders>
              <w:bottom w:val="single" w:sz="4" w:space="0" w:color="auto"/>
            </w:tcBorders>
            <w:shd w:val="clear" w:color="auto" w:fill="auto"/>
            <w:vAlign w:val="bottom"/>
          </w:tcPr>
          <w:p w14:paraId="43739545"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426" w:type="dxa"/>
            <w:tcBorders>
              <w:bottom w:val="single" w:sz="4" w:space="0" w:color="auto"/>
            </w:tcBorders>
            <w:shd w:val="clear" w:color="auto" w:fill="auto"/>
            <w:vAlign w:val="bottom"/>
          </w:tcPr>
          <w:p w14:paraId="44324B76" w14:textId="77777777" w:rsidR="00971B29" w:rsidRPr="0072522F" w:rsidRDefault="00971B29" w:rsidP="0072522F">
            <w:pPr>
              <w:spacing w:before="20" w:after="40" w:line="300" w:lineRule="exact"/>
              <w:ind w:left="57" w:right="57"/>
              <w:textDirection w:val="tbRlV"/>
              <w:rPr>
                <w:sz w:val="18"/>
                <w:szCs w:val="18"/>
              </w:rPr>
            </w:pPr>
            <w:r w:rsidRPr="0072522F">
              <w:rPr>
                <w:sz w:val="18"/>
                <w:szCs w:val="18"/>
                <w:rtl/>
              </w:rPr>
              <w:t>1</w:t>
            </w:r>
          </w:p>
        </w:tc>
        <w:tc>
          <w:tcPr>
            <w:tcW w:w="382" w:type="dxa"/>
            <w:tcBorders>
              <w:bottom w:val="single" w:sz="4" w:space="0" w:color="auto"/>
            </w:tcBorders>
            <w:shd w:val="clear" w:color="auto" w:fill="auto"/>
            <w:vAlign w:val="bottom"/>
          </w:tcPr>
          <w:p w14:paraId="5885CE13"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26" w:type="dxa"/>
            <w:tcBorders>
              <w:bottom w:val="single" w:sz="4" w:space="0" w:color="auto"/>
            </w:tcBorders>
            <w:shd w:val="clear" w:color="auto" w:fill="auto"/>
            <w:tcMar>
              <w:right w:w="28" w:type="dxa"/>
            </w:tcMar>
            <w:vAlign w:val="bottom"/>
          </w:tcPr>
          <w:p w14:paraId="203F916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46" w:type="dxa"/>
            <w:tcBorders>
              <w:bottom w:val="single" w:sz="4" w:space="0" w:color="auto"/>
            </w:tcBorders>
            <w:shd w:val="clear" w:color="auto" w:fill="auto"/>
            <w:vAlign w:val="bottom"/>
          </w:tcPr>
          <w:p w14:paraId="41BB23B2"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63" w:type="dxa"/>
            <w:tcBorders>
              <w:bottom w:val="single" w:sz="4" w:space="0" w:color="auto"/>
            </w:tcBorders>
            <w:shd w:val="clear" w:color="auto" w:fill="auto"/>
            <w:tcMar>
              <w:right w:w="28" w:type="dxa"/>
            </w:tcMar>
            <w:vAlign w:val="bottom"/>
          </w:tcPr>
          <w:p w14:paraId="43552B5F"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393" w:type="dxa"/>
            <w:tcBorders>
              <w:bottom w:val="single" w:sz="4" w:space="0" w:color="auto"/>
            </w:tcBorders>
            <w:shd w:val="clear" w:color="auto" w:fill="auto"/>
            <w:tcMar>
              <w:right w:w="28" w:type="dxa"/>
            </w:tcMar>
            <w:vAlign w:val="bottom"/>
          </w:tcPr>
          <w:p w14:paraId="356DAED5" w14:textId="77777777" w:rsidR="00971B29" w:rsidRPr="0072522F" w:rsidRDefault="00971B29" w:rsidP="0072522F">
            <w:pPr>
              <w:spacing w:before="20" w:after="40" w:line="300" w:lineRule="exact"/>
              <w:ind w:left="57" w:right="57"/>
              <w:textDirection w:val="tbRlV"/>
              <w:rPr>
                <w:sz w:val="18"/>
                <w:szCs w:val="18"/>
                <w:lang w:val="ar-SA" w:eastAsia="zh-TW" w:bidi="en-GB"/>
              </w:rPr>
            </w:pPr>
            <w:r w:rsidRPr="0072522F">
              <w:rPr>
                <w:rFonts w:ascii="Traditional Arabic"/>
                <w:sz w:val="18"/>
                <w:szCs w:val="18"/>
              </w:rPr>
              <w:t>-</w:t>
            </w:r>
          </w:p>
        </w:tc>
        <w:tc>
          <w:tcPr>
            <w:tcW w:w="599" w:type="dxa"/>
            <w:tcBorders>
              <w:bottom w:val="single" w:sz="4" w:space="0" w:color="auto"/>
            </w:tcBorders>
            <w:shd w:val="clear" w:color="auto" w:fill="auto"/>
            <w:tcMar>
              <w:right w:w="28" w:type="dxa"/>
            </w:tcMar>
            <w:vAlign w:val="bottom"/>
          </w:tcPr>
          <w:p w14:paraId="4BD8FA9E" w14:textId="77777777" w:rsidR="00971B29" w:rsidRPr="0072522F" w:rsidRDefault="00971B29" w:rsidP="0072522F">
            <w:pPr>
              <w:spacing w:before="20" w:after="40" w:line="300" w:lineRule="exact"/>
              <w:ind w:left="57"/>
              <w:textDirection w:val="tbRlV"/>
              <w:rPr>
                <w:b/>
                <w:bCs/>
                <w:sz w:val="18"/>
                <w:szCs w:val="18"/>
                <w:lang w:val="ar-SA" w:eastAsia="zh-TW" w:bidi="en-GB"/>
              </w:rPr>
            </w:pPr>
            <w:r w:rsidRPr="0072522F">
              <w:rPr>
                <w:b/>
                <w:bCs/>
                <w:sz w:val="18"/>
                <w:szCs w:val="18"/>
                <w:rtl/>
              </w:rPr>
              <w:t>12</w:t>
            </w:r>
          </w:p>
        </w:tc>
      </w:tr>
      <w:tr w:rsidR="00971B29" w:rsidRPr="0072522F" w14:paraId="45494258" w14:textId="77777777" w:rsidTr="0072522F">
        <w:tc>
          <w:tcPr>
            <w:tcW w:w="648" w:type="dxa"/>
            <w:tcBorders>
              <w:top w:val="single" w:sz="4" w:space="0" w:color="auto"/>
              <w:bottom w:val="single" w:sz="12" w:space="0" w:color="auto"/>
            </w:tcBorders>
            <w:shd w:val="clear" w:color="auto" w:fill="auto"/>
          </w:tcPr>
          <w:p w14:paraId="293ED4B8" w14:textId="77777777" w:rsidR="00971B29" w:rsidRPr="0072522F" w:rsidRDefault="00971B29" w:rsidP="0072522F">
            <w:pPr>
              <w:spacing w:before="20" w:after="40" w:line="300" w:lineRule="exact"/>
              <w:ind w:left="57" w:right="57"/>
              <w:textDirection w:val="tbRlV"/>
              <w:rPr>
                <w:b/>
                <w:bCs/>
                <w:sz w:val="18"/>
                <w:szCs w:val="18"/>
                <w:lang w:val="ar-SA" w:eastAsia="zh-TW" w:bidi="en-GB"/>
              </w:rPr>
            </w:pPr>
            <w:r w:rsidRPr="0072522F">
              <w:rPr>
                <w:b/>
                <w:bCs/>
                <w:sz w:val="18"/>
                <w:szCs w:val="18"/>
                <w:rtl/>
              </w:rPr>
              <w:t>المجموع</w:t>
            </w:r>
          </w:p>
        </w:tc>
        <w:tc>
          <w:tcPr>
            <w:tcW w:w="325" w:type="dxa"/>
            <w:tcBorders>
              <w:top w:val="single" w:sz="4" w:space="0" w:color="auto"/>
              <w:bottom w:val="single" w:sz="12" w:space="0" w:color="auto"/>
            </w:tcBorders>
            <w:shd w:val="clear" w:color="auto" w:fill="auto"/>
            <w:tcMar>
              <w:right w:w="28" w:type="dxa"/>
            </w:tcMar>
            <w:vAlign w:val="bottom"/>
          </w:tcPr>
          <w:p w14:paraId="6A736212"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3</w:t>
            </w:r>
          </w:p>
        </w:tc>
        <w:tc>
          <w:tcPr>
            <w:tcW w:w="323" w:type="dxa"/>
            <w:tcBorders>
              <w:top w:val="single" w:sz="4" w:space="0" w:color="auto"/>
              <w:bottom w:val="single" w:sz="12" w:space="0" w:color="auto"/>
            </w:tcBorders>
            <w:shd w:val="clear" w:color="auto" w:fill="auto"/>
            <w:tcMar>
              <w:right w:w="28" w:type="dxa"/>
            </w:tcMar>
            <w:vAlign w:val="bottom"/>
          </w:tcPr>
          <w:p w14:paraId="67863476" w14:textId="77777777" w:rsidR="00971B29" w:rsidRPr="0072522F" w:rsidRDefault="00971B29" w:rsidP="0072522F">
            <w:pPr>
              <w:spacing w:before="20" w:after="40" w:line="300" w:lineRule="exact"/>
              <w:ind w:left="57" w:right="57"/>
              <w:textDirection w:val="tbRlV"/>
              <w:rPr>
                <w:b/>
                <w:bCs/>
                <w:sz w:val="18"/>
                <w:szCs w:val="18"/>
                <w:rtl/>
              </w:rPr>
            </w:pPr>
            <w:r w:rsidRPr="0072522F">
              <w:rPr>
                <w:b/>
                <w:bCs/>
                <w:sz w:val="18"/>
                <w:szCs w:val="18"/>
                <w:rtl/>
              </w:rPr>
              <w:t>1</w:t>
            </w:r>
          </w:p>
        </w:tc>
        <w:tc>
          <w:tcPr>
            <w:tcW w:w="324" w:type="dxa"/>
            <w:tcBorders>
              <w:top w:val="single" w:sz="4" w:space="0" w:color="auto"/>
              <w:bottom w:val="single" w:sz="12" w:space="0" w:color="auto"/>
            </w:tcBorders>
            <w:shd w:val="clear" w:color="auto" w:fill="auto"/>
            <w:vAlign w:val="bottom"/>
          </w:tcPr>
          <w:p w14:paraId="22979099"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1</w:t>
            </w:r>
          </w:p>
        </w:tc>
        <w:tc>
          <w:tcPr>
            <w:tcW w:w="323" w:type="dxa"/>
            <w:tcBorders>
              <w:top w:val="single" w:sz="4" w:space="0" w:color="auto"/>
              <w:bottom w:val="single" w:sz="12" w:space="0" w:color="auto"/>
            </w:tcBorders>
            <w:shd w:val="clear" w:color="auto" w:fill="auto"/>
            <w:tcMar>
              <w:right w:w="28" w:type="dxa"/>
            </w:tcMar>
            <w:vAlign w:val="bottom"/>
          </w:tcPr>
          <w:p w14:paraId="2B930F7B"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1</w:t>
            </w:r>
          </w:p>
        </w:tc>
        <w:tc>
          <w:tcPr>
            <w:tcW w:w="324" w:type="dxa"/>
            <w:tcBorders>
              <w:top w:val="single" w:sz="4" w:space="0" w:color="auto"/>
              <w:bottom w:val="single" w:sz="12" w:space="0" w:color="auto"/>
            </w:tcBorders>
            <w:shd w:val="clear" w:color="auto" w:fill="auto"/>
            <w:vAlign w:val="bottom"/>
          </w:tcPr>
          <w:p w14:paraId="43C5A99D"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1</w:t>
            </w:r>
          </w:p>
        </w:tc>
        <w:tc>
          <w:tcPr>
            <w:tcW w:w="323" w:type="dxa"/>
            <w:tcBorders>
              <w:top w:val="single" w:sz="4" w:space="0" w:color="auto"/>
              <w:bottom w:val="single" w:sz="12" w:space="0" w:color="auto"/>
            </w:tcBorders>
            <w:shd w:val="clear" w:color="auto" w:fill="auto"/>
            <w:tcMar>
              <w:right w:w="28" w:type="dxa"/>
            </w:tcMar>
            <w:vAlign w:val="bottom"/>
          </w:tcPr>
          <w:p w14:paraId="1108D443"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4</w:t>
            </w:r>
          </w:p>
        </w:tc>
        <w:tc>
          <w:tcPr>
            <w:tcW w:w="453" w:type="dxa"/>
            <w:tcBorders>
              <w:top w:val="single" w:sz="4" w:space="0" w:color="auto"/>
              <w:bottom w:val="single" w:sz="12" w:space="0" w:color="auto"/>
            </w:tcBorders>
            <w:shd w:val="clear" w:color="auto" w:fill="auto"/>
            <w:tcMar>
              <w:right w:w="28" w:type="dxa"/>
            </w:tcMar>
            <w:vAlign w:val="bottom"/>
          </w:tcPr>
          <w:p w14:paraId="1AC3DB38" w14:textId="77777777" w:rsidR="00971B29" w:rsidRPr="0072522F" w:rsidRDefault="00971B29" w:rsidP="0072522F">
            <w:pPr>
              <w:spacing w:before="20" w:after="40" w:line="300" w:lineRule="exact"/>
              <w:ind w:left="57" w:right="57"/>
              <w:textDirection w:val="tbRlV"/>
              <w:rPr>
                <w:b/>
                <w:bCs/>
                <w:sz w:val="18"/>
                <w:szCs w:val="18"/>
                <w:lang w:val="ar-SA" w:eastAsia="zh-TW" w:bidi="en-GB"/>
              </w:rPr>
            </w:pPr>
            <w:r w:rsidRPr="0072522F">
              <w:rPr>
                <w:b/>
                <w:bCs/>
                <w:sz w:val="18"/>
                <w:szCs w:val="18"/>
                <w:rtl/>
              </w:rPr>
              <w:t>26</w:t>
            </w:r>
          </w:p>
        </w:tc>
        <w:tc>
          <w:tcPr>
            <w:tcW w:w="356" w:type="dxa"/>
            <w:tcBorders>
              <w:top w:val="single" w:sz="4" w:space="0" w:color="auto"/>
              <w:bottom w:val="single" w:sz="12" w:space="0" w:color="auto"/>
            </w:tcBorders>
            <w:shd w:val="clear" w:color="auto" w:fill="auto"/>
            <w:tcMar>
              <w:right w:w="28" w:type="dxa"/>
            </w:tcMar>
            <w:vAlign w:val="bottom"/>
          </w:tcPr>
          <w:p w14:paraId="66BDB4C1"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4</w:t>
            </w:r>
          </w:p>
        </w:tc>
        <w:tc>
          <w:tcPr>
            <w:tcW w:w="429" w:type="dxa"/>
            <w:tcBorders>
              <w:top w:val="single" w:sz="4" w:space="0" w:color="auto"/>
              <w:bottom w:val="single" w:sz="12" w:space="0" w:color="auto"/>
            </w:tcBorders>
            <w:shd w:val="clear" w:color="auto" w:fill="auto"/>
            <w:tcMar>
              <w:right w:w="28" w:type="dxa"/>
            </w:tcMar>
            <w:vAlign w:val="bottom"/>
          </w:tcPr>
          <w:p w14:paraId="16CC3FE9" w14:textId="77777777" w:rsidR="00971B29" w:rsidRPr="0072522F" w:rsidRDefault="00971B29" w:rsidP="0072522F">
            <w:pPr>
              <w:spacing w:before="20" w:after="40" w:line="300" w:lineRule="exact"/>
              <w:ind w:left="57" w:right="57"/>
              <w:textDirection w:val="tbRlV"/>
              <w:rPr>
                <w:b/>
                <w:bCs/>
                <w:sz w:val="18"/>
                <w:szCs w:val="18"/>
                <w:lang w:val="ar-SA" w:eastAsia="zh-TW" w:bidi="en-GB"/>
              </w:rPr>
            </w:pPr>
            <w:r w:rsidRPr="0072522F">
              <w:rPr>
                <w:b/>
                <w:bCs/>
                <w:sz w:val="18"/>
                <w:szCs w:val="18"/>
                <w:rtl/>
              </w:rPr>
              <w:t>24</w:t>
            </w:r>
          </w:p>
        </w:tc>
        <w:tc>
          <w:tcPr>
            <w:tcW w:w="466" w:type="dxa"/>
            <w:tcBorders>
              <w:top w:val="single" w:sz="4" w:space="0" w:color="auto"/>
              <w:bottom w:val="single" w:sz="12" w:space="0" w:color="auto"/>
            </w:tcBorders>
            <w:shd w:val="clear" w:color="auto" w:fill="auto"/>
            <w:tcMar>
              <w:right w:w="28" w:type="dxa"/>
            </w:tcMar>
            <w:vAlign w:val="bottom"/>
          </w:tcPr>
          <w:p w14:paraId="34BC816C" w14:textId="77777777" w:rsidR="00971B29" w:rsidRPr="0072522F" w:rsidRDefault="00971B29" w:rsidP="0072522F">
            <w:pPr>
              <w:spacing w:before="20" w:after="40" w:line="300" w:lineRule="exact"/>
              <w:ind w:left="57" w:right="57"/>
              <w:textDirection w:val="tbRlV"/>
              <w:rPr>
                <w:b/>
                <w:bCs/>
                <w:sz w:val="18"/>
                <w:szCs w:val="18"/>
                <w:lang w:val="ar-SA" w:eastAsia="zh-TW" w:bidi="en-GB"/>
              </w:rPr>
            </w:pPr>
            <w:r w:rsidRPr="0072522F">
              <w:rPr>
                <w:b/>
                <w:bCs/>
                <w:sz w:val="18"/>
                <w:szCs w:val="18"/>
                <w:rtl/>
              </w:rPr>
              <w:t>492</w:t>
            </w:r>
          </w:p>
        </w:tc>
        <w:tc>
          <w:tcPr>
            <w:tcW w:w="384" w:type="dxa"/>
            <w:tcBorders>
              <w:top w:val="single" w:sz="4" w:space="0" w:color="auto"/>
              <w:bottom w:val="single" w:sz="12" w:space="0" w:color="auto"/>
            </w:tcBorders>
            <w:shd w:val="clear" w:color="auto" w:fill="auto"/>
            <w:tcMar>
              <w:right w:w="28" w:type="dxa"/>
            </w:tcMar>
            <w:vAlign w:val="bottom"/>
          </w:tcPr>
          <w:p w14:paraId="3EBDD36B"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2</w:t>
            </w:r>
          </w:p>
        </w:tc>
        <w:tc>
          <w:tcPr>
            <w:tcW w:w="305" w:type="dxa"/>
            <w:tcBorders>
              <w:top w:val="single" w:sz="4" w:space="0" w:color="auto"/>
              <w:bottom w:val="single" w:sz="12" w:space="0" w:color="auto"/>
            </w:tcBorders>
            <w:shd w:val="clear" w:color="auto" w:fill="auto"/>
            <w:tcMar>
              <w:right w:w="28" w:type="dxa"/>
            </w:tcMar>
            <w:vAlign w:val="bottom"/>
          </w:tcPr>
          <w:p w14:paraId="136478C8"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2</w:t>
            </w:r>
          </w:p>
        </w:tc>
        <w:tc>
          <w:tcPr>
            <w:tcW w:w="357" w:type="dxa"/>
            <w:tcBorders>
              <w:top w:val="single" w:sz="4" w:space="0" w:color="auto"/>
              <w:bottom w:val="single" w:sz="12" w:space="0" w:color="auto"/>
            </w:tcBorders>
            <w:shd w:val="clear" w:color="auto" w:fill="auto"/>
            <w:vAlign w:val="bottom"/>
          </w:tcPr>
          <w:p w14:paraId="107A3A05"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1</w:t>
            </w:r>
          </w:p>
        </w:tc>
        <w:tc>
          <w:tcPr>
            <w:tcW w:w="324" w:type="dxa"/>
            <w:tcBorders>
              <w:top w:val="single" w:sz="4" w:space="0" w:color="auto"/>
              <w:bottom w:val="single" w:sz="12" w:space="0" w:color="auto"/>
            </w:tcBorders>
            <w:shd w:val="clear" w:color="auto" w:fill="auto"/>
            <w:tcMar>
              <w:right w:w="28" w:type="dxa"/>
            </w:tcMar>
            <w:vAlign w:val="bottom"/>
          </w:tcPr>
          <w:p w14:paraId="3C108F7C"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1</w:t>
            </w:r>
          </w:p>
        </w:tc>
        <w:tc>
          <w:tcPr>
            <w:tcW w:w="483" w:type="dxa"/>
            <w:tcBorders>
              <w:top w:val="single" w:sz="4" w:space="0" w:color="auto"/>
              <w:bottom w:val="single" w:sz="12" w:space="0" w:color="auto"/>
            </w:tcBorders>
            <w:shd w:val="clear" w:color="auto" w:fill="auto"/>
            <w:tcMar>
              <w:right w:w="28" w:type="dxa"/>
            </w:tcMar>
            <w:vAlign w:val="bottom"/>
          </w:tcPr>
          <w:p w14:paraId="625D4E54" w14:textId="77777777" w:rsidR="00971B29" w:rsidRPr="0072522F" w:rsidRDefault="00971B29" w:rsidP="0072522F">
            <w:pPr>
              <w:spacing w:before="20" w:after="40" w:line="300" w:lineRule="exact"/>
              <w:ind w:left="57" w:right="57"/>
              <w:textDirection w:val="tbRlV"/>
              <w:rPr>
                <w:b/>
                <w:bCs/>
                <w:sz w:val="18"/>
                <w:szCs w:val="18"/>
                <w:lang w:val="ar-SA" w:eastAsia="zh-TW" w:bidi="en-GB"/>
              </w:rPr>
            </w:pPr>
            <w:r w:rsidRPr="0072522F">
              <w:rPr>
                <w:b/>
                <w:bCs/>
                <w:sz w:val="18"/>
                <w:szCs w:val="18"/>
                <w:rtl/>
              </w:rPr>
              <w:t>424</w:t>
            </w:r>
          </w:p>
        </w:tc>
        <w:tc>
          <w:tcPr>
            <w:tcW w:w="325" w:type="dxa"/>
            <w:tcBorders>
              <w:top w:val="single" w:sz="4" w:space="0" w:color="auto"/>
              <w:bottom w:val="single" w:sz="12" w:space="0" w:color="auto"/>
            </w:tcBorders>
            <w:shd w:val="clear" w:color="auto" w:fill="auto"/>
            <w:tcMar>
              <w:right w:w="28" w:type="dxa"/>
            </w:tcMar>
            <w:vAlign w:val="bottom"/>
          </w:tcPr>
          <w:p w14:paraId="3092D4E4"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4</w:t>
            </w:r>
          </w:p>
        </w:tc>
        <w:tc>
          <w:tcPr>
            <w:tcW w:w="332" w:type="dxa"/>
            <w:tcBorders>
              <w:top w:val="single" w:sz="4" w:space="0" w:color="auto"/>
              <w:bottom w:val="single" w:sz="12" w:space="0" w:color="auto"/>
            </w:tcBorders>
            <w:shd w:val="clear" w:color="auto" w:fill="auto"/>
            <w:vAlign w:val="bottom"/>
          </w:tcPr>
          <w:p w14:paraId="0BFE09A5"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1</w:t>
            </w:r>
          </w:p>
        </w:tc>
        <w:tc>
          <w:tcPr>
            <w:tcW w:w="426" w:type="dxa"/>
            <w:tcBorders>
              <w:top w:val="single" w:sz="4" w:space="0" w:color="auto"/>
              <w:bottom w:val="single" w:sz="12" w:space="0" w:color="auto"/>
            </w:tcBorders>
            <w:shd w:val="clear" w:color="auto" w:fill="auto"/>
            <w:vAlign w:val="bottom"/>
          </w:tcPr>
          <w:p w14:paraId="2BC4B81D"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1</w:t>
            </w:r>
          </w:p>
        </w:tc>
        <w:tc>
          <w:tcPr>
            <w:tcW w:w="382" w:type="dxa"/>
            <w:tcBorders>
              <w:top w:val="single" w:sz="4" w:space="0" w:color="auto"/>
              <w:bottom w:val="single" w:sz="12" w:space="0" w:color="auto"/>
            </w:tcBorders>
            <w:shd w:val="clear" w:color="auto" w:fill="auto"/>
            <w:vAlign w:val="bottom"/>
          </w:tcPr>
          <w:p w14:paraId="34D7FAB7" w14:textId="77777777" w:rsidR="00971B29" w:rsidRPr="0072522F" w:rsidRDefault="00971B29" w:rsidP="0072522F">
            <w:pPr>
              <w:spacing w:before="20" w:after="40" w:line="300" w:lineRule="exact"/>
              <w:ind w:left="57" w:right="57"/>
              <w:textDirection w:val="tbRlV"/>
              <w:rPr>
                <w:b/>
                <w:bCs/>
                <w:sz w:val="18"/>
                <w:szCs w:val="18"/>
                <w:lang w:val="ar-SA" w:eastAsia="zh-TW" w:bidi="en-GB"/>
              </w:rPr>
            </w:pPr>
            <w:r w:rsidRPr="0072522F">
              <w:rPr>
                <w:b/>
                <w:bCs/>
                <w:sz w:val="18"/>
                <w:szCs w:val="18"/>
                <w:rtl/>
              </w:rPr>
              <w:t>14</w:t>
            </w:r>
          </w:p>
        </w:tc>
        <w:tc>
          <w:tcPr>
            <w:tcW w:w="326" w:type="dxa"/>
            <w:tcBorders>
              <w:top w:val="single" w:sz="4" w:space="0" w:color="auto"/>
              <w:bottom w:val="single" w:sz="12" w:space="0" w:color="auto"/>
            </w:tcBorders>
            <w:shd w:val="clear" w:color="auto" w:fill="auto"/>
            <w:tcMar>
              <w:right w:w="28" w:type="dxa"/>
            </w:tcMar>
            <w:vAlign w:val="bottom"/>
          </w:tcPr>
          <w:p w14:paraId="5CBA1193"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1</w:t>
            </w:r>
          </w:p>
        </w:tc>
        <w:tc>
          <w:tcPr>
            <w:tcW w:w="346" w:type="dxa"/>
            <w:tcBorders>
              <w:top w:val="single" w:sz="4" w:space="0" w:color="auto"/>
              <w:bottom w:val="single" w:sz="12" w:space="0" w:color="auto"/>
            </w:tcBorders>
            <w:shd w:val="clear" w:color="auto" w:fill="auto"/>
            <w:vAlign w:val="bottom"/>
          </w:tcPr>
          <w:p w14:paraId="69411F19"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1</w:t>
            </w:r>
          </w:p>
        </w:tc>
        <w:tc>
          <w:tcPr>
            <w:tcW w:w="363" w:type="dxa"/>
            <w:tcBorders>
              <w:top w:val="single" w:sz="4" w:space="0" w:color="auto"/>
              <w:bottom w:val="single" w:sz="12" w:space="0" w:color="auto"/>
            </w:tcBorders>
            <w:shd w:val="clear" w:color="auto" w:fill="auto"/>
            <w:tcMar>
              <w:right w:w="28" w:type="dxa"/>
            </w:tcMar>
            <w:vAlign w:val="bottom"/>
          </w:tcPr>
          <w:p w14:paraId="0252F51A"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3</w:t>
            </w:r>
          </w:p>
        </w:tc>
        <w:tc>
          <w:tcPr>
            <w:tcW w:w="393" w:type="dxa"/>
            <w:tcBorders>
              <w:top w:val="single" w:sz="4" w:space="0" w:color="auto"/>
              <w:bottom w:val="single" w:sz="12" w:space="0" w:color="auto"/>
            </w:tcBorders>
            <w:shd w:val="clear" w:color="auto" w:fill="auto"/>
            <w:tcMar>
              <w:right w:w="28" w:type="dxa"/>
            </w:tcMar>
            <w:vAlign w:val="bottom"/>
          </w:tcPr>
          <w:p w14:paraId="439192F4" w14:textId="77777777" w:rsidR="00971B29" w:rsidRPr="0072522F" w:rsidRDefault="00971B29" w:rsidP="0072522F">
            <w:pPr>
              <w:spacing w:before="20" w:after="40" w:line="300" w:lineRule="exact"/>
              <w:ind w:left="57" w:right="57"/>
              <w:textDirection w:val="tbRlV"/>
              <w:rPr>
                <w:b/>
                <w:bCs/>
                <w:sz w:val="18"/>
                <w:szCs w:val="18"/>
              </w:rPr>
            </w:pPr>
            <w:r w:rsidRPr="0072522F">
              <w:rPr>
                <w:b/>
                <w:bCs/>
                <w:sz w:val="18"/>
                <w:szCs w:val="18"/>
                <w:rtl/>
              </w:rPr>
              <w:t>1</w:t>
            </w:r>
          </w:p>
        </w:tc>
        <w:tc>
          <w:tcPr>
            <w:tcW w:w="599" w:type="dxa"/>
            <w:tcBorders>
              <w:top w:val="single" w:sz="4" w:space="0" w:color="auto"/>
              <w:bottom w:val="single" w:sz="12" w:space="0" w:color="auto"/>
            </w:tcBorders>
            <w:shd w:val="clear" w:color="auto" w:fill="auto"/>
            <w:tcMar>
              <w:right w:w="28" w:type="dxa"/>
            </w:tcMar>
            <w:vAlign w:val="bottom"/>
          </w:tcPr>
          <w:p w14:paraId="42BF7070" w14:textId="77777777" w:rsidR="00971B29" w:rsidRPr="0072522F" w:rsidRDefault="00971B29" w:rsidP="0072522F">
            <w:pPr>
              <w:spacing w:before="20" w:after="40" w:line="300" w:lineRule="exact"/>
              <w:ind w:left="57"/>
              <w:textDirection w:val="tbRlV"/>
              <w:rPr>
                <w:b/>
                <w:bCs/>
                <w:sz w:val="18"/>
                <w:szCs w:val="18"/>
                <w:lang w:val="ar-SA" w:eastAsia="zh-TW" w:bidi="en-GB"/>
              </w:rPr>
            </w:pPr>
            <w:r w:rsidRPr="0072522F">
              <w:rPr>
                <w:b/>
                <w:bCs/>
                <w:sz w:val="18"/>
                <w:szCs w:val="18"/>
                <w:rtl/>
              </w:rPr>
              <w:t>013</w:t>
            </w:r>
            <w:r w:rsidRPr="0072522F">
              <w:rPr>
                <w:rFonts w:ascii="Traditional Arabic"/>
                <w:b/>
                <w:bCs/>
                <w:sz w:val="18"/>
                <w:szCs w:val="18"/>
                <w:rtl/>
              </w:rPr>
              <w:t xml:space="preserve"> </w:t>
            </w:r>
            <w:r w:rsidRPr="0072522F">
              <w:rPr>
                <w:b/>
                <w:bCs/>
                <w:sz w:val="18"/>
                <w:szCs w:val="18"/>
                <w:rtl/>
              </w:rPr>
              <w:t>1</w:t>
            </w:r>
          </w:p>
        </w:tc>
      </w:tr>
    </w:tbl>
    <w:p w14:paraId="2682F2A7" w14:textId="2A76F1C4" w:rsidR="00971B29" w:rsidRPr="0072522F" w:rsidRDefault="0072522F" w:rsidP="00971B29">
      <w:pPr>
        <w:pStyle w:val="SingleTxtGA"/>
        <w:rPr>
          <w:sz w:val="18"/>
          <w:szCs w:val="18"/>
          <w:rtl/>
          <w:lang w:val="en-US" w:eastAsia="zh-TW"/>
        </w:rPr>
      </w:pPr>
      <w:r w:rsidRPr="0072522F">
        <w:rPr>
          <w:rFonts w:hint="cs"/>
          <w:sz w:val="18"/>
          <w:szCs w:val="18"/>
          <w:rtl/>
        </w:rPr>
        <w:t>(</w:t>
      </w:r>
      <w:r w:rsidR="00971B29" w:rsidRPr="0072522F">
        <w:rPr>
          <w:sz w:val="18"/>
          <w:szCs w:val="18"/>
          <w:rtl/>
        </w:rPr>
        <w:t>أ</w:t>
      </w:r>
      <w:r w:rsidRPr="0072522F">
        <w:rPr>
          <w:rFonts w:hint="cs"/>
          <w:sz w:val="18"/>
          <w:szCs w:val="18"/>
          <w:rtl/>
        </w:rPr>
        <w:t>)</w:t>
      </w:r>
      <w:r w:rsidRPr="0072522F">
        <w:rPr>
          <w:sz w:val="18"/>
          <w:szCs w:val="18"/>
          <w:rtl/>
        </w:rPr>
        <w:tab/>
      </w:r>
      <w:r w:rsidR="00971B29" w:rsidRPr="0072522F">
        <w:rPr>
          <w:sz w:val="18"/>
          <w:szCs w:val="18"/>
          <w:rtl/>
        </w:rPr>
        <w:t xml:space="preserve">حتى 1 </w:t>
      </w:r>
      <w:r w:rsidR="009041C9">
        <w:rPr>
          <w:rFonts w:hint="cs"/>
          <w:sz w:val="18"/>
          <w:szCs w:val="18"/>
          <w:rtl/>
          <w:lang w:val="es-ES"/>
        </w:rPr>
        <w:t>نيسان/</w:t>
      </w:r>
      <w:r w:rsidR="00971B29" w:rsidRPr="0072522F">
        <w:rPr>
          <w:sz w:val="18"/>
          <w:szCs w:val="18"/>
          <w:rtl/>
        </w:rPr>
        <w:t>أبريل 2021</w:t>
      </w:r>
      <w:r w:rsidRPr="0072522F">
        <w:rPr>
          <w:rFonts w:hint="cs"/>
          <w:sz w:val="18"/>
          <w:szCs w:val="18"/>
          <w:rtl/>
          <w:lang w:val="en-US" w:eastAsia="zh-TW"/>
        </w:rPr>
        <w:t xml:space="preserve">. </w:t>
      </w:r>
    </w:p>
    <w:p w14:paraId="08A3AB7E" w14:textId="271769F5" w:rsidR="00971B29" w:rsidRPr="001D7E49" w:rsidRDefault="00971B29" w:rsidP="00971B29">
      <w:pPr>
        <w:pStyle w:val="H1GA"/>
        <w:rPr>
          <w:szCs w:val="20"/>
          <w:lang w:val="en-US" w:eastAsia="zh-TW" w:bidi="en-GB"/>
        </w:rPr>
      </w:pPr>
      <w:r>
        <w:rPr>
          <w:rtl/>
        </w:rPr>
        <w:tab/>
        <w:t>جيم-</w:t>
      </w:r>
      <w:r>
        <w:rPr>
          <w:rtl/>
        </w:rPr>
        <w:tab/>
        <w:t xml:space="preserve">مستجدات الأحداث منذ الدورة التاسعة عشرة </w:t>
      </w:r>
      <w:r w:rsidRPr="001D7E49">
        <w:rPr>
          <w:rtl/>
        </w:rPr>
        <w:t>(إلى غاية 1 نيسان/أبريل 2021)</w:t>
      </w:r>
    </w:p>
    <w:p w14:paraId="09F6A471" w14:textId="7913CA05" w:rsidR="00971B29" w:rsidRDefault="00971B29" w:rsidP="00971B29">
      <w:pPr>
        <w:pStyle w:val="SingleTxtGA"/>
        <w:rPr>
          <w:szCs w:val="20"/>
          <w:lang w:val="ar-SA" w:eastAsia="zh-TW" w:bidi="en-GB"/>
        </w:rPr>
      </w:pPr>
      <w:r w:rsidRPr="00FA58B2">
        <w:rPr>
          <w:rtl/>
        </w:rPr>
        <w:t>4</w:t>
      </w:r>
      <w:r>
        <w:rPr>
          <w:rFonts w:ascii="Traditional Arabic"/>
          <w:szCs w:val="20"/>
          <w:rtl/>
        </w:rPr>
        <w:t>-</w:t>
      </w:r>
      <w:r>
        <w:rPr>
          <w:rtl/>
        </w:rPr>
        <w:tab/>
        <w:t xml:space="preserve">في عام </w:t>
      </w:r>
      <w:r w:rsidRPr="00FA58B2">
        <w:rPr>
          <w:rtl/>
        </w:rPr>
        <w:t>20</w:t>
      </w:r>
      <w:r w:rsidR="009041C9">
        <w:rPr>
          <w:rFonts w:hint="cs"/>
          <w:rtl/>
        </w:rPr>
        <w:t>20</w:t>
      </w:r>
      <w:r>
        <w:rPr>
          <w:rtl/>
        </w:rPr>
        <w:t xml:space="preserve">، سجلت اللجنة </w:t>
      </w:r>
      <w:r w:rsidRPr="00FA58B2">
        <w:rPr>
          <w:rtl/>
        </w:rPr>
        <w:t>192</w:t>
      </w:r>
      <w:r>
        <w:rPr>
          <w:rtl/>
        </w:rPr>
        <w:t xml:space="preserve"> طلباً جديداً لاتخاذ الإجراءات العاجلة وأرسلت </w:t>
      </w:r>
      <w:r w:rsidRPr="00FA58B2">
        <w:rPr>
          <w:rtl/>
        </w:rPr>
        <w:t>10</w:t>
      </w:r>
      <w:r w:rsidR="009041C9">
        <w:rPr>
          <w:rFonts w:hint="cs"/>
          <w:rtl/>
        </w:rPr>
        <w:t>2</w:t>
      </w:r>
      <w:r>
        <w:rPr>
          <w:rtl/>
        </w:rPr>
        <w:t xml:space="preserve"> مذكرة متابعة ومذكرتين إلى الدول الأطراف، ضمنتها توصيات محددة تتعلق بالبحث والتحقيق في حالة الاختفاء القسري. وفي الفترة من </w:t>
      </w:r>
      <w:r w:rsidRPr="00FA58B2">
        <w:rPr>
          <w:rtl/>
        </w:rPr>
        <w:t>1</w:t>
      </w:r>
      <w:r>
        <w:rPr>
          <w:rtl/>
        </w:rPr>
        <w:t xml:space="preserve"> كانون الثاني/يناير إلى </w:t>
      </w:r>
      <w:r w:rsidRPr="00FA58B2">
        <w:rPr>
          <w:rtl/>
        </w:rPr>
        <w:t>1</w:t>
      </w:r>
      <w:r>
        <w:rPr>
          <w:rtl/>
        </w:rPr>
        <w:t xml:space="preserve"> نيسان/أبريل </w:t>
      </w:r>
      <w:r w:rsidRPr="00FA58B2">
        <w:rPr>
          <w:rtl/>
        </w:rPr>
        <w:t>2021</w:t>
      </w:r>
      <w:r>
        <w:rPr>
          <w:rtl/>
        </w:rPr>
        <w:t xml:space="preserve">، سجّلت اللجنة </w:t>
      </w:r>
      <w:r w:rsidRPr="00FA58B2">
        <w:rPr>
          <w:rtl/>
        </w:rPr>
        <w:t>12</w:t>
      </w:r>
      <w:r>
        <w:rPr>
          <w:rtl/>
        </w:rPr>
        <w:t xml:space="preserve"> طلباً جديداً لاتخاذ الإجراءات العاجلة وأرسلت </w:t>
      </w:r>
      <w:r w:rsidRPr="00FA58B2">
        <w:rPr>
          <w:rtl/>
        </w:rPr>
        <w:t>17</w:t>
      </w:r>
      <w:r>
        <w:rPr>
          <w:rtl/>
        </w:rPr>
        <w:t xml:space="preserve"> مذكرة متابعة.</w:t>
      </w:r>
    </w:p>
    <w:p w14:paraId="560F4835" w14:textId="77777777" w:rsidR="00971B29" w:rsidRPr="00F51BB9" w:rsidRDefault="00971B29" w:rsidP="00971B29">
      <w:pPr>
        <w:pStyle w:val="SingleTxtGA"/>
        <w:rPr>
          <w:szCs w:val="20"/>
          <w:lang w:val="ar-SA" w:eastAsia="zh-TW" w:bidi="en-GB"/>
        </w:rPr>
      </w:pPr>
      <w:r w:rsidRPr="00FA58B2">
        <w:rPr>
          <w:rtl/>
        </w:rPr>
        <w:t>5</w:t>
      </w:r>
      <w:r>
        <w:rPr>
          <w:rFonts w:ascii="Traditional Arabic"/>
          <w:szCs w:val="20"/>
          <w:rtl/>
        </w:rPr>
        <w:t>-</w:t>
      </w:r>
      <w:r>
        <w:rPr>
          <w:rtl/>
        </w:rPr>
        <w:tab/>
        <w:t>وتبقى اللجنة، في جميع مراحل الإجراء، على تواصل دائم مع الدول الأطراف بواسطة بعثاتها الدائمة، ومع مقدمي طلبات الإجراءات العاجلة عن طريق مذكرات ورسائل واجتماعات واتصالات هاتفية. وتعتمد اللجنة بشكل كبير أيضاً على تعاون مفوضية الأمم المتحدة السامية لحقوق الإنسان والبعثات الميدانية للأمم المتحدة التي تنقل المعلومات عادةً ما بين أصحاب طلبات الإجراءات العاجلة (لا سيما أقارب الأشخاص المختفين) وبين اللجنة.</w:t>
      </w:r>
    </w:p>
    <w:p w14:paraId="23520C32" w14:textId="5589C9C2" w:rsidR="00971B29" w:rsidRPr="00F51BB9" w:rsidRDefault="00971B29" w:rsidP="00971B29">
      <w:pPr>
        <w:pStyle w:val="SingleTxtGA"/>
        <w:rPr>
          <w:szCs w:val="20"/>
          <w:lang w:val="ar-SA" w:eastAsia="zh-TW" w:bidi="en-GB"/>
        </w:rPr>
      </w:pPr>
      <w:r w:rsidRPr="00FA58B2">
        <w:rPr>
          <w:rtl/>
        </w:rPr>
        <w:t>6</w:t>
      </w:r>
      <w:r>
        <w:rPr>
          <w:rFonts w:ascii="Traditional Arabic"/>
          <w:szCs w:val="20"/>
          <w:rtl/>
        </w:rPr>
        <w:t>-</w:t>
      </w:r>
      <w:r>
        <w:rPr>
          <w:rtl/>
        </w:rPr>
        <w:tab/>
        <w:t>وتؤكد المعلومات المقدمة في إطار عملية الإجراءات العاجلة عدداً من الاتجاهات المبينة في التقارير التي اعتمدتها اللجنة في دوراتها من الحادية عشرة إلى التاسعة عشرة</w:t>
      </w:r>
      <w:r w:rsidR="00BB5F1C">
        <w:rPr>
          <w:rStyle w:val="FootnoteReference"/>
          <w:rtl/>
        </w:rPr>
        <w:t>(</w:t>
      </w:r>
      <w:r w:rsidR="00BB5F1C">
        <w:rPr>
          <w:rStyle w:val="FootnoteReference"/>
          <w:rtl/>
        </w:rPr>
        <w:footnoteReference w:id="3"/>
      </w:r>
      <w:r w:rsidR="00BB5F1C">
        <w:rPr>
          <w:rStyle w:val="FootnoteReference"/>
          <w:rtl/>
        </w:rPr>
        <w:t>)</w:t>
      </w:r>
      <w:r w:rsidR="0072522F">
        <w:rPr>
          <w:rFonts w:hint="cs"/>
          <w:rtl/>
        </w:rPr>
        <w:t>.</w:t>
      </w:r>
      <w:r>
        <w:rPr>
          <w:rtl/>
        </w:rPr>
        <w:t xml:space="preserve"> فمنذ الدورة التاسعة عشرة، كان ما يقرب من نصف الحالات التي سجلت اللجنة بشأنها طلبات لاتخاذ الإجراءات العاجلة يتعلق بأحداث وقعت في العراق.</w:t>
      </w:r>
    </w:p>
    <w:p w14:paraId="1DAAA612" w14:textId="62EC8782" w:rsidR="00971B29" w:rsidRPr="00F51BB9" w:rsidRDefault="00971B29" w:rsidP="00971B29">
      <w:pPr>
        <w:pStyle w:val="H23GA"/>
        <w:rPr>
          <w:szCs w:val="20"/>
          <w:lang w:val="ar-SA" w:eastAsia="zh-TW" w:bidi="en-GB"/>
        </w:rPr>
      </w:pPr>
      <w:r>
        <w:rPr>
          <w:rFonts w:ascii="Traditional Arabic"/>
          <w:szCs w:val="20"/>
          <w:rtl/>
        </w:rPr>
        <w:lastRenderedPageBreak/>
        <w:tab/>
      </w:r>
      <w:r w:rsidRPr="00FA58B2">
        <w:rPr>
          <w:rtl/>
        </w:rPr>
        <w:t>1</w:t>
      </w:r>
      <w:r>
        <w:rPr>
          <w:rFonts w:ascii="Traditional Arabic"/>
          <w:szCs w:val="20"/>
          <w:rtl/>
        </w:rPr>
        <w:t>-</w:t>
      </w:r>
      <w:r>
        <w:rPr>
          <w:rtl/>
        </w:rPr>
        <w:tab/>
        <w:t>الاتجاهات العامة الملاحَظة في الفترة المشمولة بالتقرير</w:t>
      </w:r>
    </w:p>
    <w:p w14:paraId="36B1B417" w14:textId="6168452E" w:rsidR="00971B29" w:rsidRPr="00F51BB9" w:rsidRDefault="00971B29" w:rsidP="00971B29">
      <w:pPr>
        <w:pStyle w:val="SingleTxtGA"/>
        <w:rPr>
          <w:szCs w:val="20"/>
          <w:lang w:val="ar-SA" w:eastAsia="zh-TW" w:bidi="en-GB"/>
        </w:rPr>
      </w:pPr>
      <w:r w:rsidRPr="00FA58B2">
        <w:rPr>
          <w:rtl/>
        </w:rPr>
        <w:t>7</w:t>
      </w:r>
      <w:r>
        <w:rPr>
          <w:rFonts w:ascii="Traditional Arabic"/>
          <w:szCs w:val="20"/>
          <w:rtl/>
        </w:rPr>
        <w:t>-</w:t>
      </w:r>
      <w:r>
        <w:rPr>
          <w:rtl/>
        </w:rPr>
        <w:tab/>
        <w:t>ليس المقصود أن تكون الفقرات التالية تحليلا</w:t>
      </w:r>
      <w:r w:rsidR="0072522F">
        <w:rPr>
          <w:rFonts w:hint="cs"/>
          <w:rtl/>
        </w:rPr>
        <w:t>ً</w:t>
      </w:r>
      <w:r>
        <w:rPr>
          <w:rtl/>
        </w:rPr>
        <w:t xml:space="preserve"> شاملا</w:t>
      </w:r>
      <w:r w:rsidR="0072522F">
        <w:rPr>
          <w:rFonts w:hint="cs"/>
          <w:rtl/>
        </w:rPr>
        <w:t>ً</w:t>
      </w:r>
      <w:r>
        <w:rPr>
          <w:rtl/>
        </w:rPr>
        <w:t xml:space="preserve"> لجميع المعلومات الواردة في إطار </w:t>
      </w:r>
      <w:r w:rsidR="0072522F">
        <w:rPr>
          <w:rFonts w:hint="cs"/>
          <w:rtl/>
        </w:rPr>
        <w:t>ع</w:t>
      </w:r>
      <w:r>
        <w:rPr>
          <w:rtl/>
        </w:rPr>
        <w:t>ملية الإجراءات العاجلة، ولكنها تتضمن وصفا</w:t>
      </w:r>
      <w:r w:rsidR="0072522F">
        <w:rPr>
          <w:rFonts w:hint="cs"/>
          <w:rtl/>
        </w:rPr>
        <w:t>ً</w:t>
      </w:r>
      <w:r>
        <w:rPr>
          <w:rtl/>
        </w:rPr>
        <w:t xml:space="preserve"> للمسائل والاتجاهات العامة في بعض الدول الأطراف على مدى الفترة قيد الاستعراض.</w:t>
      </w:r>
    </w:p>
    <w:p w14:paraId="5A56AEFF" w14:textId="77777777" w:rsidR="00971B29" w:rsidRPr="00F51BB9" w:rsidRDefault="00971B29" w:rsidP="00971B29">
      <w:pPr>
        <w:pStyle w:val="SingleTxtGA"/>
        <w:rPr>
          <w:szCs w:val="20"/>
          <w:lang w:val="ar-SA" w:eastAsia="zh-TW" w:bidi="en-GB"/>
        </w:rPr>
      </w:pPr>
      <w:r w:rsidRPr="00FA58B2">
        <w:rPr>
          <w:rtl/>
        </w:rPr>
        <w:t>8</w:t>
      </w:r>
      <w:r>
        <w:rPr>
          <w:rFonts w:ascii="Traditional Arabic"/>
          <w:szCs w:val="20"/>
          <w:rtl/>
        </w:rPr>
        <w:t>-</w:t>
      </w:r>
      <w:r>
        <w:rPr>
          <w:rtl/>
        </w:rPr>
        <w:tab/>
        <w:t>وقد حددت اللجنة، في الفترة قيد الاستعراض، المسائل الست التالية التي يتعين تحليلها في ضوء المعلومات التي وردت في إطار عملية الإجراءات العاجلة.</w:t>
      </w:r>
    </w:p>
    <w:p w14:paraId="4A8441E8" w14:textId="6D9AB3B1" w:rsidR="00971B29" w:rsidRPr="00F51BB9" w:rsidRDefault="00971B29" w:rsidP="00971B29">
      <w:pPr>
        <w:pStyle w:val="H23GA"/>
        <w:rPr>
          <w:szCs w:val="20"/>
          <w:lang w:val="ar-SA" w:eastAsia="zh-TW" w:bidi="en-GB"/>
        </w:rPr>
      </w:pPr>
      <w:r>
        <w:rPr>
          <w:rtl/>
        </w:rPr>
        <w:tab/>
        <w:t>(أ)</w:t>
      </w:r>
      <w:r>
        <w:rPr>
          <w:rtl/>
        </w:rPr>
        <w:tab/>
        <w:t>لم يرد أي جواب من الدول الأطراف المعنية أو من أصحاب طلبات اتخاذ الإجراءات العاجلة</w:t>
      </w:r>
    </w:p>
    <w:p w14:paraId="4EE12FE1" w14:textId="1A580EC6" w:rsidR="00971B29" w:rsidRPr="00F66675" w:rsidRDefault="00971B29" w:rsidP="00971B29">
      <w:pPr>
        <w:pStyle w:val="SingleTxtGA"/>
        <w:rPr>
          <w:spacing w:val="-2"/>
          <w:szCs w:val="20"/>
          <w:lang w:val="ar-SA" w:eastAsia="zh-TW" w:bidi="en-GB"/>
        </w:rPr>
      </w:pPr>
      <w:r w:rsidRPr="00F66675">
        <w:rPr>
          <w:spacing w:val="-2"/>
          <w:rtl/>
        </w:rPr>
        <w:t>9</w:t>
      </w:r>
      <w:r w:rsidRPr="00F66675">
        <w:rPr>
          <w:rFonts w:ascii="Traditional Arabic"/>
          <w:spacing w:val="-2"/>
          <w:szCs w:val="20"/>
          <w:rtl/>
        </w:rPr>
        <w:t>-</w:t>
      </w:r>
      <w:r w:rsidRPr="00F66675">
        <w:rPr>
          <w:spacing w:val="-2"/>
          <w:rtl/>
        </w:rPr>
        <w:tab/>
        <w:t>عندما لا تقدِّم الدول الأطراف المعنية أو أصحاب طلبات اتخاذ الإجراءات العاجلة معلومات المتابعة بحلول المواعيد النهائية التي تحددها اللجنة، ترسل اللجنة رسائل تذكير ثلاث على الأكثر. ويتعاطى معظم الدول الأطراف مع اللجنة عن طريق تقديم معلومات المتابعة والاستجابة لتوصيات اللجنة وإتاحة المعلومات التي تطلبها. ولكن، في حال عدم ورود جواب من الدولة الطرف بعد رسالة التذكير الثالثة، ترسل اللجنة رسالة تذكير أخيرة، تشير فيها إلى عدم امتثال الدولة الطرف لالتزاماتها بموجب المادة 30 من الاتفاقية المتعلقة بالإجراءات العاجلة، وإلى احتمال أن تقرر اللجنة التطرق إلى الحالة علناً في تقريرها عن الإجراءات العاجلة في دورتها التالية وفي تقريرها التالي إلى الجمعية العامة. وحتى 1 نيسان/أبريل 2021، أرسلت اللجنة رسائل تذكير نهائية إلى العراق بشأن 280 طلبا</w:t>
      </w:r>
      <w:r w:rsidR="00BB5F1C" w:rsidRPr="00F66675">
        <w:rPr>
          <w:rFonts w:hint="cs"/>
          <w:spacing w:val="-2"/>
          <w:rtl/>
        </w:rPr>
        <w:t>ً</w:t>
      </w:r>
      <w:r w:rsidRPr="00F66675">
        <w:rPr>
          <w:spacing w:val="-2"/>
          <w:rtl/>
        </w:rPr>
        <w:t xml:space="preserve"> لاتخاذ الإجراءات العاجلة.</w:t>
      </w:r>
    </w:p>
    <w:p w14:paraId="2FF6B955" w14:textId="4A4A5675" w:rsidR="00971B29" w:rsidRPr="00691EEE" w:rsidRDefault="00971B29" w:rsidP="00971B29">
      <w:pPr>
        <w:pStyle w:val="SingleTxtGA"/>
        <w:rPr>
          <w:szCs w:val="20"/>
          <w:lang w:val="en-US" w:eastAsia="zh-TW" w:bidi="en-GB"/>
        </w:rPr>
      </w:pPr>
      <w:r w:rsidRPr="00FA58B2">
        <w:rPr>
          <w:rtl/>
        </w:rPr>
        <w:t>10</w:t>
      </w:r>
      <w:r>
        <w:rPr>
          <w:rFonts w:ascii="Traditional Arabic"/>
          <w:szCs w:val="20"/>
          <w:rtl/>
        </w:rPr>
        <w:t>-</w:t>
      </w:r>
      <w:r>
        <w:rPr>
          <w:rtl/>
        </w:rPr>
        <w:tab/>
        <w:t xml:space="preserve">وتجدر الإشارة إلى أن اللجنة قد أشارت بالفعل، في تقاريرها الثلاثة السابقة إلى الجمعية العامة، إلى عدم امتثال العراق لالتزاماته بموجب المادة </w:t>
      </w:r>
      <w:r w:rsidRPr="00FA58B2">
        <w:rPr>
          <w:rtl/>
        </w:rPr>
        <w:t>30</w:t>
      </w:r>
      <w:r>
        <w:rPr>
          <w:rtl/>
        </w:rPr>
        <w:t xml:space="preserve"> من الاتفاقية</w:t>
      </w:r>
      <w:r w:rsidR="00BB5F1C">
        <w:rPr>
          <w:rStyle w:val="FootnoteReference"/>
          <w:rtl/>
        </w:rPr>
        <w:t>(</w:t>
      </w:r>
      <w:r w:rsidR="00BB5F1C">
        <w:rPr>
          <w:rStyle w:val="FootnoteReference"/>
          <w:rtl/>
        </w:rPr>
        <w:footnoteReference w:id="4"/>
      </w:r>
      <w:r w:rsidR="00BB5F1C">
        <w:rPr>
          <w:rStyle w:val="FootnoteReference"/>
          <w:rtl/>
        </w:rPr>
        <w:t>)</w:t>
      </w:r>
      <w:r w:rsidR="00B650CB">
        <w:rPr>
          <w:rFonts w:hint="cs"/>
          <w:rtl/>
        </w:rPr>
        <w:t>.</w:t>
      </w:r>
      <w:r>
        <w:rPr>
          <w:rtl/>
        </w:rPr>
        <w:t xml:space="preserve"> وسلطت اللجنة الضوء أيضا</w:t>
      </w:r>
      <w:r w:rsidR="00B650CB">
        <w:rPr>
          <w:rFonts w:hint="cs"/>
          <w:rtl/>
        </w:rPr>
        <w:t>ً</w:t>
      </w:r>
      <w:r>
        <w:rPr>
          <w:rtl/>
        </w:rPr>
        <w:t xml:space="preserve"> خلال دورتها التاسعة عشرة على عدم امتثال الدولة الطرف، في سياق نظرها في المعلومات الإضافية التي قدمها العراق بموجب المادة </w:t>
      </w:r>
      <w:r w:rsidRPr="00FA58B2">
        <w:rPr>
          <w:rtl/>
        </w:rPr>
        <w:t>29</w:t>
      </w:r>
      <w:r w:rsidRPr="00691EEE">
        <w:rPr>
          <w:rtl/>
        </w:rPr>
        <w:t>(4)</w:t>
      </w:r>
      <w:r>
        <w:rPr>
          <w:rtl/>
        </w:rPr>
        <w:t xml:space="preserve"> من الاتفاقية</w:t>
      </w:r>
      <w:r w:rsidR="00BB5F1C">
        <w:rPr>
          <w:rStyle w:val="FootnoteReference"/>
          <w:rtl/>
        </w:rPr>
        <w:t>(</w:t>
      </w:r>
      <w:r w:rsidR="00BB5F1C">
        <w:rPr>
          <w:rStyle w:val="FootnoteReference"/>
          <w:rtl/>
        </w:rPr>
        <w:footnoteReference w:id="5"/>
      </w:r>
      <w:r w:rsidR="00BB5F1C">
        <w:rPr>
          <w:rStyle w:val="FootnoteReference"/>
          <w:rtl/>
        </w:rPr>
        <w:t>)</w:t>
      </w:r>
      <w:r w:rsidR="00B650CB">
        <w:rPr>
          <w:rFonts w:hint="cs"/>
          <w:rtl/>
        </w:rPr>
        <w:t>.</w:t>
      </w:r>
    </w:p>
    <w:p w14:paraId="2730CF9E" w14:textId="6D0ED8A9" w:rsidR="00971B29" w:rsidRPr="00F51BB9" w:rsidRDefault="00971B29" w:rsidP="00971B29">
      <w:pPr>
        <w:pStyle w:val="H23GA"/>
        <w:rPr>
          <w:szCs w:val="20"/>
          <w:lang w:val="ar-SA" w:eastAsia="zh-TW" w:bidi="en-GB"/>
        </w:rPr>
      </w:pPr>
      <w:r>
        <w:rPr>
          <w:rtl/>
        </w:rPr>
        <w:tab/>
        <w:t>(ب)</w:t>
      </w:r>
      <w:r>
        <w:rPr>
          <w:rtl/>
        </w:rPr>
        <w:tab/>
        <w:t>انعدام استراتيجية للبحث والتحقيق تناسب كل حالة</w:t>
      </w:r>
    </w:p>
    <w:p w14:paraId="16999CCB" w14:textId="1305826B" w:rsidR="00971B29" w:rsidRDefault="00971B29" w:rsidP="00971B29">
      <w:pPr>
        <w:pStyle w:val="SingleTxtGA"/>
        <w:rPr>
          <w:szCs w:val="20"/>
          <w:lang w:val="ar-SA" w:eastAsia="zh-TW" w:bidi="en-GB"/>
        </w:rPr>
      </w:pPr>
      <w:r w:rsidRPr="00FA58B2">
        <w:rPr>
          <w:rtl/>
        </w:rPr>
        <w:t>11</w:t>
      </w:r>
      <w:r>
        <w:rPr>
          <w:rFonts w:ascii="Traditional Arabic"/>
          <w:szCs w:val="20"/>
          <w:rtl/>
        </w:rPr>
        <w:t>-</w:t>
      </w:r>
      <w:r>
        <w:rPr>
          <w:rtl/>
        </w:rPr>
        <w:tab/>
        <w:t xml:space="preserve">في معظم ما يسجَّل من طلبات لاتخاذ الإجراءات العاجلة، أثارت اللجنة شواغل إزاء عدم وضع الدول الأطراف استراتيجيةً شاملة للبحث عن الأشخاص المختفين والتحقيق في اختفائهم وإزاء عدم تنفيذها امتثالا للمادتين </w:t>
      </w:r>
      <w:r w:rsidRPr="00FA58B2">
        <w:rPr>
          <w:rtl/>
        </w:rPr>
        <w:t>12</w:t>
      </w:r>
      <w:r>
        <w:rPr>
          <w:rtl/>
        </w:rPr>
        <w:t xml:space="preserve"> و</w:t>
      </w:r>
      <w:r w:rsidRPr="00FA58B2">
        <w:rPr>
          <w:rtl/>
        </w:rPr>
        <w:t>24</w:t>
      </w:r>
      <w:r>
        <w:rPr>
          <w:rtl/>
        </w:rPr>
        <w:t xml:space="preserve"> من الاتفاقية، بما في ذلك خطة عمل وأجل زمني يخضعان للاستعراض دوريا</w:t>
      </w:r>
      <w:r w:rsidR="00BB5F1C">
        <w:rPr>
          <w:rFonts w:hint="cs"/>
          <w:rtl/>
        </w:rPr>
        <w:t>ً</w:t>
      </w:r>
      <w:r>
        <w:rPr>
          <w:rtl/>
        </w:rPr>
        <w:t>. ورغم ما لوحظ بذلُه من جهود في بعض الحالات، بدا في العادة أن البحث والتحقيق يجريان في شكل عملٍ متفرق يعوزه التنسيق في كثير من الأحيان وبلا أي استراتيجية واضحة. وفي هذه الحالات، طلبت اللجنة إلى الدول الأطراف المعنية أن تكفل وضع وتنفيذ استراتيجية لجميع مراحل البحث والتحقيق امتثالا</w:t>
      </w:r>
      <w:r w:rsidR="00B650CB">
        <w:rPr>
          <w:rFonts w:hint="cs"/>
          <w:rtl/>
        </w:rPr>
        <w:t>ً</w:t>
      </w:r>
      <w:r>
        <w:rPr>
          <w:rtl/>
        </w:rPr>
        <w:t xml:space="preserve"> لمبادئ العناية الواجبة - بما فيها دقة التحقيق وفوريته واستفاضته وكفاءة المهنيين المكلّفين واستقلالهم - </w:t>
      </w:r>
      <w:r w:rsidR="00B33122">
        <w:rPr>
          <w:rtl/>
        </w:rPr>
        <w:t>وفقاً</w:t>
      </w:r>
      <w:r>
        <w:rPr>
          <w:rtl/>
        </w:rPr>
        <w:t xml:space="preserve"> لما هو منصوص عليه في المبدأ </w:t>
      </w:r>
      <w:r w:rsidRPr="00FA58B2">
        <w:rPr>
          <w:rtl/>
        </w:rPr>
        <w:t>8</w:t>
      </w:r>
      <w:r>
        <w:rPr>
          <w:rtl/>
        </w:rPr>
        <w:t xml:space="preserve"> من المبادئ التوجيهية للبحث عن الأشخاص المختفين</w:t>
      </w:r>
      <w:r w:rsidR="00BB5F1C">
        <w:rPr>
          <w:rStyle w:val="FootnoteReference"/>
          <w:rtl/>
        </w:rPr>
        <w:t>(</w:t>
      </w:r>
      <w:r w:rsidR="00BB5F1C">
        <w:rPr>
          <w:rStyle w:val="FootnoteReference"/>
          <w:rtl/>
        </w:rPr>
        <w:footnoteReference w:id="6"/>
      </w:r>
      <w:r w:rsidR="00BB5F1C">
        <w:rPr>
          <w:rStyle w:val="FootnoteReference"/>
          <w:rtl/>
        </w:rPr>
        <w:t>)</w:t>
      </w:r>
      <w:r w:rsidR="00BB5F1C">
        <w:rPr>
          <w:rFonts w:hint="cs"/>
          <w:rtl/>
        </w:rPr>
        <w:t>.</w:t>
      </w:r>
      <w:r>
        <w:rPr>
          <w:rtl/>
        </w:rPr>
        <w:t xml:space="preserve"> ويجب أن تحدد الاستراتيجية المعتمَدة الأنشطة والعناية الواجبة التي يتعين الاضطلاع بها بطريقة متكاملة، ويجب أن يستتبع تنفيذُها اتخاذ الوسائل والإجراءات اللازمة لتحديد مكان الأشخاص المختفين والتحقيق في اختفائهم. وخلال الفترة المشمولة بالتقرير، أُرسِلت هذه التوصيات إلى الأرجنتين والعراق وكمبوديا وكولومبيا والمكسيك وليتوانيا وهندوراس.</w:t>
      </w:r>
    </w:p>
    <w:p w14:paraId="1E20DAA9" w14:textId="3CF062E6" w:rsidR="00971B29" w:rsidRPr="00F51BB9" w:rsidRDefault="00971B29" w:rsidP="00971B29">
      <w:pPr>
        <w:pStyle w:val="H23GA"/>
        <w:rPr>
          <w:szCs w:val="20"/>
          <w:lang w:val="ar-SA" w:eastAsia="zh-TW" w:bidi="en-GB"/>
        </w:rPr>
      </w:pPr>
      <w:r>
        <w:rPr>
          <w:rtl/>
        </w:rPr>
        <w:lastRenderedPageBreak/>
        <w:tab/>
        <w:t>(ج)</w:t>
      </w:r>
      <w:r>
        <w:rPr>
          <w:rtl/>
        </w:rPr>
        <w:tab/>
        <w:t>عدم التنسيق بين إجراءي البحث والتحقيق</w:t>
      </w:r>
    </w:p>
    <w:p w14:paraId="6D7140BC" w14:textId="77777777" w:rsidR="00971B29" w:rsidRPr="00F51BB9" w:rsidRDefault="00971B29" w:rsidP="00971B29">
      <w:pPr>
        <w:pStyle w:val="SingleTxtGA"/>
        <w:rPr>
          <w:szCs w:val="20"/>
          <w:lang w:val="ar-SA" w:eastAsia="zh-TW" w:bidi="en-GB"/>
        </w:rPr>
      </w:pPr>
      <w:r w:rsidRPr="00FA58B2">
        <w:rPr>
          <w:rtl/>
        </w:rPr>
        <w:t>12</w:t>
      </w:r>
      <w:r>
        <w:rPr>
          <w:rFonts w:ascii="Traditional Arabic"/>
          <w:szCs w:val="20"/>
          <w:rtl/>
        </w:rPr>
        <w:t>-</w:t>
      </w:r>
      <w:r>
        <w:rPr>
          <w:rtl/>
        </w:rPr>
        <w:tab/>
        <w:t xml:space="preserve">لوحظ في معظم ما سُجل من طلبات لاتخاذ الإجراءات العاجلة نزوع إلى عدم التنسيق بين إجراءي البحث والتحقيق. وعادةً ما يرجع عدم التنسيق هذا إلى عدم تبادل السلطات المختصة في الدولة المعلومات والأدلة التي حصلت عليها في سياق تنفيذ ولاياتها، أو عدم قيامها بذلك بصورة منهجية. ولاحظت اللجنة أن عدم التنسيق هذا قد أدى إلى تكرار القيام بالعمل نفسه في بعض الحالات وإلى وجود ثغرات في المعلومات في حالات أخرى، وهو ما أسفر عن تأخير البحث والتحقيق على السواء. وفي هذه الحالات، أوصت اللجنة بالتنسيق بين السلطات المكلفة بالبحث وتلك المكلفة بالتحقيق، على النحو المنصوص عليه في المبدأ </w:t>
      </w:r>
      <w:r w:rsidRPr="00FA58B2">
        <w:rPr>
          <w:rtl/>
        </w:rPr>
        <w:t>13</w:t>
      </w:r>
      <w:r>
        <w:rPr>
          <w:rtl/>
        </w:rPr>
        <w:t xml:space="preserve"> من المبادئ التوجيهية للبحث عن الأشخاص المختفين.</w:t>
      </w:r>
    </w:p>
    <w:p w14:paraId="2CCD671B" w14:textId="51296ABB" w:rsidR="00971B29" w:rsidRPr="00F51BB9" w:rsidRDefault="00971B29" w:rsidP="00971B29">
      <w:pPr>
        <w:pStyle w:val="H23GA"/>
        <w:rPr>
          <w:szCs w:val="20"/>
          <w:lang w:val="ar-SA" w:eastAsia="zh-TW" w:bidi="en-GB"/>
        </w:rPr>
      </w:pPr>
      <w:r>
        <w:rPr>
          <w:rtl/>
        </w:rPr>
        <w:tab/>
        <w:t>(د)</w:t>
      </w:r>
      <w:r>
        <w:rPr>
          <w:rtl/>
        </w:rPr>
        <w:tab/>
        <w:t>عدم التنسيق بين السلطة الاتحادية وسلطات الولايات</w:t>
      </w:r>
    </w:p>
    <w:p w14:paraId="5EF9458F" w14:textId="7B60B2C0" w:rsidR="00971B29" w:rsidRDefault="00971B29" w:rsidP="00971B29">
      <w:pPr>
        <w:pStyle w:val="SingleTxtGA"/>
        <w:rPr>
          <w:szCs w:val="20"/>
          <w:lang w:val="ar-SA" w:eastAsia="zh-TW" w:bidi="en-GB"/>
        </w:rPr>
      </w:pPr>
      <w:r w:rsidRPr="00FA58B2">
        <w:rPr>
          <w:rtl/>
        </w:rPr>
        <w:t>13</w:t>
      </w:r>
      <w:r>
        <w:rPr>
          <w:rFonts w:ascii="Traditional Arabic"/>
          <w:szCs w:val="20"/>
          <w:rtl/>
        </w:rPr>
        <w:t>-</w:t>
      </w:r>
      <w:r>
        <w:rPr>
          <w:rtl/>
        </w:rPr>
        <w:tab/>
        <w:t>لاحظت اللجنة، في عدة طلبات لاتخاذ الإجراءات العاجلة في حالات اختفاء وقعت في دول اتحادية، عدم التنسيق بين السلطة الاتحادية وسلطات الولايات المكلفة بالبحث والتحقيق. وأدى عدم التنسيق هذا إلى إجراء تحقيقات متزامنة على الصعيد الاتحادي وعلى صعيد الولاية، صاحَبَها تكرار العمل نفسه وعدم توفر معلومات عن النتائج. وفي مثل هذه الحالات، أوصت اللجنة دائما</w:t>
      </w:r>
      <w:r w:rsidR="00BB5F1C">
        <w:rPr>
          <w:rFonts w:hint="cs"/>
          <w:rtl/>
        </w:rPr>
        <w:t>ً</w:t>
      </w:r>
      <w:r>
        <w:rPr>
          <w:rtl/>
        </w:rPr>
        <w:t xml:space="preserve"> بالتنسيق بين السلطات التي تقوم بالتحقيق على المستوى الاتحادي وعلى مستوى الولاية، مع تحديد وظائف كل من السلطتين بوضوح.</w:t>
      </w:r>
    </w:p>
    <w:p w14:paraId="1BEE551F" w14:textId="3F2031F5" w:rsidR="00971B29" w:rsidRPr="00F51BB9" w:rsidRDefault="00971B29" w:rsidP="00971B29">
      <w:pPr>
        <w:pStyle w:val="H23GA"/>
        <w:rPr>
          <w:szCs w:val="20"/>
          <w:lang w:val="ar-SA" w:eastAsia="zh-TW" w:bidi="en-GB"/>
        </w:rPr>
      </w:pPr>
      <w:r>
        <w:rPr>
          <w:rtl/>
        </w:rPr>
        <w:tab/>
        <w:t>(هـ)</w:t>
      </w:r>
      <w:r>
        <w:rPr>
          <w:rtl/>
        </w:rPr>
        <w:tab/>
        <w:t>التحديات التي تعترض مشاركة الأقارب الفعالة في البحث والتحقيق</w:t>
      </w:r>
    </w:p>
    <w:p w14:paraId="21443565" w14:textId="35DF5018" w:rsidR="00971B29" w:rsidRPr="00F51BB9" w:rsidRDefault="00971B29" w:rsidP="00971B29">
      <w:pPr>
        <w:pStyle w:val="SingleTxtGA"/>
        <w:rPr>
          <w:szCs w:val="20"/>
          <w:lang w:val="ar-SA" w:eastAsia="zh-TW" w:bidi="en-GB"/>
        </w:rPr>
      </w:pPr>
      <w:r w:rsidRPr="00FA58B2">
        <w:rPr>
          <w:rtl/>
        </w:rPr>
        <w:t>14</w:t>
      </w:r>
      <w:r>
        <w:rPr>
          <w:rFonts w:ascii="Traditional Arabic"/>
          <w:szCs w:val="20"/>
          <w:rtl/>
        </w:rPr>
        <w:t>-</w:t>
      </w:r>
      <w:r>
        <w:rPr>
          <w:rtl/>
        </w:rPr>
        <w:tab/>
        <w:t xml:space="preserve">في معظم الحالات، أُبلغت اللجنة بعدم إتاحة معلومات كافية لأقارب الأشخاص المختفين عما يُتخذ من إجراءات وما يتحقق من نتائج في البحث والتحقيق، وبما يعترض مشاركتهم الفعالة من عقبات. وفي تلك الحالات، أوصت اللجنة بأن تنفذ الدول الأطراف المعنية آليات واضحة ورسمية لإبلاغ أقارب المختفين وممثليهم دوريا بما يتوصل إليه البحث والتحقيق، وبأن تسمح بمشاركتهم الكاملة في كليهما، وتمكّنهم من الاطلاع على أي معلومات مفيدة عما يُحرَز من تقدم وما يتحقق من نتائج، </w:t>
      </w:r>
      <w:r w:rsidR="00B33122">
        <w:rPr>
          <w:rtl/>
        </w:rPr>
        <w:t>وفقاً</w:t>
      </w:r>
      <w:r>
        <w:rPr>
          <w:rtl/>
        </w:rPr>
        <w:t xml:space="preserve"> للمادة </w:t>
      </w:r>
      <w:r w:rsidRPr="00FA58B2">
        <w:rPr>
          <w:rtl/>
        </w:rPr>
        <w:t>24</w:t>
      </w:r>
      <w:r>
        <w:rPr>
          <w:rtl/>
        </w:rPr>
        <w:t xml:space="preserve"> من الاتفاقية وللمبدأ </w:t>
      </w:r>
      <w:r w:rsidRPr="00FA58B2">
        <w:rPr>
          <w:rtl/>
        </w:rPr>
        <w:t>5</w:t>
      </w:r>
      <w:r>
        <w:rPr>
          <w:rtl/>
        </w:rPr>
        <w:t xml:space="preserve"> من المبادئ التوجيهية للبحث عن الأشخاص المختفين.</w:t>
      </w:r>
    </w:p>
    <w:p w14:paraId="50C120D5" w14:textId="7EFCB106" w:rsidR="00971B29" w:rsidRPr="00F51BB9" w:rsidRDefault="00971B29" w:rsidP="00971B29">
      <w:pPr>
        <w:pStyle w:val="H23GA"/>
        <w:rPr>
          <w:szCs w:val="20"/>
          <w:lang w:val="ar-SA" w:eastAsia="zh-TW" w:bidi="en-GB"/>
        </w:rPr>
      </w:pPr>
      <w:r>
        <w:rPr>
          <w:rtl/>
        </w:rPr>
        <w:tab/>
        <w:t>(و)</w:t>
      </w:r>
      <w:r>
        <w:rPr>
          <w:rtl/>
        </w:rPr>
        <w:tab/>
        <w:t>أهم التحديات المتعلقة بتنفيذ التدابير المؤقتة التي طلبتها اللجنة</w:t>
      </w:r>
    </w:p>
    <w:p w14:paraId="1C156D9D" w14:textId="2889A0E1" w:rsidR="00971B29" w:rsidRDefault="00971B29" w:rsidP="00971B29">
      <w:pPr>
        <w:pStyle w:val="SingleTxtGA"/>
        <w:rPr>
          <w:szCs w:val="20"/>
          <w:lang w:val="ar-SA" w:eastAsia="zh-TW" w:bidi="en-GB"/>
        </w:rPr>
      </w:pPr>
      <w:r w:rsidRPr="00FA58B2">
        <w:rPr>
          <w:rtl/>
        </w:rPr>
        <w:t>15</w:t>
      </w:r>
      <w:r>
        <w:rPr>
          <w:rFonts w:ascii="Traditional Arabic"/>
          <w:szCs w:val="20"/>
          <w:rtl/>
        </w:rPr>
        <w:t>-</w:t>
      </w:r>
      <w:r>
        <w:rPr>
          <w:rtl/>
        </w:rPr>
        <w:tab/>
        <w:t>في الفترة قيد الاستعراض، أُبلغت اللجنة بأن بعض أقارب أشخاصٍ مختفين قد استُهدفوا بالتهديد والترهيب بعد ممارستهم ضغوطاً من أجل التحقيق في حالات اختفاء أقاربهم قسراً أو بعد قيامهم بالبحث عنهم. واتسمت هذه التهديدات بنفس الخصائص التي سُجلت في فترات الاستعراض السابقة، حيث اتخذت أشكالاً مختلفة، مثل التهديدات بالقتل وتسيير دوريات حول منازل الأشخاص واتخاذ قرارات إجرائية تضر بالحماية الممنوحة للأشخاص المعنيين. لذلك، طلبت اللجنة مجددا</w:t>
      </w:r>
      <w:r w:rsidR="00471961">
        <w:rPr>
          <w:rFonts w:hint="cs"/>
          <w:rtl/>
        </w:rPr>
        <w:t>ً</w:t>
      </w:r>
      <w:r>
        <w:rPr>
          <w:rtl/>
        </w:rPr>
        <w:t xml:space="preserve"> إلى الدولة الطرف المعنية أن تتخذ في هذه الحالات التدابير المؤقتة اللازمة لحماية حياة الأشخاص المتضررين وسلامتهم وللسماح للأفراد بالبحث عن أقاربهم المفقودين دون التعرض للعنف أو المضايقة. وشددت اللجنة أيضاً على أهمية تنقيح خطط الحماية دورياً بالتشاور مع المستفيدين منها، ولا سيما فيما يتعلق بطرائق تدابير الحماية والطرائق التي تتّبعها المؤسسات المكلفة بتنفيذ هذه التدابير، حرصا</w:t>
      </w:r>
      <w:r w:rsidR="001C283F">
        <w:rPr>
          <w:rFonts w:hint="cs"/>
          <w:rtl/>
        </w:rPr>
        <w:t>ً</w:t>
      </w:r>
      <w:r>
        <w:rPr>
          <w:rtl/>
        </w:rPr>
        <w:t xml:space="preserve"> على الحفاظ على ثقة المستفيدين منها الكاملة.</w:t>
      </w:r>
    </w:p>
    <w:p w14:paraId="7D1AD887" w14:textId="3F3C14F4" w:rsidR="00971B29" w:rsidRPr="00F51BB9" w:rsidRDefault="00971B29" w:rsidP="00971B29">
      <w:pPr>
        <w:pStyle w:val="H23GA"/>
        <w:rPr>
          <w:szCs w:val="20"/>
          <w:lang w:val="ar-SA" w:eastAsia="zh-TW" w:bidi="en-GB"/>
        </w:rPr>
      </w:pPr>
      <w:r>
        <w:rPr>
          <w:rFonts w:ascii="Traditional Arabic"/>
          <w:szCs w:val="20"/>
          <w:rtl/>
        </w:rPr>
        <w:tab/>
      </w:r>
      <w:r w:rsidRPr="00FA58B2">
        <w:rPr>
          <w:rtl/>
        </w:rPr>
        <w:t>2</w:t>
      </w:r>
      <w:r>
        <w:rPr>
          <w:rFonts w:ascii="Traditional Arabic"/>
          <w:szCs w:val="20"/>
          <w:rtl/>
        </w:rPr>
        <w:t>-</w:t>
      </w:r>
      <w:r>
        <w:rPr>
          <w:rtl/>
        </w:rPr>
        <w:tab/>
        <w:t>اتجاهات بعينها تتعلق بالعراق والمكسيك</w:t>
      </w:r>
    </w:p>
    <w:p w14:paraId="09F1B19A" w14:textId="02580638" w:rsidR="00971B29" w:rsidRPr="00DC5C0E" w:rsidRDefault="00971B29" w:rsidP="00971B29">
      <w:pPr>
        <w:pStyle w:val="SingleTxtGA"/>
        <w:rPr>
          <w:szCs w:val="20"/>
          <w:rtl/>
          <w:lang w:val="en-US" w:eastAsia="zh-TW"/>
        </w:rPr>
      </w:pPr>
      <w:r w:rsidRPr="00FA58B2">
        <w:rPr>
          <w:rtl/>
        </w:rPr>
        <w:t>16</w:t>
      </w:r>
      <w:r>
        <w:rPr>
          <w:rFonts w:ascii="Traditional Arabic"/>
          <w:szCs w:val="20"/>
          <w:rtl/>
        </w:rPr>
        <w:t>-</w:t>
      </w:r>
      <w:r>
        <w:rPr>
          <w:rtl/>
        </w:rPr>
        <w:tab/>
        <w:t xml:space="preserve">خلال الفترة قيد الاستعراض، بقي العراق والمكسيك الدولتين الوحيدتين اللتين سُجل بشأنهما أكبر عدد من طلبات اتخاذ الإجراءات العاجلة، وهما الآن تشكلان نسبة </w:t>
      </w:r>
      <w:r w:rsidRPr="00FA58B2">
        <w:rPr>
          <w:rtl/>
        </w:rPr>
        <w:t>91</w:t>
      </w:r>
      <w:r>
        <w:rPr>
          <w:rtl/>
        </w:rPr>
        <w:t xml:space="preserve"> في المائة من مجموع طلبات </w:t>
      </w:r>
      <w:r>
        <w:rPr>
          <w:rtl/>
        </w:rPr>
        <w:lastRenderedPageBreak/>
        <w:t>اتخاذ الإجراءات العاجلة التي سُجلت. وترى اللجنة أن من الضروري إبراز الاتجاهات الرئيسية التي لوحظت في هذه الحالات.</w:t>
      </w:r>
    </w:p>
    <w:p w14:paraId="18370C7B" w14:textId="6726313E" w:rsidR="00971B29" w:rsidRPr="00F51BB9" w:rsidRDefault="00971B29" w:rsidP="00971B29">
      <w:pPr>
        <w:pStyle w:val="H23GA"/>
        <w:rPr>
          <w:szCs w:val="20"/>
          <w:lang w:val="ar-SA" w:eastAsia="zh-TW" w:bidi="en-GB"/>
        </w:rPr>
      </w:pPr>
      <w:r>
        <w:rPr>
          <w:rtl/>
        </w:rPr>
        <w:tab/>
        <w:t>(أ)</w:t>
      </w:r>
      <w:r>
        <w:rPr>
          <w:rtl/>
        </w:rPr>
        <w:tab/>
        <w:t>العراق</w:t>
      </w:r>
    </w:p>
    <w:p w14:paraId="12E6929E" w14:textId="77777777" w:rsidR="00971B29" w:rsidRDefault="00971B29" w:rsidP="00971B29">
      <w:pPr>
        <w:pStyle w:val="SingleTxtGA"/>
        <w:rPr>
          <w:szCs w:val="20"/>
          <w:lang w:val="ar-SA" w:eastAsia="zh-TW" w:bidi="en-GB"/>
        </w:rPr>
      </w:pPr>
      <w:r w:rsidRPr="00FA58B2">
        <w:rPr>
          <w:rtl/>
        </w:rPr>
        <w:t>17</w:t>
      </w:r>
      <w:r>
        <w:rPr>
          <w:rFonts w:ascii="Traditional Arabic"/>
          <w:szCs w:val="20"/>
          <w:rtl/>
        </w:rPr>
        <w:t>-</w:t>
      </w:r>
      <w:r>
        <w:rPr>
          <w:rtl/>
        </w:rPr>
        <w:tab/>
        <w:t xml:space="preserve">حتى </w:t>
      </w:r>
      <w:r w:rsidRPr="00FA58B2">
        <w:rPr>
          <w:rtl/>
        </w:rPr>
        <w:t>1</w:t>
      </w:r>
      <w:r>
        <w:rPr>
          <w:rtl/>
        </w:rPr>
        <w:t xml:space="preserve"> نيسان/أبريل </w:t>
      </w:r>
      <w:r w:rsidRPr="00FA58B2">
        <w:rPr>
          <w:rtl/>
        </w:rPr>
        <w:t>2021</w:t>
      </w:r>
      <w:r>
        <w:rPr>
          <w:rtl/>
        </w:rPr>
        <w:t xml:space="preserve">، سجلت اللجنة ما مجموعه </w:t>
      </w:r>
      <w:r w:rsidRPr="00FA58B2">
        <w:rPr>
          <w:rtl/>
        </w:rPr>
        <w:t>492</w:t>
      </w:r>
      <w:r>
        <w:rPr>
          <w:rtl/>
        </w:rPr>
        <w:t xml:space="preserve"> حالة تتعلق بأحداث وقعت في العراق، أي ما يعادل </w:t>
      </w:r>
      <w:r w:rsidRPr="00FA58B2">
        <w:rPr>
          <w:rtl/>
        </w:rPr>
        <w:t>49</w:t>
      </w:r>
      <w:r>
        <w:rPr>
          <w:rtl/>
        </w:rPr>
        <w:t xml:space="preserve"> في المائة من جميع طلبات اتخاذ الإجراءات العاجلة المسجلة حتى الآن. ويساور اللجنة قلق بالغ لأن مكان الأشخاص المختفين لم يحدَّد إلا في </w:t>
      </w:r>
      <w:r w:rsidRPr="00FA58B2">
        <w:rPr>
          <w:rtl/>
        </w:rPr>
        <w:t>26</w:t>
      </w:r>
      <w:r>
        <w:rPr>
          <w:rtl/>
        </w:rPr>
        <w:t xml:space="preserve"> حالة من هذه الحالات.</w:t>
      </w:r>
    </w:p>
    <w:p w14:paraId="32937943" w14:textId="1A74D2CB" w:rsidR="00971B29" w:rsidRPr="00F51BB9" w:rsidRDefault="00971B29" w:rsidP="00971B29">
      <w:pPr>
        <w:pStyle w:val="SingleTxtGA"/>
        <w:rPr>
          <w:szCs w:val="20"/>
          <w:lang w:val="ar-SA" w:eastAsia="zh-TW" w:bidi="en-GB"/>
        </w:rPr>
      </w:pPr>
      <w:r w:rsidRPr="00FA58B2">
        <w:rPr>
          <w:rtl/>
        </w:rPr>
        <w:t>18</w:t>
      </w:r>
      <w:r>
        <w:rPr>
          <w:rFonts w:ascii="Traditional Arabic"/>
          <w:szCs w:val="20"/>
          <w:rtl/>
        </w:rPr>
        <w:t>-</w:t>
      </w:r>
      <w:r>
        <w:rPr>
          <w:rtl/>
        </w:rPr>
        <w:tab/>
        <w:t xml:space="preserve">وتعرب اللجنة عن قلقها </w:t>
      </w:r>
      <w:r w:rsidR="00B33122">
        <w:rPr>
          <w:rtl/>
        </w:rPr>
        <w:t>أيضاً</w:t>
      </w:r>
      <w:r>
        <w:rPr>
          <w:rtl/>
        </w:rPr>
        <w:t xml:space="preserve"> لأن العراق حتى الآن، ورغم رسائل التذكير المتعددة، لم يقدم ردا على معظم طلبات اتخاذ الإجراءات العاجلة المسجلة المتعلقة بحوادث وقعت داخل إقليمه. وفي الفترة قيد الاستعراض، أُرسلت أربع رسائل تذكير بشأن </w:t>
      </w:r>
      <w:r w:rsidRPr="00FA58B2">
        <w:rPr>
          <w:rtl/>
        </w:rPr>
        <w:t>280</w:t>
      </w:r>
      <w:r>
        <w:rPr>
          <w:rtl/>
        </w:rPr>
        <w:t xml:space="preserve"> طلباً مسجلاً لاتخاذ الإجراءات العاجلة. وتلاحظ اللجنة بقلق أن الدولة الطرف ردت في بعض الحالات على رسالة تذكير أخيرة بأن طلبت معلومات شخصية عن الضحايا كانت قد وردت بالفعل في مذكرة التسجيل الأولية.</w:t>
      </w:r>
    </w:p>
    <w:p w14:paraId="5E9FCC37" w14:textId="5DEA58A8" w:rsidR="00971B29" w:rsidRDefault="00971B29" w:rsidP="00971B29">
      <w:pPr>
        <w:pStyle w:val="SingleTxtGA"/>
        <w:rPr>
          <w:szCs w:val="20"/>
          <w:lang w:val="ar-SA" w:eastAsia="zh-TW" w:bidi="en-GB"/>
        </w:rPr>
      </w:pPr>
      <w:r w:rsidRPr="00FA58B2">
        <w:rPr>
          <w:rtl/>
        </w:rPr>
        <w:t>19</w:t>
      </w:r>
      <w:r>
        <w:rPr>
          <w:rFonts w:ascii="Traditional Arabic"/>
          <w:szCs w:val="20"/>
          <w:rtl/>
        </w:rPr>
        <w:t>-</w:t>
      </w:r>
      <w:r>
        <w:rPr>
          <w:rtl/>
        </w:rPr>
        <w:tab/>
        <w:t>وفي الحالات التي أرسلت فيها الدولة الطرف ردوداً إلى اللجنة، فإنها اتخذت نفس الاتجاه الذي لاحظته اللجنة في تقاريرها السابقة، وهو أن الدولة الطرف لم تقدم أي معلومات عن الإجراءات المتخذة للبحث عن الأشخاص المختفين أو للتحقيق في اختفائهم القسري المدعى. وفضلا</w:t>
      </w:r>
      <w:r w:rsidR="00DC5C0E">
        <w:rPr>
          <w:rFonts w:hint="cs"/>
          <w:rtl/>
        </w:rPr>
        <w:t>ً</w:t>
      </w:r>
      <w:r>
        <w:rPr>
          <w:rtl/>
        </w:rPr>
        <w:t xml:space="preserve"> عن ذلك، لم توضح الدولة الطرف الإجراءات المتاحة للضحايا.</w:t>
      </w:r>
    </w:p>
    <w:p w14:paraId="336A41C2" w14:textId="77777777" w:rsidR="00971B29" w:rsidRPr="00F51BB9" w:rsidRDefault="00971B29" w:rsidP="00971B29">
      <w:pPr>
        <w:pStyle w:val="SingleTxtGA"/>
        <w:rPr>
          <w:szCs w:val="20"/>
          <w:lang w:val="ar-SA" w:eastAsia="zh-TW" w:bidi="en-GB"/>
        </w:rPr>
      </w:pPr>
      <w:r w:rsidRPr="00FA58B2">
        <w:rPr>
          <w:rtl/>
        </w:rPr>
        <w:t>20</w:t>
      </w:r>
      <w:r>
        <w:rPr>
          <w:rFonts w:ascii="Traditional Arabic"/>
          <w:szCs w:val="20"/>
          <w:rtl/>
        </w:rPr>
        <w:t>-</w:t>
      </w:r>
      <w:r>
        <w:rPr>
          <w:rtl/>
        </w:rPr>
        <w:tab/>
        <w:t>وفي العديد من ردودها، اكتفت الدولة الطرف، كما في السابق، بتأكيد انتماء من يُدّعى أنهم الضحايا إلى جماعات إرهابية، دون تقديم أي معلومات إضافية عن أي تهم جنائية محددة وُجهت إليهم أو دعاوى رُفعت عليهم أو أوامر توقيف صدرت في حقهم. وفي هذه الحالات، ذكّرت اللجنة الدولة الطرف بأن واجب البحث عن الأشخاص المختفين والتحقيق في اختفائهم يظل واجبا بصرف النظر عن ملفاتهم الشخصية أو انتمائهم السياسي.</w:t>
      </w:r>
    </w:p>
    <w:p w14:paraId="0E6978E9" w14:textId="77777777" w:rsidR="00971B29" w:rsidRDefault="00971B29" w:rsidP="00971B29">
      <w:pPr>
        <w:pStyle w:val="SingleTxtGA"/>
        <w:rPr>
          <w:szCs w:val="20"/>
          <w:lang w:val="ar-SA" w:eastAsia="zh-TW" w:bidi="en-GB"/>
        </w:rPr>
      </w:pPr>
      <w:r w:rsidRPr="00FA58B2">
        <w:rPr>
          <w:rtl/>
        </w:rPr>
        <w:t>21</w:t>
      </w:r>
      <w:r>
        <w:rPr>
          <w:rFonts w:ascii="Traditional Arabic"/>
          <w:szCs w:val="20"/>
          <w:rtl/>
        </w:rPr>
        <w:t>-</w:t>
      </w:r>
      <w:r>
        <w:rPr>
          <w:rtl/>
        </w:rPr>
        <w:tab/>
        <w:t>وفي عدد من طلبات اتخاذ الإجراءات العاجلة، أبلغت الدولة الطرف اللجنة بأن إدارة الطب الشرعي التابعة لوزارة الصحة تطلب، في سياق التحقيقات في الاختفاء القسري المدعى، حضور أقارب الأشخاص المختفين من الدرجة الأولى إذا أمكنهم التعرف على الأشخاص المختفين من صور جثث مجهولة الهوية. غير أن الدولة الطرف لم توضح ما إذا كانت قد أرسلت بالفعل دعوات إلى الأقارب في هذا الصدد، ولا أسباب عدم إرسالها في حال لم ترسلها.</w:t>
      </w:r>
    </w:p>
    <w:p w14:paraId="7F50366B" w14:textId="1E5726BA" w:rsidR="00971B29" w:rsidRPr="00CA23C4" w:rsidRDefault="00971B29" w:rsidP="00971B29">
      <w:pPr>
        <w:pStyle w:val="SingleTxtGA"/>
        <w:rPr>
          <w:spacing w:val="-2"/>
          <w:szCs w:val="20"/>
          <w:lang w:val="ar-SA" w:eastAsia="zh-TW" w:bidi="en-GB"/>
        </w:rPr>
      </w:pPr>
      <w:r w:rsidRPr="00FA58B2">
        <w:rPr>
          <w:rtl/>
        </w:rPr>
        <w:t>22</w:t>
      </w:r>
      <w:r>
        <w:rPr>
          <w:rFonts w:ascii="Traditional Arabic"/>
          <w:szCs w:val="20"/>
          <w:rtl/>
        </w:rPr>
        <w:t>-</w:t>
      </w:r>
      <w:r>
        <w:rPr>
          <w:rtl/>
        </w:rPr>
        <w:tab/>
        <w:t>وخلال الفترة قيد الاستعراض، لم تسجل اللجنة أي طلبات إضافية لاتخاذ الإجراءات العاجلة بشأن اختفاء الأشخاص الذين شاركوا في الاحتجاجات التي كانت قد بدأت في تشرين الأول/</w:t>
      </w:r>
      <w:r w:rsidR="00CA23C4">
        <w:rPr>
          <w:rFonts w:hint="cs"/>
          <w:rtl/>
        </w:rPr>
        <w:t xml:space="preserve"> </w:t>
      </w:r>
      <w:r>
        <w:rPr>
          <w:rtl/>
        </w:rPr>
        <w:t>أكتوبر</w:t>
      </w:r>
      <w:r w:rsidR="00CA23C4">
        <w:rPr>
          <w:rFonts w:hint="cs"/>
          <w:rtl/>
        </w:rPr>
        <w:t> </w:t>
      </w:r>
      <w:r w:rsidRPr="00FA58B2">
        <w:rPr>
          <w:rtl/>
        </w:rPr>
        <w:t>2019</w:t>
      </w:r>
      <w:r>
        <w:rPr>
          <w:rtl/>
        </w:rPr>
        <w:t>، ولا سيما في ميدان التحرير في بغداد، أو الذين قدموا نوعا</w:t>
      </w:r>
      <w:r w:rsidR="002A000F">
        <w:rPr>
          <w:rFonts w:hint="cs"/>
          <w:rtl/>
        </w:rPr>
        <w:t>ً</w:t>
      </w:r>
      <w:r>
        <w:rPr>
          <w:rtl/>
        </w:rPr>
        <w:t xml:space="preserve"> من الدعم للمشاركين فيها، وهو </w:t>
      </w:r>
      <w:r w:rsidRPr="00CA23C4">
        <w:rPr>
          <w:spacing w:val="-2"/>
          <w:rtl/>
        </w:rPr>
        <w:t>ما أسهبت اللجنة في تناوله في تقريرها عن طلبات اتخاذ الإجراءات العاجلة التي اعتُمدت في دورتها التاسعة عشرة. ولذلك، بقي عدد هذه الطلبات 28 طلبا</w:t>
      </w:r>
      <w:r w:rsidR="00865AC0">
        <w:rPr>
          <w:rFonts w:hint="cs"/>
          <w:spacing w:val="-2"/>
          <w:rtl/>
        </w:rPr>
        <w:t>ً</w:t>
      </w:r>
      <w:r w:rsidRPr="00CA23C4">
        <w:rPr>
          <w:spacing w:val="-2"/>
          <w:rtl/>
        </w:rPr>
        <w:t>، ولم تقدم الدولة الطرف بعد ردا</w:t>
      </w:r>
      <w:r w:rsidR="00865AC0">
        <w:rPr>
          <w:rFonts w:hint="cs"/>
          <w:spacing w:val="-2"/>
          <w:rtl/>
        </w:rPr>
        <w:t>ً</w:t>
      </w:r>
      <w:r w:rsidRPr="00CA23C4">
        <w:rPr>
          <w:spacing w:val="-2"/>
          <w:rtl/>
        </w:rPr>
        <w:t xml:space="preserve"> على 13 طلبا</w:t>
      </w:r>
      <w:r w:rsidR="00865AC0">
        <w:rPr>
          <w:rFonts w:hint="cs"/>
          <w:spacing w:val="-2"/>
          <w:rtl/>
        </w:rPr>
        <w:t>ً</w:t>
      </w:r>
      <w:r w:rsidRPr="00CA23C4">
        <w:rPr>
          <w:spacing w:val="-2"/>
          <w:rtl/>
        </w:rPr>
        <w:t xml:space="preserve"> منها.</w:t>
      </w:r>
    </w:p>
    <w:p w14:paraId="4344946B" w14:textId="22E931BF" w:rsidR="00971B29" w:rsidRPr="00F51BB9" w:rsidRDefault="00971B29" w:rsidP="00971B29">
      <w:pPr>
        <w:pStyle w:val="H23GA"/>
        <w:rPr>
          <w:szCs w:val="20"/>
          <w:lang w:val="ar-SA" w:eastAsia="zh-TW" w:bidi="en-GB"/>
        </w:rPr>
      </w:pPr>
      <w:r>
        <w:rPr>
          <w:rtl/>
        </w:rPr>
        <w:tab/>
        <w:t>(ب)</w:t>
      </w:r>
      <w:r>
        <w:rPr>
          <w:rtl/>
        </w:rPr>
        <w:tab/>
        <w:t>المكسيك</w:t>
      </w:r>
    </w:p>
    <w:p w14:paraId="38FE95ED" w14:textId="24CFAFD1" w:rsidR="00971B29" w:rsidRDefault="00971B29" w:rsidP="00971B29">
      <w:pPr>
        <w:pStyle w:val="SingleTxtGA"/>
        <w:rPr>
          <w:szCs w:val="20"/>
          <w:lang w:val="ar-SA" w:eastAsia="zh-TW" w:bidi="en-GB"/>
        </w:rPr>
      </w:pPr>
      <w:r w:rsidRPr="00FA58B2">
        <w:rPr>
          <w:rtl/>
        </w:rPr>
        <w:t>23</w:t>
      </w:r>
      <w:r>
        <w:rPr>
          <w:rFonts w:ascii="Traditional Arabic"/>
          <w:szCs w:val="20"/>
          <w:rtl/>
        </w:rPr>
        <w:t>-</w:t>
      </w:r>
      <w:r>
        <w:rPr>
          <w:rtl/>
        </w:rPr>
        <w:tab/>
        <w:t xml:space="preserve">حتى </w:t>
      </w:r>
      <w:r w:rsidRPr="00FA58B2">
        <w:rPr>
          <w:rtl/>
        </w:rPr>
        <w:t>1</w:t>
      </w:r>
      <w:r>
        <w:rPr>
          <w:rtl/>
        </w:rPr>
        <w:t xml:space="preserve"> نيسان/أبريل </w:t>
      </w:r>
      <w:r w:rsidRPr="00FA58B2">
        <w:rPr>
          <w:rtl/>
        </w:rPr>
        <w:t>2021</w:t>
      </w:r>
      <w:r>
        <w:rPr>
          <w:rtl/>
        </w:rPr>
        <w:t xml:space="preserve">، سجلت اللجنة ما مجموعه </w:t>
      </w:r>
      <w:r w:rsidRPr="00FA58B2">
        <w:rPr>
          <w:rtl/>
        </w:rPr>
        <w:t>424</w:t>
      </w:r>
      <w:r>
        <w:rPr>
          <w:rtl/>
        </w:rPr>
        <w:t xml:space="preserve"> طلبا</w:t>
      </w:r>
      <w:r w:rsidR="005E55D0">
        <w:rPr>
          <w:rFonts w:hint="cs"/>
          <w:rtl/>
        </w:rPr>
        <w:t>ً</w:t>
      </w:r>
      <w:r>
        <w:rPr>
          <w:rtl/>
        </w:rPr>
        <w:t xml:space="preserve"> لاتخاذ الإجراءات العاجلة، تتعلق بالأحداث التي وقعت في المكسيك، وهو ما يعادل </w:t>
      </w:r>
      <w:r w:rsidRPr="00FA58B2">
        <w:rPr>
          <w:rtl/>
        </w:rPr>
        <w:t>42</w:t>
      </w:r>
      <w:r>
        <w:rPr>
          <w:rtl/>
        </w:rPr>
        <w:t xml:space="preserve"> في المائة من جميع طلبات اتخاذ </w:t>
      </w:r>
      <w:r w:rsidRPr="009041C9">
        <w:rPr>
          <w:spacing w:val="-2"/>
          <w:rtl/>
        </w:rPr>
        <w:t>الإجراءات</w:t>
      </w:r>
      <w:r w:rsidR="009041C9" w:rsidRPr="009041C9">
        <w:rPr>
          <w:rFonts w:hint="cs"/>
          <w:spacing w:val="-2"/>
          <w:rtl/>
        </w:rPr>
        <w:t> </w:t>
      </w:r>
      <w:r w:rsidRPr="009041C9">
        <w:rPr>
          <w:spacing w:val="-2"/>
          <w:rtl/>
        </w:rPr>
        <w:t>العاجلة المسجلة حتى الآن. ومن بين هذه الحالات البالغ عددها 424 حالة، أُغلق ملف 46 حالة</w:t>
      </w:r>
      <w:r>
        <w:rPr>
          <w:rtl/>
        </w:rPr>
        <w:t xml:space="preserve"> بسبب تحديد مكان الأشخاص المختفين، في حين ظلت الحالات المتبقية مفتوحة أو أوقفَ النظر فيها (انظر </w:t>
      </w:r>
      <w:r>
        <w:rPr>
          <w:rtl/>
        </w:rPr>
        <w:lastRenderedPageBreak/>
        <w:t xml:space="preserve">الفقرات </w:t>
      </w:r>
      <w:r w:rsidRPr="00FA58B2">
        <w:rPr>
          <w:rtl/>
        </w:rPr>
        <w:t>32</w:t>
      </w:r>
      <w:r>
        <w:rPr>
          <w:rFonts w:ascii="Traditional Arabic"/>
          <w:szCs w:val="20"/>
          <w:rtl/>
        </w:rPr>
        <w:t>-</w:t>
      </w:r>
      <w:r w:rsidRPr="00FA58B2">
        <w:rPr>
          <w:rtl/>
        </w:rPr>
        <w:t>33</w:t>
      </w:r>
      <w:r>
        <w:rPr>
          <w:rtl/>
        </w:rPr>
        <w:t xml:space="preserve"> أدناه). وترحب اللجنة بارتفاع عدد الردود التي قدمتها الدولة الطرف بشأن الطلبات</w:t>
      </w:r>
      <w:r w:rsidR="009041C9">
        <w:rPr>
          <w:rFonts w:hint="cs"/>
          <w:rtl/>
        </w:rPr>
        <w:t> </w:t>
      </w:r>
      <w:r>
        <w:rPr>
          <w:rtl/>
        </w:rPr>
        <w:t>المسجلة، رغم أن رسائل التذكير لا تزال ترسَل بشأن نصف عدد الحالات تقريبا. وفي الغالبية العظمى من الحالات، أرسلت اللجنة، لدى تلقي ردود الدولة الطرف، مذكرات متابعة كررت فيها مختلف توصياتها السابقة المتعلقة بإعداد السلطات المختصة استراتيجيات البحث والتحقيق وتنفيذها إياها (انظر الفقرات</w:t>
      </w:r>
      <w:r w:rsidR="00CA23C4">
        <w:rPr>
          <w:rFonts w:hint="cs"/>
          <w:rtl/>
        </w:rPr>
        <w:t> </w:t>
      </w:r>
      <w:r w:rsidRPr="00FA58B2">
        <w:rPr>
          <w:rtl/>
        </w:rPr>
        <w:t>11</w:t>
      </w:r>
      <w:r>
        <w:rPr>
          <w:rFonts w:ascii="Traditional Arabic"/>
          <w:szCs w:val="20"/>
          <w:rtl/>
        </w:rPr>
        <w:t>-</w:t>
      </w:r>
      <w:r w:rsidRPr="00FA58B2">
        <w:rPr>
          <w:rtl/>
        </w:rPr>
        <w:t>13</w:t>
      </w:r>
      <w:r>
        <w:rPr>
          <w:rtl/>
        </w:rPr>
        <w:t xml:space="preserve"> أعلاه).</w:t>
      </w:r>
    </w:p>
    <w:p w14:paraId="19CA82C3" w14:textId="4703CBAA" w:rsidR="00971B29" w:rsidRPr="00F51BB9" w:rsidRDefault="00971B29" w:rsidP="00971B29">
      <w:pPr>
        <w:pStyle w:val="SingleTxtGA"/>
        <w:rPr>
          <w:szCs w:val="20"/>
          <w:lang w:val="ar-SA" w:eastAsia="zh-TW" w:bidi="en-GB"/>
        </w:rPr>
      </w:pPr>
      <w:r w:rsidRPr="00FA58B2">
        <w:rPr>
          <w:rtl/>
        </w:rPr>
        <w:t>24</w:t>
      </w:r>
      <w:r>
        <w:rPr>
          <w:rFonts w:ascii="Traditional Arabic"/>
          <w:szCs w:val="20"/>
          <w:rtl/>
        </w:rPr>
        <w:t>-</w:t>
      </w:r>
      <w:r>
        <w:rPr>
          <w:rtl/>
        </w:rPr>
        <w:tab/>
        <w:t>وكثيرا</w:t>
      </w:r>
      <w:r w:rsidR="005E55D0">
        <w:rPr>
          <w:rFonts w:hint="cs"/>
          <w:rtl/>
        </w:rPr>
        <w:t>ً</w:t>
      </w:r>
      <w:r>
        <w:rPr>
          <w:rtl/>
        </w:rPr>
        <w:t xml:space="preserve"> ما أُبلغت اللجنة بعدم التنسيق بين السلطة الاتحادية وسلطات الولايات المكلّفة بالبحث والتحقيق في المكسيك، فينشأ عن ذلك ما يعيق التقدم أو حتى ما يحول دون إحرازه. وفي بعض الحالات، أُبلغت اللجنة بأن سلطة الولاية رفضت التعاون مع السلطة الاتحادية. وفي هذه الحالات، أرسلت اللجنة مذكرات متابعة طلبت فيها إلى كل سلطة من السلطات المكلّفة على مختلف المستويات أن تحدد مهامها بوضوح وتنسّق فيما بينها (انظر الفقرة </w:t>
      </w:r>
      <w:r w:rsidRPr="00FA58B2">
        <w:rPr>
          <w:rtl/>
        </w:rPr>
        <w:t>13</w:t>
      </w:r>
      <w:r>
        <w:rPr>
          <w:rtl/>
        </w:rPr>
        <w:t xml:space="preserve"> أعلاه).</w:t>
      </w:r>
    </w:p>
    <w:p w14:paraId="09072844" w14:textId="77777777" w:rsidR="00971B29" w:rsidRDefault="00971B29" w:rsidP="00971B29">
      <w:pPr>
        <w:pStyle w:val="SingleTxtGA"/>
        <w:rPr>
          <w:szCs w:val="20"/>
          <w:lang w:val="ar-SA" w:eastAsia="zh-TW" w:bidi="en-GB"/>
        </w:rPr>
      </w:pPr>
      <w:r w:rsidRPr="00FA58B2">
        <w:rPr>
          <w:rtl/>
        </w:rPr>
        <w:t>25</w:t>
      </w:r>
      <w:r>
        <w:rPr>
          <w:rFonts w:ascii="Traditional Arabic"/>
          <w:szCs w:val="20"/>
          <w:rtl/>
        </w:rPr>
        <w:t>-</w:t>
      </w:r>
      <w:r>
        <w:rPr>
          <w:rtl/>
        </w:rPr>
        <w:tab/>
        <w:t>وبيّنت اللجنة مرارا، في توصياتها إلى المكسيك، أن من واجب الدولة الطرف بموجب الاتفاقية أن تكفل إبلاغ الضحايا دورياً بالخطوات التي تتخذها السلطات المكلفة بالبحث والتحقيق، وأن تجعلهم جزءاً من العملية. وفي الفترة قيد الاستعراض، ظل التقدم المحرز في العمليات يعتمد إلى حد كبير على مبادرات  أقارب الأشخاص المختفين وما يقومون به من عمل. وكانت إتاحة تفاعل الضحايا مع سلطات الدولة الطرف المكلفة بالبحث والتحقيق حاسمة بالنسبة للتمكين من إحراز بعض التقدم في عدة حالات. ومع ذلك، أشار أصحاب طلبات اتخاذ الإجراءات العاجلة في أحيان كثيرة إلى الصعوبات التي تعترضهم في سبيل ضمان أن تأخذ السلطات بعين الاعتبار ما يقدمونه من معلومات وأن تمارس العناية الواجبة في التعاطي معه. وفي أحيان كثيرة، أعربوا أيضاً عن أسفهم لأنه لا تُجرى في كثير من الأحيان تحقيقات في الموقع ولا تحليلات شاملة للأدلة المتوفرة.</w:t>
      </w:r>
    </w:p>
    <w:p w14:paraId="72A07FBB" w14:textId="77777777" w:rsidR="00971B29" w:rsidRDefault="00971B29" w:rsidP="00971B29">
      <w:pPr>
        <w:pStyle w:val="SingleTxtGA"/>
        <w:rPr>
          <w:szCs w:val="20"/>
          <w:lang w:val="ar-SA" w:eastAsia="zh-TW" w:bidi="en-GB"/>
        </w:rPr>
      </w:pPr>
      <w:r w:rsidRPr="00FA58B2">
        <w:rPr>
          <w:rtl/>
        </w:rPr>
        <w:t>26</w:t>
      </w:r>
      <w:r>
        <w:rPr>
          <w:rFonts w:ascii="Traditional Arabic"/>
          <w:szCs w:val="20"/>
          <w:rtl/>
        </w:rPr>
        <w:t>-</w:t>
      </w:r>
      <w:r>
        <w:rPr>
          <w:rtl/>
        </w:rPr>
        <w:tab/>
        <w:t>واستمر أصحاب طلبات اتخاذ الإجراءات العاجلة بشأن أحداث في المكسيك في تقديم ادعاءات متكررة بأن سلطات الدولة متورطة بصورة مباشرة أو غير مباشرة في الأحداث المحيطة بحالات الاختفاء، وأن جهود البحث والتحقيق قد توقفت. فعندما وقعت الأحداث قبل عدة سنوات، أشار أصحاب الطلبات مراراً إلى مسؤولية سلطات الدولة الطرف من حيث عدم بذل العناية، معتبرين أن تقاعسها قد أصبح عاملاً إضافياً في المسؤولية عن الاختفاء القسري المدعى. وفي تلك الحالات، أكدت اللجنة للدولة الطرف أهمية إنشاء آليات لمساءلة موظفي الدولة المكلفين بعمليات البحث والتحقيق، وطلبت إلى الدولة الطرف التحقيق في ادعاءات أن هؤلاء الموظفين أعاقوا الإجراءات.</w:t>
      </w:r>
    </w:p>
    <w:p w14:paraId="125130A2" w14:textId="7BB0C1B2" w:rsidR="00971B29" w:rsidRDefault="00971B29" w:rsidP="00971B29">
      <w:pPr>
        <w:pStyle w:val="SingleTxtGA"/>
        <w:rPr>
          <w:szCs w:val="20"/>
          <w:lang w:val="ar-SA" w:eastAsia="zh-TW" w:bidi="en-GB"/>
        </w:rPr>
      </w:pPr>
      <w:r w:rsidRPr="00FA58B2">
        <w:rPr>
          <w:rtl/>
        </w:rPr>
        <w:t>27</w:t>
      </w:r>
      <w:r>
        <w:rPr>
          <w:rFonts w:ascii="Traditional Arabic"/>
          <w:szCs w:val="20"/>
          <w:rtl/>
        </w:rPr>
        <w:t>-</w:t>
      </w:r>
      <w:r>
        <w:rPr>
          <w:rtl/>
        </w:rPr>
        <w:tab/>
        <w:t xml:space="preserve">وتلقت اللجنة خلال الفترة قيد الاستعراض </w:t>
      </w:r>
      <w:r w:rsidRPr="00FA58B2">
        <w:rPr>
          <w:rtl/>
        </w:rPr>
        <w:t>45</w:t>
      </w:r>
      <w:r>
        <w:rPr>
          <w:rtl/>
        </w:rPr>
        <w:t xml:space="preserve"> طلبا</w:t>
      </w:r>
      <w:r w:rsidR="005E55D0">
        <w:rPr>
          <w:rFonts w:hint="cs"/>
          <w:rtl/>
        </w:rPr>
        <w:t>ً</w:t>
      </w:r>
      <w:r>
        <w:rPr>
          <w:rtl/>
        </w:rPr>
        <w:t xml:space="preserve"> لاتخاذ الإجراءات العاجلة في حالات اختفاء يُدّعى وقوعها في ولاية ناياريت، بمشاركة مباشرة أو غير مباشرة من موظفي مكتب المدعي العام في ولاية ناياريت. وفي هذه الطلبات، ادُّعي أن المدعي العام السابق لولاية ناياريت، إدغار فيتيا، الذي سبق أن أدين بالاتجار بالمخدرات في الولايات المتحدة الأمريكية، حافظ على صلات بعصابات الجريمة المنظمة، وكان هو نفسه متورطا</w:t>
      </w:r>
      <w:r w:rsidR="00571D6E">
        <w:rPr>
          <w:rFonts w:hint="cs"/>
          <w:rtl/>
        </w:rPr>
        <w:t>ً</w:t>
      </w:r>
      <w:r>
        <w:rPr>
          <w:rtl/>
        </w:rPr>
        <w:t xml:space="preserve"> في العديد من حالات الاختفاء القسري وغيرها من انتهاكات حقوق الإنسان في الولاية. وفي بعض طلبات اتخاذ الإجراءات العاجلة، ادُّعي أيضا</w:t>
      </w:r>
      <w:r w:rsidR="005E55D0">
        <w:rPr>
          <w:rFonts w:hint="cs"/>
          <w:rtl/>
        </w:rPr>
        <w:t>ً</w:t>
      </w:r>
      <w:r>
        <w:rPr>
          <w:rtl/>
        </w:rPr>
        <w:t xml:space="preserve"> أن الموظفين الحاليين في مكتب المدعي الخاص للتحقيق في حالات الأشخاص المختفين في ولاية ناياريت متورطون في حالات اختفاء قسري أو تعاونوا عن كثب مع السيد فيتيا. وحُددت هوية من يُدَّعى أنهم الجناة في بعض هذه الحالات، غير أنه لم تُجر أي تحقيقات لتحديد مسؤوليتهم. وفي تلك الحالات، طلبت اللجنة إلى الدولة الطرف أن تتخذ التدابير اللازمة للتحقيق في أي نشاط أو تدخُّل تقوم به السلطات بهدف إعاقة البحث والتحقيق الفعالين في سياق الاختفاء القسري، وأن تحقق، على وجه الخصوص، مع موظفي مكتب المدعي العام الذين ربما كانت لهم </w:t>
      </w:r>
      <w:r>
        <w:rPr>
          <w:rtl/>
        </w:rPr>
        <w:lastRenderedPageBreak/>
        <w:t>صلات بالسيد فيتيا بقصد الوقوف على احتمال تورطهم في حالات الاختفاء المعنية. وطلبت اللجنة إلى الدولة الطرف كذلك أن تكفل اختصاص مكتب المدعي الخاص واستقلاله.</w:t>
      </w:r>
    </w:p>
    <w:p w14:paraId="4FC36887" w14:textId="77777777" w:rsidR="00971B29" w:rsidRPr="00F51BB9" w:rsidRDefault="00971B29" w:rsidP="00971B29">
      <w:pPr>
        <w:pStyle w:val="SingleTxtGA"/>
        <w:rPr>
          <w:szCs w:val="20"/>
          <w:lang w:val="ar-SA" w:eastAsia="zh-TW" w:bidi="en-GB"/>
        </w:rPr>
      </w:pPr>
      <w:r w:rsidRPr="00FA58B2">
        <w:rPr>
          <w:rtl/>
        </w:rPr>
        <w:t>28</w:t>
      </w:r>
      <w:r>
        <w:rPr>
          <w:rFonts w:ascii="Traditional Arabic"/>
          <w:szCs w:val="20"/>
          <w:rtl/>
        </w:rPr>
        <w:t>-</w:t>
      </w:r>
      <w:r>
        <w:rPr>
          <w:rtl/>
        </w:rPr>
        <w:tab/>
        <w:t xml:space="preserve">وأشار أصحاب طلبات اتخاذ الإجراءات العاجلة أيضاً إلى ما يعترض أقارب الأشخاص المختفين من صعوبات في الحصول على الدعم الذي تكفله التشريعات الوطنية والمادة </w:t>
      </w:r>
      <w:r w:rsidRPr="00FA58B2">
        <w:rPr>
          <w:rtl/>
        </w:rPr>
        <w:t>24</w:t>
      </w:r>
      <w:r>
        <w:rPr>
          <w:rFonts w:ascii="Traditional Arabic"/>
          <w:szCs w:val="20"/>
          <w:rtl/>
        </w:rPr>
        <w:t>(</w:t>
      </w:r>
      <w:r w:rsidRPr="00FA58B2">
        <w:rPr>
          <w:rtl/>
        </w:rPr>
        <w:t>6</w:t>
      </w:r>
      <w:r>
        <w:rPr>
          <w:rFonts w:ascii="Traditional Arabic"/>
          <w:szCs w:val="20"/>
          <w:rtl/>
        </w:rPr>
        <w:t>)</w:t>
      </w:r>
      <w:r>
        <w:rPr>
          <w:rtl/>
        </w:rPr>
        <w:t xml:space="preserve"> من الاتفاقية. وبموجب تلك المادة، يتعين على الدول الأطراف أن تتخذ الخطوات المناسبة فيما يتعلق بالوضع القانوني للأشخاص المختفين الذين لم يتكشّف مصيرهم ولا مصير أقاربهم، في مجالات مثل الرعاية الاجتماعية والمسائل المالية وقانون الأسرة وحقوق الملكية. وفي كل حالة من تلك الحالات، أوضحت اللجنة للدولة الطرف التدابير اللازم اتخاذها بحسب الاحتياجات المحددة لأقارب الشخص المختفي، فيما يتعلق مثلاً بالحصول على الغذاء أو التعليم أو السكن أو الخدمات الصحية. وأشارت اللجنة أيضاً إلى واجب السلطات المختصة في الدولة الطرف أن تبلّغ أقارب الشخص المختفي بمضمون الدعم الذي يستحقونه من تلك السلطات المختصة وبنطاقه وإطاره الزمني. وطلبت اللجنة إلى الدولة الطرف أن تكفل إيلاء اللجنة التنفيذية لدعم الضحايا الاعتبار الواجب لحالة المستفيدين واحتياجاتهم عندما تكون بصدد وضع خطط الدعم وتنقيحها. </w:t>
      </w:r>
      <w:r>
        <w:rPr>
          <w:rFonts w:cs="Times New Roman" w:hint="cs"/>
          <w:rtl/>
        </w:rPr>
        <w:t>‬</w:t>
      </w:r>
    </w:p>
    <w:p w14:paraId="168DED4B" w14:textId="3BA77967" w:rsidR="00971B29" w:rsidRPr="00D33CE2" w:rsidRDefault="00971B29" w:rsidP="00971B29">
      <w:pPr>
        <w:pStyle w:val="H23GA"/>
        <w:rPr>
          <w:szCs w:val="20"/>
          <w:lang w:val="ar-SA" w:eastAsia="zh-TW" w:bidi="en-GB"/>
        </w:rPr>
      </w:pPr>
      <w:r>
        <w:rPr>
          <w:rFonts w:ascii="Traditional Arabic"/>
          <w:szCs w:val="20"/>
          <w:rtl/>
        </w:rPr>
        <w:tab/>
      </w:r>
      <w:r w:rsidRPr="00FA58B2">
        <w:rPr>
          <w:rtl/>
        </w:rPr>
        <w:t>3</w:t>
      </w:r>
      <w:r>
        <w:rPr>
          <w:rFonts w:ascii="Traditional Arabic"/>
          <w:szCs w:val="20"/>
          <w:rtl/>
        </w:rPr>
        <w:t>-</w:t>
      </w:r>
      <w:r>
        <w:rPr>
          <w:rtl/>
        </w:rPr>
        <w:tab/>
        <w:t>التطورات في باراغواي وبوركينا فاسو وبيرو والمغرب</w:t>
      </w:r>
    </w:p>
    <w:p w14:paraId="5DD51F73" w14:textId="77777777" w:rsidR="00971B29" w:rsidRPr="00D33CE2" w:rsidRDefault="00971B29" w:rsidP="00971B29">
      <w:pPr>
        <w:pStyle w:val="SingleTxtGA"/>
        <w:rPr>
          <w:szCs w:val="20"/>
          <w:lang w:val="ar-SA" w:eastAsia="zh-TW" w:bidi="en-GB"/>
        </w:rPr>
      </w:pPr>
      <w:r w:rsidRPr="00FA58B2">
        <w:rPr>
          <w:rtl/>
        </w:rPr>
        <w:t>29</w:t>
      </w:r>
      <w:r>
        <w:rPr>
          <w:rFonts w:ascii="Traditional Arabic"/>
          <w:szCs w:val="20"/>
          <w:rtl/>
        </w:rPr>
        <w:t>-</w:t>
      </w:r>
      <w:r>
        <w:rPr>
          <w:rtl/>
        </w:rPr>
        <w:tab/>
      </w:r>
      <w:r>
        <w:rPr>
          <w:b/>
          <w:bCs/>
          <w:rtl/>
        </w:rPr>
        <w:t>اختفاء أحد أفراد جماعة من السكان الأصليين قسراً.</w:t>
      </w:r>
      <w:r>
        <w:rPr>
          <w:rtl/>
        </w:rPr>
        <w:t xml:space="preserve"> خلال الفترة المشمولة بالتقرير، سجلت اللجنة أول طلب لاتخاذ الإجراءات العاجلة يتعلق ببوركينا فاسو. ويتعلق الطلب بادعاء اختفاء أحد أفراد إثنية البول قسراً بعد أن اعتقله عناصر من الدرك.</w:t>
      </w:r>
    </w:p>
    <w:p w14:paraId="54246A60" w14:textId="27B24DBC" w:rsidR="00971B29" w:rsidRPr="00D33CE2" w:rsidRDefault="00971B29" w:rsidP="00971B29">
      <w:pPr>
        <w:pStyle w:val="SingleTxtGA"/>
        <w:rPr>
          <w:szCs w:val="20"/>
          <w:lang w:val="ar-SA" w:eastAsia="zh-TW" w:bidi="en-GB"/>
        </w:rPr>
      </w:pPr>
      <w:r w:rsidRPr="00FA58B2">
        <w:rPr>
          <w:rtl/>
        </w:rPr>
        <w:t>30</w:t>
      </w:r>
      <w:r>
        <w:rPr>
          <w:rFonts w:ascii="Traditional Arabic"/>
          <w:szCs w:val="20"/>
          <w:rtl/>
        </w:rPr>
        <w:t>-</w:t>
      </w:r>
      <w:r>
        <w:rPr>
          <w:rtl/>
        </w:rPr>
        <w:tab/>
      </w:r>
      <w:r>
        <w:rPr>
          <w:b/>
          <w:bCs/>
          <w:rtl/>
        </w:rPr>
        <w:t>الاختفاء القسري في سياق قتال عصابات مسلحة.</w:t>
      </w:r>
      <w:r>
        <w:rPr>
          <w:rtl/>
        </w:rPr>
        <w:t xml:space="preserve"> سجلت اللجنة أيضا</w:t>
      </w:r>
      <w:r w:rsidR="00571D6E">
        <w:rPr>
          <w:rFonts w:hint="cs"/>
          <w:rtl/>
        </w:rPr>
        <w:t>ً</w:t>
      </w:r>
      <w:r>
        <w:rPr>
          <w:rtl/>
        </w:rPr>
        <w:t xml:space="preserve"> أول طلب لاتخاذ الإجراءات العاجلة يتعلق بباراغواي. ويتعلق الطلب بادعاء اختفاء فتاة قسراً في سياق عملية قادتها فرقة عمل مشتركة بين الشرطة والجيش أُنشئت لمكافحة منظمة "جيش شعب باراغواي"، وهي منظمة عصابات مسلحة. وأعربت اللجنة، في مذكرة المتابعة التي قدمتها، عن القلق إزاء عدم توفر معلومات عن أي تدابير ملموسة تكون قد اتُّخذت للبحث عن الفتاة وتحديد مكانها والتحقيق في اختفائها، بما في ذلك استكشاف إمكانية احتجازها على يد "جيش شعب باراغواي".</w:t>
      </w:r>
    </w:p>
    <w:p w14:paraId="1411B86C" w14:textId="6EBB6F86" w:rsidR="00971B29" w:rsidRPr="00D33CE2" w:rsidRDefault="00971B29" w:rsidP="00971B29">
      <w:pPr>
        <w:pStyle w:val="SingleTxtGA"/>
        <w:rPr>
          <w:szCs w:val="20"/>
          <w:lang w:val="ar-SA" w:eastAsia="zh-TW" w:bidi="en-GB"/>
        </w:rPr>
      </w:pPr>
      <w:r w:rsidRPr="00FA58B2">
        <w:rPr>
          <w:rtl/>
        </w:rPr>
        <w:t>31</w:t>
      </w:r>
      <w:r>
        <w:rPr>
          <w:rFonts w:ascii="Traditional Arabic"/>
          <w:szCs w:val="20"/>
          <w:rtl/>
        </w:rPr>
        <w:t>-</w:t>
      </w:r>
      <w:r>
        <w:rPr>
          <w:rtl/>
        </w:rPr>
        <w:tab/>
      </w:r>
      <w:r>
        <w:rPr>
          <w:b/>
          <w:bCs/>
          <w:rtl/>
        </w:rPr>
        <w:t>الاختفاء القسري في سياق تسليم مطلوبين للعدالة.</w:t>
      </w:r>
      <w:r>
        <w:rPr>
          <w:rtl/>
        </w:rPr>
        <w:t xml:space="preserve"> سجلت اللجنة </w:t>
      </w:r>
      <w:r w:rsidRPr="00FA58B2">
        <w:rPr>
          <w:rtl/>
        </w:rPr>
        <w:t>13</w:t>
      </w:r>
      <w:r>
        <w:rPr>
          <w:rtl/>
        </w:rPr>
        <w:t xml:space="preserve"> طلبا</w:t>
      </w:r>
      <w:r w:rsidR="00571D6E">
        <w:rPr>
          <w:rFonts w:hint="cs"/>
          <w:rtl/>
        </w:rPr>
        <w:t>ً</w:t>
      </w:r>
      <w:r>
        <w:rPr>
          <w:rtl/>
        </w:rPr>
        <w:t xml:space="preserve"> لاتخاذ الإجراءات العاجلة فيما يتعلق ببيرو. وتتعلق الطلبات بادعاء الاختفاء القسري لمشاركين في الاحتجاجات المناهضة للرئيس التي شهدتها ليما في تشرين الثاني/نوفمبر </w:t>
      </w:r>
      <w:r w:rsidRPr="00FA58B2">
        <w:rPr>
          <w:rtl/>
        </w:rPr>
        <w:t>2020</w:t>
      </w:r>
      <w:r>
        <w:rPr>
          <w:rFonts w:ascii="Traditional Arabic"/>
          <w:szCs w:val="20"/>
          <w:rtl/>
        </w:rPr>
        <w:t>.</w:t>
      </w:r>
      <w:r>
        <w:rPr>
          <w:rtl/>
        </w:rPr>
        <w:t xml:space="preserve"> وقد أغلقت هذه الحالات بعد تحديد مكان المحتجزين والإفراج عنهم (انظر الفقرة </w:t>
      </w:r>
      <w:r w:rsidRPr="00FA58B2">
        <w:rPr>
          <w:rtl/>
        </w:rPr>
        <w:t>37</w:t>
      </w:r>
      <w:r>
        <w:rPr>
          <w:rtl/>
        </w:rPr>
        <w:t xml:space="preserve"> أدناه).</w:t>
      </w:r>
    </w:p>
    <w:p w14:paraId="06DCCF05" w14:textId="37CA2386" w:rsidR="00971B29" w:rsidRPr="00F51BB9" w:rsidRDefault="00971B29" w:rsidP="00971B29">
      <w:pPr>
        <w:pStyle w:val="SingleTxtGA"/>
        <w:rPr>
          <w:szCs w:val="20"/>
          <w:lang w:val="ar-SA" w:eastAsia="zh-TW" w:bidi="en-GB"/>
        </w:rPr>
      </w:pPr>
      <w:r w:rsidRPr="00FA58B2">
        <w:rPr>
          <w:rtl/>
        </w:rPr>
        <w:t>32</w:t>
      </w:r>
      <w:r>
        <w:rPr>
          <w:rFonts w:ascii="Traditional Arabic"/>
          <w:szCs w:val="20"/>
          <w:rtl/>
        </w:rPr>
        <w:t>-</w:t>
      </w:r>
      <w:r>
        <w:rPr>
          <w:rtl/>
        </w:rPr>
        <w:tab/>
      </w:r>
      <w:r>
        <w:rPr>
          <w:b/>
          <w:bCs/>
          <w:rtl/>
        </w:rPr>
        <w:t>الاختفاء القسري في سياق تسليم مطلوبين للعدالة.</w:t>
      </w:r>
      <w:r>
        <w:rPr>
          <w:rtl/>
        </w:rPr>
        <w:t xml:space="preserve"> سجلت اللجنة طلبا</w:t>
      </w:r>
      <w:r w:rsidR="00571D6E">
        <w:rPr>
          <w:rFonts w:hint="cs"/>
          <w:rtl/>
        </w:rPr>
        <w:t>ً</w:t>
      </w:r>
      <w:r>
        <w:rPr>
          <w:rtl/>
        </w:rPr>
        <w:t xml:space="preserve"> لاتخاذ الإجراءات العاجلة بشأن اختفاء شخص كان قد سلَّمه المغرب إلى المملكة العربية السعودية ولم تكشف السلطات السعودية لأقاربه عن مكانه. وفي هذه الحالة، طلبت اللجنة إلى الدولة الطرف أن تتعاون مع السلطات السعودية لأجل تحديد مكان الشخص والتحقيق في اختفائه القسري المدعى، </w:t>
      </w:r>
      <w:r w:rsidR="00B33122">
        <w:rPr>
          <w:rtl/>
        </w:rPr>
        <w:t>وفقاً</w:t>
      </w:r>
      <w:r>
        <w:rPr>
          <w:rtl/>
        </w:rPr>
        <w:t xml:space="preserve"> لالتزاماتها بموجب المادتين </w:t>
      </w:r>
      <w:r w:rsidRPr="00FA58B2">
        <w:rPr>
          <w:rtl/>
        </w:rPr>
        <w:t>14</w:t>
      </w:r>
      <w:r>
        <w:rPr>
          <w:rtl/>
        </w:rPr>
        <w:t xml:space="preserve"> و</w:t>
      </w:r>
      <w:r w:rsidRPr="00FA58B2">
        <w:rPr>
          <w:rtl/>
        </w:rPr>
        <w:t>15</w:t>
      </w:r>
      <w:r>
        <w:rPr>
          <w:rtl/>
        </w:rPr>
        <w:t xml:space="preserve"> من الاتفاقية.</w:t>
      </w:r>
    </w:p>
    <w:p w14:paraId="5FFEA6BD" w14:textId="25C96EAC" w:rsidR="00971B29" w:rsidRPr="00F51BB9" w:rsidRDefault="00971B29" w:rsidP="00971B29">
      <w:pPr>
        <w:pStyle w:val="H1GA"/>
        <w:rPr>
          <w:szCs w:val="20"/>
          <w:lang w:val="ar-SA" w:eastAsia="zh-TW" w:bidi="en-GB"/>
        </w:rPr>
      </w:pPr>
      <w:r>
        <w:rPr>
          <w:rtl/>
        </w:rPr>
        <w:tab/>
        <w:t>دال-</w:t>
      </w:r>
      <w:r>
        <w:rPr>
          <w:rtl/>
        </w:rPr>
        <w:tab/>
        <w:t>طلبات الإجراءات العاجلة التي شُطبت أو أُغلقت أو لا تزال مفتوحة أو أُوقف النظر فيها لأجل حماية الأشخاص الذين اتُّخذت لأجلهم تدابير مؤقتة</w:t>
      </w:r>
    </w:p>
    <w:p w14:paraId="474F9C24" w14:textId="7EC6FEB1" w:rsidR="00971B29" w:rsidRPr="00F51BB9" w:rsidRDefault="00971B29" w:rsidP="00971B29">
      <w:pPr>
        <w:pStyle w:val="SingleTxtGA"/>
        <w:rPr>
          <w:szCs w:val="20"/>
          <w:lang w:val="ar-SA" w:eastAsia="zh-TW" w:bidi="en-GB"/>
        </w:rPr>
      </w:pPr>
      <w:r w:rsidRPr="00FA58B2">
        <w:rPr>
          <w:rtl/>
        </w:rPr>
        <w:t>33</w:t>
      </w:r>
      <w:r>
        <w:rPr>
          <w:rFonts w:ascii="Traditional Arabic"/>
          <w:szCs w:val="20"/>
          <w:rtl/>
        </w:rPr>
        <w:t>-</w:t>
      </w:r>
      <w:r>
        <w:rPr>
          <w:rtl/>
        </w:rPr>
        <w:tab/>
      </w:r>
      <w:r w:rsidR="00B33122">
        <w:rPr>
          <w:rtl/>
        </w:rPr>
        <w:t>وفقاً</w:t>
      </w:r>
      <w:r>
        <w:rPr>
          <w:rtl/>
        </w:rPr>
        <w:t xml:space="preserve"> للمعايير التي اعتمدتها اللجنة في جلسة عامة أثناء دورتها الثامنة:</w:t>
      </w:r>
    </w:p>
    <w:p w14:paraId="5425F81B" w14:textId="520E7A4F" w:rsidR="00971B29" w:rsidRPr="00F51BB9" w:rsidRDefault="009B31A5" w:rsidP="00971B29">
      <w:pPr>
        <w:pStyle w:val="SingleTxtGA"/>
        <w:rPr>
          <w:szCs w:val="20"/>
          <w:lang w:val="ar-SA" w:eastAsia="zh-TW" w:bidi="en-GB"/>
        </w:rPr>
      </w:pPr>
      <w:r>
        <w:rPr>
          <w:rtl/>
        </w:rPr>
        <w:lastRenderedPageBreak/>
        <w:tab/>
      </w:r>
      <w:r w:rsidR="00971B29">
        <w:rPr>
          <w:rtl/>
        </w:rPr>
        <w:t>(أ)</w:t>
      </w:r>
      <w:r w:rsidR="00971B29">
        <w:rPr>
          <w:rtl/>
        </w:rPr>
        <w:tab/>
        <w:t>يُشطب طلب اتخاذ الإجراءات العاجلة عندما يُحدَّد مكان الشخص المختفي ولكنه لا</w:t>
      </w:r>
      <w:r>
        <w:rPr>
          <w:rFonts w:hint="cs"/>
          <w:rtl/>
        </w:rPr>
        <w:t> </w:t>
      </w:r>
      <w:r w:rsidR="00971B29">
        <w:rPr>
          <w:rtl/>
        </w:rPr>
        <w:t>يزال رهن الاحتجاز؛ وسبب اتخاذ هذه الخطوة هو أن الشخص المعني يكون معرضا بصورة أشد لخطر الوقوع ضحية اختفاء قسري جديد والخروج من نطاق حماية القانون؛</w:t>
      </w:r>
    </w:p>
    <w:p w14:paraId="4FABF448" w14:textId="34961221" w:rsidR="00971B29" w:rsidRPr="00F51BB9" w:rsidRDefault="009B31A5" w:rsidP="00971B29">
      <w:pPr>
        <w:pStyle w:val="SingleTxtGA"/>
        <w:rPr>
          <w:szCs w:val="20"/>
          <w:lang w:val="ar-SA" w:eastAsia="zh-TW" w:bidi="en-GB"/>
        </w:rPr>
      </w:pPr>
      <w:r>
        <w:rPr>
          <w:rtl/>
        </w:rPr>
        <w:tab/>
      </w:r>
      <w:r w:rsidR="00971B29">
        <w:rPr>
          <w:rtl/>
        </w:rPr>
        <w:t>(ب)</w:t>
      </w:r>
      <w:r w:rsidR="00971B29">
        <w:rPr>
          <w:rtl/>
        </w:rPr>
        <w:tab/>
        <w:t>يغلَق طلب اتخاذ الإجراءات العاجلة متى عُثر على الشخص المختفي حراً طليقاً، أو متى عُثر عليه ثم أُفرج عنه، أو عُثر عليه ميتاً، شريطة ألا يطعن أفراد أسرته و/أو أصحاب الطلب في صحة هذه الوقائع؛</w:t>
      </w:r>
    </w:p>
    <w:p w14:paraId="12C74B25" w14:textId="3303D1D8" w:rsidR="00971B29" w:rsidRPr="00F51BB9" w:rsidRDefault="009B31A5" w:rsidP="00971B29">
      <w:pPr>
        <w:pStyle w:val="SingleTxtGA"/>
        <w:rPr>
          <w:szCs w:val="20"/>
          <w:lang w:val="ar-SA" w:eastAsia="zh-TW" w:bidi="en-GB"/>
        </w:rPr>
      </w:pPr>
      <w:r>
        <w:rPr>
          <w:rtl/>
        </w:rPr>
        <w:tab/>
      </w:r>
      <w:r w:rsidR="00971B29">
        <w:rPr>
          <w:rtl/>
        </w:rPr>
        <w:t>(ج)</w:t>
      </w:r>
      <w:r w:rsidR="00971B29">
        <w:rPr>
          <w:rtl/>
        </w:rPr>
        <w:tab/>
        <w:t>يبقى طلب اتخاذ الإجراءات العاجلة مفتوحاً إذا حُدد مكان الشخص المختفي ولكن لا يزال الأشخاص الذين اتُّخذت لأجلهم تدابير مؤقتة في سياق طلب اتخاذ الإجراءات العاجلة تحت التهديد؛ وفي هذه الحالات، يقتصر تدخل اللجنة على متابعة التدابير المؤقتة.</w:t>
      </w:r>
    </w:p>
    <w:p w14:paraId="029A8DE2" w14:textId="77777777" w:rsidR="00971B29" w:rsidRPr="009B31A5" w:rsidRDefault="00971B29" w:rsidP="00971B29">
      <w:pPr>
        <w:pStyle w:val="SingleTxtGA"/>
        <w:rPr>
          <w:szCs w:val="20"/>
          <w:lang w:val="en-US" w:eastAsia="zh-TW" w:bidi="en-GB"/>
        </w:rPr>
      </w:pPr>
      <w:r w:rsidRPr="00FA58B2">
        <w:rPr>
          <w:rtl/>
        </w:rPr>
        <w:t>34</w:t>
      </w:r>
      <w:r>
        <w:rPr>
          <w:rFonts w:ascii="Traditional Arabic"/>
          <w:szCs w:val="20"/>
          <w:rtl/>
        </w:rPr>
        <w:t>-</w:t>
      </w:r>
      <w:r>
        <w:rPr>
          <w:rtl/>
        </w:rPr>
        <w:tab/>
        <w:t>وبالإضافة إلى هذه المعايير، اعتمدت اللجنة في دورتها العشرين الفئة الجديدة التالية من الحالات:</w:t>
      </w:r>
    </w:p>
    <w:p w14:paraId="7E41B67E" w14:textId="4B0256D9" w:rsidR="00971B29" w:rsidRPr="00F51BB9" w:rsidRDefault="0049290E" w:rsidP="009B31A5">
      <w:pPr>
        <w:pStyle w:val="SingleTxtGA"/>
        <w:ind w:left="1928"/>
        <w:rPr>
          <w:szCs w:val="20"/>
          <w:lang w:val="ar-SA" w:eastAsia="zh-TW" w:bidi="en-GB"/>
        </w:rPr>
      </w:pPr>
      <w:r>
        <w:rPr>
          <w:rtl/>
        </w:rPr>
        <w:tab/>
      </w:r>
      <w:r w:rsidR="00971B29">
        <w:rPr>
          <w:rtl/>
        </w:rPr>
        <w:t>(د)</w:t>
      </w:r>
      <w:r w:rsidR="00971B29">
        <w:rPr>
          <w:rtl/>
        </w:rPr>
        <w:tab/>
        <w:t>يوقَف النظر في طلب اتخاذ الإجراءات العاجلة، وتوقَف متابعته من قِبل اللجنة، عندما يفقد صاحب طلب اتخاذ الإجراءات العاجلة سبل الاتصال بأفراد أسرة الشخص المختفي ويتعذر عليه منذ ذلك الوقت تقديم معلومات لأغراض المتابعة؛ ويجوز استئناف النظر في طلب لاتخاذ الإجراءات العاجلة كان قد أوقِف النظر فيه إذا أبلغ صاحبه اللجنة بأنه استأنف الاتصال بأفراد الأسرة.</w:t>
      </w:r>
    </w:p>
    <w:p w14:paraId="3A03041A" w14:textId="77777777" w:rsidR="00971B29" w:rsidRPr="00F51BB9" w:rsidRDefault="00971B29" w:rsidP="00971B29">
      <w:pPr>
        <w:pStyle w:val="SingleTxtGA"/>
        <w:rPr>
          <w:szCs w:val="20"/>
          <w:lang w:val="ar-SA" w:eastAsia="zh-TW" w:bidi="en-GB"/>
        </w:rPr>
      </w:pPr>
      <w:r w:rsidRPr="00FA58B2">
        <w:rPr>
          <w:rtl/>
        </w:rPr>
        <w:t>35</w:t>
      </w:r>
      <w:r>
        <w:rPr>
          <w:rFonts w:ascii="Traditional Arabic"/>
          <w:szCs w:val="20"/>
          <w:rtl/>
        </w:rPr>
        <w:t>-</w:t>
      </w:r>
      <w:r>
        <w:rPr>
          <w:rtl/>
        </w:rPr>
        <w:tab/>
        <w:t xml:space="preserve">وحتى </w:t>
      </w:r>
      <w:r w:rsidRPr="00FA58B2">
        <w:rPr>
          <w:rtl/>
        </w:rPr>
        <w:t>1</w:t>
      </w:r>
      <w:r>
        <w:rPr>
          <w:rtl/>
        </w:rPr>
        <w:t xml:space="preserve"> نيسان/أبريل </w:t>
      </w:r>
      <w:r w:rsidRPr="00FA58B2">
        <w:rPr>
          <w:rtl/>
        </w:rPr>
        <w:t>2021</w:t>
      </w:r>
      <w:r>
        <w:rPr>
          <w:rtl/>
        </w:rPr>
        <w:t xml:space="preserve">، كانت اللجنة قد أغلقت </w:t>
      </w:r>
      <w:r w:rsidRPr="00FA58B2">
        <w:rPr>
          <w:rtl/>
        </w:rPr>
        <w:t>89</w:t>
      </w:r>
      <w:r>
        <w:rPr>
          <w:rtl/>
        </w:rPr>
        <w:t xml:space="preserve"> حالة تنطوي على اتخاذ الإجراءات العاجلة وشطبت </w:t>
      </w:r>
      <w:r w:rsidRPr="00FA58B2">
        <w:rPr>
          <w:rtl/>
        </w:rPr>
        <w:t>15</w:t>
      </w:r>
      <w:r>
        <w:rPr>
          <w:rtl/>
        </w:rPr>
        <w:t xml:space="preserve"> حالة وأوقفت النظر في </w:t>
      </w:r>
      <w:r w:rsidRPr="00FA58B2">
        <w:rPr>
          <w:rtl/>
        </w:rPr>
        <w:t>96</w:t>
      </w:r>
      <w:r>
        <w:rPr>
          <w:rtl/>
        </w:rPr>
        <w:t xml:space="preserve"> حالة. وظل ما مجموعه </w:t>
      </w:r>
      <w:r w:rsidRPr="00FA58B2">
        <w:rPr>
          <w:rtl/>
        </w:rPr>
        <w:t>813</w:t>
      </w:r>
      <w:r>
        <w:rPr>
          <w:rtl/>
        </w:rPr>
        <w:t xml:space="preserve"> حالة من حالات الإجراءات العاجلة مفتوحة.</w:t>
      </w:r>
      <w:bookmarkStart w:id="0" w:name="_Hlk45551809"/>
    </w:p>
    <w:p w14:paraId="20C11B76" w14:textId="77777777" w:rsidR="00971B29" w:rsidRPr="00F51BB9" w:rsidRDefault="00971B29" w:rsidP="00971B29">
      <w:pPr>
        <w:pStyle w:val="SingleTxtGA"/>
        <w:rPr>
          <w:szCs w:val="20"/>
          <w:lang w:val="ar-SA" w:eastAsia="zh-TW" w:bidi="en-GB"/>
        </w:rPr>
      </w:pPr>
      <w:r w:rsidRPr="00FA58B2">
        <w:rPr>
          <w:rtl/>
        </w:rPr>
        <w:t>36</w:t>
      </w:r>
      <w:r>
        <w:rPr>
          <w:rFonts w:ascii="Traditional Arabic"/>
          <w:szCs w:val="20"/>
          <w:rtl/>
        </w:rPr>
        <w:t>-</w:t>
      </w:r>
      <w:r>
        <w:rPr>
          <w:rtl/>
        </w:rPr>
        <w:tab/>
        <w:t xml:space="preserve">وفي اثنتين من حالات الإجراءات العاجلة التي عُثر فيها على الأشخاص المختفين أمواتاً (الحالة رقم </w:t>
      </w:r>
      <w:r w:rsidRPr="00FA58B2">
        <w:t>2014</w:t>
      </w:r>
      <w:r>
        <w:rPr>
          <w:rFonts w:ascii="Traditional Arabic"/>
          <w:szCs w:val="20"/>
        </w:rPr>
        <w:t>/</w:t>
      </w:r>
      <w:r w:rsidRPr="00FA58B2">
        <w:t>12</w:t>
      </w:r>
      <w:r>
        <w:rPr>
          <w:rtl/>
        </w:rPr>
        <w:t xml:space="preserve"> المتعلقة بكولومبيا، ورقم </w:t>
      </w:r>
      <w:r w:rsidRPr="00FA58B2">
        <w:t>2013</w:t>
      </w:r>
      <w:r>
        <w:rPr>
          <w:rFonts w:ascii="Traditional Arabic"/>
          <w:szCs w:val="20"/>
        </w:rPr>
        <w:t>/</w:t>
      </w:r>
      <w:r w:rsidRPr="00FA58B2">
        <w:t>8</w:t>
      </w:r>
      <w:r>
        <w:rPr>
          <w:rtl/>
        </w:rPr>
        <w:t xml:space="preserve"> المتعلقة بالمكسيك)، ظلت الإجراءات العاجلة مفتوحة لأن الأشخاص الذين اتُخذت لصالحهم تدابير مؤقتة كانوا لا يزالون تحت التهديد.</w:t>
      </w:r>
      <w:bookmarkEnd w:id="0"/>
    </w:p>
    <w:p w14:paraId="2B473252" w14:textId="6FFBC3F9" w:rsidR="00971B29" w:rsidRPr="00F51BB9" w:rsidRDefault="00971B29" w:rsidP="00971B29">
      <w:pPr>
        <w:pStyle w:val="SingleTxtGA"/>
        <w:rPr>
          <w:szCs w:val="20"/>
          <w:lang w:val="ar-SA" w:eastAsia="zh-TW" w:bidi="en-GB"/>
        </w:rPr>
      </w:pPr>
      <w:r w:rsidRPr="00FA58B2">
        <w:rPr>
          <w:rtl/>
        </w:rPr>
        <w:t>37</w:t>
      </w:r>
      <w:r>
        <w:rPr>
          <w:rFonts w:ascii="Traditional Arabic"/>
          <w:szCs w:val="20"/>
          <w:rtl/>
        </w:rPr>
        <w:t>-</w:t>
      </w:r>
      <w:r>
        <w:rPr>
          <w:rtl/>
        </w:rPr>
        <w:tab/>
        <w:t xml:space="preserve">وترحب اللجنة بتحديد مكان </w:t>
      </w:r>
      <w:r w:rsidRPr="00FA58B2">
        <w:rPr>
          <w:rtl/>
        </w:rPr>
        <w:t>106</w:t>
      </w:r>
      <w:r>
        <w:rPr>
          <w:rtl/>
        </w:rPr>
        <w:t xml:space="preserve"> أشخاص مختفين، حتى الآن. وترحب اللجنة خاصةً بكون الأشخاص المعنيين لا يزالون على قيد الحياة في </w:t>
      </w:r>
      <w:r w:rsidRPr="00FA58B2">
        <w:rPr>
          <w:rtl/>
        </w:rPr>
        <w:t>82</w:t>
      </w:r>
      <w:r>
        <w:rPr>
          <w:rtl/>
        </w:rPr>
        <w:t xml:space="preserve"> حالة. وفي هذا الصدد، تود اللجنة أن تبرز النتائج الإيجابية التي لوحظت في طلبات اتخاذ الإجراءات العاجلة التي سُجلت خلال الفترة قيد الاستعراض فيما يتعلق بالحالات في بيرو وكمبوديا والمكسيك. وفيما يخص الطلب المتعلق بكمبوديا (رقم </w:t>
      </w:r>
      <w:r w:rsidRPr="00FA58B2">
        <w:t>2020</w:t>
      </w:r>
      <w:r>
        <w:rPr>
          <w:rFonts w:ascii="Traditional Arabic"/>
          <w:szCs w:val="20"/>
        </w:rPr>
        <w:t>/</w:t>
      </w:r>
      <w:r w:rsidRPr="00FA58B2">
        <w:t>782</w:t>
      </w:r>
      <w:r>
        <w:rPr>
          <w:rFonts w:ascii="Traditional Arabic"/>
          <w:szCs w:val="20"/>
          <w:rtl/>
        </w:rPr>
        <w:t>)</w:t>
      </w:r>
      <w:r>
        <w:rPr>
          <w:rtl/>
        </w:rPr>
        <w:t>، الذي حُدد مكان الشخص المعني به في تركيا حيث كان محتجزا</w:t>
      </w:r>
      <w:r w:rsidR="004E45B1">
        <w:rPr>
          <w:rFonts w:hint="cs"/>
          <w:rtl/>
        </w:rPr>
        <w:t>ً</w:t>
      </w:r>
      <w:r>
        <w:rPr>
          <w:rtl/>
        </w:rPr>
        <w:t>، تعرب اللجنة عن أسفها لعدم تعاون الدولة الطرف مع الدولة التي يحمل الشخص المختفي جنسيتها وهي المكسيك، بغية مساعدة الضحايا والبحث عن الشخص المختفي وتحديد مكانه وإطلاق سراحه، امتثالا</w:t>
      </w:r>
      <w:r w:rsidR="004E45B1">
        <w:rPr>
          <w:rFonts w:hint="cs"/>
          <w:rtl/>
        </w:rPr>
        <w:t>ً</w:t>
      </w:r>
      <w:r>
        <w:rPr>
          <w:rtl/>
        </w:rPr>
        <w:t xml:space="preserve"> للمادة </w:t>
      </w:r>
      <w:r w:rsidRPr="00FA58B2">
        <w:rPr>
          <w:rtl/>
        </w:rPr>
        <w:t>15</w:t>
      </w:r>
      <w:r>
        <w:rPr>
          <w:rtl/>
        </w:rPr>
        <w:t xml:space="preserve"> من الاتفاقية.</w:t>
      </w:r>
    </w:p>
    <w:p w14:paraId="65622CF5" w14:textId="77777777" w:rsidR="00971B29" w:rsidRDefault="00971B29" w:rsidP="00971B29">
      <w:pPr>
        <w:pStyle w:val="SingleTxtGA"/>
        <w:rPr>
          <w:szCs w:val="20"/>
          <w:lang w:val="ar-SA" w:eastAsia="zh-TW" w:bidi="en-GB"/>
        </w:rPr>
      </w:pPr>
      <w:r w:rsidRPr="00FA58B2">
        <w:rPr>
          <w:rtl/>
        </w:rPr>
        <w:t>38</w:t>
      </w:r>
      <w:r>
        <w:rPr>
          <w:rFonts w:ascii="Traditional Arabic"/>
          <w:szCs w:val="20"/>
          <w:rtl/>
        </w:rPr>
        <w:t>-</w:t>
      </w:r>
      <w:r>
        <w:rPr>
          <w:rtl/>
        </w:rPr>
        <w:tab/>
        <w:t xml:space="preserve">وفيما يتعلق بطلب اتخاذ الإجراءات العاجلة المتعلق بلتوانيا (رقم </w:t>
      </w:r>
      <w:r w:rsidRPr="00FA58B2">
        <w:t>2019</w:t>
      </w:r>
      <w:r>
        <w:rPr>
          <w:rFonts w:ascii="Traditional Arabic"/>
          <w:szCs w:val="20"/>
        </w:rPr>
        <w:t>/</w:t>
      </w:r>
      <w:r w:rsidRPr="00FA58B2">
        <w:t>569</w:t>
      </w:r>
      <w:r>
        <w:rPr>
          <w:rFonts w:ascii="Traditional Arabic"/>
          <w:szCs w:val="20"/>
          <w:rtl/>
        </w:rPr>
        <w:t>)</w:t>
      </w:r>
      <w:r>
        <w:rPr>
          <w:rtl/>
        </w:rPr>
        <w:t>، أبلغت السيدة التي قُدم طلب اتخاذ الإجراءات العاجلة نيابة عنها، ووالدها الوصي عليها، اللجنة بأنها تستفيد من برنامج لحماية الشهود، وبأن مكانها معروف، وبأنها لا ترغب في أن يمثلها صاحب طلب اتخاذ الإجراءات العاجلة. ولذلك أُغلقت هذه الحالات وأُبلغت الأطراف المعنية جميعها بذلك.</w:t>
      </w:r>
    </w:p>
    <w:p w14:paraId="0263A38D" w14:textId="77777777" w:rsidR="00971B29" w:rsidRPr="00594946" w:rsidRDefault="00971B29" w:rsidP="00971B29">
      <w:pPr>
        <w:spacing w:before="240"/>
        <w:jc w:val="center"/>
        <w:rPr>
          <w:u w:val="single"/>
        </w:rPr>
      </w:pPr>
      <w:r w:rsidRPr="00594946">
        <w:rPr>
          <w:u w:val="single"/>
        </w:rPr>
        <w:tab/>
      </w:r>
      <w:r w:rsidRPr="00594946">
        <w:rPr>
          <w:u w:val="single"/>
        </w:rPr>
        <w:tab/>
      </w:r>
      <w:r w:rsidRPr="00594946">
        <w:rPr>
          <w:u w:val="single"/>
        </w:rPr>
        <w:tab/>
      </w:r>
    </w:p>
    <w:sectPr w:rsidR="00971B29" w:rsidRPr="00594946" w:rsidSect="0043285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8310DE" w14:textId="77777777" w:rsidR="008A0642" w:rsidRPr="002901D9" w:rsidRDefault="008A0642" w:rsidP="00DF5E71">
      <w:pPr>
        <w:spacing w:after="60" w:line="240" w:lineRule="auto"/>
        <w:ind w:left="57"/>
        <w:rPr>
          <w:i/>
          <w:iCs/>
        </w:rPr>
      </w:pPr>
      <w:r>
        <w:rPr>
          <w:rFonts w:hint="cs"/>
          <w:i/>
          <w:iCs/>
          <w:rtl/>
        </w:rPr>
        <w:t>الحواشي</w:t>
      </w:r>
    </w:p>
  </w:endnote>
  <w:endnote w:type="continuationSeparator" w:id="0">
    <w:p w14:paraId="28C65839" w14:textId="77777777" w:rsidR="008A0642" w:rsidRDefault="008A064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A3327" w14:textId="77777777" w:rsidR="008A0642" w:rsidRPr="00894ADC" w:rsidRDefault="008A0642" w:rsidP="00894ADC">
    <w:pPr>
      <w:pStyle w:val="Footer"/>
      <w:tabs>
        <w:tab w:val="right" w:pos="9638"/>
      </w:tabs>
      <w:rPr>
        <w:b/>
        <w:sz w:val="18"/>
        <w:lang w:val="en-US"/>
      </w:rPr>
    </w:pPr>
    <w:r>
      <w:rPr>
        <w:lang w:val="en-US"/>
      </w:rPr>
      <w:t>GE.21-06993</w:t>
    </w:r>
    <w:r>
      <w:rPr>
        <w:lang w:val="en-US"/>
      </w:rPr>
      <w:tab/>
    </w:r>
    <w:r w:rsidRPr="00894ADC">
      <w:rPr>
        <w:b/>
        <w:sz w:val="18"/>
        <w:lang w:val="en-US"/>
      </w:rPr>
      <w:fldChar w:fldCharType="begin"/>
    </w:r>
    <w:r w:rsidRPr="00894ADC">
      <w:rPr>
        <w:b/>
        <w:sz w:val="18"/>
        <w:lang w:val="en-US"/>
      </w:rPr>
      <w:instrText xml:space="preserve"> PAGE  \* MERGEFORMAT </w:instrText>
    </w:r>
    <w:r w:rsidRPr="00894ADC">
      <w:rPr>
        <w:b/>
        <w:sz w:val="18"/>
        <w:lang w:val="en-US"/>
      </w:rPr>
      <w:fldChar w:fldCharType="separate"/>
    </w:r>
    <w:r w:rsidRPr="00894ADC">
      <w:rPr>
        <w:b/>
        <w:noProof/>
        <w:sz w:val="18"/>
        <w:lang w:val="en-US"/>
      </w:rPr>
      <w:t>2</w:t>
    </w:r>
    <w:r w:rsidRPr="00894AD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A234A" w14:textId="77777777" w:rsidR="008A0642" w:rsidRPr="00894ADC" w:rsidRDefault="008A0642" w:rsidP="00894AD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GE.21-06993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EF7412" w14:textId="77777777" w:rsidR="008A0642" w:rsidRPr="00894ADC" w:rsidRDefault="008A0642" w:rsidP="00894ADC">
    <w:pPr>
      <w:pStyle w:val="Footer"/>
      <w:spacing w:before="600"/>
      <w:ind w:left="567"/>
      <w:jc w:val="right"/>
      <w:rPr>
        <w:sz w:val="20"/>
        <w:lang w:val="en-US"/>
      </w:rPr>
    </w:pPr>
    <w:r>
      <w:rPr>
        <w:sz w:val="20"/>
        <w:lang w:val="en-US"/>
      </w:rPr>
      <w:t>GE.</w:t>
    </w:r>
    <w:r>
      <w:rPr>
        <w:noProof/>
      </w:rPr>
      <w:drawing>
        <wp:anchor distT="0" distB="0" distL="114300" distR="114300" simplePos="0" relativeHeight="251659264" behindDoc="1" locked="1" layoutInCell="0" allowOverlap="1" wp14:anchorId="18026D4D" wp14:editId="3027E2F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21-06993 (A)</w:t>
    </w:r>
    <w:r>
      <w:rPr>
        <w:noProof/>
        <w:sz w:val="20"/>
        <w:lang w:val="en-US"/>
      </w:rPr>
      <w:drawing>
        <wp:anchor distT="0" distB="0" distL="114300" distR="114300" simplePos="0" relativeHeight="251660288" behindDoc="0" locked="0" layoutInCell="1" allowOverlap="1" wp14:anchorId="053AD5DB" wp14:editId="3D2AE7E8">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061141" w14:textId="77777777" w:rsidR="008A0642" w:rsidRPr="00CB28F9" w:rsidRDefault="008A0642" w:rsidP="00317B22">
      <w:pPr>
        <w:pStyle w:val="Footer"/>
        <w:bidi/>
        <w:spacing w:after="80" w:line="200" w:lineRule="exact"/>
        <w:ind w:left="680"/>
      </w:pPr>
      <w:r>
        <w:rPr>
          <w:rtl/>
        </w:rPr>
        <w:t>__________</w:t>
      </w:r>
    </w:p>
  </w:footnote>
  <w:footnote w:type="continuationSeparator" w:id="0">
    <w:p w14:paraId="0558A6FC" w14:textId="77777777" w:rsidR="008A0642" w:rsidRDefault="008A0642" w:rsidP="00656392">
      <w:pPr>
        <w:spacing w:line="240" w:lineRule="auto"/>
      </w:pPr>
      <w:r>
        <w:continuationSeparator/>
      </w:r>
    </w:p>
  </w:footnote>
  <w:footnote w:id="1">
    <w:p w14:paraId="438604F4" w14:textId="77A625AC" w:rsidR="008A0642" w:rsidRPr="00CF6215" w:rsidRDefault="008A0642" w:rsidP="00B650CB">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CF6215">
        <w:rPr>
          <w:rFonts w:ascii="Simplified Arabic" w:hAnsi="Simplified Arabic"/>
          <w:szCs w:val="18"/>
        </w:rPr>
        <w:t>*</w:t>
      </w:r>
      <w:r w:rsidRPr="00CF6215">
        <w:rPr>
          <w:rFonts w:ascii="Simplified Arabic" w:hAnsi="Simplified Arabic"/>
          <w:szCs w:val="18"/>
          <w:rtl/>
        </w:rPr>
        <w:tab/>
        <w:t>اعتمدتها اللجنة في دورتها العشرين (12 نيسان/أبريل - 7 أيار/مايو 2021).</w:t>
      </w:r>
    </w:p>
  </w:footnote>
  <w:footnote w:id="2">
    <w:p w14:paraId="56D13548" w14:textId="16112941" w:rsidR="00BB5F1C" w:rsidRPr="00CF6215" w:rsidRDefault="00BB5F1C" w:rsidP="00B650CB">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CF6215">
        <w:rPr>
          <w:rStyle w:val="FootnoteReference"/>
          <w:rFonts w:ascii="Simplified Arabic" w:hAnsi="Simplified Arabic"/>
          <w:vertAlign w:val="baseline"/>
          <w:rtl/>
        </w:rPr>
        <w:t>(</w:t>
      </w:r>
      <w:r w:rsidRPr="00CF6215">
        <w:rPr>
          <w:rStyle w:val="FootnoteReference"/>
          <w:rFonts w:ascii="Simplified Arabic" w:hAnsi="Simplified Arabic"/>
          <w:vertAlign w:val="baseline"/>
          <w:rtl/>
        </w:rPr>
        <w:footnoteRef/>
      </w:r>
      <w:r w:rsidRPr="00CF6215">
        <w:rPr>
          <w:rStyle w:val="FootnoteReference"/>
          <w:rFonts w:ascii="Simplified Arabic" w:hAnsi="Simplified Arabic"/>
          <w:vertAlign w:val="baseline"/>
          <w:rtl/>
        </w:rPr>
        <w:t>)</w:t>
      </w:r>
      <w:r w:rsidRPr="00CF6215">
        <w:rPr>
          <w:rFonts w:ascii="Simplified Arabic" w:hAnsi="Simplified Arabic"/>
          <w:szCs w:val="18"/>
          <w:rtl/>
        </w:rPr>
        <w:tab/>
      </w:r>
      <w:r w:rsidRPr="00CF6215">
        <w:rPr>
          <w:rFonts w:ascii="Simplified Arabic" w:hAnsi="Simplified Arabic"/>
          <w:szCs w:val="18"/>
        </w:rPr>
        <w:t>CED/C/19/2</w:t>
      </w:r>
      <w:r w:rsidRPr="00CF6215">
        <w:rPr>
          <w:rFonts w:ascii="Simplified Arabic" w:hAnsi="Simplified Arabic"/>
          <w:szCs w:val="18"/>
          <w:rtl/>
        </w:rPr>
        <w:t>.</w:t>
      </w:r>
    </w:p>
  </w:footnote>
  <w:footnote w:id="3">
    <w:p w14:paraId="6140F2DB" w14:textId="78BDBF8B" w:rsidR="00BB5F1C" w:rsidRPr="00CF6215" w:rsidRDefault="00BB5F1C" w:rsidP="00B650CB">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CF6215">
        <w:rPr>
          <w:rStyle w:val="FootnoteReference"/>
          <w:rFonts w:ascii="Simplified Arabic" w:hAnsi="Simplified Arabic"/>
          <w:vertAlign w:val="baseline"/>
          <w:rtl/>
        </w:rPr>
        <w:t>(</w:t>
      </w:r>
      <w:r w:rsidRPr="00CF6215">
        <w:rPr>
          <w:rStyle w:val="FootnoteReference"/>
          <w:rFonts w:ascii="Simplified Arabic" w:hAnsi="Simplified Arabic"/>
          <w:vertAlign w:val="baseline"/>
          <w:rtl/>
        </w:rPr>
        <w:footnoteRef/>
      </w:r>
      <w:r w:rsidRPr="00CF6215">
        <w:rPr>
          <w:rStyle w:val="FootnoteReference"/>
          <w:rFonts w:ascii="Simplified Arabic" w:hAnsi="Simplified Arabic"/>
          <w:vertAlign w:val="baseline"/>
          <w:rtl/>
        </w:rPr>
        <w:t>)</w:t>
      </w:r>
      <w:r w:rsidRPr="00CF6215">
        <w:rPr>
          <w:rFonts w:ascii="Simplified Arabic" w:hAnsi="Simplified Arabic"/>
          <w:szCs w:val="18"/>
          <w:rtl/>
        </w:rPr>
        <w:tab/>
        <w:t>CED/C/11/3, CED/C/12/2, CED/C/13/3, CED/C/14/2, CED/C/15/3, CED/C/16/3, CED/C/17/2</w:t>
      </w:r>
      <w:r w:rsidR="009041C9" w:rsidRPr="00CF6215">
        <w:rPr>
          <w:rFonts w:ascii="Simplified Arabic" w:hAnsi="Simplified Arabic"/>
          <w:szCs w:val="18"/>
          <w:rtl/>
        </w:rPr>
        <w:t xml:space="preserve"> </w:t>
      </w:r>
      <w:r w:rsidRPr="00CF6215">
        <w:rPr>
          <w:rFonts w:ascii="Simplified Arabic" w:hAnsi="Simplified Arabic"/>
          <w:szCs w:val="18"/>
          <w:rtl/>
        </w:rPr>
        <w:t>و</w:t>
      </w:r>
      <w:r w:rsidRPr="00CF6215">
        <w:rPr>
          <w:rFonts w:ascii="Simplified Arabic" w:hAnsi="Simplified Arabic"/>
          <w:szCs w:val="18"/>
        </w:rPr>
        <w:t>CED/C/19/2</w:t>
      </w:r>
      <w:r w:rsidRPr="00CF6215">
        <w:rPr>
          <w:rFonts w:ascii="Simplified Arabic" w:hAnsi="Simplified Arabic"/>
          <w:szCs w:val="18"/>
          <w:rtl/>
        </w:rPr>
        <w:t>.</w:t>
      </w:r>
    </w:p>
  </w:footnote>
  <w:footnote w:id="4">
    <w:p w14:paraId="03008D92" w14:textId="2D5E3B56" w:rsidR="00BB5F1C" w:rsidRPr="00CF6215" w:rsidRDefault="00BB5F1C" w:rsidP="00B650CB">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CF6215">
        <w:rPr>
          <w:rStyle w:val="FootnoteReference"/>
          <w:rFonts w:ascii="Simplified Arabic" w:hAnsi="Simplified Arabic"/>
          <w:vertAlign w:val="baseline"/>
          <w:rtl/>
        </w:rPr>
        <w:t>(</w:t>
      </w:r>
      <w:r w:rsidRPr="00CF6215">
        <w:rPr>
          <w:rStyle w:val="FootnoteReference"/>
          <w:rFonts w:ascii="Simplified Arabic" w:hAnsi="Simplified Arabic"/>
          <w:vertAlign w:val="baseline"/>
          <w:rtl/>
        </w:rPr>
        <w:footnoteRef/>
      </w:r>
      <w:r w:rsidRPr="00CF6215">
        <w:rPr>
          <w:rStyle w:val="FootnoteReference"/>
          <w:rFonts w:ascii="Simplified Arabic" w:hAnsi="Simplified Arabic"/>
          <w:vertAlign w:val="baseline"/>
          <w:rtl/>
        </w:rPr>
        <w:t>)</w:t>
      </w:r>
      <w:r w:rsidRPr="00CF6215">
        <w:rPr>
          <w:rFonts w:ascii="Simplified Arabic" w:hAnsi="Simplified Arabic"/>
          <w:szCs w:val="18"/>
          <w:rtl/>
        </w:rPr>
        <w:tab/>
      </w:r>
      <w:r w:rsidRPr="00CF6215">
        <w:rPr>
          <w:rFonts w:ascii="Simplified Arabic" w:hAnsi="Simplified Arabic"/>
          <w:szCs w:val="18"/>
        </w:rPr>
        <w:t>A/73/56</w:t>
      </w:r>
      <w:r w:rsidRPr="00CF6215">
        <w:rPr>
          <w:rFonts w:ascii="Simplified Arabic" w:hAnsi="Simplified Arabic"/>
          <w:szCs w:val="18"/>
          <w:rtl/>
        </w:rPr>
        <w:t xml:space="preserve">، </w:t>
      </w:r>
      <w:r w:rsidRPr="00CF6215">
        <w:rPr>
          <w:rFonts w:ascii="Simplified Arabic" w:hAnsi="Simplified Arabic"/>
          <w:szCs w:val="18"/>
        </w:rPr>
        <w:t>A/74/56</w:t>
      </w:r>
      <w:r w:rsidRPr="00CF6215">
        <w:rPr>
          <w:rFonts w:ascii="Simplified Arabic" w:hAnsi="Simplified Arabic"/>
          <w:szCs w:val="18"/>
          <w:rtl/>
        </w:rPr>
        <w:t xml:space="preserve"> و</w:t>
      </w:r>
      <w:r w:rsidRPr="00CF6215">
        <w:rPr>
          <w:rFonts w:ascii="Simplified Arabic" w:hAnsi="Simplified Arabic"/>
          <w:szCs w:val="18"/>
        </w:rPr>
        <w:t>A/75/56</w:t>
      </w:r>
      <w:r w:rsidRPr="00CF6215">
        <w:rPr>
          <w:rFonts w:ascii="Simplified Arabic" w:hAnsi="Simplified Arabic"/>
          <w:szCs w:val="18"/>
          <w:rtl/>
        </w:rPr>
        <w:t>.</w:t>
      </w:r>
    </w:p>
  </w:footnote>
  <w:footnote w:id="5">
    <w:p w14:paraId="20E3A06C" w14:textId="2193394B" w:rsidR="00BB5F1C" w:rsidRPr="00CF6215" w:rsidRDefault="00BB5F1C" w:rsidP="00B650CB">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CF6215">
        <w:rPr>
          <w:rStyle w:val="FootnoteReference"/>
          <w:rFonts w:ascii="Simplified Arabic" w:hAnsi="Simplified Arabic"/>
          <w:vertAlign w:val="baseline"/>
          <w:rtl/>
        </w:rPr>
        <w:t>(</w:t>
      </w:r>
      <w:r w:rsidRPr="00CF6215">
        <w:rPr>
          <w:rStyle w:val="FootnoteReference"/>
          <w:rFonts w:ascii="Simplified Arabic" w:hAnsi="Simplified Arabic"/>
          <w:vertAlign w:val="baseline"/>
          <w:rtl/>
        </w:rPr>
        <w:footnoteRef/>
      </w:r>
      <w:r w:rsidRPr="00CF6215">
        <w:rPr>
          <w:rStyle w:val="FootnoteReference"/>
          <w:rFonts w:ascii="Simplified Arabic" w:hAnsi="Simplified Arabic"/>
          <w:vertAlign w:val="baseline"/>
          <w:rtl/>
        </w:rPr>
        <w:t>)</w:t>
      </w:r>
      <w:r w:rsidRPr="00CF6215">
        <w:rPr>
          <w:rFonts w:ascii="Simplified Arabic" w:hAnsi="Simplified Arabic"/>
          <w:szCs w:val="18"/>
          <w:rtl/>
        </w:rPr>
        <w:tab/>
      </w:r>
      <w:r w:rsidRPr="00CF6215">
        <w:rPr>
          <w:rFonts w:ascii="Simplified Arabic" w:hAnsi="Simplified Arabic"/>
          <w:szCs w:val="18"/>
        </w:rPr>
        <w:t>CED/C/IRQ/AI/1</w:t>
      </w:r>
      <w:r w:rsidRPr="00CF6215">
        <w:rPr>
          <w:rFonts w:ascii="Simplified Arabic" w:hAnsi="Simplified Arabic"/>
          <w:szCs w:val="18"/>
          <w:rtl/>
        </w:rPr>
        <w:t>.</w:t>
      </w:r>
    </w:p>
  </w:footnote>
  <w:footnote w:id="6">
    <w:p w14:paraId="38039D97" w14:textId="337493D5" w:rsidR="00BB5F1C" w:rsidRPr="00CF6215" w:rsidRDefault="00BB5F1C" w:rsidP="00B650CB">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CF6215">
        <w:rPr>
          <w:rStyle w:val="FootnoteReference"/>
          <w:rFonts w:ascii="Simplified Arabic" w:hAnsi="Simplified Arabic"/>
          <w:vertAlign w:val="baseline"/>
          <w:rtl/>
        </w:rPr>
        <w:t>(</w:t>
      </w:r>
      <w:r w:rsidRPr="00CF6215">
        <w:rPr>
          <w:rStyle w:val="FootnoteReference"/>
          <w:rFonts w:ascii="Simplified Arabic" w:hAnsi="Simplified Arabic"/>
          <w:vertAlign w:val="baseline"/>
          <w:rtl/>
        </w:rPr>
        <w:footnoteRef/>
      </w:r>
      <w:r w:rsidRPr="00CF6215">
        <w:rPr>
          <w:rStyle w:val="FootnoteReference"/>
          <w:rFonts w:ascii="Simplified Arabic" w:hAnsi="Simplified Arabic"/>
          <w:vertAlign w:val="baseline"/>
          <w:rtl/>
        </w:rPr>
        <w:t>)</w:t>
      </w:r>
      <w:r w:rsidRPr="00CF6215">
        <w:rPr>
          <w:rFonts w:ascii="Simplified Arabic" w:hAnsi="Simplified Arabic"/>
          <w:szCs w:val="18"/>
          <w:rtl/>
        </w:rPr>
        <w:tab/>
      </w:r>
      <w:r w:rsidRPr="00CF6215">
        <w:rPr>
          <w:rFonts w:ascii="Simplified Arabic" w:hAnsi="Simplified Arabic"/>
          <w:szCs w:val="18"/>
        </w:rPr>
        <w:t>CED/C/7</w:t>
      </w:r>
      <w:r w:rsidRPr="00CF6215">
        <w:rPr>
          <w:rFonts w:ascii="Simplified Arabic" w:hAnsi="Simplified Arabic"/>
          <w:szCs w:val="18"/>
          <w:rtl/>
        </w:rPr>
        <w:t>، المرفق.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AF940" w14:textId="2454D8B8" w:rsidR="008A0642" w:rsidRPr="00894ADC" w:rsidRDefault="008A0642" w:rsidP="00894AD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C4B37">
      <w:t>CED/C/20/2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42709" w14:textId="487B7BB3" w:rsidR="008A0642" w:rsidRPr="00894ADC" w:rsidRDefault="008A0642" w:rsidP="00894AD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C4B37">
      <w:t>CED/C/20/2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0B6"/>
    <w:rsid w:val="00001E1B"/>
    <w:rsid w:val="000076D5"/>
    <w:rsid w:val="00027F2D"/>
    <w:rsid w:val="00043663"/>
    <w:rsid w:val="000505CF"/>
    <w:rsid w:val="00061556"/>
    <w:rsid w:val="000A1B1A"/>
    <w:rsid w:val="000D701C"/>
    <w:rsid w:val="000E2A71"/>
    <w:rsid w:val="000F4E15"/>
    <w:rsid w:val="0010772C"/>
    <w:rsid w:val="00160263"/>
    <w:rsid w:val="00176DB4"/>
    <w:rsid w:val="00181F96"/>
    <w:rsid w:val="001A1371"/>
    <w:rsid w:val="001A5338"/>
    <w:rsid w:val="001B346A"/>
    <w:rsid w:val="001C283F"/>
    <w:rsid w:val="001D7E49"/>
    <w:rsid w:val="001E1CAD"/>
    <w:rsid w:val="001E290D"/>
    <w:rsid w:val="002144FA"/>
    <w:rsid w:val="0021768C"/>
    <w:rsid w:val="0023469A"/>
    <w:rsid w:val="00243C8A"/>
    <w:rsid w:val="002456E8"/>
    <w:rsid w:val="00267A0E"/>
    <w:rsid w:val="002901D9"/>
    <w:rsid w:val="002976C2"/>
    <w:rsid w:val="002A000F"/>
    <w:rsid w:val="002C11AF"/>
    <w:rsid w:val="00317B22"/>
    <w:rsid w:val="003260FF"/>
    <w:rsid w:val="003404D2"/>
    <w:rsid w:val="00343D95"/>
    <w:rsid w:val="00374341"/>
    <w:rsid w:val="003B054F"/>
    <w:rsid w:val="003D1062"/>
    <w:rsid w:val="003D667F"/>
    <w:rsid w:val="00420D7B"/>
    <w:rsid w:val="00424F1F"/>
    <w:rsid w:val="00432855"/>
    <w:rsid w:val="00450B21"/>
    <w:rsid w:val="00453B63"/>
    <w:rsid w:val="00455780"/>
    <w:rsid w:val="00471961"/>
    <w:rsid w:val="0049290E"/>
    <w:rsid w:val="004B0A1C"/>
    <w:rsid w:val="004D298E"/>
    <w:rsid w:val="004E1586"/>
    <w:rsid w:val="004E45B1"/>
    <w:rsid w:val="00534020"/>
    <w:rsid w:val="0054472E"/>
    <w:rsid w:val="005662A9"/>
    <w:rsid w:val="00571D6E"/>
    <w:rsid w:val="005827D4"/>
    <w:rsid w:val="00592195"/>
    <w:rsid w:val="0059622A"/>
    <w:rsid w:val="005C5878"/>
    <w:rsid w:val="005C7CEA"/>
    <w:rsid w:val="005D3A89"/>
    <w:rsid w:val="005D3C0B"/>
    <w:rsid w:val="005E5217"/>
    <w:rsid w:val="005E55D0"/>
    <w:rsid w:val="005E67F5"/>
    <w:rsid w:val="005F0FA4"/>
    <w:rsid w:val="005F2681"/>
    <w:rsid w:val="005F30EE"/>
    <w:rsid w:val="0060473A"/>
    <w:rsid w:val="006129EA"/>
    <w:rsid w:val="00634537"/>
    <w:rsid w:val="00656392"/>
    <w:rsid w:val="0068721A"/>
    <w:rsid w:val="0068781D"/>
    <w:rsid w:val="00691EEE"/>
    <w:rsid w:val="006959B0"/>
    <w:rsid w:val="006A69CA"/>
    <w:rsid w:val="006B3E27"/>
    <w:rsid w:val="006B6507"/>
    <w:rsid w:val="006C104C"/>
    <w:rsid w:val="006D39EA"/>
    <w:rsid w:val="006D698E"/>
    <w:rsid w:val="0072522F"/>
    <w:rsid w:val="007311FE"/>
    <w:rsid w:val="00733704"/>
    <w:rsid w:val="00774AF4"/>
    <w:rsid w:val="0078071A"/>
    <w:rsid w:val="007C727D"/>
    <w:rsid w:val="007F55ED"/>
    <w:rsid w:val="00807312"/>
    <w:rsid w:val="008313E3"/>
    <w:rsid w:val="008358DB"/>
    <w:rsid w:val="00852A9A"/>
    <w:rsid w:val="00865AC0"/>
    <w:rsid w:val="00894ADC"/>
    <w:rsid w:val="008A0642"/>
    <w:rsid w:val="008C2897"/>
    <w:rsid w:val="008C6E7E"/>
    <w:rsid w:val="008D6989"/>
    <w:rsid w:val="008F49E1"/>
    <w:rsid w:val="008F729B"/>
    <w:rsid w:val="0090370F"/>
    <w:rsid w:val="009041C9"/>
    <w:rsid w:val="009269D2"/>
    <w:rsid w:val="009305F0"/>
    <w:rsid w:val="00942135"/>
    <w:rsid w:val="009521B0"/>
    <w:rsid w:val="00957740"/>
    <w:rsid w:val="00971B29"/>
    <w:rsid w:val="00980103"/>
    <w:rsid w:val="00987935"/>
    <w:rsid w:val="00994130"/>
    <w:rsid w:val="009A7E9F"/>
    <w:rsid w:val="009B31A5"/>
    <w:rsid w:val="009E5018"/>
    <w:rsid w:val="009F515B"/>
    <w:rsid w:val="00A12B37"/>
    <w:rsid w:val="00A20FF4"/>
    <w:rsid w:val="00A4027E"/>
    <w:rsid w:val="00A8667E"/>
    <w:rsid w:val="00AB4F93"/>
    <w:rsid w:val="00AB6758"/>
    <w:rsid w:val="00B13614"/>
    <w:rsid w:val="00B13763"/>
    <w:rsid w:val="00B27391"/>
    <w:rsid w:val="00B33122"/>
    <w:rsid w:val="00B33568"/>
    <w:rsid w:val="00B40C02"/>
    <w:rsid w:val="00B477A4"/>
    <w:rsid w:val="00B54045"/>
    <w:rsid w:val="00B62784"/>
    <w:rsid w:val="00B650CB"/>
    <w:rsid w:val="00B65387"/>
    <w:rsid w:val="00BB449E"/>
    <w:rsid w:val="00BB5F1C"/>
    <w:rsid w:val="00BD2E35"/>
    <w:rsid w:val="00C05EA5"/>
    <w:rsid w:val="00C438D7"/>
    <w:rsid w:val="00C81B50"/>
    <w:rsid w:val="00C8294A"/>
    <w:rsid w:val="00C92253"/>
    <w:rsid w:val="00CA23C4"/>
    <w:rsid w:val="00CB28F9"/>
    <w:rsid w:val="00CC276B"/>
    <w:rsid w:val="00CD1801"/>
    <w:rsid w:val="00CF6215"/>
    <w:rsid w:val="00CF7E4E"/>
    <w:rsid w:val="00D10EF1"/>
    <w:rsid w:val="00D140B6"/>
    <w:rsid w:val="00D42810"/>
    <w:rsid w:val="00D914A7"/>
    <w:rsid w:val="00DB36B6"/>
    <w:rsid w:val="00DB4A6E"/>
    <w:rsid w:val="00DC4B37"/>
    <w:rsid w:val="00DC5C0E"/>
    <w:rsid w:val="00DD13C3"/>
    <w:rsid w:val="00DD596E"/>
    <w:rsid w:val="00DD621E"/>
    <w:rsid w:val="00DF0575"/>
    <w:rsid w:val="00DF5E71"/>
    <w:rsid w:val="00E5388D"/>
    <w:rsid w:val="00E70E04"/>
    <w:rsid w:val="00E76499"/>
    <w:rsid w:val="00E85773"/>
    <w:rsid w:val="00E866BF"/>
    <w:rsid w:val="00EB6F59"/>
    <w:rsid w:val="00EC05A7"/>
    <w:rsid w:val="00EC4B6B"/>
    <w:rsid w:val="00EE2A27"/>
    <w:rsid w:val="00EF1EE5"/>
    <w:rsid w:val="00F156CA"/>
    <w:rsid w:val="00F52C23"/>
    <w:rsid w:val="00F5775F"/>
    <w:rsid w:val="00F66675"/>
    <w:rsid w:val="00F6781A"/>
    <w:rsid w:val="00F763B4"/>
    <w:rsid w:val="00F900C3"/>
    <w:rsid w:val="00FA58B2"/>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20F95B6"/>
  <w15:docId w15:val="{FBDA296C-5529-4FF9-B81B-5BE39A5DF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1A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C11AF"/>
    <w:pPr>
      <w:bidi w:val="0"/>
      <w:outlineLvl w:val="0"/>
    </w:pPr>
  </w:style>
  <w:style w:type="paragraph" w:styleId="Heading2">
    <w:name w:val="heading 2"/>
    <w:basedOn w:val="Normal"/>
    <w:next w:val="Normal"/>
    <w:link w:val="Heading2Char"/>
    <w:uiPriority w:val="9"/>
    <w:unhideWhenUsed/>
    <w:rsid w:val="002C11A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C11A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C11A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C11AF"/>
    <w:pPr>
      <w:keepNext/>
      <w:keepLines/>
      <w:spacing w:before="200"/>
      <w:outlineLvl w:val="4"/>
    </w:pPr>
    <w:rPr>
      <w:color w:val="243F60"/>
    </w:rPr>
  </w:style>
  <w:style w:type="paragraph" w:styleId="Heading6">
    <w:name w:val="heading 6"/>
    <w:basedOn w:val="Normal"/>
    <w:next w:val="Normal"/>
    <w:link w:val="Heading6Char"/>
    <w:uiPriority w:val="9"/>
    <w:unhideWhenUsed/>
    <w:rsid w:val="002C11A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C11A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C11A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C11A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C11A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C11A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2C11AF"/>
    <w:rPr>
      <w:szCs w:val="18"/>
      <w:vertAlign w:val="superscript"/>
    </w:rPr>
  </w:style>
  <w:style w:type="paragraph" w:customStyle="1" w:styleId="HMGA">
    <w:name w:val="_ H __M_GA"/>
    <w:basedOn w:val="Normal"/>
    <w:next w:val="SingleTxtGA"/>
    <w:qFormat/>
    <w:rsid w:val="002C11A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C11A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C11A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C11A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C11A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C11A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C11A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C11A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C11A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C11A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C11A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C11A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C11A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C11AF"/>
    <w:pPr>
      <w:numPr>
        <w:numId w:val="5"/>
      </w:numPr>
      <w:bidi w:val="0"/>
    </w:pPr>
    <w:rPr>
      <w:lang w:val="en-US"/>
    </w:rPr>
  </w:style>
  <w:style w:type="paragraph" w:customStyle="1" w:styleId="Roman1GA">
    <w:name w:val="_Roman 1_GA"/>
    <w:basedOn w:val="Bullet1GA"/>
    <w:qFormat/>
    <w:rsid w:val="002C11AF"/>
    <w:pPr>
      <w:numPr>
        <w:numId w:val="6"/>
      </w:numPr>
      <w:tabs>
        <w:tab w:val="clear" w:pos="2310"/>
        <w:tab w:val="left" w:pos="2486"/>
      </w:tabs>
      <w:ind w:left="2486" w:hanging="378"/>
    </w:pPr>
  </w:style>
  <w:style w:type="paragraph" w:customStyle="1" w:styleId="Roman2GA">
    <w:name w:val="_Roman 2_GA"/>
    <w:basedOn w:val="Bullet2GA"/>
    <w:qFormat/>
    <w:rsid w:val="002C11A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C11A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C11A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C11A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C11AF"/>
    <w:pPr>
      <w:suppressAutoHyphens/>
      <w:bidi w:val="0"/>
      <w:spacing w:line="240" w:lineRule="auto"/>
    </w:pPr>
    <w:rPr>
      <w:sz w:val="16"/>
      <w:lang w:val="en-GB"/>
    </w:rPr>
  </w:style>
  <w:style w:type="character" w:customStyle="1" w:styleId="FooterChar">
    <w:name w:val="Footer Char"/>
    <w:aliases w:val="3_GA Char,3_G Char"/>
    <w:link w:val="Footer"/>
    <w:rsid w:val="002C11AF"/>
    <w:rPr>
      <w:rFonts w:ascii="Times New Roman" w:eastAsia="PMingLiU" w:hAnsi="Times New Roman" w:cs="Simplified Arabic"/>
      <w:sz w:val="16"/>
      <w:lang w:val="en-GB"/>
    </w:rPr>
  </w:style>
  <w:style w:type="paragraph" w:customStyle="1" w:styleId="FootnoteText1">
    <w:name w:val="Footnote Text1"/>
    <w:aliases w:val="5_GA"/>
    <w:basedOn w:val="Normal"/>
    <w:qFormat/>
    <w:rsid w:val="002C11A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C11A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2C11A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C11AF"/>
    <w:rPr>
      <w:rFonts w:ascii="Times New Roman" w:eastAsia="PMingLiU" w:hAnsi="Times New Roman" w:cs="Simplified Arabic"/>
      <w:lang w:val="en-GB"/>
    </w:rPr>
  </w:style>
  <w:style w:type="character" w:styleId="PageNumber">
    <w:name w:val="page number"/>
    <w:aliases w:val="7_GA,7_G"/>
    <w:qFormat/>
    <w:rsid w:val="002C11AF"/>
    <w:rPr>
      <w:rFonts w:ascii="Times New Roman Bold" w:hAnsi="Times New Roman Bold"/>
      <w:b/>
      <w:i w:val="0"/>
      <w:sz w:val="18"/>
      <w:szCs w:val="18"/>
    </w:rPr>
  </w:style>
  <w:style w:type="paragraph" w:customStyle="1" w:styleId="XXLargeGA">
    <w:name w:val="XXLarge_GA"/>
    <w:basedOn w:val="Normal"/>
    <w:next w:val="SingleTxtGA"/>
    <w:qFormat/>
    <w:rsid w:val="002C11AF"/>
    <w:pPr>
      <w:suppressAutoHyphens/>
      <w:spacing w:line="820" w:lineRule="exact"/>
    </w:pPr>
    <w:rPr>
      <w:spacing w:val="-8"/>
      <w:w w:val="96"/>
      <w:sz w:val="57"/>
      <w:szCs w:val="86"/>
      <w:lang w:val="en-GB"/>
    </w:rPr>
  </w:style>
  <w:style w:type="character" w:customStyle="1" w:styleId="Heading2Char">
    <w:name w:val="Heading 2 Char"/>
    <w:link w:val="Heading2"/>
    <w:uiPriority w:val="9"/>
    <w:rsid w:val="002C11AF"/>
    <w:rPr>
      <w:rFonts w:ascii="Times New Roman" w:eastAsia="PMingLiU" w:hAnsi="Times New Roman" w:cs="Simplified Arabic"/>
      <w:b/>
      <w:bCs/>
      <w:color w:val="4F81BD"/>
      <w:sz w:val="26"/>
      <w:szCs w:val="26"/>
    </w:rPr>
  </w:style>
  <w:style w:type="character" w:styleId="BookTitle">
    <w:name w:val="Book Title"/>
    <w:uiPriority w:val="33"/>
    <w:rsid w:val="002C11AF"/>
    <w:rPr>
      <w:b/>
      <w:bCs/>
      <w:smallCaps/>
      <w:spacing w:val="5"/>
    </w:rPr>
  </w:style>
  <w:style w:type="character" w:customStyle="1" w:styleId="Heading3Char">
    <w:name w:val="Heading 3 Char"/>
    <w:link w:val="Heading3"/>
    <w:uiPriority w:val="9"/>
    <w:rsid w:val="002C11AF"/>
    <w:rPr>
      <w:rFonts w:ascii="Times New Roman" w:eastAsia="PMingLiU" w:hAnsi="Times New Roman" w:cs="Simplified Arabic"/>
      <w:b/>
      <w:bCs/>
      <w:color w:val="4F81BD"/>
      <w:sz w:val="20"/>
    </w:rPr>
  </w:style>
  <w:style w:type="character" w:customStyle="1" w:styleId="Heading4Char">
    <w:name w:val="Heading 4 Char"/>
    <w:link w:val="Heading4"/>
    <w:uiPriority w:val="9"/>
    <w:rsid w:val="002C11A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C11AF"/>
    <w:rPr>
      <w:rFonts w:ascii="Times New Roman" w:eastAsia="PMingLiU" w:hAnsi="Times New Roman" w:cs="Simplified Arabic"/>
      <w:color w:val="243F60"/>
      <w:sz w:val="20"/>
    </w:rPr>
  </w:style>
  <w:style w:type="character" w:customStyle="1" w:styleId="Heading6Char">
    <w:name w:val="Heading 6 Char"/>
    <w:link w:val="Heading6"/>
    <w:uiPriority w:val="9"/>
    <w:rsid w:val="002C11AF"/>
    <w:rPr>
      <w:rFonts w:ascii="Times New Roman" w:eastAsia="PMingLiU" w:hAnsi="Times New Roman" w:cs="Simplified Arabic"/>
      <w:i/>
      <w:iCs/>
      <w:color w:val="243F60"/>
      <w:sz w:val="20"/>
    </w:rPr>
  </w:style>
  <w:style w:type="character" w:customStyle="1" w:styleId="Heading7Char">
    <w:name w:val="Heading 7 Char"/>
    <w:link w:val="Heading7"/>
    <w:uiPriority w:val="9"/>
    <w:rsid w:val="002C11AF"/>
    <w:rPr>
      <w:rFonts w:ascii="Times New Roman" w:eastAsia="PMingLiU" w:hAnsi="Times New Roman" w:cs="Simplified Arabic"/>
      <w:i/>
      <w:iCs/>
      <w:color w:val="404040"/>
      <w:sz w:val="20"/>
    </w:rPr>
  </w:style>
  <w:style w:type="character" w:customStyle="1" w:styleId="Heading8Char">
    <w:name w:val="Heading 8 Char"/>
    <w:link w:val="Heading8"/>
    <w:uiPriority w:val="9"/>
    <w:rsid w:val="002C11A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C11A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C11A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C11A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C11AF"/>
    <w:pPr>
      <w:numPr>
        <w:ilvl w:val="1"/>
      </w:numPr>
    </w:pPr>
    <w:rPr>
      <w:i/>
      <w:iCs/>
      <w:color w:val="4F81BD"/>
      <w:spacing w:val="15"/>
      <w:sz w:val="24"/>
      <w:szCs w:val="24"/>
    </w:rPr>
  </w:style>
  <w:style w:type="character" w:customStyle="1" w:styleId="SubtitleChar">
    <w:name w:val="Subtitle Char"/>
    <w:link w:val="Subtitle"/>
    <w:uiPriority w:val="11"/>
    <w:rsid w:val="002C11AF"/>
    <w:rPr>
      <w:rFonts w:ascii="Times New Roman" w:eastAsia="PMingLiU" w:hAnsi="Times New Roman" w:cs="Simplified Arabic"/>
      <w:i/>
      <w:iCs/>
      <w:color w:val="4F81BD"/>
      <w:spacing w:val="15"/>
      <w:sz w:val="24"/>
      <w:szCs w:val="24"/>
    </w:rPr>
  </w:style>
  <w:style w:type="character" w:styleId="SubtleEmphasis">
    <w:name w:val="Subtle Emphasis"/>
    <w:uiPriority w:val="19"/>
    <w:rsid w:val="002C11AF"/>
    <w:rPr>
      <w:i/>
      <w:iCs/>
      <w:color w:val="808080"/>
    </w:rPr>
  </w:style>
  <w:style w:type="table" w:styleId="ColorfulGrid-Accent6">
    <w:name w:val="Colorful Grid Accent 6"/>
    <w:basedOn w:val="TableNormal"/>
    <w:uiPriority w:val="73"/>
    <w:rsid w:val="002C11A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C11AF"/>
    <w:rPr>
      <w:i/>
      <w:iCs/>
    </w:rPr>
  </w:style>
  <w:style w:type="character" w:styleId="IntenseEmphasis">
    <w:name w:val="Intense Emphasis"/>
    <w:uiPriority w:val="21"/>
    <w:rsid w:val="002C11AF"/>
    <w:rPr>
      <w:b/>
      <w:bCs/>
      <w:i/>
      <w:iCs/>
      <w:color w:val="4F81BD"/>
    </w:rPr>
  </w:style>
  <w:style w:type="character" w:styleId="Strong">
    <w:name w:val="Strong"/>
    <w:uiPriority w:val="22"/>
    <w:rsid w:val="002C11AF"/>
    <w:rPr>
      <w:b/>
      <w:bCs/>
    </w:rPr>
  </w:style>
  <w:style w:type="paragraph" w:styleId="Quote">
    <w:name w:val="Quote"/>
    <w:basedOn w:val="Normal"/>
    <w:next w:val="Normal"/>
    <w:link w:val="QuoteChar"/>
    <w:uiPriority w:val="29"/>
    <w:rsid w:val="002C11AF"/>
    <w:rPr>
      <w:i/>
      <w:iCs/>
      <w:color w:val="000000"/>
    </w:rPr>
  </w:style>
  <w:style w:type="character" w:customStyle="1" w:styleId="QuoteChar">
    <w:name w:val="Quote Char"/>
    <w:link w:val="Quote"/>
    <w:uiPriority w:val="29"/>
    <w:rsid w:val="002C11A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C11A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C11AF"/>
    <w:rPr>
      <w:rFonts w:ascii="Times New Roman" w:eastAsia="PMingLiU" w:hAnsi="Times New Roman" w:cs="Simplified Arabic"/>
      <w:b/>
      <w:bCs/>
      <w:i/>
      <w:iCs/>
      <w:color w:val="4F81BD"/>
      <w:sz w:val="20"/>
    </w:rPr>
  </w:style>
  <w:style w:type="character" w:styleId="SubtleReference">
    <w:name w:val="Subtle Reference"/>
    <w:uiPriority w:val="31"/>
    <w:rsid w:val="002C11AF"/>
    <w:rPr>
      <w:smallCaps/>
      <w:color w:val="C0504D"/>
      <w:u w:val="single"/>
    </w:rPr>
  </w:style>
  <w:style w:type="character" w:styleId="IntenseReference">
    <w:name w:val="Intense Reference"/>
    <w:uiPriority w:val="32"/>
    <w:rsid w:val="002C11AF"/>
    <w:rPr>
      <w:b/>
      <w:bCs/>
      <w:smallCaps/>
      <w:color w:val="C0504D"/>
      <w:spacing w:val="5"/>
      <w:u w:val="single"/>
    </w:rPr>
  </w:style>
  <w:style w:type="paragraph" w:styleId="ListParagraph">
    <w:name w:val="List Paragraph"/>
    <w:basedOn w:val="Normal"/>
    <w:uiPriority w:val="34"/>
    <w:rsid w:val="002C11AF"/>
    <w:pPr>
      <w:ind w:left="720"/>
      <w:contextualSpacing/>
    </w:pPr>
  </w:style>
  <w:style w:type="table" w:styleId="MediumShading1-Accent4">
    <w:name w:val="Medium Shading 1 Accent 4"/>
    <w:basedOn w:val="TableNormal"/>
    <w:uiPriority w:val="63"/>
    <w:rsid w:val="002C11A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C11AF"/>
    <w:rPr>
      <w:rFonts w:eastAsia="MS Mincho"/>
      <w:sz w:val="18"/>
      <w:vertAlign w:val="superscript"/>
    </w:rPr>
  </w:style>
  <w:style w:type="table" w:styleId="TableGrid">
    <w:name w:val="Table Grid"/>
    <w:basedOn w:val="TableNormal"/>
    <w:rsid w:val="002C11A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11AF"/>
    <w:pPr>
      <w:spacing w:line="240" w:lineRule="auto"/>
    </w:pPr>
    <w:rPr>
      <w:sz w:val="16"/>
      <w:szCs w:val="16"/>
    </w:rPr>
  </w:style>
  <w:style w:type="character" w:customStyle="1" w:styleId="BalloonTextChar">
    <w:name w:val="Balloon Text Char"/>
    <w:link w:val="BalloonText"/>
    <w:uiPriority w:val="99"/>
    <w:semiHidden/>
    <w:rsid w:val="002C11AF"/>
    <w:rPr>
      <w:rFonts w:ascii="Times New Roman" w:eastAsia="PMingLiU" w:hAnsi="Times New Roman" w:cs="Simplified Arabic"/>
      <w:sz w:val="16"/>
      <w:szCs w:val="16"/>
    </w:rPr>
  </w:style>
  <w:style w:type="character" w:styleId="Hyperlink">
    <w:name w:val="Hyperlink"/>
    <w:uiPriority w:val="99"/>
    <w:unhideWhenUsed/>
    <w:rsid w:val="002C11AF"/>
    <w:rPr>
      <w:color w:val="0000FF"/>
      <w:u w:val="none"/>
    </w:rPr>
  </w:style>
  <w:style w:type="paragraph" w:styleId="TOC1">
    <w:name w:val="toc 1"/>
    <w:basedOn w:val="Normal"/>
    <w:link w:val="TOC1Char"/>
    <w:autoRedefine/>
    <w:uiPriority w:val="39"/>
    <w:unhideWhenUsed/>
    <w:rsid w:val="002C11A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C11A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C11A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C11AF"/>
    <w:rPr>
      <w:rFonts w:eastAsia="DengXian"/>
      <w:color w:val="auto"/>
      <w:sz w:val="20"/>
      <w:szCs w:val="20"/>
      <w:u w:val="none"/>
      <w:lang w:eastAsia="zh-CN" w:bidi="ar-EG"/>
    </w:rPr>
  </w:style>
  <w:style w:type="paragraph" w:styleId="TOC4">
    <w:name w:val="toc 4"/>
    <w:basedOn w:val="Normal"/>
    <w:link w:val="TOC4Char"/>
    <w:autoRedefine/>
    <w:uiPriority w:val="39"/>
    <w:unhideWhenUsed/>
    <w:rsid w:val="002C11A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C11A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C11A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C11A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C11A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C11A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C11AF"/>
    <w:rPr>
      <w:color w:val="605E5C"/>
      <w:shd w:val="clear" w:color="auto" w:fill="E1DFDD"/>
    </w:rPr>
  </w:style>
  <w:style w:type="character" w:customStyle="1" w:styleId="TOC1Char">
    <w:name w:val="TOC 1 Char"/>
    <w:basedOn w:val="DefaultParagraphFont"/>
    <w:link w:val="TOC1"/>
    <w:uiPriority w:val="39"/>
    <w:rsid w:val="002C11A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C11A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C11A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C11A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C11A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C11AF"/>
    <w:rPr>
      <w:rFonts w:ascii="Times New Roman" w:eastAsia="PMingLiU" w:hAnsi="Times New Roman" w:cs="Simplified Arabic"/>
      <w:sz w:val="20"/>
      <w:szCs w:val="20"/>
      <w:lang w:val="en-GB"/>
    </w:rPr>
  </w:style>
  <w:style w:type="paragraph" w:customStyle="1" w:styleId="SessionDate">
    <w:name w:val="Session_Date"/>
    <w:basedOn w:val="Normal"/>
    <w:qFormat/>
    <w:rsid w:val="002C11AF"/>
    <w:pPr>
      <w:spacing w:before="240" w:after="240" w:line="460" w:lineRule="exact"/>
      <w:ind w:left="1247"/>
    </w:pPr>
    <w:rPr>
      <w:b/>
      <w:bCs/>
      <w:sz w:val="32"/>
      <w:szCs w:val="44"/>
    </w:rPr>
  </w:style>
  <w:style w:type="paragraph" w:customStyle="1" w:styleId="SessionNumber">
    <w:name w:val="Session_Number"/>
    <w:basedOn w:val="Normal"/>
    <w:qFormat/>
    <w:rsid w:val="002C11AF"/>
    <w:pPr>
      <w:spacing w:line="480" w:lineRule="exact"/>
      <w:ind w:left="1247"/>
    </w:pPr>
    <w:rPr>
      <w:b/>
      <w:bCs/>
      <w:sz w:val="28"/>
      <w:szCs w:val="38"/>
    </w:rPr>
  </w:style>
  <w:style w:type="paragraph" w:customStyle="1" w:styleId="CityandYear">
    <w:name w:val="City and Year"/>
    <w:basedOn w:val="SingleTxtGA"/>
    <w:qFormat/>
    <w:rsid w:val="002C11AF"/>
    <w:pPr>
      <w:spacing w:line="480" w:lineRule="exact"/>
    </w:pPr>
    <w:rPr>
      <w:b/>
      <w:bCs/>
      <w:sz w:val="30"/>
      <w:szCs w:val="38"/>
      <w:lang w:eastAsia="ar-SA"/>
    </w:rPr>
  </w:style>
  <w:style w:type="paragraph" w:customStyle="1" w:styleId="NormalA">
    <w:name w:val="Normal_A"/>
    <w:basedOn w:val="Normal"/>
    <w:qFormat/>
    <w:rsid w:val="002C11AF"/>
  </w:style>
  <w:style w:type="paragraph" w:customStyle="1" w:styleId="H1G">
    <w:name w:val="_ H_1_G"/>
    <w:basedOn w:val="Normal"/>
    <w:next w:val="Normal"/>
    <w:qFormat/>
    <w:rsid w:val="002C11A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2C11AF"/>
    <w:pPr>
      <w:suppressAutoHyphens/>
      <w:bidi w:val="0"/>
      <w:spacing w:after="120"/>
      <w:ind w:left="1134" w:right="1134"/>
      <w:jc w:val="both"/>
    </w:pPr>
    <w:rPr>
      <w:szCs w:val="20"/>
      <w:lang w:val="en-GB"/>
    </w:rPr>
  </w:style>
  <w:style w:type="paragraph" w:customStyle="1" w:styleId="HChG">
    <w:name w:val="_ H _Ch_G"/>
    <w:basedOn w:val="Normal"/>
    <w:next w:val="Normal"/>
    <w:qFormat/>
    <w:rsid w:val="002C11A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2C11A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C11A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C11A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C11AF"/>
    <w:rPr>
      <w:sz w:val="44"/>
      <w:szCs w:val="44"/>
      <w:lang w:val="en-US" w:bidi="ar-DZ"/>
    </w:rPr>
  </w:style>
  <w:style w:type="paragraph" w:customStyle="1" w:styleId="FootnoteGA0">
    <w:name w:val="Footnote_GA"/>
    <w:basedOn w:val="Normal"/>
    <w:qFormat/>
    <w:rsid w:val="002C11A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C11A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C11AF"/>
    <w:pPr>
      <w:spacing w:line="440" w:lineRule="exact"/>
    </w:pPr>
    <w:rPr>
      <w:spacing w:val="-2"/>
      <w:sz w:val="28"/>
      <w:szCs w:val="36"/>
    </w:rPr>
  </w:style>
  <w:style w:type="character" w:styleId="CommentReference">
    <w:name w:val="annotation reference"/>
    <w:uiPriority w:val="99"/>
    <w:semiHidden/>
    <w:rsid w:val="002C11AF"/>
    <w:rPr>
      <w:sz w:val="6"/>
      <w:szCs w:val="9"/>
    </w:rPr>
  </w:style>
  <w:style w:type="paragraph" w:customStyle="1" w:styleId="HM">
    <w:name w:val="_ H __M"/>
    <w:basedOn w:val="HCh"/>
    <w:next w:val="Normal"/>
    <w:qFormat/>
    <w:rsid w:val="002C11AF"/>
    <w:pPr>
      <w:suppressAutoHyphens/>
      <w:spacing w:line="520" w:lineRule="exact"/>
    </w:pPr>
    <w:rPr>
      <w:spacing w:val="-3"/>
      <w:sz w:val="34"/>
      <w:szCs w:val="48"/>
    </w:rPr>
  </w:style>
  <w:style w:type="paragraph" w:customStyle="1" w:styleId="SingleTxt">
    <w:name w:val="__Single Txt"/>
    <w:basedOn w:val="Normal"/>
    <w:qFormat/>
    <w:rsid w:val="002C11A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C11AF"/>
    <w:pPr>
      <w:suppressAutoHyphens/>
      <w:spacing w:line="360" w:lineRule="exact"/>
      <w:outlineLvl w:val="1"/>
    </w:pPr>
    <w:rPr>
      <w:spacing w:val="2"/>
      <w:sz w:val="20"/>
      <w:szCs w:val="28"/>
    </w:rPr>
  </w:style>
  <w:style w:type="paragraph" w:customStyle="1" w:styleId="H4">
    <w:name w:val="_ H_4"/>
    <w:basedOn w:val="Normal"/>
    <w:next w:val="Normal"/>
    <w:qFormat/>
    <w:rsid w:val="002C11AF"/>
    <w:pPr>
      <w:keepNext/>
      <w:keepLines/>
      <w:spacing w:after="120" w:line="360" w:lineRule="exact"/>
      <w:outlineLvl w:val="3"/>
    </w:pPr>
    <w:rPr>
      <w:i/>
      <w:iCs/>
      <w:kern w:val="14"/>
      <w:szCs w:val="28"/>
    </w:rPr>
  </w:style>
  <w:style w:type="paragraph" w:customStyle="1" w:styleId="H56">
    <w:name w:val="_ H_5/6"/>
    <w:basedOn w:val="Normal"/>
    <w:next w:val="Normal"/>
    <w:qFormat/>
    <w:rsid w:val="002C11AF"/>
    <w:pPr>
      <w:keepNext/>
      <w:keepLines/>
      <w:spacing w:after="120" w:line="360" w:lineRule="exact"/>
      <w:outlineLvl w:val="4"/>
    </w:pPr>
    <w:rPr>
      <w:kern w:val="14"/>
      <w:szCs w:val="28"/>
    </w:rPr>
  </w:style>
  <w:style w:type="paragraph" w:customStyle="1" w:styleId="DualTxt">
    <w:name w:val="__Dual Txt"/>
    <w:basedOn w:val="Normal"/>
    <w:qFormat/>
    <w:rsid w:val="002C11A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C11A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C11A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C11AF"/>
    <w:pPr>
      <w:spacing w:after="120" w:line="440" w:lineRule="exact"/>
      <w:jc w:val="center"/>
    </w:pPr>
    <w:rPr>
      <w:b/>
      <w:bCs/>
      <w:sz w:val="25"/>
      <w:szCs w:val="38"/>
    </w:rPr>
  </w:style>
  <w:style w:type="paragraph" w:customStyle="1" w:styleId="JH1">
    <w:name w:val="J_H_1"/>
    <w:basedOn w:val="JCH"/>
    <w:qFormat/>
    <w:rsid w:val="002C11AF"/>
    <w:pPr>
      <w:spacing w:line="420" w:lineRule="exact"/>
    </w:pPr>
    <w:rPr>
      <w:sz w:val="23"/>
      <w:szCs w:val="34"/>
    </w:rPr>
  </w:style>
  <w:style w:type="paragraph" w:customStyle="1" w:styleId="JH2">
    <w:name w:val="J_H_2"/>
    <w:basedOn w:val="JH1"/>
    <w:qFormat/>
    <w:rsid w:val="002C11AF"/>
    <w:pPr>
      <w:spacing w:line="400" w:lineRule="exact"/>
    </w:pPr>
    <w:rPr>
      <w:sz w:val="20"/>
      <w:szCs w:val="30"/>
    </w:rPr>
  </w:style>
  <w:style w:type="paragraph" w:customStyle="1" w:styleId="JSmall">
    <w:name w:val="J_Small"/>
    <w:basedOn w:val="JSingleTxt"/>
    <w:next w:val="JSingleTxt"/>
    <w:qFormat/>
    <w:rsid w:val="002C11A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C11AF"/>
    <w:pPr>
      <w:tabs>
        <w:tab w:val="right" w:leader="dot" w:pos="360"/>
      </w:tabs>
      <w:spacing w:line="310" w:lineRule="exact"/>
      <w:jc w:val="right"/>
    </w:pPr>
    <w:rPr>
      <w:spacing w:val="5"/>
      <w:w w:val="104"/>
      <w:kern w:val="14"/>
      <w:sz w:val="17"/>
      <w:szCs w:val="25"/>
    </w:rPr>
  </w:style>
  <w:style w:type="character" w:styleId="LineNumber">
    <w:name w:val="line number"/>
    <w:qFormat/>
    <w:rsid w:val="002C11AF"/>
    <w:rPr>
      <w:sz w:val="14"/>
      <w:szCs w:val="16"/>
    </w:rPr>
  </w:style>
  <w:style w:type="paragraph" w:customStyle="1" w:styleId="SmallX">
    <w:name w:val="SmallX"/>
    <w:basedOn w:val="Small"/>
    <w:next w:val="Normal"/>
    <w:qFormat/>
    <w:rsid w:val="002C11AF"/>
    <w:pPr>
      <w:spacing w:line="240" w:lineRule="exact"/>
    </w:pPr>
    <w:rPr>
      <w:spacing w:val="6"/>
      <w:w w:val="106"/>
      <w:sz w:val="14"/>
      <w:szCs w:val="21"/>
    </w:rPr>
  </w:style>
  <w:style w:type="paragraph" w:customStyle="1" w:styleId="XLarge">
    <w:name w:val="XLarge"/>
    <w:basedOn w:val="HM"/>
    <w:qFormat/>
    <w:rsid w:val="002C11A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C11AF"/>
    <w:pPr>
      <w:spacing w:line="820" w:lineRule="exact"/>
    </w:pPr>
    <w:rPr>
      <w:spacing w:val="-8"/>
      <w:w w:val="96"/>
      <w:sz w:val="57"/>
      <w:szCs w:val="86"/>
    </w:rPr>
  </w:style>
  <w:style w:type="paragraph" w:customStyle="1" w:styleId="Distribution">
    <w:name w:val="Distribu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C11A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C11AF"/>
    <w:pPr>
      <w:tabs>
        <w:tab w:val="left" w:pos="662"/>
        <w:tab w:val="left" w:pos="1267"/>
        <w:tab w:val="left" w:pos="1987"/>
        <w:tab w:val="left" w:pos="2650"/>
      </w:tabs>
      <w:spacing w:after="0"/>
      <w:ind w:left="662" w:hanging="662"/>
    </w:pPr>
  </w:style>
  <w:style w:type="paragraph" w:customStyle="1" w:styleId="Committee">
    <w:name w:val="Committee"/>
    <w:basedOn w:val="H1"/>
    <w:qFormat/>
    <w:rsid w:val="002C11AF"/>
    <w:pPr>
      <w:tabs>
        <w:tab w:val="left" w:pos="662"/>
        <w:tab w:val="left" w:pos="1267"/>
        <w:tab w:val="left" w:pos="1987"/>
        <w:tab w:val="left" w:pos="2650"/>
      </w:tabs>
      <w:ind w:right="1264"/>
    </w:pPr>
  </w:style>
  <w:style w:type="paragraph" w:customStyle="1" w:styleId="AgendaItemNormal">
    <w:name w:val="Agenda_Item_Normal"/>
    <w:next w:val="Normal"/>
    <w:qFormat/>
    <w:rsid w:val="002C11A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C11A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C11A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C11A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C11A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C11AF"/>
    <w:rPr>
      <w:i w:val="0"/>
      <w:color w:val="0000FF"/>
      <w:u w:val="none"/>
    </w:rPr>
  </w:style>
  <w:style w:type="paragraph" w:customStyle="1" w:styleId="Bullet1">
    <w:name w:val="Bullet 1"/>
    <w:basedOn w:val="Normal"/>
    <w:qFormat/>
    <w:rsid w:val="002C11A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C11AF"/>
    <w:pPr>
      <w:numPr>
        <w:numId w:val="14"/>
      </w:numPr>
      <w:spacing w:after="120" w:line="360" w:lineRule="exact"/>
      <w:ind w:right="1264"/>
    </w:pPr>
    <w:rPr>
      <w:kern w:val="14"/>
      <w:szCs w:val="28"/>
    </w:rPr>
  </w:style>
  <w:style w:type="paragraph" w:customStyle="1" w:styleId="Bullet3">
    <w:name w:val="Bullet 3"/>
    <w:basedOn w:val="SingleTxt"/>
    <w:qFormat/>
    <w:rsid w:val="002C11A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C11AF"/>
    <w:pPr>
      <w:ind w:right="5760"/>
      <w:outlineLvl w:val="1"/>
    </w:pPr>
    <w:rPr>
      <w:spacing w:val="2"/>
      <w:sz w:val="20"/>
      <w:szCs w:val="28"/>
    </w:rPr>
  </w:style>
  <w:style w:type="paragraph" w:customStyle="1" w:styleId="STitleM">
    <w:name w:val="S_Title_M"/>
    <w:basedOn w:val="Normal"/>
    <w:next w:val="Normal"/>
    <w:qFormat/>
    <w:rsid w:val="002C11A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C11AF"/>
    <w:pPr>
      <w:spacing w:line="600" w:lineRule="exact"/>
      <w:ind w:left="1267" w:right="1267"/>
    </w:pPr>
    <w:rPr>
      <w:w w:val="103"/>
      <w:sz w:val="60"/>
      <w:szCs w:val="60"/>
    </w:rPr>
  </w:style>
  <w:style w:type="paragraph" w:customStyle="1" w:styleId="STitleL">
    <w:name w:val="S_Title_L"/>
    <w:basedOn w:val="XLarge"/>
    <w:next w:val="Normal"/>
    <w:qFormat/>
    <w:rsid w:val="002C11AF"/>
    <w:rPr>
      <w:spacing w:val="-8"/>
      <w:w w:val="96"/>
      <w:sz w:val="57"/>
    </w:rPr>
  </w:style>
  <w:style w:type="paragraph" w:styleId="CommentText">
    <w:name w:val="annotation text"/>
    <w:basedOn w:val="Normal"/>
    <w:link w:val="CommentTextChar"/>
    <w:uiPriority w:val="99"/>
    <w:semiHidden/>
    <w:unhideWhenUsed/>
    <w:rsid w:val="002C11AF"/>
    <w:pPr>
      <w:spacing w:line="240" w:lineRule="auto"/>
    </w:pPr>
    <w:rPr>
      <w:kern w:val="14"/>
    </w:rPr>
  </w:style>
  <w:style w:type="character" w:customStyle="1" w:styleId="CommentTextChar">
    <w:name w:val="Comment Text Char"/>
    <w:basedOn w:val="DefaultParagraphFont"/>
    <w:link w:val="CommentText"/>
    <w:uiPriority w:val="99"/>
    <w:semiHidden/>
    <w:rsid w:val="002C11A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C11AF"/>
    <w:rPr>
      <w:b/>
      <w:bCs/>
    </w:rPr>
  </w:style>
  <w:style w:type="character" w:customStyle="1" w:styleId="CommentSubjectChar">
    <w:name w:val="Comment Subject Char"/>
    <w:basedOn w:val="CommentTextChar"/>
    <w:link w:val="CommentSubject"/>
    <w:uiPriority w:val="99"/>
    <w:semiHidden/>
    <w:rsid w:val="002C11AF"/>
    <w:rPr>
      <w:rFonts w:ascii="Times New Roman" w:eastAsia="PMingLiU" w:hAnsi="Times New Roman" w:cs="Simplified Arabic"/>
      <w:b/>
      <w:bCs/>
      <w:kern w:val="14"/>
      <w:sz w:val="20"/>
    </w:rPr>
  </w:style>
  <w:style w:type="paragraph" w:customStyle="1" w:styleId="Bullet1G">
    <w:name w:val="_Bullet 1_G"/>
    <w:basedOn w:val="Normal"/>
    <w:qFormat/>
    <w:rsid w:val="002C11AF"/>
    <w:pPr>
      <w:numPr>
        <w:numId w:val="16"/>
      </w:numPr>
      <w:bidi w:val="0"/>
      <w:spacing w:after="120"/>
      <w:ind w:right="1134"/>
      <w:jc w:val="both"/>
    </w:pPr>
    <w:rPr>
      <w:sz w:val="22"/>
    </w:rPr>
  </w:style>
  <w:style w:type="character" w:customStyle="1" w:styleId="SingleTxtGChar">
    <w:name w:val="_ Single Txt_G Char"/>
    <w:link w:val="SingleTxtG"/>
    <w:rsid w:val="002C11AF"/>
    <w:rPr>
      <w:rFonts w:ascii="Times New Roman" w:eastAsia="PMingLiU" w:hAnsi="Times New Roman" w:cs="Simplified Arabic"/>
      <w:sz w:val="20"/>
      <w:szCs w:val="20"/>
      <w:lang w:val="en-GB"/>
    </w:rPr>
  </w:style>
  <w:style w:type="paragraph" w:customStyle="1" w:styleId="Preparedby">
    <w:name w:val="Prepared by:"/>
    <w:basedOn w:val="H23GA"/>
    <w:qFormat/>
    <w:rsid w:val="002C11AF"/>
    <w:rPr>
      <w:sz w:val="32"/>
      <w:szCs w:val="32"/>
    </w:rPr>
  </w:style>
  <w:style w:type="paragraph" w:customStyle="1" w:styleId="ParaNoG">
    <w:name w:val="_ParaNo._G"/>
    <w:basedOn w:val="SingleTxtG"/>
    <w:rsid w:val="002C11AF"/>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C11A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C11A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C11A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C11AF"/>
    <w:pPr>
      <w:spacing w:after="0" w:line="240" w:lineRule="auto"/>
    </w:pPr>
    <w:rPr>
      <w:rFonts w:eastAsiaTheme="minorEastAsia"/>
      <w:sz w:val="24"/>
      <w:szCs w:val="24"/>
      <w:lang w:val="fr-FR" w:eastAsia="fr-FR"/>
    </w:rPr>
  </w:style>
  <w:style w:type="paragraph" w:customStyle="1" w:styleId="Default">
    <w:name w:val="Default"/>
    <w:semiHidden/>
    <w:rsid w:val="002C11A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C11AF"/>
  </w:style>
  <w:style w:type="character" w:customStyle="1" w:styleId="preferred">
    <w:name w:val="preferred"/>
    <w:basedOn w:val="DefaultParagraphFont"/>
    <w:rsid w:val="002C11AF"/>
  </w:style>
  <w:style w:type="character" w:customStyle="1" w:styleId="admitted">
    <w:name w:val="admitted"/>
    <w:basedOn w:val="DefaultParagraphFont"/>
    <w:rsid w:val="002C1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7E432-8F8A-425D-9D7B-28C6F19F9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3550</Words>
  <Characters>17184</Characters>
  <Application>Microsoft Office Word</Application>
  <DocSecurity>0</DocSecurity>
  <Lines>554</Lines>
  <Paragraphs>441</Paragraphs>
  <ScaleCrop>false</ScaleCrop>
  <HeadingPairs>
    <vt:vector size="2" baseType="variant">
      <vt:variant>
        <vt:lpstr>Title</vt:lpstr>
      </vt:variant>
      <vt:variant>
        <vt:i4>1</vt:i4>
      </vt:variant>
    </vt:vector>
  </HeadingPairs>
  <TitlesOfParts>
    <vt:vector size="1" baseType="lpstr">
      <vt:lpstr>CED/C/20/2</vt:lpstr>
    </vt:vector>
  </TitlesOfParts>
  <Company>DCM</Company>
  <LinksUpToDate>false</LinksUpToDate>
  <CharactersWithSpaces>20293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CED/C/20/2</dc:title>
  <dc:subject>GE.2106993(A)</dc:subject>
  <dc:creator>Ihab RIZ - </dc:creator>
  <cp:keywords>GE.2111461(A)</cp:keywords>
  <dc:description>General_x000d_
_x000d_
Arabic_x000d_
English</dc:description>
  <cp:lastModifiedBy>Jamela CHEDAD</cp:lastModifiedBy>
  <cp:revision>3</cp:revision>
  <cp:lastPrinted>2021-06-10T06:36:00Z</cp:lastPrinted>
  <dcterms:created xsi:type="dcterms:W3CDTF">2021-06-10T06:36:00Z</dcterms:created>
  <dcterms:modified xsi:type="dcterms:W3CDTF">2021-06-10T06:43:00Z</dcterms:modified>
</cp:coreProperties>
</file>