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spacing w:line="240" w:lineRule="exact"/>
      </w:pPr>
      <w:r>
        <w:t>Комитет по ликвидации дискриминации</w:t>
      </w:r>
    </w:p>
    <w:p w:rsidR="00000000" w:rsidRDefault="00000000">
      <w:pPr>
        <w:pStyle w:val="H1"/>
        <w:spacing w:line="240" w:lineRule="exact"/>
      </w:pPr>
      <w:r>
        <w:t>в отношении женщин</w:t>
      </w: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  <w:lang w:val="en-US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2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Рассмотрение докладов, представленных государствами-участниками в соответствии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со статьей 18 Конвенции о ликвидации всех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форм дискриминации в отношении женщин</w:t>
      </w:r>
    </w:p>
    <w:p w:rsidR="00000000" w:rsidRDefault="00000000">
      <w:pPr>
        <w:spacing w:line="300" w:lineRule="exact"/>
      </w:pPr>
    </w:p>
    <w:p w:rsidR="00000000" w:rsidRDefault="00000000">
      <w:pPr>
        <w:pStyle w:val="H1"/>
        <w:tabs>
          <w:tab w:val="left" w:pos="475"/>
          <w:tab w:val="left" w:pos="1022"/>
          <w:tab w:val="left" w:pos="1267"/>
          <w:tab w:val="left" w:pos="1742"/>
        </w:tabs>
        <w:spacing w:line="240" w:lineRule="exact"/>
      </w:pPr>
      <w:r>
        <w:tab/>
      </w:r>
      <w:r>
        <w:tab/>
      </w:r>
      <w:r>
        <w:tab/>
        <w:t>Пятый периодический доклад</w:t>
      </w:r>
    </w:p>
    <w:p w:rsidR="00000000" w:rsidRDefault="00000000">
      <w:pPr>
        <w:pStyle w:val="H1"/>
        <w:tabs>
          <w:tab w:val="left" w:pos="475"/>
          <w:tab w:val="left" w:pos="1022"/>
          <w:tab w:val="left" w:pos="1267"/>
          <w:tab w:val="left" w:pos="1742"/>
        </w:tabs>
        <w:spacing w:line="240" w:lineRule="exact"/>
      </w:pPr>
      <w:r>
        <w:tab/>
      </w:r>
      <w:r>
        <w:tab/>
      </w:r>
      <w:r>
        <w:tab/>
        <w:t>государств-участников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0" w:lineRule="exact"/>
        <w:ind w:left="1267" w:right="1267" w:hanging="1267"/>
      </w:pPr>
      <w:r>
        <w:rPr>
          <w:spacing w:val="4"/>
          <w:sz w:val="24"/>
        </w:rPr>
        <w:tab/>
      </w:r>
      <w:r>
        <w:rPr>
          <w:spacing w:val="4"/>
          <w:sz w:val="24"/>
        </w:rPr>
        <w:tab/>
        <w:t>Доминиканская Республика</w:t>
      </w:r>
      <w:r>
        <w:rPr>
          <w:rStyle w:val="FootnoteReference"/>
          <w:b w:val="0"/>
        </w:rPr>
        <w:footnoteReference w:customMarkFollows="1" w:id="1"/>
        <w:t>*</w:t>
      </w: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after="0" w:line="180" w:lineRule="auto"/>
        <w:rPr>
          <w:sz w:val="10"/>
        </w:rPr>
      </w:pPr>
    </w:p>
    <w:p w:rsidR="00000000" w:rsidRDefault="00000000">
      <w:pPr>
        <w:pStyle w:val="SingleTxt"/>
        <w:spacing w:line="120" w:lineRule="auto"/>
        <w:rPr>
          <w:sz w:val="10"/>
        </w:rPr>
      </w:pPr>
      <w:r>
        <w:br w:type="page"/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 w:line="360" w:lineRule="auto"/>
        <w:ind w:left="1267" w:right="1267" w:hanging="1267"/>
      </w:pPr>
      <w:r>
        <w:t>Содержание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74"/>
        <w:gridCol w:w="35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/>
              <w:rPr>
                <w:i/>
                <w:sz w:val="14"/>
              </w:rPr>
            </w:pPr>
          </w:p>
        </w:tc>
        <w:tc>
          <w:tcPr>
            <w:tcW w:w="1009" w:type="dxa"/>
            <w:gridSpan w:val="2"/>
          </w:tcPr>
          <w:p w:rsidR="00000000" w:rsidRDefault="00000000">
            <w:pPr>
              <w:spacing w:after="120"/>
              <w:jc w:val="right"/>
              <w:rPr>
                <w:i/>
                <w:sz w:val="14"/>
              </w:rPr>
            </w:pPr>
          </w:p>
        </w:tc>
        <w:tc>
          <w:tcPr>
            <w:tcW w:w="533" w:type="dxa"/>
          </w:tcPr>
          <w:p w:rsidR="00000000" w:rsidRDefault="00000000">
            <w:pPr>
              <w:spacing w:after="12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right" w:leader="dot" w:pos="9331"/>
              </w:tabs>
              <w:spacing w:after="120"/>
              <w:rPr>
                <w:spacing w:val="60"/>
                <w:sz w:val="17"/>
              </w:rPr>
            </w:pPr>
            <w:r>
              <w:t>Введение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</w:pPr>
            <w:r>
              <w:t xml:space="preserve">Глава </w:t>
            </w:r>
            <w:r>
              <w:rPr>
                <w:lang w:val="en-GB"/>
              </w:rPr>
              <w:t>I</w:t>
            </w:r>
            <w:r>
              <w:t xml:space="preserve">. </w:t>
            </w:r>
            <w:r>
              <w:tab/>
              <w:t>Социально-экономическое положение. Борьба с нищетой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</w:pPr>
            <w:r>
              <w:tab/>
              <w:t>1.1.</w:t>
            </w:r>
            <w:r>
              <w:tab/>
              <w:t>Показатели нищеты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</w:pPr>
            <w:r>
              <w:tab/>
              <w:t>1.2.</w:t>
            </w:r>
            <w:r>
              <w:tab/>
              <w:t xml:space="preserve">Занятость 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</w:pPr>
            <w:r>
              <w:tab/>
              <w:t>1.3.</w:t>
            </w:r>
            <w:r>
              <w:tab/>
              <w:t>Социальные расходы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920" w:hanging="450"/>
            </w:pPr>
            <w:r>
              <w:t>1.4.</w:t>
            </w:r>
            <w:r>
              <w:tab/>
              <w:t xml:space="preserve">Меры правительства по борьбе с нищетой, унаследованной </w:t>
            </w:r>
            <w:r>
              <w:br/>
              <w:t>новым тысячелетием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920" w:hanging="450"/>
            </w:pPr>
            <w:r>
              <w:t>1.5.</w:t>
            </w:r>
            <w:r>
              <w:tab/>
              <w:t xml:space="preserve">Оценка достижений по вопросам женщин и нищеты, проведенная организациями гражданского общества и государственными </w:t>
            </w:r>
            <w:r>
              <w:br/>
              <w:t>учреждениями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</w:pPr>
            <w:r>
              <w:t xml:space="preserve">Глава </w:t>
            </w:r>
            <w:r>
              <w:rPr>
                <w:lang w:val="en-GB"/>
              </w:rPr>
              <w:t>II</w:t>
            </w:r>
            <w:r>
              <w:t>.</w:t>
            </w:r>
            <w:r>
              <w:tab/>
              <w:t xml:space="preserve">Организационно-правовое закрепление гендерного фактора </w:t>
            </w:r>
            <w:r>
              <w:br/>
            </w:r>
            <w:r>
              <w:tab/>
            </w:r>
            <w:r>
              <w:tab/>
              <w:t>в государственном секторе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</w:pPr>
            <w:r>
              <w:tab/>
              <w:t>2.1.</w:t>
            </w:r>
            <w:r>
              <w:tab/>
              <w:t>Организационно-правовое закрепление гендерной политики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</w:pPr>
            <w:r>
              <w:tab/>
              <w:t>2.2.</w:t>
            </w:r>
            <w:r>
              <w:tab/>
              <w:t>Национальные инструменты решения проблем гендерного равенства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</w:pPr>
            <w:r>
              <w:tab/>
              <w:t>2.3.</w:t>
            </w:r>
            <w:r>
              <w:tab/>
              <w:t>Координация с гражданским обществом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</w:pPr>
            <w:r>
              <w:tab/>
              <w:t>2.4.</w:t>
            </w:r>
            <w:r>
              <w:tab/>
              <w:t>Данные с разбивкой по признаку пола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</w:pPr>
            <w:r>
              <w:t xml:space="preserve">Глава </w:t>
            </w:r>
            <w:r>
              <w:rPr>
                <w:lang w:val="en-GB"/>
              </w:rPr>
              <w:t>III</w:t>
            </w:r>
            <w:r>
              <w:t>.</w:t>
            </w:r>
            <w:r>
              <w:tab/>
              <w:t>Осуществление положений Конвенции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>3.1 и 3.2.</w:t>
            </w:r>
            <w:r>
              <w:tab/>
              <w:t>Статьи 1 и 2. Дискриминация в отношении женщин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3.3.</w:t>
            </w:r>
            <w:r>
              <w:tab/>
              <w:t>Статья 3. Права человека женщин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3.4.</w:t>
            </w:r>
            <w:r>
              <w:tab/>
              <w:t>Статья 4. Специальные меры</w:t>
            </w:r>
            <w:r>
              <w:tab/>
              <w:t>25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3.5.</w:t>
            </w:r>
            <w:r>
              <w:tab/>
              <w:t>Статья 5. Социально-культурные модели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3.6.</w:t>
            </w:r>
            <w:r>
              <w:tab/>
              <w:t>Статья 6. Проституция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3.7.</w:t>
            </w:r>
            <w:r>
              <w:tab/>
              <w:t>Статья 7. Общественная жизнь и участие в политической жизни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3.8.</w:t>
            </w:r>
            <w:r>
              <w:tab/>
              <w:t>Статья 8. Представительство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3.9.</w:t>
            </w:r>
            <w:r>
              <w:tab/>
              <w:t>Статья 9. Гражданство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3.10.</w:t>
            </w:r>
            <w:r>
              <w:tab/>
              <w:t>Статья 10. Образование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3.11.</w:t>
            </w:r>
            <w:r>
              <w:tab/>
              <w:t>Статья 11. Занятость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3.12.</w:t>
            </w:r>
            <w:r>
              <w:tab/>
              <w:t>Статья 12. Здравоохранение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3.13.</w:t>
            </w:r>
            <w:r>
              <w:tab/>
              <w:t>Статья 13. Экономические и социальные выплаты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3.14.</w:t>
            </w:r>
            <w:r>
              <w:tab/>
              <w:t>Статья 14. Женщины в сельских районах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3.15.</w:t>
            </w:r>
            <w:r>
              <w:tab/>
              <w:t>Статья 15. Равенство перед законом</w:t>
            </w:r>
            <w:r>
              <w:tab/>
              <w:t>96</w:t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rPr>
                <w:lang w:val="en-US"/>
              </w:rPr>
            </w:pPr>
          </w:p>
        </w:tc>
        <w:tc>
          <w:tcPr>
            <w:tcW w:w="8289" w:type="dxa"/>
            <w:gridSpan w:val="2"/>
          </w:tcPr>
          <w:p w:rsidR="00000000" w:rsidRDefault="00000000">
            <w:pPr>
              <w:tabs>
                <w:tab w:val="left" w:pos="475"/>
                <w:tab w:val="left" w:pos="922"/>
                <w:tab w:val="left" w:pos="1008"/>
                <w:tab w:val="right" w:leader="dot" w:pos="9331"/>
              </w:tabs>
              <w:spacing w:after="120"/>
              <w:ind w:left="1280" w:hanging="1280"/>
            </w:pPr>
            <w:r>
              <w:tab/>
              <w:t>3.16.</w:t>
            </w:r>
            <w:r>
              <w:tab/>
              <w:t>Статья 16. Брак и семья</w:t>
            </w:r>
            <w:r>
              <w:tab/>
            </w:r>
          </w:p>
        </w:tc>
        <w:tc>
          <w:tcPr>
            <w:tcW w:w="35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</w:pPr>
          </w:p>
        </w:tc>
        <w:tc>
          <w:tcPr>
            <w:tcW w:w="533" w:type="dxa"/>
          </w:tcPr>
          <w:p w:rsidR="00000000" w:rsidRDefault="00000000">
            <w:pPr>
              <w:tabs>
                <w:tab w:val="right" w:pos="1080"/>
                <w:tab w:val="left" w:pos="1296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</w:tabs>
              <w:spacing w:after="120"/>
              <w:jc w:val="right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</w:tr>
    </w:tbl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</w:pPr>
      <w: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  <w:sz w:val="28"/>
        </w:rPr>
      </w:pPr>
      <w:r>
        <w:rPr>
          <w:b/>
          <w:sz w:val="28"/>
        </w:rPr>
        <w:t>Введение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1979 году Генеральная Ассамблея Организации Объединенных Наций пр</w:t>
      </w:r>
      <w:r>
        <w:t>и</w:t>
      </w:r>
      <w:r>
        <w:t>няла Конвенцию о ликвидации всех форм дискриминации в отношении же</w:t>
      </w:r>
      <w:r>
        <w:t>н</w:t>
      </w:r>
      <w:r>
        <w:t>щин - документ, который ратифицировали большинство стран мира и который представляет собой единый универсальный инструмент содействия осущест</w:t>
      </w:r>
      <w:r>
        <w:t>в</w:t>
      </w:r>
      <w:r>
        <w:t>лению и защиты прав женщин. Двадцать лет спустя Организация Объедине</w:t>
      </w:r>
      <w:r>
        <w:t>н</w:t>
      </w:r>
      <w:r>
        <w:t>ных Наций предпринимает новый шаг в этом направлении и принимает Ф</w:t>
      </w:r>
      <w:r>
        <w:t>а</w:t>
      </w:r>
      <w:r>
        <w:t>культативный протокол к Конвенции, который способствует ее толкованию и практическому применению.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Обязательство Доминиканской Республике по борьбе за осуществление прав женщин уже получило свое подтверждение в ратификации Конвенции в 1982 году. Недавно, в июне 2001 года, наша страна в числе первых стран Л</w:t>
      </w:r>
      <w:r>
        <w:t>а</w:t>
      </w:r>
      <w:r>
        <w:t>тинской Америки ратифицировала Факультативный протокол.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Частью нашего обязательства является и представление периодических до</w:t>
      </w:r>
      <w:r>
        <w:t>к</w:t>
      </w:r>
      <w:r>
        <w:t>ладов Комитету по ликвидации всех форм дискриминации в отношении же</w:t>
      </w:r>
      <w:r>
        <w:t>н</w:t>
      </w:r>
      <w:r>
        <w:t>щин, который следит за осуществлением Конвенции. Представляемые доклады, требующие тщательного рассмотрения состояния дел с осуществлением Ко</w:t>
      </w:r>
      <w:r>
        <w:t>н</w:t>
      </w:r>
      <w:r>
        <w:t>венции в стране, а также предложения и рекомендации, вынесенные Комитетом по этим докладам, послужили ценным стимулом и ориентиром для наших ус</w:t>
      </w:r>
      <w:r>
        <w:t>и</w:t>
      </w:r>
      <w:r>
        <w:t>лий по осуществлению Конвенции.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До сегодняшнего дня Комитету по КЛДЖ было представлено четыре доклада. Первый доклад был представлен в 1988 году, объединенный второй и третий доклад - в 1993 году и четвертый доклад - в 1997 году.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Настоящий, пятый доклад охватывает период 1998</w:t>
      </w:r>
      <w:r>
        <w:noBreakHyphen/>
        <w:t>2001 годов и состоит из трех глав. В первой главе подробно излагается социально</w:t>
      </w:r>
      <w:r>
        <w:noBreakHyphen/>
        <w:t>экономическое п</w:t>
      </w:r>
      <w:r>
        <w:t>о</w:t>
      </w:r>
      <w:r>
        <w:t>ложение в стране, находит отражение уровень бедности и действия правител</w:t>
      </w:r>
      <w:r>
        <w:t>ь</w:t>
      </w:r>
      <w:r>
        <w:t>ства по борьбе с ней. Во второй главе дается характеристика организационно-правового закрепления гендерного фактора в государственном секторе, в частности после создания Министерства по делам женщин. В</w:t>
      </w:r>
      <w:r>
        <w:rPr>
          <w:lang w:val="en-GB"/>
        </w:rPr>
        <w:t> </w:t>
      </w:r>
      <w:r>
        <w:t>третьей главе отражены состояние дел с осуществлением статей Конвенции в стране и р</w:t>
      </w:r>
      <w:r>
        <w:t>е</w:t>
      </w:r>
      <w:r>
        <w:t>зультаты, достигнутые в этой связи за рассматриваемый период.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jc w:val="both"/>
        <w:rPr>
          <w:b/>
          <w:sz w:val="28"/>
        </w:rPr>
      </w:pPr>
      <w:r>
        <w:rPr>
          <w:b/>
          <w:sz w:val="28"/>
        </w:rPr>
        <w:t>ГЛАВА I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rPr>
          <w:b/>
          <w:sz w:val="28"/>
        </w:rPr>
      </w:pPr>
      <w:r>
        <w:rPr>
          <w:b/>
          <w:sz w:val="28"/>
        </w:rPr>
        <w:t>СОЦИАЛЬНО-ЭКОНОМИЧЕСКОЕ ПОЛОЖЕНИЕ. БОРЬБА С НИЩЕТОЙ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Начиная с последнего десятилетия прошлого века в нашей стране идут пр</w:t>
      </w:r>
      <w:r>
        <w:t>о</w:t>
      </w:r>
      <w:r>
        <w:t>цессы реформирования и модернизации государства с участием общественн</w:t>
      </w:r>
      <w:r>
        <w:t>о</w:t>
      </w:r>
      <w:r>
        <w:t>сти, в которые во все большей степени вовлекаются различные слои домин</w:t>
      </w:r>
      <w:r>
        <w:t>и</w:t>
      </w:r>
      <w:r>
        <w:t>канского общества.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Эти процессы разворачиваются в весьма благоприятной экономической о</w:t>
      </w:r>
      <w:r>
        <w:t>б</w:t>
      </w:r>
      <w:r>
        <w:t>становке</w:t>
      </w:r>
      <w:r>
        <w:rPr>
          <w:rStyle w:val="FootnoteReference"/>
        </w:rPr>
        <w:footnoteReference w:id="2"/>
      </w:r>
      <w:r>
        <w:t>, являющейся результатом: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высоких темпов экономического роста в 90</w:t>
      </w:r>
      <w:r>
        <w:noBreakHyphen/>
        <w:t>х годах (в отличие от 80</w:t>
      </w:r>
      <w:r>
        <w:noBreakHyphen/>
        <w:t>х годах), прежде всего, в последние пять лет;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устойчивого повышения ВВП - с 4,4 до 7,8 процента за период с 1994 по 2000 год</w:t>
      </w:r>
      <w:r>
        <w:rPr>
          <w:rStyle w:val="FootnoteReference"/>
        </w:rPr>
        <w:footnoteReference w:id="3"/>
      </w:r>
      <w:r>
        <w:t>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роста ВВП на душу населения к 1999 году в 2,8 раза по сравнению с 1990</w:t>
      </w:r>
      <w:r>
        <w:rPr>
          <w:lang w:val="en-GB"/>
        </w:rPr>
        <w:t> </w:t>
      </w:r>
      <w:r>
        <w:t>годом;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одновременного с ростом ВВП снижения инфляции: на 29 процентов за пер</w:t>
      </w:r>
      <w:r>
        <w:t>и</w:t>
      </w:r>
      <w:r>
        <w:t>од с 1981 по 1990 год и на 7,5 процента за период с 1991 по 2000 год;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улучшения положения страны на четыре позиции по сравнению с остальн</w:t>
      </w:r>
      <w:r>
        <w:t>ы</w:t>
      </w:r>
      <w:r>
        <w:t>ми странами региона Латинской Америки и Карибского бассейна в 90</w:t>
      </w:r>
      <w:r>
        <w:noBreakHyphen/>
        <w:t>х годах ХХ века (в 2000 году страна занимала 24 место в регионе Латинской Америки и Карибского бассейна и 87 место среди 174 стран мира).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</w:pPr>
      <w:r>
        <w:t>Таблица 1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</w:rPr>
      </w:pPr>
      <w:r>
        <w:rPr>
          <w:b/>
        </w:rPr>
        <w:t>Показатели ежегодного роста реального ВВП, 1994</w:t>
      </w:r>
      <w:r>
        <w:rPr>
          <w:b/>
        </w:rPr>
        <w:noBreakHyphen/>
        <w:t>2001 годы.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0"/>
        <w:gridCol w:w="135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3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Показатель </w:t>
            </w:r>
            <w:r>
              <w:rPr>
                <w:i/>
                <w:sz w:val="14"/>
                <w:lang w:val="en-GB"/>
              </w:rPr>
              <w:br/>
            </w:r>
            <w:r>
              <w:rPr>
                <w:i/>
                <w:sz w:val="14"/>
              </w:rPr>
              <w:t>роста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ind w:right="43"/>
              <w:jc w:val="center"/>
            </w:pPr>
            <w:r>
              <w:t>1994</w:t>
            </w:r>
          </w:p>
        </w:tc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ind w:right="43"/>
              <w:jc w:val="center"/>
            </w:pPr>
            <w:r>
              <w:t>4,4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1995</w:t>
            </w:r>
          </w:p>
        </w:tc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4,8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1996</w:t>
            </w:r>
          </w:p>
        </w:tc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7,3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1997</w:t>
            </w:r>
          </w:p>
        </w:tc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8,2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1998</w:t>
            </w:r>
          </w:p>
        </w:tc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7,3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1999</w:t>
            </w:r>
          </w:p>
        </w:tc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8,3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2000</w:t>
            </w:r>
          </w:p>
        </w:tc>
        <w:tc>
          <w:tcPr>
            <w:tcW w:w="135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7,8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50" w:type="dxa"/>
            <w:tcBorders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2001</w:t>
            </w:r>
          </w:p>
        </w:tc>
        <w:tc>
          <w:tcPr>
            <w:tcW w:w="1350" w:type="dxa"/>
            <w:tcBorders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center"/>
            </w:pPr>
            <w:r>
              <w:t>5,0</w:t>
            </w:r>
          </w:p>
        </w:tc>
      </w:tr>
    </w:tbl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10" w:lineRule="exact"/>
        <w:ind w:left="1627" w:right="1267" w:hanging="360"/>
        <w:jc w:val="both"/>
        <w:rPr>
          <w:sz w:val="17"/>
        </w:rPr>
      </w:pPr>
      <w:r>
        <w:rPr>
          <w:i/>
          <w:sz w:val="17"/>
        </w:rPr>
        <w:t>Источник</w:t>
      </w:r>
      <w:r>
        <w:rPr>
          <w:sz w:val="17"/>
        </w:rPr>
        <w:t>: Ramírez, Nelson; "El PIB y el desarrollo: el mito reiterado", CESDEM, especial Hoy/Areito, 2000. Para 200</w:t>
      </w:r>
      <w:r>
        <w:rPr>
          <w:sz w:val="17"/>
        </w:rPr>
        <w:noBreakHyphen/>
        <w:t>01, Lizardo, Jeffrey; INDES, 2001.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</w:pPr>
      <w:r>
        <w:t>Таблица 2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rPr>
          <w:b/>
        </w:rPr>
      </w:pPr>
      <w:r>
        <w:rPr>
          <w:b/>
        </w:rPr>
        <w:t>Валовый внутренний продукт и инфляция в периоды 1981</w:t>
      </w:r>
      <w:r>
        <w:rPr>
          <w:b/>
        </w:rPr>
        <w:noBreakHyphen/>
        <w:t xml:space="preserve">1990 годов </w:t>
      </w:r>
      <w:r>
        <w:rPr>
          <w:b/>
          <w:lang w:val="en-US"/>
        </w:rPr>
        <w:br/>
      </w:r>
      <w:r>
        <w:rPr>
          <w:b/>
        </w:rPr>
        <w:t>и 1991</w:t>
      </w:r>
      <w:r>
        <w:rPr>
          <w:b/>
        </w:rPr>
        <w:noBreakHyphen/>
        <w:t>2000 годов.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20"/>
        <w:gridCol w:w="1257"/>
        <w:gridCol w:w="12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20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Период</w:t>
            </w:r>
          </w:p>
        </w:tc>
        <w:tc>
          <w:tcPr>
            <w:tcW w:w="1257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ВВП, %</w:t>
            </w:r>
          </w:p>
        </w:tc>
        <w:tc>
          <w:tcPr>
            <w:tcW w:w="1258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Инфляция, 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20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ind w:right="43"/>
            </w:pPr>
            <w:r>
              <w:t>1981-1990 годы</w:t>
            </w:r>
          </w:p>
        </w:tc>
        <w:tc>
          <w:tcPr>
            <w:tcW w:w="1257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2,3</w:t>
            </w:r>
          </w:p>
        </w:tc>
        <w:tc>
          <w:tcPr>
            <w:tcW w:w="1258" w:type="dxa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28,9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20" w:type="dxa"/>
            <w:tcBorders>
              <w:bottom w:val="single" w:sz="12" w:space="0" w:color="auto"/>
            </w:tcBorders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</w:pPr>
            <w:r>
              <w:t>1991-2000 годы</w:t>
            </w:r>
          </w:p>
        </w:tc>
        <w:tc>
          <w:tcPr>
            <w:tcW w:w="1257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5,9</w:t>
            </w:r>
          </w:p>
        </w:tc>
        <w:tc>
          <w:tcPr>
            <w:tcW w:w="1258" w:type="dxa"/>
            <w:tcBorders>
              <w:bottom w:val="single" w:sz="12" w:space="0" w:color="auto"/>
            </w:tcBorders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7,5</w:t>
            </w:r>
          </w:p>
        </w:tc>
      </w:tr>
    </w:tbl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10" w:lineRule="exact"/>
        <w:ind w:left="1267" w:right="1267"/>
        <w:jc w:val="both"/>
        <w:rPr>
          <w:sz w:val="17"/>
        </w:rPr>
      </w:pPr>
      <w:r>
        <w:rPr>
          <w:i/>
          <w:sz w:val="17"/>
        </w:rPr>
        <w:t>Источник</w:t>
      </w:r>
      <w:r>
        <w:rPr>
          <w:sz w:val="17"/>
        </w:rPr>
        <w:t>: Lizardo, Jeffrey; INDES, 2001.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Вместе с тем, эти общие условия сосуществуют с проявлениями нищеты, причинами которой являются неравное распределение богатств</w:t>
      </w:r>
      <w:r>
        <w:rPr>
          <w:rStyle w:val="FootnoteReference"/>
        </w:rPr>
        <w:footnoteReference w:id="4"/>
      </w:r>
      <w:r>
        <w:t xml:space="preserve"> и вхождение Доминиканской Республики в процессы глобализации за счет развития сект</w:t>
      </w:r>
      <w:r>
        <w:t>о</w:t>
      </w:r>
      <w:r>
        <w:t>ров, в значительной степени зависящих от внешних факторов, например, т</w:t>
      </w:r>
      <w:r>
        <w:t>у</w:t>
      </w:r>
      <w:r>
        <w:t>ризма, зон свободной торговли и экспорта сельскохозяйственной продукции.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sz w:val="24"/>
        </w:rPr>
      </w:pPr>
      <w:r>
        <w:rPr>
          <w:b/>
          <w:sz w:val="28"/>
        </w:rPr>
        <w:t>1.1.</w:t>
      </w:r>
      <w:r>
        <w:rPr>
          <w:b/>
          <w:sz w:val="28"/>
        </w:rPr>
        <w:tab/>
        <w:t>Показатели нищеты</w:t>
      </w: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Согласно обследованию по проблеме нищеты, проведенному Национальным бюро по планированию (ОНАПЛАН)</w:t>
      </w:r>
      <w:r>
        <w:rPr>
          <w:rStyle w:val="FootnoteReference"/>
        </w:rPr>
        <w:footnoteReference w:id="5"/>
      </w:r>
      <w:r>
        <w:t>, в 1998 году в условиях неэкстремальной нищеты находилось 37 процентов населения страны, а</w:t>
      </w:r>
      <w:r>
        <w:rPr>
          <w:lang w:val="en-GB"/>
        </w:rPr>
        <w:t xml:space="preserve"> </w:t>
      </w:r>
      <w:r>
        <w:t>в условиях экстремал</w:t>
      </w:r>
      <w:r>
        <w:t>ь</w:t>
      </w:r>
      <w:r>
        <w:t>ной нищеты - 15 процентов, то есть, в общей сложности 52 процента населения республики; при этом в наибольшей степени такие условия затрагивали нас</w:t>
      </w:r>
      <w:r>
        <w:t>е</w:t>
      </w:r>
      <w:r>
        <w:t>ление сельских районов, главным образом на юго</w:t>
      </w:r>
      <w:r>
        <w:noBreakHyphen/>
        <w:t>западе</w:t>
      </w:r>
      <w:r>
        <w:rPr>
          <w:rStyle w:val="FootnoteReference"/>
        </w:rPr>
        <w:footnoteReference w:id="6"/>
      </w:r>
      <w:r>
        <w:t xml:space="preserve"> и северо</w:t>
      </w:r>
      <w:r>
        <w:noBreakHyphen/>
        <w:t>востоке страны. Данное обследование, к сожалению, не дает возможности определить конкретные формы воздействия нищеты на женщин.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период с 1996 по 1998 год показатель уровня нищеты снизился на 7 процентов, в то время как численность домашних хозяйств, существующих в условиях экстремальной нищеты или принадлежащих к коренному населению, сократилось примерно на 21 процент (с 18,5 до 14,6 процента). По всей вид</w:t>
      </w:r>
      <w:r>
        <w:t>и</w:t>
      </w:r>
      <w:r>
        <w:t>мости, произошел переход коренного населения в категорию неэкстремальной нищеты, и то обстоятельство, что в период с 1996 по 1998 год его положение оставалось неизменным, свидетельствует также и о положительных изменен</w:t>
      </w:r>
      <w:r>
        <w:t>и</w:t>
      </w:r>
      <w:r>
        <w:t>ях для этой группы (см. таблицу 3).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Согласно национальному обследованию по вопросам расходов и доходов д</w:t>
      </w:r>
      <w:r>
        <w:t>о</w:t>
      </w:r>
      <w:r>
        <w:t>машних хозяйств, проведенному Центральным банком в 1998 году, женщины возглавляют 28,7 процента домашних хозяйств в Доминиканской Республике, и 33 процента общего числа домашних хозяйств с самыми низкими доходами. Данные о главах домашних хозяйств с разбивкой по полу и с учетом размера доходов свидетельствуют о том, что чем выше уровень дохода, тем больше д</w:t>
      </w:r>
      <w:r>
        <w:t>о</w:t>
      </w:r>
      <w:r>
        <w:t>ля домашних хозяйств, возглавляемых мужчинами, и чем ниже уровень дохода, тем выше доля домашних хозяйств, возглавляемых женщинами. Результаты о</w:t>
      </w:r>
      <w:r>
        <w:t>б</w:t>
      </w:r>
      <w:r>
        <w:t>следования свидетельствуют также о том, что 76 процентов хозяйств, возгла</w:t>
      </w:r>
      <w:r>
        <w:t>в</w:t>
      </w:r>
      <w:r>
        <w:t>ляемых женщинами, находится в Санто</w:t>
      </w:r>
      <w:r>
        <w:noBreakHyphen/>
        <w:t>Доминго и других городских районах, в которых сосредоточено наибольшее число обездоленных, в то время как в тех же районах находится лишь 64</w:t>
      </w:r>
      <w:r>
        <w:rPr>
          <w:lang w:val="en-GB"/>
        </w:rPr>
        <w:t xml:space="preserve"> </w:t>
      </w:r>
      <w:r>
        <w:t>процента хозяйств, возглавляемых мужчинами.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</w:pPr>
      <w:r>
        <w:t>Таблица 3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</w:pPr>
      <w:r>
        <w:rPr>
          <w:b/>
        </w:rPr>
        <w:t xml:space="preserve">Уровни нищеты в стране с разбивкой по географическому региону, </w:t>
      </w:r>
      <w:r>
        <w:rPr>
          <w:b/>
          <w:lang w:val="en-US"/>
        </w:rPr>
        <w:br/>
      </w:r>
      <w:r>
        <w:rPr>
          <w:b/>
        </w:rPr>
        <w:t>в 1996 и 1998 годах.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6"/>
        <w:gridCol w:w="806"/>
        <w:gridCol w:w="1037"/>
        <w:gridCol w:w="1037"/>
        <w:gridCol w:w="90"/>
        <w:gridCol w:w="810"/>
        <w:gridCol w:w="1035"/>
        <w:gridCol w:w="10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55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rPr>
                <w:i/>
                <w:sz w:val="14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1996 год</w:t>
            </w:r>
          </w:p>
        </w:tc>
        <w:tc>
          <w:tcPr>
            <w:tcW w:w="9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both"/>
              <w:rPr>
                <w:i/>
                <w:sz w:val="14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1998 год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556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Геогр</w:t>
            </w:r>
            <w:r>
              <w:rPr>
                <w:i/>
                <w:sz w:val="14"/>
              </w:rPr>
              <w:t>а</w:t>
            </w:r>
            <w:r>
              <w:rPr>
                <w:i/>
                <w:sz w:val="14"/>
              </w:rPr>
              <w:t>фический район</w:t>
            </w:r>
          </w:p>
        </w:tc>
        <w:tc>
          <w:tcPr>
            <w:tcW w:w="806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Бедность</w:t>
            </w:r>
          </w:p>
        </w:tc>
        <w:tc>
          <w:tcPr>
            <w:tcW w:w="103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ind w:right="-18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Неэк</w:t>
            </w:r>
            <w:r>
              <w:rPr>
                <w:i/>
                <w:sz w:val="14"/>
              </w:rPr>
              <w:t>с</w:t>
            </w:r>
            <w:r>
              <w:rPr>
                <w:i/>
                <w:sz w:val="14"/>
              </w:rPr>
              <w:t>тремал</w:t>
            </w:r>
            <w:r>
              <w:rPr>
                <w:i/>
                <w:sz w:val="14"/>
              </w:rPr>
              <w:t>ь</w:t>
            </w:r>
            <w:r>
              <w:rPr>
                <w:i/>
                <w:sz w:val="14"/>
              </w:rPr>
              <w:t>-ная н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щета</w:t>
            </w:r>
          </w:p>
        </w:tc>
        <w:tc>
          <w:tcPr>
            <w:tcW w:w="1037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Экстр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маль-ная нищета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</w:p>
        </w:tc>
        <w:tc>
          <w:tcPr>
            <w:tcW w:w="810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Бедность</w:t>
            </w:r>
          </w:p>
        </w:tc>
        <w:tc>
          <w:tcPr>
            <w:tcW w:w="103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ind w:right="-18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Неэк</w:t>
            </w:r>
            <w:r>
              <w:rPr>
                <w:i/>
                <w:sz w:val="14"/>
              </w:rPr>
              <w:t>с</w:t>
            </w:r>
            <w:r>
              <w:rPr>
                <w:i/>
                <w:sz w:val="14"/>
              </w:rPr>
              <w:t>тремал</w:t>
            </w:r>
            <w:r>
              <w:rPr>
                <w:i/>
                <w:sz w:val="14"/>
              </w:rPr>
              <w:t>ь</w:t>
            </w:r>
            <w:r>
              <w:rPr>
                <w:i/>
                <w:sz w:val="14"/>
              </w:rPr>
              <w:t>-ная н</w:t>
            </w:r>
            <w:r>
              <w:rPr>
                <w:i/>
                <w:sz w:val="14"/>
              </w:rPr>
              <w:t>и</w:t>
            </w:r>
            <w:r>
              <w:rPr>
                <w:i/>
                <w:sz w:val="14"/>
              </w:rPr>
              <w:t>щета</w:t>
            </w:r>
          </w:p>
        </w:tc>
        <w:tc>
          <w:tcPr>
            <w:tcW w:w="1035" w:type="dxa"/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Экстр</w:t>
            </w:r>
            <w:r>
              <w:rPr>
                <w:i/>
                <w:sz w:val="14"/>
              </w:rPr>
              <w:t>е</w:t>
            </w:r>
            <w:r>
              <w:rPr>
                <w:i/>
                <w:sz w:val="14"/>
              </w:rPr>
              <w:t>маль-ная нищета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55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rPr>
                <w:sz w:val="17"/>
              </w:rPr>
            </w:pPr>
            <w:r>
              <w:rPr>
                <w:sz w:val="17"/>
              </w:rPr>
              <w:t>Всего в стране</w:t>
            </w:r>
          </w:p>
        </w:tc>
        <w:tc>
          <w:tcPr>
            <w:tcW w:w="806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00" w:lineRule="exact"/>
              <w:jc w:val="right"/>
              <w:rPr>
                <w:sz w:val="17"/>
              </w:rPr>
            </w:pPr>
            <w:r>
              <w:rPr>
                <w:sz w:val="17"/>
              </w:rPr>
              <w:t xml:space="preserve">55,7 </w:t>
            </w:r>
            <w:r>
              <w:rPr>
                <w:sz w:val="16"/>
              </w:rPr>
              <w:t>(б</w:t>
            </w:r>
            <w:r>
              <w:rPr>
                <w:sz w:val="16"/>
              </w:rPr>
              <w:t>о</w:t>
            </w:r>
            <w:r>
              <w:rPr>
                <w:sz w:val="16"/>
              </w:rPr>
              <w:t>лее ми</w:t>
            </w:r>
            <w:r>
              <w:rPr>
                <w:sz w:val="16"/>
              </w:rPr>
              <w:t>л</w:t>
            </w:r>
            <w:r>
              <w:rPr>
                <w:sz w:val="16"/>
              </w:rPr>
              <w:t>лиона домашних хозяйств)</w:t>
            </w:r>
          </w:p>
        </w:tc>
        <w:tc>
          <w:tcPr>
            <w:tcW w:w="103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37,2</w:t>
            </w:r>
          </w:p>
        </w:tc>
        <w:tc>
          <w:tcPr>
            <w:tcW w:w="1037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18,5</w:t>
            </w:r>
          </w:p>
        </w:tc>
        <w:tc>
          <w:tcPr>
            <w:tcW w:w="9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z w:val="17"/>
              </w:rPr>
            </w:pPr>
          </w:p>
        </w:tc>
        <w:tc>
          <w:tcPr>
            <w:tcW w:w="81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51,8</w:t>
            </w:r>
          </w:p>
        </w:tc>
        <w:tc>
          <w:tcPr>
            <w:tcW w:w="10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37,2</w:t>
            </w:r>
          </w:p>
        </w:tc>
        <w:tc>
          <w:tcPr>
            <w:tcW w:w="1035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14,6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55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z w:val="17"/>
              </w:rPr>
            </w:pPr>
            <w:r>
              <w:rPr>
                <w:sz w:val="17"/>
              </w:rPr>
              <w:t>Городские районы</w:t>
            </w:r>
          </w:p>
        </w:tc>
        <w:tc>
          <w:tcPr>
            <w:tcW w:w="80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-</w:t>
            </w:r>
          </w:p>
        </w:tc>
        <w:tc>
          <w:tcPr>
            <w:tcW w:w="103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-</w:t>
            </w:r>
          </w:p>
        </w:tc>
        <w:tc>
          <w:tcPr>
            <w:tcW w:w="1037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-</w:t>
            </w:r>
          </w:p>
        </w:tc>
        <w:tc>
          <w:tcPr>
            <w:tcW w:w="9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</w:p>
        </w:tc>
        <w:tc>
          <w:tcPr>
            <w:tcW w:w="81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37</w:t>
            </w:r>
          </w:p>
        </w:tc>
        <w:tc>
          <w:tcPr>
            <w:tcW w:w="103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30,0</w:t>
            </w:r>
          </w:p>
        </w:tc>
        <w:tc>
          <w:tcPr>
            <w:tcW w:w="103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55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rPr>
                <w:sz w:val="17"/>
              </w:rPr>
            </w:pPr>
            <w:r>
              <w:rPr>
                <w:sz w:val="17"/>
              </w:rPr>
              <w:t>Сельские районы</w:t>
            </w:r>
          </w:p>
        </w:tc>
        <w:tc>
          <w:tcPr>
            <w:tcW w:w="80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-</w:t>
            </w:r>
          </w:p>
        </w:tc>
        <w:tc>
          <w:tcPr>
            <w:tcW w:w="103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-</w:t>
            </w:r>
          </w:p>
        </w:tc>
        <w:tc>
          <w:tcPr>
            <w:tcW w:w="1037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-</w:t>
            </w:r>
          </w:p>
        </w:tc>
        <w:tc>
          <w:tcPr>
            <w:tcW w:w="9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</w:p>
        </w:tc>
        <w:tc>
          <w:tcPr>
            <w:tcW w:w="81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85</w:t>
            </w:r>
          </w:p>
        </w:tc>
        <w:tc>
          <w:tcPr>
            <w:tcW w:w="10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48</w:t>
            </w:r>
          </w:p>
        </w:tc>
        <w:tc>
          <w:tcPr>
            <w:tcW w:w="103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 w:line="210" w:lineRule="exact"/>
              <w:jc w:val="right"/>
              <w:rPr>
                <w:sz w:val="17"/>
              </w:rPr>
            </w:pPr>
            <w:r>
              <w:rPr>
                <w:sz w:val="17"/>
              </w:rPr>
              <w:t>37</w:t>
            </w:r>
          </w:p>
        </w:tc>
      </w:tr>
    </w:tbl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10" w:lineRule="exact"/>
        <w:ind w:left="1620" w:right="1267" w:hanging="353"/>
        <w:jc w:val="both"/>
        <w:rPr>
          <w:sz w:val="17"/>
        </w:rPr>
      </w:pPr>
      <w:r>
        <w:rPr>
          <w:i/>
          <w:sz w:val="17"/>
        </w:rPr>
        <w:t>Источник</w:t>
      </w:r>
      <w:r>
        <w:rPr>
          <w:sz w:val="17"/>
        </w:rPr>
        <w:t>: ONAPLAN, 1997. "Focalización de la pobreza en RD", Informe Población No.11, dic.'97.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</w:rPr>
      </w:pPr>
      <w:r>
        <w:rPr>
          <w:b/>
          <w:sz w:val="28"/>
        </w:rPr>
        <w:t>1.2.</w:t>
      </w:r>
      <w:r>
        <w:rPr>
          <w:b/>
          <w:sz w:val="28"/>
        </w:rPr>
        <w:tab/>
        <w:t>Занятость</w:t>
      </w:r>
      <w:r>
        <w:rPr>
          <w:rStyle w:val="FootnoteReference"/>
          <w:sz w:val="28"/>
        </w:rPr>
        <w:footnoteReference w:id="7"/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период с 1996 по 1999 год показатели занятости характеризовались сущес</w:t>
      </w:r>
      <w:r>
        <w:t>т</w:t>
      </w:r>
      <w:r>
        <w:t>венными изменениями в силу: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повышения занятости в формальном секторе (зоны свободной торговли и т</w:t>
      </w:r>
      <w:r>
        <w:t>у</w:t>
      </w:r>
      <w:r>
        <w:t>ризм),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существенного повышения занятости в неформальном секторе, в частности на микро-, малых и средних предприятиях, при существенном росте числа р</w:t>
      </w:r>
      <w:r>
        <w:t>а</w:t>
      </w:r>
      <w:r>
        <w:t>ботников не по найму,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нестабильности в секторе микропредприятий, выразившейся в ускоренном сокращении числа рабочих мест,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сокращения занятости с 21 процента в начале 90</w:t>
      </w:r>
      <w:r>
        <w:noBreakHyphen/>
        <w:t>х годах до 15 процентов в 1998 году, главным образом в результате существенного воздействия сектора микропредприятий.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40" w:lineRule="exact"/>
        <w:ind w:left="1267" w:right="1267"/>
        <w:jc w:val="both"/>
      </w:pPr>
      <w:r>
        <w:rPr>
          <w:b/>
          <w:sz w:val="28"/>
        </w:rPr>
        <w:t>1.3.</w:t>
      </w:r>
      <w:r>
        <w:rPr>
          <w:b/>
          <w:sz w:val="28"/>
        </w:rPr>
        <w:tab/>
        <w:t>Социальные расходы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Если рассматривать социальные расходы в сопоставлении с общими расход</w:t>
      </w:r>
      <w:r>
        <w:t>а</w:t>
      </w:r>
      <w:r>
        <w:t>ми и с ВВП, то можно заметить, что с 1996 года они возросли в сферах образ</w:t>
      </w:r>
      <w:r>
        <w:t>о</w:t>
      </w:r>
      <w:r>
        <w:t>вания (с 1 до 2,7 процента ВВП) и здравоохранения (с 1 до 1,5 процента), в то время как расходы в жилищном секторе сократились. Общие расходы на инв</w:t>
      </w:r>
      <w:r>
        <w:t>е</w:t>
      </w:r>
      <w:r>
        <w:t>стиции в развитие людских ресурсов (образование, здравоохранение и соц</w:t>
      </w:r>
      <w:r>
        <w:t>и</w:t>
      </w:r>
      <w:r>
        <w:t>альная помощь) в период 1997</w:t>
      </w:r>
      <w:r>
        <w:noBreakHyphen/>
        <w:t>1999 годов изменялись в пределах 4</w:t>
      </w:r>
      <w:r>
        <w:noBreakHyphen/>
        <w:t>5 процентов.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этот период изменилась направленность социальных расходов в сферах о</w:t>
      </w:r>
      <w:r>
        <w:t>б</w:t>
      </w:r>
      <w:r>
        <w:t>разования и здравоохранения. В сфере образования при составлении бюджета особое значение придавалось базовому образованию, расходы на которое в п</w:t>
      </w:r>
      <w:r>
        <w:t>е</w:t>
      </w:r>
      <w:r>
        <w:t>риод 1997</w:t>
      </w:r>
      <w:r>
        <w:noBreakHyphen/>
        <w:t>1999 годов составляли около 48 процентов. Доля общих расходов на здравоохранение в 1998 году составила 4,5 процента ВВП, из которых 1,6 процента поступили из государственного сектора и 2,9 процента из частн</w:t>
      </w:r>
      <w:r>
        <w:t>о</w:t>
      </w:r>
      <w:r>
        <w:t>го сектора</w:t>
      </w:r>
      <w:r>
        <w:rPr>
          <w:rStyle w:val="FootnoteReference"/>
        </w:rPr>
        <w:footnoteReference w:id="8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</w:pPr>
      <w:r>
        <w:t>Таблица 4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</w:pPr>
      <w:r>
        <w:rPr>
          <w:b/>
        </w:rPr>
        <w:t>Общие расходы и социальные расходы в Доминиканской Республике, 1990</w:t>
      </w:r>
      <w:r>
        <w:rPr>
          <w:b/>
        </w:rPr>
        <w:noBreakHyphen/>
        <w:t>1999 годы.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2"/>
        <w:gridCol w:w="1733"/>
        <w:gridCol w:w="1732"/>
        <w:gridCol w:w="17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732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1733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Общие расходы це</w:t>
            </w:r>
            <w:r>
              <w:rPr>
                <w:i/>
                <w:sz w:val="14"/>
              </w:rPr>
              <w:t>н</w:t>
            </w:r>
            <w:r>
              <w:rPr>
                <w:i/>
                <w:sz w:val="14"/>
              </w:rPr>
              <w:t>трального правител</w:t>
            </w:r>
            <w:r>
              <w:rPr>
                <w:i/>
                <w:sz w:val="14"/>
              </w:rPr>
              <w:t>ь</w:t>
            </w:r>
            <w:r>
              <w:rPr>
                <w:i/>
                <w:sz w:val="14"/>
              </w:rPr>
              <w:t>ства,</w:t>
            </w:r>
            <w:r>
              <w:rPr>
                <w:i/>
                <w:sz w:val="14"/>
              </w:rPr>
              <w:br/>
              <w:t xml:space="preserve"> в % от ВВП</w:t>
            </w:r>
          </w:p>
        </w:tc>
        <w:tc>
          <w:tcPr>
            <w:tcW w:w="1732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Социальные расходы, </w:t>
            </w:r>
            <w:r>
              <w:rPr>
                <w:i/>
                <w:sz w:val="14"/>
              </w:rPr>
              <w:br/>
              <w:t>в % от ВВП</w:t>
            </w:r>
          </w:p>
        </w:tc>
        <w:tc>
          <w:tcPr>
            <w:tcW w:w="1733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Социальные расходы, </w:t>
            </w:r>
            <w:r>
              <w:rPr>
                <w:i/>
                <w:sz w:val="14"/>
              </w:rPr>
              <w:br/>
              <w:t>в % от общих расх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дов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</w:pPr>
            <w:r>
              <w:t>1990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center"/>
            </w:pPr>
            <w:r>
              <w:t>11,9</w:t>
            </w:r>
          </w:p>
        </w:tc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center"/>
            </w:pPr>
            <w:r>
              <w:t>4,4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center"/>
            </w:pPr>
            <w:r>
              <w:t>39,6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1991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10,6</w:t>
            </w:r>
          </w:p>
        </w:tc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3,8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37,2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1992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14,9</w:t>
            </w:r>
          </w:p>
        </w:tc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5,3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35,2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1993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16,7</w:t>
            </w:r>
          </w:p>
        </w:tc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6,6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38,7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1994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15,7</w:t>
            </w:r>
          </w:p>
        </w:tc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6,7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42,6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1995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14,2</w:t>
            </w:r>
          </w:p>
        </w:tc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5,6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39,7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1996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14,7</w:t>
            </w:r>
          </w:p>
        </w:tc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5,8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39,6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1997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16,4</w:t>
            </w:r>
          </w:p>
        </w:tc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6,3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38,4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1998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16,0</w:t>
            </w:r>
          </w:p>
        </w:tc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6,3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38,9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81"/>
            </w:pPr>
            <w:r>
              <w:t>1999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16,6</w:t>
            </w:r>
          </w:p>
        </w:tc>
        <w:tc>
          <w:tcPr>
            <w:tcW w:w="173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6,4</w:t>
            </w:r>
          </w:p>
        </w:tc>
        <w:tc>
          <w:tcPr>
            <w:tcW w:w="1733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center"/>
            </w:pPr>
            <w:r>
              <w:t>40,3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732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rPr>
                <w:b/>
              </w:rPr>
            </w:pPr>
            <w:r>
              <w:rPr>
                <w:b/>
              </w:rPr>
              <w:t xml:space="preserve">В среднем </w:t>
            </w:r>
            <w:r>
              <w:rPr>
                <w:b/>
              </w:rPr>
              <w:br/>
              <w:t>в десятил</w:t>
            </w:r>
            <w:r>
              <w:rPr>
                <w:b/>
              </w:rPr>
              <w:t>е</w:t>
            </w:r>
            <w:r>
              <w:rPr>
                <w:b/>
              </w:rPr>
              <w:t>тии</w:t>
            </w:r>
          </w:p>
        </w:tc>
        <w:tc>
          <w:tcPr>
            <w:tcW w:w="1733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center"/>
              <w:rPr>
                <w:b/>
              </w:rPr>
            </w:pPr>
            <w:r>
              <w:rPr>
                <w:b/>
              </w:rPr>
              <w:t>14,8</w:t>
            </w:r>
          </w:p>
        </w:tc>
        <w:tc>
          <w:tcPr>
            <w:tcW w:w="1732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center"/>
              <w:rPr>
                <w:b/>
              </w:rPr>
            </w:pPr>
            <w:r>
              <w:rPr>
                <w:b/>
              </w:rPr>
              <w:t>5,7</w:t>
            </w:r>
          </w:p>
        </w:tc>
        <w:tc>
          <w:tcPr>
            <w:tcW w:w="1733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center"/>
              <w:rPr>
                <w:b/>
              </w:rPr>
            </w:pPr>
            <w:r>
              <w:rPr>
                <w:b/>
              </w:rPr>
              <w:t>39,0</w:t>
            </w:r>
          </w:p>
        </w:tc>
      </w:tr>
    </w:tbl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10" w:lineRule="exact"/>
        <w:ind w:left="1620" w:right="1267" w:hanging="353"/>
        <w:jc w:val="both"/>
        <w:rPr>
          <w:sz w:val="17"/>
        </w:rPr>
      </w:pPr>
      <w:r>
        <w:rPr>
          <w:i/>
          <w:sz w:val="17"/>
        </w:rPr>
        <w:t>Источник</w:t>
      </w:r>
      <w:r>
        <w:rPr>
          <w:sz w:val="17"/>
        </w:rPr>
        <w:t>: ONAPLAN, "Estructura económica, funcional y geográfica del gasto público en la República Dominicana (1978</w:t>
      </w:r>
      <w:r>
        <w:rPr>
          <w:sz w:val="17"/>
        </w:rPr>
        <w:noBreakHyphen/>
        <w:t>1999), julio 2000.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980" w:right="1267" w:hanging="720"/>
      </w:pPr>
      <w:r>
        <w:rPr>
          <w:b/>
          <w:sz w:val="28"/>
        </w:rPr>
        <w:t>1.4.</w:t>
      </w:r>
      <w:r>
        <w:rPr>
          <w:b/>
          <w:sz w:val="28"/>
        </w:rPr>
        <w:tab/>
        <w:t>Меры правительства по борьбе с нищетой, унаследованной новым тысячелетием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980" w:right="1267" w:hanging="720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конце 1997 года проблема нищеты была поставлена в центр государстве</w:t>
      </w:r>
      <w:r>
        <w:t>н</w:t>
      </w:r>
      <w:r>
        <w:t>ной политики, что позволило идентифицировать наиболее уязвимые слои нас</w:t>
      </w:r>
      <w:r>
        <w:t>е</w:t>
      </w:r>
      <w:r>
        <w:t>ления и географические районы.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Важнейшим явлением этого периода стало стремление нынешнего прав</w:t>
      </w:r>
      <w:r>
        <w:t>и</w:t>
      </w:r>
      <w:r>
        <w:t>тельства, созданного в августе 2000 года, проводить сформулированную соц</w:t>
      </w:r>
      <w:r>
        <w:t>и</w:t>
      </w:r>
      <w:r>
        <w:t>альную политику силами всех государственных органов в целях снижения уровня нищеты в Доминиканской Республике. В этой связи правительство пр</w:t>
      </w:r>
      <w:r>
        <w:t>и</w:t>
      </w:r>
      <w:r>
        <w:t>няло на себя обязательство включить в эту политику в качестве одного из гла</w:t>
      </w:r>
      <w:r>
        <w:t>в</w:t>
      </w:r>
      <w:r>
        <w:t>ных стратегических моментов вопросы содействия и повышения равноправия мужчин и женщин и использования потенциала женщин.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Среди стратегических направлений такой социальной политики, которые имеют важное значение для решения проблем гендерного равноправия, нужно отметить повышение эффективности, качества и размеров социальных расх</w:t>
      </w:r>
      <w:r>
        <w:t>о</w:t>
      </w:r>
      <w:r>
        <w:t>дов по бюджету, адресность социальных расходов, модернизацию государства и создание системы мониторинга и оценки.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До настоящего момента в рамках проводимой социальной политики главное внимание уделялось мерам по оказанию помощи, в связи с чем возникает нео</w:t>
      </w:r>
      <w:r>
        <w:t>б</w:t>
      </w:r>
      <w:r>
        <w:t>ходимость укрепления и усиления механизмов принятия мер в сфере благосо</w:t>
      </w:r>
      <w:r>
        <w:t>с</w:t>
      </w:r>
      <w:r>
        <w:t>тояния и сокращения масштабов нищеты.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январе 2001 года министр по делам женщин в качестве члена кабинета по социальным вопросам - органа, ответственного за проведение государственной социальной политики, - представила предложения по повышению уровня пол</w:t>
      </w:r>
      <w:r>
        <w:t>и</w:t>
      </w:r>
      <w:r>
        <w:t>тики борьбы с нищетой до уровня государственной. Она предусматривает: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учет гендерного фактора на всех уровнях и обучение по гендерным вопросам всех сотрудников, работающих над решением проблем женщин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обеспечение доступа женщин, в первую очередь, являющихся главами д</w:t>
      </w:r>
      <w:r>
        <w:t>о</w:t>
      </w:r>
      <w:r>
        <w:t>машних хозяйств, к участию в решении вопросов экономической политики, производства и финансирования, к производственным ресурсам, подготовке и обучению в нетрадиционных областях, расширение доступа к образованию и медицинским услугам в области репродуктивного здоровья, расширение во</w:t>
      </w:r>
      <w:r>
        <w:t>з</w:t>
      </w:r>
      <w:r>
        <w:t xml:space="preserve">можностей в плане формального обучения. Разработка специальных программ для женщин, проживающих в традиционных общинах сборщиков сахарного тростника.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ориентирование социальных расходов на сельские районы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содействие развитию основных видов обслуживания в сфере обеспечения продовольствием, здравоохранения, санитарии, эффективная координация мер по предупреждению и сокращению случаев насилия в семье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повышение осведомленности и распространение информации о междунаро</w:t>
      </w:r>
      <w:r>
        <w:t>д</w:t>
      </w:r>
      <w:r>
        <w:t>ных конвенциях, касающихся прав женщин-мигрантов, в первую очередь, ра</w:t>
      </w:r>
      <w:r>
        <w:t>с</w:t>
      </w:r>
      <w:r>
        <w:t>считанных на сотрудников органов, связанных с этой группой населения.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980" w:right="1267" w:hanging="713"/>
      </w:pPr>
      <w:r>
        <w:rPr>
          <w:b/>
          <w:sz w:val="28"/>
        </w:rPr>
        <w:t>1.5.</w:t>
      </w:r>
      <w:r>
        <w:rPr>
          <w:b/>
          <w:sz w:val="28"/>
        </w:rPr>
        <w:tab/>
        <w:t xml:space="preserve">Оценка достижений по вопросам женщин </w:t>
      </w:r>
      <w:r>
        <w:rPr>
          <w:b/>
          <w:sz w:val="28"/>
        </w:rPr>
        <w:br/>
        <w:t>и нищеты, проведенная организациями гражданского общества и государственными учреждени</w:t>
      </w:r>
      <w:r>
        <w:rPr>
          <w:b/>
          <w:sz w:val="28"/>
        </w:rPr>
        <w:t>я</w:t>
      </w:r>
      <w:r>
        <w:rPr>
          <w:b/>
          <w:sz w:val="28"/>
        </w:rPr>
        <w:t>ми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Нам хотелось бы отметить достижения по вопросам женщин и нищеты, отм</w:t>
      </w:r>
      <w:r>
        <w:t>е</w:t>
      </w:r>
      <w:r>
        <w:t>ченные 96 государственными и частными организациями страны и включенные в документ "Оценка осуществления Пекинской платформы действий в Дом</w:t>
      </w:r>
      <w:r>
        <w:t>и</w:t>
      </w:r>
      <w:r>
        <w:t>никанской Республике"</w:t>
      </w:r>
      <w:r>
        <w:rPr>
          <w:rStyle w:val="FootnoteReference"/>
        </w:rPr>
        <w:footnoteReference w:id="9"/>
      </w:r>
      <w:r>
        <w:t>. К ним относятся: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более широкое общественное признание того, что женщины являются член</w:t>
      </w:r>
      <w:r>
        <w:t>а</w:t>
      </w:r>
      <w:r>
        <w:t>ми общества, на которых в наибольшей степени сказываются маргинализация и нищета;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мобилизация финансовых ресурсов в интересах женщин (правительство, НПО и международное сотрудничество) с упором на осуществление учебных программ и проектов и предоставление правовой помощи женщинам с низкими доходами, переобучение женщин, выполняющих функции контроля за прои</w:t>
      </w:r>
      <w:r>
        <w:t>з</w:t>
      </w:r>
      <w:r>
        <w:t>водством и качеством продукции, и укрепление национального механизма обеспечения гендерного равноправия (Министерство по делам женщин);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тенденция к постепенному, но устойчивому сокращению масштабов нищеты в Доминиканской Республике, от которой непосредственно выигрывают же</w:t>
      </w:r>
      <w:r>
        <w:t>н</w:t>
      </w:r>
      <w:r>
        <w:t>щины;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недавние изменения в социальной политике, являющиеся позитивным факт</w:t>
      </w:r>
      <w:r>
        <w:t>о</w:t>
      </w:r>
      <w:r>
        <w:t>ром улучшения положения женщин (повышение социальных расходов и начало осуществления плана действий по сокращению масштабов нищеты);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реализация производственных проектов, приносящих доход, с последующим переосмыслением и переоценкой производственного потенциала женщин;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расширение прямого доступа женщин к земле в рамках аграрной реформы, а также более целенаправленное решение задачи интеграции женщин в пр</w:t>
      </w:r>
      <w:r>
        <w:t>о</w:t>
      </w:r>
      <w:r>
        <w:t>граммы, которые реализуются другими учреждениями в сельскохозяйственном секторе;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повышение уровня экономической самостоятельности, включая более шир</w:t>
      </w:r>
      <w:r>
        <w:t>о</w:t>
      </w:r>
      <w:r>
        <w:t>кое участие в производстве продуктов питания и кормов для домашних живо</w:t>
      </w:r>
      <w:r>
        <w:t>т</w:t>
      </w:r>
      <w:r>
        <w:t>ных, в финансовом секторе, деятельности микропредприятий и свободных производственных зонах;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более широкое предоставление государственных услуг в тех секторах, кот</w:t>
      </w:r>
      <w:r>
        <w:t>о</w:t>
      </w:r>
      <w:r>
        <w:t>рые имеют важное значение для женщин (образование, здравоохранение).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Вместе с тем, данная оценка обращает внимание на следующие проблемы: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несмотря на сокращение масштабов нищеты, она остается одним из осно</w:t>
      </w:r>
      <w:r>
        <w:t>в</w:t>
      </w:r>
      <w:r>
        <w:t>ных препятствий на пути развития страны и улучшения положения женщин;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не взирая на достигнутые результаты, выделяемые государством ресурсы на реализацию программ сокращения масштабов нищеты по</w:t>
      </w:r>
      <w:r>
        <w:noBreakHyphen/>
        <w:t>прежнему недост</w:t>
      </w:r>
      <w:r>
        <w:t>а</w:t>
      </w:r>
      <w:r>
        <w:t>точны;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макроэкономические показатели не способствуют проведению анализу р</w:t>
      </w:r>
      <w:r>
        <w:t>е</w:t>
      </w:r>
      <w:r>
        <w:t>зультатов проведения политики в рамках программ борьбы с нищетой;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в действующей экономической модели по</w:t>
      </w:r>
      <w:r>
        <w:noBreakHyphen/>
        <w:t>прежнему в привилегированном положении находятся мужчины, поскольку женщины, наряду с работой в гос</w:t>
      </w:r>
      <w:r>
        <w:t>у</w:t>
      </w:r>
      <w:r>
        <w:t>дарственном секторе, сохраняют домашние обязанности.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сохраняются различия между самими женщинами в силу уязвимости таких групп, как престарелые, работницы сексуального труда, женщины-инвалиды, девочки и девушки и доминиканки гаитянского происхождения.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настоящее время осуществляются рекомендации, выработанные в целях решения этих проблем, в том числе: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осуществляется широкая программа повышения осведомленности в генде</w:t>
      </w:r>
      <w:r>
        <w:t>р</w:t>
      </w:r>
      <w:r>
        <w:t>ных вопросах, ориентированная на основной и технический персонал госуда</w:t>
      </w:r>
      <w:r>
        <w:t>р</w:t>
      </w:r>
      <w:r>
        <w:t>ственного сектора;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оказывается содействие тому, чтобы социальные программы правительства в большей мере отвечали интересам женщин - глав домашних хозяйств, в кот</w:t>
      </w:r>
      <w:r>
        <w:t>о</w:t>
      </w:r>
      <w:r>
        <w:t>рых имеются инвалиды и престарелые;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предоставляется помощь в организации микропредприятий для женщин и о</w:t>
      </w:r>
      <w:r>
        <w:t>т</w:t>
      </w:r>
      <w:r>
        <w:t>крываются новые каналы кредитования;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расширяется доступ женщин к заведениям технического и профессиональн</w:t>
      </w:r>
      <w:r>
        <w:t>о</w:t>
      </w:r>
      <w:r>
        <w:t>го обучения.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  <w:lang w:val="en-GB"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rPr>
          <w:b/>
          <w:sz w:val="28"/>
        </w:rPr>
      </w:pPr>
      <w:r>
        <w:rPr>
          <w:b/>
          <w:sz w:val="28"/>
        </w:rPr>
        <w:t>ГЛАВА II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rPr>
          <w:b/>
          <w:sz w:val="28"/>
        </w:rPr>
      </w:pPr>
      <w:r>
        <w:rPr>
          <w:b/>
          <w:sz w:val="28"/>
        </w:rPr>
        <w:t>ОРГАНИЗАЦИОННО-ПРАВОВОЕ ЗАКРЕПЛЕНИЕ ГЕНДЕРНОГО ФАКТОРА В ГОСУДАРСТВЕННОМ СЕКТОРЕ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пункте 338 заключительных замечаний по четвертому докладу Доминика</w:t>
      </w:r>
      <w:r>
        <w:t>н</w:t>
      </w:r>
      <w:r>
        <w:t>ской Республики (OF/4I/RD/P338) содержится просьба "включить в следующий доклад подробную информацию о практических мерах по осуществлению Ко</w:t>
      </w:r>
      <w:r>
        <w:t>н</w:t>
      </w:r>
      <w:r>
        <w:t>венции, уделив при этом особое внимание эффективности политики и пр</w:t>
      </w:r>
      <w:r>
        <w:t>о</w:t>
      </w:r>
      <w:r>
        <w:t>грамм, нацеленных на обеспечение равенства женщин и мужчин". В этой связи мы проводим небольшой обзор механизмов</w:t>
      </w:r>
      <w:r>
        <w:rPr>
          <w:rStyle w:val="FootnoteReference"/>
        </w:rPr>
        <w:footnoteReference w:id="10"/>
      </w:r>
      <w:r>
        <w:t>, имеющихся в тех учреждениях государственного сектора, которые, по нашему мнению, играют ведущую роль в обеспечении осуществления КЛДЖ.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980" w:right="1267" w:hanging="713"/>
        <w:rPr>
          <w:b/>
          <w:sz w:val="24"/>
        </w:rPr>
      </w:pPr>
      <w:r>
        <w:rPr>
          <w:b/>
          <w:sz w:val="28"/>
        </w:rPr>
        <w:t>2.1.</w:t>
      </w:r>
      <w:r>
        <w:rPr>
          <w:b/>
          <w:sz w:val="28"/>
        </w:rPr>
        <w:tab/>
        <w:t xml:space="preserve">Организационно-правовое закрепление </w:t>
      </w:r>
      <w:r>
        <w:rPr>
          <w:b/>
          <w:sz w:val="28"/>
        </w:rPr>
        <w:br/>
        <w:t>гендерной политики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11 августа 1999 года был принят закон 86</w:t>
      </w:r>
      <w:r>
        <w:noBreakHyphen/>
        <w:t>99 о создании Министерства по д</w:t>
      </w:r>
      <w:r>
        <w:t>е</w:t>
      </w:r>
      <w:r>
        <w:t>лам женщин</w:t>
      </w:r>
      <w:r>
        <w:rPr>
          <w:rStyle w:val="FootnoteReference"/>
        </w:rPr>
        <w:footnoteReference w:id="11"/>
      </w:r>
      <w:r>
        <w:t>, которое отвечает за установление норм и координацию проце</w:t>
      </w:r>
      <w:r>
        <w:t>с</w:t>
      </w:r>
      <w:r>
        <w:t>сов проведения политики, осуществление на секторальном, межминистерском уровне и во взаимоотношениях с гражданским обществом планов и программ, направленных на достижение гендерного равенства и полное осуществление женщинами гражданских прав. Министерство по делам женщин было создано в результате реализации проекта, начатого в 1997 году в рамках планов рефо</w:t>
      </w:r>
      <w:r>
        <w:t>р</w:t>
      </w:r>
      <w:r>
        <w:t>мы и модернизации государства, когда удалось запустить секторальный пер</w:t>
      </w:r>
      <w:r>
        <w:t>е</w:t>
      </w:r>
      <w:r>
        <w:t>говорный процесс, в котором приняло участие порядка 100 правительственных учреждений и НПО, высказавшихся за его создание.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Его решения носят нормативно-обязательный характер, касаются междун</w:t>
      </w:r>
      <w:r>
        <w:t>а</w:t>
      </w:r>
      <w:r>
        <w:t>родной политики, повышения осведомленности и просвещения в масштабах общества, координации деятельности по сотрудничеству с гражданским общ</w:t>
      </w:r>
      <w:r>
        <w:t>е</w:t>
      </w:r>
      <w:r>
        <w:t>ством. В то же время Консультативный совет бывшего Департамента по улу</w:t>
      </w:r>
      <w:r>
        <w:t>ч</w:t>
      </w:r>
      <w:r>
        <w:t>шению положения женщин был передан новому Министерству и был создан Секторальный совет по делам женщин, в который входят министры и руков</w:t>
      </w:r>
      <w:r>
        <w:t>о</w:t>
      </w:r>
      <w:r>
        <w:t>дители отраслевых управлений, являющихся подразделениями по связи и коо</w:t>
      </w:r>
      <w:r>
        <w:t>р</w:t>
      </w:r>
      <w:r>
        <w:t>динации с Министерством.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60" w:lineRule="exact"/>
        <w:ind w:left="1980" w:right="1267" w:hanging="713"/>
        <w:rPr>
          <w:b/>
        </w:rPr>
      </w:pPr>
      <w:r>
        <w:rPr>
          <w:b/>
        </w:rPr>
        <w:t>2.1.1.</w:t>
      </w:r>
      <w:r>
        <w:rPr>
          <w:b/>
        </w:rPr>
        <w:tab/>
        <w:t>Организационно-правовое закрепление национального механизма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Как в свою бытность департаментом, так и в нынешнем виде министерства этот национальный механизм участвует в различных процессах организацио</w:t>
      </w:r>
      <w:r>
        <w:t>н</w:t>
      </w:r>
      <w:r>
        <w:t>ного строительства. С 1996 года до наших дней из 17 программ и проектов, осуществляемых под эгидой международных учреждений по вопросам сотру</w:t>
      </w:r>
      <w:r>
        <w:t>д</w:t>
      </w:r>
      <w:r>
        <w:t>ничества, четыре направлено на общее организационное укрепление Департ</w:t>
      </w:r>
      <w:r>
        <w:t>а</w:t>
      </w:r>
      <w:r>
        <w:t>мента по улучшению положения женщин/Министерства по делам женщин (из которых один уже завершен, а три находятся в стадии осуществления).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Приоритетными задачами организационного укрепления являются следу</w:t>
      </w:r>
      <w:r>
        <w:t>ю</w:t>
      </w:r>
      <w:r>
        <w:t>щие: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расширение круга ведения ДУПЖ за счет создания Министерства по делам женщин (МДЖ),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проведение децентрализации за счет создания провинциальных и муниц</w:t>
      </w:r>
      <w:r>
        <w:t>и</w:t>
      </w:r>
      <w:r>
        <w:t>пальных управлений по делам женщин (ПМУЖ),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укрепление МДЖ и его ПМУЖ,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внутренняя перестройка и повышение квалификации сотрудников,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участие в работе механизмов планирования/принятия решений, в принятии и разработке стратегически важных решений,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повышение осведомленности, уровня знаний и информирование техническ</w:t>
      </w:r>
      <w:r>
        <w:t>о</w:t>
      </w:r>
      <w:r>
        <w:t>го персонала и сотрудников, ответственных за принятие решений в государс</w:t>
      </w:r>
      <w:r>
        <w:t>т</w:t>
      </w:r>
      <w:r>
        <w:t>венных органах.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Другие программы и проекты касаются основных причин насилия, окр</w:t>
      </w:r>
      <w:r>
        <w:t>у</w:t>
      </w:r>
      <w:r>
        <w:t>жающей среды, производства и создания доходов (посредством кредитования, повышения квалификации работников и оказания технической помощи) сел</w:t>
      </w:r>
      <w:r>
        <w:t>ь</w:t>
      </w:r>
      <w:r>
        <w:t>ских женщин, повышения информированности о правах женщин. В этой связи осуществляются три проекта в сфере производства и создания доходов, каждый из которых рассчитан на четыре</w:t>
      </w:r>
      <w:r>
        <w:noBreakHyphen/>
        <w:t>пять лет и связан с микро-, малыми и средн</w:t>
      </w:r>
      <w:r>
        <w:t>и</w:t>
      </w:r>
      <w:r>
        <w:t>ми предприятиями.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период, охватываемый настоящим докладом, основные мероприятия ДУПЖ/МДЖ заключались в следующем: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борьба с нищетой, направленная на снижение уровня нищеты,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повышение роли доминиканских женщин за счет воспитания женщин-лидеров и участия женщин в директивных органах,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образование, общение и культура,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меры в области борьбы с насилием и здравоохранения, направленные на пр</w:t>
      </w:r>
      <w:r>
        <w:t>е</w:t>
      </w:r>
      <w:r>
        <w:t>дупреждение и искоренение гендерного насилия и наказание за него.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Эти основные мероприятия осуществляются в рамках глобальных стратегий координации деятельности с гражданским обществом, при поддержке со ст</w:t>
      </w:r>
      <w:r>
        <w:t>о</w:t>
      </w:r>
      <w:r>
        <w:t>роны международных учреждений по вопросам сотрудничества и при участии государственных учреждений в их соответствующих сферах компетенции (хотя на сегодняшний день это участие, за исключением сфер здравоохранения и о</w:t>
      </w:r>
      <w:r>
        <w:t>б</w:t>
      </w:r>
      <w:r>
        <w:t>разования, носит весьма поверхностный характер).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i/>
          <w:u w:val="single"/>
        </w:rPr>
      </w:pPr>
      <w:r>
        <w:rPr>
          <w:i/>
          <w:u w:val="single"/>
        </w:rPr>
        <w:t>Услуги, предоставляемые Министерством по делам женщин (МДЖ</w:t>
      </w:r>
      <w:r>
        <w:rPr>
          <w:i/>
        </w:rPr>
        <w:t>):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услуги адвокатов, специализирующихся на вопросах насилия в отношении женщин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оказание помощи прокуратуре в проведении оценок психологического с</w:t>
      </w:r>
      <w:r>
        <w:t>о</w:t>
      </w:r>
      <w:r>
        <w:t>стояния женщин, подвергшихся насилию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организация обучения и повышение осведомленности в гендерных вопросах и вопросах, связанных с условиями жизни и положением женщин, рассчита</w:t>
      </w:r>
      <w:r>
        <w:t>н</w:t>
      </w:r>
      <w:r>
        <w:t>ные на сотрудников и технический персонал государственного сектора и стр</w:t>
      </w:r>
      <w:r>
        <w:t>а</w:t>
      </w:r>
      <w:r>
        <w:t>тегических неправительственных отраслей: политических руководителей, с</w:t>
      </w:r>
      <w:r>
        <w:t>о</w:t>
      </w:r>
      <w:r>
        <w:t>трудников, женских НПО, женских организаций, низовых организаций и о</w:t>
      </w:r>
      <w:r>
        <w:t>б</w:t>
      </w:r>
      <w:r>
        <w:t>щинных групп, профессиональных союзов в провинциях и общинах страны. Кроме того, организация обучения на внутриучрежденческом уровне сотрудн</w:t>
      </w:r>
      <w:r>
        <w:t>и</w:t>
      </w:r>
      <w:r>
        <w:t>ков центрального аппарата и провинциальных управлений. На этом уровне особо следует отметить обучение специалистов-инструкторов по вопросам разработки и анализа государственной политики, учитывающей гендерный фактор, мероприятия по повышению осведомленности, информированию и о</w:t>
      </w:r>
      <w:r>
        <w:t>р</w:t>
      </w:r>
      <w:r>
        <w:t>ганизации сетей в рамках государственных учреждений, которые состоялись в этом году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Национальная программа предупреждения насилия в отношении женщин и борьбы с ней (см. 3.5.6.3).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  <w:lang w:val="en-GB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980" w:right="1267" w:hanging="713"/>
      </w:pPr>
      <w:r>
        <w:rPr>
          <w:b/>
        </w:rPr>
        <w:t>2.1.2.</w:t>
      </w:r>
      <w:r>
        <w:rPr>
          <w:b/>
        </w:rPr>
        <w:tab/>
        <w:t xml:space="preserve">Провинциальные и муниципальные управления </w:t>
      </w:r>
      <w:r>
        <w:rPr>
          <w:b/>
        </w:rPr>
        <w:br/>
        <w:t>по делам женщин (ПМУЖ)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980" w:right="1267" w:hanging="713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общей сложности насчитывается 48 ПМУЖ, которые расположены во всех регионах страны и занимаются решением вопросов гендерного равенства в о</w:t>
      </w:r>
      <w:r>
        <w:t>б</w:t>
      </w:r>
      <w:r>
        <w:t>щинах. В июне 2000 года насчитывалось 11 ПМУЖ и предусматривалось, что к концу пятилетия 2000</w:t>
      </w:r>
      <w:r>
        <w:noBreakHyphen/>
        <w:t>2004 годов в большинстве из 30 провинций и 125 муниципалитетов будут отделения, отвечающие за решение вопросов ге</w:t>
      </w:r>
      <w:r>
        <w:t>н</w:t>
      </w:r>
      <w:r>
        <w:t>дерного равенства. В процессе укрепления функции этих отделений направл</w:t>
      </w:r>
      <w:r>
        <w:t>е</w:t>
      </w:r>
      <w:r>
        <w:t>ны главным образом на: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проведение мероприятий по повышению осведомленности и обучению по гендерным вопросам, рассчитанных на женские организации, широкую общ</w:t>
      </w:r>
      <w:r>
        <w:t>е</w:t>
      </w:r>
      <w:r>
        <w:t>ственность, а также работающий в них персонал</w:t>
      </w:r>
      <w:r>
        <w:rPr>
          <w:rStyle w:val="FootnoteReference"/>
        </w:rPr>
        <w:footnoteReference w:id="12"/>
      </w:r>
      <w:r>
        <w:t>; вопросам насилия в семье, участия в политической и общественной жизни;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организацию школ производственного обучения двух видов: традиционным специальностям, которые пользуются повышенным спросом у женщин (кройка и шитье, косметика, кондитерское дело, выпечка хлеба, ремесла и</w:t>
      </w:r>
      <w:r>
        <w:rPr>
          <w:lang w:val="en-GB"/>
        </w:rPr>
        <w:t> </w:t>
      </w:r>
      <w:r>
        <w:t>т.д.), и сп</w:t>
      </w:r>
      <w:r>
        <w:t>е</w:t>
      </w:r>
      <w:r>
        <w:t>циальностям нетрадиционным (плотницкое дело, электротехника, сантехника). Эти школы работают по соглашению между Министерством по делам женщин (МДЖ) и Национальным профессионально-техническим институтом (НПТИ). По</w:t>
      </w:r>
      <w:r>
        <w:rPr>
          <w:lang w:val="en-GB"/>
        </w:rPr>
        <w:t> </w:t>
      </w:r>
      <w:r>
        <w:t>окончании производственного обучения предусматривается учеба в НПТИ по вопросам руководства производственными проектами. Данный курс в сл</w:t>
      </w:r>
      <w:r>
        <w:t>у</w:t>
      </w:r>
      <w:r>
        <w:t>чае необходимости включает и обучение женщин грамоте;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осуществление производственных проектов и проектов создания экономич</w:t>
      </w:r>
      <w:r>
        <w:t>е</w:t>
      </w:r>
      <w:r>
        <w:t>ских ресурсов, которым оказывается поддержка по соглашению между Мин</w:t>
      </w:r>
      <w:r>
        <w:t>и</w:t>
      </w:r>
      <w:r>
        <w:t>стерством по делам женщин (МДЖ) и Программой в интересах микро-, малых и средних предприятий (ПРОМИПИМЕ), в рамках которых женщины для ос</w:t>
      </w:r>
      <w:r>
        <w:t>у</w:t>
      </w:r>
      <w:r>
        <w:t>ществления своих производственных проектов получают кредит.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</w:pPr>
      <w:r>
        <w:t>Таблица 5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</w:pPr>
      <w:r>
        <w:rPr>
          <w:b/>
        </w:rPr>
        <w:t xml:space="preserve">Число провинциальных и муниципальных отделений по делам женщин </w:t>
      </w:r>
      <w:r>
        <w:rPr>
          <w:b/>
          <w:lang w:val="en-US"/>
        </w:rPr>
        <w:br/>
      </w:r>
      <w:r>
        <w:rPr>
          <w:b/>
        </w:rPr>
        <w:t>по регионам. Министерство по делам женщин (МДЖ), декабрь 2001 года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935"/>
        <w:gridCol w:w="1785"/>
        <w:gridCol w:w="1785"/>
        <w:gridCol w:w="1785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935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Регион</w:t>
            </w:r>
          </w:p>
        </w:tc>
        <w:tc>
          <w:tcPr>
            <w:tcW w:w="1785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Общее число ПМУЖ</w:t>
            </w:r>
          </w:p>
        </w:tc>
        <w:tc>
          <w:tcPr>
            <w:tcW w:w="1785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Провинциальные</w:t>
            </w:r>
          </w:p>
        </w:tc>
        <w:tc>
          <w:tcPr>
            <w:tcW w:w="1785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Муниципальные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93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</w:pPr>
            <w:r>
              <w:t>Юг/юго-запад</w:t>
            </w:r>
          </w:p>
        </w:tc>
        <w:tc>
          <w:tcPr>
            <w:tcW w:w="17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8</w:t>
            </w:r>
          </w:p>
        </w:tc>
        <w:tc>
          <w:tcPr>
            <w:tcW w:w="17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6</w:t>
            </w:r>
          </w:p>
        </w:tc>
        <w:tc>
          <w:tcPr>
            <w:tcW w:w="17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93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Восток</w:t>
            </w:r>
          </w:p>
        </w:tc>
        <w:tc>
          <w:tcPr>
            <w:tcW w:w="17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6</w:t>
            </w:r>
          </w:p>
        </w:tc>
        <w:tc>
          <w:tcPr>
            <w:tcW w:w="17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6</w:t>
            </w:r>
          </w:p>
        </w:tc>
        <w:tc>
          <w:tcPr>
            <w:tcW w:w="17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93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Север</w:t>
            </w:r>
          </w:p>
        </w:tc>
        <w:tc>
          <w:tcPr>
            <w:tcW w:w="17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23</w:t>
            </w:r>
          </w:p>
        </w:tc>
        <w:tc>
          <w:tcPr>
            <w:tcW w:w="17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13</w:t>
            </w:r>
          </w:p>
        </w:tc>
        <w:tc>
          <w:tcPr>
            <w:tcW w:w="17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935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785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right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785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right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785" w:type="dxa"/>
            <w:tcBorders>
              <w:top w:val="single" w:sz="6" w:space="0" w:color="auto"/>
              <w:bottom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right"/>
              <w:rPr>
                <w:b/>
              </w:rPr>
            </w:pPr>
            <w:r>
              <w:rPr>
                <w:b/>
              </w:rPr>
              <w:t>12</w:t>
            </w:r>
          </w:p>
        </w:tc>
      </w:tr>
    </w:tbl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980" w:right="1267" w:hanging="713"/>
        <w:rPr>
          <w:b/>
          <w:sz w:val="24"/>
        </w:rPr>
      </w:pPr>
      <w:r>
        <w:rPr>
          <w:b/>
          <w:sz w:val="28"/>
        </w:rPr>
        <w:t>2.2.</w:t>
      </w:r>
      <w:r>
        <w:rPr>
          <w:b/>
          <w:sz w:val="28"/>
        </w:rPr>
        <w:tab/>
        <w:t>Национальные инструменты решения проблем гендерного равенс</w:t>
      </w:r>
      <w:r>
        <w:rPr>
          <w:b/>
          <w:sz w:val="28"/>
        </w:rPr>
        <w:t>т</w:t>
      </w:r>
      <w:r>
        <w:rPr>
          <w:b/>
          <w:sz w:val="28"/>
        </w:rPr>
        <w:t>ва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координации с женскими организациями и институтами гражданского о</w:t>
      </w:r>
      <w:r>
        <w:t>б</w:t>
      </w:r>
      <w:r>
        <w:t>щества и государственного сектора Министерство по делам женщин (МДЖ) разработало следующие инструменты решения проблем гендерного равенства: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</w:r>
      <w:r>
        <w:rPr>
          <w:b/>
        </w:rPr>
        <w:t>Гендерные показатели реформирования и модернизации государства</w:t>
      </w:r>
      <w:r>
        <w:t>, з</w:t>
      </w:r>
      <w:r>
        <w:t>а</w:t>
      </w:r>
      <w:r>
        <w:t>фиксированные МДЖ в 1999 году</w:t>
      </w:r>
      <w:r>
        <w:rPr>
          <w:rStyle w:val="FootnoteReference"/>
        </w:rPr>
        <w:footnoteReference w:id="13"/>
      </w:r>
      <w:r>
        <w:t xml:space="preserve"> в тех областях, где учет факторов генде</w:t>
      </w:r>
      <w:r>
        <w:t>р</w:t>
      </w:r>
      <w:r>
        <w:t>ного равенства в наибольшей степени отвечает интересам женщин и имеет стратегическое значение для деятельности МДЖ и женского движения. К шести отобранным областям относились: система планирования, сектор ст</w:t>
      </w:r>
      <w:r>
        <w:t>а</w:t>
      </w:r>
      <w:r>
        <w:t>тистики, судебная власть, система образования, сектор здравоохранения и с</w:t>
      </w:r>
      <w:r>
        <w:t>о</w:t>
      </w:r>
      <w:r>
        <w:t>циальной защиты, сельскохозяйственный сектор. В целом полученные данные свидетельствовали о том, что: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в процессе реформирования и модернизации, а также в учреждениях, служ</w:t>
      </w:r>
      <w:r>
        <w:t>а</w:t>
      </w:r>
      <w:r>
        <w:t>щих Министерству ориентирами, сложилось понимание важного значения ге</w:t>
      </w:r>
      <w:r>
        <w:t>н</w:t>
      </w:r>
      <w:r>
        <w:t>дерной проблемы;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успешное отражение гендерной проблематики в процессах реформирования и модернизации государства гарантировано лишь в том случае, если оно сопр</w:t>
      </w:r>
      <w:r>
        <w:t>о</w:t>
      </w:r>
      <w:r>
        <w:t>вождается обучением, созданием средств производства и принятием решений по секторам.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</w:r>
      <w:r>
        <w:rPr>
          <w:b/>
        </w:rPr>
        <w:t>Национальный план по вопросам гендерного равенства</w:t>
      </w:r>
      <w:r>
        <w:rPr>
          <w:rStyle w:val="FootnoteReference"/>
        </w:rPr>
        <w:footnoteReference w:id="14"/>
      </w:r>
      <w:r>
        <w:t>, который был разработан в результате консультативного процесса и осуществлен в период с января 1999 года по март 2000 года при участии 26 правительственных учре</w:t>
      </w:r>
      <w:r>
        <w:t>ж</w:t>
      </w:r>
      <w:r>
        <w:t>дений и 29 организаций и институтов, занимающихся проблемами женщин. План предусматривает проведение мероприятий в семи областях: коммуник</w:t>
      </w:r>
      <w:r>
        <w:t>а</w:t>
      </w:r>
      <w:r>
        <w:t>ция и культура, образование, экономика, производство и занятость, здрав</w:t>
      </w:r>
      <w:r>
        <w:t>о</w:t>
      </w:r>
      <w:r>
        <w:t>охранение и предупреждение насилия, участие в политической и общественной жизни, законодательство и окружающая среда и устойчивое развитие. Пров</w:t>
      </w:r>
      <w:r>
        <w:t>о</w:t>
      </w:r>
      <w:r>
        <w:t>дится анализ ситуации, ее причин и последствий, определяются приоритеты (результаты), направление действий для достижения этих результатов, опред</w:t>
      </w:r>
      <w:r>
        <w:t>е</w:t>
      </w:r>
      <w:r>
        <w:t>ляются показатели для оценки таких результатов и способы проверки этих п</w:t>
      </w:r>
      <w:r>
        <w:t>о</w:t>
      </w:r>
      <w:r>
        <w:t>казателей.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</w:r>
      <w:r>
        <w:rPr>
          <w:b/>
        </w:rPr>
        <w:t>Оценка хода осуществления Пекинской платформы действий в Домин</w:t>
      </w:r>
      <w:r>
        <w:rPr>
          <w:b/>
        </w:rPr>
        <w:t>и</w:t>
      </w:r>
      <w:r>
        <w:rPr>
          <w:b/>
        </w:rPr>
        <w:t>канской Республике в 1995</w:t>
      </w:r>
      <w:r>
        <w:rPr>
          <w:b/>
        </w:rPr>
        <w:noBreakHyphen/>
        <w:t>2000 годах</w:t>
      </w:r>
      <w:r>
        <w:t>, проведенная в апреле 2000 года 96 институтами и организациями государственного сектора и гражданского общества.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</w:pPr>
      <w:r>
        <w:rPr>
          <w:b/>
          <w:sz w:val="28"/>
        </w:rPr>
        <w:t>2.3.</w:t>
      </w:r>
      <w:r>
        <w:rPr>
          <w:b/>
          <w:sz w:val="28"/>
        </w:rPr>
        <w:tab/>
        <w:t>Координация с гражданским обществом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Одна из задач, возложенных на Министерство по делам женщин (МДЖ) з</w:t>
      </w:r>
      <w:r>
        <w:t>а</w:t>
      </w:r>
      <w:r>
        <w:t>коном о его создании, заключается в координации и согласовании деятельности с гражданским обществом "в целях продвижения в решении задач по обеспеч</w:t>
      </w:r>
      <w:r>
        <w:t>е</w:t>
      </w:r>
      <w:r>
        <w:t>нию равенства мужчин и женщин в сферах участия в политической жизни, м</w:t>
      </w:r>
      <w:r>
        <w:t>о</w:t>
      </w:r>
      <w:r>
        <w:t>дернизации, искоренения нищеты и насилия, образования, культуры, труда и здравоохранения"</w:t>
      </w:r>
      <w:r>
        <w:rPr>
          <w:rStyle w:val="FootnoteReference"/>
        </w:rPr>
        <w:footnoteReference w:id="15"/>
      </w:r>
      <w:r>
        <w:t>. С этой целью определен целый ряд областей для коорд</w:t>
      </w:r>
      <w:r>
        <w:t>и</w:t>
      </w:r>
      <w:r>
        <w:t>нации деятельности, в которой принимают участие МДЖ и организации гра</w:t>
      </w:r>
      <w:r>
        <w:t>ж</w:t>
      </w:r>
      <w:r>
        <w:t>данского общества (ОГО). Насчитывается порядка 18 учреждений, в частности Межведомственный комитет по охране прав женщин-мигрантов, Национал</w:t>
      </w:r>
      <w:r>
        <w:t>ь</w:t>
      </w:r>
      <w:r>
        <w:t>ный комитет по предупреждению насилия и борьбе с ним, Отраслевой совет по делам женщин, Межправительственный комитет по борьбе с детской прост</w:t>
      </w:r>
      <w:r>
        <w:t>и</w:t>
      </w:r>
      <w:r>
        <w:t>туцией, Национальный комитет по вопросам грудного вскармливания, Наци</w:t>
      </w:r>
      <w:r>
        <w:t>о</w:t>
      </w:r>
      <w:r>
        <w:t>нальный комитет по вопросам материнской смертности, Межучрежденческий комитет по вопросам воспитания детей и т.д.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организационных соглашениях, заключенных МДЖ с гражданским общ</w:t>
      </w:r>
      <w:r>
        <w:t>е</w:t>
      </w:r>
      <w:r>
        <w:t>ством в период с 1996 года по июнь 2001 года, предусматривается обмен пре</w:t>
      </w:r>
      <w:r>
        <w:t>д</w:t>
      </w:r>
      <w:r>
        <w:t>лагаемыми на взаимной основе услугами, которые практически всегда связаны с вопросам гендерного обучения на микро- и малых предприятиях, общинного образования и проблемами здравоохранения и предупреждения насилия, пр</w:t>
      </w:r>
      <w:r>
        <w:t>о</w:t>
      </w:r>
      <w:r>
        <w:t>ектами создания рабочих мест. Все эти вопросы рассматриваются с учетом гендерного фактора. К числу других областей деятельности относятся содейс</w:t>
      </w:r>
      <w:r>
        <w:t>т</w:t>
      </w:r>
      <w:r>
        <w:t>вие разработке, распространению информации и пропаганде знаний о соотве</w:t>
      </w:r>
      <w:r>
        <w:t>т</w:t>
      </w:r>
      <w:r>
        <w:t>ствующих законах, помощь в проведении общенациональных кампаний, а также проекты создания кредитного портфеля и управления им. Кроме того, предусматривается координация общинных мероприятий со стороны ОГО в целях решения практических вопросов, связанных с получением помощи от МДЖ. Запланировано также консультирование базовых организаций по вопр</w:t>
      </w:r>
      <w:r>
        <w:t>о</w:t>
      </w:r>
      <w:r>
        <w:t>сам законодательства и имеющихся механизмов защиты прав женщин, а также обмен статистической информацией в соответствующих сферах компетенции ОГО.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</w:r>
      <w:r>
        <w:rPr>
          <w:b/>
        </w:rPr>
        <w:t>Соглашения с государственным сектором</w:t>
      </w:r>
      <w:r>
        <w:t xml:space="preserve"> касаются определения сфер к</w:t>
      </w:r>
      <w:r>
        <w:t>о</w:t>
      </w:r>
      <w:r>
        <w:t>ординации в целях обучения и подготовки сотрудников и технического перс</w:t>
      </w:r>
      <w:r>
        <w:t>о</w:t>
      </w:r>
      <w:r>
        <w:t>нала по гендерным вопросам. Они предусматривают также определение, разр</w:t>
      </w:r>
      <w:r>
        <w:t>а</w:t>
      </w:r>
      <w:r>
        <w:t>ботку и содействие проведению гендерной политики в государственном сект</w:t>
      </w:r>
      <w:r>
        <w:t>о</w:t>
      </w:r>
      <w:r>
        <w:t>ре, обмен информацией, разработку стратегий, программ и проектов, напра</w:t>
      </w:r>
      <w:r>
        <w:t>в</w:t>
      </w:r>
      <w:r>
        <w:t>ленных на расширение участия женщин. Среди рассматриваемых вопросов - оказание содействия в решении вопросов гендерного равенства в связи с пр</w:t>
      </w:r>
      <w:r>
        <w:t>о</w:t>
      </w:r>
      <w:r>
        <w:t>цессами координации, разработки и осуществления программ развития, обуч</w:t>
      </w:r>
      <w:r>
        <w:t>е</w:t>
      </w:r>
      <w:r>
        <w:t>ние инструкторов, помощь в пересмотре юридических положений законод</w:t>
      </w:r>
      <w:r>
        <w:t>а</w:t>
      </w:r>
      <w:r>
        <w:t>тельства с целью искоренения дискриминации в отношении женщин. В рамках борьбы с нищетой предусматриваются производственные и кооперативные проекты в интересах женщин - глав домашних хозяйств и престарелых, а также проведение обзоров положения дел в области гендерного равенства при пров</w:t>
      </w:r>
      <w:r>
        <w:t>е</w:t>
      </w:r>
      <w:r>
        <w:t xml:space="preserve">дении реформ в государственном секторе.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</w:rPr>
      </w:pPr>
      <w:r>
        <w:rPr>
          <w:b/>
          <w:sz w:val="28"/>
        </w:rPr>
        <w:t>2.4.</w:t>
      </w:r>
      <w:r>
        <w:rPr>
          <w:b/>
          <w:sz w:val="28"/>
        </w:rPr>
        <w:tab/>
        <w:t>Данные с разбивкой по признаку пола</w:t>
      </w:r>
      <w:r>
        <w:rPr>
          <w:rStyle w:val="FootnoteReference"/>
          <w:b/>
        </w:rPr>
        <w:footnoteReference w:id="16"/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Несмотря на трудности, которые до сих пор встречаются на пути включения гендерного фактора в процесс сбора национальной статистики, следует отм</w:t>
      </w:r>
      <w:r>
        <w:t>е</w:t>
      </w:r>
      <w:r>
        <w:t>тить определенные успехи, достигнутые за рассматриваемый период.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аппарате Национального статистического управления в 1997 году был со</w:t>
      </w:r>
      <w:r>
        <w:t>з</w:t>
      </w:r>
      <w:r>
        <w:t>дан Отдел демографической, социальной и культурной статистики, касающейся женщин, задача которого заключается в обработке социально-демографических и экономических статистических данных, касающихся женщин Доминиканской Республики. Его работа позволяет получить статистические показатели по этой части населения страны.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Статистические данные с разбивкой по признаку пола предоставляют Мин</w:t>
      </w:r>
      <w:r>
        <w:t>и</w:t>
      </w:r>
      <w:r>
        <w:t>стерство образования и Министерство здравоохранения. Министерство образ</w:t>
      </w:r>
      <w:r>
        <w:t>о</w:t>
      </w:r>
      <w:r>
        <w:t>вания оперативно обрабатывает и публикует ежегодные статистические да</w:t>
      </w:r>
      <w:r>
        <w:t>н</w:t>
      </w:r>
      <w:r>
        <w:t>ные, касающиеся обучения; Министерство здравоохранения достигло сущес</w:t>
      </w:r>
      <w:r>
        <w:t>т</w:t>
      </w:r>
      <w:r>
        <w:t>венных результатов в создании национальной информационной системы по в</w:t>
      </w:r>
      <w:r>
        <w:t>о</w:t>
      </w:r>
      <w:r>
        <w:t>просам эпидемиологического мониторинга благодаря систематизации наци</w:t>
      </w:r>
      <w:r>
        <w:t>о</w:t>
      </w:r>
      <w:r>
        <w:t>нальных норм мониторинга, для которых базовым показателем является пер</w:t>
      </w:r>
      <w:r>
        <w:t>е</w:t>
      </w:r>
      <w:r>
        <w:t>менный показатель с разбивкой по признаку пола. При это учитывается мл</w:t>
      </w:r>
      <w:r>
        <w:t>а</w:t>
      </w:r>
      <w:r>
        <w:t xml:space="preserve">денческая и материнская смертность, количество живорождений и т.д.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Переменный показатель с разбивкой по полу включен также в проводимый Центральным банком национальный обзор расходов и доходов домашних х</w:t>
      </w:r>
      <w:r>
        <w:t>о</w:t>
      </w:r>
      <w:r>
        <w:t>зяйств.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Вместе с тем, наиболее значительным вкладом в решение вопросов получ</w:t>
      </w:r>
      <w:r>
        <w:t>е</w:t>
      </w:r>
      <w:r>
        <w:t>ния статистических данных с разбивкой по признаку пола является работа М</w:t>
      </w:r>
      <w:r>
        <w:t>и</w:t>
      </w:r>
      <w:r>
        <w:t>нистерства по делам женщин (МДЖ). В этой связи следует отметить следу</w:t>
      </w:r>
      <w:r>
        <w:t>ю</w:t>
      </w:r>
      <w:r>
        <w:t>щие результаты, достигнутые за рассматриваемый период: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публикация в апреле 2000 года серии из шести ранее упоминавшихся генде</w:t>
      </w:r>
      <w:r>
        <w:t>р</w:t>
      </w:r>
      <w:r>
        <w:t>ных показателей в рамках реформирования и модернизации государства;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публикация в июне 2000 года книги "Статистические данные для обществе</w:t>
      </w:r>
      <w:r>
        <w:t>н</w:t>
      </w:r>
      <w:r>
        <w:t>ного планирования с учетом гендерного фактора", содержащей последние св</w:t>
      </w:r>
      <w:r>
        <w:t>е</w:t>
      </w:r>
      <w:r>
        <w:t>дения о численности населения и числе домашних хозяйств, участии в экон</w:t>
      </w:r>
      <w:r>
        <w:t>о</w:t>
      </w:r>
      <w:r>
        <w:t>мической и политической жизни, а также информацию по вопросам образов</w:t>
      </w:r>
      <w:r>
        <w:t>а</w:t>
      </w:r>
      <w:r>
        <w:t>ния, здравоохранения и борьбы с насилием;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включение гендерных вопросов в восьмую сельскохозяйственную перепись, проведенную Министерством сельского хозяйства при поддержке МДЖ, в ц</w:t>
      </w:r>
      <w:r>
        <w:t>е</w:t>
      </w:r>
      <w:r>
        <w:t>лях получения данных с разбивкой по признаку пола и обработки результатов с учетом гендерного фактора.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частном секторе также произошли серьезные изменения, выявленные при анализе результатов основных национальных обследований (обследование в области демографии и здравоохранения (ОДЗ), более известное как ЭНДЕСА</w:t>
      </w:r>
      <w:r>
        <w:rPr>
          <w:rStyle w:val="FootnoteReference"/>
        </w:rPr>
        <w:footnoteReference w:id="17"/>
      </w:r>
      <w:r>
        <w:t>, национальное обследование по вопросам политической и демографической культуры, известное как ДЕМОС</w:t>
      </w:r>
      <w:r>
        <w:rPr>
          <w:rStyle w:val="FootnoteReference"/>
        </w:rPr>
        <w:footnoteReference w:id="18"/>
      </w:r>
      <w:r>
        <w:t xml:space="preserve"> и т.д.), в рамках которых на все более си</w:t>
      </w:r>
      <w:r>
        <w:t>с</w:t>
      </w:r>
      <w:r>
        <w:t>тематической основе не только проводится анализ с учетом гендерного факт</w:t>
      </w:r>
      <w:r>
        <w:t>о</w:t>
      </w:r>
      <w:r>
        <w:t>ра, но и обеспечивается отражение гендерных проблем начиная с этапа разр</w:t>
      </w:r>
      <w:r>
        <w:t>а</w:t>
      </w:r>
      <w:r>
        <w:t>ботки, что позволяет вести поиск творческих форм, уже прошедших апробацию в процессе сбора информации.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u w:val="single"/>
          <w:lang w:val="en-GB"/>
        </w:rPr>
      </w:pPr>
      <w:r>
        <w:rPr>
          <w:u w:val="single"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  <w:sz w:val="28"/>
        </w:rPr>
      </w:pPr>
      <w:r>
        <w:rPr>
          <w:b/>
          <w:sz w:val="28"/>
        </w:rPr>
        <w:t>ГЛАВА III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rPr>
          <w:b/>
          <w:sz w:val="28"/>
        </w:rPr>
      </w:pPr>
      <w:r>
        <w:rPr>
          <w:b/>
          <w:sz w:val="28"/>
        </w:rPr>
        <w:t>ОСУЩЕСТВЛЕНИЕ ПОЛОЖЕНИЙ КОНВЕНЦИИ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2693" w:right="1267" w:hanging="1426"/>
        <w:rPr>
          <w:b/>
        </w:rPr>
      </w:pPr>
      <w:r>
        <w:rPr>
          <w:b/>
          <w:sz w:val="28"/>
        </w:rPr>
        <w:t>3.1. и 3.2.</w:t>
      </w:r>
      <w:r>
        <w:rPr>
          <w:b/>
          <w:sz w:val="28"/>
        </w:rPr>
        <w:tab/>
        <w:t>Статьи 1, 2. Дискриминация в отношении женщин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Достигнутые за рассматриваемый период результаты в области ликвидации дискриминации в отношении женщин можно сгруппировать по четырем аспе</w:t>
      </w:r>
      <w:r>
        <w:t>к</w:t>
      </w:r>
      <w:r>
        <w:t>там.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 xml:space="preserve">В первую группу входят </w:t>
      </w:r>
      <w:r>
        <w:rPr>
          <w:b/>
        </w:rPr>
        <w:t>законодательные и правовые реформы</w:t>
      </w:r>
      <w:r>
        <w:rPr>
          <w:rStyle w:val="FootnoteReference"/>
          <w:b/>
        </w:rPr>
        <w:footnoteReference w:id="19"/>
      </w:r>
      <w:r>
        <w:t>, осущ</w:t>
      </w:r>
      <w:r>
        <w:t>е</w:t>
      </w:r>
      <w:r>
        <w:t>ствляемые путем введения в силу и применения законов, закрепляющих и ра</w:t>
      </w:r>
      <w:r>
        <w:t>с</w:t>
      </w:r>
      <w:r>
        <w:t xml:space="preserve">ширяющих права женщин. В период с января 1998 по сентябрь 2001 года было принято семь законов, способствующих применению КЛДЖ, и, говоря более конкретно, благоприятно сказывающихся на положении мигрантов, ситуации в области здравоохранения, социальной защищенности и на участии женщин в политической жизни.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 xml:space="preserve">Второй аспект касается </w:t>
      </w:r>
      <w:r>
        <w:rPr>
          <w:b/>
        </w:rPr>
        <w:t>создания механизмов и разработки программ, прямо или косвенно связанных с вопросами улучшения ситуации и пол</w:t>
      </w:r>
      <w:r>
        <w:rPr>
          <w:b/>
        </w:rPr>
        <w:t>о</w:t>
      </w:r>
      <w:r>
        <w:rPr>
          <w:b/>
        </w:rPr>
        <w:t>жения женщин</w:t>
      </w:r>
      <w:r>
        <w:t>. К ним относятся: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</w:r>
      <w:r>
        <w:rPr>
          <w:b/>
        </w:rPr>
        <w:t>программы, сферы деятельности и проекты, которые реализуются в и</w:t>
      </w:r>
      <w:r>
        <w:rPr>
          <w:b/>
        </w:rPr>
        <w:t>н</w:t>
      </w:r>
      <w:r>
        <w:rPr>
          <w:b/>
        </w:rPr>
        <w:t>тересах женщин в государственном секторе</w:t>
      </w:r>
      <w:r>
        <w:t>. В государственных учрежден</w:t>
      </w:r>
      <w:r>
        <w:t>и</w:t>
      </w:r>
      <w:r>
        <w:t>ях ведется работа примерно по 20 программам, направленным на решение о</w:t>
      </w:r>
      <w:r>
        <w:t>с</w:t>
      </w:r>
      <w:r>
        <w:t>новных проблем в области образования, профессионального обучения, здрав</w:t>
      </w:r>
      <w:r>
        <w:t>о</w:t>
      </w:r>
      <w:r>
        <w:t>охранения, производства и кредитования, планирования, предупреждения н</w:t>
      </w:r>
      <w:r>
        <w:t>а</w:t>
      </w:r>
      <w:r>
        <w:t>силия и т.д., большинство которых разработаны в последние пять лет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</w:r>
      <w:r>
        <w:rPr>
          <w:b/>
        </w:rPr>
        <w:t>программы и проекты, реализуемые организациями гражданского общ</w:t>
      </w:r>
      <w:r>
        <w:rPr>
          <w:b/>
        </w:rPr>
        <w:t>е</w:t>
      </w:r>
      <w:r>
        <w:rPr>
          <w:b/>
        </w:rPr>
        <w:t>ства в интересах создания правового государства для женщин</w:t>
      </w:r>
      <w:r>
        <w:t>. Только под эгидой Координационного органа НПО по женскому вопросу функционируют 25 организаций-членов, занимающихся вопросами защиты, содействия осущ</w:t>
      </w:r>
      <w:r>
        <w:t>е</w:t>
      </w:r>
      <w:r>
        <w:t>ствлению и продвижению прав женщин с учетом перспективы физического, духовного и интеллектуального развития.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</w:r>
      <w:r>
        <w:rPr>
          <w:b/>
        </w:rPr>
        <w:t>механизмы внутриотраслевой, межотраслевой и межведомственной к</w:t>
      </w:r>
      <w:r>
        <w:rPr>
          <w:b/>
        </w:rPr>
        <w:t>о</w:t>
      </w:r>
      <w:r>
        <w:rPr>
          <w:b/>
        </w:rPr>
        <w:t>ординации по вопросам, которыми занимается государственный сектор и гражданское общество</w:t>
      </w:r>
      <w:r>
        <w:rPr>
          <w:rStyle w:val="FootnoteReference"/>
        </w:rPr>
        <w:footnoteReference w:id="20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 xml:space="preserve">Третий аспект связан с </w:t>
      </w:r>
      <w:r>
        <w:rPr>
          <w:b/>
        </w:rPr>
        <w:t>разработкой и подготовкой документов, требу</w:t>
      </w:r>
      <w:r>
        <w:rPr>
          <w:b/>
        </w:rPr>
        <w:t>ю</w:t>
      </w:r>
      <w:r>
        <w:rPr>
          <w:b/>
        </w:rPr>
        <w:t>щих принятия мер</w:t>
      </w:r>
      <w:r>
        <w:t xml:space="preserve"> и уже упоминавшихся выше</w:t>
      </w:r>
      <w:r>
        <w:rPr>
          <w:rStyle w:val="FootnoteReference"/>
        </w:rPr>
        <w:footnoteReference w:id="21"/>
      </w:r>
      <w:r>
        <w:t>: Национального плана по вопросам гендерного равенства, Оценки хода осуществления Пекинской пла</w:t>
      </w:r>
      <w:r>
        <w:t>т</w:t>
      </w:r>
      <w:r>
        <w:t>формы действий в Доминиканской Республике в 1995</w:t>
      </w:r>
      <w:r>
        <w:noBreakHyphen/>
        <w:t>2000 годах; документов, разработанных после начала сотрудничества между НПО по женским вопросам и государственными учреждениями.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 xml:space="preserve">Четвертый аспект касается </w:t>
      </w:r>
      <w:r>
        <w:rPr>
          <w:b/>
        </w:rPr>
        <w:t>конкретных мер защиты и содействия осущ</w:t>
      </w:r>
      <w:r>
        <w:rPr>
          <w:b/>
        </w:rPr>
        <w:t>е</w:t>
      </w:r>
      <w:r>
        <w:rPr>
          <w:b/>
        </w:rPr>
        <w:t>ствлению прав человека женщин</w:t>
      </w:r>
      <w:r>
        <w:t>, таких как создание в других городах стр</w:t>
      </w:r>
      <w:r>
        <w:t>а</w:t>
      </w:r>
      <w:r>
        <w:t>ны полицейских отрядов "Друзья женщин" (в Сан</w:t>
      </w:r>
      <w:r>
        <w:noBreakHyphen/>
        <w:t>Франциско</w:t>
      </w:r>
      <w:r>
        <w:noBreakHyphen/>
        <w:t>де</w:t>
      </w:r>
      <w:r>
        <w:noBreakHyphen/>
        <w:t>Макорис, Сантьяго, Вилья</w:t>
      </w:r>
      <w:r>
        <w:noBreakHyphen/>
        <w:t>Альтаграсия и Бани), образование Управления по вопросам содействия реформированию и модернизации системы правосудия, которое з</w:t>
      </w:r>
      <w:r>
        <w:t>а</w:t>
      </w:r>
      <w:r>
        <w:t>нимается вопросами существенного улучшения положения женщин с правовой точки зрения</w:t>
      </w:r>
      <w:r>
        <w:rPr>
          <w:rStyle w:val="FootnoteReference"/>
        </w:rPr>
        <w:footnoteReference w:id="22"/>
      </w:r>
      <w:r>
        <w:t>. Сюда же относятся мероприятия и кампании по распростран</w:t>
      </w:r>
      <w:r>
        <w:t>е</w:t>
      </w:r>
      <w:r>
        <w:t>нию информации о правах женщин, в первую очередь по вопросам насилия и участия в политической жизни.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</w:rPr>
      </w:pPr>
      <w:r>
        <w:rPr>
          <w:b/>
          <w:sz w:val="28"/>
        </w:rPr>
        <w:t>3.3.</w:t>
      </w:r>
      <w:r>
        <w:rPr>
          <w:b/>
          <w:sz w:val="28"/>
        </w:rPr>
        <w:tab/>
        <w:t>Статья 3. Права человека женщин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207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2073" w:right="1267" w:hanging="806"/>
      </w:pPr>
      <w:r>
        <w:rPr>
          <w:b/>
        </w:rPr>
        <w:t>3.3.1.</w:t>
      </w:r>
      <w:r>
        <w:rPr>
          <w:b/>
        </w:rPr>
        <w:tab/>
        <w:t xml:space="preserve">Общая ситуация и тенденции в области насилия </w:t>
      </w:r>
      <w:r>
        <w:rPr>
          <w:b/>
        </w:rPr>
        <w:br/>
        <w:t>в отношении же</w:t>
      </w:r>
      <w:r>
        <w:rPr>
          <w:b/>
        </w:rPr>
        <w:t>н</w:t>
      </w:r>
      <w:r>
        <w:rPr>
          <w:b/>
        </w:rPr>
        <w:t>щин в семье (НЖС)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Во второй половине прошедшего десятилетия отчетливо проявился феномен насилия в отношении женщин в семье, вместе с тем были приняты законод</w:t>
      </w:r>
      <w:r>
        <w:t>а</w:t>
      </w:r>
      <w:r>
        <w:t>тельные акты и созданы механизмы для его предупреждения и искоренения. Были разработаны государственные программы оказания услуг женщинам, ставшим жертвами насилия. Проводится работы по повышению осведомленн</w:t>
      </w:r>
      <w:r>
        <w:t>о</w:t>
      </w:r>
      <w:r>
        <w:t>сти и осознания общественностью этой проблемы, которые придают НЖС о</w:t>
      </w:r>
      <w:r>
        <w:t>б</w:t>
      </w:r>
      <w:r>
        <w:t>щественно-социальный характер. Растет число неправительственных орган</w:t>
      </w:r>
      <w:r>
        <w:t>и</w:t>
      </w:r>
      <w:r>
        <w:t>заций, осуществляющих специальные программы в этой области, укрепляются текущие программы.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Результаты обследования ОДЗ</w:t>
      </w:r>
      <w:r>
        <w:noBreakHyphen/>
        <w:t>99</w:t>
      </w:r>
      <w:r>
        <w:rPr>
          <w:rStyle w:val="FootnoteReference"/>
        </w:rPr>
        <w:footnoteReference w:id="23"/>
      </w:r>
      <w:r>
        <w:t>, в котором рассмотрению вопроса нас</w:t>
      </w:r>
      <w:r>
        <w:t>и</w:t>
      </w:r>
      <w:r>
        <w:t>лия в семье посвящен целый раздел, свидетельствуют о том, что: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жертвой физического насилия со стороны супруга или иного лица станов</w:t>
      </w:r>
      <w:r>
        <w:t>и</w:t>
      </w:r>
      <w:r>
        <w:t>лась третья часть опрошенных женщин, при этом чаще всего этому подверг</w:t>
      </w:r>
      <w:r>
        <w:t>а</w:t>
      </w:r>
      <w:r>
        <w:t>лись женщины, проживающие раздельно и разведенные (51 процент) и прож</w:t>
      </w:r>
      <w:r>
        <w:t>и</w:t>
      </w:r>
      <w:r>
        <w:t>вающие в сельских районах (39 процентов);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13 процентов опрошенных женщин признали, что они в течение последнего года подвергались избиению;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среди женщин, состоявших на момент проведения обследования в официал</w:t>
      </w:r>
      <w:r>
        <w:t>ь</w:t>
      </w:r>
      <w:r>
        <w:t>ном или гражданском браке, 29 процентов становились жертвой того или иного вида физического насилия со стороны супруга или сожителя, 23 процента – психологического насилия и 10 процентов – сексуального насилия;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54 процента женщин, подвергшихся насилию, за помощью и поддержкой не обращались; около 47 процентов из них считали такое обращение бесполезным или необязательным;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в период с января по октябрь 2001 года в стране было зарегистрировано 88 случаев убийства женщин (9 случаев в месяц). В период с сентября 1990 года по октябрь 1999 года было зарегистрировано 938 таких случаев (т.е. 104 случая в год или 9 случаев в месяц)</w:t>
      </w:r>
      <w:r>
        <w:rPr>
          <w:rStyle w:val="FootnoteReference"/>
        </w:rPr>
        <w:footnoteReference w:id="24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</w:rPr>
      </w:pPr>
      <w:r>
        <w:rPr>
          <w:b/>
        </w:rPr>
        <w:t>3.3.2.</w:t>
      </w:r>
      <w:r>
        <w:rPr>
          <w:b/>
        </w:rPr>
        <w:tab/>
        <w:t>Проблемы в применении законодательства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 момента принятия закона в 1997 году создано пять специальных отрядов по охране женщин от НЖС</w:t>
      </w:r>
      <w:r>
        <w:rPr>
          <w:rStyle w:val="FootnoteReference"/>
        </w:rPr>
        <w:footnoteReference w:id="25"/>
      </w:r>
      <w:r>
        <w:t>: в Санто</w:t>
      </w:r>
      <w:r>
        <w:noBreakHyphen/>
        <w:t>Доминго, в поселке Вилья</w:t>
      </w:r>
      <w:r>
        <w:noBreakHyphen/>
        <w:t>Хуана (1997 год), в Сан</w:t>
      </w:r>
      <w:r>
        <w:noBreakHyphen/>
        <w:t>Франциско</w:t>
      </w:r>
      <w:r>
        <w:noBreakHyphen/>
        <w:t>де</w:t>
      </w:r>
      <w:r>
        <w:noBreakHyphen/>
        <w:t>Макорис (1999 год), в Сантьяго (2000</w:t>
      </w:r>
      <w:r>
        <w:rPr>
          <w:lang w:val="en-GB"/>
        </w:rPr>
        <w:t> </w:t>
      </w:r>
      <w:r>
        <w:t>год), в В</w:t>
      </w:r>
      <w:r>
        <w:t>и</w:t>
      </w:r>
      <w:r>
        <w:t>лья</w:t>
      </w:r>
      <w:r>
        <w:noBreakHyphen/>
        <w:t>Альтаграсия (2001 год) и в Бани (2002 год).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процессе применения закона были выявлены следующие проблемы</w:t>
      </w:r>
      <w:r>
        <w:rPr>
          <w:rStyle w:val="FootnoteReference"/>
        </w:rPr>
        <w:footnoteReference w:id="26"/>
      </w:r>
      <w:r>
        <w:t>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ощущается нехватка бюджетных средств у правительственных учреждений, осуществляющих закон;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правильное представление о роли мужчин и женщин с трудом поддается ра</w:t>
      </w:r>
      <w:r>
        <w:t>с</w:t>
      </w:r>
      <w:r>
        <w:t>пространению, при этом персонал прокуратуры и национальной полиции ну</w:t>
      </w:r>
      <w:r>
        <w:t>ж</w:t>
      </w:r>
      <w:r>
        <w:t>дается в обучении по гендерным вопросам;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отмечается отсутствие центров и/или механизмов для перевоспитания му</w:t>
      </w:r>
      <w:r>
        <w:t>ж</w:t>
      </w:r>
      <w:r>
        <w:t>чин, совершивших акты насилия. Вместе с тем, в статье 309</w:t>
      </w:r>
      <w:r>
        <w:noBreakHyphen/>
        <w:t>5 закона</w:t>
      </w:r>
      <w:r>
        <w:rPr>
          <w:lang w:val="en-GB"/>
        </w:rPr>
        <w:t> </w:t>
      </w:r>
      <w:r>
        <w:t>24</w:t>
      </w:r>
      <w:r>
        <w:noBreakHyphen/>
        <w:t>97 предусмотрено обязательное оказание помощи правонарушителям, воспитание у них способности преодолевать агрессивность в отношении женщин;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предложение специальных услуг лицам, подвергшимся насилию, является недостаточным. Это предложение обеспечивается главным образом силами ч</w:t>
      </w:r>
      <w:r>
        <w:t>а</w:t>
      </w:r>
      <w:r>
        <w:t>стного сектора;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отсутствуют места в домах ухода за пострадавшими (что также предусмотр</w:t>
      </w:r>
      <w:r>
        <w:t>е</w:t>
      </w:r>
      <w:r>
        <w:t>но в законе).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50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2073" w:right="1267" w:hanging="806"/>
      </w:pPr>
      <w:r>
        <w:rPr>
          <w:b/>
        </w:rPr>
        <w:t>3.3.3.</w:t>
      </w:r>
      <w:r>
        <w:rPr>
          <w:b/>
        </w:rPr>
        <w:tab/>
        <w:t>Механизмы и средства предупреждения и искоренения НЖС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Следует также отметить создание механизмов и средств для оптимального использования имеющихся ресурсов. Сюда относятся: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создание в ноябре 1998</w:t>
      </w:r>
      <w:r>
        <w:rPr>
          <w:lang w:val="en-GB"/>
        </w:rPr>
        <w:t xml:space="preserve"> </w:t>
      </w:r>
      <w:r>
        <w:t>года Национального комитета по предупреждению насилия в семье и борьбе с ним (КОНАПЛУВИ)</w:t>
      </w:r>
      <w:r>
        <w:rPr>
          <w:rStyle w:val="FootnoteReference"/>
        </w:rPr>
        <w:footnoteReference w:id="27"/>
      </w:r>
      <w:r>
        <w:t>. Его главная задача состоит, с одной стороны, в содействии координации и контролю за проведением пол</w:t>
      </w:r>
      <w:r>
        <w:t>и</w:t>
      </w:r>
      <w:r>
        <w:t>тики, направленной на предупреждение НЖС, а с другой стороны, в контроле за применением законов 24</w:t>
      </w:r>
      <w:r>
        <w:noBreakHyphen/>
        <w:t>97 и 14</w:t>
      </w:r>
      <w:r>
        <w:noBreakHyphen/>
        <w:t>94 (о</w:t>
      </w:r>
      <w:r>
        <w:rPr>
          <w:lang w:val="en-GB"/>
        </w:rPr>
        <w:t> </w:t>
      </w:r>
      <w:r>
        <w:t>борьбе с насилием и защите несове</w:t>
      </w:r>
      <w:r>
        <w:t>р</w:t>
      </w:r>
      <w:r>
        <w:t>шеннолетних), осуществлением ратифицированных страной международных конвенций и межведомственных соглашений, заключенных в рамках Наци</w:t>
      </w:r>
      <w:r>
        <w:t>о</w:t>
      </w:r>
      <w:r>
        <w:t>нального стратегического плана. Разработанный КОНАПЛУВИ Национальный стратегический план включает пять областей деятельности: предупреждение НЖС, меры и механизмы применения закона, оказание помощи жертвам НЖС, общественное и индивидуальное перевоспитание лиц, совершивших акты н</w:t>
      </w:r>
      <w:r>
        <w:t>а</w:t>
      </w:r>
      <w:r>
        <w:t>силия, и оказание психологической помощи лицам, оказывающим услуги по уходу за жертвами НЖС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разработка в рамках экспериментального регионального проекта по вопросу предупреждения НЖС и оказания помощи женщинам, ставшим его жертвами, программы Доминиканской Республики, реализованной в период 1998</w:t>
      </w:r>
      <w:r>
        <w:noBreakHyphen/>
        <w:t>2001 годов Управлением национального планирования</w:t>
      </w:r>
      <w:r>
        <w:rPr>
          <w:rStyle w:val="FootnoteReference"/>
        </w:rPr>
        <w:footnoteReference w:id="28"/>
      </w:r>
      <w:r>
        <w:t xml:space="preserve"> и финансир</w:t>
      </w:r>
      <w:r>
        <w:t>о</w:t>
      </w:r>
      <w:r>
        <w:t>вавшейся Межамериканским банком развития (МАБР). Ее</w:t>
      </w:r>
      <w:r>
        <w:rPr>
          <w:lang w:val="en-GB"/>
        </w:rPr>
        <w:t> </w:t>
      </w:r>
      <w:r>
        <w:t>осуществление пр</w:t>
      </w:r>
      <w:r>
        <w:t>о</w:t>
      </w:r>
      <w:r>
        <w:t>исходило по двум направлениям: оказание помощи и предупреждение и комм</w:t>
      </w:r>
      <w:r>
        <w:t>у</w:t>
      </w:r>
      <w:r>
        <w:t>никативные меры. Данная программа была утверждена министерством по д</w:t>
      </w:r>
      <w:r>
        <w:t>е</w:t>
      </w:r>
      <w:r>
        <w:t>лам женщин, и ее важнейшими результатами являются следующие: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национальные нормы оказания комплексной медицинской помощи женщ</w:t>
      </w:r>
      <w:r>
        <w:t>и</w:t>
      </w:r>
      <w:r>
        <w:t>нам – жертвам НЖС, определяющие общие технические и административные критерии оказания такой помощи на различных уровнях с учетом межведомс</w:t>
      </w:r>
      <w:r>
        <w:t>т</w:t>
      </w:r>
      <w:r>
        <w:t>венного и гендерного факторов;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комплексная система регистрации случаев НЖС;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проведение оценки ситуации, связанной с насилием в семье, в том числе в</w:t>
      </w:r>
      <w:r>
        <w:t>ы</w:t>
      </w:r>
      <w:r>
        <w:t>явление и оценка предложений и качества услуг, оказываемых женщинам – жертвам насилия, и имеющихся программ его предупреждения. Оценка пров</w:t>
      </w:r>
      <w:r>
        <w:t>о</w:t>
      </w:r>
      <w:r>
        <w:t>дилась в двух географических районах: в Лос</w:t>
      </w:r>
      <w:r>
        <w:noBreakHyphen/>
        <w:t>Алькаррисос, Национальный о</w:t>
      </w:r>
      <w:r>
        <w:t>к</w:t>
      </w:r>
      <w:r>
        <w:t>руг, и в провинции Сальседо. Обследование касалось женщин, ставших жер</w:t>
      </w:r>
      <w:r>
        <w:t>т</w:t>
      </w:r>
      <w:r>
        <w:t>вами насилия, мужчин, совершивших акты насилия, и учреждений, предоста</w:t>
      </w:r>
      <w:r>
        <w:t>в</w:t>
      </w:r>
      <w:r>
        <w:t>ляющих соответствующие услуги (государственные и частные организации, предоставляющие помощь женщинам</w:t>
      </w:r>
      <w:r>
        <w:rPr>
          <w:lang w:val="en-GB"/>
        </w:rPr>
        <w:t> </w:t>
      </w:r>
      <w:r>
        <w:t>– жертвам НЖС)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министерство здравоохранения и социальной помощи осуществляет пр</w:t>
      </w:r>
      <w:r>
        <w:t>о</w:t>
      </w:r>
      <w:r>
        <w:t>граммы оказания помощи жертвам насилия в семье и его предупреждения, в частности: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национальную программу борьбы с насилием в семье и сексуальными дом</w:t>
      </w:r>
      <w:r>
        <w:t>о</w:t>
      </w:r>
      <w:r>
        <w:t>гательствами, ответственность за которую возложена на Управление по вопр</w:t>
      </w:r>
      <w:r>
        <w:t>о</w:t>
      </w:r>
      <w:r>
        <w:t>сам психического здоровья;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программы Центра по оказанию помощи женщинам – жертвам плохого обр</w:t>
      </w:r>
      <w:r>
        <w:t>а</w:t>
      </w:r>
      <w:r>
        <w:t>щения, которые позволяют предоставлять женщинам</w:t>
      </w:r>
      <w:r>
        <w:rPr>
          <w:lang w:val="en-GB"/>
        </w:rPr>
        <w:t> </w:t>
      </w:r>
      <w:r>
        <w:t>– жертвам сексуального насилия специализированную помощь: медицинские услуги, связанные с выд</w:t>
      </w:r>
      <w:r>
        <w:t>а</w:t>
      </w:r>
      <w:r>
        <w:t>чей свидетельств о плохом обращении и домогательствах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в сфере правосудия в рамках прокуратуры Национального округа создано о</w:t>
      </w:r>
      <w:r>
        <w:t>т</w:t>
      </w:r>
      <w:r>
        <w:t>деление по делам семьи в составе двух работников, занимающихся оказанием помощи жертвам НЖС. Группа сексуальных домогательств в рамках отделения в среднем рассматривает около 400 случаев в месяц</w:t>
      </w:r>
      <w:r>
        <w:rPr>
          <w:rStyle w:val="FootnoteReference"/>
        </w:rPr>
        <w:footnoteReference w:id="29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национальная программа оказания помощи женщинам, ставшим жертвами насилия и его предупреждения, которую осуществляет отдел борьбы с насил</w:t>
      </w:r>
      <w:r>
        <w:t>и</w:t>
      </w:r>
      <w:r>
        <w:t>ем министерства по делам женщин. Программа включает различные компоне</w:t>
      </w:r>
      <w:r>
        <w:t>н</w:t>
      </w:r>
      <w:r>
        <w:t>ты и направлена на развитие механизмов, позволяющих сократить масштабы насилия в семье и сексуальных домогательств, а также проводить в координ</w:t>
      </w:r>
      <w:r>
        <w:t>а</w:t>
      </w:r>
      <w:r>
        <w:t>ции с различными правительственными и неправительственными организ</w:t>
      </w:r>
      <w:r>
        <w:t>а</w:t>
      </w:r>
      <w:r>
        <w:t>циями мероприятия по сокращению масштабов насилия. Она состоит из двух компонентов: оказание помощи и услуг, с одной стороны, и обучение</w:t>
      </w:r>
      <w:r>
        <w:rPr>
          <w:lang w:val="en-GB"/>
        </w:rPr>
        <w:t xml:space="preserve"> </w:t>
      </w:r>
      <w:r>
        <w:t>– с</w:t>
      </w:r>
      <w:r>
        <w:rPr>
          <w:lang w:val="en-GB"/>
        </w:rPr>
        <w:t> </w:t>
      </w:r>
      <w:r>
        <w:t>др</w:t>
      </w:r>
      <w:r>
        <w:t>у</w:t>
      </w:r>
      <w:r>
        <w:t>гой</w:t>
      </w:r>
      <w:r>
        <w:rPr>
          <w:rStyle w:val="FootnoteReference"/>
        </w:rPr>
        <w:footnoteReference w:id="30"/>
      </w:r>
      <w:r>
        <w:t>. За период с января по октябрь 1999 года отдел рассмотрел 680 случаев</w:t>
      </w:r>
      <w:r>
        <w:rPr>
          <w:rStyle w:val="FootnoteReference"/>
        </w:rPr>
        <w:footnoteReference w:id="31"/>
      </w:r>
      <w:r>
        <w:t xml:space="preserve"> (в среднем по 68 случаев в месяц)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разработка национальной модели оказания помощи жертвам насилия в семье и его предупреждения</w:t>
      </w:r>
      <w:r>
        <w:rPr>
          <w:rStyle w:val="FootnoteReference"/>
        </w:rPr>
        <w:footnoteReference w:id="32"/>
      </w:r>
      <w:r>
        <w:t>. Модель определяет пять стратегических областей для оказания помощи (пропаганда преимуществ семейной жизни без насилия, у</w:t>
      </w:r>
      <w:r>
        <w:t>с</w:t>
      </w:r>
      <w:r>
        <w:t>тановление, пресечение и предупреждение серьезного ущерба, предоставление реальной помощи жертвам, представительство в судах и оказание помощи в вопросах начала жизни в новых условиях). Вместе с тем модель определяет направление работы на общенациональном законодательном, организационном и общинно</w:t>
      </w:r>
      <w:r>
        <w:noBreakHyphen/>
        <w:t>низовом уровнях и определяет по каждой из областей механизмы осуществления, целевую аудиторию и ответственные учреждения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неправительственные организации уже на протяжении более двух десятил</w:t>
      </w:r>
      <w:r>
        <w:t>е</w:t>
      </w:r>
      <w:r>
        <w:t>тий проводят работу по предупреждению насилия в отношении женщин, де</w:t>
      </w:r>
      <w:r>
        <w:t>й</w:t>
      </w:r>
      <w:r>
        <w:t>ствуя на различных направлениях и/или в различных сферах деятельности.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</w:pPr>
      <w:r>
        <w:rPr>
          <w:b/>
          <w:sz w:val="28"/>
        </w:rPr>
        <w:t>3.4.</w:t>
      </w:r>
      <w:r>
        <w:rPr>
          <w:b/>
          <w:sz w:val="28"/>
        </w:rPr>
        <w:tab/>
        <w:t>Статья 4. Специальные меры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рассматриваемый в докладе период бы принят целый ряд специальных мер в интересах гендерного равенства в стране. К ним относятся: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sym w:font="Wingdings" w:char="F0D8"/>
      </w:r>
      <w:r>
        <w:tab/>
        <w:t xml:space="preserve">ратификация Факультативного протокола к КЛДЖ;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sym w:font="Wingdings" w:char="F0D8"/>
      </w:r>
      <w:r>
        <w:tab/>
        <w:t>создание секторальных подразделений по вопросам гендерного равенс</w:t>
      </w:r>
      <w:r>
        <w:t>т</w:t>
      </w:r>
      <w:r>
        <w:t>ва;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sym w:font="Wingdings" w:char="F0D8"/>
      </w:r>
      <w:r>
        <w:tab/>
        <w:t>принятие законов 12</w:t>
      </w:r>
      <w:r>
        <w:noBreakHyphen/>
        <w:t>2000 и 13</w:t>
      </w:r>
      <w:r>
        <w:noBreakHyphen/>
        <w:t>2000, устанавливающих квоты кандид</w:t>
      </w:r>
      <w:r>
        <w:t>а</w:t>
      </w:r>
      <w:r>
        <w:t>тов из числа женщин на места депутатов и профсоюзных руководителей</w:t>
      </w:r>
      <w:r>
        <w:rPr>
          <w:rStyle w:val="FootnoteReference"/>
        </w:rPr>
        <w:footnoteReference w:id="33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sym w:font="Wingdings" w:char="F0D8"/>
      </w:r>
      <w:r>
        <w:tab/>
        <w:t>специальные меры по борьбе с нищетой, осуществляемые в интересах матерей-одиночек, являющихся главами домашних хозяйств.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rPr>
          <w:b/>
        </w:rPr>
        <w:t>3.4.1.</w:t>
      </w:r>
      <w:r>
        <w:rPr>
          <w:b/>
        </w:rPr>
        <w:tab/>
        <w:t>Факультативный протокол к КЛДЖ</w:t>
      </w:r>
      <w:r>
        <w:t>, принятый ООН в качестве пр</w:t>
      </w:r>
      <w:r>
        <w:t>а</w:t>
      </w:r>
      <w:r>
        <w:t>вового контрольного механизма, гарантирующего осуществление КЛДЖ и ко</w:t>
      </w:r>
      <w:r>
        <w:t>н</w:t>
      </w:r>
      <w:r>
        <w:t>троль за ее осуществлением со стороны государств, был ратифицирован прав</w:t>
      </w:r>
      <w:r>
        <w:t>и</w:t>
      </w:r>
      <w:r>
        <w:t>тельством Доминиканской Республики посредством принятия закона</w:t>
      </w:r>
      <w:r>
        <w:rPr>
          <w:lang w:val="en-GB"/>
        </w:rPr>
        <w:t> </w:t>
      </w:r>
      <w:r>
        <w:t>111</w:t>
      </w:r>
      <w:r>
        <w:noBreakHyphen/>
        <w:t>01 от 8 июня 2001 года. Протокол позволяет рассматривать заявления о нарушении прав человека женщин в государствах, являющихся сторонами КЛДЖ.</w:t>
      </w:r>
    </w:p>
    <w:p w:rsidR="00000000" w:rsidRDefault="00000000">
      <w:pPr>
        <w:keepNext/>
        <w:tabs>
          <w:tab w:val="left" w:pos="1022"/>
          <w:tab w:val="left" w:pos="1267"/>
          <w:tab w:val="left" w:pos="18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980" w:right="1267" w:hanging="713"/>
        <w:rPr>
          <w:b/>
        </w:rPr>
      </w:pPr>
      <w:r>
        <w:rPr>
          <w:b/>
        </w:rPr>
        <w:t>3.4.2.</w:t>
      </w:r>
      <w:r>
        <w:rPr>
          <w:b/>
        </w:rPr>
        <w:tab/>
        <w:t xml:space="preserve">Секторальные отделы по вопросам гендерного равенства </w:t>
      </w:r>
      <w:r>
        <w:rPr>
          <w:b/>
        </w:rPr>
        <w:br/>
        <w:t>и разв</w:t>
      </w:r>
      <w:r>
        <w:rPr>
          <w:b/>
        </w:rPr>
        <w:t>и</w:t>
      </w:r>
      <w:r>
        <w:rPr>
          <w:b/>
        </w:rPr>
        <w:t>тия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Имея представителей в каждом министерстве и действуя под руководством министерства по делам женщин, секторальные отделы</w:t>
      </w:r>
      <w:r>
        <w:rPr>
          <w:rStyle w:val="FootnoteReference"/>
        </w:rPr>
        <w:footnoteReference w:id="34"/>
      </w:r>
      <w:r>
        <w:t>, стремятся к тому, чтобы политические установки, планы, мероприятия, программы и проекты всех министерств учитывали фактор гендерного равенства на общенационал</w:t>
      </w:r>
      <w:r>
        <w:t>ь</w:t>
      </w:r>
      <w:r>
        <w:t>ном уровне в целях интеграции женщин в процесс развития. В статье 4 декрета устанавливается, что каждый отдел обязан контролировать, оценивать и ка</w:t>
      </w:r>
      <w:r>
        <w:t>ж</w:t>
      </w:r>
      <w:r>
        <w:t>дые шесть месяцев информировать МДЖ о ходе осуществления планов, пол</w:t>
      </w:r>
      <w:r>
        <w:t>и</w:t>
      </w:r>
      <w:r>
        <w:t>тики и стратегий, направленных на достижение равенства мужчин и женщин, а также координировать вопросы внесения необходимых изменений в своих соответствующих сферах в целях осуществления международных договоров и обязательств Доминиканской Республики.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этой связи следует отметить создание отделение по гендерным вопросам в министерстве труда, цель которого заключается в содействии достижению ге</w:t>
      </w:r>
      <w:r>
        <w:t>н</w:t>
      </w:r>
      <w:r>
        <w:t>дерного равенства в этом ведомстве. Недавно созданное отделение занимается осуществлением учебной программы для трудящихся женщин, эмигрирующих в Испанию, планируется его преобразование в отдел по вопросам гендерного равенства в 2003 году.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jc w:val="both"/>
        <w:rPr>
          <w:b/>
        </w:rPr>
      </w:pPr>
      <w:r>
        <w:rPr>
          <w:b/>
        </w:rPr>
        <w:t>3.4.3.</w:t>
      </w:r>
      <w:r>
        <w:rPr>
          <w:b/>
        </w:rPr>
        <w:tab/>
        <w:t>Социальная политика борьбы с нищетой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Социальная политика правительства направлена на сокращение масштабов нищеты и в этой связи осуществляется в первую очередь в интересах обезд</w:t>
      </w:r>
      <w:r>
        <w:t>о</w:t>
      </w:r>
      <w:r>
        <w:t>ленных женщин. Можно привести следующие примеры: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Программа в интересах микро-, малых и средних предприятий, (ПРОМИПИМЕ) принятая в 1997 году</w:t>
      </w:r>
      <w:r>
        <w:rPr>
          <w:rStyle w:val="FootnoteReference"/>
        </w:rPr>
        <w:footnoteReference w:id="35"/>
      </w:r>
      <w:r>
        <w:t>, направленная на повышение конкурентоспособности, эффекти</w:t>
      </w:r>
      <w:r>
        <w:t>в</w:t>
      </w:r>
      <w:r>
        <w:t>ности и комплексного развития данного сектора и содействие созданию новых рабочих мест и новых источников доходов семей, осуществляется рядом учр</w:t>
      </w:r>
      <w:r>
        <w:t>е</w:t>
      </w:r>
      <w:r>
        <w:t>ждений, входящих в социальный кабинет правительства; среди других полит</w:t>
      </w:r>
      <w:r>
        <w:t>и</w:t>
      </w:r>
      <w:r>
        <w:t>ческих задач содействует доступу женщин к кредитному финансированию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Президентский план борьбы с нищетой (ППБН) предусматривает поддержку инициатив и мероприятий, осуществляемых женщинами, посредством предо</w:t>
      </w:r>
      <w:r>
        <w:t>с</w:t>
      </w:r>
      <w:r>
        <w:t>тавления финансовой помощи учреждениям, в частности министерству по д</w:t>
      </w:r>
      <w:r>
        <w:t>е</w:t>
      </w:r>
      <w:r>
        <w:t>лам женщин (МДЖ)</w:t>
      </w:r>
      <w:r>
        <w:rPr>
          <w:rStyle w:val="FootnoteReference"/>
        </w:rPr>
        <w:footnoteReference w:id="36"/>
      </w:r>
      <w:r>
        <w:t>, которые осуществляют программы в интересах мал</w:t>
      </w:r>
      <w:r>
        <w:t>о</w:t>
      </w:r>
      <w:r>
        <w:t>имущих женщин. На 2002 год в рамках ППБН запланировано 10 направлений деятельности по содействию осуществлению положений КЛДЖ, в частности финансирование, создание инфраструктуры, строительство жилья, поддержка мер по борьбе с насилием в семье. Запланированные мероприятия направлены на преодоление экстремальной нищеты среди женщин-инвалидов, престар</w:t>
      </w:r>
      <w:r>
        <w:t>е</w:t>
      </w:r>
      <w:r>
        <w:t>лых, работников свободных промышленных зон, работниц сексуальной инд</w:t>
      </w:r>
      <w:r>
        <w:t>у</w:t>
      </w:r>
      <w:r>
        <w:t>стрии и женщин-мигрантов</w:t>
      </w:r>
      <w:r>
        <w:rPr>
          <w:rStyle w:val="FootnoteReference"/>
        </w:rPr>
        <w:footnoteReference w:id="37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план действий по созданию достойных условий для жизни, предусматрива</w:t>
      </w:r>
      <w:r>
        <w:t>ю</w:t>
      </w:r>
      <w:r>
        <w:t>щий сокращение масштабов нищеты и разработанный Национальным бюро по планированию с учетом результатов, полученных в ходе обследования районов нищеты. К числу мероприятий, осуществляемых в интересах женщин, относя</w:t>
      </w:r>
      <w:r>
        <w:t>т</w:t>
      </w:r>
      <w:r>
        <w:t>ся: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sym w:font="Symbol" w:char="F0B7"/>
      </w:r>
      <w:r>
        <w:tab/>
        <w:t>оказание помощи в создании производственных кооперативов и в реализации инициатив мелких предприятий в интересах женщин с целью оказания соде</w:t>
      </w:r>
      <w:r>
        <w:t>й</w:t>
      </w:r>
      <w:r>
        <w:t>ствия сокращению масштабов безработицы среди женщин. Примером таких мероприятий может послужить швейный кооператив по производству одежды и другой швейной продукции, созданный министерством по делам женщин при сумме затрат в 60 млн. песо</w:t>
      </w:r>
      <w:r>
        <w:rPr>
          <w:rStyle w:val="FootnoteReference"/>
        </w:rPr>
        <w:footnoteReference w:id="38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sym w:font="Symbol" w:char="F0B7"/>
      </w:r>
      <w:r>
        <w:tab/>
        <w:t>оказание помощи главам домашних хозяйств, находящихся в уязвимом пол</w:t>
      </w:r>
      <w:r>
        <w:t>о</w:t>
      </w:r>
      <w:r>
        <w:t>жении, в частности путем ежемесячной раздачи купонов на сумму 500 песо для приобретения услуг, предоставляемых Институтом стабилизации цен (ИНЕСПРЕ)</w:t>
      </w:r>
      <w:r>
        <w:rPr>
          <w:rStyle w:val="FootnoteReference"/>
        </w:rPr>
        <w:footnoteReference w:id="39"/>
      </w:r>
      <w:r>
        <w:t xml:space="preserve"> и специальными предприятиями общественного питания. Эта политика осуществляется прежде всего в интересах матерей-одиночек. По оценкам, ее результатами пользуются около 60 процентов матерей-одиночек, являющихся главами малоимущих домашних хозяйств с детьми в возрасте до 14 лет в приоритетных районах с высоким уровнем нищеты.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980" w:right="1267" w:hanging="713"/>
        <w:rPr>
          <w:b/>
        </w:rPr>
      </w:pPr>
      <w:r>
        <w:rPr>
          <w:b/>
          <w:sz w:val="28"/>
        </w:rPr>
        <w:t>3.5.</w:t>
      </w:r>
      <w:r>
        <w:rPr>
          <w:b/>
          <w:sz w:val="28"/>
        </w:rPr>
        <w:tab/>
        <w:t>Статья 5. Социально-культурные модели поведения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980" w:right="1267" w:hanging="713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980" w:right="1267" w:hanging="713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980" w:right="1267" w:hanging="713"/>
        <w:jc w:val="both"/>
      </w:pPr>
      <w:r>
        <w:rPr>
          <w:b/>
        </w:rPr>
        <w:t>3.5.1.</w:t>
      </w:r>
      <w:r>
        <w:rPr>
          <w:b/>
        </w:rPr>
        <w:tab/>
        <w:t>Равенство полов в средствах массовой информации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980" w:right="1267" w:hanging="713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 числу успехов, отмеченных в "Оценке хода осуществления Пекинской платформы действий"</w:t>
      </w:r>
      <w:r>
        <w:rPr>
          <w:rStyle w:val="FootnoteReference"/>
        </w:rPr>
        <w:footnoteReference w:id="40"/>
      </w:r>
      <w:r>
        <w:t xml:space="preserve"> на направлении "Женщины и СМИ", относятся сл</w:t>
      </w:r>
      <w:r>
        <w:t>е</w:t>
      </w:r>
      <w:r>
        <w:t>дующие: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существование радиопрограмм</w:t>
      </w:r>
      <w:r>
        <w:rPr>
          <w:rStyle w:val="FootnoteReference"/>
        </w:rPr>
        <w:footnoteReference w:id="41"/>
      </w:r>
      <w:r>
        <w:t>, в основном регионального характера, нац</w:t>
      </w:r>
      <w:r>
        <w:t>е</w:t>
      </w:r>
      <w:r>
        <w:t>ленных на борьбу с дискриминацией полов. В их работе участвуют женщины-феминистки, или же ими руководят женские организации. Кроме того, в нек</w:t>
      </w:r>
      <w:r>
        <w:t>о</w:t>
      </w:r>
      <w:r>
        <w:t>торых печатных СМИ есть журналисты, которые применяют в своей работе гендерный подход и освещают темы, касающиеся дискриминации полов;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более широкое участие женщин в работе СМИ.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увеличение доли женщин, осваивающих профессии в сфере коммуникации и рекламы.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Однако, несмотря на эти успехи, участие женщин не отражает тех многоо</w:t>
      </w:r>
      <w:r>
        <w:t>б</w:t>
      </w:r>
      <w:r>
        <w:t>разных ролей, которые они играют в современном обществе, а доля женщин на руководящих должностях в этом секторе не увеличилась. В упомянутой оценке указывается, что в СМИ не проводится гендерная политика и сохраняются т</w:t>
      </w:r>
      <w:r>
        <w:t>а</w:t>
      </w:r>
      <w:r>
        <w:t>кие явления, как доминирующее положение мужчин, дискриминационная пра</w:t>
      </w:r>
      <w:r>
        <w:t>к</w:t>
      </w:r>
      <w:r>
        <w:t>тика и язык, отношение к женщинам как к объектам вожделения и насилия, а также стереотипы в отношении традиционных ролей, никак не связанные с жизнью современной женщины.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Как и организации и институты гражданского общества, министерство по д</w:t>
      </w:r>
      <w:r>
        <w:t>е</w:t>
      </w:r>
      <w:r>
        <w:t>лам женщин ведет работу по просвещению населения на различных уровнях, используя при этом такие возможности, как празднование дней 8 марта и 25 ноября и выборы в конгресс и муниципальные советы.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</w:pPr>
      <w:r>
        <w:rPr>
          <w:b/>
          <w:sz w:val="28"/>
        </w:rPr>
        <w:t>3.6.</w:t>
      </w:r>
      <w:r>
        <w:rPr>
          <w:b/>
          <w:sz w:val="28"/>
        </w:rPr>
        <w:tab/>
        <w:t>Статья 6. Проституция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Исследований, позволяющих оценить численность женщин, занятых в секс</w:t>
      </w:r>
      <w:r>
        <w:noBreakHyphen/>
        <w:t>индустрии как на территории страны, так и за рубежом, пока не провод</w:t>
      </w:r>
      <w:r>
        <w:t>и</w:t>
      </w:r>
      <w:r>
        <w:t>лось, но можно утверждать, что проституция остается альтернативным исто</w:t>
      </w:r>
      <w:r>
        <w:t>ч</w:t>
      </w:r>
      <w:r>
        <w:t>ником доходов для доминиканских женщин. По оценкам Центра професси</w:t>
      </w:r>
      <w:r>
        <w:t>о</w:t>
      </w:r>
      <w:r>
        <w:t>нальной ориентации и комплексных исследований (ЦОИ)</w:t>
      </w:r>
      <w:r>
        <w:rPr>
          <w:rStyle w:val="FootnoteReference"/>
        </w:rPr>
        <w:footnoteReference w:id="42"/>
      </w:r>
      <w:r>
        <w:t>, в 2000 году на те</w:t>
      </w:r>
      <w:r>
        <w:t>р</w:t>
      </w:r>
      <w:r>
        <w:t>ритории страны оказанием сексуальных услуг занималось около 100 тыс. же</w:t>
      </w:r>
      <w:r>
        <w:t>н</w:t>
      </w:r>
      <w:r>
        <w:t>щин. В 1998 году эта цифра составляла порядка 60 тыс. человек.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Как отмечает ЦОИ, в стране четко прослеживается целый ряд форм, в кот</w:t>
      </w:r>
      <w:r>
        <w:t>о</w:t>
      </w:r>
      <w:r>
        <w:t>рые облекается занятие проституцией. С 2000 года дома терпимости создаются при различных развлекательных центрах (магазинах спиртных напитков, мо</w:t>
      </w:r>
      <w:r>
        <w:t>й</w:t>
      </w:r>
      <w:r>
        <w:t>ках машин, кафе и т.д.); эти формы являются более приемлемыми с культурной точки зрения и позволяют не только создавать новые заведения, но и передел</w:t>
      </w:r>
      <w:r>
        <w:t>ы</w:t>
      </w:r>
      <w:r>
        <w:t>вать старые заведения на новый лад. Кроме того, существует большое число независимых работниц, таких, как девушки, которых вызывают по биперам или мобильным телефонам</w:t>
      </w:r>
      <w:r>
        <w:rPr>
          <w:rStyle w:val="FootnoteReference"/>
        </w:rPr>
        <w:footnoteReference w:id="43"/>
      </w:r>
      <w:r>
        <w:t>. Из</w:t>
      </w:r>
      <w:r>
        <w:noBreakHyphen/>
        <w:t>за отсутствия исследований не представляется возможным точно оценить, произошло ли существенное увеличение численн</w:t>
      </w:r>
      <w:r>
        <w:t>о</w:t>
      </w:r>
      <w:r>
        <w:t xml:space="preserve">сти проституток, или же те, кто занимается этим самостоятельно, стали просто более заметными в обществе.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За рубежом, по оценкам ЦОИ, в секс</w:t>
      </w:r>
      <w:r>
        <w:noBreakHyphen/>
        <w:t>индустрии также занято порядка 100 тыс. женщин</w:t>
      </w:r>
      <w:r>
        <w:rPr>
          <w:rStyle w:val="FootnoteReference"/>
        </w:rPr>
        <w:footnoteReference w:id="44"/>
      </w:r>
      <w:r>
        <w:t>. Уже в 1991 году численность женщин, оказывающих се</w:t>
      </w:r>
      <w:r>
        <w:t>к</w:t>
      </w:r>
      <w:r>
        <w:t>суальные услуги за рубежом, оценивалась в 50 тыс. человек</w:t>
      </w:r>
      <w:r>
        <w:rPr>
          <w:rStyle w:val="FootnoteReference"/>
        </w:rPr>
        <w:footnoteReference w:id="45"/>
      </w:r>
      <w:r>
        <w:t>. "Торговля со</w:t>
      </w:r>
      <w:r>
        <w:t>б</w:t>
      </w:r>
      <w:r>
        <w:t>ственным телом за рубежом считается уже не позором, а приемлемым в соц</w:t>
      </w:r>
      <w:r>
        <w:t>и</w:t>
      </w:r>
      <w:r>
        <w:t>альном отношении способом зарабатывать на жизнь, как отмечают многие л</w:t>
      </w:r>
      <w:r>
        <w:t>ю</w:t>
      </w:r>
      <w:r>
        <w:t>ди, работающие в местах происхождения этих женщин, и сами женщины, з</w:t>
      </w:r>
      <w:r>
        <w:t>а</w:t>
      </w:r>
      <w:r>
        <w:t>нимающиеся подобной деятельностью"</w:t>
      </w:r>
      <w:r>
        <w:rPr>
          <w:rStyle w:val="FootnoteReference"/>
        </w:rPr>
        <w:footnoteReference w:id="46"/>
      </w:r>
      <w:r>
        <w:t>. Основными местами, куда напра</w:t>
      </w:r>
      <w:r>
        <w:t>в</w:t>
      </w:r>
      <w:r>
        <w:t>ляются эти женщины, являются Латинская Америка и Карибский бассейн (д</w:t>
      </w:r>
      <w:r>
        <w:t>е</w:t>
      </w:r>
      <w:r>
        <w:t>вять стран) и Европа (семь стран). Если на территории страны появились н</w:t>
      </w:r>
      <w:r>
        <w:t>о</w:t>
      </w:r>
      <w:r>
        <w:t>вые формы занятия проституцией, то за рубежом расширилось число мест, куда н</w:t>
      </w:r>
      <w:r>
        <w:t>а</w:t>
      </w:r>
      <w:r>
        <w:t>правляются доминиканские женщины.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br w:type="page"/>
      </w:r>
      <w:r>
        <w:tab/>
        <w:t>Среди мер, принимаемых доминиканским правительством в связи с этой с</w:t>
      </w:r>
      <w:r>
        <w:t>и</w:t>
      </w:r>
      <w:r>
        <w:t>туацией, можно отметить следующие: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создание уже упоминавшегося Межведомственного комитета по охране же</w:t>
      </w:r>
      <w:r>
        <w:t>н</w:t>
      </w:r>
      <w:r>
        <w:t>щины-мигранта (МКОЖМ), который реализовал в 2001 году план работы, с</w:t>
      </w:r>
      <w:r>
        <w:t>о</w:t>
      </w:r>
      <w:r>
        <w:t>гласованный между участвующими секторами (институты гражданского общ</w:t>
      </w:r>
      <w:r>
        <w:t>е</w:t>
      </w:r>
      <w:r>
        <w:t>ства, государственные и международные учреждения). Этот план предполагал изучение состояния и реальных масштабов этой проблемы, организацию пр</w:t>
      </w:r>
      <w:r>
        <w:t>о</w:t>
      </w:r>
      <w:r>
        <w:t>светительских кампаний в СМИ, учебных семинаров для руководителей по в</w:t>
      </w:r>
      <w:r>
        <w:t>о</w:t>
      </w:r>
      <w:r>
        <w:t>просам распространения информации, учебных занятий для государственных и частных учреждений, связанных с МКОЖМ или интересующихся проблемой торговли женщинами, создание центров для приема женщин, возвращающихся в страну, и осуществление программ развития в области занятости и здрав</w:t>
      </w:r>
      <w:r>
        <w:t>о</w:t>
      </w:r>
      <w:r>
        <w:t xml:space="preserve">охранения. Два последних направления работы пока только определены как приоритетные, но для ведения практической работы пока нет ни людских, ни финансовых ресурсов;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заключение в апреле 2001 года соглашения между министерством по делам женщин и Международной организацией по миграции (МОМ) о разработке программы предупреждения и пресечения торговли "живым товаром" в целях сексуальной эксплуатации. Программой предусмотрены меры в области пред</w:t>
      </w:r>
      <w:r>
        <w:t>у</w:t>
      </w:r>
      <w:r>
        <w:t>преждения и информирования, содействие возвращению и реинтеграции же</w:t>
      </w:r>
      <w:r>
        <w:t>н</w:t>
      </w:r>
      <w:r>
        <w:t>щин, ставших предметом торговли, подготовка кадров и содействие организ</w:t>
      </w:r>
      <w:r>
        <w:t>а</w:t>
      </w:r>
      <w:r>
        <w:t>ционному укреплению государственных и неправительственных учреждений, проведение исследований, имеющих целью разработку стратегий и программ, и разработка законодательства о борьбе с торговлей людьми;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просветительская работа среди государственных чиновников, занимающихся проблемами торговли людьми и проституции, в частности в министерстве ин</w:t>
      </w:r>
      <w:r>
        <w:t>о</w:t>
      </w:r>
      <w:r>
        <w:t>странных дел и его представительствах за рубежом (особенно в принимающих странах), министерстве туризма, национальной полиции и др.;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подписание Протокола против незаконного ввоза мигрантов по суше, морю и воздуху, дополняющего Конвенцию Организации Объединенных Наций против транснациональной организованной преступности, Организация Объедине</w:t>
      </w:r>
      <w:r>
        <w:t>н</w:t>
      </w:r>
      <w:r>
        <w:t>ных Наций, декабрь 2000 года.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Со своей стороны, ЦОИ отмечает и другие успехи в этой связи: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создание Движения объединенных женщин (МОДЕМУ) - ассоциации, насч</w:t>
      </w:r>
      <w:r>
        <w:t>и</w:t>
      </w:r>
      <w:r>
        <w:t>тывающей около 500 работниц секс</w:t>
      </w:r>
      <w:r>
        <w:noBreakHyphen/>
        <w:t>индустрии;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более внимательное отношение к болезням, передаваемым половым путем, и СПИДу со стороны женщин, работающих в индустрии развлечений и домах терпимости;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большая открытость секторов общества, которые традиционно не имели ко</w:t>
      </w:r>
      <w:r>
        <w:t>н</w:t>
      </w:r>
      <w:r>
        <w:t>тактов с этими группами, таких, как женские организации и СМИ;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br w:type="page"/>
      </w:r>
      <w:r>
        <w:sym w:font="Symbol" w:char="F0B7"/>
      </w:r>
      <w:r>
        <w:tab/>
        <w:t>рост сознательности и гражданской ответственности у женщин, работающих в высшем руководящем звене. Из 500 таких женщин около ста участвуют в р</w:t>
      </w:r>
      <w:r>
        <w:t>а</w:t>
      </w:r>
      <w:r>
        <w:t>боте других организационных и общественных структур, в основном в таких областях, как здравоохранение, борьба с насилием, права человека.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 числу трудностей, которые еще предстоит преодолеть, относятся в первую очередь следующие: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отсутствие программ социального развития, ориентированных на малоим</w:t>
      </w:r>
      <w:r>
        <w:t>у</w:t>
      </w:r>
      <w:r>
        <w:t>щих женщин, занятых в секс</w:t>
      </w:r>
      <w:r>
        <w:noBreakHyphen/>
        <w:t>индустрии;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отсутствие четко сформулированных законодательных положений, позв</w:t>
      </w:r>
      <w:r>
        <w:t>о</w:t>
      </w:r>
      <w:r>
        <w:t>ляющих установить наказание, в частности за торговлю людьми;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плохое знание законов и международных соглашений по вопросам миграции и торговли людьми и недостаточное применение этих законов и соглашений.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400" w:lineRule="exact"/>
        <w:ind w:left="1267" w:right="1267"/>
        <w:jc w:val="both"/>
        <w:rPr>
          <w:b/>
          <w:sz w:val="28"/>
          <w:lang w:val="en-US"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987" w:right="1267" w:hanging="720"/>
      </w:pPr>
      <w:r>
        <w:rPr>
          <w:b/>
          <w:sz w:val="28"/>
        </w:rPr>
        <w:t>3.7.</w:t>
      </w:r>
      <w:r>
        <w:rPr>
          <w:b/>
          <w:sz w:val="28"/>
        </w:rPr>
        <w:tab/>
        <w:t xml:space="preserve">Статья 7. Общественная жизнь и участие </w:t>
      </w:r>
      <w:r>
        <w:rPr>
          <w:b/>
          <w:sz w:val="28"/>
          <w:lang w:val="en-US"/>
        </w:rPr>
        <w:br/>
      </w:r>
      <w:r>
        <w:rPr>
          <w:b/>
          <w:sz w:val="28"/>
        </w:rPr>
        <w:t>в политической жизни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Участие женщин в политической жизни остается активным на всех уровнях, и можно сказать, что оно постоянно расширяется. Этому способствуют энтуз</w:t>
      </w:r>
      <w:r>
        <w:t>и</w:t>
      </w:r>
      <w:r>
        <w:t>азм и серьезный настрой, с которыми женские организации и руководители женских движений ведут борьбу за осуществление своих прав в политической сфере.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20" w:lineRule="exact"/>
        <w:ind w:left="1267" w:right="1267"/>
        <w:jc w:val="both"/>
        <w:rPr>
          <w:b/>
        </w:rPr>
      </w:pPr>
      <w:r>
        <w:rPr>
          <w:b/>
        </w:rPr>
        <w:t>3.7.1.</w:t>
      </w:r>
      <w:r>
        <w:rPr>
          <w:b/>
        </w:rPr>
        <w:tab/>
        <w:t>Участие в деятельности властных структур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Как указывалось в предыдущем докладе, в Доминиканской Республике ка</w:t>
      </w:r>
      <w:r>
        <w:t>ж</w:t>
      </w:r>
      <w:r>
        <w:t>дые четыре года проводятся выборы на должности в органах исполнительной, законодательной и муниципальной власти, причем выборы в исполнительные органы проводятся со сдвигом на два года по сравнению с выборами в закон</w:t>
      </w:r>
      <w:r>
        <w:t>о</w:t>
      </w:r>
      <w:r>
        <w:t xml:space="preserve">дательные и муниципальные органы. 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Основными законодательными актами, обеспечивающими защиту гражда</w:t>
      </w:r>
      <w:r>
        <w:t>н</w:t>
      </w:r>
      <w:r>
        <w:t>ских прав женщин, баллотирующихся на выборах, являются Закон №</w:t>
      </w:r>
      <w:r>
        <w:rPr>
          <w:lang w:val="en-GB"/>
        </w:rPr>
        <w:t> </w:t>
      </w:r>
      <w:r>
        <w:t>12</w:t>
      </w:r>
      <w:r>
        <w:noBreakHyphen/>
        <w:t>2000, в котором установлена 33</w:t>
      </w:r>
      <w:r>
        <w:noBreakHyphen/>
        <w:t>процентная квота для женщин - кандидатов в деп</w:t>
      </w:r>
      <w:r>
        <w:t>у</w:t>
      </w:r>
      <w:r>
        <w:t>таты, и Закон № 13</w:t>
      </w:r>
      <w:r>
        <w:noBreakHyphen/>
        <w:t>2000, в котором предписывается назначение женщины на пост председателя или заместителя председателя профсоюза</w:t>
      </w:r>
      <w:r>
        <w:rPr>
          <w:rStyle w:val="FootnoteReference"/>
        </w:rPr>
        <w:footnoteReference w:id="47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Если говорить в целом, то участие женщин в деятельности различных сект</w:t>
      </w:r>
      <w:r>
        <w:t>о</w:t>
      </w:r>
      <w:r>
        <w:t>ров общества заметно расширяется как по количеству, так и по качеству зан</w:t>
      </w:r>
      <w:r>
        <w:t>и</w:t>
      </w:r>
      <w:r>
        <w:t>маемых должностей. Вместе с тем отмечается обратная зависимость между представленностью женщин и уровнем руководящей работы, т.е. на более в</w:t>
      </w:r>
      <w:r>
        <w:t>ы</w:t>
      </w:r>
      <w:r>
        <w:t>соких уровнях женщины представлены в меньшей степени. Кроме того, в н</w:t>
      </w:r>
      <w:r>
        <w:t>а</w:t>
      </w:r>
      <w:r>
        <w:t>стоящее время достигнутый уровень участия в политической жизни пока ниже избирательной квоты, предусмотренной в законодательстве. Тем не менее сег</w:t>
      </w:r>
      <w:r>
        <w:t>о</w:t>
      </w:r>
      <w:r>
        <w:t>дня женщина впервые занимает пост вице</w:t>
      </w:r>
      <w:r>
        <w:noBreakHyphen/>
        <w:t>президента, а в судебных органах женщины составляют 37 процентов. Вместе с тем отмечено некоторое сниж</w:t>
      </w:r>
      <w:r>
        <w:t>е</w:t>
      </w:r>
      <w:r>
        <w:t>ние доли женщин в конгрессе по сравнению с предыдущим периодом (14,2 процента в 2002</w:t>
      </w:r>
      <w:r>
        <w:noBreakHyphen/>
        <w:t>2006 годах по сравнению с 14,5 процента в период 1998</w:t>
      </w:r>
      <w:r>
        <w:noBreakHyphen/>
        <w:t>2002 годов).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00" w:lineRule="exact"/>
        <w:ind w:left="1267" w:right="1267"/>
        <w:jc w:val="both"/>
        <w:rPr>
          <w:b/>
          <w:i/>
        </w:rPr>
      </w:pPr>
      <w:r>
        <w:rPr>
          <w:b/>
          <w:i/>
        </w:rPr>
        <w:t>3.7.1.1.</w:t>
      </w:r>
      <w:r>
        <w:rPr>
          <w:b/>
          <w:i/>
        </w:rPr>
        <w:tab/>
        <w:t>Исполнительная власть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органах исполнительной власти - от канцелярии президента до отделов в управлениях - женщины занимают 17,6 процента высших руководящих дол</w:t>
      </w:r>
      <w:r>
        <w:t>ж</w:t>
      </w:r>
      <w:r>
        <w:t>ностей. Этот показатель достигнут благодаря высокому уровню представле</w:t>
      </w:r>
      <w:r>
        <w:t>н</w:t>
      </w:r>
      <w:r>
        <w:t>ности женщин на постах губернаторов (34,5 процента) и в руководящих орг</w:t>
      </w:r>
      <w:r>
        <w:t>а</w:t>
      </w:r>
      <w:r>
        <w:t>нах специальных учреждений, особенно в загсах (45 процентов).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На пост президента Республики - высшую должность в структуре исполн</w:t>
      </w:r>
      <w:r>
        <w:t>и</w:t>
      </w:r>
      <w:r>
        <w:t>тельной власти - доминиканские женщины своих кандидатур пока не выдвиг</w:t>
      </w:r>
      <w:r>
        <w:t>а</w:t>
      </w:r>
      <w:r>
        <w:t>ли. Что касается поста вице</w:t>
      </w:r>
      <w:r>
        <w:noBreakHyphen/>
        <w:t>президента, то на него претендовали три женщ</w:t>
      </w:r>
      <w:r>
        <w:t>и</w:t>
      </w:r>
      <w:r>
        <w:t>ны</w:t>
      </w:r>
      <w:r>
        <w:rPr>
          <w:rStyle w:val="FootnoteReference"/>
        </w:rPr>
        <w:footnoteReference w:id="48"/>
      </w:r>
      <w:r>
        <w:t>, одна из которых и занимает этот пост в настоящее время.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2001 году была вновь отмечена обратная зависимость между представле</w:t>
      </w:r>
      <w:r>
        <w:t>н</w:t>
      </w:r>
      <w:r>
        <w:t>ностью женщин и уровнем руководящей работы: сегодня женщины занимают 11,8 процента должностей министров, 16,7 процента должностей заместителей министров, 19 процентов должностей директоров, президентов, главных адм</w:t>
      </w:r>
      <w:r>
        <w:t>и</w:t>
      </w:r>
      <w:r>
        <w:t>нистраторов и 22 процента должностей заместителей директоров и админис</w:t>
      </w:r>
      <w:r>
        <w:t>т</w:t>
      </w:r>
      <w:r>
        <w:t>раторов и вице</w:t>
      </w:r>
      <w:r>
        <w:noBreakHyphen/>
        <w:t>президентов.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20" w:lineRule="exact"/>
        <w:ind w:left="1267" w:right="1267"/>
        <w:jc w:val="both"/>
        <w:rPr>
          <w:b/>
          <w:i/>
        </w:rPr>
      </w:pPr>
      <w:r>
        <w:rPr>
          <w:b/>
          <w:i/>
        </w:rPr>
        <w:t>3.7.1.2.</w:t>
      </w:r>
      <w:r>
        <w:rPr>
          <w:b/>
          <w:i/>
        </w:rPr>
        <w:tab/>
        <w:t>Законодательная власть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Несмотря на принятие Закона № 12</w:t>
      </w:r>
      <w:r>
        <w:noBreakHyphen/>
        <w:t>2000, в котором устанавливается 33</w:t>
      </w:r>
      <w:r>
        <w:noBreakHyphen/>
        <w:t>процентная квота для женщин - кандидатов в депутаты, доля женщин в ко</w:t>
      </w:r>
      <w:r>
        <w:t>н</w:t>
      </w:r>
      <w:r>
        <w:t>грессе после выборов 2002 года несколько снизилась по сравнению с пред</w:t>
      </w:r>
      <w:r>
        <w:t>ы</w:t>
      </w:r>
      <w:r>
        <w:t>дущим периодом. В конгрессе нынешнего созыва (2002</w:t>
      </w:r>
      <w:r>
        <w:noBreakHyphen/>
        <w:t>2006 годы) насчитыв</w:t>
      </w:r>
      <w:r>
        <w:t>а</w:t>
      </w:r>
      <w:r>
        <w:t>ется в общей сложности 14,3 процента женщин-конгрессменов по сравнению с 14,5 процента в период 1998</w:t>
      </w:r>
      <w:r>
        <w:noBreakHyphen/>
        <w:t>2000 годов. В сенате работают две женщины (как и в предыдущий период), что составляет 6,2 процента. В палате депутатов, как и прежде, работают 24 женщины, т.е. примерно 16 процентов (см. таблицу 6).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</w:pPr>
      <w:r>
        <w:t>Таблица 6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rPr>
          <w:b/>
        </w:rPr>
      </w:pPr>
      <w:r>
        <w:rPr>
          <w:b/>
        </w:rPr>
        <w:t>Распределение представителей в конгрессе по типу выборов и по полу, 1994, 1998, 2002 годы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0"/>
        <w:gridCol w:w="936"/>
        <w:gridCol w:w="936"/>
        <w:gridCol w:w="72"/>
        <w:gridCol w:w="936"/>
        <w:gridCol w:w="936"/>
        <w:gridCol w:w="72"/>
        <w:gridCol w:w="936"/>
        <w:gridCol w:w="93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62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rPr>
                <w:i/>
                <w:sz w:val="14"/>
              </w:rPr>
            </w:pPr>
          </w:p>
        </w:tc>
        <w:tc>
          <w:tcPr>
            <w:tcW w:w="187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Женщины </w:t>
            </w:r>
            <w:r>
              <w:rPr>
                <w:i/>
                <w:sz w:val="14"/>
              </w:rPr>
              <w:br/>
              <w:t>на выбо</w:t>
            </w:r>
            <w:r>
              <w:rPr>
                <w:i/>
                <w:sz w:val="14"/>
              </w:rPr>
              <w:t>р</w:t>
            </w:r>
            <w:r>
              <w:rPr>
                <w:i/>
                <w:sz w:val="14"/>
              </w:rPr>
              <w:t>ных дол</w:t>
            </w:r>
            <w:r>
              <w:rPr>
                <w:i/>
                <w:sz w:val="14"/>
              </w:rPr>
              <w:t>ж</w:t>
            </w:r>
            <w:r>
              <w:rPr>
                <w:i/>
                <w:sz w:val="14"/>
              </w:rPr>
              <w:t>ностях</w:t>
            </w: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z w:val="14"/>
              </w:rPr>
            </w:pPr>
          </w:p>
        </w:tc>
        <w:tc>
          <w:tcPr>
            <w:tcW w:w="187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Мужчины </w:t>
            </w:r>
            <w:r>
              <w:rPr>
                <w:i/>
                <w:sz w:val="14"/>
              </w:rPr>
              <w:br/>
              <w:t>на выбо</w:t>
            </w:r>
            <w:r>
              <w:rPr>
                <w:i/>
                <w:sz w:val="14"/>
              </w:rPr>
              <w:t>р</w:t>
            </w:r>
            <w:r>
              <w:rPr>
                <w:i/>
                <w:sz w:val="14"/>
              </w:rPr>
              <w:t>ных дол</w:t>
            </w:r>
            <w:r>
              <w:rPr>
                <w:i/>
                <w:sz w:val="14"/>
              </w:rPr>
              <w:t>ж</w:t>
            </w:r>
            <w:r>
              <w:rPr>
                <w:i/>
                <w:sz w:val="14"/>
              </w:rPr>
              <w:t>ностях</w:t>
            </w: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z w:val="14"/>
              </w:rPr>
            </w:pPr>
          </w:p>
        </w:tc>
        <w:tc>
          <w:tcPr>
            <w:tcW w:w="187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40" w:line="160" w:lineRule="exact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6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Тип выб</w:t>
            </w:r>
            <w:r>
              <w:rPr>
                <w:i/>
                <w:sz w:val="14"/>
              </w:rPr>
              <w:t>о</w:t>
            </w:r>
            <w:r>
              <w:rPr>
                <w:i/>
                <w:sz w:val="14"/>
              </w:rPr>
              <w:t>ров и год</w:t>
            </w:r>
          </w:p>
        </w:tc>
        <w:tc>
          <w:tcPr>
            <w:tcW w:w="9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9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%</w:t>
            </w:r>
          </w:p>
        </w:tc>
        <w:tc>
          <w:tcPr>
            <w:tcW w:w="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</w:p>
        </w:tc>
        <w:tc>
          <w:tcPr>
            <w:tcW w:w="9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9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%</w:t>
            </w:r>
          </w:p>
        </w:tc>
        <w:tc>
          <w:tcPr>
            <w:tcW w:w="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</w:p>
        </w:tc>
        <w:tc>
          <w:tcPr>
            <w:tcW w:w="9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Кол-во</w:t>
            </w:r>
          </w:p>
        </w:tc>
        <w:tc>
          <w:tcPr>
            <w:tcW w:w="9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ind w:right="43"/>
            </w:pPr>
            <w:r>
              <w:t>Нижняя п</w:t>
            </w:r>
            <w:r>
              <w:t>а</w:t>
            </w:r>
            <w:r>
              <w:t>лата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ind w:right="43"/>
              <w:jc w:val="right"/>
            </w:pP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ind w:right="43"/>
              <w:jc w:val="both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ind w:right="43"/>
              <w:jc w:val="right"/>
            </w:pP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ind w:right="43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</w:pPr>
            <w:r>
              <w:t xml:space="preserve">  1994 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14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11,7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both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106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88,3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120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</w:pPr>
            <w:r>
              <w:t xml:space="preserve">  1998 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24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16,1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both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125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83,9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149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20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</w:pPr>
            <w:r>
              <w:t xml:space="preserve">  2002 </w:t>
            </w:r>
          </w:p>
        </w:tc>
        <w:tc>
          <w:tcPr>
            <w:tcW w:w="93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24</w:t>
            </w:r>
          </w:p>
        </w:tc>
        <w:tc>
          <w:tcPr>
            <w:tcW w:w="93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16</w:t>
            </w:r>
          </w:p>
        </w:tc>
        <w:tc>
          <w:tcPr>
            <w:tcW w:w="72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both"/>
            </w:pPr>
          </w:p>
        </w:tc>
        <w:tc>
          <w:tcPr>
            <w:tcW w:w="93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126</w:t>
            </w:r>
          </w:p>
        </w:tc>
        <w:tc>
          <w:tcPr>
            <w:tcW w:w="93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84</w:t>
            </w:r>
          </w:p>
        </w:tc>
        <w:tc>
          <w:tcPr>
            <w:tcW w:w="72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  <w:tc>
          <w:tcPr>
            <w:tcW w:w="93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150</w:t>
            </w:r>
          </w:p>
        </w:tc>
        <w:tc>
          <w:tcPr>
            <w:tcW w:w="936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</w:pPr>
            <w:r>
              <w:t>Сенат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both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</w:pPr>
            <w:r>
              <w:t xml:space="preserve">  1994 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3,3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both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29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96,7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30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</w:pPr>
            <w:r>
              <w:t xml:space="preserve">  1998 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2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6,6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both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28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93,4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30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</w:pPr>
            <w:r>
              <w:t xml:space="preserve">  2002 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2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6,2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both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30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93,8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32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</w:pPr>
            <w: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20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93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both"/>
              <w:rPr>
                <w:b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</w:p>
        </w:tc>
        <w:tc>
          <w:tcPr>
            <w:tcW w:w="72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</w:p>
        </w:tc>
        <w:tc>
          <w:tcPr>
            <w:tcW w:w="936" w:type="dxa"/>
            <w:tcBorders>
              <w:top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rPr>
                <w:b/>
              </w:rPr>
            </w:pPr>
            <w:r>
              <w:rPr>
                <w:b/>
              </w:rPr>
              <w:t xml:space="preserve">  1994 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both"/>
              <w:rPr>
                <w:b/>
              </w:rPr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135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2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rPr>
                <w:b/>
              </w:rPr>
            </w:pPr>
            <w:r>
              <w:rPr>
                <w:b/>
              </w:rPr>
              <w:t xml:space="preserve">  1998 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14,5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both"/>
              <w:rPr>
                <w:b/>
              </w:rPr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153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85,5</w:t>
            </w:r>
          </w:p>
        </w:tc>
        <w:tc>
          <w:tcPr>
            <w:tcW w:w="72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179</w:t>
            </w:r>
          </w:p>
        </w:tc>
        <w:tc>
          <w:tcPr>
            <w:tcW w:w="936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62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rPr>
                <w:b/>
              </w:rPr>
            </w:pPr>
            <w:r>
              <w:rPr>
                <w:b/>
              </w:rPr>
              <w:t xml:space="preserve">  2002 </w:t>
            </w:r>
          </w:p>
        </w:tc>
        <w:tc>
          <w:tcPr>
            <w:tcW w:w="9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9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14,3</w:t>
            </w:r>
          </w:p>
        </w:tc>
        <w:tc>
          <w:tcPr>
            <w:tcW w:w="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both"/>
              <w:rPr>
                <w:b/>
              </w:rPr>
            </w:pPr>
          </w:p>
        </w:tc>
        <w:tc>
          <w:tcPr>
            <w:tcW w:w="9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156</w:t>
            </w:r>
          </w:p>
        </w:tc>
        <w:tc>
          <w:tcPr>
            <w:tcW w:w="9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85,7</w:t>
            </w:r>
          </w:p>
        </w:tc>
        <w:tc>
          <w:tcPr>
            <w:tcW w:w="72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</w:p>
        </w:tc>
        <w:tc>
          <w:tcPr>
            <w:tcW w:w="9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182</w:t>
            </w:r>
          </w:p>
        </w:tc>
        <w:tc>
          <w:tcPr>
            <w:tcW w:w="936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ind w:right="43"/>
              <w:jc w:val="right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10" w:lineRule="exact"/>
        <w:ind w:left="1800" w:right="1267" w:hanging="533"/>
        <w:jc w:val="both"/>
        <w:rPr>
          <w:sz w:val="17"/>
        </w:rPr>
      </w:pPr>
      <w:r>
        <w:rPr>
          <w:i/>
          <w:sz w:val="17"/>
        </w:rPr>
        <w:t>Источник</w:t>
      </w:r>
      <w:r>
        <w:rPr>
          <w:sz w:val="17"/>
        </w:rPr>
        <w:t>: Таблицы, составленные программой "Женщины и политика в обла</w:t>
      </w:r>
      <w:r>
        <w:rPr>
          <w:sz w:val="17"/>
        </w:rPr>
        <w:t>с</w:t>
      </w:r>
      <w:r>
        <w:rPr>
          <w:sz w:val="17"/>
        </w:rPr>
        <w:t>ти участия граждан в общественной жизни" на основе данных Центрального избирательного совета.</w:t>
      </w: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  <w:i/>
        </w:rPr>
      </w:pPr>
      <w:r>
        <w:rPr>
          <w:b/>
          <w:i/>
        </w:rPr>
        <w:br w:type="page"/>
        <w:t>3.7.1.3.</w:t>
      </w:r>
      <w:r>
        <w:rPr>
          <w:b/>
          <w:i/>
        </w:rPr>
        <w:tab/>
        <w:t>Судебная власть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Несмотря на то что в органах судебной власти не произошло существенных изменений и что в них, как и в других ветвях государственной власти, отмеч</w:t>
      </w:r>
      <w:r>
        <w:t>а</w:t>
      </w:r>
      <w:r>
        <w:t>ется обратная зависимость между уровнем иерархической структуры и участ</w:t>
      </w:r>
      <w:r>
        <w:t>и</w:t>
      </w:r>
      <w:r>
        <w:t>ем женщин, это единственная из ветвей власти, в которой представленность женщин соответствует установленной законом квоте в 33 процента.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За период с 1993 года по август 1997 года представленность женщин среди судей Верховного суда действительно выросла до 33 процентов. В апелляционных судах, несмотря на сокращение доли женщин с 30,7 процента в 1993 году до 25 процентов в 1999 году, женщины занимают все более выс</w:t>
      </w:r>
      <w:r>
        <w:t>о</w:t>
      </w:r>
      <w:r>
        <w:t>кие должности: на постах председателей доля женщин выросла с 20 до 35 процентов. Доля женщин в органах судебной власти наиболее высока в с</w:t>
      </w:r>
      <w:r>
        <w:t>у</w:t>
      </w:r>
      <w:r>
        <w:t>дах по земельным спорам, где она достигает двух третей (1993 год - 52</w:t>
      </w:r>
      <w:r>
        <w:rPr>
          <w:lang w:val="en-GB"/>
        </w:rPr>
        <w:t> </w:t>
      </w:r>
      <w:r>
        <w:t>процента, 1999 год - 46 процентов и 2000 год - 62 процента).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  <w:i/>
        </w:rPr>
      </w:pPr>
      <w:r>
        <w:rPr>
          <w:b/>
          <w:i/>
        </w:rPr>
        <w:t>3.7.1.4.</w:t>
      </w:r>
      <w:r>
        <w:rPr>
          <w:b/>
          <w:i/>
        </w:rPr>
        <w:tab/>
        <w:t>Местные органы власти</w:t>
      </w:r>
      <w:r>
        <w:rPr>
          <w:rStyle w:val="FootnoteReference"/>
          <w:i/>
        </w:rPr>
        <w:footnoteReference w:id="49"/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а)</w:t>
      </w:r>
      <w:r>
        <w:tab/>
        <w:t>Вместе с тем представленность женщин в муниципальных органах вл</w:t>
      </w:r>
      <w:r>
        <w:t>а</w:t>
      </w:r>
      <w:r>
        <w:t>сти существенно возросла. По существу, благодаря применению Зак</w:t>
      </w:r>
      <w:r>
        <w:t>о</w:t>
      </w:r>
      <w:r>
        <w:t>на №</w:t>
      </w:r>
      <w:r>
        <w:rPr>
          <w:lang w:val="en-GB"/>
        </w:rPr>
        <w:t> </w:t>
      </w:r>
      <w:r>
        <w:t>13</w:t>
      </w:r>
      <w:r>
        <w:noBreakHyphen/>
        <w:t>2000, в котором предписывается назначение женщин на должность председателя или заместителя председателя профсоюза, на должности предс</w:t>
      </w:r>
      <w:r>
        <w:t>е</w:t>
      </w:r>
      <w:r>
        <w:t>дателей было избрано девять женщин (7 процентов), тогда как за предыдущий период на эти должности было избрано только 2 процента женщин. Аналоги</w:t>
      </w:r>
      <w:r>
        <w:t>ч</w:t>
      </w:r>
      <w:r>
        <w:t>ным образом, благодаря применению Закона № 13</w:t>
      </w:r>
      <w:r>
        <w:noBreakHyphen/>
        <w:t>2000 женщины занимают пост заместителя председателя профсоюза в 92,8 процента муниципий.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b)</w:t>
      </w:r>
      <w:r>
        <w:tab/>
        <w:t>Кроме того, если взглянуть на членский состав муниципальных советов, то можно увидеть, что число женщин - членов таких советов с 1994 года почти удвоилось. В ходе недавних выборов на период 2002</w:t>
      </w:r>
      <w:r>
        <w:noBreakHyphen/>
        <w:t>2006 годов в состав мун</w:t>
      </w:r>
      <w:r>
        <w:t>и</w:t>
      </w:r>
      <w:r>
        <w:t>ципальных советов было избрано 218 женщин, что составляет 27,7 процента по сравнению с 25,5 процента (193 члена) в период 1998</w:t>
      </w:r>
      <w:r>
        <w:noBreakHyphen/>
        <w:t>2002 годов.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  <w:lang w:val="en-GB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  <w:i/>
        </w:rPr>
      </w:pPr>
      <w:r>
        <w:rPr>
          <w:b/>
          <w:i/>
        </w:rPr>
        <w:t>3.7.1.5.</w:t>
      </w:r>
      <w:r>
        <w:rPr>
          <w:b/>
          <w:i/>
        </w:rPr>
        <w:tab/>
        <w:t>Другие властные структуры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742" w:right="1267"/>
        <w:jc w:val="both"/>
        <w:rPr>
          <w:i/>
        </w:rPr>
      </w:pPr>
      <w:r>
        <w:rPr>
          <w:i/>
        </w:rPr>
        <w:t>3.7.1.5.1.</w:t>
      </w:r>
      <w:r>
        <w:rPr>
          <w:i/>
        </w:rPr>
        <w:tab/>
        <w:t>Политические партии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</w:pPr>
      <w:r>
        <w:tab/>
        <w:t>Что касается представленности женщин в руководстве политических партий, то здесь никаких подвижек не отмечено. В 1996 году в руководстве двух из трех крупнейших партий, которые сменяли друг друга у власти в составе трех последних по времени правительств, насчитывалось 31 и 44 процента женщин. Вместе с тем в партии, находящейся у власти сегодня, доля женщин едва до</w:t>
      </w:r>
      <w:r>
        <w:t>с</w:t>
      </w:r>
      <w:r>
        <w:t>тигает 8,7 процента (хотя это первая партия, которой удалось победить на в</w:t>
      </w:r>
      <w:r>
        <w:t>ы</w:t>
      </w:r>
      <w:r>
        <w:t>борах с женщиной на посту заместителя председателя).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</w:pPr>
      <w:r>
        <w:tab/>
        <w:t>Правительство 1990</w:t>
      </w:r>
      <w:r>
        <w:noBreakHyphen/>
        <w:t>1994 и 1994</w:t>
      </w:r>
      <w:r>
        <w:noBreakHyphen/>
        <w:t>1996 годов Реформистской соц</w:t>
      </w:r>
      <w:r>
        <w:t>и</w:t>
      </w:r>
      <w:r>
        <w:t>ал</w:t>
      </w:r>
      <w:r>
        <w:noBreakHyphen/>
        <w:t>христианской партии (РСХП) - 31 процент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</w:pPr>
      <w:r>
        <w:tab/>
        <w:t>Правительство 1996</w:t>
      </w:r>
      <w:r>
        <w:noBreakHyphen/>
        <w:t>2000 годов Доминиканской партии освобождения (ДПО) - 44,2 процента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</w:pPr>
      <w:r>
        <w:tab/>
        <w:t>Правительство 2000</w:t>
      </w:r>
      <w:r>
        <w:noBreakHyphen/>
        <w:t>2004 годов Доминиканской революционной партии (ДРП) - 8,7 процента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</w:pPr>
      <w:r>
        <w:tab/>
        <w:t>Несмотря на отсутствие последних статистических данных о доле женщин в составе партий как в количественном (число женщин в руководстве), так и в качественном отношении (способность объединять, сплачивать людей, образ</w:t>
      </w:r>
      <w:r>
        <w:t>о</w:t>
      </w:r>
      <w:r>
        <w:t>вывать альянсы и вести переговоры), очевидно, что женщины - члены партий стали активнее проявлять себя в общественной жизни, стремясь закрепиться на выборных должностях и донести до общественности свои собственные треб</w:t>
      </w:r>
      <w:r>
        <w:t>о</w:t>
      </w:r>
      <w:r>
        <w:t>вания.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</w:pPr>
      <w:r>
        <w:tab/>
        <w:t>С другой стороны, 18 августа 1999 года был образован Форум женщин - чл</w:t>
      </w:r>
      <w:r>
        <w:t>е</w:t>
      </w:r>
      <w:r>
        <w:t>нов политических партий Доминиканской Республики - многопартийный о</w:t>
      </w:r>
      <w:r>
        <w:t>р</w:t>
      </w:r>
      <w:r>
        <w:t>ган, призванный расширить участие доминиканских женщин в работе Це</w:t>
      </w:r>
      <w:r>
        <w:t>н</w:t>
      </w:r>
      <w:r>
        <w:t>тральноамериканского регионального форума женщин - членов политических партий. Одна из его целей состоит в "содействии тому, чтобы доминиканские партии занялись пересмотром своих структур, принципов и основных напра</w:t>
      </w:r>
      <w:r>
        <w:t>в</w:t>
      </w:r>
      <w:r>
        <w:t>лений деятельности с целью способствовать большему равенству полов и у</w:t>
      </w:r>
      <w:r>
        <w:t>к</w:t>
      </w:r>
      <w:r>
        <w:t>реплению руководящего звена на основе принципа равных возможностей". В этой связи одной из приоритетных задач Форума является осуществление Пекинской платформы действий</w:t>
      </w:r>
      <w:r>
        <w:rPr>
          <w:rStyle w:val="FootnoteReference"/>
        </w:rPr>
        <w:footnoteReference w:id="50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</w:pPr>
      <w:r>
        <w:tab/>
        <w:t>В "Оценке хода осуществления Пекинской платформы действий" одним из успехов в работе властных структур и руководящих органов названо "привл</w:t>
      </w:r>
      <w:r>
        <w:t>е</w:t>
      </w:r>
      <w:r>
        <w:t>чение большего внимания к первоочередным нуждам женщин в выступлениях политических партий". Эта тенденция, включая использование недискримин</w:t>
      </w:r>
      <w:r>
        <w:t>а</w:t>
      </w:r>
      <w:r>
        <w:t>ционных формулировок в выступлениях кандидатов в члены политических партий, сохранялась на протяжении последних трех избирательных кампаний. Кроме того, в программных документах партий все чаще учитываются предл</w:t>
      </w:r>
      <w:r>
        <w:t>о</w:t>
      </w:r>
      <w:r>
        <w:t>жения, поступающие от женских движений и женщин-политиков. Хотя предп</w:t>
      </w:r>
      <w:r>
        <w:t>о</w:t>
      </w:r>
      <w:r>
        <w:t>сылки к этой тенденции были заложены еще в программе-минимум феминис</w:t>
      </w:r>
      <w:r>
        <w:t>т</w:t>
      </w:r>
      <w:r>
        <w:t>ского движения в начале десятилетия (1990 год), она стала особенно отчетливо проявляться среди политических партий после выборов 1994 года. Предлож</w:t>
      </w:r>
      <w:r>
        <w:t>е</w:t>
      </w:r>
      <w:r>
        <w:t>ния, содержавшиеся в Плане обеспечения равных возможностей для женщин (ПРВЖ), были учтены в программах 1996 года, в ходе выборов в конгресс и муниципальные советы в 1998 году и в программах двух из трех крупнейших партий в ходе президентских выборов 2000 года</w:t>
      </w:r>
      <w:r>
        <w:rPr>
          <w:rStyle w:val="FootnoteReference"/>
        </w:rPr>
        <w:footnoteReference w:id="51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742" w:right="1267"/>
        <w:jc w:val="both"/>
        <w:rPr>
          <w:i/>
        </w:rPr>
      </w:pPr>
      <w:r>
        <w:rPr>
          <w:i/>
        </w:rPr>
        <w:t>3.7.1.5.2.</w:t>
      </w:r>
      <w:r>
        <w:rPr>
          <w:i/>
        </w:rPr>
        <w:tab/>
        <w:t>Центральные и отраслевые профсоюзы</w:t>
      </w:r>
      <w:r>
        <w:rPr>
          <w:rStyle w:val="FootnoteReference"/>
          <w:i/>
        </w:rPr>
        <w:footnoteReference w:id="52"/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</w:pPr>
      <w:r>
        <w:tab/>
        <w:t>Доля женщин в руководстве центральных профсоюзов колеблется от 15 процентов в Национальной конфедерации доминиканских трудящихся (НКДТ) до 31 процента в Центральном союзе трудящихся (ЦСТ).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/>
        <w:jc w:val="both"/>
      </w:pPr>
      <w:r>
        <w:tab/>
        <w:t>Что касается отраслевых профсоюзов, то в них сохраняется ситуация, уже описанная в предыдущем докладе. В руководстве трех профсоюзов, объед</w:t>
      </w:r>
      <w:r>
        <w:t>и</w:t>
      </w:r>
      <w:r>
        <w:t>няющих наибольшее число специалистов</w:t>
      </w:r>
      <w:r>
        <w:rPr>
          <w:rStyle w:val="FootnoteReference"/>
        </w:rPr>
        <w:footnoteReference w:id="53"/>
      </w:r>
      <w:r>
        <w:t>, доля женщин не превышает 25 процентов.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</w:rPr>
      </w:pPr>
      <w:r>
        <w:rPr>
          <w:b/>
          <w:sz w:val="28"/>
        </w:rPr>
        <w:t>3.8.</w:t>
      </w:r>
      <w:r>
        <w:rPr>
          <w:b/>
          <w:sz w:val="28"/>
        </w:rPr>
        <w:tab/>
        <w:t>Статья 8. Представительство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Доля доминиканских женщин, представляющих правительство за рубежом, продолжает расти. На момент подготовки настоящего доклада женщины с</w:t>
      </w:r>
      <w:r>
        <w:t>о</w:t>
      </w:r>
      <w:r>
        <w:t>ставляли 17 процентов среди послов. Штат консульских представительств за рубежом на одну треть укомплектован женщинами. Эта пропорция сохраняется неизменной среди консульских работников, получающих вознаграждение, и уменьшается среди почетных консульских работников.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</w:pPr>
      <w:r>
        <w:t>Таблица 7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</w:pPr>
      <w:r>
        <w:rPr>
          <w:b/>
        </w:rPr>
        <w:t xml:space="preserve">Состав консульских представительств за рубежом, с разбивкой </w:t>
      </w:r>
      <w:r>
        <w:rPr>
          <w:b/>
          <w:lang w:val="en-US"/>
        </w:rPr>
        <w:br/>
      </w:r>
      <w:r>
        <w:rPr>
          <w:b/>
        </w:rPr>
        <w:t>по должн</w:t>
      </w:r>
      <w:r>
        <w:rPr>
          <w:b/>
        </w:rPr>
        <w:t>о</w:t>
      </w:r>
      <w:r>
        <w:rPr>
          <w:b/>
        </w:rPr>
        <w:t>стям и полу (ноябрь 2001 года)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5"/>
        <w:gridCol w:w="985"/>
        <w:gridCol w:w="985"/>
        <w:gridCol w:w="985"/>
        <w:gridCol w:w="985"/>
        <w:gridCol w:w="98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455" w:type="dxa"/>
            <w:tcBorders>
              <w:top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Должность</w:t>
            </w:r>
          </w:p>
        </w:tc>
        <w:tc>
          <w:tcPr>
            <w:tcW w:w="985" w:type="dxa"/>
            <w:tcBorders>
              <w:top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  <w:tc>
          <w:tcPr>
            <w:tcW w:w="985" w:type="dxa"/>
            <w:tcBorders>
              <w:top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985" w:type="dxa"/>
            <w:tcBorders>
              <w:top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%</w:t>
            </w:r>
          </w:p>
        </w:tc>
        <w:tc>
          <w:tcPr>
            <w:tcW w:w="985" w:type="dxa"/>
            <w:tcBorders>
              <w:top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985" w:type="dxa"/>
            <w:tcBorders>
              <w:top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455" w:type="dxa"/>
            <w:tcBorders>
              <w:top w:val="single" w:sz="12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985" w:type="dxa"/>
            <w:tcBorders>
              <w:top w:val="single" w:sz="12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right"/>
              <w:rPr>
                <w:b/>
              </w:rPr>
            </w:pPr>
            <w:r>
              <w:rPr>
                <w:b/>
              </w:rPr>
              <w:t>273</w:t>
            </w:r>
          </w:p>
        </w:tc>
        <w:tc>
          <w:tcPr>
            <w:tcW w:w="985" w:type="dxa"/>
            <w:tcBorders>
              <w:top w:val="single" w:sz="12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right"/>
              <w:rPr>
                <w:b/>
              </w:rPr>
            </w:pPr>
            <w:r>
              <w:rPr>
                <w:b/>
              </w:rPr>
              <w:t>93</w:t>
            </w:r>
          </w:p>
        </w:tc>
        <w:tc>
          <w:tcPr>
            <w:tcW w:w="985" w:type="dxa"/>
            <w:tcBorders>
              <w:top w:val="single" w:sz="12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right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985" w:type="dxa"/>
            <w:tcBorders>
              <w:top w:val="single" w:sz="12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right"/>
              <w:rPr>
                <w:b/>
              </w:rPr>
            </w:pPr>
            <w:r>
              <w:rPr>
                <w:b/>
              </w:rPr>
              <w:t>180</w:t>
            </w:r>
          </w:p>
        </w:tc>
        <w:tc>
          <w:tcPr>
            <w:tcW w:w="985" w:type="dxa"/>
            <w:tcBorders>
              <w:top w:val="single" w:sz="12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right"/>
              <w:rPr>
                <w:b/>
              </w:rPr>
            </w:pPr>
            <w:r>
              <w:rPr>
                <w:b/>
              </w:rPr>
              <w:t>66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45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</w:pPr>
            <w:r>
              <w:t>Генеральный консул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40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15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38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25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63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45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Вице-консул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77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25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32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52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68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45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Помощник консула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76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35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46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41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54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455" w:type="dxa"/>
            <w:tcBorders>
              <w:top w:val="single" w:sz="6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Почетные консульские должности</w:t>
            </w:r>
          </w:p>
        </w:tc>
        <w:tc>
          <w:tcPr>
            <w:tcW w:w="985" w:type="dxa"/>
            <w:tcBorders>
              <w:top w:val="single" w:sz="6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  <w:tc>
          <w:tcPr>
            <w:tcW w:w="985" w:type="dxa"/>
            <w:tcBorders>
              <w:top w:val="single" w:sz="6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  <w:tc>
          <w:tcPr>
            <w:tcW w:w="985" w:type="dxa"/>
            <w:tcBorders>
              <w:top w:val="single" w:sz="6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  <w:tc>
          <w:tcPr>
            <w:tcW w:w="985" w:type="dxa"/>
            <w:tcBorders>
              <w:top w:val="single" w:sz="6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  <w:tc>
          <w:tcPr>
            <w:tcW w:w="985" w:type="dxa"/>
            <w:tcBorders>
              <w:top w:val="single" w:sz="6" w:space="0" w:color="auto"/>
              <w:bottom w:val="single" w:sz="4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45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Почетный г</w:t>
            </w:r>
            <w:r>
              <w:t>е</w:t>
            </w:r>
            <w:r>
              <w:t>неральный консул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11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2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18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9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82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45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Почетный консул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65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15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23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50</w:t>
            </w:r>
          </w:p>
        </w:tc>
        <w:tc>
          <w:tcPr>
            <w:tcW w:w="985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77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45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Почетный в</w:t>
            </w:r>
            <w:r>
              <w:t>и</w:t>
            </w:r>
            <w:r>
              <w:t>це-консул</w:t>
            </w:r>
          </w:p>
        </w:tc>
        <w:tc>
          <w:tcPr>
            <w:tcW w:w="98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4</w:t>
            </w:r>
          </w:p>
        </w:tc>
        <w:tc>
          <w:tcPr>
            <w:tcW w:w="98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98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  <w:tc>
          <w:tcPr>
            <w:tcW w:w="98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3</w:t>
            </w:r>
          </w:p>
        </w:tc>
        <w:tc>
          <w:tcPr>
            <w:tcW w:w="985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75</w:t>
            </w:r>
          </w:p>
        </w:tc>
      </w:tr>
    </w:tbl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sz w:val="17"/>
        </w:rPr>
      </w:pPr>
      <w:r>
        <w:rPr>
          <w:i/>
          <w:sz w:val="17"/>
        </w:rPr>
        <w:t>Источник</w:t>
      </w:r>
      <w:r>
        <w:rPr>
          <w:sz w:val="17"/>
        </w:rPr>
        <w:t>: министерство иностранных дел, департамент людских ресурсов.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Что касается постоянных представительств при Организации Объединенных Наций (ООН) в Нью</w:t>
      </w:r>
      <w:r>
        <w:noBreakHyphen/>
        <w:t>Йорке и Женеве, Организации американских государств (ОАГ) и ЮНЕСКО, то в них доля женщин сократилась, и из четырех делег</w:t>
      </w:r>
      <w:r>
        <w:t>а</w:t>
      </w:r>
      <w:r>
        <w:t>ций, в которых работали женщины, теперь, как и в предыдущие шесть лет, о</w:t>
      </w:r>
      <w:r>
        <w:t>с</w:t>
      </w:r>
      <w:r>
        <w:t>тается только делегация при ЮНЕСКО с женщиной на посту постоянного представителя.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ноябре 2001 года женщины составляли 53 процента доминиканского перс</w:t>
      </w:r>
      <w:r>
        <w:t>о</w:t>
      </w:r>
      <w:r>
        <w:t>нала миссий при международных организациях. Если в численном отношении равенство между мужчинами и женщинами в делегациях достигнуто, то его о</w:t>
      </w:r>
      <w:r>
        <w:t>т</w:t>
      </w:r>
      <w:r>
        <w:t>нюдь не наблюдается в уровнях и рангах тех должностей, которые они заним</w:t>
      </w:r>
      <w:r>
        <w:t>а</w:t>
      </w:r>
      <w:r>
        <w:t>ют, и между уровнем должности и долей женщин отмечается обратная завис</w:t>
      </w:r>
      <w:r>
        <w:t>и</w:t>
      </w:r>
      <w:r>
        <w:t>мость: 17 процентов женщин на должностях послов, 58 процентов - на дол</w:t>
      </w:r>
      <w:r>
        <w:t>ж</w:t>
      </w:r>
      <w:r>
        <w:t>ностях посланников и 89 процентов - на секретарских должностях.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</w:pPr>
      <w:r>
        <w:t>Таблица 8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rPr>
          <w:b/>
        </w:rPr>
      </w:pPr>
      <w:r>
        <w:rPr>
          <w:b/>
        </w:rPr>
        <w:t>Доминиканский персонал представительств при международных орган</w:t>
      </w:r>
      <w:r>
        <w:rPr>
          <w:b/>
        </w:rPr>
        <w:t>и</w:t>
      </w:r>
      <w:r>
        <w:rPr>
          <w:b/>
        </w:rPr>
        <w:t>зациях (ноябрь 2001 года) (при Организации Объединенных Наций, ОАГ, Отделении ООН в Женеве, Швейцария, и ЮНЕСКО)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tbl>
      <w:tblPr>
        <w:tblW w:w="0" w:type="auto"/>
        <w:tblInd w:w="12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0"/>
        <w:gridCol w:w="1129"/>
        <w:gridCol w:w="1130"/>
        <w:gridCol w:w="1129"/>
        <w:gridCol w:w="113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2970" w:type="dxa"/>
            <w:tcBorders>
              <w:top w:val="single" w:sz="6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Должность</w:t>
            </w:r>
          </w:p>
        </w:tc>
        <w:tc>
          <w:tcPr>
            <w:tcW w:w="1129" w:type="dxa"/>
            <w:tcBorders>
              <w:top w:val="single" w:sz="6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Всего</w:t>
            </w:r>
          </w:p>
        </w:tc>
        <w:tc>
          <w:tcPr>
            <w:tcW w:w="1130" w:type="dxa"/>
            <w:tcBorders>
              <w:top w:val="single" w:sz="6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</w:t>
            </w:r>
          </w:p>
        </w:tc>
        <w:tc>
          <w:tcPr>
            <w:tcW w:w="1129" w:type="dxa"/>
            <w:tcBorders>
              <w:top w:val="single" w:sz="6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130" w:type="dxa"/>
            <w:tcBorders>
              <w:top w:val="single" w:sz="6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160" w:lineRule="exact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Доля женщин </w:t>
            </w:r>
            <w:r>
              <w:rPr>
                <w:i/>
                <w:sz w:val="14"/>
              </w:rPr>
              <w:br/>
              <w:t>в %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12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right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1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right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129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right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130" w:type="dxa"/>
            <w:tcBorders>
              <w:top w:val="single" w:sz="12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81" w:after="81" w:line="210" w:lineRule="exact"/>
              <w:jc w:val="right"/>
              <w:rPr>
                <w:b/>
              </w:rPr>
            </w:pPr>
            <w:r>
              <w:rPr>
                <w:b/>
              </w:rPr>
              <w:t>53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</w:pPr>
            <w:r>
              <w:t>Послы</w:t>
            </w:r>
          </w:p>
        </w:tc>
        <w:tc>
          <w:tcPr>
            <w:tcW w:w="1129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12</w:t>
            </w:r>
          </w:p>
        </w:tc>
        <w:tc>
          <w:tcPr>
            <w:tcW w:w="1130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10</w:t>
            </w:r>
          </w:p>
        </w:tc>
        <w:tc>
          <w:tcPr>
            <w:tcW w:w="1129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2</w:t>
            </w:r>
          </w:p>
        </w:tc>
        <w:tc>
          <w:tcPr>
            <w:tcW w:w="1130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before="40" w:after="40"/>
              <w:jc w:val="right"/>
            </w:pPr>
            <w:r>
              <w:t>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Постоянные пре</w:t>
            </w:r>
            <w:r>
              <w:t>д</w:t>
            </w:r>
            <w:r>
              <w:t>ставители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3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3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-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Альтернативные представители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4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4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-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Заместители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3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3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-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Заместители дел</w:t>
            </w:r>
            <w:r>
              <w:t>е</w:t>
            </w:r>
            <w:r>
              <w:t>гатов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Постоянные дел</w:t>
            </w:r>
            <w:r>
              <w:t>е</w:t>
            </w:r>
            <w:r>
              <w:t>гаты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Посланники</w:t>
            </w:r>
          </w:p>
        </w:tc>
        <w:tc>
          <w:tcPr>
            <w:tcW w:w="1129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26</w:t>
            </w:r>
          </w:p>
        </w:tc>
        <w:tc>
          <w:tcPr>
            <w:tcW w:w="1130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11</w:t>
            </w:r>
          </w:p>
        </w:tc>
        <w:tc>
          <w:tcPr>
            <w:tcW w:w="1129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15</w:t>
            </w:r>
          </w:p>
        </w:tc>
        <w:tc>
          <w:tcPr>
            <w:tcW w:w="1130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58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Советники-посланники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9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5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4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Советники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15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5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10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Советники по экономически в</w:t>
            </w:r>
            <w:r>
              <w:t>о</w:t>
            </w:r>
            <w:r>
              <w:t>просам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-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Почетные кул</w:t>
            </w:r>
            <w:r>
              <w:t>ь</w:t>
            </w:r>
            <w:r>
              <w:t>турные атташе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-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 xml:space="preserve">Секретари </w:t>
            </w:r>
          </w:p>
        </w:tc>
        <w:tc>
          <w:tcPr>
            <w:tcW w:w="1129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9</w:t>
            </w:r>
          </w:p>
        </w:tc>
        <w:tc>
          <w:tcPr>
            <w:tcW w:w="1130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1129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8</w:t>
            </w:r>
          </w:p>
        </w:tc>
        <w:tc>
          <w:tcPr>
            <w:tcW w:w="1130" w:type="dxa"/>
            <w:tcBorders>
              <w:top w:val="single" w:sz="6" w:space="0" w:color="auto"/>
              <w:bottom w:val="single" w:sz="6" w:space="0" w:color="auto"/>
            </w:tcBorders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89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Первые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8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7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Вторые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-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-</w:t>
            </w:r>
          </w:p>
        </w:tc>
        <w:tc>
          <w:tcPr>
            <w:tcW w:w="1129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-</w:t>
            </w:r>
          </w:p>
        </w:tc>
        <w:tc>
          <w:tcPr>
            <w:tcW w:w="1130" w:type="dxa"/>
            <w:vAlign w:val="bottom"/>
          </w:tcPr>
          <w:p w:rsidR="00000000" w:rsidRDefault="00000000">
            <w:pPr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97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</w:pPr>
            <w:r>
              <w:t>Третьи</w:t>
            </w:r>
          </w:p>
        </w:tc>
        <w:tc>
          <w:tcPr>
            <w:tcW w:w="112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11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-</w:t>
            </w:r>
          </w:p>
        </w:tc>
        <w:tc>
          <w:tcPr>
            <w:tcW w:w="1129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  <w:r>
              <w:t>1</w:t>
            </w:r>
          </w:p>
        </w:tc>
        <w:tc>
          <w:tcPr>
            <w:tcW w:w="1130" w:type="dxa"/>
            <w:tcBorders>
              <w:bottom w:val="single" w:sz="12" w:space="0" w:color="auto"/>
            </w:tcBorders>
            <w:vAlign w:val="bottom"/>
          </w:tcPr>
          <w:p w:rsidR="00000000" w:rsidRDefault="00000000">
            <w:pPr>
              <w:keepNext/>
              <w:tabs>
                <w:tab w:val="lef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40"/>
              <w:jc w:val="right"/>
            </w:pPr>
          </w:p>
        </w:tc>
      </w:tr>
    </w:tbl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10" w:lineRule="exact"/>
        <w:ind w:left="1267" w:right="1267"/>
        <w:jc w:val="both"/>
        <w:rPr>
          <w:sz w:val="17"/>
        </w:rPr>
      </w:pPr>
      <w:r>
        <w:rPr>
          <w:i/>
          <w:sz w:val="17"/>
        </w:rPr>
        <w:t>Источник</w:t>
      </w:r>
      <w:r>
        <w:rPr>
          <w:sz w:val="17"/>
        </w:rPr>
        <w:t>: министерство иностранных дел, департамент людских ресурсов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За истекший период Доминиканская Республика вошла в состав руководящ</w:t>
      </w:r>
      <w:r>
        <w:t>е</w:t>
      </w:r>
      <w:r>
        <w:t>го комитета Межамериканской комиссии женщин (МКЖ) Организации амер</w:t>
      </w:r>
      <w:r>
        <w:t>и</w:t>
      </w:r>
      <w:r>
        <w:t>канских государств (ОАГ), членом которой она является.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 января 2000 года в министерстве иностранных дел действует подраздел</w:t>
      </w:r>
      <w:r>
        <w:t>е</w:t>
      </w:r>
      <w:r>
        <w:t>ние по делам женщин, детей и подростков, подведомственное отделу по делам ООН/ОАГ, международных организаций и конференций.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</w:rPr>
      </w:pPr>
      <w:r>
        <w:rPr>
          <w:b/>
          <w:sz w:val="28"/>
        </w:rPr>
        <w:t>3.9.</w:t>
      </w:r>
      <w:r>
        <w:rPr>
          <w:b/>
          <w:sz w:val="28"/>
        </w:rPr>
        <w:tab/>
        <w:t>Статья 9. Гражданство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jc w:val="both"/>
      </w:pPr>
      <w:r>
        <w:rPr>
          <w:b/>
        </w:rPr>
        <w:t>3.9.1.</w:t>
      </w:r>
      <w:r>
        <w:rPr>
          <w:b/>
        </w:rPr>
        <w:tab/>
        <w:t>Доминиканцы гаитянского происхождения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Определение гражданства напрямую затрагивает доминиканских женщин гаитянского происхождения, которые, помимо прочего, относятся к самым бе</w:t>
      </w:r>
      <w:r>
        <w:t>д</w:t>
      </w:r>
      <w:r>
        <w:t>ным группам населения страны - традиционным общинам сборщиков сахарн</w:t>
      </w:r>
      <w:r>
        <w:t>о</w:t>
      </w:r>
      <w:r>
        <w:t>го тростника.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По данным ОДЗ</w:t>
      </w:r>
      <w:r>
        <w:noBreakHyphen/>
        <w:t>91 и ОДЗ</w:t>
      </w:r>
      <w:r>
        <w:noBreakHyphen/>
        <w:t>96, две трети иммигрантов в Доминиканской Ре</w:t>
      </w:r>
      <w:r>
        <w:t>с</w:t>
      </w:r>
      <w:r>
        <w:t>публике - это гаитянцы, доля которых за это период выросла с 63 до 68 процентов. Однако по состоянию на 1996 год 49 процентов иммигрантов, зарегистрированных в стране, прибыли в Доминиканскую Республику за тот же период 1990</w:t>
      </w:r>
      <w:r>
        <w:noBreakHyphen/>
        <w:t>1996 годов. В предыдущем десятилетии 1980</w:t>
      </w:r>
      <w:r>
        <w:noBreakHyphen/>
        <w:t>1989 годов эти лица составляли только 25 процентов среди иммигрантов. Судя по всему, такой рост обусловлен социально-политическими изменениями, происходившими в Гаити начиная с 1986 года</w:t>
      </w:r>
      <w:r>
        <w:rPr>
          <w:rStyle w:val="FootnoteReference"/>
        </w:rPr>
        <w:footnoteReference w:id="54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 числу мер, принятых государством в связи с этой ситуацией, относятся: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разработка нового проекта закона о миграции, в котором учтены основные предложения, внесенные различными организациями гражданского общества, занимающимися проблемами доминиканского населения гаитянского происх</w:t>
      </w:r>
      <w:r>
        <w:t>о</w:t>
      </w:r>
      <w:r>
        <w:t>ждения, а также гаитянских иммигрантов;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заключение соглашения между министерством образования и Центральным избирательным советом с целью ускорить и облегчить процесс получения св</w:t>
      </w:r>
      <w:r>
        <w:t>и</w:t>
      </w:r>
      <w:r>
        <w:t>детельств о рождении, необходимых для приема детей в школы. Этот шаг им</w:t>
      </w:r>
      <w:r>
        <w:t>е</w:t>
      </w:r>
      <w:r>
        <w:t>ет важное значение не только для доминиканского населения гаитянского пр</w:t>
      </w:r>
      <w:r>
        <w:t>о</w:t>
      </w:r>
      <w:r>
        <w:t>исхождения, но и для наиболее бедных групп населения и жителей сельской местности, которые чаще всего задерживают предоставление сведений о своем происхождении.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</w:pPr>
      <w:r>
        <w:rPr>
          <w:b/>
          <w:sz w:val="28"/>
        </w:rPr>
        <w:t>3.10.</w:t>
      </w:r>
      <w:r>
        <w:rPr>
          <w:b/>
          <w:sz w:val="28"/>
        </w:rPr>
        <w:tab/>
        <w:t>Статья 10: Образование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Вот уже в течение 15 лет показатели в области образования среди женщин растут более уверенными темпами, чем среди мужчин. Отмечается значител</w:t>
      </w:r>
      <w:r>
        <w:t>ь</w:t>
      </w:r>
      <w:r>
        <w:t xml:space="preserve">ное снижение уровня неграмотности среди мужчин и женщин и дальнейшее сокращение разрыва между ними до такой степени, что в 1996 году наметилась обратная тенденция: </w:t>
      </w:r>
      <w:r>
        <w:rPr>
          <w:i/>
        </w:rPr>
        <w:t>уровень образованности мужчин стал несколько более высоким, особенно в сельских районах</w:t>
      </w:r>
      <w:r>
        <w:t>. Такая ситуация сохраняется, и можно отметить, к примеру, что в контингенте учащихся школ в 1998/99 учебном году девочки составили 51 процент и что эта цифра намного более высока, когда речь идет об обучении грамоте взрослых.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Что касается уровня образования, то здесь положение женщин и мужчин примерно одинаково, и небольшая разница отмечается лишь в темпах происх</w:t>
      </w:r>
      <w:r>
        <w:t>о</w:t>
      </w:r>
      <w:r>
        <w:t>дящих перемен. За период с 1996 по 1999 год доля лиц, не имеющих никакого образования, сократилась с 16 до 11 процентов для женщин и с 18 до 10 процентов для мужчин, что означает, что в случае с мужчинами наиболее важным фактором была мобильность. На уровне начального образования доля девочек несколько сократилась, с 56,4 до 55,6 процента, а доля мальчиков ост</w:t>
      </w:r>
      <w:r>
        <w:t>а</w:t>
      </w:r>
      <w:r>
        <w:t>лась на прежнем уровне в 56,5 процента. На уровне среднего и высшего обр</w:t>
      </w:r>
      <w:r>
        <w:t>а</w:t>
      </w:r>
      <w:r>
        <w:t>зования увеличилась доля представителей обоих полов, причем доля мужчин - в несколько большей степени. Это означает, что по сравнению с 1996 годом п</w:t>
      </w:r>
      <w:r>
        <w:t>о</w:t>
      </w:r>
      <w:r>
        <w:t>ложение женщин продолжало улучшаться, но не столь быстрыми темпами, как положение мужчин (см. приложение 3).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области профессионально-технического и трудового обучения женщины составляют 70 процентов контингента учащихся, в особенности в сельских районах. Профессионально-техническое образование приобрело важное знач</w:t>
      </w:r>
      <w:r>
        <w:t>е</w:t>
      </w:r>
      <w:r>
        <w:t>ние. За период с 1982 по 1995 год доля женщин, окончивших Национальный профессионально-технический институт (НПТИ), выросла с 24 до 39 процентов, то есть она увеличивалась примерно на 1 процент в год, тогда как за период с 1995 по 1997 год она выросла с 39 до 44 процентов, то есть ежегодный прирост составил около 2 процентов. В 1997 году из каждых 100 выпускников НПТИ 80 были женщинами. В ответ на замечания по четве</w:t>
      </w:r>
      <w:r>
        <w:t>р</w:t>
      </w:r>
      <w:r>
        <w:t>тому докладу (пункт 348) в отношении профессионально-технического обуч</w:t>
      </w:r>
      <w:r>
        <w:t>е</w:t>
      </w:r>
      <w:r>
        <w:t>ния и нетрадиционных занятий можно указать на следующие меры: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дистанционное обучение и трудовая подготовка женщин, организованные на основе координации с примерно 15 НПО (радиошколы "Санта</w:t>
      </w:r>
      <w:r>
        <w:noBreakHyphen/>
        <w:t>Мария", униве</w:t>
      </w:r>
      <w:r>
        <w:t>р</w:t>
      </w:r>
      <w:r>
        <w:t>ситет АПЕК, "ПРОФАМИЛИА", "ИДЕНТИДАД", "СЕ-МУХЕР" и др.);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профессионально-техническое и трудовое обучение и обучение навыкам управленческой деятельности работников малых и средних предприятий;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прием лиц обоих полов, без ограничений в плане выбора специальности или профессии, в политехникумы, центры профессиональной подготовки и инст</w:t>
      </w:r>
      <w:r>
        <w:t>и</w:t>
      </w:r>
      <w:r>
        <w:t>туты технического обучения, которые ранее были доступны представителям только одного пола;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br w:type="page"/>
        <w:t>-</w:t>
      </w:r>
      <w:r>
        <w:tab/>
        <w:t>выпуск в сотрудничестве с НПО "СЕ</w:t>
      </w:r>
      <w:r>
        <w:noBreakHyphen/>
        <w:t>МУХЕР" двух видеофильмов, в которых пропагандируется трудовое обучение женщин в нетрадиционных областях и привлечение членов семьи к выполнению домашних обязанностей.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исследовании "Гендерный анализ в контексте реформы и модернизации системы образования"</w:t>
      </w:r>
      <w:r>
        <w:rPr>
          <w:rStyle w:val="FootnoteReference"/>
        </w:rPr>
        <w:footnoteReference w:id="55"/>
      </w:r>
      <w:r>
        <w:t xml:space="preserve"> указывается, что "в министерском указе I</w:t>
      </w:r>
      <w:r>
        <w:noBreakHyphen/>
        <w:t>95 (на основании которого вводится учебная программа для базового, среднего, специального образования и образования взрослых в Доминиканской Респу</w:t>
      </w:r>
      <w:r>
        <w:t>б</w:t>
      </w:r>
      <w:r>
        <w:t>лике) устанавливаются требования к введению принципа недискриминации по признаку пола на разных уровнях системы образования, которые нашли отр</w:t>
      </w:r>
      <w:r>
        <w:t>а</w:t>
      </w:r>
      <w:r>
        <w:t>жение, в частности, в задачах, поставленных для каждого уровня, и в целом в содержании и стратегии преподавания и обучения. Вместе с тем ведется работа по просвещению в вопросах равенства полов управленческого и технического персонала на центральном, региональном и окружном уровнях.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 числу успехов, отмеченных 96 государственными и частными учреждени</w:t>
      </w:r>
      <w:r>
        <w:t>я</w:t>
      </w:r>
      <w:r>
        <w:t>ми и организациями Доминиканской Республики, которые оценивали ход ос</w:t>
      </w:r>
      <w:r>
        <w:t>у</w:t>
      </w:r>
      <w:r>
        <w:t>ществления Пекинской платформы действий по направлению "Женщины и о</w:t>
      </w:r>
      <w:r>
        <w:t>б</w:t>
      </w:r>
      <w:r>
        <w:t>разование", относятся следующие</w:t>
      </w:r>
      <w:r>
        <w:rPr>
          <w:rStyle w:val="FootnoteReference"/>
        </w:rPr>
        <w:footnoteReference w:id="56"/>
      </w:r>
      <w:r>
        <w:t>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рост объема ресурсов в секторе образования благодаря увеличению ассигн</w:t>
      </w:r>
      <w:r>
        <w:t>о</w:t>
      </w:r>
      <w:r>
        <w:t>ваний в национальном бюджете, мобилизация средств международных учре</w:t>
      </w:r>
      <w:r>
        <w:t>ж</w:t>
      </w:r>
      <w:r>
        <w:t>дений и гражданского общества. Увеличение финансирования специальных программ (например, программ внедрения компьютерной техники). Финанс</w:t>
      </w:r>
      <w:r>
        <w:t>о</w:t>
      </w:r>
      <w:r>
        <w:t>вая помощь Всемирного банка в процессе реформы системы образования в стране;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национальные дни и программы ликвидации неграмотности среди взрослых, в которых активно участвуют женщины-преподаватели и учащиеся. Расшир</w:t>
      </w:r>
      <w:r>
        <w:t>е</w:t>
      </w:r>
      <w:r>
        <w:t>ние возможностей для получения базового образования;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значительное улучшение качества учебников для взрослых (недискриминац</w:t>
      </w:r>
      <w:r>
        <w:t>и</w:t>
      </w:r>
      <w:r>
        <w:t>онные формулировки, персонажи, по внешнему виду напоминающие местных жителей, лучшее качество подачи материала).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</w:pPr>
      <w:r>
        <w:rPr>
          <w:b/>
          <w:sz w:val="28"/>
        </w:rPr>
        <w:t>3.11.</w:t>
      </w:r>
      <w:r>
        <w:rPr>
          <w:b/>
          <w:sz w:val="28"/>
        </w:rPr>
        <w:tab/>
        <w:t>Статья 11. Занятость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предыдущем докладе было четко указано, что в Конституции и Трудовом кодексе провозглашен принцип недискриминации женщин в плане осущест</w:t>
      </w:r>
      <w:r>
        <w:t>в</w:t>
      </w:r>
      <w:r>
        <w:t>ления ими права на труд и свободного выбора профессии, а также принцип з</w:t>
      </w:r>
      <w:r>
        <w:t>а</w:t>
      </w:r>
      <w:r>
        <w:t>щиты материнства и права кормить ребенка грудью.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Некоторые из этих прав еще предстоит ввести в практику; речь идет в первую очередь о создании подходящих условий для выполнения юридических пол</w:t>
      </w:r>
      <w:r>
        <w:t>о</w:t>
      </w:r>
      <w:r>
        <w:t>жений о праве работающей женщины кормить ребенка грудью, и создании у</w:t>
      </w:r>
      <w:r>
        <w:t>ч</w:t>
      </w:r>
      <w:r>
        <w:t>реждений по уходу за детьми (детских комнат). Эти механизмы были созданы в порядке выполнения требований Закона № 87</w:t>
      </w:r>
      <w:r>
        <w:noBreakHyphen/>
        <w:t>01 о создании доминиканской системы социального обеспечения, в котором предусматривается выплата ед</w:t>
      </w:r>
      <w:r>
        <w:t>и</w:t>
      </w:r>
      <w:r>
        <w:t>ной пенсии безработным матерям-одиночкам, создание детских комнат, оказ</w:t>
      </w:r>
      <w:r>
        <w:t>а</w:t>
      </w:r>
      <w:r>
        <w:t>ние услуг по охране здоровья матери и ребенка и услуг для престарелых, в</w:t>
      </w:r>
      <w:r>
        <w:t>ы</w:t>
      </w:r>
      <w:r>
        <w:t>плата пенсий семьям, потерявшим кормильца, выплата субсидий для грудного вскармливания самым малообеспеченным и т.д.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Кроме того, был внесен ряд поправок в Трудовой кодекс в интересах женщин, выполняющих домашние обязанности (см. пункт 3.11.3).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период 1996</w:t>
      </w:r>
      <w:r>
        <w:noBreakHyphen/>
        <w:t>1999 годов в Доминиканской Республике наблюдались сл</w:t>
      </w:r>
      <w:r>
        <w:t>е</w:t>
      </w:r>
      <w:r>
        <w:t>дующие общие тенденции в области занятости</w:t>
      </w:r>
      <w:r>
        <w:rPr>
          <w:rStyle w:val="FootnoteReference"/>
        </w:rPr>
        <w:footnoteReference w:id="57"/>
      </w:r>
      <w:r>
        <w:t>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чистое увеличение числа рабочих мест в свободных экономических зонах на 25 тысяч (меньше того, что было отмечено в периоды 1983</w:t>
      </w:r>
      <w:r>
        <w:noBreakHyphen/>
        <w:t>1986 и 1990</w:t>
      </w:r>
      <w:r>
        <w:noBreakHyphen/>
        <w:t>1993 годов);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среднегодовой прирост численности занятых в гостиничном хозяйстве в се</w:t>
      </w:r>
      <w:r>
        <w:t>к</w:t>
      </w:r>
      <w:r>
        <w:t>торе туризма примерно на 5 тыс. человек (меньше по сравнению с приростом, отмеченным в середине 80</w:t>
      </w:r>
      <w:r>
        <w:noBreakHyphen/>
        <w:t>х годов и начале 90</w:t>
      </w:r>
      <w:r>
        <w:noBreakHyphen/>
        <w:t>х годов);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увеличение на 34 тыс. человек численности лиц, занятых в сфере управления (центральное правительство, автономные и децентрализованные учреждения и муниципальные советы). Эта цифра несколько больше той, которая отмечалась в предыдущие периоды;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высокая степень нестабильности в секторе микропредприятий. В период с марта 1998 года по март 1999 года было создано 263 тыс. рабочих мест и ли</w:t>
      </w:r>
      <w:r>
        <w:t>к</w:t>
      </w:r>
      <w:r>
        <w:t>видировано 208 тысяч. В 1999 году 50 процентов предприятий, созданных за п</w:t>
      </w:r>
      <w:r>
        <w:t>о</w:t>
      </w:r>
      <w:r>
        <w:t>следние 12 месяцев, представляли собой единоличные предприятия или лиц, занимающихся индивидуальной трудовой деятельностью. В этом секторе 21 процент трудящихся не получали вознаграждения, 40 процентов владельцев таких предприятий зарабатывали менее 2 тыс. песо в месяц и 68 процентов - менее 5 тыс. песо в месяц. Кроме того, в этот период в формальных секторах экономики насчитывалось только порядка 125</w:t>
      </w:r>
      <w:r>
        <w:noBreakHyphen/>
        <w:t>150 тыс. относительно стабил</w:t>
      </w:r>
      <w:r>
        <w:t>ь</w:t>
      </w:r>
      <w:r>
        <w:t>ных предприятий, то есть ежегодный прирост числа таких предприятий был намного ниже прироста численности рабочей силы. Рост происходил главным образом в неформальных секторах: в частности, в сектор малых и микропре</w:t>
      </w:r>
      <w:r>
        <w:t>д</w:t>
      </w:r>
      <w:r>
        <w:t>приятий влилось около 260 тыс. новых трудящихся</w:t>
      </w:r>
      <w:r>
        <w:rPr>
          <w:rStyle w:val="FootnoteReference"/>
        </w:rPr>
        <w:footnoteReference w:id="58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65 процентов рабочих мест, созданных за период 1991</w:t>
      </w:r>
      <w:r>
        <w:noBreakHyphen/>
        <w:t>1999 годов, относ</w:t>
      </w:r>
      <w:r>
        <w:t>и</w:t>
      </w:r>
      <w:r>
        <w:t>лись к сфере индивидуальной трудовой деятельности.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</w:pPr>
      <w:r>
        <w:rPr>
          <w:b/>
        </w:rPr>
        <w:t>3.11.1.</w:t>
      </w:r>
      <w:r>
        <w:rPr>
          <w:b/>
        </w:rPr>
        <w:tab/>
        <w:t>Женщины</w:t>
      </w:r>
      <w:r>
        <w:rPr>
          <w:rStyle w:val="FootnoteReference"/>
        </w:rPr>
        <w:footnoteReference w:id="59"/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Если говорить в целом, то, хотя уровень безработицы среди женщин остается особенно высоким, доля женщин на рынке труда растет, увеличиваясь почти на 2 процента в год (женщины составляли 43 процента трудящихся в 1996 году и 49 процентов в 1999 году).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1999 году свыше одной трети (37 процентов) трудящихся-женщин работали в рамках семьи и 5 процентов женщин не получали вознаграждения за свой труд; 52 процента работали по найму, и 11 процентов занимались индивид</w:t>
      </w:r>
      <w:r>
        <w:t>у</w:t>
      </w:r>
      <w:r>
        <w:t>альной трудовой деятельностью. Разница между городскими и сельскими ра</w:t>
      </w:r>
      <w:r>
        <w:t>й</w:t>
      </w:r>
      <w:r>
        <w:t>онами определяется скорее тем, получают ли работники вознаграждение за свой труд: в сельских районах 9 процентов женщин, работающих в семье, не получают вознаграждения, в городах - только 3 процента. Аналогичные показ</w:t>
      </w:r>
      <w:r>
        <w:t>а</w:t>
      </w:r>
      <w:r>
        <w:t>тели отмечаются и для женщин, занимающихся индивидуальной трудовой де</w:t>
      </w:r>
      <w:r>
        <w:t>я</w:t>
      </w:r>
      <w:r>
        <w:t>тельностью (вознаграждение не получают 9 процентов женщин в деревне и 3 процента женщин в городах). Среди самостоятельно занятых женщин возн</w:t>
      </w:r>
      <w:r>
        <w:t>а</w:t>
      </w:r>
      <w:r>
        <w:t>граждение не получают самые молодые и самые пожилые (14 процентов лиц в возрасте 15</w:t>
      </w:r>
      <w:r>
        <w:noBreakHyphen/>
        <w:t>20 лет и 9 процентов лиц в возрасте 45</w:t>
      </w:r>
      <w:r>
        <w:noBreakHyphen/>
        <w:t xml:space="preserve">49 лет). 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jc w:val="both"/>
      </w:pPr>
      <w:r>
        <w:rPr>
          <w:b/>
        </w:rPr>
        <w:t>3.11.2.</w:t>
      </w:r>
      <w:r>
        <w:rPr>
          <w:b/>
        </w:rPr>
        <w:tab/>
        <w:t>Безработица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За последние годы уровень безработицы снизился, что объясняется главным образом развитием сектора микропредприятий. Так, с 1992 по 1996 год безр</w:t>
      </w:r>
      <w:r>
        <w:t>а</w:t>
      </w:r>
      <w:r>
        <w:t>ботица сократилась с 20,7 до 16,5 процента, в апреле 1997 года она снизилась до 15,9 процента</w:t>
      </w:r>
      <w:r>
        <w:rPr>
          <w:rStyle w:val="FootnoteReference"/>
        </w:rPr>
        <w:footnoteReference w:id="60"/>
      </w:r>
      <w:r>
        <w:t>, а 1998 году она составила 14,7 процента, причем безраб</w:t>
      </w:r>
      <w:r>
        <w:t>о</w:t>
      </w:r>
      <w:r>
        <w:t>тица среди женщин была почти в три раза выше, чем среди мужчин (24 процента и 9 процентов, соответственно)</w:t>
      </w:r>
      <w:r>
        <w:rPr>
          <w:rStyle w:val="FootnoteReference"/>
        </w:rPr>
        <w:footnoteReference w:id="61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Уровень безработицы наиболее высок среди самых молодых работниц: две пятых женщин в возрасте до 24 лет не имеют работы. Разница в уровнях безр</w:t>
      </w:r>
      <w:r>
        <w:t>а</w:t>
      </w:r>
      <w:r>
        <w:t>ботицы минимальна между мужчинами и женщинами в возрасте 60 лет и ста</w:t>
      </w:r>
      <w:r>
        <w:t>р</w:t>
      </w:r>
      <w:r>
        <w:t>ше, что может объясняться более поздним выходом женщин на пенсию. Кроме того, процент безработных особенно высок среди малообеспеченных женщин: если говорить в целом, то среди населения с самыми низкими доходами ур</w:t>
      </w:r>
      <w:r>
        <w:t>о</w:t>
      </w:r>
      <w:r>
        <w:t>вень безработицы составляет 41 процент, тогда как среди населения с более высокими доходами он не превышает 7 процентов.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1999 году 51 процент женщин репродуктивного возраста не работали, 39 процентов работали в течение всего года, а оставшиеся 10 процентов раб</w:t>
      </w:r>
      <w:r>
        <w:t>о</w:t>
      </w:r>
      <w:r>
        <w:t>тали на сезонной и временной основе. Для сравнения можно отметить, что в 1996 году 57 процентов женщин не работали, 36 процентов работали в течение всего года и 6 процентов работали на сезонной или временной основе</w:t>
      </w:r>
      <w:r>
        <w:rPr>
          <w:rStyle w:val="FootnoteReference"/>
        </w:rPr>
        <w:footnoteReference w:id="62"/>
      </w:r>
      <w:r>
        <w:t>. В основном же</w:t>
      </w:r>
      <w:r>
        <w:t>н</w:t>
      </w:r>
      <w:r>
        <w:t>щины сосредоточены в неформальном секторе - самом неустойчивом секторе экономики.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jc w:val="both"/>
        <w:rPr>
          <w:b/>
        </w:rPr>
      </w:pPr>
      <w:r>
        <w:rPr>
          <w:b/>
        </w:rPr>
        <w:t>3.11.3.</w:t>
      </w:r>
      <w:r>
        <w:rPr>
          <w:b/>
        </w:rPr>
        <w:tab/>
        <w:t>Оплачиваемая работа по дому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8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1998 году 22 процента всех работников, получающих вознаграждение (3 517 194 человека), составляли лица, выполняющие обязанности по дому, и в этой группе 97 процентов были женщинами, т.е., другими словами, почти че</w:t>
      </w:r>
      <w:r>
        <w:t>т</w:t>
      </w:r>
      <w:r>
        <w:t>верть (21 процент) работников, получающих вознаграждение, - это женщины, занимающиеся выполнением домашних обязанностей. На долю этой категории трудящихся приходится 10,3 процента ВВП</w:t>
      </w:r>
      <w:r>
        <w:rPr>
          <w:rStyle w:val="FootnoteReference"/>
        </w:rPr>
        <w:footnoteReference w:id="63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Несмотря на немалый вклад, который эта категория трудящихся вносит в формирование ВВП, права этих лиц защищены в наименьшей степени. По</w:t>
      </w:r>
      <w:r>
        <w:rPr>
          <w:lang w:val="en-GB"/>
        </w:rPr>
        <w:t> </w:t>
      </w:r>
      <w:r>
        <w:t>существу, те немногочисленные права, которые имеют лица, работающие по дому, закреплены в специальном разделе Трудового кодекса и тем самым и</w:t>
      </w:r>
      <w:r>
        <w:t>с</w:t>
      </w:r>
      <w:r>
        <w:t>ключены из свода положений, регулирующих права трудящихся. Тем не менее в 1999 году эти права были расширены в законодательном порядке: были пр</w:t>
      </w:r>
      <w:r>
        <w:t>е</w:t>
      </w:r>
      <w:r>
        <w:t>дусмотрены выплата двойного оклада или премии в декабре, предоставление двухнедельного оплачиваемого отпуска за проработанный год и выдача раб</w:t>
      </w:r>
      <w:r>
        <w:t>о</w:t>
      </w:r>
      <w:r>
        <w:t>тодателями необходимых разрешений на учебу или посещение врача или бол</w:t>
      </w:r>
      <w:r>
        <w:t>ь</w:t>
      </w:r>
      <w:r>
        <w:t>ницы в случае болезни, если это совместимо с графиком работы на предпр</w:t>
      </w:r>
      <w:r>
        <w:t>и</w:t>
      </w:r>
      <w:r>
        <w:t>ятии и на то количество дней, которое будет согласовано с работодателем. С 1948 года в законодательном порядке предусмотрено участие в системе соц</w:t>
      </w:r>
      <w:r>
        <w:t>и</w:t>
      </w:r>
      <w:r>
        <w:t>ального обеспечения, включая страхование от рисков, связанных с болезнью, береме</w:t>
      </w:r>
      <w:r>
        <w:t>н</w:t>
      </w:r>
      <w:r>
        <w:t>ностью, инвалидностью и смертью</w:t>
      </w:r>
      <w:r>
        <w:rPr>
          <w:rStyle w:val="FootnoteReference"/>
        </w:rPr>
        <w:footnoteReference w:id="64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Однако на практике эти права применяются по усмотрению работодателя. С другой стороны, осуществление прав лиц, работающих по дому, затрудняет недостаточная пропаганда этих прав, о которых почти ничего не знают заинт</w:t>
      </w:r>
      <w:r>
        <w:t>е</w:t>
      </w:r>
      <w:r>
        <w:t>ресованные стороны - работницы</w:t>
      </w:r>
      <w:r>
        <w:rPr>
          <w:rStyle w:val="FootnoteReference"/>
        </w:rPr>
        <w:footnoteReference w:id="65"/>
      </w:r>
      <w:r>
        <w:t xml:space="preserve"> и работодатели.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6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20" w:lineRule="exact"/>
        <w:ind w:left="1267" w:right="1267"/>
        <w:jc w:val="both"/>
        <w:rPr>
          <w:b/>
        </w:rPr>
      </w:pPr>
      <w:r>
        <w:rPr>
          <w:b/>
        </w:rPr>
        <w:t>3.11.4.</w:t>
      </w:r>
      <w:r>
        <w:rPr>
          <w:b/>
        </w:rPr>
        <w:tab/>
        <w:t>Конкретные меры для содействия росту занятости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6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6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Недавно (в январе 2002 года) в министерстве труда был создан департамент по вопросам равенства полов с целью содействовать проведению политики равноправия полов как в программах и стратегиях сектора труда, так и в самом министерстве. В настоящее время в департаменте создается управление по в</w:t>
      </w:r>
      <w:r>
        <w:t>о</w:t>
      </w:r>
      <w:r>
        <w:t>просам равенства полов, которое должно приступить к работе в 2003 году</w:t>
      </w:r>
      <w:r>
        <w:rPr>
          <w:rStyle w:val="FootnoteReference"/>
        </w:rPr>
        <w:footnoteReference w:id="66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 другой стороны, проводимая правительством социальная политика нацел</w:t>
      </w:r>
      <w:r>
        <w:t>е</w:t>
      </w:r>
      <w:r>
        <w:t>на, в первую очередь, на создание новых рабочих мест и призвана сосредот</w:t>
      </w:r>
      <w:r>
        <w:t>о</w:t>
      </w:r>
      <w:r>
        <w:t>чить усилия по борьбе с нищетой на развитии микро-, малых и средних пре</w:t>
      </w:r>
      <w:r>
        <w:t>д</w:t>
      </w:r>
      <w:r>
        <w:t>приятий за счет предоставления кредитов, подготовки технических и упра</w:t>
      </w:r>
      <w:r>
        <w:t>в</w:t>
      </w:r>
      <w:r>
        <w:t>ленческих кадров и профессионально-технического обучения.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Как явствует из доклада нынешнего кабинета министров о работе в течение первых шести месяцев (апрель-сентябрь 2001 года)</w:t>
      </w:r>
      <w:r>
        <w:rPr>
          <w:rStyle w:val="FootnoteReference"/>
        </w:rPr>
        <w:footnoteReference w:id="67"/>
      </w:r>
      <w:r>
        <w:t>, по линии ПРОМИПИМЕ в развитие микро- и малых предприятий было инвестировано 95 млн. песо в виде кредитов по ставке 1,2 процента в месяц (процентная ставка в банках с</w:t>
      </w:r>
      <w:r>
        <w:t>о</w:t>
      </w:r>
      <w:r>
        <w:t>ставляет 2 процента в месяц). Эти кредиты, которые получили 6215 микропредприятий, призваны поддержать небольшие предприятия, кот</w:t>
      </w:r>
      <w:r>
        <w:t>о</w:t>
      </w:r>
      <w:r>
        <w:t>рые не могут воспользоваться услугами национальной финансовой системы; им уделено первоочередное внимание в мероприятиях по финансированию и обучению женщин - владельцев микро-, малых и средних предприятий и оказ</w:t>
      </w:r>
      <w:r>
        <w:t>а</w:t>
      </w:r>
      <w:r>
        <w:t>нию им технической помощи.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За период с августа 2000 года по июнь 2001 года программами професси</w:t>
      </w:r>
      <w:r>
        <w:t>о</w:t>
      </w:r>
      <w:r>
        <w:t>нальной подготовки в рамках ПРОМИПИМЕ было охвачено 59 процентов женщин; аналогичным образом, женщины составляли 43 процента участников дней образования и профессиональной ориентации, и женщинам было выдано 60 процентов и 51 процент кредитов, предоставленных в рамках Президентск</w:t>
      </w:r>
      <w:r>
        <w:t>о</w:t>
      </w:r>
      <w:r>
        <w:t>го плана борьбы с нищетой (ППБН). Кроме того, в рамках Программы по</w:t>
      </w:r>
      <w:r>
        <w:t>д</w:t>
      </w:r>
      <w:r>
        <w:t>держки гражданского общества был открыт кредитный счет (почти 26 млн. п</w:t>
      </w:r>
      <w:r>
        <w:t>е</w:t>
      </w:r>
      <w:r>
        <w:t>со из утвержденных ассигнований в 39 млн. песо) и образована группа из семи экспериментальных НПО в этом секторе, которые действуют в качестве п</w:t>
      </w:r>
      <w:r>
        <w:t>о</w:t>
      </w:r>
      <w:r>
        <w:t>средников и осуществляют программу кредитования женщин. Два учреждения из этой группы, которые прицельно занимаются женской проблематикой, пол</w:t>
      </w:r>
      <w:r>
        <w:t>у</w:t>
      </w:r>
      <w:r>
        <w:t>чили 44 процента предоставленных средств.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рамках программы "На пути к достойному обществу" разрабатывается пр</w:t>
      </w:r>
      <w:r>
        <w:t>о</w:t>
      </w:r>
      <w:r>
        <w:t>ект создания женских производственных кооперативов, цель которого - спосо</w:t>
      </w:r>
      <w:r>
        <w:t>б</w:t>
      </w:r>
      <w:r>
        <w:t>ствовать сокращению безработицы среди женщин за счет оказания содействия созданию и функционированию производственных кооперативов и поддержки инициатив малых предприятий. Расходы на создание кооператива мастерских по пошиву готовой одежды и другой продукции из текстиля, которым заним</w:t>
      </w:r>
      <w:r>
        <w:t>а</w:t>
      </w:r>
      <w:r>
        <w:t>ется министерство по делам женщин, составили 60 млн. доминиканских песо</w:t>
      </w:r>
      <w:r>
        <w:rPr>
          <w:rStyle w:val="FootnoteReference"/>
        </w:rPr>
        <w:footnoteReference w:id="68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jc w:val="both"/>
        <w:rPr>
          <w:b/>
        </w:rPr>
      </w:pPr>
      <w:r>
        <w:rPr>
          <w:b/>
          <w:sz w:val="28"/>
        </w:rPr>
        <w:t>3.12.</w:t>
      </w:r>
      <w:r>
        <w:rPr>
          <w:b/>
          <w:sz w:val="28"/>
        </w:rPr>
        <w:tab/>
        <w:t>Статья 12. Здравоохранение</w:t>
      </w:r>
      <w:r>
        <w:rPr>
          <w:rStyle w:val="FootnoteReference"/>
        </w:rPr>
        <w:footnoteReference w:id="69"/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980" w:right="1267" w:hanging="713"/>
      </w:pPr>
      <w:r>
        <w:rPr>
          <w:b/>
        </w:rPr>
        <w:t>3.12.1.</w:t>
      </w:r>
      <w:r>
        <w:rPr>
          <w:b/>
        </w:rPr>
        <w:tab/>
        <w:t>Некоторые показатели сексуального и репродуктивного здоровья доминиканских женщин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i/>
        </w:rPr>
      </w:pPr>
      <w:r>
        <w:rPr>
          <w:b/>
          <w:i/>
        </w:rPr>
        <w:tab/>
        <w:t>Снижение уровня рождаемости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За последние годы в Доминиканской Республике отмечено сокращение уро</w:t>
      </w:r>
      <w:r>
        <w:t>в</w:t>
      </w:r>
      <w:r>
        <w:t>ня рождаемости: общий коэффициент рождаемости сократился с 3,2 ребенка на одну женщину в 1996 году до 2,7 в 1999 году. Наиболее заметно он сократился в сельских районах, с 4 до 3 детей на одну женщину, в то время как в городах - с 2,8 до 2,4 ребенка на одну женщину. Кроме того, было отмечено сокращение числа детей, которое хотела бы иметь одна женщина, - с 2,5 до 2 детей в период с 1996 по 1999 год.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Кроме того, увеличился интервал между поколениями (между рождениями детей) - с 29 до 31 месяца за период с 1996 по 1999 год. Этот показатель повл</w:t>
      </w:r>
      <w:r>
        <w:t>и</w:t>
      </w:r>
      <w:r>
        <w:t>ял как на уменьшение среднего количества детей, так и на снижение рисков, связанных с рождением детей (малый вес при рождении, недоедание, младе</w:t>
      </w:r>
      <w:r>
        <w:t>н</w:t>
      </w:r>
      <w:r>
        <w:t>ческая смертность). Упомянутый показатель также меньше в сельских районах, чем в городах (29 и 32 месяца, соответственно), и, разумеется, он тесно связан с уровнем образования. Чем выше уровень образования, тем больше интервал между рождениями детей, который колеблется от 28 месяцев для женщин, окончивших 1</w:t>
      </w:r>
      <w:r>
        <w:noBreakHyphen/>
        <w:t>4 класса школы, до 35 месяцев для женщин, обучающихся в средней школе. В 1999 году на момент проведения опроса 5 процентов женщин в возрасте 15</w:t>
      </w:r>
      <w:r>
        <w:noBreakHyphen/>
        <w:t>49 лет были беременны; среди необразованных женщин эта ци</w:t>
      </w:r>
      <w:r>
        <w:t>ф</w:t>
      </w:r>
      <w:r>
        <w:t>ра достигает 9 процентов.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i/>
        </w:rPr>
      </w:pPr>
      <w:r>
        <w:rPr>
          <w:b/>
          <w:i/>
        </w:rPr>
        <w:tab/>
        <w:t>Снижение остроты проблемы подростковой беременности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Хотя за период с 1996 по 1999 год уровень подростковой беременности сн</w:t>
      </w:r>
      <w:r>
        <w:t>и</w:t>
      </w:r>
      <w:r>
        <w:t>зился с 23 до 21 процента, он остается чрезвычайно высоким: пятая часть д</w:t>
      </w:r>
      <w:r>
        <w:t>е</w:t>
      </w:r>
      <w:r>
        <w:t>вушек-подростков (15</w:t>
      </w:r>
      <w:r>
        <w:noBreakHyphen/>
        <w:t>19 лет) беременеют и каждая третья становится матерью в возрасте 18</w:t>
      </w:r>
      <w:r>
        <w:noBreakHyphen/>
        <w:t>19 лет. Эти цифры значительно больше среди девушек с мин</w:t>
      </w:r>
      <w:r>
        <w:t>и</w:t>
      </w:r>
      <w:r>
        <w:t>мальным образованием: среди девушек, окончивших начальную школу и не окончивших ее, беременны 30 процентов, причем различий между деревней и городом не наблюдается. Этому способствует то, что школы уделяют крайне мало внимания половому воспитанию.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i/>
        </w:rPr>
      </w:pPr>
      <w:r>
        <w:rPr>
          <w:i/>
        </w:rPr>
        <w:tab/>
      </w:r>
      <w:r>
        <w:rPr>
          <w:b/>
          <w:i/>
        </w:rPr>
        <w:t>Расширение услуг по дородовому уходу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1999 году</w:t>
      </w:r>
      <w:r>
        <w:rPr>
          <w:rStyle w:val="FootnoteReference"/>
        </w:rPr>
        <w:footnoteReference w:id="70"/>
      </w:r>
      <w:r>
        <w:t xml:space="preserve"> было отмечено некоторое увеличение охвата услугами по охр</w:t>
      </w:r>
      <w:r>
        <w:t>а</w:t>
      </w:r>
      <w:r>
        <w:t>не материнства и детства: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99 процентов детей, родившихся в течение пяти лет, предшествовавших о</w:t>
      </w:r>
      <w:r>
        <w:t>б</w:t>
      </w:r>
      <w:r>
        <w:t>следованию, были охвачены квалифицированными услугами по дородовому уходу (98 процентов в 1996 году);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86 процентов матерей были иммунизированы двумя или более дозами прот</w:t>
      </w:r>
      <w:r>
        <w:t>и</w:t>
      </w:r>
      <w:r>
        <w:t>востолбнячной сыворотки.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i/>
        </w:rPr>
      </w:pPr>
      <w:r>
        <w:rPr>
          <w:i/>
        </w:rPr>
        <w:tab/>
      </w:r>
      <w:r>
        <w:rPr>
          <w:b/>
          <w:i/>
        </w:rPr>
        <w:t>Расширение услуг по родовспоможению и улучшение условий для нов</w:t>
      </w:r>
      <w:r>
        <w:rPr>
          <w:b/>
          <w:i/>
        </w:rPr>
        <w:t>о</w:t>
      </w:r>
      <w:r>
        <w:rPr>
          <w:b/>
          <w:i/>
        </w:rPr>
        <w:t>рожденных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Что касается услуг по родовспоможению, оказываемых в медицинских учр</w:t>
      </w:r>
      <w:r>
        <w:t>е</w:t>
      </w:r>
      <w:r>
        <w:t>ждениях, то в 1999 году по сравнению с предыдущими годами ситуация улу</w:t>
      </w:r>
      <w:r>
        <w:t>ч</w:t>
      </w:r>
      <w:r>
        <w:t>шилась: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97 процентов родов были приняты в медицинских учреждениях (95 процентов в 1996 году) и 2 процента - на дому;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96 процентов родов были приняты врачами (92 процента в 1996 году). Пок</w:t>
      </w:r>
      <w:r>
        <w:t>а</w:t>
      </w:r>
      <w:r>
        <w:t>затель участия квалифицированных медсестер и ассистентов в родовспомож</w:t>
      </w:r>
      <w:r>
        <w:t>е</w:t>
      </w:r>
      <w:r>
        <w:t>нии сократился с 4 до 2 процентов в период с 1996 по 1999</w:t>
      </w:r>
      <w:r>
        <w:rPr>
          <w:lang w:val="en-GB"/>
        </w:rPr>
        <w:t> </w:t>
      </w:r>
      <w:r>
        <w:t>год; сократился и процент родов, принимаемых традиционными акушерками, - с 3 до 1 процента.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Вместе с тем необходимо отметить увеличение числа кесаревых сечений при родах (28 процентов в 1998 году и 26 процентов в 1996 году). Для женщин в возрасте 35 лет и старше этот показатель возрастает до 33 процентов, для же</w:t>
      </w:r>
      <w:r>
        <w:t>н</w:t>
      </w:r>
      <w:r>
        <w:t>щин с высшим образованием - до 51 процента.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b/>
          <w:i/>
        </w:rPr>
      </w:pPr>
      <w:r>
        <w:rPr>
          <w:b/>
          <w:i/>
        </w:rPr>
        <w:tab/>
        <w:t>Заболеваемость среди женщин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1998 году главными причинами обращений женщин репродуктивного во</w:t>
      </w:r>
      <w:r>
        <w:t>з</w:t>
      </w:r>
      <w:r>
        <w:t>раста в учреждения министерства здравоохранения и социальной помощи были острые респираторные инфекции (17 процентов), беременность (11 процентов) и вагинит (11 процентов), а также гипертония (8 процентов), недоедание (7 процентов), острые диарейные заболевания (7 процентов) и инфекционные заболевания мочеполовой системы (4 процента).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jc w:val="both"/>
      </w:pPr>
      <w:r>
        <w:rPr>
          <w:b/>
        </w:rPr>
        <w:t>3.12.2.</w:t>
      </w:r>
      <w:r>
        <w:rPr>
          <w:b/>
        </w:rPr>
        <w:tab/>
        <w:t>Снижение материнской смертности и сокращение "групп риска"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Уровни материнской смертности несколько сократились. По оценкам, в 1983</w:t>
      </w:r>
      <w:r>
        <w:noBreakHyphen/>
        <w:t>1984 годах коэффициент материнской смертности составлял примерно 229 на 100 тыс. живорождений (ОДЗ</w:t>
      </w:r>
      <w:r>
        <w:noBreakHyphen/>
        <w:t>96), а в 1999 году, по данным Системы наблюдения за динамикой младенческой и материнской смертности</w:t>
      </w:r>
      <w:r>
        <w:rPr>
          <w:rStyle w:val="FootnoteReference"/>
        </w:rPr>
        <w:footnoteReference w:id="71"/>
      </w:r>
      <w:r>
        <w:t>, - 123 на 100 тыс. живорождений. Среди основных причин смертности - токсемия (46</w:t>
      </w:r>
      <w:r>
        <w:rPr>
          <w:lang w:val="en-GB"/>
        </w:rPr>
        <w:t> </w:t>
      </w:r>
      <w:r>
        <w:t>процентов), осложнения при абортах (19 процентов), которые, как и пре</w:t>
      </w:r>
      <w:r>
        <w:t>ж</w:t>
      </w:r>
      <w:r>
        <w:t>де, уголовно наказуемы при любых обстоятельствах, кровотечения (11 процентов) и заболевания сердца. Такое снижение может быть связано с созданием при министерстве здравоохранения комитетов по наблюдению за динамикой материнской смертности, которые анализируют смертные случаи среди матерей в системе здравоохранения с целью повысить качество оказ</w:t>
      </w:r>
      <w:r>
        <w:t>ы</w:t>
      </w:r>
      <w:r>
        <w:t>ваемых услуг.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Что касается причин смертности среди женщин, то, по данным министерства здравоохранения и социальной помощи, самыми распространенными из них являются инфаркт миокарда (15 процентов), СПИД (6 процентов) и аборты (6 процентов), а также рак шейки матки (3 процента), в связи с которым отм</w:t>
      </w:r>
      <w:r>
        <w:t>е</w:t>
      </w:r>
      <w:r>
        <w:t>чается низкий охват населения профилактическими мероприятиями, такими, как тест Папаниколау: в 1996 году такой тест прошли только 27 процентов женщин. Несмотря на отсутствие статистических данных по раку молочной железы, можно предположить, что это заболевание весьма широко распростр</w:t>
      </w:r>
      <w:r>
        <w:t>а</w:t>
      </w:r>
      <w:r>
        <w:t>нено, так как по состоянию на 1996 год только 11 процентов женщин в возрасте 15</w:t>
      </w:r>
      <w:r>
        <w:noBreakHyphen/>
        <w:t>49 лет прошли за последний год тесты на это заболевание. В национальном округе на долю СПИДа приходится 12 процентов смертных случаев, за кот</w:t>
      </w:r>
      <w:r>
        <w:t>о</w:t>
      </w:r>
      <w:r>
        <w:t>рыми следуют насильственные смерти и смерти от раковых заболеваний, не связанных с репродуктивной системой (примерно по 10 процентов от каждой из этих причин)</w:t>
      </w:r>
      <w:r>
        <w:rPr>
          <w:rStyle w:val="FootnoteReference"/>
        </w:rPr>
        <w:footnoteReference w:id="72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По данным упомянутого обследования ОДЗ</w:t>
      </w:r>
      <w:r>
        <w:noBreakHyphen/>
        <w:t>99, произошло и некоторое с</w:t>
      </w:r>
      <w:r>
        <w:t>о</w:t>
      </w:r>
      <w:r>
        <w:t>кращение "групп риска" с репродуктивной точки зрения: в последние пять лет к группам с повышенным риском смертности относились 44 процентов рожд</w:t>
      </w:r>
      <w:r>
        <w:t>е</w:t>
      </w:r>
      <w:r>
        <w:t>ний (в 1996 году эта цифра составляла 49 процентов), а доля женщин, у кот</w:t>
      </w:r>
      <w:r>
        <w:t>о</w:t>
      </w:r>
      <w:r>
        <w:t>рых могли родиться дети, принадлежащие к одной или нескольким группам повышенного репродуктивного риска, составляла 31 процент (в 1996</w:t>
      </w:r>
      <w:r>
        <w:rPr>
          <w:lang w:val="en-GB"/>
        </w:rPr>
        <w:t> </w:t>
      </w:r>
      <w:r>
        <w:t>году - 36 процентов).</w:t>
      </w: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</w:pPr>
      <w:r>
        <w:rPr>
          <w:b/>
        </w:rPr>
        <w:t>3.12.3.</w:t>
      </w:r>
      <w:r>
        <w:rPr>
          <w:b/>
        </w:rPr>
        <w:tab/>
        <w:t>СПИД</w:t>
      </w:r>
      <w:r>
        <w:rPr>
          <w:rStyle w:val="FootnoteReference"/>
        </w:rPr>
        <w:footnoteReference w:id="73"/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марте 2001 года в стране насчитывалось в общей сложности 11 079 человек, больных ВИЧ/СПИДом, из которых женщины составляли 35 процентов. Как и прежде, инфицирование происходит чаще всего половым путем. Кроме того, в 13 процентах случаев больными оказывались молодые люди в возрасте 15</w:t>
      </w:r>
      <w:r>
        <w:noBreakHyphen/>
        <w:t>24 лет, 46 процентов которых составляли женщины. Да</w:t>
      </w:r>
      <w:r>
        <w:t>н</w:t>
      </w:r>
      <w:r>
        <w:t>ные за 2000 год подтверждают, что 2,2 процента взрослого населения инфиц</w:t>
      </w:r>
      <w:r>
        <w:t>и</w:t>
      </w:r>
      <w:r>
        <w:t>ровано ВИЧ, а в 2005 году, согласно прогнозам, это показатель вырастет до 2,4 процента.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Недавно министерством здравоохранения и социальной помощи</w:t>
      </w:r>
      <w:r>
        <w:rPr>
          <w:rStyle w:val="FootnoteReference"/>
        </w:rPr>
        <w:footnoteReference w:id="74"/>
      </w:r>
      <w:r>
        <w:t xml:space="preserve"> в госуда</w:t>
      </w:r>
      <w:r>
        <w:t>р</w:t>
      </w:r>
      <w:r>
        <w:t>ственных больницах (услугами которых, по оценкам, пользуется 75 процентов населения страны) была развернута программа сокращения масштабов верт</w:t>
      </w:r>
      <w:r>
        <w:t>и</w:t>
      </w:r>
      <w:r>
        <w:t>кальной передачи инфекции от матери к ребенку, которая предполагает ант</w:t>
      </w:r>
      <w:r>
        <w:t>и</w:t>
      </w:r>
      <w:r>
        <w:t>ретровирусное лечение</w:t>
      </w:r>
      <w:r>
        <w:rPr>
          <w:rStyle w:val="FootnoteReference"/>
        </w:rPr>
        <w:footnoteReference w:id="75"/>
      </w:r>
      <w:r>
        <w:t xml:space="preserve"> матерей и детей, применение кесарева сечения при родах и использование молочных смесей для кормления детей.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По данным ОДЗ</w:t>
      </w:r>
      <w:r>
        <w:noBreakHyphen/>
        <w:t>99, с проблемой СПИДа знакомо все население Доминика</w:t>
      </w:r>
      <w:r>
        <w:t>н</w:t>
      </w:r>
      <w:r>
        <w:t>ской Республики, независимо от уровня образования, места жительства или возраста. Тем не менее опасность этого заболевания воспринимается не всеми одинаково: только 88 процентов женщин и 94 процента мужчин знают, что зд</w:t>
      </w:r>
      <w:r>
        <w:t>о</w:t>
      </w:r>
      <w:r>
        <w:t>ровый на вид человек может быть болен СПИДом. Что касается средств защ</w:t>
      </w:r>
      <w:r>
        <w:t>и</w:t>
      </w:r>
      <w:r>
        <w:t>ты, то 5 процентов женщин заявили, что не знают, как избежать инфициров</w:t>
      </w:r>
      <w:r>
        <w:t>а</w:t>
      </w:r>
      <w:r>
        <w:t>ния, и процент таких лиц еще более высок среди женщин без образования (13 процентов) и женщин с четырьмя или менее классами школы (10 процентов).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jc w:val="both"/>
        <w:rPr>
          <w:b/>
        </w:rPr>
      </w:pPr>
      <w:r>
        <w:rPr>
          <w:b/>
        </w:rPr>
        <w:t>3.12.4.</w:t>
      </w:r>
      <w:r>
        <w:rPr>
          <w:b/>
        </w:rPr>
        <w:tab/>
        <w:t>Основные реформы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За период 1998</w:t>
      </w:r>
      <w:r>
        <w:noBreakHyphen/>
        <w:t>2001 годов в секторе здравоохранения были проведены две крупные законодательные реформы: принятие Всеобщего закона о здравоохр</w:t>
      </w:r>
      <w:r>
        <w:t>а</w:t>
      </w:r>
      <w:r>
        <w:t>нении № 42</w:t>
      </w:r>
      <w:r>
        <w:noBreakHyphen/>
        <w:t>01 от 8 марта 2001 года и Закона № 87</w:t>
      </w:r>
      <w:r>
        <w:noBreakHyphen/>
        <w:t>01 от 8 мая 2001 года о со</w:t>
      </w:r>
      <w:r>
        <w:t>з</w:t>
      </w:r>
      <w:r>
        <w:t>дании доминиканской системы социального обеспечения (ДССО). Закон о с</w:t>
      </w:r>
      <w:r>
        <w:t>о</w:t>
      </w:r>
      <w:r>
        <w:t>циальном обеспечении ставит своей целью, в частности, улучшение положения женщин и уменьшение масштабов нищеты.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Во Всеобщем законе о здравоохранении утверждаются принципы равенства в широком смысле слова, универсальности и согласия. Закон предполагает пр</w:t>
      </w:r>
      <w:r>
        <w:t>и</w:t>
      </w:r>
      <w:r>
        <w:t>влечение организаций гражданского общества и частного сектора путем созд</w:t>
      </w:r>
      <w:r>
        <w:t>а</w:t>
      </w:r>
      <w:r>
        <w:t>ния механизмов координации, коммуникации и информирования между учре</w:t>
      </w:r>
      <w:r>
        <w:t>ж</w:t>
      </w:r>
      <w:r>
        <w:t>дениями сектора и участия в работе таких руководящих органов, как Наци</w:t>
      </w:r>
      <w:r>
        <w:t>о</w:t>
      </w:r>
      <w:r>
        <w:t>нальный совет здравоохранения.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Первоочередное внимание уделяется группам населения, живущим за чертой бедности, в том числе женщинам, в особенности беременным, детям в возрасте до 14 лет, престарелым и инвалидам.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Первостепенное значение придается услугам в таких областях, как охрана здоровья матери и ребенка и предупреждение заболеваемости и смертности среди матерей и детей.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jc w:val="both"/>
        <w:rPr>
          <w:b/>
        </w:rPr>
      </w:pPr>
      <w:r>
        <w:rPr>
          <w:b/>
        </w:rPr>
        <w:t>3.12.5.</w:t>
      </w:r>
      <w:r>
        <w:rPr>
          <w:b/>
        </w:rPr>
        <w:tab/>
        <w:t>Успехи в секторе здравоохранения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Согласно "Оценке хода осуществления Пекинской платформы действий в Доминиканской Республике"</w:t>
      </w:r>
      <w:r>
        <w:rPr>
          <w:rStyle w:val="FootnoteReference"/>
        </w:rPr>
        <w:footnoteReference w:id="76"/>
      </w:r>
      <w:r>
        <w:t>, к основным успехам сектора здравоохранения, касающимся женщин, относятся: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сокращение материнской смертности и повышение доступности услуг по о</w:t>
      </w:r>
      <w:r>
        <w:t>х</w:t>
      </w:r>
      <w:r>
        <w:t>ране материнства и детства, включая создание комитетов по наблюдению за динамикой материнской смертности;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разработка гендерной политики Главным эпидемиологическим управлением (ГЭУ) министерства здравоохранения и социальной помощи, включая пр</w:t>
      </w:r>
      <w:r>
        <w:t>о</w:t>
      </w:r>
      <w:r>
        <w:t>граммы и мероприятия в области охраны здоровья семьи, женщин, новоро</w:t>
      </w:r>
      <w:r>
        <w:t>ж</w:t>
      </w:r>
      <w:r>
        <w:t>денных, детей, подростков и молодежи</w:t>
      </w:r>
      <w:r>
        <w:rPr>
          <w:rStyle w:val="FootnoteReference"/>
        </w:rPr>
        <w:footnoteReference w:id="77"/>
      </w:r>
      <w:r>
        <w:t>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создание межсекторального комитета "Гендерные вопросы и реформа" как форума для анализа и принятия стратегических мер в секторе здравоохранения. Одним из результатов его работы стала разработка показателей для оценки к</w:t>
      </w:r>
      <w:r>
        <w:t>а</w:t>
      </w:r>
      <w:r>
        <w:t>чества медицинских услуг;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расширение и совершенствование программ здравоохранения, осуществля</w:t>
      </w:r>
      <w:r>
        <w:t>е</w:t>
      </w:r>
      <w:r>
        <w:t>мых правительством и НПО; они предполагают, в частности, увеличение числа сельских больниц, повышение доступности тестирования на ВИЧ, техническое оснащение центров здравоохранения и создание других центров, специализ</w:t>
      </w:r>
      <w:r>
        <w:t>и</w:t>
      </w:r>
      <w:r>
        <w:t>рующихся на охране репродуктивного здоровья, и укрепление штата медици</w:t>
      </w:r>
      <w:r>
        <w:t>н</w:t>
      </w:r>
      <w:r>
        <w:t>ских работников во внутренних районах страны.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Можно также отметить более широкую представленность женщин на руков</w:t>
      </w:r>
      <w:r>
        <w:t>о</w:t>
      </w:r>
      <w:r>
        <w:t>дящих должностях в центрах здравоохранения. В 2001 году женщины соста</w:t>
      </w:r>
      <w:r>
        <w:t>в</w:t>
      </w:r>
      <w:r>
        <w:t>ляли 26 процентов руководящих работников в больницах и медицинских це</w:t>
      </w:r>
      <w:r>
        <w:t>н</w:t>
      </w:r>
      <w:r>
        <w:t>трах на провинциальном и региональном уровнях. Их доля пока еще находится в обратной зависимости от уровня должности. На более высоких уровнях же</w:t>
      </w:r>
      <w:r>
        <w:t>н</w:t>
      </w:r>
      <w:r>
        <w:t>щин меньше: 14 процентов - на постах заместителей министра здравоохран</w:t>
      </w:r>
      <w:r>
        <w:t>е</w:t>
      </w:r>
      <w:r>
        <w:t>ния, 29 процентов - в руководстве больниц по всей стране и 32 процента - в медицинских центрах.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Были также отмечены следующие успехи: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улучшение условий труда медицинского персонала и рост квалификации р</w:t>
      </w:r>
      <w:r>
        <w:t>а</w:t>
      </w:r>
      <w:r>
        <w:t>ботников. Совершенствование больничной инфраструктуры;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активное участие сектора НПО в оказании услуг в таких специальных обла</w:t>
      </w:r>
      <w:r>
        <w:t>с</w:t>
      </w:r>
      <w:r>
        <w:t>тях, как охрана сексуального и репродуктивного здоровья женщин, причем эти услуги отличаются доступностью, экономичностью и качеством, что способс</w:t>
      </w:r>
      <w:r>
        <w:t>т</w:t>
      </w:r>
      <w:r>
        <w:t>вует изменению психологии семей, молодежи и подростков;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более широкое просвещение женщин в вопросах охраны здоровья, способс</w:t>
      </w:r>
      <w:r>
        <w:t>т</w:t>
      </w:r>
      <w:r>
        <w:t>вующее снятию табу на темы, касающиеся сексуального и репродуктивного здоровья;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совершенствование управления и информационной работы в секторе здрав</w:t>
      </w:r>
      <w:r>
        <w:t>о</w:t>
      </w:r>
      <w:r>
        <w:t>охранения. Существуют механизмы информирования и сбора обновленных статистических данных, проводятся исследования, разрабатываются нормы и правила. В частности, информация по сектору здравоохранения регулярно ра</w:t>
      </w:r>
      <w:r>
        <w:t>з</w:t>
      </w:r>
      <w:r>
        <w:t>бивается по признаку пола;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успехи и усовершенствования в следующих областях: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работа с уязвимыми группами населения, такими, как престарелые, сокращ</w:t>
      </w:r>
      <w:r>
        <w:t>е</w:t>
      </w:r>
      <w:r>
        <w:t>ние смертности среди работников секс</w:t>
      </w:r>
      <w:r>
        <w:noBreakHyphen/>
        <w:t>индустрии от болезней, передаваемых половым путем, и СПИДа;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наблюдение беременных и рожениц и совершенствование услуг по дородов</w:t>
      </w:r>
      <w:r>
        <w:t>о</w:t>
      </w:r>
      <w:r>
        <w:t>му уходу;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вакцинация женщин детородного возраста;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пропаганда грудного вскармливания и планирования семьи;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борьба со СПИДом, включая анализ на ВИЧ 98 процентов всей крови, и</w:t>
      </w:r>
      <w:r>
        <w:t>с</w:t>
      </w:r>
      <w:r>
        <w:t>пользуемой в стране для переливания, и ввод в действие программ предупре</w:t>
      </w:r>
      <w:r>
        <w:t>ж</w:t>
      </w:r>
      <w:r>
        <w:t>дения вертикальной передачи этого заболевания;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2217" w:right="1267" w:hanging="475"/>
        <w:jc w:val="both"/>
      </w:pPr>
      <w:r>
        <w:t>-</w:t>
      </w:r>
      <w:r>
        <w:tab/>
        <w:t>реорганизация национального механизма, осуществляющего политику бор</w:t>
      </w:r>
      <w:r>
        <w:t>ь</w:t>
      </w:r>
      <w:r>
        <w:t>бы со СПИДом, - Национального совета по изучению СПИДа (КОНАСИДА), - в которой активно участвуют государственные структуры и гражданское общ</w:t>
      </w:r>
      <w:r>
        <w:t>е</w:t>
      </w:r>
      <w:r>
        <w:t>ство.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980" w:right="1267" w:hanging="713"/>
      </w:pPr>
      <w:r>
        <w:rPr>
          <w:b/>
          <w:sz w:val="28"/>
        </w:rPr>
        <w:t>3.13.</w:t>
      </w:r>
      <w:r>
        <w:rPr>
          <w:b/>
          <w:sz w:val="28"/>
        </w:rPr>
        <w:tab/>
        <w:t>Статья 13. Экономические и социальные выплаты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За период, охватываемый настоящим докладом, правительством были разр</w:t>
      </w:r>
      <w:r>
        <w:t>а</w:t>
      </w:r>
      <w:r>
        <w:t>ботаны и осуществлены экономические и социальные меры в интересах же</w:t>
      </w:r>
      <w:r>
        <w:t>н</w:t>
      </w:r>
      <w:r>
        <w:t>щин.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jc w:val="both"/>
        <w:rPr>
          <w:b/>
        </w:rPr>
      </w:pPr>
      <w:r>
        <w:rPr>
          <w:b/>
        </w:rPr>
        <w:t>3.13.1.</w:t>
      </w:r>
      <w:r>
        <w:rPr>
          <w:b/>
        </w:rPr>
        <w:tab/>
        <w:t>В законодательной сфере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Законе № 87</w:t>
      </w:r>
      <w:r>
        <w:noBreakHyphen/>
        <w:t>01 от 8 мая 2001 года о создании доминиканской системы с</w:t>
      </w:r>
      <w:r>
        <w:t>о</w:t>
      </w:r>
      <w:r>
        <w:t>циального обеспечения предусмотрены следующие выплаты: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статья 50: пенсия по старости;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статья 63: единая пенсия для безработных матерей-одиночек с несоверше</w:t>
      </w:r>
      <w:r>
        <w:t>н</w:t>
      </w:r>
      <w:r>
        <w:t>нолетними детьми, у которых нет достаточных средств для того, чтобы удовл</w:t>
      </w:r>
      <w:r>
        <w:t>е</w:t>
      </w:r>
      <w:r>
        <w:t>творить основные потребности и дать образование своим детям;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статья 132: работницы предприятий, заработная плата которых составляет менее трех минимальных окладов, будут получать субсидию на грудное вскармливание в течение 12 месяцев;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sym w:font="Symbol" w:char="F0B7"/>
      </w:r>
      <w:r>
        <w:tab/>
        <w:t>статьи 134 и 135: создание детских садов для детей всех работников, куда принимаются дети в возрасте от 45 дней до 5 лет. В этих садах организованы службы охраны здоровья матери и ребенка.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Были внесены изменения в положения Трудового кодекса о женщинах, раб</w:t>
      </w:r>
      <w:r>
        <w:t>о</w:t>
      </w:r>
      <w:r>
        <w:t>тающих по дому, включая предоставление права на отпуск, выплату тринадц</w:t>
      </w:r>
      <w:r>
        <w:t>а</w:t>
      </w:r>
      <w:r>
        <w:t>той зарплаты и регламентирование свободного времени</w:t>
      </w:r>
      <w:r>
        <w:rPr>
          <w:rStyle w:val="FootnoteReference"/>
        </w:rPr>
        <w:footnoteReference w:id="78"/>
      </w:r>
      <w:r>
        <w:t>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Тем не менее, если говорить в целом, то пока сохраняются трудности с пр</w:t>
      </w:r>
      <w:r>
        <w:t>и</w:t>
      </w:r>
      <w:r>
        <w:t>менением законов о трудовых отношениях на практике из</w:t>
      </w:r>
      <w:r>
        <w:noBreakHyphen/>
        <w:t>за отсутствия мех</w:t>
      </w:r>
      <w:r>
        <w:t>а</w:t>
      </w:r>
      <w:r>
        <w:t>низмов контроля за их соблюдением со стороны государства, а также плохого знания своих прав работающими мужчинами/женщинами. Следует также отм</w:t>
      </w:r>
      <w:r>
        <w:t>е</w:t>
      </w:r>
      <w:r>
        <w:t>тить, что упомянутый Закон о социальном обеспечении - сравнительно новый, и правила его применения пока находятся в стадии разработки.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980" w:right="1267" w:hanging="713"/>
      </w:pPr>
      <w:r>
        <w:rPr>
          <w:b/>
          <w:sz w:val="28"/>
        </w:rPr>
        <w:t>3.14.</w:t>
      </w:r>
      <w:r>
        <w:rPr>
          <w:b/>
          <w:sz w:val="28"/>
        </w:rPr>
        <w:tab/>
        <w:t>Статья 14. Женщины в сельских районах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jc w:val="both"/>
        <w:rPr>
          <w:b/>
        </w:rPr>
      </w:pPr>
      <w:r>
        <w:rPr>
          <w:b/>
        </w:rPr>
        <w:t>3.14.1.</w:t>
      </w:r>
      <w:r>
        <w:rPr>
          <w:b/>
        </w:rPr>
        <w:tab/>
        <w:t>Условия жизни в сельских районах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целом социально-экономические и демографические показатели свидетел</w:t>
      </w:r>
      <w:r>
        <w:t>ь</w:t>
      </w:r>
      <w:r>
        <w:t>ствуют о том, что проблема отставания в развитии особенно остро стоит в сельских районах. И действительно, в 1998 году показатели нищеты (общий показатель и показатель крайней нищеты) были следующими: общий показ</w:t>
      </w:r>
      <w:r>
        <w:t>а</w:t>
      </w:r>
      <w:r>
        <w:t>тель нищеты в сельских районах - 37 процентов, показатель крайней нищеты - 7 процентов, в городах - 85 и 37 процентов, соответственно. Другими словами, в деревне в условиях крайней нищеты живет в пять раз больше людей, чем в городах.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Однако в рамках начавшегося в прошлом десятилетии процесса децентрал</w:t>
      </w:r>
      <w:r>
        <w:t>и</w:t>
      </w:r>
      <w:r>
        <w:t>зации начали приниматься стратегические меры, имеющие целью более акти</w:t>
      </w:r>
      <w:r>
        <w:t>в</w:t>
      </w:r>
      <w:r>
        <w:t>ное вовлечение граждан в общественную жизнь. Можно отметить два важных направления деятельности: а) отделение президентских выборов от выборов в муниципальные и законодательные органы, что позволит более четко и ясно сформулировать на местном уровне обязанности избранных должностных лиц перед избирателями, и b) локализация нищеты, благодаря которой удалось от</w:t>
      </w:r>
      <w:r>
        <w:t>о</w:t>
      </w:r>
      <w:r>
        <w:t>брать самые неблагополучные сельские районы и определить, где и с какой и</w:t>
      </w:r>
      <w:r>
        <w:t>н</w:t>
      </w:r>
      <w:r>
        <w:t>тенсивностью следует осуществлять планы борьбы с нищетой.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280" w:lineRule="exact"/>
        <w:ind w:left="1267" w:right="1267"/>
        <w:jc w:val="both"/>
        <w:rPr>
          <w:b/>
        </w:rPr>
      </w:pPr>
      <w:r>
        <w:rPr>
          <w:b/>
        </w:rPr>
        <w:t>3.14.2.</w:t>
      </w:r>
      <w:r>
        <w:rPr>
          <w:b/>
        </w:rPr>
        <w:tab/>
        <w:t>Механизмы для улучшения положения женщин-крестьянок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При министерстве сельского хозяйства создано отраслевое сельскохозяйс</w:t>
      </w:r>
      <w:r>
        <w:t>т</w:t>
      </w:r>
      <w:r>
        <w:t>венное управление по делам женщин - механизм для улучшения положения доминиканских женщин-крестьянок. Оно отвечает за принятие мер, призва</w:t>
      </w:r>
      <w:r>
        <w:t>н</w:t>
      </w:r>
      <w:r>
        <w:t>ных расширить участие женщин в производственных процессах в сельскох</w:t>
      </w:r>
      <w:r>
        <w:t>о</w:t>
      </w:r>
      <w:r>
        <w:t>зяйственном секторе и способствовать уменьшению нищеты в сельских ра</w:t>
      </w:r>
      <w:r>
        <w:t>й</w:t>
      </w:r>
      <w:r>
        <w:t>онах. Кроме того, в нем созданы административная группа и группа координ</w:t>
      </w:r>
      <w:r>
        <w:t>а</w:t>
      </w:r>
      <w:r>
        <w:t>ции с другими учреждениями и НПО и три отдела: планово-проектный, по д</w:t>
      </w:r>
      <w:r>
        <w:t>е</w:t>
      </w:r>
      <w:r>
        <w:t>лам сельских женщин и исследованиям и по обучению и подготовке кадров.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Стратегии управления, направленные на расширение возможностей женщин, предполагают следующее: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укрепление отраслевой координации для оказания услуг по поддержке;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ознакомление с гендерной проблематикой технических специалистов учре</w:t>
      </w:r>
      <w:r>
        <w:t>ж</w:t>
      </w:r>
      <w:r>
        <w:t>дений сельскохозяйственного сектора и членов сельских женских организаций;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поощрение более широкого участия сельских женщин в работе руководящих органов;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разработку стратегических мер для сельскохозяйственного сектора с учетом новых условий жизни на селе;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оказание финансовой помощи женским организациям в создании агропр</w:t>
      </w:r>
      <w:r>
        <w:t>о</w:t>
      </w:r>
      <w:r>
        <w:t>мышленных предприятий;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проведение исследований, позволяющих вплотную познакомиться с услови</w:t>
      </w:r>
      <w:r>
        <w:t>я</w:t>
      </w:r>
      <w:r>
        <w:t>ми жизни сельских женщин.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 числу мероприятий, проведенных управлением при поддержке министерс</w:t>
      </w:r>
      <w:r>
        <w:t>т</w:t>
      </w:r>
      <w:r>
        <w:t>ва по делам женщин, относится включение гендерных аспектов в опросные листы предстоящей сельскохозяйственной переписи.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Законе о государственных расходах на 2001 год Национальным конгрессом был утвержден для исполнения министерством сельского хозяйства 21 проект в различных областях, финансируемый из различных источников, с общим бю</w:t>
      </w:r>
      <w:r>
        <w:t>д</w:t>
      </w:r>
      <w:r>
        <w:t>жетом около 159 млн. песо.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Отдел социального развития Доминиканского аграрного института (ДАИ) в</w:t>
      </w:r>
      <w:r>
        <w:t>е</w:t>
      </w:r>
      <w:r>
        <w:t>дет работу над женской проблематикой, что требует применения положений о равенстве, закрепленных в Законе № 55</w:t>
      </w:r>
      <w:r>
        <w:noBreakHyphen/>
        <w:t>97</w:t>
      </w:r>
      <w:r>
        <w:rPr>
          <w:rStyle w:val="FootnoteReference"/>
        </w:rPr>
        <w:footnoteReference w:id="79"/>
      </w:r>
      <w:r>
        <w:t>. С министерством по делам же</w:t>
      </w:r>
      <w:r>
        <w:t>н</w:t>
      </w:r>
      <w:r>
        <w:t>щин подписано соглашение о разработке программы профессиональной подг</w:t>
      </w:r>
      <w:r>
        <w:t>о</w:t>
      </w:r>
      <w:r>
        <w:t>товки, создания женских организаций и консультирования отдела. Как явствует из доклада ДАИ, представленного для подготовки настоящего пятого доклада, в 2001 году права собственности на землю получили 166 женщин, земельные участки которых занимают площадь в 9427 тареа (57 тареа на одну женщину), оцениваются в 86 млн. песо и расположены в 14 провинциях, включая наци</w:t>
      </w:r>
      <w:r>
        <w:t>о</w:t>
      </w:r>
      <w:r>
        <w:t>нальный округ.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Вместе с тем следует отметить, что, как явствует из реестра сельскохозяйс</w:t>
      </w:r>
      <w:r>
        <w:t>т</w:t>
      </w:r>
      <w:r>
        <w:t>венных производителей министерства сельского хозяйства, женщины получают самые маленькие участки земли, которые позволяют им обеспечивать только самих себя. Имеющиеся данные также показывают, что 47 процентов участков принадлежит женщинам в возрасте 41</w:t>
      </w:r>
      <w:r>
        <w:noBreakHyphen/>
        <w:t>60 лет, что оставляет мало шансов м</w:t>
      </w:r>
      <w:r>
        <w:t>о</w:t>
      </w:r>
      <w:r>
        <w:t>лодым женщинам и матерям-одиночкам (группам, которые были названы пр</w:t>
      </w:r>
      <w:r>
        <w:t>и</w:t>
      </w:r>
      <w:r>
        <w:t>ор</w:t>
      </w:r>
      <w:r>
        <w:t>и</w:t>
      </w:r>
      <w:r>
        <w:t>тетными в социальной политике правительства).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Согласно статье 51 Закона № 55</w:t>
      </w:r>
      <w:r>
        <w:noBreakHyphen/>
        <w:t>97, ДАИ обязан предоставлять кредиты кр</w:t>
      </w:r>
      <w:r>
        <w:t>е</w:t>
      </w:r>
      <w:r>
        <w:t>стьянам и крестьянкам, составляющим семейную единицу и входящим в состав организаций, и соответствующие технические консультации через сельскох</w:t>
      </w:r>
      <w:r>
        <w:t>о</w:t>
      </w:r>
      <w:r>
        <w:t>зяйственные кооперативы. Благодаря этому за период с 1998 по 2001</w:t>
      </w:r>
      <w:r>
        <w:rPr>
          <w:lang w:val="en-GB"/>
        </w:rPr>
        <w:t> </w:t>
      </w:r>
      <w:r>
        <w:t>год 1761 женщина получила доступ к кредитам, выплаченным по линии управл</w:t>
      </w:r>
      <w:r>
        <w:t>е</w:t>
      </w:r>
      <w:r>
        <w:t>ний и децентрализованных проектов министерства сельского хозяйства, т.е. выплачивалось 440 кредитов в год.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За этот период министерство по делам женщин на основе координации с Сельскохозяйственным банком, Национальным статистическим управлением (НСУ) и ДАИ подписало три соглашения о сотрудничестве с Национальной конфедерацией женщин-крестьянок (КОНАМУКА)</w:t>
      </w:r>
      <w:r>
        <w:rPr>
          <w:rStyle w:val="FootnoteReference"/>
        </w:rPr>
        <w:footnoteReference w:id="80"/>
      </w:r>
      <w:r>
        <w:t xml:space="preserve"> и другими женскими кр</w:t>
      </w:r>
      <w:r>
        <w:t>е</w:t>
      </w:r>
      <w:r>
        <w:t>стьянскими организациями, такими, как Союз сельских женщин (УНДЕМУР) и Женский фонд в интересах роста. Этими соглашениями предусматривается просветительская работа по гендерным вопросам, пропаганда и распростран</w:t>
      </w:r>
      <w:r>
        <w:t>е</w:t>
      </w:r>
      <w:r>
        <w:t>ние законов об аграрной реформе и борьбе с насилием, осуществление пр</w:t>
      </w:r>
      <w:r>
        <w:t>о</w:t>
      </w:r>
      <w:r>
        <w:t>грамм ликвидации неграмотности среди крестьянок и открытие каналов кред</w:t>
      </w:r>
      <w:r>
        <w:t>и</w:t>
      </w:r>
      <w:r>
        <w:t>тования.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Министерство по делам женщин занимается пропагандой законов и соглаш</w:t>
      </w:r>
      <w:r>
        <w:t>е</w:t>
      </w:r>
      <w:r>
        <w:t>ний, а также обучением женщин-крестьянок при помощи следующих мер: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публикация Закона № 55</w:t>
      </w:r>
      <w:r>
        <w:noBreakHyphen/>
        <w:t>97 об аграрной реформе в адаптированной форме, что способствует лучшему ознакомлению женщин со своими правами;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учебные семинары для инструкторов в интересах пропаганды Закона в на</w:t>
      </w:r>
      <w:r>
        <w:t>и</w:t>
      </w:r>
      <w:r>
        <w:t>более бедных районах страны, что способствует укреплению руководящей роли крестьянок;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публикация краткого и снабженного толкованиями текста Межамериканской конвенции о предупреждении и искоренении насилия в отношении женщин и наказании за него;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возобновление деятельности Региональной сети сельских женщин, созданной ФАО в 1997 году.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 1999 года министерством по делам женщин при участии Коста</w:t>
      </w:r>
      <w:r>
        <w:noBreakHyphen/>
        <w:t>Рики, Сал</w:t>
      </w:r>
      <w:r>
        <w:t>ь</w:t>
      </w:r>
      <w:r>
        <w:t>вадора, Гондураса, Гватемалы, Белиза и Суринама осуществляется многост</w:t>
      </w:r>
      <w:r>
        <w:t>о</w:t>
      </w:r>
      <w:r>
        <w:t>ронний проект "Просвещение по гендерным вопросам и устойчивое развитие сельских районов", ориентированный на сельских женщин-руководителей в этих семи странах.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  <w:rPr>
          <w:b/>
          <w:sz w:val="28"/>
        </w:rPr>
      </w:pPr>
      <w:r>
        <w:rPr>
          <w:b/>
          <w:sz w:val="28"/>
        </w:rPr>
        <w:t>3.15.</w:t>
      </w:r>
      <w:r>
        <w:rPr>
          <w:b/>
          <w:sz w:val="28"/>
        </w:rPr>
        <w:tab/>
        <w:t>Статья 15. Равенство перед законом</w:t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Как уже указывалось в четвертом докладе, в доминиканской Конституции у</w:t>
      </w:r>
      <w:r>
        <w:t>с</w:t>
      </w:r>
      <w:r>
        <w:t>тановлены равные гражданские права для всех, независимо от пола.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Кроме того, в принятых за этот период законах, в частности в статье 3 Зак</w:t>
      </w:r>
      <w:r>
        <w:t>о</w:t>
      </w:r>
      <w:r>
        <w:t>на № 87</w:t>
      </w:r>
      <w:r>
        <w:noBreakHyphen/>
        <w:t>01 от 9 мая 2001 года о создании доминиканской системы социального обеспечения, устанавливается принцип универсальности по отношению ко всем доминиканцам и проживающим в стране лицам, без какой бы то ни было дискриминации по таким признакам, как состояние здоровья, пол, социальный, политический или экономический статус. Кроме того, во Всеобщем законе о здравоохранении № 42</w:t>
      </w:r>
      <w:r>
        <w:noBreakHyphen/>
        <w:t>01 от 8 марта 2001 года утверждаются принципы раве</w:t>
      </w:r>
      <w:r>
        <w:t>н</w:t>
      </w:r>
      <w:r>
        <w:t>ства в широком смысле слова, универсальности и согласия.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 другой стороны, в докладе уже говорилось (см. 3.4) о ратификации Факул</w:t>
      </w:r>
      <w:r>
        <w:t>ь</w:t>
      </w:r>
      <w:r>
        <w:t>тативного протокола к Конвенции и принятии законов № 12</w:t>
      </w:r>
      <w:r>
        <w:noBreakHyphen/>
        <w:t>2000 и № 13</w:t>
      </w:r>
      <w:r>
        <w:noBreakHyphen/>
        <w:t>2000, в которых устанавливаются квоты на избрание кандидатов-женщин в депутаты и руководство профсоюзов, а также о расширении прав женщин, работающих по дому, которое было предусмотрено в 1999 году в Трудовом кодексе.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настоящее время идет переработка гражданского, уголовного и уголовно-процессуального кодексов.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  <w:lang w:val="en-US"/>
        </w:rPr>
      </w:pPr>
      <w:r>
        <w:rPr>
          <w:b/>
        </w:rPr>
        <w:br w:type="page"/>
      </w:r>
    </w:p>
    <w:p w:rsidR="00000000" w:rsidRDefault="00000000">
      <w:pPr>
        <w:tabs>
          <w:tab w:val="left" w:pos="1022"/>
          <w:tab w:val="left" w:pos="1267"/>
          <w:tab w:val="left" w:pos="198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300" w:lineRule="exact"/>
        <w:ind w:left="1267" w:right="1267"/>
        <w:jc w:val="both"/>
      </w:pPr>
      <w:r>
        <w:rPr>
          <w:b/>
          <w:sz w:val="28"/>
        </w:rPr>
        <w:t>3.16.</w:t>
      </w:r>
      <w:r>
        <w:rPr>
          <w:b/>
          <w:sz w:val="28"/>
        </w:rPr>
        <w:tab/>
        <w:t>Статья 16. Брак и семья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 этой сфере никаких изменений за истекший период не произошло. Тем не менее в Гражданский кодекс предлагается внести ряд поправок, которые пред</w:t>
      </w:r>
      <w:r>
        <w:t>у</w:t>
      </w:r>
      <w:r>
        <w:t>сматривают: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установление возраста совершеннолетия в 18 лет для обоих полов;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совместное осуществление родительских прав и прав на опеку отцом и мат</w:t>
      </w:r>
      <w:r>
        <w:t>е</w:t>
      </w:r>
      <w:r>
        <w:t>рью;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каждый супруг будет сам распоряжаться своим личным имуществом (тем с</w:t>
      </w:r>
      <w:r>
        <w:t>а</w:t>
      </w:r>
      <w:r>
        <w:t>мым отменяется право мужа распоряжаться личным имуществом жены);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>
        <w:t>-</w:t>
      </w:r>
      <w:r>
        <w:tab/>
        <w:t>на гражданские браки распространяются те же юридические положения, что и на официально зарегистрированные браки, те же экономические взаимоо</w:t>
      </w:r>
      <w:r>
        <w:t>т</w:t>
      </w:r>
      <w:r>
        <w:t>ношения между сожительствующими и правила расторжения брачного союза и раздела семейного имущества. Эти положения имеют важное значение для з</w:t>
      </w:r>
      <w:r>
        <w:t>а</w:t>
      </w:r>
      <w:r>
        <w:t>щиты экономических и социальных прав женщин, поскольку в 1999 году из всех женщин, имевших партнеров, 63 процента состояли в гражданском браке.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ind w:left="1267" w:right="1267"/>
        <w:jc w:val="both"/>
        <w:rPr>
          <w:b/>
        </w:rPr>
      </w:pPr>
      <w:r>
        <w:sym w:font="Symbol" w:char="F0B7"/>
      </w:r>
      <w:r>
        <w:tab/>
      </w:r>
      <w:r>
        <w:rPr>
          <w:b/>
        </w:rPr>
        <w:t>Судебная практика</w:t>
      </w: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keepNext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Следует также рассказать о случае, происшедшем за истекший период, кот</w:t>
      </w:r>
      <w:r>
        <w:t>о</w:t>
      </w:r>
      <w:r>
        <w:t>рый можно считать хорошим прецедентом с точки зрения гражданских прав женщин.</w:t>
      </w:r>
    </w:p>
    <w:p w:rsidR="00000000" w:rsidRDefault="00000000">
      <w:pPr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>
        <w:tab/>
        <w:t>Верховный суд вынес решение в пользу одной женщины, у которой в авток</w:t>
      </w:r>
      <w:r>
        <w:t>а</w:t>
      </w:r>
      <w:r>
        <w:t>тастрофе погиб муж. Это решение предписывало компании, застраховавшей автомобиль, по вине которого произошло это происшествие, выплатить ей с</w:t>
      </w:r>
      <w:r>
        <w:t>о</w:t>
      </w:r>
      <w:r>
        <w:t>ответствующую компенсацию. Страховая компания отказывалась платить под тем предлогом, что вдова не состоит в законном браке со своим мужем и что внебрачное сожительство не дает оснований считать этот союз законным.</w:t>
      </w:r>
    </w:p>
    <w:p w:rsidR="00000000" w:rsidRDefault="00000000">
      <w:pPr>
        <w:pStyle w:val="SingleTxt"/>
        <w:tabs>
          <w:tab w:val="lef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rPr>
          <w:lang w:val="en-US"/>
        </w:rPr>
      </w:pPr>
      <w:r>
        <w:tab/>
        <w:t>Поскольку отправление правосудия в Доминиканской Республике основ</w:t>
      </w:r>
      <w:r>
        <w:t>ы</w:t>
      </w:r>
      <w:r>
        <w:t>вается на законе, доктрине и судебной практике, это решение закладывает ва</w:t>
      </w:r>
      <w:r>
        <w:t>ж</w:t>
      </w:r>
      <w:r>
        <w:t>ный прецедент на будущее, поскольку теперь и судьи, и адвокаты смогут сс</w:t>
      </w:r>
      <w:r>
        <w:t>ы</w:t>
      </w:r>
      <w:r>
        <w:t>латься на решение Верховного суда в пользу этой женщины не только для пр</w:t>
      </w:r>
      <w:r>
        <w:t>и</w:t>
      </w:r>
      <w:r>
        <w:t>знания законными наследников, родившихся от этого внебрачного союза, но и для обоснования права пользоваться совместно нажитым таким образом им</w:t>
      </w:r>
      <w:r>
        <w:t>у</w:t>
      </w:r>
      <w:r>
        <w:t>ществом. Кроме того, открывается возможность для внесения поправок в зак</w:t>
      </w:r>
      <w:r>
        <w:t>о</w:t>
      </w:r>
      <w:r>
        <w:t>нодательство в целях ознакомления членов Конгресса с реформами в области брака и семьи, за которые выступают женщины из организаций гражданского общества. Это решение также побуждает людей отстаивать свои права при ур</w:t>
      </w:r>
      <w:r>
        <w:t>е</w:t>
      </w:r>
      <w:r>
        <w:t>гулировании имущественных споров, независимо от характера супружеского союза.</w:t>
      </w:r>
    </w:p>
    <w:p w:rsidR="00000000" w:rsidRDefault="00000000">
      <w:pPr>
        <w:pStyle w:val="SingleTxt"/>
        <w:spacing w:after="0" w:line="240" w:lineRule="auto"/>
        <w:rPr>
          <w:lang w:val="en-US"/>
        </w:rPr>
      </w:pPr>
      <w:r>
        <w:rPr>
          <w:w w:val="100"/>
        </w:rPr>
        <w:pict>
          <v:line id="_x0000_s2167" style="position:absolute;left:0;text-align:left;z-index:1" from="210.25pt,30pt" to="282.25pt,30pt" o:allowincell="f" strokeweight=".25pt"/>
        </w:pict>
      </w:r>
    </w:p>
    <w:sectPr w:rsidR="00000000">
      <w:headerReference w:type="even" r:id="rId14"/>
      <w:headerReference w:type="default" r:id="rId15"/>
      <w:footerReference w:type="even" r:id="rId16"/>
      <w:footerReference w:type="default" r:id="rId17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  <w:rPr>
          <w:lang w:val="en-US"/>
        </w:rPr>
      </w:pPr>
      <w:r>
        <w:fldChar w:fldCharType="begin"/>
      </w:r>
      <w:r>
        <w:rPr>
          <w:lang w:val="en-US"/>
        </w:rPr>
        <w:instrText>PAGE \# "'Page: '#'</w:instrText>
      </w:r>
      <w:r>
        <w:rPr>
          <w:lang w:val="en-US"/>
        </w:rPr>
        <w:br/>
        <w:instrText>'"</w:instrText>
      </w:r>
      <w:r>
        <w:rPr>
          <w:rStyle w:val="CommentReference"/>
          <w:lang w:val="en-US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rPr>
          <w:lang w:val="en-US"/>
        </w:rPr>
        <w:t>&lt;&lt;ODS JOB NO&gt;&gt;N0333617R&lt;&lt;ODS JOB NO&gt;&gt;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SYMBOL1&gt;&gt;CEDAW/C/DOM/5&lt;&lt;ODS DOC SYMBOL1&gt;&gt;</w:t>
      </w:r>
    </w:p>
    <w:p w:rsidR="00000000" w:rsidRDefault="00000000">
      <w:pPr>
        <w:pStyle w:val="CommentText"/>
        <w:rPr>
          <w:lang w:val="en-US"/>
        </w:rPr>
      </w:pPr>
      <w:r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de 3of9 4.6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55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</w:t>
    </w:r>
    <w:r>
      <w:rPr>
        <w:b w:val="0"/>
        <w:noProof w:val="0"/>
        <w:sz w:val="20"/>
      </w:rPr>
      <w:t>33617</w:t>
    </w:r>
    <w:r>
      <w:rPr>
        <w:b w:val="0"/>
        <w:sz w:val="20"/>
      </w:rPr>
      <w:t xml:space="preserve"> (R)    250703    250702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*0333617*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0" w:hanging="360"/>
        <w:jc w:val="both"/>
      </w:pPr>
      <w:r>
        <w:tab/>
      </w:r>
      <w:r>
        <w:rPr>
          <w:rStyle w:val="FootnoteReference"/>
        </w:rPr>
        <w:t>*</w:t>
      </w:r>
      <w:r>
        <w:tab/>
      </w:r>
      <w:r>
        <w:tab/>
        <w:t xml:space="preserve">Первоначальный доклад, представленный правительством Доминиканской Республики, см. в документе </w:t>
      </w:r>
      <w:r>
        <w:rPr>
          <w:lang w:val="en-US"/>
        </w:rPr>
        <w:t xml:space="preserve">CEDAW/C/5/Add.37, </w:t>
      </w:r>
      <w:r>
        <w:t xml:space="preserve">рассмотренном Комитетом на его седьмой сессии. Объединенный второй и третий периодический доклад, представленный правительством Доминиканской Республики, см. в документе </w:t>
      </w:r>
      <w:r>
        <w:rPr>
          <w:lang w:val="en-US"/>
        </w:rPr>
        <w:t>CEDAW/C/DOM/2</w:t>
      </w:r>
      <w:r>
        <w:rPr>
          <w:lang w:val="en-US"/>
        </w:rPr>
        <w:noBreakHyphen/>
        <w:t xml:space="preserve">3, </w:t>
      </w:r>
      <w:r>
        <w:t xml:space="preserve">рассмотренном Комитетом на его восемнадцатой сессии. Четвертый периодический доклад, представленный правительством Доминиканской Республики, см. в документе </w:t>
      </w:r>
      <w:r>
        <w:rPr>
          <w:lang w:val="en-US"/>
        </w:rPr>
        <w:t>CEDAW/C/DOM/</w:t>
      </w:r>
      <w:r>
        <w:t>4</w:t>
      </w:r>
      <w:r>
        <w:rPr>
          <w:lang w:val="en-US"/>
        </w:rPr>
        <w:t xml:space="preserve">, </w:t>
      </w:r>
      <w:r>
        <w:t>рассмотренном Комитетом на его восемнадцатой сессии. Настоящий документ издается без официального редактирования.</w:t>
      </w:r>
    </w:p>
  </w:footnote>
  <w:footnote w:id="2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Lizardo, Jeffrey; "La situación social de la República Dominicana en el contexto latinoamericano", Instituto Interamericano para el Desarrollo Social (INDES), Azua, República Dominicana, 2001.</w:t>
      </w:r>
    </w:p>
  </w:footnote>
  <w:footnote w:id="3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10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Хотя в 2001 году, по оценкам, имело место снижение до 5 процентов.</w:t>
      </w:r>
    </w:p>
  </w:footnote>
  <w:footnote w:id="4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rPr>
          <w:lang w:val="en-GB"/>
        </w:rPr>
        <w:tab/>
      </w:r>
      <w:r>
        <w:t xml:space="preserve"> </w:t>
      </w:r>
      <w:r>
        <w:tab/>
        <w:t>В 1998 году на долю 20 процентов беднейшего населения приходилось порядка 5</w:t>
      </w:r>
      <w:r>
        <w:rPr>
          <w:lang w:val="en-GB"/>
        </w:rPr>
        <w:t> </w:t>
      </w:r>
      <w:r>
        <w:t>процентов доходов, а на долю 10 процентов наиболее богатого населения</w:t>
      </w:r>
      <w:r>
        <w:rPr>
          <w:lang w:val="en-GB"/>
        </w:rPr>
        <w:t xml:space="preserve"> </w:t>
      </w:r>
      <w:r>
        <w:t>- 41 процент доходов.</w:t>
      </w:r>
    </w:p>
  </w:footnote>
  <w:footnote w:id="5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"Focalización de la pobreza en RD", Informe Población No.11, dic.'97, ONAPLAN.</w:t>
      </w:r>
    </w:p>
  </w:footnote>
  <w:footnote w:id="6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Район, прилегающий к границе с Гаити. А также районы наибольшего сосредоточения традиционных общин сборщиков сахарного тростника, которые в настоящее время занимаются другими видами работ в сельскохозяйственном секторе и в секторе строительства.</w:t>
      </w:r>
    </w:p>
  </w:footnote>
  <w:footnote w:id="7">
    <w:p w:rsidR="00000000" w:rsidRDefault="0000000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Данные о занятости более подробно рассматриваются в статье 11 настоящего доклада.</w:t>
      </w:r>
    </w:p>
  </w:footnote>
  <w:footnote w:id="8">
    <w:p w:rsidR="00000000" w:rsidRDefault="00000000">
      <w:pPr>
        <w:pStyle w:val="FootnoteText"/>
        <w:tabs>
          <w:tab w:val="left" w:pos="1620"/>
        </w:tabs>
        <w:ind w:left="1260" w:firstLine="0"/>
      </w:pPr>
      <w:r>
        <w:rPr>
          <w:rStyle w:val="FootnoteReference"/>
        </w:rPr>
        <w:footnoteRef/>
      </w:r>
      <w:r>
        <w:t xml:space="preserve"> </w:t>
      </w:r>
      <w:r>
        <w:tab/>
        <w:t>Lizardo, J., op.cit.</w:t>
      </w:r>
    </w:p>
  </w:footnote>
  <w:footnote w:id="9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Оценка проводилась в феврале и апреле 2000 года после четырех региональных и одного национального форума, в которых приняли участие представители 55 НПО и 41 государственного учреждения. "Evaluación de la Aplicación de la Plataforma de Acción de Beijing en la RD, 1995</w:t>
      </w:r>
      <w:r>
        <w:noBreakHyphen/>
        <w:t>2000" SEM, mayo 2000.</w:t>
      </w:r>
    </w:p>
  </w:footnote>
  <w:footnote w:id="10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Имеется в виду применение руководства (см. приложение 2), предназначенного в основном для определения организационно-правовых критериев гендерной политики в том или ином секторе и финансовых обязательств, принятых в связи с его применением.</w:t>
      </w:r>
    </w:p>
  </w:footnote>
  <w:footnote w:id="11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Данный механизм существует с 1982 года в виде Департамента по улучшению положения женщин, образованного президентским декретом № 46.</w:t>
      </w:r>
    </w:p>
  </w:footnote>
  <w:footnote w:id="12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Персонал каждого ПМУЖ насчитывает не менее пяти человек, в него входят: руководитель, адвокат, социолог или психолога, секретарь и дежурный администратор.</w:t>
      </w:r>
    </w:p>
  </w:footnote>
  <w:footnote w:id="13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rPr>
          <w:lang w:val="en-GB"/>
        </w:rPr>
        <w:tab/>
      </w:r>
      <w:r>
        <w:tab/>
        <w:t>"Diagnóstico de género en la reforma y modernización del Estado", SEM, PNUD, FNUAP, abril 2000, SD, RD.</w:t>
      </w:r>
    </w:p>
  </w:footnote>
  <w:footnote w:id="14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rPr>
          <w:lang w:val="en-GB"/>
        </w:rPr>
        <w:tab/>
      </w:r>
      <w:r>
        <w:t xml:space="preserve"> </w:t>
      </w:r>
      <w:r>
        <w:tab/>
        <w:t>"PLANEG. Plan Nacional de Equidad de Género: Acciones coordinadas desde el Estado para el desarrollo de la mujer", SEM, PNUD, FNUAP. Santo Domingo, República Dominicana, mayo 2000.</w:t>
      </w:r>
    </w:p>
  </w:footnote>
  <w:footnote w:id="15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Art.</w:t>
      </w:r>
      <w:r>
        <w:rPr>
          <w:lang w:val="en-GB"/>
        </w:rPr>
        <w:t xml:space="preserve"> </w:t>
      </w:r>
      <w:r>
        <w:t>2, D.. Ley No.86-99 (SEM). Presidencia de la República. República Dominicana,</w:t>
      </w:r>
      <w:r>
        <w:rPr>
          <w:lang w:val="en-GB"/>
        </w:rPr>
        <w:t xml:space="preserve"> </w:t>
      </w:r>
      <w:r>
        <w:t>2001.</w:t>
      </w:r>
    </w:p>
  </w:footnote>
  <w:footnote w:id="16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В пункте 344 замечаний по четвертому докладу содержится просьба улучшить работу по сбору и использованию данных с разбивкой по признаку пола.</w:t>
      </w:r>
    </w:p>
  </w:footnote>
  <w:footnote w:id="17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Проведенное Научно-исследовательским институтом населения и развития в интересах семьи.</w:t>
      </w:r>
    </w:p>
  </w:footnote>
  <w:footnote w:id="18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Проведенное Епископальным католическим университетом Богоматери.</w:t>
      </w:r>
    </w:p>
  </w:footnote>
  <w:footnote w:id="19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См. пункт 3.15, в котором подробно говорится об этих реформах.</w:t>
      </w:r>
    </w:p>
  </w:footnote>
  <w:footnote w:id="20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Уже упоминавшиеся в пункте 2.4.</w:t>
      </w:r>
    </w:p>
  </w:footnote>
  <w:footnote w:id="21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См. пункт 2.3.</w:t>
      </w:r>
    </w:p>
  </w:footnote>
  <w:footnote w:id="22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rPr>
          <w:lang w:val="en-GB"/>
        </w:rPr>
        <w:tab/>
      </w:r>
      <w:r>
        <w:t xml:space="preserve"> </w:t>
      </w:r>
      <w:r>
        <w:tab/>
        <w:t>"Evaluación de la Aplicación de la Plataforma de Acción de Beijing en RD, 95</w:t>
      </w:r>
      <w:r>
        <w:noBreakHyphen/>
        <w:t>2000", SEM, mayo 2000.</w:t>
      </w:r>
    </w:p>
  </w:footnote>
  <w:footnote w:id="23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Общенациональное представительное обследование, проведенное в 1999 году. Его предметом были женщины репродуктивного возраста от 15 до 49 лет, ЦСДО, сентябрь 2000 года.</w:t>
      </w:r>
    </w:p>
  </w:footnote>
  <w:footnote w:id="24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Данные оценки подготовлены на основе информации, опубликованной в национальных периодических изданиях. В 2001 году для этих целей использовались статьи Сюзи Пола, а по 1990</w:t>
      </w:r>
      <w:r>
        <w:noBreakHyphen/>
        <w:t>1999 годам, – материалы Центра исследований деятельности женщин, приведенные Гомесом и Гальваном, Национальный совет по проблемам населения и семьи, июнь 2000 года.</w:t>
      </w:r>
    </w:p>
  </w:footnote>
  <w:footnote w:id="25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Деятельность этих отрядов координирует межведомственный орган, в работе которого участвуют министерство по делам женщин, Генеральная прокуратура Республики, национальная полиция и аппарат Уполномоченного по реформированию и модернизации системы правосудия.</w:t>
      </w:r>
    </w:p>
  </w:footnote>
  <w:footnote w:id="26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rPr>
          <w:lang w:val="en-GB"/>
        </w:rPr>
        <w:tab/>
      </w:r>
      <w:r>
        <w:t xml:space="preserve"> </w:t>
      </w:r>
      <w:r>
        <w:tab/>
        <w:t>Pola, Susy; "Departamento de Protección a la Mujer del Destacamento Policial de Villa Juana, Santo Domingo, RD: Análisis de la experiencia de coordinación especializada en atención a la violencia intrafamiliar", RD, 2000.</w:t>
      </w:r>
    </w:p>
  </w:footnote>
  <w:footnote w:id="27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Согласно декрету 423</w:t>
      </w:r>
      <w:r>
        <w:noBreakHyphen/>
        <w:t>98.</w:t>
      </w:r>
    </w:p>
  </w:footnote>
  <w:footnote w:id="28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rPr>
          <w:lang w:val="en-GB"/>
        </w:rPr>
        <w:tab/>
      </w:r>
      <w:r>
        <w:t xml:space="preserve"> </w:t>
      </w:r>
      <w:r>
        <w:tab/>
        <w:t>Этот проект осуществляется в пяти странах: Бразилии, Аргентине, Мексике, Прагвае, Венесуэле и Доминиканской Республике.</w:t>
      </w:r>
    </w:p>
  </w:footnote>
  <w:footnote w:id="29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Pola, Susy, op.cit.</w:t>
      </w:r>
    </w:p>
  </w:footnote>
  <w:footnote w:id="30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Jansen, S.; "La Violencia Intrafamiliar en la provincia de Salcedo y Los Alcarrizos (Distrito Nacional), Rep.Dominicana: Diagnóstico de situación", ONAPLAN/BID, SD, julio 1998.</w:t>
      </w:r>
    </w:p>
  </w:footnote>
  <w:footnote w:id="31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rPr>
          <w:lang w:val="en-GB"/>
        </w:rPr>
        <w:tab/>
      </w:r>
      <w:r>
        <w:t xml:space="preserve"> </w:t>
      </w:r>
      <w:r>
        <w:tab/>
        <w:t>Gómez y Galván, CONAPOFA, 2001.</w:t>
      </w:r>
    </w:p>
  </w:footnote>
  <w:footnote w:id="32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Проект документа, подлежащий окончательному утверждению, май 2001 года, МДЖ.</w:t>
      </w:r>
    </w:p>
  </w:footnote>
  <w:footnote w:id="33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Подробно описаны в пункте 3.7.</w:t>
      </w:r>
    </w:p>
  </w:footnote>
  <w:footnote w:id="34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Созданы в соответствии с президентским декретом 974</w:t>
      </w:r>
      <w:r>
        <w:noBreakHyphen/>
        <w:t>01 от 26 сентября 2001 года.</w:t>
      </w:r>
    </w:p>
  </w:footnote>
  <w:footnote w:id="35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rPr>
          <w:lang w:val="en-GB"/>
        </w:rPr>
        <w:tab/>
      </w:r>
      <w:r>
        <w:t xml:space="preserve"> </w:t>
      </w:r>
      <w:r>
        <w:tab/>
        <w:t>Проводится министерством промышленности и торговли.</w:t>
      </w:r>
    </w:p>
  </w:footnote>
  <w:footnote w:id="36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В первый год осуществления в рамках ППБН министерству по делам женщин было выделено 10 млн. песо.</w:t>
      </w:r>
    </w:p>
  </w:footnote>
  <w:footnote w:id="37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Доклад об осуществлении ППБН от 17 сентября 2001 года, представленный в ходе подготовки настоящего, пятого доклада для КЛДЖ.</w:t>
      </w:r>
    </w:p>
  </w:footnote>
  <w:footnote w:id="38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Hernández, Angela: "Diagnóstico de Género en la Reforma y Modernización del Sistema de Planificación", SEM, PNUD, FNUAP, abril 2000.</w:t>
      </w:r>
    </w:p>
  </w:footnote>
  <w:footnote w:id="39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ИНЕСПРЕ предлагает продукты питания по низкой цене.</w:t>
      </w:r>
    </w:p>
  </w:footnote>
  <w:footnote w:id="40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"Evaluación de la Aplicación de la Plataforma de Acción de Beijing en la República Dominicana, 95</w:t>
      </w:r>
      <w:r>
        <w:noBreakHyphen/>
        <w:t>2000", SEM; SD, RD, mayo 2000.</w:t>
      </w:r>
    </w:p>
  </w:footnote>
  <w:footnote w:id="41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Многие из радиостанций, работающих в этом направлении, относятся к сети католического радиовещания.</w:t>
      </w:r>
    </w:p>
  </w:footnote>
  <w:footnote w:id="42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Интервью с Франсиской Феррейра, генеральным координатором ЦОИ. Каждый год эта НПО проводит сбор информации в районах, где она действует (пять главных провинций страны, включая столицу Санто</w:t>
      </w:r>
      <w:r>
        <w:noBreakHyphen/>
        <w:t>Доминго, Сантьяго, Сан</w:t>
      </w:r>
      <w:r>
        <w:noBreakHyphen/>
        <w:t>Кристобаль, Сан</w:t>
      </w:r>
      <w:r>
        <w:rPr>
          <w:lang w:val="en-GB"/>
        </w:rPr>
        <w:noBreakHyphen/>
      </w:r>
      <w:r>
        <w:t>Педро</w:t>
      </w:r>
      <w:r>
        <w:rPr>
          <w:lang w:val="en-GB"/>
        </w:rPr>
        <w:t>-</w:t>
      </w:r>
      <w:r>
        <w:t>де</w:t>
      </w:r>
      <w:r>
        <w:rPr>
          <w:lang w:val="en-GB"/>
        </w:rPr>
        <w:noBreakHyphen/>
      </w:r>
      <w:r>
        <w:t>Макорис и Ла</w:t>
      </w:r>
      <w:r>
        <w:noBreakHyphen/>
        <w:t>Романа).</w:t>
      </w:r>
    </w:p>
  </w:footnote>
  <w:footnote w:id="43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Обычно это молодые женщины, учащиеся и работающие, которые занимаются проституцией для того, чтобы оплатить учебу или улучшить свое материальное положение и статус в обществе и приобретать вещи, не доступные тем, кто занимается низкооплачиваемым трудом по найму.</w:t>
      </w:r>
    </w:p>
  </w:footnote>
  <w:footnote w:id="44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Эта оценка основана на сообщениях, полученных ЦОИ от европейских организаций, работающих с иммигрантами.</w:t>
      </w:r>
    </w:p>
  </w:footnote>
  <w:footnote w:id="45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Gallardo Rivas, Gina; "Tráfico de mujeres desde RD con fines de explotación sexual", SEM, OIM, SD, RD, mayo 2001.</w:t>
      </w:r>
    </w:p>
  </w:footnote>
  <w:footnote w:id="46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Ibidem.</w:t>
      </w:r>
    </w:p>
  </w:footnote>
  <w:footnote w:id="47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См. 3.4.</w:t>
      </w:r>
    </w:p>
  </w:footnote>
  <w:footnote w:id="48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В 1962 году - Хосефина Падилья от Национального гражданского союза, в 1996 году</w:t>
      </w:r>
      <w:r>
        <w:rPr>
          <w:lang w:val="en-GB"/>
        </w:rPr>
        <w:t> </w:t>
      </w:r>
      <w:r>
        <w:t>- Марибель Гассо от Реформистской социал</w:t>
      </w:r>
      <w:r>
        <w:noBreakHyphen/>
        <w:t>христианской партии (РСХП) (обе проиграли на выборах) и в 2000 году - Милагро Ортис Бош, нынешний вице</w:t>
      </w:r>
      <w:r>
        <w:noBreakHyphen/>
        <w:t>президент, министр образования и председатель социального кабинета.</w:t>
      </w:r>
    </w:p>
  </w:footnote>
  <w:footnote w:id="49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Участие граждан, 2002 год. Данные подготовлены программой "Женщины и политика", июль 2002 года.</w:t>
      </w:r>
    </w:p>
  </w:footnote>
  <w:footnote w:id="50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Цитируется по "Оценке хода осуществления Пекинской платформы действий в Доминиканской Республике", в которой содержатся ссылки на декларацию Форума женщин - членов политических партий.</w:t>
      </w:r>
    </w:p>
  </w:footnote>
  <w:footnote w:id="51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rPr>
          <w:lang w:val="en-GB"/>
        </w:rPr>
        <w:tab/>
      </w:r>
      <w:r>
        <w:t xml:space="preserve"> </w:t>
      </w:r>
      <w:r>
        <w:tab/>
        <w:t>Evaluación Beijing, SEM, mayo 2000.</w:t>
      </w:r>
    </w:p>
  </w:footnote>
  <w:footnote w:id="52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Jansen, S.; 31 de julio de 1998, SD, RD.</w:t>
      </w:r>
    </w:p>
  </w:footnote>
  <w:footnote w:id="53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Доминиканская ассоциация врачей (ДАВ), Доминиканская ассоциация преподавателей (ДАП) и Доминиканская корпорация инженеров, архитекторов и землемеров (КОДИА).</w:t>
      </w:r>
    </w:p>
  </w:footnote>
  <w:footnote w:id="54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Cáceres Ureña, Francisco y Báez Evertsz</w:t>
      </w:r>
      <w:r>
        <w:rPr>
          <w:lang w:val="en-GB"/>
        </w:rPr>
        <w:t xml:space="preserve"> Frank</w:t>
      </w:r>
      <w:r>
        <w:t>; "Bases para una política de población y desarrollo en RD: Funcionalidad económica y social de la migración internacional e interna", CONAPOFA, SESPAS, FNUAP: Agosto 2001.</w:t>
      </w:r>
    </w:p>
  </w:footnote>
  <w:footnote w:id="55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Castillo Díaz, Gineida, "Diagnóstico de Género en la Reforma y Modernización del Sistema Educativo", SEM, PNUD, FNUAP, abril 2000.</w:t>
      </w:r>
    </w:p>
  </w:footnote>
  <w:footnote w:id="56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"Evaluación Plataforma Beijing 95-2000", SEM, mayo 2000.</w:t>
      </w:r>
    </w:p>
  </w:footnote>
  <w:footnote w:id="57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Ramírez, N.; "Tendencias en la generación de empleos en RD", CESDEM, especial Hoy/Areito, 2000. По сектору туризма и свободным экономическим зонам данные о созданных вспомогательных рабочих местах не приводятся, поскольку, по мнению автора, эти данные являются чисто умозрительными и должны регистрироваться в тех секторах, к которым относится каждый случай; например, предприятия общественного питания вблизи свободных зон относятся к сектору торговли.</w:t>
      </w:r>
    </w:p>
  </w:footnote>
  <w:footnote w:id="58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Ramírez, N.; "El PIB y el desarrollo: el mito reiterado", CESDEM, especial Hoy/Areito, 2000.</w:t>
      </w:r>
    </w:p>
  </w:footnote>
  <w:footnote w:id="59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ENDESA 1999, CESDEM-USAID, sept. 2001.</w:t>
      </w:r>
    </w:p>
  </w:footnote>
  <w:footnote w:id="60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Santana, Isidoro (Fundación Siglo 21); "Distribución del ingreso y pobreza en la sociedad dominicana: tendencias recientes", Revista Población y Sociedad No.19, enero</w:t>
      </w:r>
      <w:r>
        <w:noBreakHyphen/>
        <w:t>abril 1998, CESDEM.</w:t>
      </w:r>
    </w:p>
  </w:footnote>
  <w:footnote w:id="61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Desarrollo Humano en RD 2000, PNUD.</w:t>
      </w:r>
    </w:p>
  </w:footnote>
  <w:footnote w:id="62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rPr>
          <w:lang w:val="en-GB"/>
        </w:rPr>
        <w:tab/>
      </w:r>
      <w:r>
        <w:t xml:space="preserve"> </w:t>
      </w:r>
      <w:r>
        <w:tab/>
        <w:t>ENDESA 1999, CESDEM-USAID, sept. 2001</w:t>
      </w:r>
    </w:p>
  </w:footnote>
  <w:footnote w:id="63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"Desarrollo Humano en RD", PNUD, 2000</w:t>
      </w:r>
    </w:p>
  </w:footnote>
  <w:footnote w:id="64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Центр исследования деятельности женщин (ЦИДЖ), проект исследования "Это не игрушки: исследование по вопросу о выполнении домашних обязанностей в семьях третьих лиц", сентябрь 2000 года.</w:t>
      </w:r>
    </w:p>
  </w:footnote>
  <w:footnote w:id="65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По данным опроса 310 женщин, проведенного Ассоциацией женщин, работающих по дому (ассоциацией, объединяющей около 350 женщин в городе Санто</w:t>
      </w:r>
      <w:r>
        <w:noBreakHyphen/>
        <w:t>Доминго), только 4 процента женщин знали о своих правах.</w:t>
      </w:r>
    </w:p>
  </w:footnote>
  <w:footnote w:id="66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Согласно информации, полученной от д</w:t>
      </w:r>
      <w:r>
        <w:noBreakHyphen/>
        <w:t>ра Сони Диас Иноа, департамент по вопросам равенства полов министерства труда.</w:t>
      </w:r>
    </w:p>
  </w:footnote>
  <w:footnote w:id="67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"Info</w:t>
      </w:r>
      <w:r>
        <w:rPr>
          <w:lang w:val="en-GB"/>
        </w:rPr>
        <w:t>r</w:t>
      </w:r>
      <w:r>
        <w:t>me de gestión abril-septiembre 2001". Gabinete Social, Junta Directiva, Unidad Ejecutiva. Gobierno dominicano al servicio de la gente.</w:t>
      </w:r>
    </w:p>
  </w:footnote>
  <w:footnote w:id="68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Hernández, A.; SEM, abril 2000.</w:t>
      </w:r>
    </w:p>
  </w:footnote>
  <w:footnote w:id="69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Данные за 1999 год, взяты из исследования ОДЗ</w:t>
      </w:r>
      <w:r>
        <w:noBreakHyphen/>
        <w:t>99, CESDEM-USAID, sept.2001.</w:t>
      </w:r>
    </w:p>
  </w:footnote>
  <w:footnote w:id="70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На основе вышеупомянутого обследования ОДЗ</w:t>
      </w:r>
      <w:r>
        <w:noBreakHyphen/>
        <w:t>99.</w:t>
      </w:r>
    </w:p>
  </w:footnote>
  <w:footnote w:id="71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Данные проведенного в 2001 году оценочного исследования Системы наблюдения за динамикой материнской смертности, предоставленные д</w:t>
      </w:r>
      <w:r>
        <w:noBreakHyphen/>
        <w:t>ром Пенья.</w:t>
      </w:r>
    </w:p>
  </w:footnote>
  <w:footnote w:id="72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Gómez y Galván, 2001 (citando a Cáceres Ureña, 98).</w:t>
      </w:r>
    </w:p>
  </w:footnote>
  <w:footnote w:id="73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Информация Президентского совета по СПИДу (КОПРЕСИДА), сентябрь 2001 года.</w:t>
      </w:r>
    </w:p>
  </w:footnote>
  <w:footnote w:id="74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Информация, предоставленная д-ром Герреро из КОПРЕСИДА.</w:t>
      </w:r>
    </w:p>
  </w:footnote>
  <w:footnote w:id="75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ab/>
      </w:r>
      <w:r>
        <w:tab/>
        <w:t>При помощи препарата "Невирапин".</w:t>
      </w:r>
    </w:p>
  </w:footnote>
  <w:footnote w:id="76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 xml:space="preserve">SEM, </w:t>
      </w:r>
      <w:r>
        <w:rPr>
          <w:lang w:val="en-GB"/>
        </w:rPr>
        <w:t xml:space="preserve">mayo del </w:t>
      </w:r>
      <w:r>
        <w:t>2000.</w:t>
      </w:r>
    </w:p>
  </w:footnote>
  <w:footnote w:id="77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Доклад, представленный Главным эпидемиологическим управлением (ГЭУ) министерства здравоохранения и социальной помощи для подготовки пятого доклада, 30 августа 2001 года.</w:t>
      </w:r>
    </w:p>
  </w:footnote>
  <w:footnote w:id="78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См. 3.11.3.</w:t>
      </w:r>
    </w:p>
  </w:footnote>
  <w:footnote w:id="79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Закон, на основании которого вносятся поправки в Закон об аграрной реформе и устанавливается принцип равенства между мужчинами и женщинами в отношении всех законных прав и обязанностей, благодаря чему в рамках аграрной реформы легализуется доступ женщин-крестьянок к земле.</w:t>
      </w:r>
    </w:p>
  </w:footnote>
  <w:footnote w:id="80">
    <w:p w:rsidR="00000000" w:rsidRDefault="00000000">
      <w:pPr>
        <w:pStyle w:val="FootnoteText"/>
        <w:tabs>
          <w:tab w:val="right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195" w:right="1267" w:hanging="360"/>
        <w:jc w:val="both"/>
      </w:pPr>
      <w:r>
        <w:rPr>
          <w:lang w:val="en-GB"/>
        </w:rP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GB"/>
        </w:rPr>
        <w:tab/>
      </w:r>
      <w:r>
        <w:t>Сегодня КОНАМУКА насчитывает 8 тыс. женщин, образующих 295 ассоциаций и 14 федераций.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CEDAW/C/PRK/1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CEDAWP/C/PRK/1</w:t>
                      </w: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/C/DOM/5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  <w:rPr>
              <w:lang w:val="en-US"/>
            </w:rPr>
          </w:pPr>
          <w:r>
            <w:rPr>
              <w:lang w:val="en-US"/>
            </w:rPr>
            <w:t>Distr.: General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11 April 2003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Russian</w:t>
          </w:r>
        </w:p>
        <w:p w:rsidR="00000000" w:rsidRDefault="00000000">
          <w:pPr>
            <w:rPr>
              <w:lang w:val="en-US"/>
            </w:rPr>
          </w:pPr>
          <w:r>
            <w:rPr>
              <w:lang w:val="en-US"/>
            </w:rPr>
            <w:t>Original: Spanish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8" type="#_x0000_t202" style="position:absolute;margin-left:-5.75pt;margin-top:0;width:7in;height:50.4pt;z-index:4" o:allowincell="f" stroked="f">
          <v:textbox style="mso-next-textbox:#_x0000_s1068;mso-rotate-with-shape:t" inset="0,0,0,0">
            <w:txbxContent>
              <w:tbl>
                <w:tblPr>
                  <w:tblW w:w="0" w:type="auto"/>
                  <w:tblInd w:w="116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</w:t>
                      </w:r>
                      <w:r>
                        <w:rPr>
                          <w:b/>
                          <w:noProof w:val="0"/>
                          <w:lang w:val="en-US"/>
                        </w:rPr>
                        <w:t>DOM/5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67" type="#_x0000_t202" style="position:absolute;margin-left:-5.75pt;margin-top:0;width:7in;height:50.4pt;z-index:3" o:allowincell="f" stroked="f">
          <v:textbox style="mso-next-textbox:#_x0000_s1067;mso-rotate-with-shape:t" inset="0,0,0,0">
            <w:txbxContent>
              <w:tbl>
                <w:tblPr>
                  <w:tblW w:w="0" w:type="auto"/>
                  <w:tblInd w:w="116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CEDAW/C/DOM/5</w:t>
                      </w:r>
                    </w:p>
                  </w:tc>
                </w:tr>
              </w:tbl>
              <w:p w:rsidR="00000000" w:rsidRDefault="00000000">
                <w:pPr>
                  <w:rPr>
                    <w:lang w:val="en-US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EA4CB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CF65F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49E7B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EAC24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77429B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9D24B9"/>
    <w:multiLevelType w:val="multilevel"/>
    <w:tmpl w:val="298AFE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01164C87"/>
    <w:multiLevelType w:val="multilevel"/>
    <w:tmpl w:val="5C3AA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2343421"/>
    <w:multiLevelType w:val="multilevel"/>
    <w:tmpl w:val="11540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27D3769"/>
    <w:multiLevelType w:val="multilevel"/>
    <w:tmpl w:val="CC928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2E24E31"/>
    <w:multiLevelType w:val="singleLevel"/>
    <w:tmpl w:val="D7F69D26"/>
    <w:lvl w:ilvl="0">
      <w:start w:val="12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">
    <w:nsid w:val="03730693"/>
    <w:multiLevelType w:val="multilevel"/>
    <w:tmpl w:val="AB94B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49045B1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7">
    <w:nsid w:val="04E0240B"/>
    <w:multiLevelType w:val="multilevel"/>
    <w:tmpl w:val="E7867B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50F3CC7"/>
    <w:multiLevelType w:val="singleLevel"/>
    <w:tmpl w:val="A66E3956"/>
    <w:lvl w:ilvl="0">
      <w:start w:val="2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">
    <w:nsid w:val="05D277B5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">
    <w:nsid w:val="079353C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079D4461"/>
    <w:multiLevelType w:val="multilevel"/>
    <w:tmpl w:val="9CC47DB8"/>
    <w:lvl w:ilvl="0">
      <w:start w:val="4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>
      <w:start w:val="15"/>
      <w:numFmt w:val="decimal"/>
      <w:lvlText w:val="%2.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83516E1"/>
    <w:multiLevelType w:val="singleLevel"/>
    <w:tmpl w:val="C512EEFE"/>
    <w:lvl w:ilvl="0">
      <w:start w:val="10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">
    <w:nsid w:val="088631BE"/>
    <w:multiLevelType w:val="multilevel"/>
    <w:tmpl w:val="0D9A0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8BA78F5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08ED184A"/>
    <w:multiLevelType w:val="multilevel"/>
    <w:tmpl w:val="F2180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9442782"/>
    <w:multiLevelType w:val="multilevel"/>
    <w:tmpl w:val="D6E82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94D0262"/>
    <w:multiLevelType w:val="multilevel"/>
    <w:tmpl w:val="4CA0E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95F36C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09E53D0E"/>
    <w:multiLevelType w:val="singleLevel"/>
    <w:tmpl w:val="F3E88FB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30">
    <w:nsid w:val="0AC300E8"/>
    <w:multiLevelType w:val="multilevel"/>
    <w:tmpl w:val="F5708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AD3623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32">
    <w:nsid w:val="0B34795E"/>
    <w:multiLevelType w:val="multilevel"/>
    <w:tmpl w:val="CD2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B58528F"/>
    <w:multiLevelType w:val="singleLevel"/>
    <w:tmpl w:val="06404212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4">
    <w:nsid w:val="0BED3C9D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35">
    <w:nsid w:val="0C55490E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0CDD30F1"/>
    <w:multiLevelType w:val="singleLevel"/>
    <w:tmpl w:val="718229E6"/>
    <w:lvl w:ilvl="0">
      <w:start w:val="1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7">
    <w:nsid w:val="0F4C15DE"/>
    <w:multiLevelType w:val="singleLevel"/>
    <w:tmpl w:val="109A2530"/>
    <w:lvl w:ilvl="0">
      <w:start w:val="1"/>
      <w:numFmt w:val="decimal"/>
      <w:lvlText w:val=""/>
      <w:lvlJc w:val="left"/>
      <w:pPr>
        <w:tabs>
          <w:tab w:val="num" w:pos="648"/>
        </w:tabs>
        <w:ind w:left="648" w:hanging="360"/>
      </w:pPr>
      <w:rPr>
        <w:rFonts w:hint="default"/>
        <w:u w:val="none"/>
      </w:rPr>
    </w:lvl>
  </w:abstractNum>
  <w:abstractNum w:abstractNumId="38">
    <w:nsid w:val="0F887454"/>
    <w:multiLevelType w:val="multilevel"/>
    <w:tmpl w:val="F124A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100A00FF"/>
    <w:multiLevelType w:val="multilevel"/>
    <w:tmpl w:val="D2A6B9B6"/>
    <w:lvl w:ilvl="0">
      <w:start w:val="1"/>
      <w:numFmt w:val="lowerLetter"/>
      <w:lvlText w:val="%1)"/>
      <w:lvlJc w:val="left"/>
      <w:pPr>
        <w:tabs>
          <w:tab w:val="num" w:pos="2232"/>
        </w:tabs>
        <w:ind w:left="2232" w:hanging="432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106D698C"/>
    <w:multiLevelType w:val="singleLevel"/>
    <w:tmpl w:val="557CFEA4"/>
    <w:lvl w:ilvl="0">
      <w:start w:val="1"/>
      <w:numFmt w:val="upperLetter"/>
      <w:pStyle w:val="Heading9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41">
    <w:nsid w:val="10C62EC4"/>
    <w:multiLevelType w:val="multilevel"/>
    <w:tmpl w:val="63A04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10C8709E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43">
    <w:nsid w:val="10DC72C6"/>
    <w:multiLevelType w:val="multilevel"/>
    <w:tmpl w:val="C024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1116192F"/>
    <w:multiLevelType w:val="singleLevel"/>
    <w:tmpl w:val="2900679C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45">
    <w:nsid w:val="111D3FD8"/>
    <w:multiLevelType w:val="multilevel"/>
    <w:tmpl w:val="E2965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118A1F22"/>
    <w:multiLevelType w:val="singleLevel"/>
    <w:tmpl w:val="99BEB8D8"/>
    <w:lvl w:ilvl="0">
      <w:start w:val="1"/>
      <w:numFmt w:val="decimal"/>
      <w:lvlText w:val="%1. "/>
      <w:legacy w:legacy="1" w:legacySpace="0" w:legacyIndent="283"/>
      <w:lvlJc w:val="left"/>
      <w:pPr>
        <w:ind w:left="24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7">
    <w:nsid w:val="118B36AE"/>
    <w:multiLevelType w:val="singleLevel"/>
    <w:tmpl w:val="C00C142A"/>
    <w:lvl w:ilvl="0">
      <w:start w:val="5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8">
    <w:nsid w:val="1199519C"/>
    <w:multiLevelType w:val="multilevel"/>
    <w:tmpl w:val="C6DA0EA6"/>
    <w:lvl w:ilvl="0">
      <w:start w:val="5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9">
    <w:nsid w:val="11E35EE0"/>
    <w:multiLevelType w:val="singleLevel"/>
    <w:tmpl w:val="2A44CA10"/>
    <w:lvl w:ilvl="0">
      <w:start w:val="3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0">
    <w:nsid w:val="12127882"/>
    <w:multiLevelType w:val="multilevel"/>
    <w:tmpl w:val="EF620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125327D3"/>
    <w:multiLevelType w:val="singleLevel"/>
    <w:tmpl w:val="1B46C1EE"/>
    <w:lvl w:ilvl="0">
      <w:start w:val="6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2">
    <w:nsid w:val="128815FA"/>
    <w:multiLevelType w:val="singleLevel"/>
    <w:tmpl w:val="A78A0C26"/>
    <w:lvl w:ilvl="0">
      <w:start w:val="7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3">
    <w:nsid w:val="134157B2"/>
    <w:multiLevelType w:val="singleLevel"/>
    <w:tmpl w:val="00E6D9E8"/>
    <w:lvl w:ilvl="0">
      <w:start w:val="1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4">
    <w:nsid w:val="135420E0"/>
    <w:multiLevelType w:val="singleLevel"/>
    <w:tmpl w:val="05143C68"/>
    <w:lvl w:ilvl="0">
      <w:start w:val="43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55">
    <w:nsid w:val="13C46E10"/>
    <w:multiLevelType w:val="singleLevel"/>
    <w:tmpl w:val="31064436"/>
    <w:lvl w:ilvl="0">
      <w:start w:val="6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6">
    <w:nsid w:val="14CE4492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57">
    <w:nsid w:val="15BE5CC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8">
    <w:nsid w:val="15C8569C"/>
    <w:multiLevelType w:val="singleLevel"/>
    <w:tmpl w:val="D668047E"/>
    <w:lvl w:ilvl="0">
      <w:start w:val="3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59">
    <w:nsid w:val="15D36F1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0">
    <w:nsid w:val="163053A7"/>
    <w:multiLevelType w:val="singleLevel"/>
    <w:tmpl w:val="CF301094"/>
    <w:lvl w:ilvl="0">
      <w:start w:val="5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1">
    <w:nsid w:val="165F63FD"/>
    <w:multiLevelType w:val="singleLevel"/>
    <w:tmpl w:val="7D92BA1A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62">
    <w:nsid w:val="171115D5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63">
    <w:nsid w:val="17A42F28"/>
    <w:multiLevelType w:val="singleLevel"/>
    <w:tmpl w:val="9622FACE"/>
    <w:lvl w:ilvl="0">
      <w:start w:val="12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4">
    <w:nsid w:val="18094EC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5">
    <w:nsid w:val="182620B7"/>
    <w:multiLevelType w:val="singleLevel"/>
    <w:tmpl w:val="89FCEDBA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hint="default"/>
      </w:rPr>
    </w:lvl>
  </w:abstractNum>
  <w:abstractNum w:abstractNumId="66">
    <w:nsid w:val="185D6F33"/>
    <w:multiLevelType w:val="singleLevel"/>
    <w:tmpl w:val="7D6AE164"/>
    <w:lvl w:ilvl="0">
      <w:start w:val="7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rFonts w:hint="default"/>
      </w:rPr>
    </w:lvl>
  </w:abstractNum>
  <w:abstractNum w:abstractNumId="67">
    <w:nsid w:val="186C1774"/>
    <w:multiLevelType w:val="singleLevel"/>
    <w:tmpl w:val="0A42F93E"/>
    <w:lvl w:ilvl="0">
      <w:start w:val="8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68">
    <w:nsid w:val="18844367"/>
    <w:multiLevelType w:val="multilevel"/>
    <w:tmpl w:val="19B477B0"/>
    <w:lvl w:ilvl="0">
      <w:start w:val="5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18BB0421"/>
    <w:multiLevelType w:val="singleLevel"/>
    <w:tmpl w:val="18F4AD26"/>
    <w:lvl w:ilvl="0">
      <w:start w:val="5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0">
    <w:nsid w:val="18F51F60"/>
    <w:multiLevelType w:val="singleLevel"/>
    <w:tmpl w:val="7ED4004C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71">
    <w:nsid w:val="19325BF2"/>
    <w:multiLevelType w:val="multilevel"/>
    <w:tmpl w:val="595A6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19F62031"/>
    <w:multiLevelType w:val="singleLevel"/>
    <w:tmpl w:val="594AE0CC"/>
    <w:lvl w:ilvl="0">
      <w:start w:val="1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73">
    <w:nsid w:val="1AA90438"/>
    <w:multiLevelType w:val="multilevel"/>
    <w:tmpl w:val="90F47506"/>
    <w:lvl w:ilvl="0"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hint="default"/>
      </w:rPr>
    </w:lvl>
  </w:abstractNum>
  <w:abstractNum w:abstractNumId="74">
    <w:nsid w:val="1B8B4A10"/>
    <w:multiLevelType w:val="singleLevel"/>
    <w:tmpl w:val="602C02E4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5">
    <w:nsid w:val="1BD90FAB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76">
    <w:nsid w:val="1BFD7EFE"/>
    <w:multiLevelType w:val="multilevel"/>
    <w:tmpl w:val="4A38B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>
    <w:nsid w:val="1CF06CB0"/>
    <w:multiLevelType w:val="singleLevel"/>
    <w:tmpl w:val="E1BA5E9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8">
    <w:nsid w:val="1EC7022C"/>
    <w:multiLevelType w:val="singleLevel"/>
    <w:tmpl w:val="2900679C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79">
    <w:nsid w:val="1F1772A6"/>
    <w:multiLevelType w:val="singleLevel"/>
    <w:tmpl w:val="AA5AC07E"/>
    <w:lvl w:ilvl="0">
      <w:start w:val="132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80">
    <w:nsid w:val="1F343CC2"/>
    <w:multiLevelType w:val="multilevel"/>
    <w:tmpl w:val="41B8956E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81">
    <w:nsid w:val="20551B7E"/>
    <w:multiLevelType w:val="multilevel"/>
    <w:tmpl w:val="E6B67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>
    <w:nsid w:val="21060AD0"/>
    <w:multiLevelType w:val="multilevel"/>
    <w:tmpl w:val="0F50E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221234C1"/>
    <w:multiLevelType w:val="singleLevel"/>
    <w:tmpl w:val="CE0084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4">
    <w:nsid w:val="225F6025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85">
    <w:nsid w:val="229D1C78"/>
    <w:multiLevelType w:val="multilevel"/>
    <w:tmpl w:val="A79CB220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6">
    <w:nsid w:val="22A24D15"/>
    <w:multiLevelType w:val="multilevel"/>
    <w:tmpl w:val="E8E6458A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648"/>
      </w:pPr>
      <w:rPr>
        <w:rFonts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>
    <w:nsid w:val="233F6D01"/>
    <w:multiLevelType w:val="multilevel"/>
    <w:tmpl w:val="097AE718"/>
    <w:lvl w:ilvl="0">
      <w:start w:val="1"/>
      <w:numFmt w:val="bullet"/>
      <w:lvlText w:val="·"/>
      <w:lvlJc w:val="left"/>
      <w:pPr>
        <w:tabs>
          <w:tab w:val="num" w:pos="1080"/>
        </w:tabs>
        <w:ind w:left="1080" w:hanging="648"/>
      </w:pPr>
      <w:rPr>
        <w:rFonts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>
    <w:nsid w:val="23D85D99"/>
    <w:multiLevelType w:val="singleLevel"/>
    <w:tmpl w:val="E5B86D8C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9">
    <w:nsid w:val="254C1AE1"/>
    <w:multiLevelType w:val="singleLevel"/>
    <w:tmpl w:val="AADC4C3A"/>
    <w:lvl w:ilvl="0">
      <w:start w:val="7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0">
    <w:nsid w:val="259A3610"/>
    <w:multiLevelType w:val="singleLevel"/>
    <w:tmpl w:val="96BE93C0"/>
    <w:lvl w:ilvl="0">
      <w:start w:val="3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1">
    <w:nsid w:val="25EC0393"/>
    <w:multiLevelType w:val="singleLevel"/>
    <w:tmpl w:val="B27CD1BA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2">
    <w:nsid w:val="271D2E2A"/>
    <w:multiLevelType w:val="singleLevel"/>
    <w:tmpl w:val="4A2CDB0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3">
    <w:nsid w:val="285D3CD9"/>
    <w:multiLevelType w:val="singleLevel"/>
    <w:tmpl w:val="F3E88FB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94">
    <w:nsid w:val="28E62924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95">
    <w:nsid w:val="28F74C36"/>
    <w:multiLevelType w:val="singleLevel"/>
    <w:tmpl w:val="8A705848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96">
    <w:nsid w:val="292F242E"/>
    <w:multiLevelType w:val="multilevel"/>
    <w:tmpl w:val="684EFAE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7">
    <w:nsid w:val="293B05E5"/>
    <w:multiLevelType w:val="singleLevel"/>
    <w:tmpl w:val="8228B2E6"/>
    <w:lvl w:ilvl="0">
      <w:start w:val="4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98">
    <w:nsid w:val="2A856AD7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99">
    <w:nsid w:val="2E116C6C"/>
    <w:multiLevelType w:val="singleLevel"/>
    <w:tmpl w:val="8B06F33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0">
    <w:nsid w:val="2E5243D7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01">
    <w:nsid w:val="2EA243C8"/>
    <w:multiLevelType w:val="singleLevel"/>
    <w:tmpl w:val="2516205E"/>
    <w:lvl w:ilvl="0">
      <w:start w:val="8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2">
    <w:nsid w:val="2EB109AF"/>
    <w:multiLevelType w:val="multilevel"/>
    <w:tmpl w:val="455ADC12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103">
    <w:nsid w:val="2EBF2012"/>
    <w:multiLevelType w:val="multilevel"/>
    <w:tmpl w:val="357C3DEC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104">
    <w:nsid w:val="2F127D9A"/>
    <w:multiLevelType w:val="singleLevel"/>
    <w:tmpl w:val="BBBA818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5">
    <w:nsid w:val="2F4A5879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6">
    <w:nsid w:val="2FB86A2E"/>
    <w:multiLevelType w:val="multilevel"/>
    <w:tmpl w:val="516AA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>
    <w:nsid w:val="2FBA3835"/>
    <w:multiLevelType w:val="singleLevel"/>
    <w:tmpl w:val="1366B336"/>
    <w:lvl w:ilvl="0">
      <w:start w:val="7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8">
    <w:nsid w:val="2FCB3BC3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09">
    <w:nsid w:val="2FFC19A7"/>
    <w:multiLevelType w:val="singleLevel"/>
    <w:tmpl w:val="40BE0C7C"/>
    <w:lvl w:ilvl="0">
      <w:start w:val="13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10">
    <w:nsid w:val="30C35C10"/>
    <w:multiLevelType w:val="multilevel"/>
    <w:tmpl w:val="32BCBE60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>
    <w:nsid w:val="31BC3820"/>
    <w:multiLevelType w:val="singleLevel"/>
    <w:tmpl w:val="DB8C4480"/>
    <w:lvl w:ilvl="0">
      <w:start w:val="1"/>
      <w:numFmt w:val="upperLetter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112">
    <w:nsid w:val="31D86DA5"/>
    <w:multiLevelType w:val="singleLevel"/>
    <w:tmpl w:val="34F287A2"/>
    <w:lvl w:ilvl="0">
      <w:start w:val="6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3">
    <w:nsid w:val="320B1A81"/>
    <w:multiLevelType w:val="multilevel"/>
    <w:tmpl w:val="085E3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32EA79DA"/>
    <w:multiLevelType w:val="singleLevel"/>
    <w:tmpl w:val="00CCFC5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5">
    <w:nsid w:val="33E173D0"/>
    <w:multiLevelType w:val="singleLevel"/>
    <w:tmpl w:val="AD2CE088"/>
    <w:lvl w:ilvl="0">
      <w:start w:val="5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6">
    <w:nsid w:val="33F335DF"/>
    <w:multiLevelType w:val="singleLevel"/>
    <w:tmpl w:val="4E441D04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117">
    <w:nsid w:val="33F9271F"/>
    <w:multiLevelType w:val="singleLevel"/>
    <w:tmpl w:val="2320C8E8"/>
    <w:lvl w:ilvl="0">
      <w:start w:val="1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8">
    <w:nsid w:val="33FE4502"/>
    <w:multiLevelType w:val="singleLevel"/>
    <w:tmpl w:val="34BEE2F6"/>
    <w:lvl w:ilvl="0">
      <w:start w:val="7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9">
    <w:nsid w:val="346B34CD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20">
    <w:nsid w:val="34C10CE3"/>
    <w:multiLevelType w:val="singleLevel"/>
    <w:tmpl w:val="3AA41154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1">
    <w:nsid w:val="34CC2A4C"/>
    <w:multiLevelType w:val="singleLevel"/>
    <w:tmpl w:val="A9F83AA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2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23">
    <w:nsid w:val="350F3AA2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24">
    <w:nsid w:val="35C4563A"/>
    <w:multiLevelType w:val="singleLevel"/>
    <w:tmpl w:val="6560ACF0"/>
    <w:lvl w:ilvl="0">
      <w:start w:val="12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5">
    <w:nsid w:val="35D85A12"/>
    <w:multiLevelType w:val="singleLevel"/>
    <w:tmpl w:val="370AE9A8"/>
    <w:lvl w:ilvl="0">
      <w:start w:val="4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6">
    <w:nsid w:val="36BC169F"/>
    <w:multiLevelType w:val="singleLevel"/>
    <w:tmpl w:val="C6CAF0AA"/>
    <w:lvl w:ilvl="0">
      <w:start w:val="1"/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27">
    <w:nsid w:val="376D0C06"/>
    <w:multiLevelType w:val="singleLevel"/>
    <w:tmpl w:val="ED08F8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8">
    <w:nsid w:val="377F38ED"/>
    <w:multiLevelType w:val="singleLevel"/>
    <w:tmpl w:val="1AE06D08"/>
    <w:lvl w:ilvl="0">
      <w:start w:val="4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9">
    <w:nsid w:val="37806C78"/>
    <w:multiLevelType w:val="multilevel"/>
    <w:tmpl w:val="F4A87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379D4C39"/>
    <w:multiLevelType w:val="singleLevel"/>
    <w:tmpl w:val="BBFE8C34"/>
    <w:lvl w:ilvl="0">
      <w:start w:val="6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1">
    <w:nsid w:val="384749FD"/>
    <w:multiLevelType w:val="singleLevel"/>
    <w:tmpl w:val="AA6C5C26"/>
    <w:lvl w:ilvl="0">
      <w:start w:val="1"/>
      <w:numFmt w:val="bullet"/>
      <w:lvlText w:val=""/>
      <w:lvlJc w:val="left"/>
      <w:pPr>
        <w:tabs>
          <w:tab w:val="num" w:pos="1339"/>
        </w:tabs>
        <w:ind w:left="0" w:firstLine="979"/>
      </w:pPr>
      <w:rPr>
        <w:rFonts w:ascii="Symbol" w:hAnsi="Symbol" w:hint="default"/>
        <w:b w:val="0"/>
        <w:i w:val="0"/>
      </w:rPr>
    </w:lvl>
  </w:abstractNum>
  <w:abstractNum w:abstractNumId="132">
    <w:nsid w:val="385B4A01"/>
    <w:multiLevelType w:val="multilevel"/>
    <w:tmpl w:val="F7AE5A5E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3">
    <w:nsid w:val="390946C2"/>
    <w:multiLevelType w:val="singleLevel"/>
    <w:tmpl w:val="AD2E4892"/>
    <w:lvl w:ilvl="0">
      <w:start w:val="4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4">
    <w:nsid w:val="391F1A82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135">
    <w:nsid w:val="39361D13"/>
    <w:multiLevelType w:val="singleLevel"/>
    <w:tmpl w:val="49BAE818"/>
    <w:lvl w:ilvl="0">
      <w:start w:val="4"/>
      <w:numFmt w:val="upperLetter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6">
    <w:nsid w:val="39A062E1"/>
    <w:multiLevelType w:val="multilevel"/>
    <w:tmpl w:val="39FCC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>
    <w:nsid w:val="39C3322C"/>
    <w:multiLevelType w:val="singleLevel"/>
    <w:tmpl w:val="2448648A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8">
    <w:nsid w:val="39F81030"/>
    <w:multiLevelType w:val="singleLevel"/>
    <w:tmpl w:val="4A2CDB00"/>
    <w:lvl w:ilvl="0">
      <w:start w:val="10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9">
    <w:nsid w:val="3A271E09"/>
    <w:multiLevelType w:val="multilevel"/>
    <w:tmpl w:val="DC0EB626"/>
    <w:lvl w:ilvl="0">
      <w:start w:val="2002"/>
      <w:numFmt w:val="decimal"/>
      <w:lvlText w:val="%1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1">
      <w:start w:val="2003"/>
      <w:numFmt w:val="decimal"/>
      <w:lvlText w:val="%1-%2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8355"/>
        </w:tabs>
        <w:ind w:left="8355" w:hanging="8355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8355"/>
        </w:tabs>
        <w:ind w:left="8355" w:hanging="8355"/>
      </w:pPr>
      <w:rPr>
        <w:rFonts w:hint="default"/>
      </w:rPr>
    </w:lvl>
  </w:abstractNum>
  <w:abstractNum w:abstractNumId="140">
    <w:nsid w:val="3A2F60CD"/>
    <w:multiLevelType w:val="singleLevel"/>
    <w:tmpl w:val="2A44CA10"/>
    <w:lvl w:ilvl="0">
      <w:start w:val="3"/>
      <w:numFmt w:val="upperLetter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1">
    <w:nsid w:val="3AAB773F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2">
    <w:nsid w:val="3BA01A37"/>
    <w:multiLevelType w:val="multilevel"/>
    <w:tmpl w:val="BF967C2A"/>
    <w:lvl w:ilvl="0">
      <w:start w:val="1"/>
      <w:numFmt w:val="lowerRoman"/>
      <w:lvlText w:val="(%1)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3C1F3715"/>
    <w:multiLevelType w:val="singleLevel"/>
    <w:tmpl w:val="A686D2A0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44">
    <w:nsid w:val="3D330BCC"/>
    <w:multiLevelType w:val="multilevel"/>
    <w:tmpl w:val="7B225BE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3120"/>
        </w:tabs>
        <w:ind w:left="3120" w:hanging="114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3D871847"/>
    <w:multiLevelType w:val="singleLevel"/>
    <w:tmpl w:val="19D0C3A2"/>
    <w:lvl w:ilvl="0">
      <w:start w:val="1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6">
    <w:nsid w:val="3E1440DA"/>
    <w:multiLevelType w:val="singleLevel"/>
    <w:tmpl w:val="4CB2DD02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abstractNum w:abstractNumId="147">
    <w:nsid w:val="3E365C8C"/>
    <w:multiLevelType w:val="multilevel"/>
    <w:tmpl w:val="63F07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8">
    <w:nsid w:val="3E6A247D"/>
    <w:multiLevelType w:val="singleLevel"/>
    <w:tmpl w:val="20AE243C"/>
    <w:lvl w:ilvl="0">
      <w:start w:val="10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49">
    <w:nsid w:val="3EEC222F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0">
    <w:nsid w:val="3F637814"/>
    <w:multiLevelType w:val="singleLevel"/>
    <w:tmpl w:val="4E441D04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151">
    <w:nsid w:val="3F916B54"/>
    <w:multiLevelType w:val="multilevel"/>
    <w:tmpl w:val="DC0A0AF0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>
    <w:nsid w:val="3FC06037"/>
    <w:multiLevelType w:val="multilevel"/>
    <w:tmpl w:val="CE646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3FC767D9"/>
    <w:multiLevelType w:val="multilevel"/>
    <w:tmpl w:val="76EA7A8A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400255E4"/>
    <w:multiLevelType w:val="multilevel"/>
    <w:tmpl w:val="C062F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40F66BE5"/>
    <w:multiLevelType w:val="singleLevel"/>
    <w:tmpl w:val="00CCFC5E"/>
    <w:lvl w:ilvl="0">
      <w:start w:val="2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56">
    <w:nsid w:val="41157C68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157">
    <w:nsid w:val="411E6E92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158">
    <w:nsid w:val="419F38B2"/>
    <w:multiLevelType w:val="multilevel"/>
    <w:tmpl w:val="ACC813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42126D9E"/>
    <w:multiLevelType w:val="singleLevel"/>
    <w:tmpl w:val="14E274AE"/>
    <w:lvl w:ilvl="0">
      <w:start w:val="2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60">
    <w:nsid w:val="422D7F87"/>
    <w:multiLevelType w:val="singleLevel"/>
    <w:tmpl w:val="626AD0D8"/>
    <w:lvl w:ilvl="0">
      <w:start w:val="1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1">
    <w:nsid w:val="43002BA6"/>
    <w:multiLevelType w:val="singleLevel"/>
    <w:tmpl w:val="67B280C6"/>
    <w:lvl w:ilvl="0">
      <w:start w:val="1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2">
    <w:nsid w:val="43055C19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163">
    <w:nsid w:val="432F169D"/>
    <w:multiLevelType w:val="singleLevel"/>
    <w:tmpl w:val="4F9A41CE"/>
    <w:lvl w:ilvl="0">
      <w:start w:val="9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4">
    <w:nsid w:val="440A05ED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65">
    <w:nsid w:val="452155C7"/>
    <w:multiLevelType w:val="singleLevel"/>
    <w:tmpl w:val="DC263094"/>
    <w:lvl w:ilvl="0">
      <w:start w:val="3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6">
    <w:nsid w:val="471B0C64"/>
    <w:multiLevelType w:val="multilevel"/>
    <w:tmpl w:val="030E7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47D74FB0"/>
    <w:multiLevelType w:val="singleLevel"/>
    <w:tmpl w:val="C0CE32D6"/>
    <w:lvl w:ilvl="0">
      <w:start w:val="10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8">
    <w:nsid w:val="494A6BC7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9">
    <w:nsid w:val="498B2599"/>
    <w:multiLevelType w:val="singleLevel"/>
    <w:tmpl w:val="4A4E083C"/>
    <w:lvl w:ilvl="0">
      <w:start w:val="4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0">
    <w:nsid w:val="49A74880"/>
    <w:multiLevelType w:val="singleLevel"/>
    <w:tmpl w:val="29B213E4"/>
    <w:lvl w:ilvl="0">
      <w:start w:val="7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1">
    <w:nsid w:val="49D40D5C"/>
    <w:multiLevelType w:val="multilevel"/>
    <w:tmpl w:val="3648D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4B3906F2"/>
    <w:multiLevelType w:val="singleLevel"/>
    <w:tmpl w:val="2E7C9D1A"/>
    <w:lvl w:ilvl="0">
      <w:start w:val="2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3">
    <w:nsid w:val="4CF80762"/>
    <w:multiLevelType w:val="multilevel"/>
    <w:tmpl w:val="E8E645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4">
    <w:nsid w:val="4DA74D72"/>
    <w:multiLevelType w:val="singleLevel"/>
    <w:tmpl w:val="841227FE"/>
    <w:lvl w:ilvl="0">
      <w:start w:val="4"/>
      <w:numFmt w:val="bullet"/>
      <w:lvlText w:val="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sz w:val="16"/>
      </w:rPr>
    </w:lvl>
  </w:abstractNum>
  <w:abstractNum w:abstractNumId="175">
    <w:nsid w:val="4DE34488"/>
    <w:multiLevelType w:val="singleLevel"/>
    <w:tmpl w:val="D08ABDFE"/>
    <w:lvl w:ilvl="0">
      <w:start w:val="8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6">
    <w:nsid w:val="4E9D14D2"/>
    <w:multiLevelType w:val="multilevel"/>
    <w:tmpl w:val="CF940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7">
    <w:nsid w:val="4ED33EDF"/>
    <w:multiLevelType w:val="multilevel"/>
    <w:tmpl w:val="827C4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8">
    <w:nsid w:val="4F024E45"/>
    <w:multiLevelType w:val="singleLevel"/>
    <w:tmpl w:val="ED7C52FC"/>
    <w:lvl w:ilvl="0">
      <w:start w:val="1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9">
    <w:nsid w:val="4FE37E6C"/>
    <w:multiLevelType w:val="multilevel"/>
    <w:tmpl w:val="79A04F32"/>
    <w:lvl w:ilvl="0">
      <w:start w:val="1"/>
      <w:numFmt w:val="lowerLetter"/>
      <w:lvlText w:val="%1)"/>
      <w:lvlJc w:val="left"/>
      <w:pPr>
        <w:tabs>
          <w:tab w:val="num" w:pos="2088"/>
        </w:tabs>
        <w:ind w:left="208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808"/>
        </w:tabs>
        <w:ind w:left="280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528"/>
        </w:tabs>
        <w:ind w:left="3528" w:hanging="180"/>
      </w:pPr>
    </w:lvl>
    <w:lvl w:ilvl="3" w:tentative="1">
      <w:start w:val="1"/>
      <w:numFmt w:val="decimal"/>
      <w:lvlText w:val="%4."/>
      <w:lvlJc w:val="left"/>
      <w:pPr>
        <w:tabs>
          <w:tab w:val="num" w:pos="4248"/>
        </w:tabs>
        <w:ind w:left="424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68"/>
        </w:tabs>
        <w:ind w:left="496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688"/>
        </w:tabs>
        <w:ind w:left="5688" w:hanging="180"/>
      </w:pPr>
    </w:lvl>
    <w:lvl w:ilvl="6" w:tentative="1">
      <w:start w:val="1"/>
      <w:numFmt w:val="decimal"/>
      <w:lvlText w:val="%7."/>
      <w:lvlJc w:val="left"/>
      <w:pPr>
        <w:tabs>
          <w:tab w:val="num" w:pos="6408"/>
        </w:tabs>
        <w:ind w:left="640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28"/>
        </w:tabs>
        <w:ind w:left="712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48"/>
        </w:tabs>
        <w:ind w:left="7848" w:hanging="180"/>
      </w:pPr>
    </w:lvl>
  </w:abstractNum>
  <w:abstractNum w:abstractNumId="180">
    <w:nsid w:val="501E662D"/>
    <w:multiLevelType w:val="multilevel"/>
    <w:tmpl w:val="B2EE0AD0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50545E73"/>
    <w:multiLevelType w:val="multilevel"/>
    <w:tmpl w:val="3788E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50580B4E"/>
    <w:multiLevelType w:val="multilevel"/>
    <w:tmpl w:val="0904447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>
    <w:nsid w:val="507A1C8B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4">
    <w:nsid w:val="509F2A75"/>
    <w:multiLevelType w:val="singleLevel"/>
    <w:tmpl w:val="EA289FA2"/>
    <w:lvl w:ilvl="0">
      <w:start w:val="2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5">
    <w:nsid w:val="50ED5F38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186">
    <w:nsid w:val="511E3A7C"/>
    <w:multiLevelType w:val="multilevel"/>
    <w:tmpl w:val="EC0AF14C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87">
    <w:nsid w:val="513511CB"/>
    <w:multiLevelType w:val="multilevel"/>
    <w:tmpl w:val="89AE4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>
    <w:nsid w:val="519B6010"/>
    <w:multiLevelType w:val="singleLevel"/>
    <w:tmpl w:val="11984E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9">
    <w:nsid w:val="52C34885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90">
    <w:nsid w:val="52F00051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91">
    <w:nsid w:val="53081281"/>
    <w:multiLevelType w:val="singleLevel"/>
    <w:tmpl w:val="E556B404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</w:lvl>
  </w:abstractNum>
  <w:abstractNum w:abstractNumId="192">
    <w:nsid w:val="54C24DB7"/>
    <w:multiLevelType w:val="singleLevel"/>
    <w:tmpl w:val="79D089C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193">
    <w:nsid w:val="55DD52EB"/>
    <w:multiLevelType w:val="multilevel"/>
    <w:tmpl w:val="8A6A8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4">
    <w:nsid w:val="560E1ED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5">
    <w:nsid w:val="56293BC1"/>
    <w:multiLevelType w:val="singleLevel"/>
    <w:tmpl w:val="4B86DA22"/>
    <w:lvl w:ilvl="0">
      <w:start w:val="13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6">
    <w:nsid w:val="573711FF"/>
    <w:multiLevelType w:val="multilevel"/>
    <w:tmpl w:val="0D6AF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>
    <w:nsid w:val="573B31A3"/>
    <w:multiLevelType w:val="singleLevel"/>
    <w:tmpl w:val="CBECD16A"/>
    <w:lvl w:ilvl="0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8">
    <w:nsid w:val="57B86EA9"/>
    <w:multiLevelType w:val="multilevel"/>
    <w:tmpl w:val="27A8DC36"/>
    <w:lvl w:ilvl="0">
      <w:start w:val="3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199">
    <w:nsid w:val="595A0FF8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200">
    <w:nsid w:val="5A220288"/>
    <w:multiLevelType w:val="singleLevel"/>
    <w:tmpl w:val="7E82D4EA"/>
    <w:lvl w:ilvl="0">
      <w:start w:val="7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1">
    <w:nsid w:val="5AAD7295"/>
    <w:multiLevelType w:val="singleLevel"/>
    <w:tmpl w:val="F8BAB2E8"/>
    <w:lvl w:ilvl="0">
      <w:start w:val="5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2">
    <w:nsid w:val="5B1738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3">
    <w:nsid w:val="5B3722D1"/>
    <w:multiLevelType w:val="singleLevel"/>
    <w:tmpl w:val="22A42FB2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  <w:rPr>
        <w:b w:val="0"/>
        <w:i w:val="0"/>
        <w:u w:val="none"/>
      </w:rPr>
    </w:lvl>
  </w:abstractNum>
  <w:abstractNum w:abstractNumId="204">
    <w:nsid w:val="5B3D75ED"/>
    <w:multiLevelType w:val="multilevel"/>
    <w:tmpl w:val="A31E5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5">
    <w:nsid w:val="5B9476C9"/>
    <w:multiLevelType w:val="singleLevel"/>
    <w:tmpl w:val="E0743FFA"/>
    <w:lvl w:ilvl="0">
      <w:start w:val="1"/>
      <w:numFmt w:val="decimal"/>
      <w:lvlText w:val="%1."/>
      <w:lvlJc w:val="left"/>
      <w:pPr>
        <w:tabs>
          <w:tab w:val="num" w:pos="648"/>
        </w:tabs>
        <w:ind w:left="360" w:hanging="72"/>
      </w:pPr>
    </w:lvl>
  </w:abstractNum>
  <w:abstractNum w:abstractNumId="206">
    <w:nsid w:val="5BAB79B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7">
    <w:nsid w:val="5C976239"/>
    <w:multiLevelType w:val="singleLevel"/>
    <w:tmpl w:val="BCF453B2"/>
    <w:lvl w:ilvl="0">
      <w:start w:val="11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8">
    <w:nsid w:val="5CDF13EF"/>
    <w:multiLevelType w:val="singleLevel"/>
    <w:tmpl w:val="DDFA387A"/>
    <w:lvl w:ilvl="0">
      <w:start w:val="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09">
    <w:nsid w:val="5E0772A6"/>
    <w:multiLevelType w:val="singleLevel"/>
    <w:tmpl w:val="7ED4004C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210">
    <w:nsid w:val="5E9132A3"/>
    <w:multiLevelType w:val="singleLevel"/>
    <w:tmpl w:val="917E3110"/>
    <w:lvl w:ilvl="0">
      <w:start w:val="1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1">
    <w:nsid w:val="5EA472E2"/>
    <w:multiLevelType w:val="multilevel"/>
    <w:tmpl w:val="1E7C0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2">
    <w:nsid w:val="5EA645AC"/>
    <w:multiLevelType w:val="singleLevel"/>
    <w:tmpl w:val="2F90F8EC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3">
    <w:nsid w:val="5EA80B45"/>
    <w:multiLevelType w:val="singleLevel"/>
    <w:tmpl w:val="1D8A781A"/>
    <w:lvl w:ilvl="0">
      <w:start w:val="2"/>
      <w:numFmt w:val="upperLetter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14">
    <w:nsid w:val="5F02221A"/>
    <w:multiLevelType w:val="singleLevel"/>
    <w:tmpl w:val="04601AD2"/>
    <w:lvl w:ilvl="0">
      <w:start w:val="1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</w:abstractNum>
  <w:abstractNum w:abstractNumId="215">
    <w:nsid w:val="5FBA2C93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216">
    <w:nsid w:val="602827E8"/>
    <w:multiLevelType w:val="singleLevel"/>
    <w:tmpl w:val="79D089C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17">
    <w:nsid w:val="605C02FF"/>
    <w:multiLevelType w:val="singleLevel"/>
    <w:tmpl w:val="77743DB6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18">
    <w:nsid w:val="609A4A82"/>
    <w:multiLevelType w:val="singleLevel"/>
    <w:tmpl w:val="2360A0FA"/>
    <w:lvl w:ilvl="0">
      <w:start w:val="1"/>
      <w:numFmt w:val="upperRoman"/>
      <w:lvlText w:val="%1."/>
      <w:lvlJc w:val="left"/>
      <w:pPr>
        <w:tabs>
          <w:tab w:val="num" w:pos="1170"/>
        </w:tabs>
        <w:ind w:left="1170" w:hanging="1170"/>
      </w:pPr>
      <w:rPr>
        <w:rFonts w:hint="default"/>
      </w:rPr>
    </w:lvl>
  </w:abstractNum>
  <w:abstractNum w:abstractNumId="219">
    <w:nsid w:val="60AC7E9D"/>
    <w:multiLevelType w:val="multilevel"/>
    <w:tmpl w:val="2C80A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0">
    <w:nsid w:val="60B25AE9"/>
    <w:multiLevelType w:val="singleLevel"/>
    <w:tmpl w:val="1D8A781A"/>
    <w:lvl w:ilvl="0">
      <w:start w:val="2"/>
      <w:numFmt w:val="upperLetter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1">
    <w:nsid w:val="60C407F1"/>
    <w:multiLevelType w:val="singleLevel"/>
    <w:tmpl w:val="A33E16D0"/>
    <w:lvl w:ilvl="0">
      <w:start w:val="12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2">
    <w:nsid w:val="60E85D26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3">
    <w:nsid w:val="616B05F5"/>
    <w:multiLevelType w:val="multilevel"/>
    <w:tmpl w:val="8C762028"/>
    <w:lvl w:ilvl="0">
      <w:start w:val="1"/>
      <w:numFmt w:val="none"/>
      <w:lvlText w:val="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24">
    <w:nsid w:val="6199747F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225">
    <w:nsid w:val="61AF43ED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6">
    <w:nsid w:val="61F830AA"/>
    <w:multiLevelType w:val="singleLevel"/>
    <w:tmpl w:val="4B0EBF18"/>
    <w:lvl w:ilvl="0">
      <w:start w:val="3"/>
      <w:numFmt w:val="decimal"/>
      <w:lvlText w:val="%1. "/>
      <w:legacy w:legacy="1" w:legacySpace="0" w:legacyIndent="283"/>
      <w:lvlJc w:val="left"/>
      <w:pPr>
        <w:ind w:left="172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7">
    <w:nsid w:val="625A5FCE"/>
    <w:multiLevelType w:val="singleLevel"/>
    <w:tmpl w:val="F938A3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8">
    <w:nsid w:val="62B87278"/>
    <w:multiLevelType w:val="singleLevel"/>
    <w:tmpl w:val="7ED4004C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229">
    <w:nsid w:val="63CF48FB"/>
    <w:multiLevelType w:val="singleLevel"/>
    <w:tmpl w:val="1F6E04D0"/>
    <w:lvl w:ilvl="0">
      <w:start w:val="3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0">
    <w:nsid w:val="645D0754"/>
    <w:multiLevelType w:val="singleLevel"/>
    <w:tmpl w:val="999C6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1">
    <w:nsid w:val="64CD4C30"/>
    <w:multiLevelType w:val="singleLevel"/>
    <w:tmpl w:val="73A052C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2">
    <w:nsid w:val="64E270CB"/>
    <w:multiLevelType w:val="singleLevel"/>
    <w:tmpl w:val="B00C54D0"/>
    <w:lvl w:ilvl="0">
      <w:numFmt w:val="bullet"/>
      <w:lvlText w:val="-"/>
      <w:lvlJc w:val="left"/>
      <w:pPr>
        <w:tabs>
          <w:tab w:val="num" w:pos="475"/>
        </w:tabs>
        <w:ind w:left="475" w:hanging="475"/>
      </w:pPr>
      <w:rPr>
        <w:rFonts w:hint="default"/>
      </w:rPr>
    </w:lvl>
  </w:abstractNum>
  <w:abstractNum w:abstractNumId="233">
    <w:nsid w:val="64FA1F19"/>
    <w:multiLevelType w:val="multilevel"/>
    <w:tmpl w:val="8E70F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4">
    <w:nsid w:val="652C22B3"/>
    <w:multiLevelType w:val="singleLevel"/>
    <w:tmpl w:val="E15E8F0A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5">
    <w:nsid w:val="660A6B07"/>
    <w:multiLevelType w:val="singleLevel"/>
    <w:tmpl w:val="99BEB8D8"/>
    <w:lvl w:ilvl="0">
      <w:start w:val="10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6">
    <w:nsid w:val="66273806"/>
    <w:multiLevelType w:val="singleLevel"/>
    <w:tmpl w:val="1EEC89D8"/>
    <w:lvl w:ilvl="0">
      <w:start w:val="2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7">
    <w:nsid w:val="663F5AE9"/>
    <w:multiLevelType w:val="singleLevel"/>
    <w:tmpl w:val="C834ECDE"/>
    <w:lvl w:ilvl="0">
      <w:start w:val="1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38">
    <w:nsid w:val="665223EC"/>
    <w:multiLevelType w:val="singleLevel"/>
    <w:tmpl w:val="C07E321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9">
    <w:nsid w:val="66690D52"/>
    <w:multiLevelType w:val="multilevel"/>
    <w:tmpl w:val="8684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0">
    <w:nsid w:val="67197D6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1">
    <w:nsid w:val="671D0DCA"/>
    <w:multiLevelType w:val="multilevel"/>
    <w:tmpl w:val="7DF6A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6767345D"/>
    <w:multiLevelType w:val="singleLevel"/>
    <w:tmpl w:val="29F06A40"/>
    <w:lvl w:ilvl="0">
      <w:start w:val="10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3">
    <w:nsid w:val="685B390E"/>
    <w:multiLevelType w:val="singleLevel"/>
    <w:tmpl w:val="15EEB430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4">
    <w:nsid w:val="694D7539"/>
    <w:multiLevelType w:val="singleLevel"/>
    <w:tmpl w:val="06404212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5">
    <w:nsid w:val="6A17477D"/>
    <w:multiLevelType w:val="multilevel"/>
    <w:tmpl w:val="E55486E8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6">
    <w:nsid w:val="6B671CC5"/>
    <w:multiLevelType w:val="multilevel"/>
    <w:tmpl w:val="8E40D480"/>
    <w:lvl w:ilvl="0">
      <w:start w:val="500"/>
      <w:numFmt w:val="lowerRoman"/>
      <w:lvlText w:val="(%1)"/>
      <w:lvlJc w:val="left"/>
      <w:pPr>
        <w:tabs>
          <w:tab w:val="num" w:pos="1830"/>
        </w:tabs>
        <w:ind w:left="183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247">
    <w:nsid w:val="6CF54909"/>
    <w:multiLevelType w:val="multilevel"/>
    <w:tmpl w:val="66B6E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8">
    <w:nsid w:val="6D621C03"/>
    <w:multiLevelType w:val="singleLevel"/>
    <w:tmpl w:val="BCE0525A"/>
    <w:lvl w:ilvl="0">
      <w:start w:val="1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49">
    <w:nsid w:val="6D6751F4"/>
    <w:multiLevelType w:val="multilevel"/>
    <w:tmpl w:val="B38214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(%2)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0">
    <w:nsid w:val="6DCE382A"/>
    <w:multiLevelType w:val="multilevel"/>
    <w:tmpl w:val="EC0AF14C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251">
    <w:nsid w:val="6E753AF7"/>
    <w:multiLevelType w:val="multilevel"/>
    <w:tmpl w:val="92206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6E9A472A"/>
    <w:multiLevelType w:val="singleLevel"/>
    <w:tmpl w:val="A254FEBE"/>
    <w:lvl w:ilvl="0">
      <w:start w:val="12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3">
    <w:nsid w:val="6FFE3B65"/>
    <w:multiLevelType w:val="singleLevel"/>
    <w:tmpl w:val="A4304618"/>
    <w:lvl w:ilvl="0">
      <w:start w:val="9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54">
    <w:nsid w:val="702B7804"/>
    <w:multiLevelType w:val="multilevel"/>
    <w:tmpl w:val="4B3CC29A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</w:lvl>
    <w:lvl w:ilvl="3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</w:lvl>
    <w:lvl w:ilvl="6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</w:lvl>
  </w:abstractNum>
  <w:abstractNum w:abstractNumId="255">
    <w:nsid w:val="70B817F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6">
    <w:nsid w:val="70BD49BA"/>
    <w:multiLevelType w:val="multilevel"/>
    <w:tmpl w:val="709690C6"/>
    <w:lvl w:ilvl="0">
      <w:start w:val="1"/>
      <w:numFmt w:val="lowerLetter"/>
      <w:lvlText w:val="%1)"/>
      <w:lvlJc w:val="left"/>
      <w:pPr>
        <w:tabs>
          <w:tab w:val="num" w:pos="2088"/>
        </w:tabs>
        <w:ind w:left="2088" w:hanging="360"/>
      </w:pPr>
    </w:lvl>
    <w:lvl w:ilvl="1">
      <w:start w:val="2"/>
      <w:numFmt w:val="lowerLetter"/>
      <w:lvlText w:val="(%2)"/>
      <w:lvlJc w:val="left"/>
      <w:pPr>
        <w:tabs>
          <w:tab w:val="num" w:pos="2988"/>
        </w:tabs>
        <w:ind w:left="2988" w:hanging="5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528"/>
        </w:tabs>
        <w:ind w:left="3528" w:hanging="180"/>
      </w:pPr>
    </w:lvl>
    <w:lvl w:ilvl="3" w:tentative="1">
      <w:start w:val="1"/>
      <w:numFmt w:val="decimal"/>
      <w:lvlText w:val="%4."/>
      <w:lvlJc w:val="left"/>
      <w:pPr>
        <w:tabs>
          <w:tab w:val="num" w:pos="4248"/>
        </w:tabs>
        <w:ind w:left="424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68"/>
        </w:tabs>
        <w:ind w:left="496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688"/>
        </w:tabs>
        <w:ind w:left="5688" w:hanging="180"/>
      </w:pPr>
    </w:lvl>
    <w:lvl w:ilvl="6" w:tentative="1">
      <w:start w:val="1"/>
      <w:numFmt w:val="decimal"/>
      <w:lvlText w:val="%7."/>
      <w:lvlJc w:val="left"/>
      <w:pPr>
        <w:tabs>
          <w:tab w:val="num" w:pos="6408"/>
        </w:tabs>
        <w:ind w:left="640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28"/>
        </w:tabs>
        <w:ind w:left="712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48"/>
        </w:tabs>
        <w:ind w:left="7848" w:hanging="180"/>
      </w:pPr>
    </w:lvl>
  </w:abstractNum>
  <w:abstractNum w:abstractNumId="257">
    <w:nsid w:val="711A464D"/>
    <w:multiLevelType w:val="singleLevel"/>
    <w:tmpl w:val="A9F83AA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8">
    <w:nsid w:val="71964F83"/>
    <w:multiLevelType w:val="singleLevel"/>
    <w:tmpl w:val="E1587F0E"/>
    <w:lvl w:ilvl="0">
      <w:start w:val="1"/>
      <w:numFmt w:val="decimal"/>
      <w:lvlText w:val="%1."/>
      <w:lvlJc w:val="left"/>
      <w:pPr>
        <w:tabs>
          <w:tab w:val="num" w:pos="648"/>
        </w:tabs>
        <w:ind w:left="288" w:firstLine="0"/>
      </w:pPr>
      <w:rPr>
        <w:b w:val="0"/>
        <w:i w:val="0"/>
        <w:u w:val="none"/>
      </w:rPr>
    </w:lvl>
  </w:abstractNum>
  <w:abstractNum w:abstractNumId="259">
    <w:nsid w:val="726D1726"/>
    <w:multiLevelType w:val="multilevel"/>
    <w:tmpl w:val="A0A0A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0">
    <w:nsid w:val="75C72D34"/>
    <w:multiLevelType w:val="singleLevel"/>
    <w:tmpl w:val="BAEEE4B6"/>
    <w:lvl w:ilvl="0">
      <w:start w:val="3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1">
    <w:nsid w:val="76307089"/>
    <w:multiLevelType w:val="multilevel"/>
    <w:tmpl w:val="0A5225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2">
    <w:nsid w:val="77474378"/>
    <w:multiLevelType w:val="singleLevel"/>
    <w:tmpl w:val="4B822C16"/>
    <w:lvl w:ilvl="0">
      <w:start w:val="1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3">
    <w:nsid w:val="77513B9C"/>
    <w:multiLevelType w:val="singleLevel"/>
    <w:tmpl w:val="32A8AD02"/>
    <w:lvl w:ilvl="0">
      <w:start w:val="4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4">
    <w:nsid w:val="786508EA"/>
    <w:multiLevelType w:val="multilevel"/>
    <w:tmpl w:val="3D928FFE"/>
    <w:lvl w:ilvl="0">
      <w:start w:val="5"/>
      <w:numFmt w:val="lowerLetter"/>
      <w:lvlText w:val="(%1)"/>
      <w:lvlJc w:val="left"/>
      <w:pPr>
        <w:tabs>
          <w:tab w:val="num" w:pos="1470"/>
        </w:tabs>
        <w:ind w:left="14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90"/>
        </w:tabs>
        <w:ind w:left="21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10"/>
        </w:tabs>
        <w:ind w:left="2910" w:hanging="180"/>
      </w:pPr>
    </w:lvl>
    <w:lvl w:ilvl="3" w:tentative="1">
      <w:start w:val="1"/>
      <w:numFmt w:val="decimal"/>
      <w:lvlText w:val="%4."/>
      <w:lvlJc w:val="left"/>
      <w:pPr>
        <w:tabs>
          <w:tab w:val="num" w:pos="3630"/>
        </w:tabs>
        <w:ind w:left="36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50"/>
        </w:tabs>
        <w:ind w:left="43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70"/>
        </w:tabs>
        <w:ind w:left="5070" w:hanging="180"/>
      </w:pPr>
    </w:lvl>
    <w:lvl w:ilvl="6" w:tentative="1">
      <w:start w:val="1"/>
      <w:numFmt w:val="decimal"/>
      <w:lvlText w:val="%7."/>
      <w:lvlJc w:val="left"/>
      <w:pPr>
        <w:tabs>
          <w:tab w:val="num" w:pos="5790"/>
        </w:tabs>
        <w:ind w:left="57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10"/>
        </w:tabs>
        <w:ind w:left="65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30"/>
        </w:tabs>
        <w:ind w:left="7230" w:hanging="180"/>
      </w:pPr>
    </w:lvl>
  </w:abstractNum>
  <w:abstractNum w:abstractNumId="265">
    <w:nsid w:val="794651A5"/>
    <w:multiLevelType w:val="multilevel"/>
    <w:tmpl w:val="DC44B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6">
    <w:nsid w:val="7955005E"/>
    <w:multiLevelType w:val="singleLevel"/>
    <w:tmpl w:val="4E441D04"/>
    <w:lvl w:ilvl="0">
      <w:numFmt w:val="bullet"/>
      <w:lvlText w:val=""/>
      <w:lvlJc w:val="left"/>
      <w:pPr>
        <w:tabs>
          <w:tab w:val="num" w:pos="720"/>
        </w:tabs>
        <w:ind w:left="720" w:hanging="648"/>
      </w:pPr>
      <w:rPr>
        <w:rFonts w:ascii="Wingdings" w:hAnsi="Wingdings" w:hint="default"/>
      </w:rPr>
    </w:lvl>
  </w:abstractNum>
  <w:abstractNum w:abstractNumId="267">
    <w:nsid w:val="7C8D01F9"/>
    <w:multiLevelType w:val="singleLevel"/>
    <w:tmpl w:val="D5A23F2E"/>
    <w:lvl w:ilvl="0">
      <w:start w:val="2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8">
    <w:nsid w:val="7CED72CA"/>
    <w:multiLevelType w:val="singleLevel"/>
    <w:tmpl w:val="8B06F33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69">
    <w:nsid w:val="7DDA62FC"/>
    <w:multiLevelType w:val="singleLevel"/>
    <w:tmpl w:val="6D54D00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70">
    <w:nsid w:val="7E2057C8"/>
    <w:multiLevelType w:val="singleLevel"/>
    <w:tmpl w:val="BB122618"/>
    <w:lvl w:ilvl="0">
      <w:start w:val="8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71">
    <w:nsid w:val="7F634374"/>
    <w:multiLevelType w:val="singleLevel"/>
    <w:tmpl w:val="07AA697E"/>
    <w:lvl w:ilvl="0">
      <w:start w:val="1"/>
      <w:numFmt w:val="lowerLetter"/>
      <w:lvlText w:val="(%1)"/>
      <w:lvlJc w:val="left"/>
      <w:pPr>
        <w:tabs>
          <w:tab w:val="num" w:pos="648"/>
        </w:tabs>
        <w:ind w:left="648" w:hanging="360"/>
      </w:pPr>
      <w:rPr>
        <w:rFonts w:hint="default"/>
      </w:rPr>
    </w:lvl>
  </w:abstractNum>
  <w:num w:numId="1">
    <w:abstractNumId w:val="122"/>
  </w:num>
  <w:num w:numId="2">
    <w:abstractNumId w:val="8"/>
  </w:num>
  <w:num w:numId="3">
    <w:abstractNumId w:val="8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250"/>
  </w:num>
  <w:num w:numId="13">
    <w:abstractNumId w:val="186"/>
  </w:num>
  <w:num w:numId="14">
    <w:abstractNumId w:val="9"/>
  </w:num>
  <w:num w:numId="15">
    <w:abstractNumId w:val="255"/>
  </w:num>
  <w:num w:numId="16">
    <w:abstractNumId w:val="230"/>
  </w:num>
  <w:num w:numId="17">
    <w:abstractNumId w:val="214"/>
  </w:num>
  <w:num w:numId="18">
    <w:abstractNumId w:val="66"/>
  </w:num>
  <w:num w:numId="19">
    <w:abstractNumId w:val="218"/>
  </w:num>
  <w:num w:numId="20">
    <w:abstractNumId w:val="159"/>
  </w:num>
  <w:num w:numId="21">
    <w:abstractNumId w:val="257"/>
  </w:num>
  <w:num w:numId="22">
    <w:abstractNumId w:val="111"/>
  </w:num>
  <w:num w:numId="23">
    <w:abstractNumId w:val="121"/>
  </w:num>
  <w:num w:numId="24">
    <w:abstractNumId w:val="197"/>
  </w:num>
  <w:num w:numId="25">
    <w:abstractNumId w:val="88"/>
  </w:num>
  <w:num w:numId="26">
    <w:abstractNumId w:val="127"/>
  </w:num>
  <w:num w:numId="27">
    <w:abstractNumId w:val="238"/>
  </w:num>
  <w:num w:numId="28">
    <w:abstractNumId w:val="65"/>
  </w:num>
  <w:num w:numId="29">
    <w:abstractNumId w:val="54"/>
  </w:num>
  <w:num w:numId="30">
    <w:abstractNumId w:val="205"/>
  </w:num>
  <w:num w:numId="31">
    <w:abstractNumId w:val="157"/>
  </w:num>
  <w:num w:numId="32">
    <w:abstractNumId w:val="134"/>
  </w:num>
  <w:num w:numId="33">
    <w:abstractNumId w:val="59"/>
  </w:num>
  <w:num w:numId="34">
    <w:abstractNumId w:val="240"/>
  </w:num>
  <w:num w:numId="35">
    <w:abstractNumId w:val="202"/>
  </w:num>
  <w:num w:numId="36">
    <w:abstractNumId w:val="206"/>
  </w:num>
  <w:num w:numId="37">
    <w:abstractNumId w:val="216"/>
  </w:num>
  <w:num w:numId="38">
    <w:abstractNumId w:val="263"/>
  </w:num>
  <w:num w:numId="39">
    <w:abstractNumId w:val="172"/>
  </w:num>
  <w:num w:numId="40">
    <w:abstractNumId w:val="188"/>
  </w:num>
  <w:num w:numId="41">
    <w:abstractNumId w:val="168"/>
  </w:num>
  <w:num w:numId="42">
    <w:abstractNumId w:val="35"/>
  </w:num>
  <w:num w:numId="43">
    <w:abstractNumId w:val="227"/>
  </w:num>
  <w:num w:numId="44">
    <w:abstractNumId w:val="105"/>
  </w:num>
  <w:num w:numId="45">
    <w:abstractNumId w:val="183"/>
  </w:num>
  <w:num w:numId="46">
    <w:abstractNumId w:val="141"/>
  </w:num>
  <w:num w:numId="47">
    <w:abstractNumId w:val="24"/>
  </w:num>
  <w:num w:numId="48">
    <w:abstractNumId w:val="104"/>
  </w:num>
  <w:num w:numId="49">
    <w:abstractNumId w:val="203"/>
  </w:num>
  <w:num w:numId="50">
    <w:abstractNumId w:val="69"/>
  </w:num>
  <w:num w:numId="51">
    <w:abstractNumId w:val="31"/>
  </w:num>
  <w:num w:numId="52">
    <w:abstractNumId w:val="57"/>
  </w:num>
  <w:num w:numId="53">
    <w:abstractNumId w:val="20"/>
  </w:num>
  <w:num w:numId="54">
    <w:abstractNumId w:val="192"/>
  </w:num>
  <w:num w:numId="55">
    <w:abstractNumId w:val="64"/>
  </w:num>
  <w:num w:numId="56">
    <w:abstractNumId w:val="77"/>
  </w:num>
  <w:num w:numId="57">
    <w:abstractNumId w:val="40"/>
  </w:num>
  <w:num w:numId="58">
    <w:abstractNumId w:val="234"/>
  </w:num>
  <w:num w:numId="59">
    <w:abstractNumId w:val="28"/>
  </w:num>
  <w:num w:numId="60">
    <w:abstractNumId w:val="83"/>
  </w:num>
  <w:num w:numId="61">
    <w:abstractNumId w:val="212"/>
  </w:num>
  <w:num w:numId="62">
    <w:abstractNumId w:val="143"/>
  </w:num>
  <w:num w:numId="63">
    <w:abstractNumId w:val="271"/>
  </w:num>
  <w:num w:numId="64">
    <w:abstractNumId w:val="146"/>
  </w:num>
  <w:num w:numId="65">
    <w:abstractNumId w:val="61"/>
  </w:num>
  <w:num w:numId="66">
    <w:abstractNumId w:val="37"/>
  </w:num>
  <w:num w:numId="67">
    <w:abstractNumId w:val="34"/>
  </w:num>
  <w:num w:numId="68">
    <w:abstractNumId w:val="120"/>
  </w:num>
  <w:num w:numId="69">
    <w:abstractNumId w:val="56"/>
  </w:num>
  <w:num w:numId="70">
    <w:abstractNumId w:val="223"/>
  </w:num>
  <w:num w:numId="71">
    <w:abstractNumId w:val="119"/>
  </w:num>
  <w:num w:numId="72">
    <w:abstractNumId w:val="217"/>
  </w:num>
  <w:num w:numId="73">
    <w:abstractNumId w:val="75"/>
  </w:num>
  <w:num w:numId="74">
    <w:abstractNumId w:val="164"/>
  </w:num>
  <w:num w:numId="75">
    <w:abstractNumId w:val="93"/>
  </w:num>
  <w:num w:numId="76">
    <w:abstractNumId w:val="29"/>
  </w:num>
  <w:num w:numId="77">
    <w:abstractNumId w:val="199"/>
  </w:num>
  <w:num w:numId="78">
    <w:abstractNumId w:val="62"/>
  </w:num>
  <w:num w:numId="79">
    <w:abstractNumId w:val="162"/>
  </w:num>
  <w:num w:numId="80">
    <w:abstractNumId w:val="258"/>
  </w:num>
  <w:num w:numId="81">
    <w:abstractNumId w:val="94"/>
  </w:num>
  <w:num w:numId="82">
    <w:abstractNumId w:val="16"/>
  </w:num>
  <w:num w:numId="83">
    <w:abstractNumId w:val="225"/>
  </w:num>
  <w:num w:numId="84">
    <w:abstractNumId w:val="100"/>
  </w:num>
  <w:num w:numId="85">
    <w:abstractNumId w:val="95"/>
  </w:num>
  <w:num w:numId="86">
    <w:abstractNumId w:val="194"/>
  </w:num>
  <w:num w:numId="87">
    <w:abstractNumId w:val="189"/>
  </w:num>
  <w:num w:numId="88">
    <w:abstractNumId w:val="190"/>
  </w:num>
  <w:num w:numId="89">
    <w:abstractNumId w:val="191"/>
  </w:num>
  <w:num w:numId="90">
    <w:abstractNumId w:val="42"/>
  </w:num>
  <w:num w:numId="91">
    <w:abstractNumId w:val="98"/>
  </w:num>
  <w:num w:numId="92">
    <w:abstractNumId w:val="79"/>
  </w:num>
  <w:num w:numId="93">
    <w:abstractNumId w:val="109"/>
  </w:num>
  <w:num w:numId="94">
    <w:abstractNumId w:val="81"/>
  </w:num>
  <w:num w:numId="95">
    <w:abstractNumId w:val="180"/>
  </w:num>
  <w:num w:numId="96">
    <w:abstractNumId w:val="245"/>
  </w:num>
  <w:num w:numId="97">
    <w:abstractNumId w:val="10"/>
  </w:num>
  <w:num w:numId="98">
    <w:abstractNumId w:val="151"/>
  </w:num>
  <w:num w:numId="99">
    <w:abstractNumId w:val="86"/>
  </w:num>
  <w:num w:numId="100">
    <w:abstractNumId w:val="17"/>
  </w:num>
  <w:num w:numId="101">
    <w:abstractNumId w:val="85"/>
  </w:num>
  <w:num w:numId="102">
    <w:abstractNumId w:val="48"/>
  </w:num>
  <w:num w:numId="103">
    <w:abstractNumId w:val="171"/>
  </w:num>
  <w:num w:numId="104">
    <w:abstractNumId w:val="68"/>
  </w:num>
  <w:num w:numId="105">
    <w:abstractNumId w:val="11"/>
  </w:num>
  <w:num w:numId="106">
    <w:abstractNumId w:val="45"/>
  </w:num>
  <w:num w:numId="107">
    <w:abstractNumId w:val="198"/>
  </w:num>
  <w:num w:numId="108">
    <w:abstractNumId w:val="21"/>
  </w:num>
  <w:num w:numId="109">
    <w:abstractNumId w:val="254"/>
  </w:num>
  <w:num w:numId="110">
    <w:abstractNumId w:val="153"/>
  </w:num>
  <w:num w:numId="111">
    <w:abstractNumId w:val="110"/>
  </w:num>
  <w:num w:numId="112">
    <w:abstractNumId w:val="204"/>
  </w:num>
  <w:num w:numId="113">
    <w:abstractNumId w:val="87"/>
  </w:num>
  <w:num w:numId="114">
    <w:abstractNumId w:val="179"/>
  </w:num>
  <w:num w:numId="115">
    <w:abstractNumId w:val="71"/>
  </w:num>
  <w:num w:numId="116">
    <w:abstractNumId w:val="76"/>
  </w:num>
  <w:num w:numId="117">
    <w:abstractNumId w:val="43"/>
  </w:num>
  <w:num w:numId="118">
    <w:abstractNumId w:val="80"/>
  </w:num>
  <w:num w:numId="119">
    <w:abstractNumId w:val="166"/>
  </w:num>
  <w:num w:numId="120">
    <w:abstractNumId w:val="256"/>
  </w:num>
  <w:num w:numId="121">
    <w:abstractNumId w:val="261"/>
  </w:num>
  <w:num w:numId="122">
    <w:abstractNumId w:val="39"/>
  </w:num>
  <w:num w:numId="123">
    <w:abstractNumId w:val="139"/>
  </w:num>
  <w:num w:numId="124">
    <w:abstractNumId w:val="32"/>
  </w:num>
  <w:num w:numId="125">
    <w:abstractNumId w:val="177"/>
  </w:num>
  <w:num w:numId="126">
    <w:abstractNumId w:val="158"/>
  </w:num>
  <w:num w:numId="127">
    <w:abstractNumId w:val="249"/>
  </w:num>
  <w:num w:numId="128">
    <w:abstractNumId w:val="144"/>
  </w:num>
  <w:num w:numId="129">
    <w:abstractNumId w:val="142"/>
  </w:num>
  <w:num w:numId="130">
    <w:abstractNumId w:val="173"/>
  </w:num>
  <w:num w:numId="131">
    <w:abstractNumId w:val="96"/>
  </w:num>
  <w:num w:numId="132">
    <w:abstractNumId w:val="211"/>
  </w:num>
  <w:num w:numId="133">
    <w:abstractNumId w:val="219"/>
  </w:num>
  <w:num w:numId="134">
    <w:abstractNumId w:val="176"/>
  </w:num>
  <w:num w:numId="135">
    <w:abstractNumId w:val="147"/>
  </w:num>
  <w:num w:numId="136">
    <w:abstractNumId w:val="15"/>
  </w:num>
  <w:num w:numId="137">
    <w:abstractNumId w:val="102"/>
  </w:num>
  <w:num w:numId="138">
    <w:abstractNumId w:val="103"/>
  </w:num>
  <w:num w:numId="139">
    <w:abstractNumId w:val="246"/>
  </w:num>
  <w:num w:numId="140">
    <w:abstractNumId w:val="264"/>
  </w:num>
  <w:num w:numId="141">
    <w:abstractNumId w:val="73"/>
  </w:num>
  <w:num w:numId="142">
    <w:abstractNumId w:val="41"/>
  </w:num>
  <w:num w:numId="143">
    <w:abstractNumId w:val="132"/>
  </w:num>
  <w:num w:numId="144">
    <w:abstractNumId w:val="182"/>
  </w:num>
  <w:num w:numId="145">
    <w:abstractNumId w:val="19"/>
  </w:num>
  <w:num w:numId="146">
    <w:abstractNumId w:val="213"/>
  </w:num>
  <w:num w:numId="147">
    <w:abstractNumId w:val="49"/>
  </w:num>
  <w:num w:numId="148">
    <w:abstractNumId w:val="149"/>
  </w:num>
  <w:num w:numId="149">
    <w:abstractNumId w:val="231"/>
  </w:num>
  <w:num w:numId="150">
    <w:abstractNumId w:val="269"/>
  </w:num>
  <w:num w:numId="151">
    <w:abstractNumId w:val="26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2">
    <w:abstractNumId w:val="270"/>
  </w:num>
  <w:num w:numId="153">
    <w:abstractNumId w:val="27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4">
    <w:abstractNumId w:val="235"/>
  </w:num>
  <w:num w:numId="155">
    <w:abstractNumId w:val="23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56">
    <w:abstractNumId w:val="220"/>
  </w:num>
  <w:num w:numId="157">
    <w:abstractNumId w:val="243"/>
  </w:num>
  <w:num w:numId="158">
    <w:abstractNumId w:val="33"/>
  </w:num>
  <w:num w:numId="159">
    <w:abstractNumId w:val="53"/>
  </w:num>
  <w:num w:numId="160">
    <w:abstractNumId w:val="46"/>
  </w:num>
  <w:num w:numId="161">
    <w:abstractNumId w:val="262"/>
  </w:num>
  <w:num w:numId="162">
    <w:abstractNumId w:val="210"/>
  </w:num>
  <w:num w:numId="163">
    <w:abstractNumId w:val="21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64">
    <w:abstractNumId w:val="155"/>
  </w:num>
  <w:num w:numId="165">
    <w:abstractNumId w:val="15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66">
    <w:abstractNumId w:val="114"/>
  </w:num>
  <w:num w:numId="167">
    <w:abstractNumId w:val="208"/>
  </w:num>
  <w:num w:numId="168">
    <w:abstractNumId w:val="36"/>
  </w:num>
  <w:num w:numId="169">
    <w:abstractNumId w:val="201"/>
  </w:num>
  <w:num w:numId="170">
    <w:abstractNumId w:val="201"/>
    <w:lvlOverride w:ilvl="0">
      <w:lvl w:ilvl="0">
        <w:start w:val="1"/>
        <w:numFmt w:val="upperRoman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1">
    <w:abstractNumId w:val="18"/>
  </w:num>
  <w:num w:numId="172">
    <w:abstractNumId w:val="1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3">
    <w:abstractNumId w:val="267"/>
  </w:num>
  <w:num w:numId="174">
    <w:abstractNumId w:val="26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5">
    <w:abstractNumId w:val="90"/>
  </w:num>
  <w:num w:numId="176">
    <w:abstractNumId w:val="9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77">
    <w:abstractNumId w:val="229"/>
  </w:num>
  <w:num w:numId="178">
    <w:abstractNumId w:val="260"/>
  </w:num>
  <w:num w:numId="179">
    <w:abstractNumId w:val="236"/>
  </w:num>
  <w:num w:numId="180">
    <w:abstractNumId w:val="165"/>
  </w:num>
  <w:num w:numId="181">
    <w:abstractNumId w:val="16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2">
    <w:abstractNumId w:val="58"/>
  </w:num>
  <w:num w:numId="183">
    <w:abstractNumId w:val="5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4">
    <w:abstractNumId w:val="244"/>
  </w:num>
  <w:num w:numId="185">
    <w:abstractNumId w:val="125"/>
  </w:num>
  <w:num w:numId="186">
    <w:abstractNumId w:val="128"/>
  </w:num>
  <w:num w:numId="187">
    <w:abstractNumId w:val="12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88">
    <w:abstractNumId w:val="97"/>
  </w:num>
  <w:num w:numId="189">
    <w:abstractNumId w:val="9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0">
    <w:abstractNumId w:val="169"/>
  </w:num>
  <w:num w:numId="191">
    <w:abstractNumId w:val="16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2">
    <w:abstractNumId w:val="115"/>
  </w:num>
  <w:num w:numId="193">
    <w:abstractNumId w:val="11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4">
    <w:abstractNumId w:val="140"/>
  </w:num>
  <w:num w:numId="195">
    <w:abstractNumId w:val="60"/>
  </w:num>
  <w:num w:numId="196">
    <w:abstractNumId w:val="6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197">
    <w:abstractNumId w:val="135"/>
  </w:num>
  <w:num w:numId="198">
    <w:abstractNumId w:val="112"/>
  </w:num>
  <w:num w:numId="199">
    <w:abstractNumId w:val="11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0">
    <w:abstractNumId w:val="237"/>
  </w:num>
  <w:num w:numId="201">
    <w:abstractNumId w:val="178"/>
  </w:num>
  <w:num w:numId="202">
    <w:abstractNumId w:val="51"/>
  </w:num>
  <w:num w:numId="203">
    <w:abstractNumId w:val="5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4">
    <w:abstractNumId w:val="130"/>
  </w:num>
  <w:num w:numId="205">
    <w:abstractNumId w:val="13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6">
    <w:abstractNumId w:val="52"/>
  </w:num>
  <w:num w:numId="207">
    <w:abstractNumId w:val="5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08">
    <w:abstractNumId w:val="118"/>
  </w:num>
  <w:num w:numId="209">
    <w:abstractNumId w:val="11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0">
    <w:abstractNumId w:val="200"/>
  </w:num>
  <w:num w:numId="211">
    <w:abstractNumId w:val="20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2">
    <w:abstractNumId w:val="170"/>
  </w:num>
  <w:num w:numId="213">
    <w:abstractNumId w:val="107"/>
  </w:num>
  <w:num w:numId="214">
    <w:abstractNumId w:val="175"/>
  </w:num>
  <w:num w:numId="215">
    <w:abstractNumId w:val="101"/>
  </w:num>
  <w:num w:numId="216">
    <w:abstractNumId w:val="10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7">
    <w:abstractNumId w:val="67"/>
  </w:num>
  <w:num w:numId="218">
    <w:abstractNumId w:val="6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19">
    <w:abstractNumId w:val="163"/>
  </w:num>
  <w:num w:numId="220">
    <w:abstractNumId w:val="16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1">
    <w:abstractNumId w:val="253"/>
  </w:num>
  <w:num w:numId="222">
    <w:abstractNumId w:val="25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3">
    <w:abstractNumId w:val="138"/>
  </w:num>
  <w:num w:numId="224">
    <w:abstractNumId w:val="13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5">
    <w:abstractNumId w:val="22"/>
  </w:num>
  <w:num w:numId="226">
    <w:abstractNumId w:val="92"/>
  </w:num>
  <w:num w:numId="227">
    <w:abstractNumId w:val="242"/>
  </w:num>
  <w:num w:numId="228">
    <w:abstractNumId w:val="24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29">
    <w:abstractNumId w:val="148"/>
  </w:num>
  <w:num w:numId="230">
    <w:abstractNumId w:val="167"/>
  </w:num>
  <w:num w:numId="231">
    <w:abstractNumId w:val="207"/>
  </w:num>
  <w:num w:numId="232">
    <w:abstractNumId w:val="72"/>
  </w:num>
  <w:num w:numId="233">
    <w:abstractNumId w:val="184"/>
  </w:num>
  <w:num w:numId="234">
    <w:abstractNumId w:val="145"/>
  </w:num>
  <w:num w:numId="235">
    <w:abstractNumId w:val="14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36">
    <w:abstractNumId w:val="226"/>
  </w:num>
  <w:num w:numId="237">
    <w:abstractNumId w:val="160"/>
  </w:num>
  <w:num w:numId="238">
    <w:abstractNumId w:val="16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39">
    <w:abstractNumId w:val="133"/>
  </w:num>
  <w:num w:numId="240">
    <w:abstractNumId w:val="117"/>
  </w:num>
  <w:num w:numId="241">
    <w:abstractNumId w:val="11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42">
    <w:abstractNumId w:val="47"/>
  </w:num>
  <w:num w:numId="243">
    <w:abstractNumId w:val="14"/>
  </w:num>
  <w:num w:numId="244">
    <w:abstractNumId w:val="55"/>
  </w:num>
  <w:num w:numId="245">
    <w:abstractNumId w:val="63"/>
  </w:num>
  <w:num w:numId="246">
    <w:abstractNumId w:val="6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47">
    <w:abstractNumId w:val="99"/>
  </w:num>
  <w:num w:numId="248">
    <w:abstractNumId w:val="124"/>
  </w:num>
  <w:num w:numId="249">
    <w:abstractNumId w:val="268"/>
  </w:num>
  <w:num w:numId="250">
    <w:abstractNumId w:val="89"/>
  </w:num>
  <w:num w:numId="251">
    <w:abstractNumId w:val="252"/>
  </w:num>
  <w:num w:numId="252">
    <w:abstractNumId w:val="161"/>
  </w:num>
  <w:num w:numId="253">
    <w:abstractNumId w:val="221"/>
  </w:num>
  <w:num w:numId="254">
    <w:abstractNumId w:val="22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5">
    <w:abstractNumId w:val="195"/>
  </w:num>
  <w:num w:numId="256">
    <w:abstractNumId w:val="19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7">
    <w:abstractNumId w:val="248"/>
  </w:num>
  <w:num w:numId="258">
    <w:abstractNumId w:val="248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b w:val="0"/>
          <w:i w:val="0"/>
          <w:sz w:val="28"/>
          <w:u w:val="none"/>
        </w:rPr>
      </w:lvl>
    </w:lvlOverride>
  </w:num>
  <w:num w:numId="259">
    <w:abstractNumId w:val="187"/>
  </w:num>
  <w:num w:numId="260">
    <w:abstractNumId w:val="129"/>
  </w:num>
  <w:num w:numId="261">
    <w:abstractNumId w:val="13"/>
  </w:num>
  <w:num w:numId="262">
    <w:abstractNumId w:val="241"/>
  </w:num>
  <w:num w:numId="263">
    <w:abstractNumId w:val="181"/>
  </w:num>
  <w:num w:numId="264">
    <w:abstractNumId w:val="152"/>
  </w:num>
  <w:num w:numId="265">
    <w:abstractNumId w:val="82"/>
  </w:num>
  <w:num w:numId="266">
    <w:abstractNumId w:val="12"/>
  </w:num>
  <w:num w:numId="267">
    <w:abstractNumId w:val="259"/>
  </w:num>
  <w:num w:numId="268">
    <w:abstractNumId w:val="239"/>
  </w:num>
  <w:num w:numId="269">
    <w:abstractNumId w:val="196"/>
  </w:num>
  <w:num w:numId="270">
    <w:abstractNumId w:val="30"/>
  </w:num>
  <w:num w:numId="271">
    <w:abstractNumId w:val="265"/>
  </w:num>
  <w:num w:numId="272">
    <w:abstractNumId w:val="23"/>
  </w:num>
  <w:num w:numId="273">
    <w:abstractNumId w:val="136"/>
  </w:num>
  <w:num w:numId="274">
    <w:abstractNumId w:val="106"/>
  </w:num>
  <w:num w:numId="275">
    <w:abstractNumId w:val="113"/>
  </w:num>
  <w:num w:numId="276">
    <w:abstractNumId w:val="50"/>
  </w:num>
  <w:num w:numId="277">
    <w:abstractNumId w:val="233"/>
  </w:num>
  <w:num w:numId="278">
    <w:abstractNumId w:val="38"/>
  </w:num>
  <w:num w:numId="279">
    <w:abstractNumId w:val="27"/>
  </w:num>
  <w:num w:numId="280">
    <w:abstractNumId w:val="251"/>
  </w:num>
  <w:num w:numId="281">
    <w:abstractNumId w:val="154"/>
  </w:num>
  <w:num w:numId="282">
    <w:abstractNumId w:val="25"/>
  </w:num>
  <w:num w:numId="283">
    <w:abstractNumId w:val="26"/>
  </w:num>
  <w:num w:numId="284">
    <w:abstractNumId w:val="247"/>
  </w:num>
  <w:num w:numId="285">
    <w:abstractNumId w:val="193"/>
  </w:num>
  <w:num w:numId="286">
    <w:abstractNumId w:val="7"/>
  </w:num>
  <w:num w:numId="287">
    <w:abstractNumId w:val="6"/>
  </w:num>
  <w:num w:numId="288">
    <w:abstractNumId w:val="5"/>
  </w:num>
  <w:num w:numId="289">
    <w:abstractNumId w:val="4"/>
  </w:num>
  <w:num w:numId="290">
    <w:abstractNumId w:val="174"/>
  </w:num>
  <w:num w:numId="291">
    <w:abstractNumId w:val="150"/>
  </w:num>
  <w:num w:numId="292">
    <w:abstractNumId w:val="224"/>
  </w:num>
  <w:num w:numId="293">
    <w:abstractNumId w:val="266"/>
  </w:num>
  <w:num w:numId="294">
    <w:abstractNumId w:val="116"/>
  </w:num>
  <w:num w:numId="295">
    <w:abstractNumId w:val="215"/>
  </w:num>
  <w:num w:numId="296">
    <w:abstractNumId w:val="185"/>
  </w:num>
  <w:num w:numId="297">
    <w:abstractNumId w:val="126"/>
  </w:num>
  <w:num w:numId="298">
    <w:abstractNumId w:val="78"/>
  </w:num>
  <w:num w:numId="299">
    <w:abstractNumId w:val="44"/>
  </w:num>
  <w:num w:numId="300">
    <w:abstractNumId w:val="131"/>
  </w:num>
  <w:num w:numId="301">
    <w:abstractNumId w:val="156"/>
  </w:num>
  <w:num w:numId="302">
    <w:abstractNumId w:val="222"/>
  </w:num>
  <w:num w:numId="303">
    <w:abstractNumId w:val="123"/>
  </w:num>
  <w:num w:numId="304">
    <w:abstractNumId w:val="84"/>
  </w:num>
  <w:num w:numId="305">
    <w:abstractNumId w:val="108"/>
  </w:num>
  <w:num w:numId="306">
    <w:abstractNumId w:val="232"/>
  </w:num>
  <w:num w:numId="307">
    <w:abstractNumId w:val="91"/>
  </w:num>
  <w:num w:numId="308">
    <w:abstractNumId w:val="209"/>
  </w:num>
  <w:num w:numId="309">
    <w:abstractNumId w:val="70"/>
  </w:num>
  <w:num w:numId="310">
    <w:abstractNumId w:val="228"/>
  </w:num>
  <w:num w:numId="311">
    <w:abstractNumId w:val="74"/>
  </w:num>
  <w:num w:numId="312">
    <w:abstractNumId w:val="1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activeWritingStyle w:appName="MSWord" w:lang="ru-RU" w:vendorID="1" w:dllVersion="512" w:checkStyle="1"/>
  <w:activeWritingStyle w:appName="MSWord" w:lang="en-GB" w:vendorID="8" w:dllVersion="513" w:checkStyle="1"/>
  <w:activeWritingStyle w:appName="MSWord" w:lang="en-US" w:vendorID="8" w:dllVersion="513" w:checkStyle="1"/>
  <w:doNotTrackMoves/>
  <w:defaultTabStop w:val="475"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09/2002 14:03:02"/>
    <w:docVar w:name="DocCategory" w:val="Doc"/>
    <w:docVar w:name="DocType" w:val="Final"/>
    <w:docVar w:name="JobNo" w:val="0249166R"/>
    <w:docVar w:name="OandT" w:val="Griaznova"/>
    <w:docVar w:name="Symbol1" w:val="DP/FPA/2002/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  <w:sz w:val="14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i/>
      <w:iCs/>
      <w:sz w:val="14"/>
    </w:rPr>
  </w:style>
  <w:style w:type="paragraph" w:styleId="Heading9">
    <w:name w:val="heading 9"/>
    <w:basedOn w:val="Normal"/>
    <w:next w:val="Normal"/>
    <w:qFormat/>
    <w:pPr>
      <w:keepNext/>
      <w:numPr>
        <w:numId w:val="57"/>
      </w:numPr>
      <w:tabs>
        <w:tab w:val="left" w:pos="-720"/>
        <w:tab w:val="left" w:pos="0"/>
        <w:tab w:val="left" w:pos="720"/>
        <w:tab w:val="left" w:pos="1126"/>
        <w:tab w:val="left" w:pos="2160"/>
        <w:tab w:val="right" w:leader="dot" w:pos="2497"/>
        <w:tab w:val="right" w:leader="dot" w:pos="2804"/>
        <w:tab w:val="right" w:leader="dot" w:pos="3111"/>
        <w:tab w:val="right" w:leader="dot" w:pos="3418"/>
        <w:tab w:val="right" w:leader="dot" w:pos="3726"/>
        <w:tab w:val="right" w:leader="dot" w:pos="4033"/>
        <w:tab w:val="right" w:leader="dot" w:pos="4340"/>
        <w:tab w:val="right" w:leader="dot" w:pos="4647"/>
        <w:tab w:val="right" w:leader="dot" w:pos="4954"/>
        <w:tab w:val="right" w:leader="dot" w:pos="5262"/>
        <w:tab w:val="right" w:leader="dot" w:pos="5569"/>
        <w:tab w:val="right" w:leader="dot" w:pos="5876"/>
        <w:tab w:val="right" w:leader="dot" w:pos="6183"/>
        <w:tab w:val="right" w:leader="dot" w:pos="6490"/>
        <w:tab w:val="right" w:leader="dot" w:pos="6798"/>
        <w:tab w:val="right" w:leader="dot" w:pos="7182"/>
        <w:tab w:val="right" w:leader="dot" w:pos="7489"/>
        <w:tab w:val="right" w:leader="dot" w:pos="7796"/>
        <w:tab w:val="right" w:leader="dot" w:pos="8103"/>
        <w:tab w:val="right" w:pos="9180"/>
      </w:tabs>
      <w:spacing w:line="240" w:lineRule="auto"/>
      <w:jc w:val="center"/>
      <w:outlineLvl w:val="8"/>
    </w:pPr>
    <w:rPr>
      <w:spacing w:val="0"/>
      <w:w w:val="100"/>
      <w:kern w:val="0"/>
      <w:sz w:val="24"/>
      <w:u w:val="single"/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DualTxt"/>
    <w:pPr>
      <w:keepNext/>
      <w:keepLines/>
      <w:tabs>
        <w:tab w:val="right" w:pos="360"/>
      </w:tabs>
      <w:suppressAutoHyphens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styleId="ListBullet">
    <w:name w:val="List Bullet"/>
    <w:basedOn w:val="Normal"/>
    <w:autoRedefine/>
    <w:semiHidden/>
    <w:pPr>
      <w:numPr>
        <w:numId w:val="14"/>
      </w:numPr>
    </w:pPr>
  </w:style>
  <w:style w:type="paragraph" w:styleId="BodyText">
    <w:name w:val="Body Text"/>
    <w:basedOn w:val="Normal"/>
    <w:semiHidden/>
    <w:pPr>
      <w:tabs>
        <w:tab w:val="left" w:pos="1814"/>
      </w:tabs>
      <w:spacing w:after="120"/>
      <w:ind w:left="1247" w:right="1247"/>
      <w:jc w:val="both"/>
    </w:pPr>
    <w:rPr>
      <w:spacing w:val="0"/>
      <w:w w:val="1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15513</Words>
  <Characters>88425</Characters>
  <Application>Microsoft Office Word</Application>
  <DocSecurity>4</DocSecurity>
  <Lines>736</Lines>
  <Paragraphs>176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108592</CharactersWithSpaces>
  <SharedDoc>false</SharedDoc>
  <HLinks>
    <vt:vector size="6" baseType="variant">
      <vt:variant>
        <vt:i4>4522087</vt:i4>
      </vt:variant>
      <vt:variant>
        <vt:i4>235842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ODS</cp:lastModifiedBy>
  <cp:revision>4</cp:revision>
  <cp:lastPrinted>2003-07-28T06:40:00Z</cp:lastPrinted>
  <dcterms:created xsi:type="dcterms:W3CDTF">2003-07-31T21:30:00Z</dcterms:created>
  <dcterms:modified xsi:type="dcterms:W3CDTF">2003-08-01T10:48:00Z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0249166</vt:lpwstr>
  </property>
  <property fmtid="{D5CDD505-2E9C-101B-9397-08002B2CF9AE}" pid="3" name="Symbol1">
    <vt:lpwstr>DP/FPA/2002/9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89</vt:lpwstr>
  </property>
  <property fmtid="{D5CDD505-2E9C-101B-9397-08002B2CF9AE}" pid="8" name="Operator">
    <vt:lpwstr>Alexeenko</vt:lpwstr>
  </property>
</Properties>
</file>