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D2BD07" w14:textId="77777777" w:rsidTr="00F5461C">
        <w:trPr>
          <w:trHeight w:hRule="exact" w:val="851"/>
        </w:trPr>
        <w:tc>
          <w:tcPr>
            <w:tcW w:w="1280" w:type="dxa"/>
            <w:tcBorders>
              <w:bottom w:val="single" w:sz="4" w:space="0" w:color="auto"/>
            </w:tcBorders>
          </w:tcPr>
          <w:p w14:paraId="1863E48F" w14:textId="77777777" w:rsidR="002D5AAC" w:rsidRDefault="002D5AAC" w:rsidP="00F5461C">
            <w:pPr>
              <w:kinsoku w:val="0"/>
              <w:overflowPunct w:val="0"/>
              <w:autoSpaceDE w:val="0"/>
              <w:autoSpaceDN w:val="0"/>
              <w:adjustRightInd w:val="0"/>
              <w:snapToGrid w:val="0"/>
            </w:pPr>
          </w:p>
        </w:tc>
        <w:tc>
          <w:tcPr>
            <w:tcW w:w="2273" w:type="dxa"/>
            <w:tcBorders>
              <w:bottom w:val="single" w:sz="4" w:space="0" w:color="auto"/>
            </w:tcBorders>
            <w:vAlign w:val="bottom"/>
          </w:tcPr>
          <w:p w14:paraId="4B440DB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CCE7E5F" w14:textId="7CDCB8C0" w:rsidR="002D5AAC" w:rsidRDefault="00F5461C" w:rsidP="00F5461C">
            <w:pPr>
              <w:jc w:val="right"/>
            </w:pPr>
            <w:r w:rsidRPr="00F5461C">
              <w:rPr>
                <w:sz w:val="40"/>
              </w:rPr>
              <w:t>E</w:t>
            </w:r>
            <w:r>
              <w:t>/</w:t>
            </w:r>
            <w:proofErr w:type="spellStart"/>
            <w:r>
              <w:t>C.12</w:t>
            </w:r>
            <w:proofErr w:type="spellEnd"/>
            <w:r>
              <w:t>/</w:t>
            </w:r>
            <w:proofErr w:type="spellStart"/>
            <w:r>
              <w:t>CHN</w:t>
            </w:r>
            <w:proofErr w:type="spellEnd"/>
            <w:r>
              <w:t>-MAC/3</w:t>
            </w:r>
            <w:r w:rsidR="00985589" w:rsidRPr="00817F1F">
              <w:rPr>
                <w:rStyle w:val="Refdenotaalpie"/>
                <w:bCs/>
                <w:sz w:val="20"/>
                <w:vertAlign w:val="baseline"/>
                <w:lang w:val="es-ES_tradnl"/>
              </w:rPr>
              <w:footnoteReference w:customMarkFollows="1" w:id="1"/>
              <w:t>*</w:t>
            </w:r>
          </w:p>
        </w:tc>
      </w:tr>
      <w:tr w:rsidR="002D5AAC" w14:paraId="46945484" w14:textId="77777777" w:rsidTr="00F5461C">
        <w:trPr>
          <w:trHeight w:hRule="exact" w:val="2835"/>
        </w:trPr>
        <w:tc>
          <w:tcPr>
            <w:tcW w:w="1280" w:type="dxa"/>
            <w:tcBorders>
              <w:top w:val="single" w:sz="4" w:space="0" w:color="auto"/>
              <w:bottom w:val="single" w:sz="12" w:space="0" w:color="auto"/>
            </w:tcBorders>
          </w:tcPr>
          <w:p w14:paraId="77AAB06C" w14:textId="77777777" w:rsidR="002D5AAC" w:rsidRDefault="00DC6544" w:rsidP="006E27AD">
            <w:pPr>
              <w:spacing w:before="120"/>
              <w:jc w:val="center"/>
            </w:pPr>
            <w:r>
              <w:rPr>
                <w:noProof/>
              </w:rPr>
              <w:drawing>
                <wp:inline distT="0" distB="0" distL="0" distR="0" wp14:anchorId="4A990C52" wp14:editId="6C7A7F8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3F1B3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204E4AE" w14:textId="77777777" w:rsidR="002D5AAC" w:rsidRDefault="00F5461C" w:rsidP="006E27AD">
            <w:pPr>
              <w:spacing w:before="240"/>
            </w:pPr>
            <w:proofErr w:type="spellStart"/>
            <w:r>
              <w:t>Distr</w:t>
            </w:r>
            <w:proofErr w:type="spellEnd"/>
            <w:r>
              <w:t>. general</w:t>
            </w:r>
          </w:p>
          <w:p w14:paraId="60C5A1CE" w14:textId="77777777" w:rsidR="00F5461C" w:rsidRDefault="00F5461C" w:rsidP="00F5461C">
            <w:pPr>
              <w:spacing w:line="240" w:lineRule="exact"/>
            </w:pPr>
            <w:r>
              <w:t>10 de agosto de 2020</w:t>
            </w:r>
          </w:p>
          <w:p w14:paraId="18DD3753" w14:textId="77777777" w:rsidR="00F5461C" w:rsidRDefault="00F5461C" w:rsidP="00F5461C">
            <w:pPr>
              <w:spacing w:line="240" w:lineRule="exact"/>
            </w:pPr>
            <w:r>
              <w:t>Español</w:t>
            </w:r>
          </w:p>
          <w:p w14:paraId="79A03CAC" w14:textId="228D1FE4" w:rsidR="00F5461C" w:rsidRDefault="00F5461C" w:rsidP="00F5461C">
            <w:pPr>
              <w:spacing w:line="240" w:lineRule="exact"/>
            </w:pPr>
            <w:r>
              <w:t xml:space="preserve">Original: </w:t>
            </w:r>
            <w:r w:rsidR="00E02B47">
              <w:t xml:space="preserve">chino e </w:t>
            </w:r>
            <w:r>
              <w:t>inglés</w:t>
            </w:r>
          </w:p>
          <w:p w14:paraId="1344844E" w14:textId="77777777" w:rsidR="00F5461C" w:rsidRDefault="00F5461C" w:rsidP="00F5461C">
            <w:pPr>
              <w:spacing w:line="240" w:lineRule="exact"/>
            </w:pPr>
            <w:r w:rsidRPr="00BE6BC6">
              <w:rPr>
                <w:lang w:val="es-ES_tradnl"/>
              </w:rPr>
              <w:t>Chino, español, francés e inglés únicamente</w:t>
            </w:r>
          </w:p>
        </w:tc>
      </w:tr>
    </w:tbl>
    <w:p w14:paraId="437B1DED" w14:textId="77777777" w:rsidR="00F5461C" w:rsidRPr="00F5461C" w:rsidRDefault="00F5461C" w:rsidP="00F5461C">
      <w:pPr>
        <w:spacing w:before="120"/>
        <w:rPr>
          <w:b/>
          <w:bCs/>
          <w:sz w:val="24"/>
          <w:szCs w:val="24"/>
          <w:lang w:val="es-ES_tradnl"/>
        </w:rPr>
      </w:pPr>
      <w:r w:rsidRPr="00F5461C">
        <w:rPr>
          <w:b/>
          <w:bCs/>
          <w:sz w:val="24"/>
          <w:szCs w:val="24"/>
          <w:lang w:val="es-ES_tradnl"/>
        </w:rPr>
        <w:t>Comité de Derechos Económicos, Sociales y Culturales</w:t>
      </w:r>
    </w:p>
    <w:p w14:paraId="6537DBFF" w14:textId="60644F82" w:rsidR="00F5461C" w:rsidRDefault="00F5461C" w:rsidP="00F5461C">
      <w:pPr>
        <w:pStyle w:val="HMG"/>
      </w:pPr>
      <w:r w:rsidRPr="00F5461C">
        <w:rPr>
          <w:lang w:val="es-ES_tradnl"/>
        </w:rPr>
        <w:tab/>
      </w:r>
      <w:r>
        <w:rPr>
          <w:lang w:val="es-ES_tradnl"/>
        </w:rPr>
        <w:tab/>
      </w:r>
      <w:r w:rsidRPr="00BE6BC6">
        <w:rPr>
          <w:lang w:val="es-ES_tradnl"/>
        </w:rPr>
        <w:t xml:space="preserve">Tercer informe periódico que Macao (China) debía presentar en 2019 en virtud </w:t>
      </w:r>
      <w:r>
        <w:rPr>
          <w:lang w:val="es-ES_tradnl"/>
        </w:rPr>
        <w:br/>
      </w:r>
      <w:r w:rsidRPr="00BE6BC6">
        <w:rPr>
          <w:lang w:val="es-ES_tradnl"/>
        </w:rPr>
        <w:t>de los artículos 16 y 17 del Pacto</w:t>
      </w:r>
      <w:r w:rsidRPr="00817F1F">
        <w:rPr>
          <w:rStyle w:val="Refdenotaalpie"/>
          <w:b w:val="0"/>
          <w:bCs/>
          <w:sz w:val="20"/>
          <w:vertAlign w:val="baseline"/>
          <w:lang w:val="es-ES_tradnl"/>
        </w:rPr>
        <w:footnoteReference w:customMarkFollows="1" w:id="2"/>
        <w:t>**</w:t>
      </w:r>
      <w:r w:rsidR="00985589">
        <w:rPr>
          <w:b w:val="0"/>
          <w:bCs/>
          <w:sz w:val="20"/>
          <w:lang w:val="es-ES_tradnl"/>
        </w:rPr>
        <w:t xml:space="preserve"> </w:t>
      </w:r>
      <w:r w:rsidR="00985589" w:rsidRPr="00985589">
        <w:rPr>
          <w:rStyle w:val="Refdenotaalpie"/>
          <w:b w:val="0"/>
          <w:bCs/>
          <w:sz w:val="20"/>
          <w:vertAlign w:val="baseline"/>
          <w:lang w:val="es-ES_tradnl"/>
        </w:rPr>
        <w:footnoteReference w:customMarkFollows="1" w:id="3"/>
        <w:t>***</w:t>
      </w:r>
    </w:p>
    <w:p w14:paraId="2AFFA9BE" w14:textId="77777777" w:rsidR="00381C24" w:rsidRDefault="00F5461C" w:rsidP="00817F1F">
      <w:pPr>
        <w:pStyle w:val="SingleTxtG"/>
        <w:jc w:val="right"/>
        <w:rPr>
          <w:lang w:val="es-ES_tradnl"/>
        </w:rPr>
      </w:pPr>
      <w:r w:rsidRPr="00BE6BC6">
        <w:rPr>
          <w:lang w:val="es-ES_tradnl"/>
        </w:rPr>
        <w:t>[Fecha de recepción: 19 de diciembre de 2019]</w:t>
      </w:r>
    </w:p>
    <w:p w14:paraId="2D1FAB47" w14:textId="77777777" w:rsidR="00F5461C" w:rsidRPr="00BE6BC6" w:rsidRDefault="00F5461C" w:rsidP="006626AF">
      <w:pPr>
        <w:pStyle w:val="HChG"/>
        <w:rPr>
          <w:lang w:val="es-ES_tradnl"/>
        </w:rPr>
      </w:pPr>
      <w:r>
        <w:br w:type="page"/>
      </w:r>
      <w:r w:rsidRPr="00BE6BC6">
        <w:rPr>
          <w:lang w:val="es-ES_tradnl"/>
        </w:rPr>
        <w:lastRenderedPageBreak/>
        <w:tab/>
        <w:t>I.</w:t>
      </w:r>
      <w:r w:rsidRPr="00BE6BC6">
        <w:rPr>
          <w:lang w:val="es-ES_tradnl"/>
        </w:rPr>
        <w:tab/>
        <w:t>Introducción</w:t>
      </w:r>
    </w:p>
    <w:p w14:paraId="32FA80AF" w14:textId="77777777" w:rsidR="00F5461C" w:rsidRPr="00F5461C" w:rsidRDefault="00F5461C" w:rsidP="00F5461C">
      <w:pPr>
        <w:pStyle w:val="SingleTxtG"/>
        <w:rPr>
          <w:lang w:val="es-ES_tradnl"/>
        </w:rPr>
      </w:pPr>
      <w:r w:rsidRPr="00F5461C">
        <w:rPr>
          <w:lang w:val="es-ES_tradnl"/>
        </w:rPr>
        <w:t>1.</w:t>
      </w:r>
      <w:r w:rsidRPr="00F5461C">
        <w:rPr>
          <w:lang w:val="es-ES_tradnl"/>
        </w:rPr>
        <w:tab/>
        <w:t>El presente informe es el tercero que presenta la República Popular China (</w:t>
      </w:r>
      <w:r w:rsidR="00D353FA">
        <w:rPr>
          <w:lang w:val="es-ES_tradnl"/>
        </w:rPr>
        <w:t>“</w:t>
      </w:r>
      <w:r w:rsidRPr="00F5461C">
        <w:rPr>
          <w:lang w:val="es-ES_tradnl"/>
        </w:rPr>
        <w:t>China</w:t>
      </w:r>
      <w:r w:rsidR="00D353FA">
        <w:rPr>
          <w:lang w:val="es-ES_tradnl"/>
        </w:rPr>
        <w:t>”</w:t>
      </w:r>
      <w:r w:rsidRPr="00F5461C">
        <w:rPr>
          <w:lang w:val="es-ES_tradnl"/>
        </w:rPr>
        <w:t>) de conformidad con los artículos 16 y 17 del Pacto Internacional de Derechos Económicos, Sociales y Culturales (</w:t>
      </w:r>
      <w:r w:rsidR="00D353FA">
        <w:rPr>
          <w:lang w:val="es-ES_tradnl"/>
        </w:rPr>
        <w:t>“</w:t>
      </w:r>
      <w:r w:rsidRPr="00F5461C">
        <w:rPr>
          <w:lang w:val="es-ES_tradnl"/>
        </w:rPr>
        <w:t>el Pacto</w:t>
      </w:r>
      <w:r w:rsidR="00D353FA">
        <w:rPr>
          <w:lang w:val="es-ES_tradnl"/>
        </w:rPr>
        <w:t>”</w:t>
      </w:r>
      <w:r w:rsidRPr="00F5461C">
        <w:rPr>
          <w:lang w:val="es-ES_tradnl"/>
        </w:rPr>
        <w:t>) sobre la aplicación del Pacto en la Región Administrativa Especial de Macao (</w:t>
      </w:r>
      <w:r w:rsidR="00D353FA">
        <w:rPr>
          <w:lang w:val="es-ES_tradnl"/>
        </w:rPr>
        <w:t>“</w:t>
      </w:r>
      <w:r w:rsidRPr="00F5461C">
        <w:rPr>
          <w:lang w:val="es-ES_tradnl"/>
        </w:rPr>
        <w:t>la RAE de Macao</w:t>
      </w:r>
      <w:r w:rsidR="00D353FA">
        <w:rPr>
          <w:lang w:val="es-ES_tradnl"/>
        </w:rPr>
        <w:t>”</w:t>
      </w:r>
      <w:r w:rsidRPr="00F5461C">
        <w:rPr>
          <w:lang w:val="es-ES_tradnl"/>
        </w:rPr>
        <w:t>). El informe abarca el período comprendido entre el 1 de enero de 2014 y el 31 de diciembre de 2018.</w:t>
      </w:r>
    </w:p>
    <w:p w14:paraId="4F2794C3" w14:textId="77777777" w:rsidR="00F5461C" w:rsidRPr="00F5461C" w:rsidRDefault="00F5461C" w:rsidP="00F5461C">
      <w:pPr>
        <w:pStyle w:val="SingleTxtG"/>
        <w:rPr>
          <w:lang w:val="es-ES_tradnl"/>
        </w:rPr>
      </w:pPr>
      <w:r w:rsidRPr="00F5461C">
        <w:rPr>
          <w:lang w:val="es-ES_tradnl"/>
        </w:rPr>
        <w:t>2.</w:t>
      </w:r>
      <w:r w:rsidRPr="00F5461C">
        <w:rPr>
          <w:lang w:val="es-ES_tradnl"/>
        </w:rPr>
        <w:tab/>
        <w:t xml:space="preserve">El presente informe se ha redactado de conformidad con las directrices aprobadas por el Comité de Derechos Humanos de las Naciones Unidas sobre la forma y el contenido de los informes que han de presentar los </w:t>
      </w:r>
      <w:proofErr w:type="gramStart"/>
      <w:r w:rsidRPr="00F5461C">
        <w:rPr>
          <w:lang w:val="es-ES_tradnl"/>
        </w:rPr>
        <w:t>Estados partes</w:t>
      </w:r>
      <w:proofErr w:type="gramEnd"/>
      <w:r w:rsidRPr="00F5461C">
        <w:rPr>
          <w:lang w:val="es-ES_tradnl"/>
        </w:rPr>
        <w:t xml:space="preserve"> a los órganos creados en virtud de tratados internacionales de derechos humanos (</w:t>
      </w:r>
      <w:proofErr w:type="spellStart"/>
      <w:r w:rsidRPr="00F5461C">
        <w:rPr>
          <w:lang w:val="es-ES_tradnl"/>
        </w:rPr>
        <w:t>HRI</w:t>
      </w:r>
      <w:proofErr w:type="spellEnd"/>
      <w:r w:rsidRPr="00F5461C">
        <w:rPr>
          <w:lang w:val="es-ES_tradnl"/>
        </w:rPr>
        <w:t>/GEN/2/</w:t>
      </w:r>
      <w:proofErr w:type="spellStart"/>
      <w:r w:rsidRPr="00F5461C">
        <w:rPr>
          <w:lang w:val="es-ES_tradnl"/>
        </w:rPr>
        <w:t>Rev.6</w:t>
      </w:r>
      <w:proofErr w:type="spellEnd"/>
      <w:r w:rsidRPr="00F5461C">
        <w:rPr>
          <w:lang w:val="es-ES_tradnl"/>
        </w:rPr>
        <w:t>). Debe leerse conjuntamente con la parte III del documento básico de China (</w:t>
      </w:r>
      <w:proofErr w:type="spellStart"/>
      <w:r w:rsidRPr="00F5461C">
        <w:rPr>
          <w:lang w:val="es-ES_tradnl"/>
        </w:rPr>
        <w:t>HRI</w:t>
      </w:r>
      <w:proofErr w:type="spellEnd"/>
      <w:r w:rsidRPr="00F5461C">
        <w:rPr>
          <w:lang w:val="es-ES_tradnl"/>
        </w:rPr>
        <w:t>/CORE/1/</w:t>
      </w:r>
      <w:proofErr w:type="spellStart"/>
      <w:r w:rsidRPr="00F5461C">
        <w:rPr>
          <w:lang w:val="es-ES_tradnl"/>
        </w:rPr>
        <w:t>Add.21</w:t>
      </w:r>
      <w:proofErr w:type="spellEnd"/>
      <w:r w:rsidRPr="00F5461C">
        <w:rPr>
          <w:lang w:val="es-ES_tradnl"/>
        </w:rPr>
        <w:t>/</w:t>
      </w:r>
      <w:proofErr w:type="spellStart"/>
      <w:r w:rsidRPr="00F5461C">
        <w:rPr>
          <w:lang w:val="es-ES_tradnl"/>
        </w:rPr>
        <w:t>Rev.2</w:t>
      </w:r>
      <w:proofErr w:type="spellEnd"/>
      <w:r w:rsidRPr="00F5461C">
        <w:rPr>
          <w:lang w:val="es-ES_tradnl"/>
        </w:rPr>
        <w:t xml:space="preserve"> y </w:t>
      </w:r>
      <w:proofErr w:type="spellStart"/>
      <w:r w:rsidRPr="00F5461C">
        <w:rPr>
          <w:lang w:val="es-ES_tradnl"/>
        </w:rPr>
        <w:t>HRI</w:t>
      </w:r>
      <w:proofErr w:type="spellEnd"/>
      <w:r w:rsidRPr="00F5461C">
        <w:rPr>
          <w:lang w:val="es-ES_tradnl"/>
        </w:rPr>
        <w:t>/CORE/</w:t>
      </w:r>
      <w:proofErr w:type="spellStart"/>
      <w:r w:rsidRPr="00F5461C">
        <w:rPr>
          <w:lang w:val="es-ES_tradnl"/>
        </w:rPr>
        <w:t>CHN.MAC</w:t>
      </w:r>
      <w:proofErr w:type="spellEnd"/>
      <w:r w:rsidRPr="00F5461C">
        <w:rPr>
          <w:lang w:val="es-ES_tradnl"/>
        </w:rPr>
        <w:t xml:space="preserve">/2010), así como con los informes y documentos conexos de la RAE de Macao sobre derechos humanos, en particular la Convención Internacional sobre la Eliminación de todas las Formas de Discriminación Racial, la Convención sobre los Derechos del Niño, la Convención sobre la Eliminación de Todas las Formas de Discriminación contra la Mujer, la Convención contra la Tortura y Otros Tratos o Penas Crueles, Inhumanos o Degradantes, el Pacto Internacional de Derechos Civiles y Políticos y la Convención sobre los Derechos de las Personas con Discapacidad. </w:t>
      </w:r>
    </w:p>
    <w:p w14:paraId="3C82D8DA" w14:textId="77777777" w:rsidR="00F5461C" w:rsidRPr="00F5461C" w:rsidRDefault="00F5461C" w:rsidP="00F5461C">
      <w:pPr>
        <w:pStyle w:val="SingleTxtG"/>
        <w:rPr>
          <w:lang w:val="es-ES_tradnl"/>
        </w:rPr>
      </w:pPr>
      <w:r w:rsidRPr="00F5461C">
        <w:rPr>
          <w:lang w:val="es-ES_tradnl"/>
        </w:rPr>
        <w:t>3.</w:t>
      </w:r>
      <w:r w:rsidRPr="00F5461C">
        <w:rPr>
          <w:lang w:val="es-ES_tradnl"/>
        </w:rPr>
        <w:tab/>
        <w:t>El presente informe se preparó sobre la base de la información proporcionada por los departamentos gubernamentales responsables de la aplicación del Pacto, entidades que desempeñan un papel crucial en la promoción y protección de los derechos consagrados en el Pacto y una consulta pública en línea. La mayoría de estos departamentos trabajan en estrecha colaboración con organizaciones no gubernamentales (ONG) locales, que también aportaron información para este informe.</w:t>
      </w:r>
    </w:p>
    <w:p w14:paraId="02C5FF23" w14:textId="77777777" w:rsidR="00F5461C" w:rsidRPr="00F5461C" w:rsidRDefault="00F5461C" w:rsidP="00F5461C">
      <w:pPr>
        <w:pStyle w:val="SingleTxtG"/>
        <w:rPr>
          <w:lang w:val="es-ES_tradnl"/>
        </w:rPr>
      </w:pPr>
      <w:r w:rsidRPr="00F5461C">
        <w:rPr>
          <w:lang w:val="es-ES_tradnl"/>
        </w:rPr>
        <w:t>4.</w:t>
      </w:r>
      <w:r w:rsidRPr="00F5461C">
        <w:rPr>
          <w:lang w:val="es-ES_tradnl"/>
        </w:rPr>
        <w:tab/>
        <w:t xml:space="preserve">La redacción del informe se anunció ampliamente en los medios de comunicación, con objeto de alentar a la población y a todos los sectores pertinentes de la sociedad, incluidas las </w:t>
      </w:r>
      <w:r w:rsidR="002E3A7E">
        <w:rPr>
          <w:lang w:val="es-ES_tradnl"/>
        </w:rPr>
        <w:t>organizaciones no gubernamentales (</w:t>
      </w:r>
      <w:r w:rsidRPr="00F5461C">
        <w:rPr>
          <w:lang w:val="es-ES_tradnl"/>
        </w:rPr>
        <w:t>ONG</w:t>
      </w:r>
      <w:r w:rsidR="002E3A7E">
        <w:rPr>
          <w:lang w:val="es-ES_tradnl"/>
        </w:rPr>
        <w:t>)</w:t>
      </w:r>
      <w:r w:rsidRPr="00F5461C">
        <w:rPr>
          <w:lang w:val="es-ES_tradnl"/>
        </w:rPr>
        <w:t xml:space="preserve">, a participar, de conformidad con el párrafo 65 de las observaciones finales del Comité de Derechos Económicos, Sociales y Culturales. </w:t>
      </w:r>
    </w:p>
    <w:p w14:paraId="00D99053" w14:textId="77777777" w:rsidR="00F5461C" w:rsidRPr="00F5461C" w:rsidRDefault="00F5461C" w:rsidP="00F5461C">
      <w:pPr>
        <w:pStyle w:val="SingleTxtG"/>
        <w:rPr>
          <w:lang w:val="es-ES_tradnl"/>
        </w:rPr>
      </w:pPr>
      <w:r w:rsidRPr="00F5461C">
        <w:rPr>
          <w:lang w:val="es-ES_tradnl"/>
        </w:rPr>
        <w:t>5.</w:t>
      </w:r>
      <w:r w:rsidRPr="00F5461C">
        <w:rPr>
          <w:lang w:val="es-ES_tradnl"/>
        </w:rPr>
        <w:tab/>
        <w:t xml:space="preserve">La información y los datos ofrecidos </w:t>
      </w:r>
      <w:proofErr w:type="gramStart"/>
      <w:r w:rsidRPr="00F5461C">
        <w:rPr>
          <w:lang w:val="es-ES_tradnl"/>
        </w:rPr>
        <w:t>se centran principalmente en</w:t>
      </w:r>
      <w:proofErr w:type="gramEnd"/>
      <w:r w:rsidRPr="00F5461C">
        <w:rPr>
          <w:lang w:val="es-ES_tradnl"/>
        </w:rPr>
        <w:t xml:space="preserve"> los cambios legislativos y las medidas relativas a acontecimientos importantes ocurridos en la RAE de Macao durante el período que abarca el informe. Se presentarán en forma resumida y actualizada. Las preocupaciones y recomendaciones del Comité de Derechos Económicos, Sociales y Culturales, expresadas en sus observaciones finales (E/</w:t>
      </w:r>
      <w:proofErr w:type="spellStart"/>
      <w:r w:rsidRPr="00F5461C">
        <w:rPr>
          <w:lang w:val="es-ES_tradnl"/>
        </w:rPr>
        <w:t>C.12</w:t>
      </w:r>
      <w:proofErr w:type="spellEnd"/>
      <w:r w:rsidRPr="00F5461C">
        <w:rPr>
          <w:lang w:val="es-ES_tradnl"/>
        </w:rPr>
        <w:t>/</w:t>
      </w:r>
      <w:proofErr w:type="spellStart"/>
      <w:r w:rsidRPr="00F5461C">
        <w:rPr>
          <w:lang w:val="es-ES_tradnl"/>
        </w:rPr>
        <w:t>CHN</w:t>
      </w:r>
      <w:proofErr w:type="spellEnd"/>
      <w:r w:rsidRPr="00F5461C">
        <w:rPr>
          <w:lang w:val="es-ES_tradnl"/>
        </w:rPr>
        <w:t>/CO/2), se tienen en cuenta en los párrafos relativos a las respectivas disposiciones del Pacto.</w:t>
      </w:r>
    </w:p>
    <w:p w14:paraId="358272E2" w14:textId="77777777" w:rsidR="00F5461C" w:rsidRPr="00F5461C" w:rsidRDefault="00F5461C" w:rsidP="00F5461C">
      <w:pPr>
        <w:pStyle w:val="SingleTxtG"/>
        <w:rPr>
          <w:lang w:val="es-ES_tradnl"/>
        </w:rPr>
      </w:pPr>
      <w:r w:rsidRPr="00F5461C">
        <w:rPr>
          <w:lang w:val="es-ES_tradnl"/>
        </w:rPr>
        <w:t>6.</w:t>
      </w:r>
      <w:r w:rsidRPr="00F5461C">
        <w:rPr>
          <w:lang w:val="es-ES_tradnl"/>
        </w:rPr>
        <w:tab/>
        <w:t xml:space="preserve">Con respecto al párrafo 64 de las observaciones finales, cabe mencionar que las recomendaciones se distribuyeron específicamente a funcionarios gubernamentales y del poder judicial y a legisladores, se difundieron ampliamente en los medios de comunicación, se cargaron en el portal de la RAE de Macao y se pueden consultar en el sitio web de la Oficina de Asuntos Jurídicos. </w:t>
      </w:r>
    </w:p>
    <w:p w14:paraId="687E1173" w14:textId="77777777" w:rsidR="00F5461C" w:rsidRPr="00F5461C" w:rsidRDefault="00F5461C" w:rsidP="00F5461C">
      <w:pPr>
        <w:pStyle w:val="SingleTxtG"/>
        <w:rPr>
          <w:lang w:val="es-ES_tradnl"/>
        </w:rPr>
      </w:pPr>
      <w:r w:rsidRPr="00F5461C">
        <w:rPr>
          <w:lang w:val="es-ES_tradnl"/>
        </w:rPr>
        <w:t>7.</w:t>
      </w:r>
      <w:r w:rsidRPr="00F5461C">
        <w:rPr>
          <w:lang w:val="es-ES_tradnl"/>
        </w:rPr>
        <w:tab/>
        <w:t>Se lograron importantes avances en los ámbitos legislativo (por ejemplo, en materia laboral, de seguridad social, contra el acoso sexual, contra la violencia en el hogar, con respecto a las personas con discapacidad, las personas mayores, el medio ambiente y la seguridad alimentaria), administrativo (por ejemplo, planes de acción y políticas estratégicas para los niños y los jóvenes, las mujeres, las personas de edad, las personas con discapacidad, el medio ambiente, la protección civil, la planificación urbana, la protección del patrimonio cultural) y práctico (por ejemplo, la igualdad de género, salas de lactancia, accesibilidad para personas con discapacidad, guarderías, centros de atención diurna, protección de víctimas y protección civil).</w:t>
      </w:r>
    </w:p>
    <w:p w14:paraId="47704F34" w14:textId="77777777" w:rsidR="00F5461C" w:rsidRPr="00F5461C" w:rsidRDefault="00F5461C" w:rsidP="00F5461C">
      <w:pPr>
        <w:pStyle w:val="SingleTxtG"/>
        <w:rPr>
          <w:lang w:val="es-ES_tradnl"/>
        </w:rPr>
      </w:pPr>
      <w:r w:rsidRPr="00F5461C">
        <w:rPr>
          <w:lang w:val="es-ES_tradnl"/>
        </w:rPr>
        <w:t>8.</w:t>
      </w:r>
      <w:r w:rsidRPr="00F5461C">
        <w:rPr>
          <w:lang w:val="es-ES_tradnl"/>
        </w:rPr>
        <w:tab/>
        <w:t xml:space="preserve">Siguió aumentando el número de comisiones de derechos humanos, como las del Consejo del Patrimonio Cultural (2014), el Consejo de Planificación Urbana (2014), el Comité de Asuntos de la Mujer y el Niño (2005 y 2016), la Comisión de Evaluación de la Mala Praxis Médica (2017) y el Consejo de Educación Terciaria (2018). Estos órganos suelen estar integrados por representantes del Gobierno y de las ONG, y por miembros destacados de la sociedad civil. La participación de las ONG en esos órganos es especialmente </w:t>
      </w:r>
      <w:r w:rsidRPr="00F5461C">
        <w:rPr>
          <w:lang w:val="es-ES_tradnl"/>
        </w:rPr>
        <w:lastRenderedPageBreak/>
        <w:t>importante, ya que desempeñan un papel activo en la formulación de políticas locales, mediante la evaluación y el seguimiento del ejercicio de los derechos humanos en distintos sectores de la sociedad.</w:t>
      </w:r>
    </w:p>
    <w:p w14:paraId="3A9B6358" w14:textId="77777777" w:rsidR="00F5461C" w:rsidRPr="00F5461C" w:rsidRDefault="00F5461C" w:rsidP="00F5461C">
      <w:pPr>
        <w:pStyle w:val="SingleTxtG"/>
        <w:rPr>
          <w:lang w:val="es-ES_tradnl"/>
        </w:rPr>
      </w:pPr>
      <w:r w:rsidRPr="00F5461C">
        <w:rPr>
          <w:lang w:val="es-ES_tradnl"/>
        </w:rPr>
        <w:t>9.</w:t>
      </w:r>
      <w:r w:rsidRPr="00F5461C">
        <w:rPr>
          <w:lang w:val="es-ES_tradnl"/>
        </w:rPr>
        <w:tab/>
        <w:t xml:space="preserve">El mecanismo de consulta pública sobre las principales políticas y leyes alienta igualmente la participación de la población en los asuntos públicos y promueve la buena gobernanza, por ejemplo, la revisión de la legislación de protección de los derechos e intereses de los consumidores (2014), la Ley de Educación Especial (2015), el Plan Programático Decenal de Rehabilitación de 2016 a 2025 (Plan de Rehabilitación) (2016), las Técnicas de Asistencia Médica para la Procreación (2017), el Plan de Salvaguardia y Gestión del Centro Histórico de Macao (2018) y la Ley Marco de Protección Civil (2018). </w:t>
      </w:r>
    </w:p>
    <w:p w14:paraId="763EFE8F" w14:textId="77777777" w:rsidR="00F5461C" w:rsidRPr="00F5461C" w:rsidRDefault="00F5461C" w:rsidP="00F5461C">
      <w:pPr>
        <w:pStyle w:val="SingleTxtG"/>
        <w:rPr>
          <w:lang w:val="es-ES_tradnl"/>
        </w:rPr>
      </w:pPr>
      <w:r w:rsidRPr="00F5461C">
        <w:rPr>
          <w:lang w:val="es-ES_tradnl"/>
        </w:rPr>
        <w:t>10.</w:t>
      </w:r>
      <w:r w:rsidRPr="00F5461C">
        <w:rPr>
          <w:lang w:val="es-ES_tradnl"/>
        </w:rPr>
        <w:tab/>
        <w:t>En relación con el párrafo 53 de las observaciones finales, cabe mencionar que el mandato de Defensoría del Pueblo conferido a la Comisión de Lucha contra la Corrupción, una institución local independiente, se centra en la promoción y protección de los derechos y libertades, la salvaguardia de los intereses de las personas y la garantía de que el ejercicio de los poderes públicos se ajuste a los criterios de justicia, legalidad y eficacia.</w:t>
      </w:r>
    </w:p>
    <w:p w14:paraId="69B89AC0" w14:textId="77777777" w:rsidR="00F5461C" w:rsidRPr="00F5461C" w:rsidRDefault="00F5461C" w:rsidP="00F5461C">
      <w:pPr>
        <w:pStyle w:val="SingleTxtG"/>
        <w:rPr>
          <w:lang w:val="es-ES_tradnl"/>
        </w:rPr>
      </w:pPr>
      <w:r w:rsidRPr="00F5461C">
        <w:rPr>
          <w:lang w:val="es-ES_tradnl"/>
        </w:rPr>
        <w:t>11.</w:t>
      </w:r>
      <w:r w:rsidRPr="00F5461C">
        <w:rPr>
          <w:lang w:val="es-ES_tradnl"/>
        </w:rPr>
        <w:tab/>
        <w:t xml:space="preserve">El Comisionado ejerce sus funciones de Defensor del Pueblo con plena independencia y total autonomía, y dispone de recursos financieros y humanos suficientes (artículos 45 y 59 de la Ley Fundamental y </w:t>
      </w:r>
      <w:r w:rsidR="00722610">
        <w:rPr>
          <w:lang w:val="es-ES_tradnl"/>
        </w:rPr>
        <w:t>artículo </w:t>
      </w:r>
      <w:r w:rsidRPr="00F5461C">
        <w:rPr>
          <w:lang w:val="es-ES_tradnl"/>
        </w:rPr>
        <w:t xml:space="preserve">37, párrafo 2, de la Ley </w:t>
      </w:r>
      <w:r w:rsidR="00ED1E37">
        <w:rPr>
          <w:lang w:val="es-ES_tradnl"/>
        </w:rPr>
        <w:t>núm. </w:t>
      </w:r>
      <w:r w:rsidRPr="00F5461C">
        <w:rPr>
          <w:lang w:val="es-ES_tradnl"/>
        </w:rPr>
        <w:t xml:space="preserve">10/2000, en su forma enmendada). La Comisión de Lucha contra la Corrupción puede iniciar investigaciones de oficio, analizar reclamaciones y formular recomendaciones a las entidades gubernamentales. Todas las características se ajustan a los Principios de París. </w:t>
      </w:r>
    </w:p>
    <w:p w14:paraId="6A1599AE" w14:textId="77777777" w:rsidR="00F5461C" w:rsidRPr="00F5461C" w:rsidRDefault="00F5461C" w:rsidP="00F5461C">
      <w:pPr>
        <w:pStyle w:val="SingleTxtG"/>
        <w:rPr>
          <w:lang w:val="es-ES_tradnl"/>
        </w:rPr>
      </w:pPr>
      <w:r w:rsidRPr="00F5461C">
        <w:rPr>
          <w:lang w:val="es-ES_tradnl"/>
        </w:rPr>
        <w:t>12.</w:t>
      </w:r>
      <w:r w:rsidRPr="00F5461C">
        <w:rPr>
          <w:lang w:val="es-ES_tradnl"/>
        </w:rPr>
        <w:tab/>
        <w:t>El Gobierno sigue haciendo considerables esfuerzos por difundir los derechos humanos amplia y exhaustivamente, por ejemplo, a través de los medios de comunicación, seminarios, talleres, folletos, actividades escolares y ferias. En 2015, se creó con ese fin el Centro Jurídico para la Juventud.</w:t>
      </w:r>
    </w:p>
    <w:p w14:paraId="59B5918F" w14:textId="7A833897" w:rsidR="00F5461C" w:rsidRPr="00F5461C" w:rsidRDefault="00F5461C" w:rsidP="00F5461C">
      <w:pPr>
        <w:pStyle w:val="SingleTxtG"/>
        <w:rPr>
          <w:lang w:val="es-ES_tradnl"/>
        </w:rPr>
      </w:pPr>
      <w:r w:rsidRPr="00F5461C">
        <w:rPr>
          <w:lang w:val="es-ES_tradnl"/>
        </w:rPr>
        <w:t>13.</w:t>
      </w:r>
      <w:r w:rsidRPr="00F5461C">
        <w:rPr>
          <w:lang w:val="es-ES_tradnl"/>
        </w:rPr>
        <w:tab/>
        <w:t xml:space="preserve">La legislación de la RAE de Macao puede consultarse en línea </w:t>
      </w:r>
      <w:r w:rsidRPr="00ED1E37">
        <w:rPr>
          <w:lang w:val="es-ES_tradnl"/>
        </w:rPr>
        <w:t>(</w:t>
      </w:r>
      <w:proofErr w:type="spellStart"/>
      <w:r w:rsidR="004A5481">
        <w:fldChar w:fldCharType="begin"/>
      </w:r>
      <w:r w:rsidR="00801459">
        <w:instrText>HYPERLINK "\\\\conf-share1\\LS\\SPA\\COMMON\\MSWDocs\\_3Final\\www.gov.mo"</w:instrText>
      </w:r>
      <w:r w:rsidR="004A5481">
        <w:fldChar w:fldCharType="separate"/>
      </w:r>
      <w:r w:rsidRPr="00ED1E37">
        <w:rPr>
          <w:rStyle w:val="Hipervnculo"/>
          <w:color w:val="auto"/>
          <w:lang w:val="es-ES_tradnl"/>
        </w:rPr>
        <w:t>www.gov.mo</w:t>
      </w:r>
      <w:proofErr w:type="spellEnd"/>
      <w:r w:rsidR="004A5481">
        <w:rPr>
          <w:rStyle w:val="Hipervnculo"/>
          <w:color w:val="auto"/>
          <w:lang w:val="es-ES_tradnl"/>
        </w:rPr>
        <w:fldChar w:fldCharType="end"/>
      </w:r>
      <w:r w:rsidRPr="00ED1E37">
        <w:rPr>
          <w:lang w:val="es-ES_tradnl"/>
        </w:rPr>
        <w:t xml:space="preserve"> y </w:t>
      </w:r>
      <w:hyperlink r:id="rId8" w:history="1">
        <w:proofErr w:type="spellStart"/>
        <w:r w:rsidRPr="00ED1E37">
          <w:rPr>
            <w:rStyle w:val="Hipervnculo"/>
            <w:color w:val="auto"/>
            <w:lang w:val="es-ES_tradnl"/>
          </w:rPr>
          <w:t>www.macaolaw.gov.mo</w:t>
        </w:r>
        <w:proofErr w:type="spellEnd"/>
      </w:hyperlink>
      <w:r w:rsidRPr="00F5461C">
        <w:rPr>
          <w:lang w:val="es-ES_tradnl"/>
        </w:rPr>
        <w:t>) y a través de las aplicaciones móviles que ofrecen diferentes departamentos gubernamentales en los dos idiomas oficiales (chino y portugués) y, en algunos casos, en inglés.</w:t>
      </w:r>
    </w:p>
    <w:p w14:paraId="259E03A0" w14:textId="77777777" w:rsidR="00F5461C" w:rsidRPr="00F5461C" w:rsidRDefault="00F5461C" w:rsidP="00F5461C">
      <w:pPr>
        <w:pStyle w:val="SingleTxtG"/>
        <w:rPr>
          <w:lang w:val="es-ES_tradnl"/>
        </w:rPr>
      </w:pPr>
      <w:r w:rsidRPr="00F5461C">
        <w:rPr>
          <w:lang w:val="es-ES_tradnl"/>
        </w:rPr>
        <w:t>14.</w:t>
      </w:r>
      <w:r w:rsidRPr="00F5461C">
        <w:rPr>
          <w:lang w:val="es-ES_tradnl"/>
        </w:rPr>
        <w:tab/>
        <w:t xml:space="preserve">El Centro de Formación Jurídica y Judicial sigue organizando cursos y seminarios sobre la protección de los recursos humanos para los miembros de la profesión jurídica y de otros sectores de la comunidad, a menudo en cooperación con la Oficina de Asuntos Jurídicos, el Instituto de Estudios Europeos de Macao y otras entidades, incluida la Unión Europea y universidades extranjeras de renombre. </w:t>
      </w:r>
    </w:p>
    <w:p w14:paraId="39FDE173" w14:textId="171EDFE2" w:rsidR="00F5461C" w:rsidRPr="00F5461C" w:rsidRDefault="00F5461C" w:rsidP="00F5461C">
      <w:pPr>
        <w:pStyle w:val="SingleTxtG"/>
        <w:rPr>
          <w:lang w:val="es-ES_tradnl"/>
        </w:rPr>
      </w:pPr>
      <w:r w:rsidRPr="00F5461C">
        <w:rPr>
          <w:lang w:val="es-ES_tradnl"/>
        </w:rPr>
        <w:t>15.</w:t>
      </w:r>
      <w:r w:rsidRPr="00F5461C">
        <w:rPr>
          <w:lang w:val="es-ES_tradnl"/>
        </w:rPr>
        <w:tab/>
        <w:t xml:space="preserve">Otro aspecto destacado es la difusión de las siete principales convenciones sobre derechos humanos que </w:t>
      </w:r>
      <w:proofErr w:type="gramStart"/>
      <w:r w:rsidRPr="00F5461C">
        <w:rPr>
          <w:lang w:val="es-ES_tradnl"/>
        </w:rPr>
        <w:t>son de aplicación</w:t>
      </w:r>
      <w:proofErr w:type="gramEnd"/>
      <w:r w:rsidRPr="00F5461C">
        <w:rPr>
          <w:lang w:val="es-ES_tradnl"/>
        </w:rPr>
        <w:t xml:space="preserve"> en la RAE de Macao, así como su mecanismo de presentación de informes, en particular mediante la edición especial de la </w:t>
      </w:r>
      <w:r w:rsidRPr="00F5461C">
        <w:rPr>
          <w:i/>
          <w:iCs/>
          <w:lang w:val="es-ES_tradnl"/>
        </w:rPr>
        <w:t xml:space="preserve">Revista Jurídica de </w:t>
      </w:r>
      <w:proofErr w:type="spellStart"/>
      <w:r w:rsidRPr="00F5461C">
        <w:rPr>
          <w:i/>
          <w:iCs/>
          <w:lang w:val="es-ES_tradnl"/>
        </w:rPr>
        <w:t>Macau</w:t>
      </w:r>
      <w:proofErr w:type="spellEnd"/>
      <w:r w:rsidRPr="00F5461C">
        <w:rPr>
          <w:lang w:val="es-ES_tradnl"/>
        </w:rPr>
        <w:t>, que reúne de manera sistemática toda la documentación pertinente relacionada con la presentación de informes sobre derechos humanos. La última edición, en 2016, correspondió al Pacto Internacional de Derechos Civiles y Políticos. Todas las ediciones están disponibles en el sitio web de la Oficina de Asuntos Jurídicos en chino, portugués e</w:t>
      </w:r>
      <w:r w:rsidR="00ED1E37">
        <w:rPr>
          <w:lang w:val="es-ES_tradnl"/>
        </w:rPr>
        <w:t> </w:t>
      </w:r>
      <w:r w:rsidRPr="00F5461C">
        <w:rPr>
          <w:lang w:val="es-ES_tradnl"/>
        </w:rPr>
        <w:t>inglés (</w:t>
      </w:r>
      <w:hyperlink r:id="rId9" w:history="1">
        <w:r w:rsidRPr="00ED1E37">
          <w:rPr>
            <w:rStyle w:val="Hipervnculo"/>
            <w:color w:val="auto"/>
            <w:lang w:val="es-ES_tradnl"/>
          </w:rPr>
          <w:t xml:space="preserve">http://www.dsaj.gov.mo/ContentFrame_en.aspx?ModuleName=Content/en/ </w:t>
        </w:r>
        <w:proofErr w:type="spellStart"/>
        <w:r w:rsidRPr="00ED1E37">
          <w:rPr>
            <w:rStyle w:val="Hipervnculo"/>
            <w:color w:val="auto"/>
            <w:lang w:val="es-ES_tradnl"/>
          </w:rPr>
          <w:t>dadidir</w:t>
        </w:r>
        <w:proofErr w:type="spellEnd"/>
        <w:r w:rsidRPr="00ED1E37">
          <w:rPr>
            <w:rStyle w:val="Hipervnculo"/>
            <w:color w:val="auto"/>
            <w:lang w:val="es-ES_tradnl"/>
          </w:rPr>
          <w:t>/</w:t>
        </w:r>
        <w:proofErr w:type="spellStart"/>
        <w:r w:rsidRPr="00ED1E37">
          <w:rPr>
            <w:rStyle w:val="Hipervnculo"/>
            <w:color w:val="auto"/>
            <w:lang w:val="es-ES_tradnl"/>
          </w:rPr>
          <w:t>hrreport_en.ascx</w:t>
        </w:r>
        <w:proofErr w:type="spellEnd"/>
      </w:hyperlink>
      <w:r w:rsidRPr="00F5461C">
        <w:rPr>
          <w:lang w:val="es-ES_tradnl"/>
        </w:rPr>
        <w:t>).</w:t>
      </w:r>
    </w:p>
    <w:p w14:paraId="5BBEC7D3" w14:textId="77777777" w:rsidR="00F5461C" w:rsidRPr="00F5461C" w:rsidRDefault="00F5461C" w:rsidP="00F5461C">
      <w:pPr>
        <w:pStyle w:val="SingleTxtG"/>
        <w:rPr>
          <w:lang w:val="es-ES_tradnl"/>
        </w:rPr>
      </w:pPr>
      <w:r w:rsidRPr="00F5461C">
        <w:rPr>
          <w:lang w:val="es-ES_tradnl"/>
        </w:rPr>
        <w:t>16.</w:t>
      </w:r>
      <w:r w:rsidRPr="00F5461C">
        <w:rPr>
          <w:lang w:val="es-ES_tradnl"/>
        </w:rPr>
        <w:tab/>
        <w:t xml:space="preserve">A pesar de los avances logrados en materia de derechos humanos, el Gobierno reconoce que existen deficiencias y retos en algunos ámbitos y se compromete a abordarlos y a adoptar medidas adecuadas. </w:t>
      </w:r>
    </w:p>
    <w:p w14:paraId="4104DBB2" w14:textId="77777777" w:rsidR="00F5461C" w:rsidRPr="00F5461C" w:rsidRDefault="00F5461C" w:rsidP="00F5461C">
      <w:pPr>
        <w:pStyle w:val="SingleTxtG"/>
        <w:rPr>
          <w:lang w:val="es-ES_tradnl"/>
        </w:rPr>
      </w:pPr>
      <w:r w:rsidRPr="00F5461C">
        <w:rPr>
          <w:lang w:val="es-ES_tradnl"/>
        </w:rPr>
        <w:t>17.</w:t>
      </w:r>
      <w:r w:rsidRPr="00F5461C">
        <w:rPr>
          <w:lang w:val="es-ES_tradnl"/>
        </w:rPr>
        <w:tab/>
        <w:t>Se adjunta al presente informe un CD-ROM del Anuario Estadístico de 2017 que contiene datos relativos al disfrute de los derechos consagrados en el Pacto.</w:t>
      </w:r>
    </w:p>
    <w:p w14:paraId="726D00AC" w14:textId="77777777" w:rsidR="00F5461C" w:rsidRPr="00F5461C" w:rsidRDefault="00F5461C" w:rsidP="006626AF">
      <w:pPr>
        <w:pStyle w:val="HChG"/>
        <w:rPr>
          <w:lang w:val="es-ES_tradnl"/>
        </w:rPr>
      </w:pPr>
      <w:r w:rsidRPr="00F5461C">
        <w:rPr>
          <w:lang w:val="es-ES_tradnl"/>
        </w:rPr>
        <w:lastRenderedPageBreak/>
        <w:tab/>
        <w:t>II.</w:t>
      </w:r>
      <w:r w:rsidRPr="00F5461C">
        <w:rPr>
          <w:lang w:val="es-ES_tradnl"/>
        </w:rPr>
        <w:tab/>
        <w:t>Información relativa a los artículos 1 a 15 del Pacto</w:t>
      </w:r>
    </w:p>
    <w:p w14:paraId="5ABFAB7D" w14:textId="77777777" w:rsidR="00F5461C" w:rsidRPr="00F5461C" w:rsidRDefault="006626AF" w:rsidP="006626AF">
      <w:pPr>
        <w:pStyle w:val="H1G"/>
        <w:rPr>
          <w:lang w:val="es-ES_tradnl"/>
        </w:rPr>
      </w:pPr>
      <w:bookmarkStart w:id="0" w:name="_Toc523225752"/>
      <w:bookmarkStart w:id="1" w:name="_Toc194226847"/>
      <w:bookmarkStart w:id="2" w:name="_Toc286998579"/>
      <w:r>
        <w:rPr>
          <w:lang w:val="es-ES_tradnl"/>
        </w:rPr>
        <w:tab/>
      </w:r>
      <w:r w:rsidR="00F5461C" w:rsidRPr="00F5461C">
        <w:rPr>
          <w:lang w:val="es-ES_tradnl"/>
        </w:rPr>
        <w:tab/>
      </w:r>
      <w:r w:rsidR="00722610">
        <w:rPr>
          <w:lang w:val="es-ES_tradnl"/>
        </w:rPr>
        <w:t>Artículo </w:t>
      </w:r>
      <w:r w:rsidR="00F5461C" w:rsidRPr="00F5461C">
        <w:rPr>
          <w:lang w:val="es-ES_tradnl"/>
        </w:rPr>
        <w:t>1</w:t>
      </w:r>
      <w:r w:rsidR="00F5461C" w:rsidRPr="00F5461C">
        <w:rPr>
          <w:lang w:val="es-ES_tradnl"/>
        </w:rPr>
        <w:br/>
        <w:t xml:space="preserve">Autonomía de la Región Administrativa Especial de Macao </w:t>
      </w:r>
      <w:r>
        <w:rPr>
          <w:lang w:val="es-ES_tradnl"/>
        </w:rPr>
        <w:br/>
      </w:r>
      <w:r w:rsidR="00F5461C" w:rsidRPr="00F5461C">
        <w:rPr>
          <w:lang w:val="es-ES_tradnl"/>
        </w:rPr>
        <w:t xml:space="preserve">y libertad de su pueblo para proveer a su desarrollo económico, </w:t>
      </w:r>
      <w:r>
        <w:rPr>
          <w:lang w:val="es-ES_tradnl"/>
        </w:rPr>
        <w:br/>
      </w:r>
      <w:r w:rsidR="00F5461C" w:rsidRPr="00F5461C">
        <w:rPr>
          <w:lang w:val="es-ES_tradnl"/>
        </w:rPr>
        <w:t>social y cultural</w:t>
      </w:r>
      <w:bookmarkStart w:id="3" w:name="_Toc194226848"/>
      <w:bookmarkStart w:id="4" w:name="_Toc194229783"/>
      <w:bookmarkStart w:id="5" w:name="_Toc286998580"/>
      <w:bookmarkEnd w:id="0"/>
      <w:bookmarkEnd w:id="1"/>
      <w:bookmarkEnd w:id="2"/>
      <w:bookmarkEnd w:id="3"/>
      <w:bookmarkEnd w:id="4"/>
      <w:bookmarkEnd w:id="5"/>
    </w:p>
    <w:p w14:paraId="0622AE8F" w14:textId="77777777" w:rsidR="00F5461C" w:rsidRPr="00F5461C" w:rsidRDefault="00F5461C" w:rsidP="00F5461C">
      <w:pPr>
        <w:pStyle w:val="SingleTxtG"/>
        <w:rPr>
          <w:lang w:val="es-ES_tradnl"/>
        </w:rPr>
      </w:pPr>
      <w:r w:rsidRPr="00F5461C">
        <w:rPr>
          <w:lang w:val="es-ES_tradnl"/>
        </w:rPr>
        <w:t>18.</w:t>
      </w:r>
      <w:r w:rsidRPr="00F5461C">
        <w:rPr>
          <w:lang w:val="es-ES_tradnl"/>
        </w:rPr>
        <w:tab/>
        <w:t xml:space="preserve">Tal como se mencionó en anteriores informes, la RAE de Macao es parte inalienable de China en virtud del principio de </w:t>
      </w:r>
      <w:r w:rsidR="00D353FA">
        <w:rPr>
          <w:lang w:val="es-ES_tradnl"/>
        </w:rPr>
        <w:t>“</w:t>
      </w:r>
      <w:r w:rsidRPr="00F5461C">
        <w:rPr>
          <w:lang w:val="es-ES_tradnl"/>
        </w:rPr>
        <w:t>un país, dos sistemas</w:t>
      </w:r>
      <w:r w:rsidR="00D353FA">
        <w:rPr>
          <w:lang w:val="es-ES_tradnl"/>
        </w:rPr>
        <w:t>”</w:t>
      </w:r>
      <w:r w:rsidRPr="00F5461C">
        <w:rPr>
          <w:lang w:val="es-ES_tradnl"/>
        </w:rPr>
        <w:t xml:space="preserve"> y de conformidad con la Ley Fundamental. La cohesión nacional, la integridad territorial y la estabilidad social están garantizadas, así como un alto grado de autonomía y el ejercicio del poder ejecutivo y el legislativo, así como el de un poder judicial independiente, con potestad jurisdiccional que es también competente en última instancia (artículos 1 y 2 de la Ley Fundamental). </w:t>
      </w:r>
    </w:p>
    <w:p w14:paraId="7B8F56BF" w14:textId="77777777" w:rsidR="00F5461C" w:rsidRPr="00F5461C" w:rsidRDefault="00F5461C" w:rsidP="00F5461C">
      <w:pPr>
        <w:pStyle w:val="SingleTxtG"/>
        <w:rPr>
          <w:lang w:val="es-ES_tradnl"/>
        </w:rPr>
      </w:pPr>
      <w:r w:rsidRPr="00F5461C">
        <w:rPr>
          <w:lang w:val="es-ES_tradnl"/>
        </w:rPr>
        <w:t>19.</w:t>
      </w:r>
      <w:r w:rsidRPr="00F5461C">
        <w:rPr>
          <w:lang w:val="es-ES_tradnl"/>
        </w:rPr>
        <w:tab/>
        <w:t>En virtud de la Ley Fundamental, los residentes son libres para proveer a su propio desarrollo económico, social y cultural. La preservación del sistema social y el modo de vida anteriores de la RAE de Macao, así como sus facultades de autogobierno en las esferas establecidas por la Ley Fundamental (dentro de los límites de su ámbito de competencia) son los principales factores impulsores de la autonomía de la RAE de Macao (artículos 2, 3, 5, 8 y 11 de la Ley Fundamental).</w:t>
      </w:r>
    </w:p>
    <w:p w14:paraId="44FFE36F" w14:textId="77777777" w:rsidR="00F5461C" w:rsidRPr="00F5461C" w:rsidRDefault="00F5461C" w:rsidP="00F5461C">
      <w:pPr>
        <w:pStyle w:val="SingleTxtG"/>
        <w:rPr>
          <w:lang w:val="es-ES_tradnl"/>
        </w:rPr>
      </w:pPr>
      <w:r w:rsidRPr="00F5461C">
        <w:rPr>
          <w:lang w:val="es-ES_tradnl"/>
        </w:rPr>
        <w:t>20.</w:t>
      </w:r>
      <w:r w:rsidRPr="00F5461C">
        <w:rPr>
          <w:lang w:val="es-ES_tradnl"/>
        </w:rPr>
        <w:tab/>
        <w:t xml:space="preserve">La RAE de Macao es una sociedad dinámica y ha ido mejorando sus sistemas político, económico y social para garantizar un desarrollo sostenible y próspero de la calidad de vida de su población. </w:t>
      </w:r>
    </w:p>
    <w:p w14:paraId="27C4F184" w14:textId="77777777" w:rsidR="00F5461C" w:rsidRPr="00F5461C" w:rsidRDefault="00F5461C" w:rsidP="00F5461C">
      <w:pPr>
        <w:pStyle w:val="SingleTxtG"/>
        <w:rPr>
          <w:lang w:val="es-ES_tradnl"/>
        </w:rPr>
      </w:pPr>
      <w:r w:rsidRPr="00F5461C">
        <w:rPr>
          <w:lang w:val="es-ES_tradnl"/>
        </w:rPr>
        <w:t>21.</w:t>
      </w:r>
      <w:r w:rsidRPr="00F5461C">
        <w:rPr>
          <w:lang w:val="es-ES_tradnl"/>
        </w:rPr>
        <w:tab/>
        <w:t xml:space="preserve">El Jefe del Ejecutivo es elegido de acuerdo con el Anexo I de la Ley Fundamental y la Ley 3/2004 modificada, y nombrado por el Gobierno Central del Pueblo. Los dos </w:t>
      </w:r>
      <w:proofErr w:type="gramStart"/>
      <w:r w:rsidRPr="00F5461C">
        <w:rPr>
          <w:lang w:val="es-ES_tradnl"/>
        </w:rPr>
        <w:t>Jefes</w:t>
      </w:r>
      <w:proofErr w:type="gramEnd"/>
      <w:r w:rsidRPr="00F5461C">
        <w:rPr>
          <w:lang w:val="es-ES_tradnl"/>
        </w:rPr>
        <w:t xml:space="preserve"> del Ejecutivo de la RAE de Macao han cumplido dos mandatos de 5 años cada uno. El Gobierno Central del Pueblo elegirá y nombrará un nuevo </w:t>
      </w:r>
      <w:proofErr w:type="gramStart"/>
      <w:r w:rsidRPr="00F5461C">
        <w:rPr>
          <w:lang w:val="es-ES_tradnl"/>
        </w:rPr>
        <w:t>Jefe</w:t>
      </w:r>
      <w:proofErr w:type="gramEnd"/>
      <w:r w:rsidRPr="00F5461C">
        <w:rPr>
          <w:lang w:val="es-ES_tradnl"/>
        </w:rPr>
        <w:t xml:space="preserve"> del Ejecutivo que tomará posesión del cargo el 20 de diciembre de 2019. La Asamblea Legislativa se encuentra actualmente en su sexta legislatura (desde 2017 hasta 2021), y el número de diputados elegidos directamente ha aumentado de manera gradual (de 8 a 14). Cada legislatura dura 4</w:t>
      </w:r>
      <w:r w:rsidR="00184E0C">
        <w:rPr>
          <w:lang w:val="es-ES_tradnl"/>
        </w:rPr>
        <w:t> </w:t>
      </w:r>
      <w:r w:rsidRPr="00F5461C">
        <w:rPr>
          <w:lang w:val="es-ES_tradnl"/>
        </w:rPr>
        <w:t>años (Anexo II de la Ley Fundamental y Ley 3/2001 modificada).</w:t>
      </w:r>
    </w:p>
    <w:p w14:paraId="497226C6" w14:textId="77777777" w:rsidR="00F5461C" w:rsidRPr="00F5461C" w:rsidRDefault="006626AF" w:rsidP="006626AF">
      <w:pPr>
        <w:pStyle w:val="H1G"/>
        <w:rPr>
          <w:lang w:val="es-ES_tradnl"/>
        </w:rPr>
      </w:pPr>
      <w:bookmarkStart w:id="6" w:name="_Toc523225753"/>
      <w:bookmarkStart w:id="7" w:name="_Toc194226849"/>
      <w:bookmarkStart w:id="8" w:name="_Toc286998581"/>
      <w:r>
        <w:rPr>
          <w:lang w:val="es-ES_tradnl"/>
        </w:rPr>
        <w:tab/>
      </w:r>
      <w:r w:rsidR="00F5461C" w:rsidRPr="00F5461C">
        <w:rPr>
          <w:lang w:val="es-ES_tradnl"/>
        </w:rPr>
        <w:tab/>
      </w:r>
      <w:r w:rsidR="00722610">
        <w:rPr>
          <w:lang w:val="es-ES_tradnl"/>
        </w:rPr>
        <w:t>Artículo </w:t>
      </w:r>
      <w:r w:rsidR="00F5461C" w:rsidRPr="00F5461C">
        <w:rPr>
          <w:lang w:val="es-ES_tradnl"/>
        </w:rPr>
        <w:t>2</w:t>
      </w:r>
      <w:r w:rsidR="00F5461C" w:rsidRPr="00F5461C">
        <w:rPr>
          <w:lang w:val="es-ES_tradnl"/>
        </w:rPr>
        <w:br/>
        <w:t>No discriminación</w:t>
      </w:r>
      <w:bookmarkStart w:id="9" w:name="_Toc194226850"/>
      <w:bookmarkStart w:id="10" w:name="_Toc194229785"/>
      <w:bookmarkStart w:id="11" w:name="_Toc286998582"/>
      <w:bookmarkEnd w:id="6"/>
      <w:bookmarkEnd w:id="7"/>
      <w:bookmarkEnd w:id="8"/>
      <w:bookmarkEnd w:id="9"/>
      <w:bookmarkEnd w:id="10"/>
      <w:bookmarkEnd w:id="11"/>
    </w:p>
    <w:p w14:paraId="3B466142" w14:textId="77777777" w:rsidR="00F5461C" w:rsidRPr="00F5461C" w:rsidRDefault="00F5461C" w:rsidP="00F5461C">
      <w:pPr>
        <w:pStyle w:val="SingleTxtG"/>
        <w:rPr>
          <w:lang w:val="es-ES_tradnl"/>
        </w:rPr>
      </w:pPr>
      <w:r w:rsidRPr="00F5461C">
        <w:rPr>
          <w:lang w:val="es-ES_tradnl"/>
        </w:rPr>
        <w:t>22.</w:t>
      </w:r>
      <w:r w:rsidRPr="00F5461C">
        <w:rPr>
          <w:lang w:val="es-ES_tradnl"/>
        </w:rPr>
        <w:tab/>
        <w:t>Como se mencionó en informes anteriores, Macao es un lugar en el que conviven diversas comunidades y se caracteriza por una amplia diversidad étnica, religiosa, lingüística y cultural. Todos los grupos étnicos gozan de igual dignidad y tienen derecho a una vida cultural propia, lo que incluye poder profesar y practicar su religión y hablar su propio idioma (artículos 25, 27 y 43 de la Ley Fundamental). La tolerancia y el respeto por las diferencias culturales son piedras angulares de la RAE de Macao.</w:t>
      </w:r>
    </w:p>
    <w:p w14:paraId="160DE6F6" w14:textId="77777777" w:rsidR="00F5461C" w:rsidRPr="00F5461C" w:rsidRDefault="00F5461C" w:rsidP="00F5461C">
      <w:pPr>
        <w:pStyle w:val="SingleTxtG"/>
        <w:rPr>
          <w:lang w:val="es-ES_tradnl"/>
        </w:rPr>
      </w:pPr>
      <w:r w:rsidRPr="00F5461C">
        <w:rPr>
          <w:lang w:val="es-ES_tradnl"/>
        </w:rPr>
        <w:t>23.</w:t>
      </w:r>
      <w:r w:rsidRPr="00F5461C">
        <w:rPr>
          <w:lang w:val="es-ES_tradnl"/>
        </w:rPr>
        <w:tab/>
        <w:t>Cabe señalar también que se mantiene la vigencia del marco de derechos humanos de la RAE de Macao. Se considera que todas las personas son iguales ante la ley y no pueden ser objeto de discriminación por motivo alguno (artículos 24 a 44 de la Ley Fundamental).</w:t>
      </w:r>
    </w:p>
    <w:p w14:paraId="2E6237DF" w14:textId="77777777" w:rsidR="00F5461C" w:rsidRPr="00F5461C" w:rsidRDefault="00F5461C" w:rsidP="00F5461C">
      <w:pPr>
        <w:pStyle w:val="SingleTxtG"/>
        <w:rPr>
          <w:lang w:val="es-ES_tradnl"/>
        </w:rPr>
      </w:pPr>
      <w:r w:rsidRPr="00F5461C">
        <w:rPr>
          <w:lang w:val="es-ES_tradnl"/>
        </w:rPr>
        <w:t>24.</w:t>
      </w:r>
      <w:r w:rsidRPr="00F5461C">
        <w:rPr>
          <w:lang w:val="es-ES_tradnl"/>
        </w:rPr>
        <w:tab/>
        <w:t>La igualdad y la legalidad continúan siendo los principios fundamentales que conforman el sistema jurídico de la RAE de Macao en su totalidad y obligan a los poderes legislativo, ejecutivo y judicial. La igualdad y la no discriminación son principios generales y la discriminación se censura en todos los niveles. La discriminación positiva solo es admisible en virtud de la ley para corregir desigualdades de hecho.</w:t>
      </w:r>
    </w:p>
    <w:p w14:paraId="09062AF3" w14:textId="77777777" w:rsidR="00F5461C" w:rsidRPr="00F5461C" w:rsidRDefault="006626AF" w:rsidP="006626AF">
      <w:pPr>
        <w:pStyle w:val="H1G"/>
        <w:rPr>
          <w:lang w:val="es-ES_tradnl"/>
        </w:rPr>
      </w:pPr>
      <w:bookmarkStart w:id="12" w:name="_Toc523225756"/>
      <w:bookmarkStart w:id="13" w:name="_Toc194226851"/>
      <w:bookmarkStart w:id="14" w:name="_Toc286998583"/>
      <w:r>
        <w:rPr>
          <w:lang w:val="es-ES_tradnl"/>
        </w:rPr>
        <w:tab/>
      </w:r>
      <w:r w:rsidR="00F5461C" w:rsidRPr="00F5461C">
        <w:rPr>
          <w:lang w:val="es-ES_tradnl"/>
        </w:rPr>
        <w:tab/>
      </w:r>
      <w:r w:rsidR="00722610">
        <w:rPr>
          <w:lang w:val="es-ES_tradnl"/>
        </w:rPr>
        <w:t>Artículo </w:t>
      </w:r>
      <w:r w:rsidR="00F5461C" w:rsidRPr="00F5461C">
        <w:rPr>
          <w:lang w:val="es-ES_tradnl"/>
        </w:rPr>
        <w:t>3</w:t>
      </w:r>
      <w:r w:rsidR="00F5461C" w:rsidRPr="00F5461C">
        <w:rPr>
          <w:lang w:val="es-ES_tradnl"/>
        </w:rPr>
        <w:br/>
        <w:t>Igualdad de derechos de hombres y mujeres</w:t>
      </w:r>
      <w:bookmarkStart w:id="15" w:name="_Toc194226852"/>
      <w:bookmarkStart w:id="16" w:name="_Toc194229790"/>
      <w:bookmarkStart w:id="17" w:name="_Toc286998584"/>
      <w:bookmarkEnd w:id="12"/>
      <w:bookmarkEnd w:id="13"/>
      <w:bookmarkEnd w:id="14"/>
      <w:bookmarkEnd w:id="15"/>
      <w:bookmarkEnd w:id="16"/>
      <w:bookmarkEnd w:id="17"/>
    </w:p>
    <w:p w14:paraId="4CAA63F3" w14:textId="77777777" w:rsidR="00F5461C" w:rsidRPr="00F5461C" w:rsidRDefault="00F5461C" w:rsidP="00F5461C">
      <w:pPr>
        <w:pStyle w:val="SingleTxtG"/>
        <w:rPr>
          <w:lang w:val="es-ES_tradnl"/>
        </w:rPr>
      </w:pPr>
      <w:r w:rsidRPr="00F5461C">
        <w:rPr>
          <w:lang w:val="es-ES_tradnl"/>
        </w:rPr>
        <w:t>25.</w:t>
      </w:r>
      <w:r w:rsidRPr="00F5461C">
        <w:rPr>
          <w:lang w:val="es-ES_tradnl"/>
        </w:rPr>
        <w:tab/>
        <w:t xml:space="preserve">Como se ha señalado en informes anteriores, la discriminación por razón de género está estrictamente prohibida. Las mujeres y los hombres tienen los mismos derechos y </w:t>
      </w:r>
      <w:r w:rsidRPr="00F5461C">
        <w:rPr>
          <w:lang w:val="es-ES_tradnl"/>
        </w:rPr>
        <w:lastRenderedPageBreak/>
        <w:t>responsabilidades. La discriminación positiva se adopta siempre que es necesario para asegurar una protección especial de los derechos e intereses legítimos de las mujeres (</w:t>
      </w:r>
      <w:r w:rsidR="00722610">
        <w:rPr>
          <w:lang w:val="es-ES_tradnl"/>
        </w:rPr>
        <w:t>artículo </w:t>
      </w:r>
      <w:r w:rsidRPr="00F5461C">
        <w:rPr>
          <w:lang w:val="es-ES_tradnl"/>
        </w:rPr>
        <w:t>38, párrafo 2, de la Ley Fundamental).</w:t>
      </w:r>
    </w:p>
    <w:p w14:paraId="3FC9398B" w14:textId="77777777" w:rsidR="00F5461C" w:rsidRPr="00F5461C" w:rsidRDefault="00F5461C" w:rsidP="00F5461C">
      <w:pPr>
        <w:pStyle w:val="SingleTxtG"/>
        <w:rPr>
          <w:lang w:val="es-ES_tradnl"/>
        </w:rPr>
      </w:pPr>
      <w:r w:rsidRPr="00F5461C">
        <w:rPr>
          <w:lang w:val="es-ES_tradnl"/>
        </w:rPr>
        <w:t>26.</w:t>
      </w:r>
      <w:r w:rsidRPr="00F5461C">
        <w:rPr>
          <w:lang w:val="es-ES_tradnl"/>
        </w:rPr>
        <w:tab/>
        <w:t xml:space="preserve">Los principales avances legislativos logrados para proteger a las mujeres y las niñas fueron la aprobación de legislación para combatir la violencia doméstica, el acoso sexual y otros delitos contra la libertad sexual y la libre determinación sexual, junto con medidas efectivas para proteger a las mujeres y las niñas víctimas de violencia o de cualquier forma de abuso. Estos logros responden a los párrafos 55 y 58 de las observaciones finales y se abordarán en detalle en los apartados correspondientes a los artículos 6, 7 y 10. </w:t>
      </w:r>
    </w:p>
    <w:p w14:paraId="25B1624A" w14:textId="77777777" w:rsidR="00F5461C" w:rsidRPr="00F5461C" w:rsidRDefault="00F5461C" w:rsidP="00F5461C">
      <w:pPr>
        <w:pStyle w:val="SingleTxtG"/>
        <w:rPr>
          <w:lang w:val="es-ES_tradnl"/>
        </w:rPr>
      </w:pPr>
      <w:r w:rsidRPr="00F5461C">
        <w:rPr>
          <w:lang w:val="es-ES_tradnl"/>
        </w:rPr>
        <w:t>27.</w:t>
      </w:r>
      <w:r w:rsidRPr="00F5461C">
        <w:rPr>
          <w:lang w:val="es-ES_tradnl"/>
        </w:rPr>
        <w:tab/>
        <w:t xml:space="preserve">Se ampliaron las competencias de la Comisión Consultiva para los Asuntos de la Mujer con el fin de que pudiera tratar cuestiones relacionadas con la infancia. La Comisión es un órgano consultivo que tiene por objeto defender los derechos e intereses de las mujeres y los niños, así como prestar asistencia para la adopción de decisiones políticas pertinentes en distintas esferas de gobierno (Reglamento Administrativo </w:t>
      </w:r>
      <w:r w:rsidR="00E27276">
        <w:rPr>
          <w:lang w:val="es-ES_tradnl"/>
        </w:rPr>
        <w:t>núm. </w:t>
      </w:r>
      <w:r w:rsidRPr="00F5461C">
        <w:rPr>
          <w:lang w:val="es-ES_tradnl"/>
        </w:rPr>
        <w:t xml:space="preserve">27/2016). </w:t>
      </w:r>
    </w:p>
    <w:p w14:paraId="21146DBA" w14:textId="77777777" w:rsidR="00F5461C" w:rsidRPr="00F5461C" w:rsidRDefault="00F5461C" w:rsidP="00F5461C">
      <w:pPr>
        <w:pStyle w:val="SingleTxtG"/>
        <w:rPr>
          <w:lang w:val="es-ES_tradnl"/>
        </w:rPr>
      </w:pPr>
      <w:r w:rsidRPr="00F5461C">
        <w:rPr>
          <w:lang w:val="es-ES_tradnl"/>
        </w:rPr>
        <w:t>28.</w:t>
      </w:r>
      <w:r w:rsidRPr="00F5461C">
        <w:rPr>
          <w:lang w:val="es-ES_tradnl"/>
        </w:rPr>
        <w:tab/>
        <w:t xml:space="preserve">La Comisión Consultiva está dirigida por el Secretario de Asuntos Sociales y Cultura y el </w:t>
      </w:r>
      <w:proofErr w:type="gramStart"/>
      <w:r w:rsidRPr="00F5461C">
        <w:rPr>
          <w:lang w:val="es-ES_tradnl"/>
        </w:rPr>
        <w:t>Director</w:t>
      </w:r>
      <w:proofErr w:type="gramEnd"/>
      <w:r w:rsidRPr="00F5461C">
        <w:rPr>
          <w:lang w:val="es-ES_tradnl"/>
        </w:rPr>
        <w:t xml:space="preserve"> de la Oficina de Bienestar Social, e integrada por representantes de las esferas de asuntos sociales, justicia, trabajo, seguridad pública, salud, cultura y educación, así como por representantes de 15 ONG y cinco personas de reconocido mérito social (</w:t>
      </w:r>
      <w:r w:rsidR="00722610">
        <w:rPr>
          <w:lang w:val="es-ES_tradnl"/>
        </w:rPr>
        <w:t>artículo </w:t>
      </w:r>
      <w:r w:rsidRPr="00F5461C">
        <w:rPr>
          <w:lang w:val="es-ES_tradnl"/>
        </w:rPr>
        <w:t xml:space="preserve">4 del Reglamento Administrativo </w:t>
      </w:r>
      <w:r w:rsidR="00E27276">
        <w:rPr>
          <w:lang w:val="es-ES_tradnl"/>
        </w:rPr>
        <w:t>núm. </w:t>
      </w:r>
      <w:r w:rsidRPr="00F5461C">
        <w:rPr>
          <w:lang w:val="es-ES_tradnl"/>
        </w:rPr>
        <w:t xml:space="preserve">27/2016). La participación de las ONG mejora el proceso normativo en relación con la promoción y protección de la igualdad de género, y asegura la transparencia en la asignación de recursos y la calidad de los servicios. </w:t>
      </w:r>
    </w:p>
    <w:p w14:paraId="27C23EEE" w14:textId="77777777" w:rsidR="00F5461C" w:rsidRPr="00F5461C" w:rsidRDefault="00F5461C" w:rsidP="00F5461C">
      <w:pPr>
        <w:pStyle w:val="SingleTxtG"/>
        <w:rPr>
          <w:lang w:val="es-ES_tradnl"/>
        </w:rPr>
      </w:pPr>
      <w:r w:rsidRPr="00F5461C">
        <w:rPr>
          <w:lang w:val="es-ES_tradnl"/>
        </w:rPr>
        <w:t>29.</w:t>
      </w:r>
      <w:r w:rsidRPr="00F5461C">
        <w:rPr>
          <w:lang w:val="es-ES_tradnl"/>
        </w:rPr>
        <w:tab/>
        <w:t xml:space="preserve">La Comisión estableció dos grupos de trabajo, el de Seguimiento de los Objetivos de Desarrollo de la Mujer de Macao y el de Vigilancia de los Derechos y los Intereses del Niño, que se ocupan de diversos aspectos de los derechos de las mujeres y los niños. Promueve campañas de sensibilización y actividades de base comunitaria, realiza encuestas, publica el </w:t>
      </w:r>
      <w:r w:rsidRPr="00F5461C">
        <w:rPr>
          <w:i/>
          <w:iCs/>
          <w:lang w:val="es-ES_tradnl"/>
        </w:rPr>
        <w:t>Informe sobre la condición de la mujer en Macao</w:t>
      </w:r>
      <w:r w:rsidRPr="00F5461C">
        <w:rPr>
          <w:lang w:val="es-ES_tradnl"/>
        </w:rPr>
        <w:t xml:space="preserve"> y, en 2015, puso en marcha un base de datos sobre las mujeres de Macao. </w:t>
      </w:r>
    </w:p>
    <w:p w14:paraId="61F4F970" w14:textId="77777777" w:rsidR="00F5461C" w:rsidRPr="00F5461C" w:rsidRDefault="00F5461C" w:rsidP="00F5461C">
      <w:pPr>
        <w:pStyle w:val="SingleTxtG"/>
        <w:rPr>
          <w:lang w:val="es-ES_tradnl"/>
        </w:rPr>
      </w:pPr>
      <w:r w:rsidRPr="00F5461C">
        <w:rPr>
          <w:lang w:val="es-ES_tradnl"/>
        </w:rPr>
        <w:t>30.</w:t>
      </w:r>
      <w:r w:rsidRPr="00F5461C">
        <w:rPr>
          <w:lang w:val="es-ES_tradnl"/>
        </w:rPr>
        <w:tab/>
        <w:t>En septiembre de 2018, la población residente estimada de la RAE de Macao era de</w:t>
      </w:r>
      <w:r w:rsidR="006228F4">
        <w:rPr>
          <w:lang w:val="es-ES_tradnl"/>
        </w:rPr>
        <w:t> </w:t>
      </w:r>
      <w:r w:rsidRPr="00F5461C">
        <w:rPr>
          <w:lang w:val="es-ES_tradnl"/>
        </w:rPr>
        <w:t>663.400 personas, de las cuales el 53,1</w:t>
      </w:r>
      <w:r w:rsidR="00E27276">
        <w:rPr>
          <w:lang w:val="es-ES_tradnl"/>
        </w:rPr>
        <w:t> %</w:t>
      </w:r>
      <w:r w:rsidRPr="00F5461C">
        <w:rPr>
          <w:lang w:val="es-ES_tradnl"/>
        </w:rPr>
        <w:t xml:space="preserve"> eran mujeres y el 46,9</w:t>
      </w:r>
      <w:r w:rsidR="00E27276">
        <w:rPr>
          <w:lang w:val="es-ES_tradnl"/>
        </w:rPr>
        <w:t> %</w:t>
      </w:r>
      <w:r w:rsidRPr="00F5461C">
        <w:rPr>
          <w:lang w:val="es-ES_tradnl"/>
        </w:rPr>
        <w:t>, hombres. Las mujeres representaban el 51,26</w:t>
      </w:r>
      <w:r w:rsidR="00E27276">
        <w:rPr>
          <w:lang w:val="es-ES_tradnl"/>
        </w:rPr>
        <w:t> %</w:t>
      </w:r>
      <w:r w:rsidRPr="00F5461C">
        <w:rPr>
          <w:lang w:val="es-ES_tradnl"/>
        </w:rPr>
        <w:t xml:space="preserve"> del total de la población empleada (el 43,61</w:t>
      </w:r>
      <w:r w:rsidR="00E27276">
        <w:rPr>
          <w:lang w:val="es-ES_tradnl"/>
        </w:rPr>
        <w:t> %</w:t>
      </w:r>
      <w:r w:rsidRPr="00F5461C">
        <w:rPr>
          <w:lang w:val="es-ES_tradnl"/>
        </w:rPr>
        <w:t xml:space="preserve"> en el caso de la Administración Pública y el 56,39</w:t>
      </w:r>
      <w:r w:rsidR="00E27276">
        <w:rPr>
          <w:lang w:val="es-ES_tradnl"/>
        </w:rPr>
        <w:t> %</w:t>
      </w:r>
      <w:r w:rsidRPr="00F5461C">
        <w:rPr>
          <w:lang w:val="es-ES_tradnl"/>
        </w:rPr>
        <w:t xml:space="preserve"> de la población estudiantil de educación terciaria en el curso académico 2017/18). Asimismo, las mujeres ocupaban el 42,45</w:t>
      </w:r>
      <w:r w:rsidR="00E27276">
        <w:rPr>
          <w:lang w:val="es-ES_tradnl"/>
        </w:rPr>
        <w:t> %</w:t>
      </w:r>
      <w:r w:rsidRPr="00F5461C">
        <w:rPr>
          <w:lang w:val="es-ES_tradnl"/>
        </w:rPr>
        <w:t xml:space="preserve"> de los puestos directivos de la Administración Pública. Al frente de la Secretaría de Administración y Justicia, el segundo puesto más importante del Gobierno de la RAE de Macao, hay una mujer.</w:t>
      </w:r>
    </w:p>
    <w:p w14:paraId="0E123ABF" w14:textId="77777777" w:rsidR="00F5461C" w:rsidRPr="00F5461C" w:rsidRDefault="00F5461C" w:rsidP="00F5461C">
      <w:pPr>
        <w:pStyle w:val="SingleTxtG"/>
        <w:rPr>
          <w:lang w:val="es-ES_tradnl"/>
        </w:rPr>
      </w:pPr>
      <w:r w:rsidRPr="00F5461C">
        <w:rPr>
          <w:lang w:val="es-ES_tradnl"/>
        </w:rPr>
        <w:t>31.</w:t>
      </w:r>
      <w:r w:rsidRPr="00F5461C">
        <w:rPr>
          <w:lang w:val="es-ES_tradnl"/>
        </w:rPr>
        <w:tab/>
        <w:t xml:space="preserve">La promoción de la igualdad de género, en particular en el lugar de trabajo y en las escuelas, es una tarea permanente del Gobierno, que se orienta a la valorización del papel de la mujer en la sociedad y al empoderamiento de la mujer. </w:t>
      </w:r>
    </w:p>
    <w:p w14:paraId="6C646AEE" w14:textId="77777777" w:rsidR="00F5461C" w:rsidRPr="00F5461C" w:rsidRDefault="00F5461C" w:rsidP="00F5461C">
      <w:pPr>
        <w:pStyle w:val="SingleTxtG"/>
        <w:rPr>
          <w:lang w:val="es-ES_tradnl"/>
        </w:rPr>
      </w:pPr>
      <w:r w:rsidRPr="00F5461C">
        <w:rPr>
          <w:lang w:val="es-ES_tradnl"/>
        </w:rPr>
        <w:t>32.</w:t>
      </w:r>
      <w:r w:rsidRPr="00F5461C">
        <w:rPr>
          <w:lang w:val="es-ES_tradnl"/>
        </w:rPr>
        <w:tab/>
        <w:t>La Dirección de Asuntos Laborales lleva a cabo numerosas actuaciones para prevenir situaciones de discriminación en el lugar de trabajo, en particular, mediante campañas de sensibilización y charlas. Entre 2014 y septiembre de 2018, en cooperación con diferentes departamentos gubernamentales y ONG, celebró 119 charlas en diferentes idiomas dirigidas a empleadores y trabajadores sobre los derechos de las trabajadoras, a las que asistieron 7.772 personas.</w:t>
      </w:r>
    </w:p>
    <w:p w14:paraId="6367197B" w14:textId="77777777" w:rsidR="00F5461C" w:rsidRPr="00F5461C" w:rsidRDefault="00F5461C" w:rsidP="00F5461C">
      <w:pPr>
        <w:pStyle w:val="SingleTxtG"/>
        <w:rPr>
          <w:lang w:val="es-ES_tradnl"/>
        </w:rPr>
      </w:pPr>
      <w:r w:rsidRPr="00F5461C">
        <w:rPr>
          <w:lang w:val="es-ES_tradnl"/>
        </w:rPr>
        <w:t>33.</w:t>
      </w:r>
      <w:r w:rsidRPr="00F5461C">
        <w:rPr>
          <w:lang w:val="es-ES_tradnl"/>
        </w:rPr>
        <w:tab/>
        <w:t xml:space="preserve">En lo que respecta al párrafo 55 de las observaciones finales, en virtud de la Ley </w:t>
      </w:r>
      <w:r w:rsidR="00E27276">
        <w:rPr>
          <w:lang w:val="es-ES_tradnl"/>
        </w:rPr>
        <w:t>núm. </w:t>
      </w:r>
      <w:r w:rsidRPr="00F5461C">
        <w:rPr>
          <w:lang w:val="es-ES_tradnl"/>
        </w:rPr>
        <w:t xml:space="preserve">8/2017 el acoso sexual quedó tipificado como delito autónomo en el </w:t>
      </w:r>
      <w:r w:rsidR="00722610">
        <w:rPr>
          <w:lang w:val="es-ES_tradnl"/>
        </w:rPr>
        <w:t>artículo </w:t>
      </w:r>
      <w:r w:rsidRPr="00F5461C">
        <w:rPr>
          <w:lang w:val="es-ES_tradnl"/>
        </w:rPr>
        <w:t xml:space="preserve">164-A del Código Penal de Macao. Sin perjuicio de un castigo mayor, se podrá imponer una pena de prisión de hasta un año o una multa de hasta 120 días. El infractor también podrá ser objeto de medidas disciplinarias o de una demanda. </w:t>
      </w:r>
    </w:p>
    <w:p w14:paraId="0549689E" w14:textId="77777777" w:rsidR="00F5461C" w:rsidRPr="00F5461C" w:rsidRDefault="00F5461C" w:rsidP="00F5461C">
      <w:pPr>
        <w:pStyle w:val="SingleTxtG"/>
        <w:rPr>
          <w:lang w:val="es-ES_tradnl"/>
        </w:rPr>
      </w:pPr>
      <w:r w:rsidRPr="00F5461C">
        <w:rPr>
          <w:lang w:val="es-ES_tradnl"/>
        </w:rPr>
        <w:t>34.</w:t>
      </w:r>
      <w:r w:rsidRPr="00F5461C">
        <w:rPr>
          <w:lang w:val="es-ES_tradnl"/>
        </w:rPr>
        <w:tab/>
        <w:t>Entre 2014 y septiembre de 2018, la Dirección de Asuntos Laborales recibió una denuncia de acoso sexual en el lugar de trabajo. Tras la investigación, se desestimó por carecer de fundamento.</w:t>
      </w:r>
    </w:p>
    <w:p w14:paraId="6C3F1C35" w14:textId="77777777" w:rsidR="00F5461C" w:rsidRPr="00F5461C" w:rsidRDefault="00F5461C" w:rsidP="00F5461C">
      <w:pPr>
        <w:pStyle w:val="SingleTxtG"/>
        <w:rPr>
          <w:lang w:val="es-ES_tradnl"/>
        </w:rPr>
      </w:pPr>
      <w:r w:rsidRPr="00F5461C">
        <w:rPr>
          <w:lang w:val="es-ES_tradnl"/>
        </w:rPr>
        <w:t>35.</w:t>
      </w:r>
      <w:r w:rsidRPr="00F5461C">
        <w:rPr>
          <w:lang w:val="es-ES_tradnl"/>
        </w:rPr>
        <w:tab/>
        <w:t xml:space="preserve">Se diseñaron el Marco de Políticas de las Instituciones de Educación Terciaria de Macao para la Promoción de la Igualdad de Género y la Prevención del Acoso Sexual (2015) y el Marco de Procedimientos de las Instituciones de Educación Terciaria de Macao para el </w:t>
      </w:r>
      <w:r w:rsidRPr="00F5461C">
        <w:rPr>
          <w:lang w:val="es-ES_tradnl"/>
        </w:rPr>
        <w:lastRenderedPageBreak/>
        <w:t xml:space="preserve">Tratamiento de Incidentes de Acoso Sexual (2016). También se organizaron diversos talleres, entre ellos, </w:t>
      </w:r>
      <w:r w:rsidR="00D353FA">
        <w:rPr>
          <w:lang w:val="es-ES_tradnl"/>
        </w:rPr>
        <w:t>“</w:t>
      </w:r>
      <w:r w:rsidRPr="00F5461C">
        <w:rPr>
          <w:lang w:val="es-ES_tradnl"/>
        </w:rPr>
        <w:t xml:space="preserve">Di </w:t>
      </w:r>
      <w:r w:rsidR="00D353FA">
        <w:rPr>
          <w:lang w:val="es-ES_tradnl"/>
        </w:rPr>
        <w:t>“</w:t>
      </w:r>
      <w:r w:rsidRPr="00F5461C">
        <w:rPr>
          <w:lang w:val="es-ES_tradnl"/>
        </w:rPr>
        <w:t>no</w:t>
      </w:r>
      <w:r w:rsidR="00D353FA">
        <w:rPr>
          <w:lang w:val="es-ES_tradnl"/>
        </w:rPr>
        <w:t>”</w:t>
      </w:r>
      <w:r w:rsidRPr="00F5461C">
        <w:rPr>
          <w:lang w:val="es-ES_tradnl"/>
        </w:rPr>
        <w:t xml:space="preserve"> al acoso sexual</w:t>
      </w:r>
      <w:r w:rsidR="00D353FA">
        <w:rPr>
          <w:lang w:val="es-ES_tradnl"/>
        </w:rPr>
        <w:t>”</w:t>
      </w:r>
      <w:r w:rsidRPr="00F5461C">
        <w:rPr>
          <w:lang w:val="es-ES_tradnl"/>
        </w:rPr>
        <w:t xml:space="preserve"> (2015) y </w:t>
      </w:r>
      <w:r w:rsidR="00D353FA">
        <w:rPr>
          <w:lang w:val="es-ES_tradnl"/>
        </w:rPr>
        <w:t>“</w:t>
      </w:r>
      <w:r w:rsidRPr="00F5461C">
        <w:rPr>
          <w:lang w:val="es-ES_tradnl"/>
        </w:rPr>
        <w:t>Feminismo</w:t>
      </w:r>
      <w:r w:rsidR="00D353FA">
        <w:rPr>
          <w:lang w:val="es-ES_tradnl"/>
        </w:rPr>
        <w:t>”</w:t>
      </w:r>
      <w:r w:rsidRPr="00F5461C">
        <w:rPr>
          <w:lang w:val="es-ES_tradnl"/>
        </w:rPr>
        <w:t xml:space="preserve"> (2016), ambos en la Universidad de Macao. </w:t>
      </w:r>
    </w:p>
    <w:p w14:paraId="4C2A20E7" w14:textId="77777777" w:rsidR="00F5461C" w:rsidRPr="00F5461C" w:rsidRDefault="006626AF" w:rsidP="006626AF">
      <w:pPr>
        <w:pStyle w:val="H1G"/>
        <w:rPr>
          <w:lang w:val="es-ES_tradnl"/>
        </w:rPr>
      </w:pPr>
      <w:r>
        <w:rPr>
          <w:lang w:val="es-ES_tradnl"/>
        </w:rPr>
        <w:tab/>
      </w:r>
      <w:r w:rsidR="00F5461C" w:rsidRPr="00F5461C">
        <w:rPr>
          <w:lang w:val="es-ES_tradnl"/>
        </w:rPr>
        <w:tab/>
        <w:t>Artículos 4 y 5</w:t>
      </w:r>
      <w:r w:rsidR="00F5461C" w:rsidRPr="00F5461C">
        <w:rPr>
          <w:lang w:val="es-ES_tradnl"/>
        </w:rPr>
        <w:br/>
        <w:t xml:space="preserve">Restricciones a la derogación de derechos y prohibición </w:t>
      </w:r>
      <w:r>
        <w:rPr>
          <w:lang w:val="es-ES_tradnl"/>
        </w:rPr>
        <w:br/>
      </w:r>
      <w:r w:rsidR="00F5461C" w:rsidRPr="00F5461C">
        <w:rPr>
          <w:lang w:val="es-ES_tradnl"/>
        </w:rPr>
        <w:t>de la interpretación restrictiva</w:t>
      </w:r>
      <w:bookmarkStart w:id="18" w:name="_Toc194226854"/>
      <w:bookmarkStart w:id="19" w:name="_Toc194229792"/>
      <w:bookmarkStart w:id="20" w:name="_Toc286998586"/>
      <w:bookmarkEnd w:id="18"/>
      <w:bookmarkEnd w:id="19"/>
      <w:bookmarkEnd w:id="20"/>
    </w:p>
    <w:p w14:paraId="073D1D4E" w14:textId="77777777" w:rsidR="00F5461C" w:rsidRPr="00F5461C" w:rsidRDefault="00F5461C" w:rsidP="00F5461C">
      <w:pPr>
        <w:pStyle w:val="SingleTxtG"/>
        <w:rPr>
          <w:lang w:val="es-ES_tradnl"/>
        </w:rPr>
      </w:pPr>
      <w:r w:rsidRPr="00F5461C">
        <w:rPr>
          <w:lang w:val="es-ES_tradnl"/>
        </w:rPr>
        <w:t>36.</w:t>
      </w:r>
      <w:r w:rsidRPr="00F5461C">
        <w:rPr>
          <w:lang w:val="es-ES_tradnl"/>
        </w:rPr>
        <w:tab/>
        <w:t xml:space="preserve">Como se menciona en el documento básico y en informes anteriores, las restricciones admisibles a la derogación de derechos que prevé la Ley Fundamental han de leerse </w:t>
      </w:r>
      <w:proofErr w:type="gramStart"/>
      <w:r w:rsidRPr="00F5461C">
        <w:rPr>
          <w:lang w:val="es-ES_tradnl"/>
        </w:rPr>
        <w:t>conjuntamente con</w:t>
      </w:r>
      <w:proofErr w:type="gramEnd"/>
      <w:r w:rsidRPr="00F5461C">
        <w:rPr>
          <w:lang w:val="es-ES_tradnl"/>
        </w:rPr>
        <w:t xml:space="preserve"> su </w:t>
      </w:r>
      <w:r w:rsidR="00722610">
        <w:rPr>
          <w:lang w:val="es-ES_tradnl"/>
        </w:rPr>
        <w:t>artículo </w:t>
      </w:r>
      <w:r w:rsidRPr="00F5461C">
        <w:rPr>
          <w:lang w:val="es-ES_tradnl"/>
        </w:rPr>
        <w:t xml:space="preserve">40, párrafo 2. Los derechos y libertades fundamentales pueden restringirse en determinadas circunstancias específicas y según lo dispuesto por la legislación, respetando los criterios de proporcionalidad, necesidad e idoneidad. </w:t>
      </w:r>
    </w:p>
    <w:p w14:paraId="4E99F594" w14:textId="77777777" w:rsidR="00F5461C" w:rsidRPr="00F5461C" w:rsidRDefault="006626AF" w:rsidP="006626AF">
      <w:pPr>
        <w:pStyle w:val="H1G"/>
        <w:rPr>
          <w:lang w:val="es-ES_tradnl"/>
        </w:rPr>
      </w:pPr>
      <w:bookmarkStart w:id="21" w:name="_Toc194226857"/>
      <w:bookmarkStart w:id="22" w:name="_Toc523225759"/>
      <w:bookmarkStart w:id="23" w:name="_Toc286998587"/>
      <w:r>
        <w:rPr>
          <w:lang w:val="es-ES_tradnl"/>
        </w:rPr>
        <w:tab/>
      </w:r>
      <w:r w:rsidR="00F5461C" w:rsidRPr="00F5461C">
        <w:rPr>
          <w:lang w:val="es-ES_tradnl"/>
        </w:rPr>
        <w:tab/>
        <w:t>Artículos 6 y 7</w:t>
      </w:r>
      <w:r w:rsidR="00F5461C" w:rsidRPr="00F5461C">
        <w:rPr>
          <w:lang w:val="es-ES_tradnl"/>
        </w:rPr>
        <w:br/>
        <w:t xml:space="preserve">Derecho al trabajo y derecho a condiciones de trabajo equitativas </w:t>
      </w:r>
      <w:r>
        <w:rPr>
          <w:lang w:val="es-ES_tradnl"/>
        </w:rPr>
        <w:br/>
      </w:r>
      <w:r w:rsidR="00F5461C" w:rsidRPr="00F5461C">
        <w:rPr>
          <w:lang w:val="es-ES_tradnl"/>
        </w:rPr>
        <w:t>y satisfactorias</w:t>
      </w:r>
      <w:bookmarkStart w:id="24" w:name="_Toc194226858"/>
      <w:bookmarkStart w:id="25" w:name="_Toc194229796"/>
      <w:bookmarkStart w:id="26" w:name="_Toc286998588"/>
      <w:bookmarkEnd w:id="21"/>
      <w:bookmarkEnd w:id="22"/>
      <w:bookmarkEnd w:id="23"/>
      <w:bookmarkEnd w:id="24"/>
      <w:bookmarkEnd w:id="25"/>
      <w:bookmarkEnd w:id="26"/>
    </w:p>
    <w:p w14:paraId="036F0A1B" w14:textId="77777777" w:rsidR="00F5461C" w:rsidRPr="00F5461C" w:rsidRDefault="006626AF" w:rsidP="006626AF">
      <w:pPr>
        <w:pStyle w:val="H23G"/>
        <w:rPr>
          <w:lang w:val="es-ES_tradnl"/>
        </w:rPr>
      </w:pPr>
      <w:bookmarkStart w:id="27" w:name="_Toc286998589"/>
      <w:bookmarkStart w:id="28" w:name="_Toc33444456"/>
      <w:bookmarkStart w:id="29" w:name="_Toc41219152"/>
      <w:r>
        <w:rPr>
          <w:lang w:val="es-ES_tradnl"/>
        </w:rPr>
        <w:tab/>
      </w:r>
      <w:r w:rsidR="00F5461C" w:rsidRPr="00F5461C">
        <w:rPr>
          <w:lang w:val="es-ES_tradnl"/>
        </w:rPr>
        <w:tab/>
        <w:t>Descripción general</w:t>
      </w:r>
      <w:bookmarkEnd w:id="27"/>
    </w:p>
    <w:bookmarkEnd w:id="28"/>
    <w:bookmarkEnd w:id="29"/>
    <w:p w14:paraId="55E37165" w14:textId="77777777" w:rsidR="00F5461C" w:rsidRPr="00F5461C" w:rsidRDefault="00F5461C" w:rsidP="00F5461C">
      <w:pPr>
        <w:pStyle w:val="SingleTxtG"/>
        <w:rPr>
          <w:lang w:val="es-ES_tradnl"/>
        </w:rPr>
      </w:pPr>
      <w:r w:rsidRPr="00F5461C">
        <w:rPr>
          <w:lang w:val="es-ES_tradnl"/>
        </w:rPr>
        <w:t>37.</w:t>
      </w:r>
      <w:r w:rsidRPr="00F5461C">
        <w:rPr>
          <w:lang w:val="es-ES_tradnl"/>
        </w:rPr>
        <w:tab/>
        <w:t>El marco jurídico de las relaciones laborales en los sectores público y privado mencionado en informes anteriores se mantiene inalterado en líneas generales, si bien se han introducido mejoras específicas.</w:t>
      </w:r>
    </w:p>
    <w:p w14:paraId="11820364" w14:textId="77777777" w:rsidR="00F5461C" w:rsidRPr="00F5461C" w:rsidRDefault="00F5461C" w:rsidP="00F5461C">
      <w:pPr>
        <w:pStyle w:val="SingleTxtG"/>
        <w:rPr>
          <w:lang w:val="es-ES_tradnl"/>
        </w:rPr>
      </w:pPr>
      <w:r w:rsidRPr="00F5461C">
        <w:rPr>
          <w:lang w:val="es-ES_tradnl"/>
        </w:rPr>
        <w:t>38.</w:t>
      </w:r>
      <w:r w:rsidRPr="00F5461C">
        <w:rPr>
          <w:lang w:val="es-ES_tradnl"/>
        </w:rPr>
        <w:tab/>
        <w:t xml:space="preserve">La Dirección de Asuntos Laborales, además de ser el principal órgano encargado de la ejecución y el seguimiento de las políticas laborales, de velar por la higiene y la seguridad en el trabajo y de organizar cursos de formación, también evalúa las necesidades y tendencias del mercado laboral y analiza las solicitudes de empleo para la contratación de trabajadores no residentes (Reglamento Administrativo </w:t>
      </w:r>
      <w:r w:rsidR="00E27276">
        <w:rPr>
          <w:lang w:val="es-ES_tradnl"/>
        </w:rPr>
        <w:t>núm. </w:t>
      </w:r>
      <w:r w:rsidRPr="00F5461C">
        <w:rPr>
          <w:lang w:val="es-ES_tradnl"/>
        </w:rPr>
        <w:t xml:space="preserve">12/2016). </w:t>
      </w:r>
    </w:p>
    <w:p w14:paraId="43C8C2AF" w14:textId="77777777" w:rsidR="00F5461C" w:rsidRPr="00F5461C" w:rsidRDefault="00F5461C" w:rsidP="00F5461C">
      <w:pPr>
        <w:pStyle w:val="SingleTxtG"/>
        <w:rPr>
          <w:lang w:val="es-ES_tradnl"/>
        </w:rPr>
      </w:pPr>
      <w:r w:rsidRPr="00F5461C">
        <w:rPr>
          <w:lang w:val="es-ES_tradnl"/>
        </w:rPr>
        <w:t>39.</w:t>
      </w:r>
      <w:r w:rsidRPr="00F5461C">
        <w:rPr>
          <w:lang w:val="es-ES_tradnl"/>
        </w:rPr>
        <w:tab/>
        <w:t xml:space="preserve">El trabajo en el sector público sigue rigiéndose por el Estatuto de los Trabajadores de la Administración Pública, el Decreto Ley </w:t>
      </w:r>
      <w:r w:rsidR="00E27276">
        <w:rPr>
          <w:lang w:val="es-ES_tradnl"/>
        </w:rPr>
        <w:t>núm. </w:t>
      </w:r>
      <w:r w:rsidRPr="00F5461C">
        <w:rPr>
          <w:lang w:val="es-ES_tradnl"/>
        </w:rPr>
        <w:t xml:space="preserve">87/89/M (modificado por las leyes </w:t>
      </w:r>
      <w:r w:rsidR="00E27276">
        <w:rPr>
          <w:lang w:val="es-ES_tradnl"/>
        </w:rPr>
        <w:t>núm. </w:t>
      </w:r>
      <w:r w:rsidRPr="00F5461C">
        <w:rPr>
          <w:lang w:val="es-ES_tradnl"/>
        </w:rPr>
        <w:t xml:space="preserve">12/2015 y </w:t>
      </w:r>
      <w:r w:rsidR="00E27276">
        <w:rPr>
          <w:lang w:val="es-ES_tradnl"/>
        </w:rPr>
        <w:t>núm. </w:t>
      </w:r>
      <w:r w:rsidRPr="00F5461C">
        <w:rPr>
          <w:lang w:val="es-ES_tradnl"/>
        </w:rPr>
        <w:t xml:space="preserve">18/2018), la Ley </w:t>
      </w:r>
      <w:r w:rsidR="00E27276">
        <w:rPr>
          <w:lang w:val="es-ES_tradnl"/>
        </w:rPr>
        <w:t>núm. </w:t>
      </w:r>
      <w:r w:rsidRPr="00F5461C">
        <w:rPr>
          <w:lang w:val="es-ES_tradnl"/>
        </w:rPr>
        <w:t xml:space="preserve">8/2004 y el Reglamento Administrativo </w:t>
      </w:r>
      <w:r w:rsidR="00E27276">
        <w:rPr>
          <w:lang w:val="es-ES_tradnl"/>
        </w:rPr>
        <w:t>núm. </w:t>
      </w:r>
      <w:r w:rsidRPr="00F5461C">
        <w:rPr>
          <w:lang w:val="es-ES_tradnl"/>
        </w:rPr>
        <w:t xml:space="preserve">31/2004, relativo a la evaluación del desempeño de los trabajadores públicos, y el Reglamento Administrativo </w:t>
      </w:r>
      <w:r w:rsidR="00E27276">
        <w:rPr>
          <w:lang w:val="es-ES_tradnl"/>
        </w:rPr>
        <w:t>núm. </w:t>
      </w:r>
      <w:r w:rsidRPr="00F5461C">
        <w:rPr>
          <w:lang w:val="es-ES_tradnl"/>
        </w:rPr>
        <w:t xml:space="preserve">11/2007, relativo al establecimiento de recompensas e incentivos para los trabajadores públicos. </w:t>
      </w:r>
    </w:p>
    <w:p w14:paraId="07E185A0" w14:textId="77777777" w:rsidR="00F5461C" w:rsidRPr="00F5461C" w:rsidRDefault="00F5461C" w:rsidP="00F5461C">
      <w:pPr>
        <w:pStyle w:val="SingleTxtG"/>
        <w:rPr>
          <w:lang w:val="es-ES_tradnl"/>
        </w:rPr>
      </w:pPr>
      <w:r w:rsidRPr="00F5461C">
        <w:rPr>
          <w:lang w:val="es-ES_tradnl"/>
        </w:rPr>
        <w:t>40.</w:t>
      </w:r>
      <w:r w:rsidRPr="00F5461C">
        <w:rPr>
          <w:lang w:val="es-ES_tradnl"/>
        </w:rPr>
        <w:tab/>
        <w:t xml:space="preserve">A pesar de lo anterior, la Ley </w:t>
      </w:r>
      <w:r w:rsidR="00E27276">
        <w:rPr>
          <w:lang w:val="es-ES_tradnl"/>
        </w:rPr>
        <w:t>núm. </w:t>
      </w:r>
      <w:r w:rsidRPr="00F5461C">
        <w:rPr>
          <w:lang w:val="es-ES_tradnl"/>
        </w:rPr>
        <w:t xml:space="preserve">12/2015 introdujo algunas modificaciones en el Estatuto y en la Ley </w:t>
      </w:r>
      <w:r w:rsidR="00E27276">
        <w:rPr>
          <w:lang w:val="es-ES_tradnl"/>
        </w:rPr>
        <w:t>núm. </w:t>
      </w:r>
      <w:r w:rsidRPr="00F5461C">
        <w:rPr>
          <w:lang w:val="es-ES_tradnl"/>
        </w:rPr>
        <w:t>14/2009 (Régimen de Categorías Profesionales), con el fin de armonizar los derechos y deberes del personal contratado y promover la flexibilidad en la gestión de los recursos humanos.</w:t>
      </w:r>
    </w:p>
    <w:p w14:paraId="71CFFAA0" w14:textId="77777777" w:rsidR="00F5461C" w:rsidRPr="00F5461C" w:rsidRDefault="00F5461C" w:rsidP="00F5461C">
      <w:pPr>
        <w:pStyle w:val="SingleTxtG"/>
        <w:rPr>
          <w:lang w:val="es-ES_tradnl"/>
        </w:rPr>
      </w:pPr>
      <w:r w:rsidRPr="00F5461C">
        <w:rPr>
          <w:lang w:val="es-ES_tradnl"/>
        </w:rPr>
        <w:t>41.</w:t>
      </w:r>
      <w:r w:rsidRPr="00F5461C">
        <w:rPr>
          <w:lang w:val="es-ES_tradnl"/>
        </w:rPr>
        <w:tab/>
        <w:t xml:space="preserve">En lo que respecta al sector privado, siguen en vigor la Ley </w:t>
      </w:r>
      <w:r w:rsidR="00E27276">
        <w:rPr>
          <w:lang w:val="es-ES_tradnl"/>
        </w:rPr>
        <w:t>núm. </w:t>
      </w:r>
      <w:r w:rsidRPr="00F5461C">
        <w:rPr>
          <w:lang w:val="es-ES_tradnl"/>
        </w:rPr>
        <w:t xml:space="preserve">4/98/M, del Marco de Políticas de Empleo y Derechos de los Trabajadores, la Ley </w:t>
      </w:r>
      <w:r w:rsidR="00E27276">
        <w:rPr>
          <w:lang w:val="es-ES_tradnl"/>
        </w:rPr>
        <w:t>núm. </w:t>
      </w:r>
      <w:r w:rsidRPr="00F5461C">
        <w:rPr>
          <w:lang w:val="es-ES_tradnl"/>
        </w:rPr>
        <w:t xml:space="preserve">7/2008, de Relaciones Laborales, el Decreto Ley </w:t>
      </w:r>
      <w:r w:rsidR="00E27276">
        <w:rPr>
          <w:lang w:val="es-ES_tradnl"/>
        </w:rPr>
        <w:t>núm. </w:t>
      </w:r>
      <w:r w:rsidRPr="00F5461C">
        <w:rPr>
          <w:lang w:val="es-ES_tradnl"/>
        </w:rPr>
        <w:t>52/95/M, de Igualdad de Oportunidades e Igualdad de Trato, el Reglamento Administrativo núm.</w:t>
      </w:r>
      <w:r w:rsidR="00592BB2">
        <w:rPr>
          <w:lang w:val="es-ES_tradnl"/>
        </w:rPr>
        <w:t> </w:t>
      </w:r>
      <w:r w:rsidRPr="00F5461C">
        <w:rPr>
          <w:lang w:val="es-ES_tradnl"/>
        </w:rPr>
        <w:t xml:space="preserve">26/2008, relativo a las actividades de la inspección del trabajo, el Reglamento Administrativo </w:t>
      </w:r>
      <w:r w:rsidR="00E27276">
        <w:rPr>
          <w:lang w:val="es-ES_tradnl"/>
        </w:rPr>
        <w:t>núm. </w:t>
      </w:r>
      <w:r w:rsidRPr="00F5461C">
        <w:rPr>
          <w:lang w:val="es-ES_tradnl"/>
        </w:rPr>
        <w:t xml:space="preserve">17/2004, relativo a la prohibición del trabajo ilegal, y la Ley </w:t>
      </w:r>
      <w:r w:rsidR="00E27276">
        <w:rPr>
          <w:lang w:val="es-ES_tradnl"/>
        </w:rPr>
        <w:t>núm. </w:t>
      </w:r>
      <w:r w:rsidRPr="00F5461C">
        <w:rPr>
          <w:lang w:val="es-ES_tradnl"/>
        </w:rPr>
        <w:t>9/2003, de Régimen de Procedimiento Jurídico para los Conflictos Laborales.</w:t>
      </w:r>
    </w:p>
    <w:p w14:paraId="52CED278" w14:textId="77777777" w:rsidR="00F5461C" w:rsidRPr="00F5461C" w:rsidRDefault="00F5461C" w:rsidP="00F5461C">
      <w:pPr>
        <w:pStyle w:val="SingleTxtG"/>
        <w:rPr>
          <w:lang w:val="es-ES_tradnl"/>
        </w:rPr>
      </w:pPr>
      <w:r w:rsidRPr="00F5461C">
        <w:rPr>
          <w:lang w:val="es-ES_tradnl"/>
        </w:rPr>
        <w:t>42.</w:t>
      </w:r>
      <w:r w:rsidRPr="00F5461C">
        <w:rPr>
          <w:lang w:val="es-ES_tradnl"/>
        </w:rPr>
        <w:tab/>
        <w:t xml:space="preserve">No obstante, es preciso afianzar algunos cambios positivos importantes, como la aprobación de la Ley </w:t>
      </w:r>
      <w:r w:rsidR="00E27276">
        <w:rPr>
          <w:lang w:val="es-ES_tradnl"/>
        </w:rPr>
        <w:t>núm. </w:t>
      </w:r>
      <w:r w:rsidRPr="00F5461C">
        <w:rPr>
          <w:lang w:val="es-ES_tradnl"/>
        </w:rPr>
        <w:t xml:space="preserve">2/2015, por la que se modifica la Ley </w:t>
      </w:r>
      <w:r w:rsidR="00E27276">
        <w:rPr>
          <w:lang w:val="es-ES_tradnl"/>
        </w:rPr>
        <w:t>núm. </w:t>
      </w:r>
      <w:r w:rsidRPr="00F5461C">
        <w:rPr>
          <w:lang w:val="es-ES_tradnl"/>
        </w:rPr>
        <w:t xml:space="preserve">7/2008, y la aprobación de la Ley </w:t>
      </w:r>
      <w:r w:rsidR="00E27276">
        <w:rPr>
          <w:lang w:val="es-ES_tradnl"/>
        </w:rPr>
        <w:t>núm. </w:t>
      </w:r>
      <w:r w:rsidRPr="00F5461C">
        <w:rPr>
          <w:lang w:val="es-ES_tradnl"/>
        </w:rPr>
        <w:t xml:space="preserve">10/2015, de Régimen de Garantía de Créditos Laborales. El </w:t>
      </w:r>
      <w:r w:rsidR="00722610">
        <w:rPr>
          <w:lang w:val="es-ES_tradnl"/>
        </w:rPr>
        <w:t>artículo </w:t>
      </w:r>
      <w:r w:rsidRPr="00F5461C">
        <w:rPr>
          <w:lang w:val="es-ES_tradnl"/>
        </w:rPr>
        <w:t xml:space="preserve">70 de la Ley </w:t>
      </w:r>
      <w:r w:rsidR="00E27276">
        <w:rPr>
          <w:lang w:val="es-ES_tradnl"/>
        </w:rPr>
        <w:t>núm. </w:t>
      </w:r>
      <w:r w:rsidRPr="00F5461C">
        <w:rPr>
          <w:lang w:val="es-ES_tradnl"/>
        </w:rPr>
        <w:t>7/2008, en su versión modificada, eleva el monto para calcular la indemnización, de 14.000 a 20.000 patacas de Macao, en caso de resolución injusta del contrato laboral y establece un período de revisión de dos años.</w:t>
      </w:r>
    </w:p>
    <w:p w14:paraId="636D39A8" w14:textId="77777777" w:rsidR="00F5461C" w:rsidRPr="00F5461C" w:rsidRDefault="00F5461C" w:rsidP="00F5461C">
      <w:pPr>
        <w:pStyle w:val="SingleTxtG"/>
        <w:rPr>
          <w:lang w:val="es-ES_tradnl"/>
        </w:rPr>
      </w:pPr>
      <w:r w:rsidRPr="00F5461C">
        <w:rPr>
          <w:lang w:val="es-ES_tradnl"/>
        </w:rPr>
        <w:t>43.</w:t>
      </w:r>
      <w:r w:rsidRPr="00F5461C">
        <w:rPr>
          <w:lang w:val="es-ES_tradnl"/>
        </w:rPr>
        <w:tab/>
        <w:t xml:space="preserve">En virtud de la Ley </w:t>
      </w:r>
      <w:r w:rsidR="00E27276">
        <w:rPr>
          <w:lang w:val="es-ES_tradnl"/>
        </w:rPr>
        <w:t>núm. </w:t>
      </w:r>
      <w:r w:rsidRPr="00F5461C">
        <w:rPr>
          <w:lang w:val="es-ES_tradnl"/>
        </w:rPr>
        <w:t xml:space="preserve">10/2015 se estableció un sistema de protección de los derechos crediticios de todos los trabajadores que garantiza los pagos cuando sus derechos crediticios no han sido satisfechos, y que abarca: 1) la remuneración básica, una indemnización de 6 meses antes de la terminación de los contratos; 2) la indemnización por </w:t>
      </w:r>
      <w:r w:rsidRPr="00F5461C">
        <w:rPr>
          <w:lang w:val="es-ES_tradnl"/>
        </w:rPr>
        <w:lastRenderedPageBreak/>
        <w:t>accidentes de trabajo o enfermedades ocupacionales en caso de que no haya seguro laboral; 3) la indemnización por despido de trabajadores no residentes debido a la revocación del permiso de contratación a sus empleadores; 4) el subsidio de alojamiento a trabajadores no residentes devengado en los 6 meses previos a la terminación del contrato, y 5) los gastos de transporte de los trabajadores no residentes a su país de origen.</w:t>
      </w:r>
    </w:p>
    <w:p w14:paraId="7049C9BB" w14:textId="77777777" w:rsidR="00F5461C" w:rsidRPr="00F5461C" w:rsidRDefault="00F5461C" w:rsidP="00F5461C">
      <w:pPr>
        <w:pStyle w:val="SingleTxtG"/>
        <w:rPr>
          <w:lang w:val="es-ES_tradnl"/>
        </w:rPr>
      </w:pPr>
      <w:r w:rsidRPr="00F5461C">
        <w:rPr>
          <w:lang w:val="es-ES_tradnl"/>
        </w:rPr>
        <w:t>44.</w:t>
      </w:r>
      <w:r w:rsidRPr="00F5461C">
        <w:rPr>
          <w:lang w:val="es-ES_tradnl"/>
        </w:rPr>
        <w:tab/>
        <w:t xml:space="preserve">El Fondo de Garantía de Créditos Laborales (Reglamento Administrativo </w:t>
      </w:r>
      <w:r w:rsidR="00E27276">
        <w:rPr>
          <w:lang w:val="es-ES_tradnl"/>
        </w:rPr>
        <w:t>núm. </w:t>
      </w:r>
      <w:r w:rsidRPr="00F5461C">
        <w:rPr>
          <w:lang w:val="es-ES_tradnl"/>
        </w:rPr>
        <w:t>24/2015) fue de 188 millones de patacas de Macao en 2016, 189.455.000 en 2017 y 205.044.000 entre enero y septiembre de 2018, y los pagos o adelantos para atender reclamaciones laborales en esos períodos fueron de 11</w:t>
      </w:r>
      <w:r w:rsidR="00592BB2">
        <w:rPr>
          <w:lang w:val="es-ES_tradnl"/>
        </w:rPr>
        <w:t>.</w:t>
      </w:r>
      <w:r w:rsidRPr="00F5461C">
        <w:rPr>
          <w:lang w:val="es-ES_tradnl"/>
        </w:rPr>
        <w:t>318</w:t>
      </w:r>
      <w:r w:rsidR="00592BB2">
        <w:rPr>
          <w:lang w:val="es-ES_tradnl"/>
        </w:rPr>
        <w:t>.</w:t>
      </w:r>
      <w:r w:rsidRPr="00F5461C">
        <w:rPr>
          <w:lang w:val="es-ES_tradnl"/>
        </w:rPr>
        <w:t xml:space="preserve">401, 10.741.819 y 7.183.975 patacas de Macao, respectivamente. </w:t>
      </w:r>
    </w:p>
    <w:p w14:paraId="59CCF3C2" w14:textId="77777777" w:rsidR="00F5461C" w:rsidRPr="00F5461C" w:rsidRDefault="00F5461C" w:rsidP="00F5461C">
      <w:pPr>
        <w:pStyle w:val="SingleTxtG"/>
        <w:rPr>
          <w:lang w:val="es-ES_tradnl"/>
        </w:rPr>
      </w:pPr>
      <w:r w:rsidRPr="00F5461C">
        <w:rPr>
          <w:lang w:val="es-ES_tradnl"/>
        </w:rPr>
        <w:t>45.</w:t>
      </w:r>
      <w:r w:rsidRPr="00F5461C">
        <w:rPr>
          <w:lang w:val="es-ES_tradnl"/>
        </w:rPr>
        <w:tab/>
        <w:t xml:space="preserve">Como se ha señalado en informes anteriores, aunque no existe un régimen de salario mínimo legal en el sector privado, el </w:t>
      </w:r>
      <w:r w:rsidR="00722610">
        <w:rPr>
          <w:lang w:val="es-ES_tradnl"/>
        </w:rPr>
        <w:t>artículo </w:t>
      </w:r>
      <w:r w:rsidRPr="00F5461C">
        <w:rPr>
          <w:lang w:val="es-ES_tradnl"/>
        </w:rPr>
        <w:t xml:space="preserve">57 de la Ley </w:t>
      </w:r>
      <w:r w:rsidR="00E27276">
        <w:rPr>
          <w:lang w:val="es-ES_tradnl"/>
        </w:rPr>
        <w:t>núm. </w:t>
      </w:r>
      <w:r w:rsidRPr="00F5461C">
        <w:rPr>
          <w:lang w:val="es-ES_tradnl"/>
        </w:rPr>
        <w:t xml:space="preserve">7/2008 establece como principio general que el salario debe ser justo y estar basado en criterios específicos y en la buena fe. En el </w:t>
      </w:r>
      <w:r w:rsidR="00722610">
        <w:rPr>
          <w:lang w:val="es-ES_tradnl"/>
        </w:rPr>
        <w:t>artículo </w:t>
      </w:r>
      <w:r w:rsidRPr="00F5461C">
        <w:rPr>
          <w:lang w:val="es-ES_tradnl"/>
        </w:rPr>
        <w:t>59 y ss</w:t>
      </w:r>
      <w:r w:rsidR="009C7073">
        <w:rPr>
          <w:lang w:val="es-ES_tradnl"/>
        </w:rPr>
        <w:t>.</w:t>
      </w:r>
      <w:r w:rsidRPr="00F5461C">
        <w:rPr>
          <w:lang w:val="es-ES_tradnl"/>
        </w:rPr>
        <w:t xml:space="preserve"> de la </w:t>
      </w:r>
      <w:r w:rsidR="009C7073" w:rsidRPr="00F5461C">
        <w:rPr>
          <w:lang w:val="es-ES_tradnl"/>
        </w:rPr>
        <w:t>Ley</w:t>
      </w:r>
      <w:r w:rsidR="009C7073">
        <w:rPr>
          <w:lang w:val="es-ES_tradnl"/>
        </w:rPr>
        <w:t xml:space="preserve"> </w:t>
      </w:r>
      <w:r w:rsidR="00E27276">
        <w:rPr>
          <w:lang w:val="es-ES_tradnl"/>
        </w:rPr>
        <w:t>núm. </w:t>
      </w:r>
      <w:r w:rsidRPr="00F5461C">
        <w:rPr>
          <w:lang w:val="es-ES_tradnl"/>
        </w:rPr>
        <w:t>7/2008, relativos a la remuneración básica, se establece un mecanismo de cálculo que incluye, entre otras cosas, el salario, las horas extraordinarias, los turnos o turnos de noche, así como las comidas, las prestaciones familiares y otros complementos.</w:t>
      </w:r>
    </w:p>
    <w:p w14:paraId="26B037D0" w14:textId="77777777" w:rsidR="00F5461C" w:rsidRPr="00F5461C" w:rsidRDefault="00F5461C" w:rsidP="00F5461C">
      <w:pPr>
        <w:pStyle w:val="SingleTxtG"/>
        <w:rPr>
          <w:lang w:val="es-ES_tradnl"/>
        </w:rPr>
      </w:pPr>
      <w:r w:rsidRPr="00F5461C">
        <w:rPr>
          <w:lang w:val="es-ES_tradnl"/>
        </w:rPr>
        <w:t>46.</w:t>
      </w:r>
      <w:r w:rsidRPr="00F5461C">
        <w:rPr>
          <w:lang w:val="es-ES_tradnl"/>
        </w:rPr>
        <w:tab/>
        <w:t>No obstante, cabe destacar que se estableció un sistema de salario mínimo para los trabajadores de limpieza y seguridad de los servicios de administración de bienes, en el que se preveía un ingreso mensual de 6.240 patacas de Macao (</w:t>
      </w:r>
      <w:r w:rsidR="00722610">
        <w:rPr>
          <w:lang w:val="es-ES_tradnl"/>
        </w:rPr>
        <w:t>artículo </w:t>
      </w:r>
      <w:r w:rsidRPr="00F5461C">
        <w:rPr>
          <w:lang w:val="es-ES_tradnl"/>
        </w:rPr>
        <w:t xml:space="preserve">3 de la Ley </w:t>
      </w:r>
      <w:r w:rsidR="00E27276">
        <w:rPr>
          <w:lang w:val="es-ES_tradnl"/>
        </w:rPr>
        <w:t>núm. </w:t>
      </w:r>
      <w:r w:rsidRPr="00F5461C">
        <w:rPr>
          <w:lang w:val="es-ES_tradnl"/>
        </w:rPr>
        <w:t xml:space="preserve">7/2015). Se está redactando una ley relativa al salario mínimo. </w:t>
      </w:r>
    </w:p>
    <w:p w14:paraId="5159F456" w14:textId="77777777" w:rsidR="00F5461C" w:rsidRPr="00F5461C" w:rsidRDefault="00F5461C" w:rsidP="00F5461C">
      <w:pPr>
        <w:pStyle w:val="SingleTxtG"/>
        <w:rPr>
          <w:lang w:val="es-ES_tradnl"/>
        </w:rPr>
      </w:pPr>
      <w:r w:rsidRPr="00F5461C">
        <w:rPr>
          <w:lang w:val="es-ES_tradnl"/>
        </w:rPr>
        <w:t>47.</w:t>
      </w:r>
      <w:r w:rsidRPr="00F5461C">
        <w:rPr>
          <w:lang w:val="es-ES_tradnl"/>
        </w:rPr>
        <w:tab/>
        <w:t>Según la Dirección de Estadística y Censos, los ingresos mensuales medios de los asalariados entre 2014 y el tercer trimestre de 2018 fueron, respectivamente, de 13.300, 15.000, 15.000, 15.000 y 16.000 patacas de Macao.</w:t>
      </w:r>
    </w:p>
    <w:p w14:paraId="02FF75EA" w14:textId="77777777" w:rsidR="00F5461C" w:rsidRPr="00F5461C" w:rsidRDefault="00F5461C" w:rsidP="00F5461C">
      <w:pPr>
        <w:pStyle w:val="SingleTxtG"/>
        <w:rPr>
          <w:lang w:val="es-ES_tradnl"/>
        </w:rPr>
      </w:pPr>
      <w:r w:rsidRPr="00F5461C">
        <w:rPr>
          <w:lang w:val="es-ES_tradnl"/>
        </w:rPr>
        <w:t>48.</w:t>
      </w:r>
      <w:r w:rsidRPr="00F5461C">
        <w:rPr>
          <w:lang w:val="es-ES_tradnl"/>
        </w:rPr>
        <w:tab/>
        <w:t xml:space="preserve">La información facilitada en informes anteriores sobre el período de trabajo, el descanso semanal, las vacaciones, las ausencias y las licencias en los sectores público y privado sigue siendo válida. Asimismo, cabe citar las mejoras introducidas por la Ley </w:t>
      </w:r>
      <w:r w:rsidR="00E27276">
        <w:rPr>
          <w:lang w:val="es-ES_tradnl"/>
        </w:rPr>
        <w:t>núm. </w:t>
      </w:r>
      <w:r w:rsidRPr="00F5461C">
        <w:rPr>
          <w:lang w:val="es-ES_tradnl"/>
        </w:rPr>
        <w:t>18/2018 en el Estatuto de los Trabajadores de la Administración Pública, que ahora prevé nuevas modalidades y amplía a 90 días la licencia en caso de mortinato.</w:t>
      </w:r>
    </w:p>
    <w:p w14:paraId="1D5B505A" w14:textId="77777777" w:rsidR="00F5461C" w:rsidRPr="00F5461C" w:rsidRDefault="00F5461C" w:rsidP="00F5461C">
      <w:pPr>
        <w:pStyle w:val="SingleTxtG"/>
        <w:rPr>
          <w:lang w:val="es-ES_tradnl"/>
        </w:rPr>
      </w:pPr>
      <w:r w:rsidRPr="00F5461C">
        <w:rPr>
          <w:lang w:val="es-ES_tradnl"/>
        </w:rPr>
        <w:t>49.</w:t>
      </w:r>
      <w:r w:rsidRPr="00F5461C">
        <w:rPr>
          <w:lang w:val="es-ES_tradnl"/>
        </w:rPr>
        <w:tab/>
        <w:t>La Dirección de Asuntos Laborales utiliza múltiples estrategias para facilitar a empleadores y empleados un mayor conocimiento de los aspectos jurídicos, así como para el desarrollo de relaciones laborales armoniosas, por ejemplo, a través de la promoción de los derechos e intereses de los trabajadores mediante charlas (entre otras, sobre licencias de maternidad y matrimonio, derechos de las mujeres embarazadas y seguridad en el trabajo), aplicaciones móviles, WeChat, YouTube, televisión, radio y vídeos, infografías y folletos en distintos idiomas (chino tradicional, chino simplificado, portugués, inglés, indonesio y vietnamita). También se ofrece asesoramiento sobre la legislación laboral, una línea telefónica de asistencia las 24 horas del día (en mandarín, cantonés, portugués e inglés) y un sistema de consulta por correo electrónico.</w:t>
      </w:r>
    </w:p>
    <w:p w14:paraId="532644F8" w14:textId="77777777" w:rsidR="00F5461C" w:rsidRPr="00F5461C" w:rsidRDefault="006626AF" w:rsidP="006626AF">
      <w:pPr>
        <w:pStyle w:val="H23G"/>
        <w:rPr>
          <w:lang w:val="es-ES_tradnl"/>
        </w:rPr>
      </w:pPr>
      <w:r>
        <w:rPr>
          <w:lang w:val="es-ES_tradnl"/>
        </w:rPr>
        <w:tab/>
      </w:r>
      <w:r w:rsidR="00F5461C" w:rsidRPr="00F5461C">
        <w:rPr>
          <w:lang w:val="es-ES_tradnl"/>
        </w:rPr>
        <w:tab/>
        <w:t>Empleo, desempleo y subempleo</w:t>
      </w:r>
    </w:p>
    <w:p w14:paraId="7E30B861" w14:textId="77777777" w:rsidR="00F5461C" w:rsidRPr="00F5461C" w:rsidRDefault="00F5461C" w:rsidP="00F5461C">
      <w:pPr>
        <w:pStyle w:val="SingleTxtG"/>
        <w:rPr>
          <w:lang w:val="es-ES_tradnl"/>
        </w:rPr>
      </w:pPr>
      <w:r w:rsidRPr="00F5461C">
        <w:rPr>
          <w:lang w:val="es-ES_tradnl"/>
        </w:rPr>
        <w:t>50.</w:t>
      </w:r>
      <w:r w:rsidRPr="00F5461C">
        <w:rPr>
          <w:lang w:val="es-ES_tradnl"/>
        </w:rPr>
        <w:tab/>
        <w:t>Las tasas de participación en la fuerza de trabajo, desempleo y subempleo son las siguientes:</w:t>
      </w:r>
    </w:p>
    <w:tbl>
      <w:tblPr>
        <w:tblW w:w="8504"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26"/>
        <w:gridCol w:w="992"/>
        <w:gridCol w:w="850"/>
        <w:gridCol w:w="851"/>
        <w:gridCol w:w="992"/>
        <w:gridCol w:w="851"/>
        <w:gridCol w:w="850"/>
        <w:gridCol w:w="1027"/>
        <w:gridCol w:w="850"/>
        <w:gridCol w:w="815"/>
      </w:tblGrid>
      <w:tr w:rsidR="004A04F9" w:rsidRPr="00146AB4" w14:paraId="5D6152B4" w14:textId="77777777" w:rsidTr="004A04F9">
        <w:trPr>
          <w:cantSplit/>
          <w:trHeight w:val="240"/>
          <w:tblHeader/>
        </w:trPr>
        <w:tc>
          <w:tcPr>
            <w:tcW w:w="426" w:type="dxa"/>
            <w:vMerge w:val="restart"/>
            <w:tcBorders>
              <w:top w:val="single" w:sz="4" w:space="0" w:color="auto"/>
              <w:bottom w:val="single" w:sz="12" w:space="0" w:color="auto"/>
            </w:tcBorders>
            <w:shd w:val="clear" w:color="auto" w:fill="auto"/>
            <w:vAlign w:val="bottom"/>
          </w:tcPr>
          <w:p w14:paraId="2E1E5CB9" w14:textId="77777777" w:rsidR="00F5461C" w:rsidRPr="00F5461C" w:rsidRDefault="00F5461C" w:rsidP="00E7317F">
            <w:pPr>
              <w:pStyle w:val="SingleTxtG"/>
              <w:keepNext/>
              <w:keepLines/>
              <w:spacing w:before="80" w:after="80" w:line="200" w:lineRule="exact"/>
              <w:ind w:left="0" w:right="0"/>
              <w:jc w:val="left"/>
              <w:rPr>
                <w:i/>
                <w:sz w:val="16"/>
                <w:lang w:val="es-ES_tradnl"/>
              </w:rPr>
            </w:pPr>
            <w:r w:rsidRPr="00F5461C">
              <w:rPr>
                <w:i/>
                <w:iCs/>
                <w:sz w:val="16"/>
                <w:lang w:val="es-ES_tradnl"/>
              </w:rPr>
              <w:t>Años</w:t>
            </w:r>
          </w:p>
        </w:tc>
        <w:tc>
          <w:tcPr>
            <w:tcW w:w="2693" w:type="dxa"/>
            <w:gridSpan w:val="3"/>
            <w:tcBorders>
              <w:top w:val="single" w:sz="4" w:space="0" w:color="auto"/>
              <w:bottom w:val="single" w:sz="4" w:space="0" w:color="auto"/>
              <w:right w:val="single" w:sz="24" w:space="0" w:color="FFFFFF" w:themeColor="background1"/>
            </w:tcBorders>
            <w:shd w:val="clear" w:color="auto" w:fill="auto"/>
            <w:vAlign w:val="bottom"/>
          </w:tcPr>
          <w:p w14:paraId="5DD7E5DE" w14:textId="77777777" w:rsidR="00F5461C" w:rsidRPr="00F5461C" w:rsidRDefault="00F5461C" w:rsidP="00E7317F">
            <w:pPr>
              <w:pStyle w:val="SingleTxtG"/>
              <w:keepNext/>
              <w:keepLines/>
              <w:spacing w:before="80" w:after="80" w:line="200" w:lineRule="exact"/>
              <w:ind w:left="113" w:right="0"/>
              <w:jc w:val="center"/>
              <w:rPr>
                <w:i/>
                <w:sz w:val="16"/>
                <w:lang w:val="es-ES_tradnl"/>
              </w:rPr>
            </w:pPr>
            <w:r w:rsidRPr="00F5461C">
              <w:rPr>
                <w:i/>
                <w:iCs/>
                <w:sz w:val="16"/>
                <w:lang w:val="es-ES_tradnl"/>
              </w:rPr>
              <w:t>Participación en la fuerza de trabajo (porcentaje)</w:t>
            </w:r>
          </w:p>
        </w:tc>
        <w:tc>
          <w:tcPr>
            <w:tcW w:w="26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9A6C7C" w14:textId="77777777" w:rsidR="00F5461C" w:rsidRPr="00F5461C" w:rsidRDefault="00F5461C" w:rsidP="00E7317F">
            <w:pPr>
              <w:pStyle w:val="SingleTxtG"/>
              <w:keepNext/>
              <w:keepLines/>
              <w:spacing w:before="80" w:after="80" w:line="200" w:lineRule="exact"/>
              <w:ind w:left="113" w:right="0"/>
              <w:jc w:val="center"/>
              <w:rPr>
                <w:i/>
                <w:sz w:val="16"/>
                <w:lang w:val="es-ES_tradnl"/>
              </w:rPr>
            </w:pPr>
            <w:r w:rsidRPr="00F5461C">
              <w:rPr>
                <w:i/>
                <w:iCs/>
                <w:sz w:val="16"/>
                <w:lang w:val="es-ES_tradnl"/>
              </w:rPr>
              <w:t>Desempleo (porcentaje)</w:t>
            </w:r>
          </w:p>
        </w:tc>
        <w:tc>
          <w:tcPr>
            <w:tcW w:w="2692" w:type="dxa"/>
            <w:gridSpan w:val="3"/>
            <w:tcBorders>
              <w:top w:val="single" w:sz="4" w:space="0" w:color="auto"/>
              <w:left w:val="single" w:sz="24" w:space="0" w:color="FFFFFF" w:themeColor="background1"/>
              <w:bottom w:val="single" w:sz="4" w:space="0" w:color="auto"/>
            </w:tcBorders>
            <w:shd w:val="clear" w:color="auto" w:fill="auto"/>
            <w:vAlign w:val="bottom"/>
          </w:tcPr>
          <w:p w14:paraId="4540AE08" w14:textId="77777777" w:rsidR="00F5461C" w:rsidRPr="00F5461C" w:rsidRDefault="00F5461C" w:rsidP="00E7317F">
            <w:pPr>
              <w:pStyle w:val="SingleTxtG"/>
              <w:keepNext/>
              <w:keepLines/>
              <w:spacing w:before="80" w:after="80" w:line="200" w:lineRule="exact"/>
              <w:ind w:left="113" w:right="0"/>
              <w:jc w:val="center"/>
              <w:rPr>
                <w:i/>
                <w:sz w:val="16"/>
                <w:lang w:val="es-ES_tradnl"/>
              </w:rPr>
            </w:pPr>
            <w:r w:rsidRPr="00F5461C">
              <w:rPr>
                <w:i/>
                <w:iCs/>
                <w:sz w:val="16"/>
                <w:lang w:val="es-ES_tradnl"/>
              </w:rPr>
              <w:t>Tasa de subempleo (porcentaje)</w:t>
            </w:r>
          </w:p>
        </w:tc>
      </w:tr>
      <w:tr w:rsidR="004A04F9" w:rsidRPr="00146AB4" w14:paraId="76C03DE9" w14:textId="77777777" w:rsidTr="004A04F9">
        <w:trPr>
          <w:cantSplit/>
          <w:trHeight w:val="240"/>
          <w:tblHeader/>
        </w:trPr>
        <w:tc>
          <w:tcPr>
            <w:tcW w:w="426" w:type="dxa"/>
            <w:vMerge/>
            <w:tcBorders>
              <w:top w:val="single" w:sz="12" w:space="0" w:color="auto"/>
              <w:bottom w:val="single" w:sz="12" w:space="0" w:color="auto"/>
            </w:tcBorders>
            <w:shd w:val="clear" w:color="auto" w:fill="auto"/>
            <w:vAlign w:val="bottom"/>
          </w:tcPr>
          <w:p w14:paraId="79AEAF82" w14:textId="77777777" w:rsidR="00F5461C" w:rsidRPr="00F5461C" w:rsidRDefault="00F5461C" w:rsidP="00E7317F">
            <w:pPr>
              <w:pStyle w:val="SingleTxtG"/>
              <w:keepNext/>
              <w:keepLines/>
              <w:spacing w:before="40" w:after="40" w:line="220" w:lineRule="exact"/>
              <w:ind w:left="0" w:right="0"/>
              <w:jc w:val="left"/>
              <w:rPr>
                <w:sz w:val="18"/>
                <w:lang w:val="es-ES_tradnl"/>
              </w:rPr>
            </w:pPr>
          </w:p>
        </w:tc>
        <w:tc>
          <w:tcPr>
            <w:tcW w:w="992" w:type="dxa"/>
            <w:tcBorders>
              <w:top w:val="single" w:sz="4" w:space="0" w:color="auto"/>
              <w:bottom w:val="single" w:sz="12" w:space="0" w:color="auto"/>
            </w:tcBorders>
            <w:shd w:val="clear" w:color="auto" w:fill="auto"/>
            <w:vAlign w:val="bottom"/>
          </w:tcPr>
          <w:p w14:paraId="3D90128D"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 y mujeres</w:t>
            </w:r>
          </w:p>
        </w:tc>
        <w:tc>
          <w:tcPr>
            <w:tcW w:w="850" w:type="dxa"/>
            <w:tcBorders>
              <w:top w:val="single" w:sz="4" w:space="0" w:color="auto"/>
              <w:bottom w:val="single" w:sz="12" w:space="0" w:color="auto"/>
            </w:tcBorders>
            <w:shd w:val="clear" w:color="auto" w:fill="auto"/>
            <w:vAlign w:val="bottom"/>
          </w:tcPr>
          <w:p w14:paraId="5B247CAB"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21CF96F9"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Mujeres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33DF82AF"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 y mujeres</w:t>
            </w:r>
          </w:p>
        </w:tc>
        <w:tc>
          <w:tcPr>
            <w:tcW w:w="851" w:type="dxa"/>
            <w:tcBorders>
              <w:top w:val="single" w:sz="4" w:space="0" w:color="auto"/>
              <w:bottom w:val="single" w:sz="12" w:space="0" w:color="auto"/>
            </w:tcBorders>
            <w:shd w:val="clear" w:color="auto" w:fill="auto"/>
            <w:vAlign w:val="bottom"/>
          </w:tcPr>
          <w:p w14:paraId="20A53E34"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7E50276E"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Mujeres</w:t>
            </w:r>
          </w:p>
        </w:tc>
        <w:tc>
          <w:tcPr>
            <w:tcW w:w="1027" w:type="dxa"/>
            <w:tcBorders>
              <w:top w:val="single" w:sz="4" w:space="0" w:color="auto"/>
              <w:left w:val="single" w:sz="24" w:space="0" w:color="FFFFFF" w:themeColor="background1"/>
              <w:bottom w:val="single" w:sz="12" w:space="0" w:color="auto"/>
            </w:tcBorders>
            <w:shd w:val="clear" w:color="auto" w:fill="auto"/>
            <w:vAlign w:val="bottom"/>
          </w:tcPr>
          <w:p w14:paraId="64059F4B"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 y mujeres</w:t>
            </w:r>
          </w:p>
        </w:tc>
        <w:tc>
          <w:tcPr>
            <w:tcW w:w="850" w:type="dxa"/>
            <w:tcBorders>
              <w:top w:val="single" w:sz="4" w:space="0" w:color="auto"/>
              <w:bottom w:val="single" w:sz="12" w:space="0" w:color="auto"/>
            </w:tcBorders>
            <w:shd w:val="clear" w:color="auto" w:fill="auto"/>
            <w:vAlign w:val="bottom"/>
          </w:tcPr>
          <w:p w14:paraId="46BCF5A9"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w:t>
            </w:r>
          </w:p>
        </w:tc>
        <w:tc>
          <w:tcPr>
            <w:tcW w:w="815" w:type="dxa"/>
            <w:tcBorders>
              <w:top w:val="single" w:sz="4" w:space="0" w:color="auto"/>
              <w:bottom w:val="single" w:sz="12" w:space="0" w:color="auto"/>
            </w:tcBorders>
            <w:shd w:val="clear" w:color="auto" w:fill="auto"/>
            <w:vAlign w:val="bottom"/>
          </w:tcPr>
          <w:p w14:paraId="5A292012"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Mujeres</w:t>
            </w:r>
          </w:p>
        </w:tc>
      </w:tr>
      <w:tr w:rsidR="004A04F9" w:rsidRPr="00146AB4" w14:paraId="48D3F4C4" w14:textId="77777777" w:rsidTr="004A04F9">
        <w:trPr>
          <w:cantSplit/>
          <w:trHeight w:val="240"/>
        </w:trPr>
        <w:tc>
          <w:tcPr>
            <w:tcW w:w="426" w:type="dxa"/>
            <w:tcBorders>
              <w:top w:val="single" w:sz="12" w:space="0" w:color="auto"/>
            </w:tcBorders>
            <w:shd w:val="clear" w:color="auto" w:fill="auto"/>
          </w:tcPr>
          <w:p w14:paraId="4813F8A6"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2014</w:t>
            </w:r>
          </w:p>
        </w:tc>
        <w:tc>
          <w:tcPr>
            <w:tcW w:w="992" w:type="dxa"/>
            <w:tcBorders>
              <w:top w:val="single" w:sz="12" w:space="0" w:color="auto"/>
            </w:tcBorders>
            <w:shd w:val="clear" w:color="auto" w:fill="auto"/>
            <w:vAlign w:val="bottom"/>
          </w:tcPr>
          <w:p w14:paraId="4136CC7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73,8</w:t>
            </w:r>
          </w:p>
        </w:tc>
        <w:tc>
          <w:tcPr>
            <w:tcW w:w="850" w:type="dxa"/>
            <w:tcBorders>
              <w:top w:val="single" w:sz="12" w:space="0" w:color="auto"/>
            </w:tcBorders>
            <w:shd w:val="clear" w:color="auto" w:fill="auto"/>
            <w:vAlign w:val="bottom"/>
          </w:tcPr>
          <w:p w14:paraId="6E4E30F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79,9</w:t>
            </w:r>
          </w:p>
        </w:tc>
        <w:tc>
          <w:tcPr>
            <w:tcW w:w="851" w:type="dxa"/>
            <w:tcBorders>
              <w:top w:val="single" w:sz="12" w:space="0" w:color="auto"/>
            </w:tcBorders>
            <w:shd w:val="clear" w:color="auto" w:fill="auto"/>
            <w:vAlign w:val="bottom"/>
          </w:tcPr>
          <w:p w14:paraId="48B86D3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68,1</w:t>
            </w:r>
          </w:p>
        </w:tc>
        <w:tc>
          <w:tcPr>
            <w:tcW w:w="992" w:type="dxa"/>
            <w:tcBorders>
              <w:top w:val="single" w:sz="12" w:space="0" w:color="auto"/>
            </w:tcBorders>
            <w:shd w:val="clear" w:color="auto" w:fill="auto"/>
            <w:vAlign w:val="bottom"/>
          </w:tcPr>
          <w:p w14:paraId="66436EF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w:t>
            </w:r>
          </w:p>
        </w:tc>
        <w:tc>
          <w:tcPr>
            <w:tcW w:w="851" w:type="dxa"/>
            <w:tcBorders>
              <w:top w:val="single" w:sz="12" w:space="0" w:color="auto"/>
            </w:tcBorders>
            <w:shd w:val="clear" w:color="auto" w:fill="auto"/>
            <w:vAlign w:val="bottom"/>
          </w:tcPr>
          <w:p w14:paraId="4405B1B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w:t>
            </w:r>
          </w:p>
        </w:tc>
        <w:tc>
          <w:tcPr>
            <w:tcW w:w="850" w:type="dxa"/>
            <w:tcBorders>
              <w:top w:val="single" w:sz="12" w:space="0" w:color="auto"/>
            </w:tcBorders>
            <w:shd w:val="clear" w:color="auto" w:fill="auto"/>
            <w:vAlign w:val="bottom"/>
          </w:tcPr>
          <w:p w14:paraId="29803A4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w:t>
            </w:r>
          </w:p>
        </w:tc>
        <w:tc>
          <w:tcPr>
            <w:tcW w:w="1027" w:type="dxa"/>
            <w:tcBorders>
              <w:top w:val="single" w:sz="12" w:space="0" w:color="auto"/>
            </w:tcBorders>
            <w:shd w:val="clear" w:color="auto" w:fill="auto"/>
            <w:vAlign w:val="bottom"/>
          </w:tcPr>
          <w:p w14:paraId="3747E25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0,4</w:t>
            </w:r>
          </w:p>
        </w:tc>
        <w:tc>
          <w:tcPr>
            <w:tcW w:w="850" w:type="dxa"/>
            <w:tcBorders>
              <w:top w:val="single" w:sz="12" w:space="0" w:color="auto"/>
            </w:tcBorders>
            <w:shd w:val="clear" w:color="auto" w:fill="auto"/>
            <w:vAlign w:val="bottom"/>
          </w:tcPr>
          <w:p w14:paraId="5BC256A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0,6</w:t>
            </w:r>
          </w:p>
        </w:tc>
        <w:tc>
          <w:tcPr>
            <w:tcW w:w="815" w:type="dxa"/>
            <w:tcBorders>
              <w:top w:val="single" w:sz="12" w:space="0" w:color="auto"/>
            </w:tcBorders>
            <w:shd w:val="clear" w:color="auto" w:fill="auto"/>
            <w:vAlign w:val="bottom"/>
          </w:tcPr>
          <w:p w14:paraId="49832FF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0,1</w:t>
            </w:r>
          </w:p>
        </w:tc>
      </w:tr>
      <w:tr w:rsidR="004A04F9" w:rsidRPr="00146AB4" w14:paraId="43EA1838" w14:textId="77777777" w:rsidTr="004A04F9">
        <w:trPr>
          <w:cantSplit/>
          <w:trHeight w:val="240"/>
        </w:trPr>
        <w:tc>
          <w:tcPr>
            <w:tcW w:w="426" w:type="dxa"/>
            <w:shd w:val="clear" w:color="auto" w:fill="auto"/>
          </w:tcPr>
          <w:p w14:paraId="0661DB79"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2015</w:t>
            </w:r>
          </w:p>
        </w:tc>
        <w:tc>
          <w:tcPr>
            <w:tcW w:w="992" w:type="dxa"/>
            <w:shd w:val="clear" w:color="auto" w:fill="auto"/>
            <w:vAlign w:val="bottom"/>
          </w:tcPr>
          <w:p w14:paraId="732D636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73,7</w:t>
            </w:r>
          </w:p>
        </w:tc>
        <w:tc>
          <w:tcPr>
            <w:tcW w:w="850" w:type="dxa"/>
            <w:shd w:val="clear" w:color="auto" w:fill="auto"/>
            <w:vAlign w:val="bottom"/>
          </w:tcPr>
          <w:p w14:paraId="2F4A89C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79,6</w:t>
            </w:r>
          </w:p>
        </w:tc>
        <w:tc>
          <w:tcPr>
            <w:tcW w:w="851" w:type="dxa"/>
            <w:shd w:val="clear" w:color="auto" w:fill="auto"/>
            <w:vAlign w:val="bottom"/>
          </w:tcPr>
          <w:p w14:paraId="5995908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68,0</w:t>
            </w:r>
          </w:p>
        </w:tc>
        <w:tc>
          <w:tcPr>
            <w:tcW w:w="992" w:type="dxa"/>
            <w:shd w:val="clear" w:color="auto" w:fill="auto"/>
            <w:vAlign w:val="bottom"/>
          </w:tcPr>
          <w:p w14:paraId="59D786E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w:t>
            </w:r>
          </w:p>
        </w:tc>
        <w:tc>
          <w:tcPr>
            <w:tcW w:w="851" w:type="dxa"/>
            <w:shd w:val="clear" w:color="auto" w:fill="auto"/>
            <w:vAlign w:val="bottom"/>
          </w:tcPr>
          <w:p w14:paraId="3C602F2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2,0</w:t>
            </w:r>
          </w:p>
        </w:tc>
        <w:tc>
          <w:tcPr>
            <w:tcW w:w="850" w:type="dxa"/>
            <w:shd w:val="clear" w:color="auto" w:fill="auto"/>
            <w:vAlign w:val="bottom"/>
          </w:tcPr>
          <w:p w14:paraId="50FDCB1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w:t>
            </w:r>
          </w:p>
        </w:tc>
        <w:tc>
          <w:tcPr>
            <w:tcW w:w="1027" w:type="dxa"/>
            <w:shd w:val="clear" w:color="auto" w:fill="auto"/>
            <w:vAlign w:val="bottom"/>
          </w:tcPr>
          <w:p w14:paraId="336484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0,4</w:t>
            </w:r>
          </w:p>
        </w:tc>
        <w:tc>
          <w:tcPr>
            <w:tcW w:w="850" w:type="dxa"/>
            <w:shd w:val="clear" w:color="auto" w:fill="auto"/>
            <w:vAlign w:val="bottom"/>
          </w:tcPr>
          <w:p w14:paraId="324C369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0,6</w:t>
            </w:r>
          </w:p>
        </w:tc>
        <w:tc>
          <w:tcPr>
            <w:tcW w:w="815" w:type="dxa"/>
            <w:shd w:val="clear" w:color="auto" w:fill="auto"/>
            <w:vAlign w:val="bottom"/>
          </w:tcPr>
          <w:p w14:paraId="30D7051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0,1</w:t>
            </w:r>
          </w:p>
        </w:tc>
      </w:tr>
      <w:tr w:rsidR="004A04F9" w:rsidRPr="00146AB4" w14:paraId="186FC871" w14:textId="77777777" w:rsidTr="004A04F9">
        <w:trPr>
          <w:cantSplit/>
          <w:trHeight w:val="240"/>
        </w:trPr>
        <w:tc>
          <w:tcPr>
            <w:tcW w:w="426" w:type="dxa"/>
            <w:shd w:val="clear" w:color="auto" w:fill="auto"/>
          </w:tcPr>
          <w:p w14:paraId="06AFFB48"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2016</w:t>
            </w:r>
          </w:p>
        </w:tc>
        <w:tc>
          <w:tcPr>
            <w:tcW w:w="992" w:type="dxa"/>
            <w:shd w:val="clear" w:color="auto" w:fill="auto"/>
            <w:vAlign w:val="bottom"/>
          </w:tcPr>
          <w:p w14:paraId="2847B1F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72,3</w:t>
            </w:r>
          </w:p>
        </w:tc>
        <w:tc>
          <w:tcPr>
            <w:tcW w:w="850" w:type="dxa"/>
            <w:shd w:val="clear" w:color="auto" w:fill="auto"/>
            <w:vAlign w:val="bottom"/>
          </w:tcPr>
          <w:p w14:paraId="6182AB5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77,8</w:t>
            </w:r>
          </w:p>
        </w:tc>
        <w:tc>
          <w:tcPr>
            <w:tcW w:w="851" w:type="dxa"/>
            <w:shd w:val="clear" w:color="auto" w:fill="auto"/>
            <w:vAlign w:val="bottom"/>
          </w:tcPr>
          <w:p w14:paraId="6CF4104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67,2</w:t>
            </w:r>
          </w:p>
        </w:tc>
        <w:tc>
          <w:tcPr>
            <w:tcW w:w="992" w:type="dxa"/>
            <w:shd w:val="clear" w:color="auto" w:fill="auto"/>
            <w:vAlign w:val="bottom"/>
          </w:tcPr>
          <w:p w14:paraId="6A22692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w:t>
            </w:r>
          </w:p>
        </w:tc>
        <w:tc>
          <w:tcPr>
            <w:tcW w:w="851" w:type="dxa"/>
            <w:shd w:val="clear" w:color="auto" w:fill="auto"/>
            <w:vAlign w:val="bottom"/>
          </w:tcPr>
          <w:p w14:paraId="4529283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w:t>
            </w:r>
          </w:p>
        </w:tc>
        <w:tc>
          <w:tcPr>
            <w:tcW w:w="850" w:type="dxa"/>
            <w:shd w:val="clear" w:color="auto" w:fill="auto"/>
            <w:vAlign w:val="bottom"/>
          </w:tcPr>
          <w:p w14:paraId="56F92D3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1027" w:type="dxa"/>
            <w:shd w:val="clear" w:color="auto" w:fill="auto"/>
            <w:vAlign w:val="bottom"/>
          </w:tcPr>
          <w:p w14:paraId="304838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0,5</w:t>
            </w:r>
          </w:p>
        </w:tc>
        <w:tc>
          <w:tcPr>
            <w:tcW w:w="850" w:type="dxa"/>
            <w:shd w:val="clear" w:color="auto" w:fill="auto"/>
            <w:vAlign w:val="bottom"/>
          </w:tcPr>
          <w:p w14:paraId="5DBC9A7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0,9</w:t>
            </w:r>
          </w:p>
        </w:tc>
        <w:tc>
          <w:tcPr>
            <w:tcW w:w="815" w:type="dxa"/>
            <w:shd w:val="clear" w:color="auto" w:fill="auto"/>
            <w:vAlign w:val="bottom"/>
          </w:tcPr>
          <w:p w14:paraId="277D995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0,2</w:t>
            </w:r>
          </w:p>
        </w:tc>
      </w:tr>
      <w:tr w:rsidR="004A04F9" w:rsidRPr="00146AB4" w14:paraId="2FC16E79" w14:textId="77777777" w:rsidTr="004A04F9">
        <w:trPr>
          <w:cantSplit/>
          <w:trHeight w:val="240"/>
        </w:trPr>
        <w:tc>
          <w:tcPr>
            <w:tcW w:w="426" w:type="dxa"/>
            <w:tcBorders>
              <w:bottom w:val="single" w:sz="12" w:space="0" w:color="auto"/>
            </w:tcBorders>
            <w:shd w:val="clear" w:color="auto" w:fill="auto"/>
          </w:tcPr>
          <w:p w14:paraId="13694EE0"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2017</w:t>
            </w:r>
          </w:p>
        </w:tc>
        <w:tc>
          <w:tcPr>
            <w:tcW w:w="992" w:type="dxa"/>
            <w:tcBorders>
              <w:bottom w:val="single" w:sz="12" w:space="0" w:color="auto"/>
            </w:tcBorders>
            <w:shd w:val="clear" w:color="auto" w:fill="auto"/>
            <w:vAlign w:val="bottom"/>
          </w:tcPr>
          <w:p w14:paraId="4A03A73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70,8</w:t>
            </w:r>
          </w:p>
        </w:tc>
        <w:tc>
          <w:tcPr>
            <w:tcW w:w="850" w:type="dxa"/>
            <w:tcBorders>
              <w:bottom w:val="single" w:sz="12" w:space="0" w:color="auto"/>
            </w:tcBorders>
            <w:shd w:val="clear" w:color="auto" w:fill="auto"/>
            <w:vAlign w:val="bottom"/>
          </w:tcPr>
          <w:p w14:paraId="0932B98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76,0</w:t>
            </w:r>
          </w:p>
        </w:tc>
        <w:tc>
          <w:tcPr>
            <w:tcW w:w="851" w:type="dxa"/>
            <w:tcBorders>
              <w:bottom w:val="single" w:sz="12" w:space="0" w:color="auto"/>
            </w:tcBorders>
            <w:shd w:val="clear" w:color="auto" w:fill="auto"/>
            <w:vAlign w:val="bottom"/>
          </w:tcPr>
          <w:p w14:paraId="7A0453F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66,3</w:t>
            </w:r>
          </w:p>
        </w:tc>
        <w:tc>
          <w:tcPr>
            <w:tcW w:w="992" w:type="dxa"/>
            <w:tcBorders>
              <w:bottom w:val="single" w:sz="12" w:space="0" w:color="auto"/>
            </w:tcBorders>
            <w:shd w:val="clear" w:color="auto" w:fill="auto"/>
            <w:vAlign w:val="bottom"/>
          </w:tcPr>
          <w:p w14:paraId="1317435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2,0</w:t>
            </w:r>
          </w:p>
        </w:tc>
        <w:tc>
          <w:tcPr>
            <w:tcW w:w="851" w:type="dxa"/>
            <w:tcBorders>
              <w:bottom w:val="single" w:sz="12" w:space="0" w:color="auto"/>
            </w:tcBorders>
            <w:shd w:val="clear" w:color="auto" w:fill="auto"/>
            <w:vAlign w:val="bottom"/>
          </w:tcPr>
          <w:p w14:paraId="7E7E40A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850" w:type="dxa"/>
            <w:tcBorders>
              <w:bottom w:val="single" w:sz="12" w:space="0" w:color="auto"/>
            </w:tcBorders>
            <w:shd w:val="clear" w:color="auto" w:fill="auto"/>
            <w:vAlign w:val="bottom"/>
          </w:tcPr>
          <w:p w14:paraId="4C82684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w:t>
            </w:r>
          </w:p>
        </w:tc>
        <w:tc>
          <w:tcPr>
            <w:tcW w:w="1027" w:type="dxa"/>
            <w:tcBorders>
              <w:bottom w:val="single" w:sz="12" w:space="0" w:color="auto"/>
            </w:tcBorders>
            <w:shd w:val="clear" w:color="auto" w:fill="auto"/>
            <w:vAlign w:val="bottom"/>
          </w:tcPr>
          <w:p w14:paraId="41E68AE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0,4</w:t>
            </w:r>
          </w:p>
        </w:tc>
        <w:tc>
          <w:tcPr>
            <w:tcW w:w="850" w:type="dxa"/>
            <w:tcBorders>
              <w:bottom w:val="single" w:sz="12" w:space="0" w:color="auto"/>
            </w:tcBorders>
            <w:shd w:val="clear" w:color="auto" w:fill="auto"/>
            <w:vAlign w:val="bottom"/>
          </w:tcPr>
          <w:p w14:paraId="446BEBC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0,8</w:t>
            </w:r>
          </w:p>
        </w:tc>
        <w:tc>
          <w:tcPr>
            <w:tcW w:w="815" w:type="dxa"/>
            <w:tcBorders>
              <w:bottom w:val="single" w:sz="12" w:space="0" w:color="auto"/>
            </w:tcBorders>
            <w:shd w:val="clear" w:color="auto" w:fill="auto"/>
            <w:vAlign w:val="bottom"/>
          </w:tcPr>
          <w:p w14:paraId="7B420B8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0,1</w:t>
            </w:r>
          </w:p>
        </w:tc>
      </w:tr>
    </w:tbl>
    <w:p w14:paraId="2AB7DA6C" w14:textId="77777777" w:rsidR="00F5461C" w:rsidRPr="00F5461C" w:rsidRDefault="00F5461C" w:rsidP="00AE55C2">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Estadística y Censos y Dirección de Asuntos Laborales.</w:t>
      </w:r>
    </w:p>
    <w:p w14:paraId="6A431921" w14:textId="77777777" w:rsidR="00F5461C" w:rsidRPr="00F5461C" w:rsidRDefault="00F5461C" w:rsidP="00F5461C">
      <w:pPr>
        <w:pStyle w:val="SingleTxtG"/>
        <w:rPr>
          <w:lang w:val="es-ES_tradnl"/>
        </w:rPr>
      </w:pPr>
      <w:r w:rsidRPr="00F5461C">
        <w:rPr>
          <w:lang w:val="es-ES_tradnl"/>
        </w:rPr>
        <w:lastRenderedPageBreak/>
        <w:t>51.</w:t>
      </w:r>
      <w:r w:rsidRPr="00F5461C">
        <w:rPr>
          <w:lang w:val="es-ES_tradnl"/>
        </w:rPr>
        <w:tab/>
        <w:t>Para más información, véanse los cuadros de las páginas 66 a 82 del Anuario Estadístico de 2017.</w:t>
      </w:r>
    </w:p>
    <w:p w14:paraId="2B27F429" w14:textId="77777777" w:rsidR="00F5461C" w:rsidRPr="00F5461C" w:rsidRDefault="003D41E5" w:rsidP="003D41E5">
      <w:pPr>
        <w:pStyle w:val="H23G"/>
        <w:rPr>
          <w:lang w:val="es-ES_tradnl"/>
        </w:rPr>
      </w:pPr>
      <w:r>
        <w:rPr>
          <w:lang w:val="es-ES_tradnl"/>
        </w:rPr>
        <w:tab/>
      </w:r>
      <w:r w:rsidR="00F5461C" w:rsidRPr="00F5461C">
        <w:rPr>
          <w:lang w:val="es-ES_tradnl"/>
        </w:rPr>
        <w:tab/>
        <w:t xml:space="preserve">Trabajadores no residentes </w:t>
      </w:r>
    </w:p>
    <w:p w14:paraId="36CE9553" w14:textId="77777777" w:rsidR="00F5461C" w:rsidRPr="00F5461C" w:rsidRDefault="00F5461C" w:rsidP="00F5461C">
      <w:pPr>
        <w:pStyle w:val="SingleTxtG"/>
        <w:rPr>
          <w:lang w:val="es-ES_tradnl"/>
        </w:rPr>
      </w:pPr>
      <w:r w:rsidRPr="00F5461C">
        <w:rPr>
          <w:lang w:val="es-ES_tradnl"/>
        </w:rPr>
        <w:t>52.</w:t>
      </w:r>
      <w:r w:rsidRPr="00F5461C">
        <w:rPr>
          <w:lang w:val="es-ES_tradnl"/>
        </w:rPr>
        <w:tab/>
        <w:t xml:space="preserve">En lo que respecta al párrafo 56 de las observaciones finales, cabe destacar la Ley </w:t>
      </w:r>
      <w:r w:rsidR="00E27276">
        <w:rPr>
          <w:lang w:val="es-ES_tradnl"/>
        </w:rPr>
        <w:t>núm. </w:t>
      </w:r>
      <w:r w:rsidRPr="00F5461C">
        <w:rPr>
          <w:lang w:val="es-ES_tradnl"/>
        </w:rPr>
        <w:t xml:space="preserve">21/2009, de Empleo de Trabajadores No Residentes (modificada por la Ley </w:t>
      </w:r>
      <w:r w:rsidR="00E27276">
        <w:rPr>
          <w:lang w:val="es-ES_tradnl"/>
        </w:rPr>
        <w:t>núm. </w:t>
      </w:r>
      <w:r w:rsidRPr="00F5461C">
        <w:rPr>
          <w:lang w:val="es-ES_tradnl"/>
        </w:rPr>
        <w:t xml:space="preserve">4/2010 y la Ley </w:t>
      </w:r>
      <w:r w:rsidR="00E27276">
        <w:rPr>
          <w:lang w:val="es-ES_tradnl"/>
        </w:rPr>
        <w:t>núm. </w:t>
      </w:r>
      <w:r w:rsidRPr="00F5461C">
        <w:rPr>
          <w:lang w:val="es-ES_tradnl"/>
        </w:rPr>
        <w:t xml:space="preserve">4/2013), la Ley </w:t>
      </w:r>
      <w:r w:rsidR="00E27276">
        <w:rPr>
          <w:lang w:val="es-ES_tradnl"/>
        </w:rPr>
        <w:t>núm. </w:t>
      </w:r>
      <w:r w:rsidRPr="00F5461C">
        <w:rPr>
          <w:lang w:val="es-ES_tradnl"/>
        </w:rPr>
        <w:t xml:space="preserve">7/2008, la Ley </w:t>
      </w:r>
      <w:r w:rsidR="00E27276">
        <w:rPr>
          <w:lang w:val="es-ES_tradnl"/>
        </w:rPr>
        <w:t>núm. </w:t>
      </w:r>
      <w:r w:rsidRPr="00F5461C">
        <w:rPr>
          <w:lang w:val="es-ES_tradnl"/>
        </w:rPr>
        <w:t>4/98/M y otra legislación laboral pertinente.</w:t>
      </w:r>
    </w:p>
    <w:p w14:paraId="2E434F1F" w14:textId="77777777" w:rsidR="00F5461C" w:rsidRPr="00F5461C" w:rsidRDefault="00F5461C" w:rsidP="00F5461C">
      <w:pPr>
        <w:pStyle w:val="SingleTxtG"/>
        <w:rPr>
          <w:lang w:val="es-ES_tradnl"/>
        </w:rPr>
      </w:pPr>
      <w:r w:rsidRPr="00F5461C">
        <w:rPr>
          <w:lang w:val="es-ES_tradnl"/>
        </w:rPr>
        <w:t>53.</w:t>
      </w:r>
      <w:r w:rsidRPr="00F5461C">
        <w:rPr>
          <w:lang w:val="es-ES_tradnl"/>
        </w:rPr>
        <w:tab/>
        <w:t xml:space="preserve">Hay que subrayar que los trabajadores no residentes gozan de las mismas condiciones, derechos, obligaciones y garantías laborales que los trabajadores residentes, de conformidad con lo dispuesto en el </w:t>
      </w:r>
      <w:r w:rsidR="00722610">
        <w:rPr>
          <w:lang w:val="es-ES_tradnl"/>
        </w:rPr>
        <w:t>artículo </w:t>
      </w:r>
      <w:r w:rsidRPr="00F5461C">
        <w:rPr>
          <w:lang w:val="es-ES_tradnl"/>
        </w:rPr>
        <w:t xml:space="preserve">20 de la Ley </w:t>
      </w:r>
      <w:r w:rsidR="00E27276">
        <w:rPr>
          <w:lang w:val="es-ES_tradnl"/>
        </w:rPr>
        <w:t>núm. </w:t>
      </w:r>
      <w:r w:rsidRPr="00F5461C">
        <w:rPr>
          <w:lang w:val="es-ES_tradnl"/>
        </w:rPr>
        <w:t xml:space="preserve">21/2009 (leída </w:t>
      </w:r>
      <w:proofErr w:type="gramStart"/>
      <w:r w:rsidRPr="00F5461C">
        <w:rPr>
          <w:lang w:val="es-ES_tradnl"/>
        </w:rPr>
        <w:t>conjuntamente con</w:t>
      </w:r>
      <w:proofErr w:type="gramEnd"/>
      <w:r w:rsidRPr="00F5461C">
        <w:rPr>
          <w:lang w:val="es-ES_tradnl"/>
        </w:rPr>
        <w:t xml:space="preserve"> la Ley </w:t>
      </w:r>
      <w:r w:rsidR="00E27276">
        <w:rPr>
          <w:lang w:val="es-ES_tradnl"/>
        </w:rPr>
        <w:t>núm. </w:t>
      </w:r>
      <w:r w:rsidRPr="00F5461C">
        <w:rPr>
          <w:lang w:val="es-ES_tradnl"/>
        </w:rPr>
        <w:t xml:space="preserve">7/2008). Asimismo, los principios de igualdad y no discriminación quedan específicamente establecidos en el </w:t>
      </w:r>
      <w:r w:rsidR="00722610">
        <w:rPr>
          <w:lang w:val="es-ES_tradnl"/>
        </w:rPr>
        <w:t>artículo </w:t>
      </w:r>
      <w:r w:rsidRPr="00F5461C">
        <w:rPr>
          <w:lang w:val="es-ES_tradnl"/>
        </w:rPr>
        <w:t xml:space="preserve">6, párrafo 2, de la Ley </w:t>
      </w:r>
      <w:r w:rsidR="00E27276">
        <w:rPr>
          <w:lang w:val="es-ES_tradnl"/>
        </w:rPr>
        <w:t>núm. </w:t>
      </w:r>
      <w:r w:rsidRPr="00F5461C">
        <w:rPr>
          <w:lang w:val="es-ES_tradnl"/>
        </w:rPr>
        <w:t>7/2008. Todo empleador que infrinja esos principios será sancionado con una multa de entre 20.000 y 50.000 patacas de Macao por cada trabajador afectado por la contravención (</w:t>
      </w:r>
      <w:r w:rsidR="00722610">
        <w:rPr>
          <w:lang w:val="es-ES_tradnl"/>
        </w:rPr>
        <w:t>artículo </w:t>
      </w:r>
      <w:r w:rsidRPr="00F5461C">
        <w:rPr>
          <w:lang w:val="es-ES_tradnl"/>
        </w:rPr>
        <w:t xml:space="preserve">85, párrafo 1, i) de la Ley </w:t>
      </w:r>
      <w:r w:rsidR="00E27276">
        <w:rPr>
          <w:lang w:val="es-ES_tradnl"/>
        </w:rPr>
        <w:t>núm. </w:t>
      </w:r>
      <w:r w:rsidRPr="00F5461C">
        <w:rPr>
          <w:lang w:val="es-ES_tradnl"/>
        </w:rPr>
        <w:t>7/2008).</w:t>
      </w:r>
    </w:p>
    <w:p w14:paraId="673F140D" w14:textId="77777777" w:rsidR="00F5461C" w:rsidRPr="00F5461C" w:rsidRDefault="00F5461C" w:rsidP="00F5461C">
      <w:pPr>
        <w:pStyle w:val="SingleTxtG"/>
        <w:rPr>
          <w:lang w:val="es-ES_tradnl"/>
        </w:rPr>
      </w:pPr>
      <w:r w:rsidRPr="00F5461C">
        <w:rPr>
          <w:lang w:val="es-ES_tradnl"/>
        </w:rPr>
        <w:t>54.</w:t>
      </w:r>
      <w:r w:rsidRPr="00F5461C">
        <w:rPr>
          <w:lang w:val="es-ES_tradnl"/>
        </w:rPr>
        <w:tab/>
        <w:t xml:space="preserve">También es importante tener en cuenta que la política laboral local relativa a las personas no residentes se basa en dos premisas: i) garantizar y dar prioridad al empleo de los residentes (salvo cuando los recursos humanos locales carezcan de conocimientos especializados o sean insuficientes) y </w:t>
      </w:r>
      <w:proofErr w:type="spellStart"/>
      <w:r w:rsidRPr="00F5461C">
        <w:rPr>
          <w:lang w:val="es-ES_tradnl"/>
        </w:rPr>
        <w:t>ii</w:t>
      </w:r>
      <w:proofErr w:type="spellEnd"/>
      <w:r w:rsidRPr="00F5461C">
        <w:rPr>
          <w:lang w:val="es-ES_tradnl"/>
        </w:rPr>
        <w:t xml:space="preserve">) asegurar un trato no discriminatorio. </w:t>
      </w:r>
    </w:p>
    <w:p w14:paraId="79F134F9" w14:textId="77777777" w:rsidR="00F5461C" w:rsidRPr="00F5461C" w:rsidRDefault="003D41E5" w:rsidP="003D41E5">
      <w:pPr>
        <w:pStyle w:val="H23G"/>
        <w:rPr>
          <w:lang w:val="es-ES_tradnl"/>
        </w:rPr>
      </w:pPr>
      <w:r>
        <w:rPr>
          <w:lang w:val="es-ES_tradnl"/>
        </w:rPr>
        <w:tab/>
      </w:r>
      <w:r w:rsidR="00F5461C" w:rsidRPr="00F5461C">
        <w:rPr>
          <w:lang w:val="es-ES_tradnl"/>
        </w:rPr>
        <w:tab/>
        <w:t>Trabajadores no residentes por lugar de origen</w:t>
      </w:r>
    </w:p>
    <w:tbl>
      <w:tblPr>
        <w:tblW w:w="7370" w:type="dxa"/>
        <w:tblInd w:w="1134" w:type="dxa"/>
        <w:tblBorders>
          <w:top w:val="single" w:sz="4" w:space="0" w:color="FFFFFF" w:themeColor="background1"/>
        </w:tblBorders>
        <w:tblCellMar>
          <w:left w:w="0" w:type="dxa"/>
          <w:right w:w="0" w:type="dxa"/>
        </w:tblCellMar>
        <w:tblLook w:val="01E0" w:firstRow="1" w:lastRow="1" w:firstColumn="1" w:lastColumn="1" w:noHBand="0" w:noVBand="0"/>
      </w:tblPr>
      <w:tblGrid>
        <w:gridCol w:w="1292"/>
        <w:gridCol w:w="1214"/>
        <w:gridCol w:w="1215"/>
        <w:gridCol w:w="1216"/>
        <w:gridCol w:w="1215"/>
        <w:gridCol w:w="1218"/>
      </w:tblGrid>
      <w:tr w:rsidR="00085670" w:rsidRPr="00085670" w14:paraId="169541D9" w14:textId="77777777" w:rsidTr="00085670">
        <w:trPr>
          <w:cantSplit/>
          <w:trHeight w:val="240"/>
          <w:tblHeader/>
        </w:trPr>
        <w:tc>
          <w:tcPr>
            <w:tcW w:w="877" w:type="pct"/>
            <w:tcBorders>
              <w:top w:val="single" w:sz="4" w:space="0" w:color="auto"/>
              <w:bottom w:val="single" w:sz="12" w:space="0" w:color="auto"/>
            </w:tcBorders>
            <w:shd w:val="clear" w:color="auto" w:fill="auto"/>
            <w:vAlign w:val="bottom"/>
          </w:tcPr>
          <w:p w14:paraId="358A3722" w14:textId="77777777" w:rsidR="00F5461C" w:rsidRPr="00F5461C" w:rsidRDefault="00F5461C" w:rsidP="00085670">
            <w:pPr>
              <w:pStyle w:val="SingleTxtG"/>
              <w:spacing w:before="80" w:after="80" w:line="200" w:lineRule="exact"/>
              <w:ind w:left="0" w:right="0"/>
              <w:jc w:val="left"/>
              <w:rPr>
                <w:i/>
                <w:sz w:val="16"/>
                <w:lang w:val="es-ES_tradnl"/>
              </w:rPr>
            </w:pPr>
            <w:r w:rsidRPr="00F5461C">
              <w:rPr>
                <w:i/>
                <w:iCs/>
                <w:sz w:val="16"/>
                <w:lang w:val="es-ES_tradnl"/>
              </w:rPr>
              <w:t>Origen</w:t>
            </w:r>
          </w:p>
        </w:tc>
        <w:tc>
          <w:tcPr>
            <w:tcW w:w="824" w:type="pct"/>
            <w:tcBorders>
              <w:top w:val="single" w:sz="4" w:space="0" w:color="auto"/>
              <w:bottom w:val="single" w:sz="12" w:space="0" w:color="auto"/>
            </w:tcBorders>
            <w:shd w:val="clear" w:color="auto" w:fill="auto"/>
            <w:vAlign w:val="bottom"/>
          </w:tcPr>
          <w:p w14:paraId="1271E4CD"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824" w:type="pct"/>
            <w:tcBorders>
              <w:top w:val="single" w:sz="4" w:space="0" w:color="auto"/>
              <w:bottom w:val="single" w:sz="12" w:space="0" w:color="auto"/>
            </w:tcBorders>
            <w:shd w:val="clear" w:color="auto" w:fill="auto"/>
            <w:vAlign w:val="bottom"/>
          </w:tcPr>
          <w:p w14:paraId="366350F5"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825" w:type="pct"/>
            <w:tcBorders>
              <w:top w:val="single" w:sz="4" w:space="0" w:color="auto"/>
              <w:bottom w:val="single" w:sz="12" w:space="0" w:color="auto"/>
            </w:tcBorders>
            <w:shd w:val="clear" w:color="auto" w:fill="auto"/>
            <w:vAlign w:val="bottom"/>
          </w:tcPr>
          <w:p w14:paraId="1B25A198"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824" w:type="pct"/>
            <w:tcBorders>
              <w:top w:val="single" w:sz="4" w:space="0" w:color="auto"/>
              <w:bottom w:val="single" w:sz="12" w:space="0" w:color="auto"/>
            </w:tcBorders>
            <w:shd w:val="clear" w:color="auto" w:fill="auto"/>
            <w:vAlign w:val="bottom"/>
          </w:tcPr>
          <w:p w14:paraId="0DB50EDA"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826" w:type="pct"/>
            <w:tcBorders>
              <w:top w:val="single" w:sz="4" w:space="0" w:color="auto"/>
              <w:bottom w:val="single" w:sz="12" w:space="0" w:color="auto"/>
            </w:tcBorders>
            <w:shd w:val="clear" w:color="auto" w:fill="auto"/>
            <w:vAlign w:val="bottom"/>
          </w:tcPr>
          <w:p w14:paraId="7607715F" w14:textId="77777777" w:rsidR="00F5461C" w:rsidRPr="00F5461C" w:rsidRDefault="00A87771" w:rsidP="00E27276">
            <w:pPr>
              <w:pStyle w:val="SingleTxtG"/>
              <w:spacing w:before="80" w:after="80" w:line="200" w:lineRule="exact"/>
              <w:ind w:left="113" w:right="11"/>
              <w:jc w:val="right"/>
              <w:rPr>
                <w:i/>
                <w:sz w:val="16"/>
                <w:lang w:val="es-ES_tradnl"/>
              </w:rPr>
            </w:pPr>
            <w:r>
              <w:rPr>
                <w:i/>
                <w:iCs/>
                <w:sz w:val="16"/>
                <w:lang w:val="es-ES_tradnl"/>
              </w:rPr>
              <w:t>Septiembre de </w:t>
            </w:r>
            <w:r w:rsidR="00F5461C" w:rsidRPr="00F5461C">
              <w:rPr>
                <w:i/>
                <w:iCs/>
                <w:sz w:val="16"/>
                <w:lang w:val="es-ES_tradnl"/>
              </w:rPr>
              <w:t>2018</w:t>
            </w:r>
          </w:p>
        </w:tc>
      </w:tr>
      <w:tr w:rsidR="00085670" w:rsidRPr="00F5461C" w14:paraId="2A6BF48A" w14:textId="77777777" w:rsidTr="00085670">
        <w:trPr>
          <w:cantSplit/>
          <w:trHeight w:val="240"/>
        </w:trPr>
        <w:tc>
          <w:tcPr>
            <w:tcW w:w="877" w:type="pct"/>
            <w:tcBorders>
              <w:top w:val="single" w:sz="12" w:space="0" w:color="auto"/>
            </w:tcBorders>
            <w:shd w:val="clear" w:color="auto" w:fill="auto"/>
          </w:tcPr>
          <w:p w14:paraId="770BF0E1"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África</w:t>
            </w:r>
          </w:p>
        </w:tc>
        <w:tc>
          <w:tcPr>
            <w:tcW w:w="824" w:type="pct"/>
            <w:tcBorders>
              <w:top w:val="single" w:sz="12" w:space="0" w:color="auto"/>
            </w:tcBorders>
            <w:shd w:val="clear" w:color="auto" w:fill="auto"/>
            <w:vAlign w:val="bottom"/>
          </w:tcPr>
          <w:p w14:paraId="2024D9C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77</w:t>
            </w:r>
          </w:p>
        </w:tc>
        <w:tc>
          <w:tcPr>
            <w:tcW w:w="824" w:type="pct"/>
            <w:tcBorders>
              <w:top w:val="single" w:sz="12" w:space="0" w:color="auto"/>
            </w:tcBorders>
            <w:shd w:val="clear" w:color="auto" w:fill="auto"/>
            <w:vAlign w:val="bottom"/>
          </w:tcPr>
          <w:p w14:paraId="40C392D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88</w:t>
            </w:r>
          </w:p>
        </w:tc>
        <w:tc>
          <w:tcPr>
            <w:tcW w:w="825" w:type="pct"/>
            <w:tcBorders>
              <w:top w:val="single" w:sz="12" w:space="0" w:color="auto"/>
            </w:tcBorders>
            <w:shd w:val="clear" w:color="auto" w:fill="auto"/>
            <w:vAlign w:val="bottom"/>
          </w:tcPr>
          <w:p w14:paraId="29E4288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92</w:t>
            </w:r>
          </w:p>
        </w:tc>
        <w:tc>
          <w:tcPr>
            <w:tcW w:w="824" w:type="pct"/>
            <w:tcBorders>
              <w:top w:val="single" w:sz="12" w:space="0" w:color="auto"/>
            </w:tcBorders>
            <w:shd w:val="clear" w:color="auto" w:fill="auto"/>
            <w:vAlign w:val="bottom"/>
          </w:tcPr>
          <w:p w14:paraId="30F2A8C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111</w:t>
            </w:r>
          </w:p>
        </w:tc>
        <w:tc>
          <w:tcPr>
            <w:tcW w:w="826" w:type="pct"/>
            <w:tcBorders>
              <w:top w:val="single" w:sz="12" w:space="0" w:color="auto"/>
            </w:tcBorders>
            <w:shd w:val="clear" w:color="auto" w:fill="auto"/>
            <w:vAlign w:val="bottom"/>
          </w:tcPr>
          <w:p w14:paraId="6841411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116</w:t>
            </w:r>
          </w:p>
        </w:tc>
      </w:tr>
      <w:tr w:rsidR="00085670" w:rsidRPr="00F5461C" w14:paraId="1825DA25" w14:textId="77777777" w:rsidTr="00085670">
        <w:trPr>
          <w:cantSplit/>
          <w:trHeight w:val="240"/>
        </w:trPr>
        <w:tc>
          <w:tcPr>
            <w:tcW w:w="877" w:type="pct"/>
            <w:shd w:val="clear" w:color="auto" w:fill="auto"/>
          </w:tcPr>
          <w:p w14:paraId="0A912768"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América</w:t>
            </w:r>
          </w:p>
        </w:tc>
        <w:tc>
          <w:tcPr>
            <w:tcW w:w="824" w:type="pct"/>
            <w:shd w:val="clear" w:color="auto" w:fill="auto"/>
            <w:vAlign w:val="bottom"/>
          </w:tcPr>
          <w:p w14:paraId="7DA1690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606</w:t>
            </w:r>
          </w:p>
        </w:tc>
        <w:tc>
          <w:tcPr>
            <w:tcW w:w="824" w:type="pct"/>
            <w:shd w:val="clear" w:color="auto" w:fill="auto"/>
            <w:vAlign w:val="bottom"/>
          </w:tcPr>
          <w:p w14:paraId="3446AD0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683</w:t>
            </w:r>
          </w:p>
        </w:tc>
        <w:tc>
          <w:tcPr>
            <w:tcW w:w="825" w:type="pct"/>
            <w:shd w:val="clear" w:color="auto" w:fill="auto"/>
            <w:vAlign w:val="bottom"/>
          </w:tcPr>
          <w:p w14:paraId="166983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570</w:t>
            </w:r>
          </w:p>
        </w:tc>
        <w:tc>
          <w:tcPr>
            <w:tcW w:w="824" w:type="pct"/>
            <w:shd w:val="clear" w:color="auto" w:fill="auto"/>
            <w:vAlign w:val="bottom"/>
          </w:tcPr>
          <w:p w14:paraId="68D7127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599</w:t>
            </w:r>
          </w:p>
        </w:tc>
        <w:tc>
          <w:tcPr>
            <w:tcW w:w="826" w:type="pct"/>
            <w:shd w:val="clear" w:color="auto" w:fill="auto"/>
            <w:vAlign w:val="bottom"/>
          </w:tcPr>
          <w:p w14:paraId="1DEC953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569</w:t>
            </w:r>
          </w:p>
        </w:tc>
      </w:tr>
      <w:tr w:rsidR="00085670" w:rsidRPr="00F5461C" w14:paraId="309DA2D0" w14:textId="77777777" w:rsidTr="00085670">
        <w:trPr>
          <w:cantSplit/>
          <w:trHeight w:val="240"/>
        </w:trPr>
        <w:tc>
          <w:tcPr>
            <w:tcW w:w="877" w:type="pct"/>
            <w:shd w:val="clear" w:color="auto" w:fill="auto"/>
          </w:tcPr>
          <w:p w14:paraId="7F2E6B85"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Asia y el Pacífico</w:t>
            </w:r>
          </w:p>
        </w:tc>
        <w:tc>
          <w:tcPr>
            <w:tcW w:w="824" w:type="pct"/>
            <w:shd w:val="clear" w:color="auto" w:fill="auto"/>
            <w:vAlign w:val="bottom"/>
          </w:tcPr>
          <w:p w14:paraId="32DFC25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168 365</w:t>
            </w:r>
          </w:p>
        </w:tc>
        <w:tc>
          <w:tcPr>
            <w:tcW w:w="824" w:type="pct"/>
            <w:shd w:val="clear" w:color="auto" w:fill="auto"/>
            <w:vAlign w:val="bottom"/>
          </w:tcPr>
          <w:p w14:paraId="4D2FEC6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179 535</w:t>
            </w:r>
          </w:p>
        </w:tc>
        <w:tc>
          <w:tcPr>
            <w:tcW w:w="825" w:type="pct"/>
            <w:shd w:val="clear" w:color="auto" w:fill="auto"/>
            <w:vAlign w:val="bottom"/>
          </w:tcPr>
          <w:p w14:paraId="428D395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175 804</w:t>
            </w:r>
          </w:p>
        </w:tc>
        <w:tc>
          <w:tcPr>
            <w:tcW w:w="824" w:type="pct"/>
            <w:shd w:val="clear" w:color="auto" w:fill="auto"/>
            <w:vAlign w:val="bottom"/>
          </w:tcPr>
          <w:p w14:paraId="3EDD4CC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177 629</w:t>
            </w:r>
          </w:p>
        </w:tc>
        <w:tc>
          <w:tcPr>
            <w:tcW w:w="826" w:type="pct"/>
            <w:shd w:val="clear" w:color="auto" w:fill="auto"/>
            <w:vAlign w:val="bottom"/>
          </w:tcPr>
          <w:p w14:paraId="4AD6E1B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184 586</w:t>
            </w:r>
          </w:p>
        </w:tc>
      </w:tr>
      <w:tr w:rsidR="00085670" w:rsidRPr="00F5461C" w14:paraId="3E0EBC2D" w14:textId="77777777" w:rsidTr="00085670">
        <w:trPr>
          <w:cantSplit/>
          <w:trHeight w:val="240"/>
        </w:trPr>
        <w:tc>
          <w:tcPr>
            <w:tcW w:w="877" w:type="pct"/>
            <w:shd w:val="clear" w:color="auto" w:fill="auto"/>
          </w:tcPr>
          <w:p w14:paraId="2A7BD909"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Europa</w:t>
            </w:r>
          </w:p>
        </w:tc>
        <w:tc>
          <w:tcPr>
            <w:tcW w:w="824" w:type="pct"/>
            <w:shd w:val="clear" w:color="auto" w:fill="auto"/>
            <w:vAlign w:val="bottom"/>
          </w:tcPr>
          <w:p w14:paraId="6C41EF1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971</w:t>
            </w:r>
          </w:p>
        </w:tc>
        <w:tc>
          <w:tcPr>
            <w:tcW w:w="824" w:type="pct"/>
            <w:shd w:val="clear" w:color="auto" w:fill="auto"/>
            <w:vAlign w:val="bottom"/>
          </w:tcPr>
          <w:p w14:paraId="387DD70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985</w:t>
            </w:r>
          </w:p>
        </w:tc>
        <w:tc>
          <w:tcPr>
            <w:tcW w:w="825" w:type="pct"/>
            <w:shd w:val="clear" w:color="auto" w:fill="auto"/>
            <w:vAlign w:val="bottom"/>
          </w:tcPr>
          <w:p w14:paraId="4EAF6F6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874</w:t>
            </w:r>
          </w:p>
        </w:tc>
        <w:tc>
          <w:tcPr>
            <w:tcW w:w="824" w:type="pct"/>
            <w:shd w:val="clear" w:color="auto" w:fill="auto"/>
            <w:vAlign w:val="bottom"/>
          </w:tcPr>
          <w:p w14:paraId="3B50A06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849</w:t>
            </w:r>
          </w:p>
        </w:tc>
        <w:tc>
          <w:tcPr>
            <w:tcW w:w="826" w:type="pct"/>
            <w:shd w:val="clear" w:color="auto" w:fill="auto"/>
            <w:vAlign w:val="bottom"/>
          </w:tcPr>
          <w:p w14:paraId="1F27345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822</w:t>
            </w:r>
          </w:p>
        </w:tc>
      </w:tr>
      <w:tr w:rsidR="00085670" w:rsidRPr="00F5461C" w14:paraId="6B5D470C" w14:textId="77777777" w:rsidTr="00085670">
        <w:trPr>
          <w:cantSplit/>
          <w:trHeight w:val="240"/>
        </w:trPr>
        <w:tc>
          <w:tcPr>
            <w:tcW w:w="877" w:type="pct"/>
            <w:tcBorders>
              <w:bottom w:val="single" w:sz="4" w:space="0" w:color="auto"/>
            </w:tcBorders>
            <w:shd w:val="clear" w:color="auto" w:fill="auto"/>
          </w:tcPr>
          <w:p w14:paraId="5655DF64"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Oceanía</w:t>
            </w:r>
          </w:p>
        </w:tc>
        <w:tc>
          <w:tcPr>
            <w:tcW w:w="824" w:type="pct"/>
            <w:tcBorders>
              <w:bottom w:val="single" w:sz="4" w:space="0" w:color="auto"/>
            </w:tcBorders>
            <w:shd w:val="clear" w:color="auto" w:fill="auto"/>
            <w:vAlign w:val="bottom"/>
          </w:tcPr>
          <w:p w14:paraId="3767DF6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327</w:t>
            </w:r>
          </w:p>
        </w:tc>
        <w:tc>
          <w:tcPr>
            <w:tcW w:w="824" w:type="pct"/>
            <w:tcBorders>
              <w:bottom w:val="single" w:sz="4" w:space="0" w:color="auto"/>
            </w:tcBorders>
            <w:shd w:val="clear" w:color="auto" w:fill="auto"/>
            <w:vAlign w:val="bottom"/>
          </w:tcPr>
          <w:p w14:paraId="26F1AD9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355</w:t>
            </w:r>
          </w:p>
        </w:tc>
        <w:tc>
          <w:tcPr>
            <w:tcW w:w="825" w:type="pct"/>
            <w:tcBorders>
              <w:bottom w:val="single" w:sz="4" w:space="0" w:color="auto"/>
            </w:tcBorders>
            <w:shd w:val="clear" w:color="auto" w:fill="auto"/>
            <w:vAlign w:val="bottom"/>
          </w:tcPr>
          <w:p w14:paraId="209C239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298</w:t>
            </w:r>
          </w:p>
        </w:tc>
        <w:tc>
          <w:tcPr>
            <w:tcW w:w="824" w:type="pct"/>
            <w:tcBorders>
              <w:bottom w:val="single" w:sz="4" w:space="0" w:color="auto"/>
            </w:tcBorders>
            <w:shd w:val="clear" w:color="auto" w:fill="auto"/>
            <w:vAlign w:val="bottom"/>
          </w:tcPr>
          <w:p w14:paraId="210D124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268</w:t>
            </w:r>
          </w:p>
        </w:tc>
        <w:tc>
          <w:tcPr>
            <w:tcW w:w="826" w:type="pct"/>
            <w:tcBorders>
              <w:bottom w:val="single" w:sz="4" w:space="0" w:color="auto"/>
            </w:tcBorders>
            <w:shd w:val="clear" w:color="auto" w:fill="auto"/>
            <w:vAlign w:val="bottom"/>
          </w:tcPr>
          <w:p w14:paraId="0D82BB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239</w:t>
            </w:r>
          </w:p>
        </w:tc>
      </w:tr>
      <w:tr w:rsidR="00085670" w:rsidRPr="00085670" w14:paraId="0080FC94" w14:textId="77777777" w:rsidTr="00085670">
        <w:trPr>
          <w:cantSplit/>
          <w:trHeight w:val="240"/>
        </w:trPr>
        <w:tc>
          <w:tcPr>
            <w:tcW w:w="877" w:type="pct"/>
            <w:tcBorders>
              <w:top w:val="single" w:sz="4" w:space="0" w:color="auto"/>
              <w:bottom w:val="single" w:sz="12" w:space="0" w:color="auto"/>
            </w:tcBorders>
            <w:shd w:val="clear" w:color="auto" w:fill="auto"/>
          </w:tcPr>
          <w:p w14:paraId="747B7A43" w14:textId="77777777" w:rsidR="00F5461C" w:rsidRPr="00F5461C" w:rsidRDefault="00F5461C" w:rsidP="00085670">
            <w:pPr>
              <w:pStyle w:val="SingleTxtG"/>
              <w:spacing w:before="80" w:after="80" w:line="220" w:lineRule="exact"/>
              <w:ind w:left="283" w:right="0"/>
              <w:jc w:val="left"/>
              <w:rPr>
                <w:b/>
                <w:sz w:val="18"/>
                <w:lang w:val="es-ES_tradnl"/>
              </w:rPr>
            </w:pPr>
            <w:r w:rsidRPr="00F5461C">
              <w:rPr>
                <w:b/>
                <w:bCs/>
                <w:sz w:val="18"/>
                <w:lang w:val="es-ES_tradnl"/>
              </w:rPr>
              <w:t>Total</w:t>
            </w:r>
          </w:p>
        </w:tc>
        <w:tc>
          <w:tcPr>
            <w:tcW w:w="824" w:type="pct"/>
            <w:tcBorders>
              <w:top w:val="single" w:sz="4" w:space="0" w:color="auto"/>
              <w:bottom w:val="single" w:sz="12" w:space="0" w:color="auto"/>
            </w:tcBorders>
            <w:shd w:val="clear" w:color="auto" w:fill="auto"/>
            <w:vAlign w:val="bottom"/>
          </w:tcPr>
          <w:p w14:paraId="400E538D"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170 346</w:t>
            </w:r>
          </w:p>
        </w:tc>
        <w:tc>
          <w:tcPr>
            <w:tcW w:w="824" w:type="pct"/>
            <w:tcBorders>
              <w:top w:val="single" w:sz="4" w:space="0" w:color="auto"/>
              <w:bottom w:val="single" w:sz="12" w:space="0" w:color="auto"/>
            </w:tcBorders>
            <w:shd w:val="clear" w:color="auto" w:fill="auto"/>
            <w:vAlign w:val="bottom"/>
          </w:tcPr>
          <w:p w14:paraId="00A821C4"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181 646</w:t>
            </w:r>
          </w:p>
        </w:tc>
        <w:tc>
          <w:tcPr>
            <w:tcW w:w="825" w:type="pct"/>
            <w:tcBorders>
              <w:top w:val="single" w:sz="4" w:space="0" w:color="auto"/>
              <w:bottom w:val="single" w:sz="12" w:space="0" w:color="auto"/>
            </w:tcBorders>
            <w:shd w:val="clear" w:color="auto" w:fill="auto"/>
            <w:vAlign w:val="bottom"/>
          </w:tcPr>
          <w:p w14:paraId="4D241200"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177 638</w:t>
            </w:r>
          </w:p>
        </w:tc>
        <w:tc>
          <w:tcPr>
            <w:tcW w:w="824" w:type="pct"/>
            <w:tcBorders>
              <w:top w:val="single" w:sz="4" w:space="0" w:color="auto"/>
              <w:bottom w:val="single" w:sz="12" w:space="0" w:color="auto"/>
            </w:tcBorders>
            <w:shd w:val="clear" w:color="auto" w:fill="auto"/>
            <w:vAlign w:val="bottom"/>
          </w:tcPr>
          <w:p w14:paraId="7BD373DF"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179 456</w:t>
            </w:r>
          </w:p>
        </w:tc>
        <w:tc>
          <w:tcPr>
            <w:tcW w:w="826" w:type="pct"/>
            <w:tcBorders>
              <w:top w:val="single" w:sz="4" w:space="0" w:color="auto"/>
              <w:bottom w:val="single" w:sz="12" w:space="0" w:color="auto"/>
            </w:tcBorders>
            <w:shd w:val="clear" w:color="auto" w:fill="auto"/>
            <w:vAlign w:val="bottom"/>
          </w:tcPr>
          <w:p w14:paraId="7A113090"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186 332</w:t>
            </w:r>
          </w:p>
        </w:tc>
      </w:tr>
    </w:tbl>
    <w:p w14:paraId="6F665B68" w14:textId="77777777" w:rsidR="00F5461C" w:rsidRPr="00F5461C" w:rsidRDefault="00F5461C" w:rsidP="00085670">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Estadística y Censos y Dirección de Asuntos Laborales.</w:t>
      </w:r>
    </w:p>
    <w:p w14:paraId="44CD93FA" w14:textId="77777777" w:rsidR="00F5461C" w:rsidRPr="00F5461C" w:rsidRDefault="00F5461C" w:rsidP="00F5461C">
      <w:pPr>
        <w:pStyle w:val="SingleTxtG"/>
        <w:rPr>
          <w:lang w:val="es-ES_tradnl"/>
        </w:rPr>
      </w:pPr>
      <w:r w:rsidRPr="00F5461C">
        <w:rPr>
          <w:lang w:val="es-ES_tradnl"/>
        </w:rPr>
        <w:t>55.</w:t>
      </w:r>
      <w:r w:rsidRPr="00F5461C">
        <w:rPr>
          <w:lang w:val="es-ES_tradnl"/>
        </w:rPr>
        <w:tab/>
        <w:t xml:space="preserve">La Dirección de Asuntos Laborales ha reforzado la protección de los trabajadores no residentes frente a los abusos y la explotación. Se organizan charlas </w:t>
      </w:r>
      <w:proofErr w:type="gramStart"/>
      <w:r w:rsidRPr="00F5461C">
        <w:rPr>
          <w:lang w:val="es-ES_tradnl"/>
        </w:rPr>
        <w:t>conjuntamente con</w:t>
      </w:r>
      <w:proofErr w:type="gramEnd"/>
      <w:r w:rsidRPr="00F5461C">
        <w:rPr>
          <w:lang w:val="es-ES_tradnl"/>
        </w:rPr>
        <w:t xml:space="preserve"> consulados, así como con grupos sociales de trabajadores no residentes. Durante el período que abarca el informe, hubo 18 charlas dirigidas a trabajadores no residentes. </w:t>
      </w:r>
    </w:p>
    <w:p w14:paraId="1DB2B21E" w14:textId="77777777" w:rsidR="00F5461C" w:rsidRPr="00F5461C" w:rsidRDefault="00F5461C" w:rsidP="00F5461C">
      <w:pPr>
        <w:pStyle w:val="SingleTxtG"/>
        <w:rPr>
          <w:lang w:val="es-ES_tradnl"/>
        </w:rPr>
      </w:pPr>
      <w:r w:rsidRPr="00F5461C">
        <w:rPr>
          <w:lang w:val="es-ES_tradnl"/>
        </w:rPr>
        <w:t>56.</w:t>
      </w:r>
      <w:r w:rsidRPr="00F5461C">
        <w:rPr>
          <w:lang w:val="es-ES_tradnl"/>
        </w:rPr>
        <w:tab/>
        <w:t xml:space="preserve">La División de Inspección del Trabajo realiza visitas </w:t>
      </w:r>
      <w:r w:rsidRPr="00F5461C">
        <w:rPr>
          <w:i/>
          <w:iCs/>
          <w:lang w:val="es-ES_tradnl"/>
        </w:rPr>
        <w:t>in situ</w:t>
      </w:r>
      <w:r w:rsidRPr="00F5461C">
        <w:rPr>
          <w:lang w:val="es-ES_tradnl"/>
        </w:rPr>
        <w:t xml:space="preserve"> con objeto de detectar irregularidades, investigar denuncias de trabajadores y aplicar sanciones. Por ejemplo, el </w:t>
      </w:r>
      <w:r w:rsidR="00722610">
        <w:rPr>
          <w:lang w:val="es-ES_tradnl"/>
        </w:rPr>
        <w:t>artículo </w:t>
      </w:r>
      <w:r w:rsidRPr="00F5461C">
        <w:rPr>
          <w:lang w:val="es-ES_tradnl"/>
        </w:rPr>
        <w:t xml:space="preserve">23, párrafo 1, de la Ley </w:t>
      </w:r>
      <w:r w:rsidR="00E27276">
        <w:rPr>
          <w:lang w:val="es-ES_tradnl"/>
        </w:rPr>
        <w:t>núm. </w:t>
      </w:r>
      <w:r w:rsidRPr="00F5461C">
        <w:rPr>
          <w:lang w:val="es-ES_tradnl"/>
        </w:rPr>
        <w:t>21/2009 exige que los contratos con los trabajadores no residentes sean por escrito (el incumplimiento de esta disposición puede acarrear multas de entre 5.000 y 10.000 patacas de Macao). Entre 2014 y septiembre de 2018, el Departamento de Asuntos Laborales abrió 104 expedientes a raíz de denuncias por supuestas ausencias de contratos que afectaban a 279 trabajadores. Se estimaron las pretensiones de 232 trabajadores, se rechazaron las de 41 y quedan 6 pendientes de resolución.</w:t>
      </w:r>
    </w:p>
    <w:p w14:paraId="6B67E9A2" w14:textId="77777777" w:rsidR="00F5461C" w:rsidRPr="00F5461C" w:rsidRDefault="00F5461C" w:rsidP="00F5461C">
      <w:pPr>
        <w:pStyle w:val="SingleTxtG"/>
        <w:rPr>
          <w:lang w:val="es-ES_tradnl"/>
        </w:rPr>
      </w:pPr>
      <w:r w:rsidRPr="00F5461C">
        <w:rPr>
          <w:lang w:val="es-ES_tradnl"/>
        </w:rPr>
        <w:t>57.</w:t>
      </w:r>
      <w:r w:rsidRPr="00F5461C">
        <w:rPr>
          <w:lang w:val="es-ES_tradnl"/>
        </w:rPr>
        <w:tab/>
        <w:t xml:space="preserve">En su </w:t>
      </w:r>
      <w:r w:rsidR="00722610">
        <w:rPr>
          <w:lang w:val="es-ES_tradnl"/>
        </w:rPr>
        <w:t>artículo </w:t>
      </w:r>
      <w:r w:rsidRPr="00F5461C">
        <w:rPr>
          <w:lang w:val="es-ES_tradnl"/>
        </w:rPr>
        <w:t xml:space="preserve">16, apartado a) (leído </w:t>
      </w:r>
      <w:proofErr w:type="gramStart"/>
      <w:r w:rsidRPr="00F5461C">
        <w:rPr>
          <w:lang w:val="es-ES_tradnl"/>
        </w:rPr>
        <w:t>conjuntamente con</w:t>
      </w:r>
      <w:proofErr w:type="gramEnd"/>
      <w:r w:rsidRPr="00F5461C">
        <w:rPr>
          <w:lang w:val="es-ES_tradnl"/>
        </w:rPr>
        <w:t xml:space="preserve"> el </w:t>
      </w:r>
      <w:r w:rsidR="00722610">
        <w:rPr>
          <w:lang w:val="es-ES_tradnl"/>
        </w:rPr>
        <w:t>artículo </w:t>
      </w:r>
      <w:r w:rsidRPr="00F5461C">
        <w:rPr>
          <w:lang w:val="es-ES_tradnl"/>
        </w:rPr>
        <w:t xml:space="preserve">17, párrafo 3), el Decreto Ley </w:t>
      </w:r>
      <w:r w:rsidR="00E27276">
        <w:rPr>
          <w:lang w:val="es-ES_tradnl"/>
        </w:rPr>
        <w:t>núm. </w:t>
      </w:r>
      <w:r w:rsidRPr="00F5461C">
        <w:rPr>
          <w:lang w:val="es-ES_tradnl"/>
        </w:rPr>
        <w:t>32/94/M, relativo al régimen de concesión de licencias a las agencias de empleo, prohíbe que estas cobren honorarios a los solicitantes de empleo, excepto cuando les proporcionen alojamiento, en cuyo caso no podrán cobrarles más de la sexta parte de su salario. Asimismo, se prohíbe a las agencias recibir ningún pago a cuenta del salario de los trabajadores (el incumplimiento de esta norma puede conllevar multas de entre 10.000 y 30.000 patacas de Macao). Una de las sanciones posibles es la revocación de la licencia (</w:t>
      </w:r>
      <w:r w:rsidR="00722610">
        <w:rPr>
          <w:lang w:val="es-ES_tradnl"/>
        </w:rPr>
        <w:t>artículo </w:t>
      </w:r>
      <w:r w:rsidRPr="00F5461C">
        <w:rPr>
          <w:lang w:val="es-ES_tradnl"/>
        </w:rPr>
        <w:t>12). Entre 2014 y septiembre de 2018, la Dirección de Asuntos Laborales abrió 29</w:t>
      </w:r>
      <w:r w:rsidR="00813C73">
        <w:rPr>
          <w:lang w:val="es-ES_tradnl"/>
        </w:rPr>
        <w:t> </w:t>
      </w:r>
      <w:r w:rsidRPr="00F5461C">
        <w:rPr>
          <w:lang w:val="es-ES_tradnl"/>
        </w:rPr>
        <w:t xml:space="preserve">expedientes relacionados con el cobro de extras. De las denuncias presentadas, </w:t>
      </w:r>
      <w:r w:rsidRPr="00F5461C">
        <w:rPr>
          <w:lang w:val="es-ES_tradnl"/>
        </w:rPr>
        <w:lastRenderedPageBreak/>
        <w:t>9</w:t>
      </w:r>
      <w:r w:rsidR="00813C73">
        <w:rPr>
          <w:lang w:val="es-ES_tradnl"/>
        </w:rPr>
        <w:t> </w:t>
      </w:r>
      <w:r w:rsidRPr="00F5461C">
        <w:rPr>
          <w:lang w:val="es-ES_tradnl"/>
        </w:rPr>
        <w:t>prosperaron y dieron lugar a multas, 18 fueron desestimadas y 2 están pendientes de resolución.</w:t>
      </w:r>
    </w:p>
    <w:p w14:paraId="0C7AE9A9" w14:textId="77777777" w:rsidR="00F5461C" w:rsidRPr="00F5461C" w:rsidRDefault="00085670" w:rsidP="00085670">
      <w:pPr>
        <w:pStyle w:val="H23G"/>
        <w:rPr>
          <w:lang w:val="es-ES_tradnl"/>
        </w:rPr>
      </w:pPr>
      <w:r>
        <w:rPr>
          <w:lang w:val="es-ES_tradnl"/>
        </w:rPr>
        <w:tab/>
      </w:r>
      <w:r w:rsidR="00F5461C" w:rsidRPr="00F5461C">
        <w:rPr>
          <w:lang w:val="es-ES_tradnl"/>
        </w:rPr>
        <w:tab/>
        <w:t xml:space="preserve">Trabajo infantil </w:t>
      </w:r>
    </w:p>
    <w:p w14:paraId="6262AAF8" w14:textId="77777777" w:rsidR="00F5461C" w:rsidRPr="00F5461C" w:rsidRDefault="00F5461C" w:rsidP="00F5461C">
      <w:pPr>
        <w:pStyle w:val="SingleTxtG"/>
        <w:rPr>
          <w:lang w:val="es-ES_tradnl"/>
        </w:rPr>
      </w:pPr>
      <w:r w:rsidRPr="00F5461C">
        <w:rPr>
          <w:lang w:val="es-ES_tradnl"/>
        </w:rPr>
        <w:t>58.</w:t>
      </w:r>
      <w:r w:rsidRPr="00F5461C">
        <w:rPr>
          <w:lang w:val="es-ES_tradnl"/>
        </w:rPr>
        <w:tab/>
        <w:t>El Gobierno de la RAE de Macao sigue comprometido con la erradicación del trabajo infantil. Ha aumentado el número de inspecciones de trabajo y se han aplicado las sanciones correspondientes. Entre 2014 y septiembre de 2018, se abrieron 301 expedientes que afectaban a 379 menores (entre ellos, un menor de 16 años).</w:t>
      </w:r>
    </w:p>
    <w:p w14:paraId="7E45DD3B" w14:textId="77777777" w:rsidR="00F5461C" w:rsidRPr="00F5461C" w:rsidRDefault="00F5461C" w:rsidP="00F5461C">
      <w:pPr>
        <w:pStyle w:val="SingleTxtG"/>
        <w:rPr>
          <w:lang w:val="es-ES_tradnl"/>
        </w:rPr>
      </w:pPr>
      <w:r w:rsidRPr="00F5461C">
        <w:rPr>
          <w:lang w:val="es-ES_tradnl"/>
        </w:rPr>
        <w:t>59.</w:t>
      </w:r>
      <w:r w:rsidRPr="00F5461C">
        <w:rPr>
          <w:lang w:val="es-ES_tradnl"/>
        </w:rPr>
        <w:tab/>
        <w:t xml:space="preserve">La mayoría de las contravenciones estaban relacionadas con el empleo de menores sin cumplir los requisitos, o la ausencia de certificado médico o de autorización escrita del representante legal, mientras que la mayoría de las infracciones administrativas tuvieron su origen en la omisión de notificar al Departamento de Asuntos Laborales la conclusión de contratos de trabajo con menores o en la ausencia de contrato por escrito. </w:t>
      </w:r>
    </w:p>
    <w:p w14:paraId="59452B46" w14:textId="77777777" w:rsidR="00F5461C" w:rsidRPr="00F5461C" w:rsidRDefault="00F5461C" w:rsidP="00085670">
      <w:pPr>
        <w:pStyle w:val="H23G"/>
        <w:rPr>
          <w:lang w:val="es-ES_tradnl"/>
        </w:rPr>
      </w:pPr>
      <w:r w:rsidRPr="00F5461C">
        <w:rPr>
          <w:lang w:val="es-ES_tradnl"/>
        </w:rPr>
        <w:tab/>
      </w:r>
      <w:r w:rsidR="00085670">
        <w:rPr>
          <w:lang w:val="es-ES_tradnl"/>
        </w:rPr>
        <w:tab/>
      </w:r>
      <w:r w:rsidRPr="00F5461C">
        <w:rPr>
          <w:lang w:val="es-ES_tradnl"/>
        </w:rPr>
        <w:t xml:space="preserve">Personas con discapacidad </w:t>
      </w:r>
    </w:p>
    <w:p w14:paraId="4D9A0C99" w14:textId="77777777" w:rsidR="00F5461C" w:rsidRPr="00F5461C" w:rsidRDefault="00F5461C" w:rsidP="00F5461C">
      <w:pPr>
        <w:pStyle w:val="SingleTxtG"/>
        <w:rPr>
          <w:lang w:val="es-ES_tradnl"/>
        </w:rPr>
      </w:pPr>
      <w:r w:rsidRPr="00F5461C">
        <w:rPr>
          <w:lang w:val="es-ES_tradnl"/>
        </w:rPr>
        <w:t>60.</w:t>
      </w:r>
      <w:r w:rsidRPr="00F5461C">
        <w:rPr>
          <w:lang w:val="es-ES_tradnl"/>
        </w:rPr>
        <w:tab/>
        <w:t xml:space="preserve">En lo que respecta al párrafo 54 de las observaciones finales, se realizaron cambios sustanciales en relación con las personas con discapacidad, especialmente la aprobación de la </w:t>
      </w:r>
      <w:r w:rsidR="00E27276">
        <w:rPr>
          <w:lang w:val="es-ES_tradnl"/>
        </w:rPr>
        <w:t>núm. </w:t>
      </w:r>
      <w:r w:rsidRPr="00F5461C">
        <w:rPr>
          <w:lang w:val="es-ES_tradnl"/>
        </w:rPr>
        <w:t xml:space="preserve">Ley </w:t>
      </w:r>
      <w:r w:rsidR="00E27276">
        <w:rPr>
          <w:lang w:val="es-ES_tradnl"/>
        </w:rPr>
        <w:t>núm. </w:t>
      </w:r>
      <w:r w:rsidRPr="00F5461C">
        <w:rPr>
          <w:lang w:val="es-ES_tradnl"/>
        </w:rPr>
        <w:t>8/2018, de Beneficios Fiscales para la Contratación de Personas con Discapacidad, y el Plan de Rehabilitación. La Comisión para la Rehabilitación de Personas con Discapacidad (Comisión de Rehabilitación) analiza la integración social de las personas con discapacidad en el mercado laboral y supervisa la ejecución del Plan de Rehabilitación.</w:t>
      </w:r>
    </w:p>
    <w:p w14:paraId="29E22033" w14:textId="77777777" w:rsidR="00F5461C" w:rsidRPr="00F5461C" w:rsidRDefault="00F5461C" w:rsidP="00F5461C">
      <w:pPr>
        <w:pStyle w:val="SingleTxtG"/>
        <w:rPr>
          <w:lang w:val="es-ES_tradnl"/>
        </w:rPr>
      </w:pPr>
      <w:r w:rsidRPr="00F5461C">
        <w:rPr>
          <w:lang w:val="es-ES_tradnl"/>
        </w:rPr>
        <w:t>61.</w:t>
      </w:r>
      <w:r w:rsidRPr="00F5461C">
        <w:rPr>
          <w:lang w:val="es-ES_tradnl"/>
        </w:rPr>
        <w:tab/>
        <w:t xml:space="preserve">La Ley </w:t>
      </w:r>
      <w:r w:rsidR="00E27276">
        <w:rPr>
          <w:lang w:val="es-ES_tradnl"/>
        </w:rPr>
        <w:t>núm. </w:t>
      </w:r>
      <w:r w:rsidRPr="00F5461C">
        <w:rPr>
          <w:lang w:val="es-ES_tradnl"/>
        </w:rPr>
        <w:t>8/2018 establece que los empleadores que acrediten haber contratado a un trabajador en posesión de una tarjeta de registro de evaluación de discapacidad válida y que trabaje por lo menos 128 horas mensuales en la empresa (</w:t>
      </w:r>
      <w:r w:rsidR="00722610">
        <w:rPr>
          <w:lang w:val="es-ES_tradnl"/>
        </w:rPr>
        <w:t>artículo </w:t>
      </w:r>
      <w:r w:rsidRPr="00F5461C">
        <w:rPr>
          <w:lang w:val="es-ES_tradnl"/>
        </w:rPr>
        <w:t>2) podrán beneficiarse de una deducción impositiva de hasta 5.000 patacas de Macao (</w:t>
      </w:r>
      <w:r w:rsidR="00722610">
        <w:rPr>
          <w:lang w:val="es-ES_tradnl"/>
        </w:rPr>
        <w:t>artículo </w:t>
      </w:r>
      <w:r w:rsidRPr="00F5461C">
        <w:rPr>
          <w:lang w:val="es-ES_tradnl"/>
        </w:rPr>
        <w:t>3).</w:t>
      </w:r>
    </w:p>
    <w:p w14:paraId="62FA1D77" w14:textId="77777777" w:rsidR="00F5461C" w:rsidRPr="00F5461C" w:rsidRDefault="00F5461C" w:rsidP="00F5461C">
      <w:pPr>
        <w:pStyle w:val="SingleTxtG"/>
        <w:rPr>
          <w:lang w:val="es-ES_tradnl"/>
        </w:rPr>
      </w:pPr>
      <w:r w:rsidRPr="00F5461C">
        <w:rPr>
          <w:lang w:val="es-ES_tradnl"/>
        </w:rPr>
        <w:t>62.</w:t>
      </w:r>
      <w:r w:rsidRPr="00F5461C">
        <w:rPr>
          <w:lang w:val="es-ES_tradnl"/>
        </w:rPr>
        <w:tab/>
        <w:t xml:space="preserve">Además, las medidas provisionales de subsidio complementario a los ingresos, que se pusieron en marcha en 2008, se ampliaron para incluir también a las personas con discapacidad a partir de 2017 (Reglamento Administrativo </w:t>
      </w:r>
      <w:r w:rsidR="00E27276">
        <w:rPr>
          <w:lang w:val="es-ES_tradnl"/>
        </w:rPr>
        <w:t>núm. </w:t>
      </w:r>
      <w:r w:rsidRPr="00F5461C">
        <w:rPr>
          <w:lang w:val="es-ES_tradnl"/>
        </w:rPr>
        <w:t xml:space="preserve">6/2008, modificado por el Reglamento Administrativo </w:t>
      </w:r>
      <w:r w:rsidR="00E27276">
        <w:rPr>
          <w:lang w:val="es-ES_tradnl"/>
        </w:rPr>
        <w:t>núm. </w:t>
      </w:r>
      <w:r w:rsidRPr="00F5461C">
        <w:rPr>
          <w:lang w:val="es-ES_tradnl"/>
        </w:rPr>
        <w:t>12/2017).</w:t>
      </w:r>
    </w:p>
    <w:p w14:paraId="30494F60" w14:textId="77777777" w:rsidR="00F5461C" w:rsidRPr="00F5461C" w:rsidRDefault="00F5461C" w:rsidP="00F5461C">
      <w:pPr>
        <w:pStyle w:val="SingleTxtG"/>
        <w:rPr>
          <w:lang w:val="es-ES_tradnl"/>
        </w:rPr>
      </w:pPr>
      <w:r w:rsidRPr="00F5461C">
        <w:rPr>
          <w:lang w:val="es-ES_tradnl"/>
        </w:rPr>
        <w:t>63.</w:t>
      </w:r>
      <w:r w:rsidRPr="00F5461C">
        <w:rPr>
          <w:lang w:val="es-ES_tradnl"/>
        </w:rPr>
        <w:tab/>
        <w:t xml:space="preserve">Entre 2014 y 2018 se registraron, respectivamente 80, 47, 81, 78 y 63 nuevos solicitantes de empleo que tenían alguna discapacidad. Durante el mismo período, se encontró ocupación para 35, 30, 36, 61 y 33 personas con discapacidad, de las cuales 33, 29, 35, 57 y 33 fueron empleadas como oficinistas, en los sectores de servicios y ventas y en trabajos no cualificados. </w:t>
      </w:r>
    </w:p>
    <w:p w14:paraId="0776D3FF" w14:textId="77777777" w:rsidR="00F5461C" w:rsidRPr="00F5461C" w:rsidRDefault="00F5461C" w:rsidP="00085670">
      <w:pPr>
        <w:pStyle w:val="H23G"/>
        <w:rPr>
          <w:lang w:val="es-ES_tradnl"/>
        </w:rPr>
      </w:pPr>
      <w:r w:rsidRPr="00F5461C">
        <w:rPr>
          <w:lang w:val="es-ES_tradnl"/>
        </w:rPr>
        <w:tab/>
      </w:r>
      <w:r w:rsidR="00085670">
        <w:rPr>
          <w:lang w:val="es-ES_tradnl"/>
        </w:rPr>
        <w:tab/>
      </w:r>
      <w:r w:rsidRPr="00F5461C">
        <w:rPr>
          <w:lang w:val="es-ES_tradnl"/>
        </w:rPr>
        <w:t xml:space="preserve">Personas con discapacidad inscritas como solicitantes de empleo en la Dirección </w:t>
      </w:r>
      <w:r w:rsidR="00085670">
        <w:rPr>
          <w:lang w:val="es-ES_tradnl"/>
        </w:rPr>
        <w:br/>
      </w:r>
      <w:r w:rsidRPr="00F5461C">
        <w:rPr>
          <w:lang w:val="es-ES_tradnl"/>
        </w:rPr>
        <w:t>de Asuntos Laborales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66"/>
        <w:gridCol w:w="880"/>
        <w:gridCol w:w="881"/>
        <w:gridCol w:w="881"/>
        <w:gridCol w:w="881"/>
        <w:gridCol w:w="881"/>
      </w:tblGrid>
      <w:tr w:rsidR="00A30C12" w:rsidRPr="00A30C12" w14:paraId="5F271A1B" w14:textId="77777777" w:rsidTr="00A30C12">
        <w:trPr>
          <w:cantSplit/>
          <w:trHeight w:val="240"/>
          <w:tblHeader/>
        </w:trPr>
        <w:tc>
          <w:tcPr>
            <w:tcW w:w="2966" w:type="dxa"/>
            <w:tcBorders>
              <w:top w:val="single" w:sz="4" w:space="0" w:color="auto"/>
              <w:bottom w:val="single" w:sz="12" w:space="0" w:color="auto"/>
            </w:tcBorders>
            <w:shd w:val="clear" w:color="auto" w:fill="auto"/>
            <w:vAlign w:val="bottom"/>
          </w:tcPr>
          <w:p w14:paraId="74AF8100" w14:textId="77777777" w:rsidR="00F5461C" w:rsidRPr="00F5461C" w:rsidRDefault="00F5461C" w:rsidP="00A30C12">
            <w:pPr>
              <w:pStyle w:val="SingleTxtG"/>
              <w:spacing w:before="80" w:after="80" w:line="200" w:lineRule="exact"/>
              <w:ind w:left="0" w:right="0"/>
              <w:jc w:val="left"/>
              <w:rPr>
                <w:i/>
                <w:sz w:val="16"/>
                <w:lang w:val="es-ES_tradnl"/>
              </w:rPr>
            </w:pPr>
            <w:r w:rsidRPr="00F5461C">
              <w:rPr>
                <w:i/>
                <w:iCs/>
                <w:sz w:val="16"/>
                <w:lang w:val="es-ES_tradnl"/>
              </w:rPr>
              <w:t>Discapacidades/Año</w:t>
            </w:r>
          </w:p>
        </w:tc>
        <w:tc>
          <w:tcPr>
            <w:tcW w:w="880" w:type="dxa"/>
            <w:tcBorders>
              <w:top w:val="single" w:sz="4" w:space="0" w:color="auto"/>
              <w:bottom w:val="single" w:sz="12" w:space="0" w:color="auto"/>
            </w:tcBorders>
            <w:shd w:val="clear" w:color="auto" w:fill="auto"/>
            <w:vAlign w:val="bottom"/>
          </w:tcPr>
          <w:p w14:paraId="0BF4D304"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881" w:type="dxa"/>
            <w:tcBorders>
              <w:top w:val="single" w:sz="4" w:space="0" w:color="auto"/>
              <w:bottom w:val="single" w:sz="12" w:space="0" w:color="auto"/>
            </w:tcBorders>
            <w:shd w:val="clear" w:color="auto" w:fill="auto"/>
            <w:vAlign w:val="bottom"/>
          </w:tcPr>
          <w:p w14:paraId="4A4FF73A"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881" w:type="dxa"/>
            <w:tcBorders>
              <w:top w:val="single" w:sz="4" w:space="0" w:color="auto"/>
              <w:bottom w:val="single" w:sz="12" w:space="0" w:color="auto"/>
            </w:tcBorders>
            <w:shd w:val="clear" w:color="auto" w:fill="auto"/>
            <w:vAlign w:val="bottom"/>
          </w:tcPr>
          <w:p w14:paraId="78CC3D70"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881" w:type="dxa"/>
            <w:tcBorders>
              <w:top w:val="single" w:sz="4" w:space="0" w:color="auto"/>
              <w:bottom w:val="single" w:sz="12" w:space="0" w:color="auto"/>
            </w:tcBorders>
            <w:shd w:val="clear" w:color="auto" w:fill="auto"/>
            <w:vAlign w:val="bottom"/>
          </w:tcPr>
          <w:p w14:paraId="4E5DFBEE"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881" w:type="dxa"/>
            <w:tcBorders>
              <w:top w:val="single" w:sz="4" w:space="0" w:color="auto"/>
              <w:bottom w:val="single" w:sz="12" w:space="0" w:color="auto"/>
            </w:tcBorders>
            <w:shd w:val="clear" w:color="auto" w:fill="auto"/>
            <w:vAlign w:val="bottom"/>
          </w:tcPr>
          <w:p w14:paraId="0696B840" w14:textId="77777777" w:rsidR="00F5461C" w:rsidRPr="00F5461C" w:rsidRDefault="00A87771" w:rsidP="00E27276">
            <w:pPr>
              <w:pStyle w:val="SingleTxtG"/>
              <w:spacing w:before="80" w:after="80" w:line="200" w:lineRule="exact"/>
              <w:ind w:left="113" w:right="11"/>
              <w:jc w:val="right"/>
              <w:rPr>
                <w:i/>
                <w:sz w:val="16"/>
                <w:lang w:val="es-ES_tradnl"/>
              </w:rPr>
            </w:pPr>
            <w:r>
              <w:rPr>
                <w:i/>
                <w:iCs/>
                <w:sz w:val="16"/>
                <w:lang w:val="es-ES_tradnl"/>
              </w:rPr>
              <w:t xml:space="preserve">Septiembre de </w:t>
            </w:r>
            <w:r w:rsidR="00F5461C" w:rsidRPr="00F5461C">
              <w:rPr>
                <w:i/>
                <w:iCs/>
                <w:sz w:val="16"/>
                <w:lang w:val="es-ES_tradnl"/>
              </w:rPr>
              <w:t>2018</w:t>
            </w:r>
          </w:p>
        </w:tc>
      </w:tr>
      <w:tr w:rsidR="00A30C12" w:rsidRPr="00F5461C" w14:paraId="3B60BD73" w14:textId="77777777" w:rsidTr="00A30C12">
        <w:trPr>
          <w:cantSplit/>
          <w:trHeight w:val="240"/>
        </w:trPr>
        <w:tc>
          <w:tcPr>
            <w:tcW w:w="2966" w:type="dxa"/>
            <w:tcBorders>
              <w:top w:val="single" w:sz="12" w:space="0" w:color="auto"/>
            </w:tcBorders>
            <w:shd w:val="clear" w:color="auto" w:fill="auto"/>
          </w:tcPr>
          <w:p w14:paraId="7A217A1D"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Personas con deficiencia visual/ambliopía</w:t>
            </w:r>
          </w:p>
        </w:tc>
        <w:tc>
          <w:tcPr>
            <w:tcW w:w="880" w:type="dxa"/>
            <w:tcBorders>
              <w:top w:val="single" w:sz="12" w:space="0" w:color="auto"/>
            </w:tcBorders>
            <w:shd w:val="clear" w:color="auto" w:fill="auto"/>
            <w:vAlign w:val="bottom"/>
          </w:tcPr>
          <w:p w14:paraId="7156917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top w:val="single" w:sz="12" w:space="0" w:color="auto"/>
            </w:tcBorders>
            <w:shd w:val="clear" w:color="auto" w:fill="auto"/>
            <w:vAlign w:val="bottom"/>
          </w:tcPr>
          <w:p w14:paraId="2118321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top w:val="single" w:sz="12" w:space="0" w:color="auto"/>
            </w:tcBorders>
            <w:shd w:val="clear" w:color="auto" w:fill="auto"/>
            <w:vAlign w:val="bottom"/>
          </w:tcPr>
          <w:p w14:paraId="38457EE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w:t>
            </w:r>
          </w:p>
        </w:tc>
        <w:tc>
          <w:tcPr>
            <w:tcW w:w="881" w:type="dxa"/>
            <w:tcBorders>
              <w:top w:val="single" w:sz="12" w:space="0" w:color="auto"/>
            </w:tcBorders>
            <w:shd w:val="clear" w:color="auto" w:fill="auto"/>
            <w:vAlign w:val="bottom"/>
          </w:tcPr>
          <w:p w14:paraId="5D23589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top w:val="single" w:sz="12" w:space="0" w:color="auto"/>
            </w:tcBorders>
            <w:shd w:val="clear" w:color="auto" w:fill="auto"/>
            <w:vAlign w:val="bottom"/>
          </w:tcPr>
          <w:p w14:paraId="300B44F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r>
      <w:tr w:rsidR="00A30C12" w:rsidRPr="00F5461C" w14:paraId="70D03347" w14:textId="77777777" w:rsidTr="00A30C12">
        <w:trPr>
          <w:cantSplit/>
          <w:trHeight w:val="240"/>
        </w:trPr>
        <w:tc>
          <w:tcPr>
            <w:tcW w:w="2966" w:type="dxa"/>
            <w:shd w:val="clear" w:color="auto" w:fill="auto"/>
          </w:tcPr>
          <w:p w14:paraId="0950ADD6"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Sordera/personas con deficiencias auditivas</w:t>
            </w:r>
          </w:p>
        </w:tc>
        <w:tc>
          <w:tcPr>
            <w:tcW w:w="880" w:type="dxa"/>
            <w:shd w:val="clear" w:color="auto" w:fill="auto"/>
            <w:vAlign w:val="bottom"/>
          </w:tcPr>
          <w:p w14:paraId="7729A20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133A356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w:t>
            </w:r>
          </w:p>
        </w:tc>
        <w:tc>
          <w:tcPr>
            <w:tcW w:w="881" w:type="dxa"/>
            <w:shd w:val="clear" w:color="auto" w:fill="auto"/>
            <w:vAlign w:val="bottom"/>
          </w:tcPr>
          <w:p w14:paraId="3B20375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5DF7ECE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c>
          <w:tcPr>
            <w:tcW w:w="881" w:type="dxa"/>
            <w:shd w:val="clear" w:color="auto" w:fill="auto"/>
            <w:vAlign w:val="bottom"/>
          </w:tcPr>
          <w:p w14:paraId="0B48542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r>
      <w:tr w:rsidR="00A30C12" w:rsidRPr="00F5461C" w14:paraId="5A5BE45E" w14:textId="77777777" w:rsidTr="00A30C12">
        <w:trPr>
          <w:cantSplit/>
          <w:trHeight w:val="240"/>
        </w:trPr>
        <w:tc>
          <w:tcPr>
            <w:tcW w:w="2966" w:type="dxa"/>
            <w:shd w:val="clear" w:color="auto" w:fill="auto"/>
          </w:tcPr>
          <w:p w14:paraId="7E4C1AF5"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Discapacidad física</w:t>
            </w:r>
          </w:p>
        </w:tc>
        <w:tc>
          <w:tcPr>
            <w:tcW w:w="880" w:type="dxa"/>
            <w:shd w:val="clear" w:color="auto" w:fill="auto"/>
            <w:vAlign w:val="bottom"/>
          </w:tcPr>
          <w:p w14:paraId="48B3260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w:t>
            </w:r>
          </w:p>
        </w:tc>
        <w:tc>
          <w:tcPr>
            <w:tcW w:w="881" w:type="dxa"/>
            <w:shd w:val="clear" w:color="auto" w:fill="auto"/>
            <w:vAlign w:val="bottom"/>
          </w:tcPr>
          <w:p w14:paraId="1BC7ED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881" w:type="dxa"/>
            <w:shd w:val="clear" w:color="auto" w:fill="auto"/>
            <w:vAlign w:val="bottom"/>
          </w:tcPr>
          <w:p w14:paraId="5FEC88F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22</w:t>
            </w:r>
          </w:p>
        </w:tc>
        <w:tc>
          <w:tcPr>
            <w:tcW w:w="881" w:type="dxa"/>
            <w:shd w:val="clear" w:color="auto" w:fill="auto"/>
            <w:vAlign w:val="bottom"/>
          </w:tcPr>
          <w:p w14:paraId="104EB30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c>
          <w:tcPr>
            <w:tcW w:w="881" w:type="dxa"/>
            <w:shd w:val="clear" w:color="auto" w:fill="auto"/>
            <w:vAlign w:val="bottom"/>
          </w:tcPr>
          <w:p w14:paraId="363640A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r>
      <w:tr w:rsidR="00A30C12" w:rsidRPr="00F5461C" w14:paraId="6781AB0F" w14:textId="77777777" w:rsidTr="00A30C12">
        <w:trPr>
          <w:cantSplit/>
          <w:trHeight w:val="240"/>
        </w:trPr>
        <w:tc>
          <w:tcPr>
            <w:tcW w:w="2966" w:type="dxa"/>
            <w:shd w:val="clear" w:color="auto" w:fill="auto"/>
          </w:tcPr>
          <w:p w14:paraId="1254DAD8"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Personas que han padecido una enfermedad mental</w:t>
            </w:r>
          </w:p>
        </w:tc>
        <w:tc>
          <w:tcPr>
            <w:tcW w:w="880" w:type="dxa"/>
            <w:shd w:val="clear" w:color="auto" w:fill="auto"/>
            <w:vAlign w:val="bottom"/>
          </w:tcPr>
          <w:p w14:paraId="5C5C4B2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w:t>
            </w:r>
          </w:p>
        </w:tc>
        <w:tc>
          <w:tcPr>
            <w:tcW w:w="881" w:type="dxa"/>
            <w:shd w:val="clear" w:color="auto" w:fill="auto"/>
            <w:vAlign w:val="bottom"/>
          </w:tcPr>
          <w:p w14:paraId="5BBB602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3E65456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4E23B2C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w:t>
            </w:r>
          </w:p>
        </w:tc>
        <w:tc>
          <w:tcPr>
            <w:tcW w:w="881" w:type="dxa"/>
            <w:shd w:val="clear" w:color="auto" w:fill="auto"/>
            <w:vAlign w:val="bottom"/>
          </w:tcPr>
          <w:p w14:paraId="4A8EE8B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w:t>
            </w:r>
          </w:p>
        </w:tc>
      </w:tr>
      <w:tr w:rsidR="00A30C12" w:rsidRPr="00F5461C" w14:paraId="7C664023" w14:textId="77777777" w:rsidTr="00A30C12">
        <w:trPr>
          <w:cantSplit/>
          <w:trHeight w:val="240"/>
        </w:trPr>
        <w:tc>
          <w:tcPr>
            <w:tcW w:w="2966" w:type="dxa"/>
            <w:shd w:val="clear" w:color="auto" w:fill="auto"/>
          </w:tcPr>
          <w:p w14:paraId="748C59B4"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Discapacidad intelectual</w:t>
            </w:r>
          </w:p>
        </w:tc>
        <w:tc>
          <w:tcPr>
            <w:tcW w:w="880" w:type="dxa"/>
            <w:shd w:val="clear" w:color="auto" w:fill="auto"/>
            <w:vAlign w:val="bottom"/>
          </w:tcPr>
          <w:p w14:paraId="475A46E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27</w:t>
            </w:r>
          </w:p>
        </w:tc>
        <w:tc>
          <w:tcPr>
            <w:tcW w:w="881" w:type="dxa"/>
            <w:shd w:val="clear" w:color="auto" w:fill="auto"/>
            <w:vAlign w:val="bottom"/>
          </w:tcPr>
          <w:p w14:paraId="6D5DDC3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44D5DF7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w:t>
            </w:r>
          </w:p>
        </w:tc>
        <w:tc>
          <w:tcPr>
            <w:tcW w:w="881" w:type="dxa"/>
            <w:shd w:val="clear" w:color="auto" w:fill="auto"/>
            <w:vAlign w:val="bottom"/>
          </w:tcPr>
          <w:p w14:paraId="5BEB3FD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28</w:t>
            </w:r>
          </w:p>
        </w:tc>
        <w:tc>
          <w:tcPr>
            <w:tcW w:w="881" w:type="dxa"/>
            <w:shd w:val="clear" w:color="auto" w:fill="auto"/>
            <w:vAlign w:val="bottom"/>
          </w:tcPr>
          <w:p w14:paraId="6AFCB98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w:t>
            </w:r>
          </w:p>
        </w:tc>
      </w:tr>
      <w:tr w:rsidR="00A30C12" w:rsidRPr="00F5461C" w14:paraId="6E470585" w14:textId="77777777" w:rsidTr="00A30C12">
        <w:trPr>
          <w:cantSplit/>
          <w:trHeight w:val="240"/>
        </w:trPr>
        <w:tc>
          <w:tcPr>
            <w:tcW w:w="2966" w:type="dxa"/>
            <w:shd w:val="clear" w:color="auto" w:fill="auto"/>
          </w:tcPr>
          <w:p w14:paraId="79B785A8"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Personas con deficiencias en el habla</w:t>
            </w:r>
          </w:p>
        </w:tc>
        <w:tc>
          <w:tcPr>
            <w:tcW w:w="880" w:type="dxa"/>
            <w:shd w:val="clear" w:color="auto" w:fill="auto"/>
            <w:vAlign w:val="bottom"/>
          </w:tcPr>
          <w:p w14:paraId="108F837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881" w:type="dxa"/>
            <w:shd w:val="clear" w:color="auto" w:fill="auto"/>
            <w:vAlign w:val="bottom"/>
          </w:tcPr>
          <w:p w14:paraId="6CB3CC7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881" w:type="dxa"/>
            <w:shd w:val="clear" w:color="auto" w:fill="auto"/>
            <w:vAlign w:val="bottom"/>
          </w:tcPr>
          <w:p w14:paraId="48B8CA3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881" w:type="dxa"/>
            <w:shd w:val="clear" w:color="auto" w:fill="auto"/>
            <w:vAlign w:val="bottom"/>
          </w:tcPr>
          <w:p w14:paraId="7431EAD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881" w:type="dxa"/>
            <w:shd w:val="clear" w:color="auto" w:fill="auto"/>
            <w:vAlign w:val="bottom"/>
          </w:tcPr>
          <w:p w14:paraId="3A0BB5B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r>
      <w:tr w:rsidR="00A30C12" w:rsidRPr="00F5461C" w14:paraId="235A64CB" w14:textId="77777777" w:rsidTr="00A30C12">
        <w:trPr>
          <w:cantSplit/>
          <w:trHeight w:val="240"/>
        </w:trPr>
        <w:tc>
          <w:tcPr>
            <w:tcW w:w="2966" w:type="dxa"/>
            <w:shd w:val="clear" w:color="auto" w:fill="auto"/>
          </w:tcPr>
          <w:p w14:paraId="35ABA991"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Discapacidades múltiples</w:t>
            </w:r>
          </w:p>
        </w:tc>
        <w:tc>
          <w:tcPr>
            <w:tcW w:w="880" w:type="dxa"/>
            <w:shd w:val="clear" w:color="auto" w:fill="auto"/>
            <w:vAlign w:val="bottom"/>
          </w:tcPr>
          <w:p w14:paraId="1594E90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w:t>
            </w:r>
          </w:p>
        </w:tc>
        <w:tc>
          <w:tcPr>
            <w:tcW w:w="881" w:type="dxa"/>
            <w:shd w:val="clear" w:color="auto" w:fill="auto"/>
            <w:vAlign w:val="bottom"/>
          </w:tcPr>
          <w:p w14:paraId="0CBCAB1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shd w:val="clear" w:color="auto" w:fill="auto"/>
            <w:vAlign w:val="bottom"/>
          </w:tcPr>
          <w:p w14:paraId="3CFBE99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w:t>
            </w:r>
          </w:p>
        </w:tc>
        <w:tc>
          <w:tcPr>
            <w:tcW w:w="881" w:type="dxa"/>
            <w:shd w:val="clear" w:color="auto" w:fill="auto"/>
            <w:vAlign w:val="bottom"/>
          </w:tcPr>
          <w:p w14:paraId="273C4E9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w:t>
            </w:r>
          </w:p>
        </w:tc>
        <w:tc>
          <w:tcPr>
            <w:tcW w:w="881" w:type="dxa"/>
            <w:shd w:val="clear" w:color="auto" w:fill="auto"/>
            <w:vAlign w:val="bottom"/>
          </w:tcPr>
          <w:p w14:paraId="4F9F0A4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w:t>
            </w:r>
          </w:p>
        </w:tc>
      </w:tr>
      <w:tr w:rsidR="00A30C12" w:rsidRPr="00F5461C" w14:paraId="662EF5F6" w14:textId="77777777" w:rsidTr="00A30C12">
        <w:trPr>
          <w:cantSplit/>
          <w:trHeight w:val="240"/>
        </w:trPr>
        <w:tc>
          <w:tcPr>
            <w:tcW w:w="2966" w:type="dxa"/>
            <w:tcBorders>
              <w:bottom w:val="single" w:sz="12" w:space="0" w:color="auto"/>
            </w:tcBorders>
            <w:shd w:val="clear" w:color="auto" w:fill="auto"/>
          </w:tcPr>
          <w:p w14:paraId="5DD98427"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Otros</w:t>
            </w:r>
          </w:p>
        </w:tc>
        <w:tc>
          <w:tcPr>
            <w:tcW w:w="880" w:type="dxa"/>
            <w:tcBorders>
              <w:bottom w:val="single" w:sz="12" w:space="0" w:color="auto"/>
            </w:tcBorders>
            <w:shd w:val="clear" w:color="auto" w:fill="auto"/>
            <w:vAlign w:val="bottom"/>
          </w:tcPr>
          <w:p w14:paraId="7CAFC62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881" w:type="dxa"/>
            <w:tcBorders>
              <w:bottom w:val="single" w:sz="12" w:space="0" w:color="auto"/>
            </w:tcBorders>
            <w:shd w:val="clear" w:color="auto" w:fill="auto"/>
            <w:vAlign w:val="bottom"/>
          </w:tcPr>
          <w:p w14:paraId="7E5194E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bottom w:val="single" w:sz="12" w:space="0" w:color="auto"/>
            </w:tcBorders>
            <w:shd w:val="clear" w:color="auto" w:fill="auto"/>
            <w:vAlign w:val="bottom"/>
          </w:tcPr>
          <w:p w14:paraId="1ACAD19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w:t>
            </w:r>
          </w:p>
        </w:tc>
        <w:tc>
          <w:tcPr>
            <w:tcW w:w="881" w:type="dxa"/>
            <w:tcBorders>
              <w:bottom w:val="single" w:sz="12" w:space="0" w:color="auto"/>
            </w:tcBorders>
            <w:shd w:val="clear" w:color="auto" w:fill="auto"/>
            <w:vAlign w:val="bottom"/>
          </w:tcPr>
          <w:p w14:paraId="71D8509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bottom w:val="single" w:sz="12" w:space="0" w:color="auto"/>
            </w:tcBorders>
            <w:shd w:val="clear" w:color="auto" w:fill="auto"/>
            <w:vAlign w:val="bottom"/>
          </w:tcPr>
          <w:p w14:paraId="1297D76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w:t>
            </w:r>
          </w:p>
        </w:tc>
      </w:tr>
    </w:tbl>
    <w:p w14:paraId="329EC804" w14:textId="77777777" w:rsidR="00F5461C" w:rsidRPr="00F5461C" w:rsidRDefault="00F5461C" w:rsidP="00A30C12">
      <w:pPr>
        <w:pStyle w:val="SingleTxtG"/>
        <w:spacing w:before="120"/>
        <w:ind w:firstLine="170"/>
        <w:rPr>
          <w:sz w:val="18"/>
          <w:szCs w:val="18"/>
          <w:lang w:val="es-ES_tradnl"/>
        </w:rPr>
      </w:pPr>
      <w:r w:rsidRPr="00F5461C">
        <w:rPr>
          <w:i/>
          <w:iCs/>
          <w:sz w:val="18"/>
          <w:szCs w:val="18"/>
          <w:lang w:val="es-ES_tradnl"/>
        </w:rPr>
        <w:t>Fuente</w:t>
      </w:r>
      <w:r w:rsidRPr="00E27276">
        <w:rPr>
          <w:i/>
          <w:iCs/>
          <w:sz w:val="18"/>
          <w:szCs w:val="18"/>
          <w:lang w:val="es-ES_tradnl"/>
        </w:rPr>
        <w:t>:</w:t>
      </w:r>
      <w:r w:rsidRPr="00F5461C">
        <w:rPr>
          <w:sz w:val="18"/>
          <w:szCs w:val="18"/>
          <w:lang w:val="es-ES_tradnl"/>
        </w:rPr>
        <w:t xml:space="preserve"> Dirección de Asuntos Laborales.</w:t>
      </w:r>
    </w:p>
    <w:p w14:paraId="106C1FA4" w14:textId="77777777" w:rsidR="00F5461C" w:rsidRPr="00F5461C" w:rsidRDefault="00F5461C" w:rsidP="00F5461C">
      <w:pPr>
        <w:pStyle w:val="SingleTxtG"/>
        <w:rPr>
          <w:lang w:val="es-ES_tradnl"/>
        </w:rPr>
      </w:pPr>
      <w:r w:rsidRPr="00F5461C">
        <w:rPr>
          <w:lang w:val="es-ES_tradnl"/>
        </w:rPr>
        <w:lastRenderedPageBreak/>
        <w:t>64.</w:t>
      </w:r>
      <w:r w:rsidRPr="00F5461C">
        <w:rPr>
          <w:lang w:val="es-ES_tradnl"/>
        </w:rPr>
        <w:tab/>
        <w:t>Entre 2014 y septiembre de 2018, en el marco de un programa del Grupo de Tareas para el Desarrollo de la Capacidad, de la Dirección de Asuntos Laborales, se organizaron 42 actividades de apoyo al empleo para personas con discapacidad (por ejemplo, búsqueda de puestos adecuados, asesoramiento sobre salidas profesionales, ayuda para las entrevistas y visitas de seguimiento posteriores al empleo). De esas actividades, 23 consistieron en</w:t>
      </w:r>
      <w:r w:rsidR="00E27276">
        <w:rPr>
          <w:lang w:val="es-ES_tradnl"/>
        </w:rPr>
        <w:t> </w:t>
      </w:r>
      <w:r w:rsidRPr="00F5461C">
        <w:rPr>
          <w:lang w:val="es-ES_tradnl"/>
        </w:rPr>
        <w:t xml:space="preserve">conferencias sobre asesoramiento laboral, 10 fueron talleres de entrevistas simuladas, hubo 6 presentaciones de servicios de empleo y 3 correspondieron a foros y seminarios. </w:t>
      </w:r>
    </w:p>
    <w:p w14:paraId="1F06966B" w14:textId="77777777" w:rsidR="00F5461C" w:rsidRPr="00F5461C" w:rsidRDefault="00F5461C" w:rsidP="00F5461C">
      <w:pPr>
        <w:pStyle w:val="SingleTxtG"/>
        <w:rPr>
          <w:lang w:val="es-ES_tradnl"/>
        </w:rPr>
      </w:pPr>
      <w:r w:rsidRPr="00F5461C">
        <w:rPr>
          <w:lang w:val="es-ES_tradnl"/>
        </w:rPr>
        <w:t>65.</w:t>
      </w:r>
      <w:r w:rsidRPr="00F5461C">
        <w:rPr>
          <w:lang w:val="es-ES_tradnl"/>
        </w:rPr>
        <w:tab/>
        <w:t>El programa de premios a empleadores que contratan a personas con discapacidad y el programa de premios a empleados con discapacidad destacados, que organizan conjuntamente cada dos años la Dirección de Asuntos Laborales y la Oficina de Bienestar Social, siguen siendo iniciativas importantes. El número de empresas candidatas aumentó de 69 en 2015 a 78 en 2017. Entre 2014 y 2018, 205 empleados (109 hombres y 96</w:t>
      </w:r>
      <w:r w:rsidR="00813C73">
        <w:rPr>
          <w:lang w:val="es-ES_tradnl"/>
        </w:rPr>
        <w:t> </w:t>
      </w:r>
      <w:r w:rsidRPr="00F5461C">
        <w:rPr>
          <w:lang w:val="es-ES_tradnl"/>
        </w:rPr>
        <w:t>mujeres) con discapacidad intelectual o física, deficiencia auditiva y otras discapacidades fueron seleccionados como candidatos a los premios para empleados destacados.</w:t>
      </w:r>
    </w:p>
    <w:p w14:paraId="5AC5576B" w14:textId="77777777" w:rsidR="00F5461C" w:rsidRPr="00F5461C" w:rsidRDefault="00F5461C" w:rsidP="00F5461C">
      <w:pPr>
        <w:pStyle w:val="SingleTxtG"/>
        <w:rPr>
          <w:lang w:val="es-ES_tradnl"/>
        </w:rPr>
      </w:pPr>
      <w:r w:rsidRPr="00F5461C">
        <w:rPr>
          <w:lang w:val="es-ES_tradnl"/>
        </w:rPr>
        <w:t>66.</w:t>
      </w:r>
      <w:r w:rsidRPr="00F5461C">
        <w:rPr>
          <w:lang w:val="es-ES_tradnl"/>
        </w:rPr>
        <w:tab/>
        <w:t>El programa de actividades de verano para la adquisición de experiencia laboral alienta a las empresas a contratar estudiantes con discapacidades. El programa para 2018 contó con 107 participantes (61 hombres y 46 mujeres) de edades comprendidas entre los</w:t>
      </w:r>
      <w:r w:rsidR="00E27276">
        <w:rPr>
          <w:lang w:val="es-ES_tradnl"/>
        </w:rPr>
        <w:t> </w:t>
      </w:r>
      <w:r w:rsidRPr="00F5461C">
        <w:rPr>
          <w:lang w:val="es-ES_tradnl"/>
        </w:rPr>
        <w:t>17 y los 24 años. De estos, 72 tenían discapacidad intelectual, 7 discapacidad física, 2</w:t>
      </w:r>
      <w:r w:rsidR="004920D5">
        <w:rPr>
          <w:lang w:val="es-ES_tradnl"/>
        </w:rPr>
        <w:t> </w:t>
      </w:r>
      <w:r w:rsidRPr="00F5461C">
        <w:rPr>
          <w:lang w:val="es-ES_tradnl"/>
        </w:rPr>
        <w:t>problemas de audición, 3 autismo, 17 discapacidad de aprendizaje y 6 discapacidades múltiples.</w:t>
      </w:r>
    </w:p>
    <w:p w14:paraId="5FB787D3" w14:textId="77777777" w:rsidR="00F5461C" w:rsidRPr="00F5461C" w:rsidRDefault="00A30C12" w:rsidP="00A30C12">
      <w:pPr>
        <w:pStyle w:val="H23G"/>
        <w:rPr>
          <w:lang w:val="es-ES_tradnl"/>
        </w:rPr>
      </w:pPr>
      <w:r>
        <w:rPr>
          <w:lang w:val="es-ES_tradnl"/>
        </w:rPr>
        <w:tab/>
      </w:r>
      <w:r w:rsidR="00F5461C" w:rsidRPr="00F5461C">
        <w:rPr>
          <w:lang w:val="es-ES_tradnl"/>
        </w:rPr>
        <w:tab/>
        <w:t>Medidas para garantizar el derecho a trabajar</w:t>
      </w:r>
    </w:p>
    <w:p w14:paraId="1EE28F55" w14:textId="77777777" w:rsidR="00F5461C" w:rsidRPr="00F5461C" w:rsidRDefault="00F5461C" w:rsidP="00F5461C">
      <w:pPr>
        <w:pStyle w:val="SingleTxtG"/>
        <w:rPr>
          <w:lang w:val="es-ES_tradnl"/>
        </w:rPr>
      </w:pPr>
      <w:r w:rsidRPr="00F5461C">
        <w:rPr>
          <w:lang w:val="es-ES_tradnl"/>
        </w:rPr>
        <w:t>67.</w:t>
      </w:r>
      <w:r w:rsidRPr="00F5461C">
        <w:rPr>
          <w:lang w:val="es-ES_tradnl"/>
        </w:rPr>
        <w:tab/>
        <w:t>El Gobierno sigue adoptando medidas y programas para la promoción del empleo, el empleo juvenil, la capacitación y el reciclaje profesional. El juego, el turismo y los servicios siguen siendo los principales sectores de actividad de la RAE de Macao.</w:t>
      </w:r>
    </w:p>
    <w:p w14:paraId="74A17602" w14:textId="77777777" w:rsidR="00F5461C" w:rsidRPr="00F5461C" w:rsidRDefault="00F5461C" w:rsidP="00F5461C">
      <w:pPr>
        <w:pStyle w:val="SingleTxtG"/>
        <w:rPr>
          <w:lang w:val="es-ES_tradnl"/>
        </w:rPr>
      </w:pPr>
      <w:r w:rsidRPr="00F5461C">
        <w:rPr>
          <w:lang w:val="es-ES_tradnl"/>
        </w:rPr>
        <w:t>68.</w:t>
      </w:r>
      <w:r w:rsidRPr="00F5461C">
        <w:rPr>
          <w:lang w:val="es-ES_tradnl"/>
        </w:rPr>
        <w:tab/>
        <w:t xml:space="preserve">Los cursos de la Dirección de Asuntos Laborales incluyen formación de aprendices, formación vinculada a certificaciones, formación en el trabajo y formación para la mejora de competencias. Se impartieron cursos a 12.633 personas de entre 15 y 34 </w:t>
      </w:r>
      <w:proofErr w:type="gramStart"/>
      <w:r w:rsidRPr="00F5461C">
        <w:rPr>
          <w:lang w:val="es-ES_tradnl"/>
        </w:rPr>
        <w:t>años de edad</w:t>
      </w:r>
      <w:proofErr w:type="gramEnd"/>
      <w:r w:rsidRPr="00F5461C">
        <w:rPr>
          <w:lang w:val="es-ES_tradnl"/>
        </w:rPr>
        <w:t>, es decir, el 39,9</w:t>
      </w:r>
      <w:r w:rsidR="00E27276">
        <w:rPr>
          <w:lang w:val="es-ES_tradnl"/>
        </w:rPr>
        <w:t> %</w:t>
      </w:r>
      <w:r w:rsidRPr="00F5461C">
        <w:rPr>
          <w:lang w:val="es-ES_tradnl"/>
        </w:rPr>
        <w:t xml:space="preserve"> de los destinatarios, y a 5.090 personas de 55 años o más, el equivalente a un 16,1</w:t>
      </w:r>
      <w:r w:rsidR="00E27276">
        <w:rPr>
          <w:lang w:val="es-ES_tradnl"/>
        </w:rPr>
        <w:t> %</w:t>
      </w:r>
      <w:r w:rsidRPr="00F5461C">
        <w:rPr>
          <w:lang w:val="es-ES_tradnl"/>
        </w:rPr>
        <w:t xml:space="preserve"> del total. Además, se expidieron 7.365 certificados de diferentes niveles a jóvenes de entre 15 y 34 años, lo que representa el 55,9</w:t>
      </w:r>
      <w:r w:rsidR="00E27276">
        <w:rPr>
          <w:lang w:val="es-ES_tradnl"/>
        </w:rPr>
        <w:t> %</w:t>
      </w:r>
      <w:r w:rsidRPr="00F5461C">
        <w:rPr>
          <w:lang w:val="es-ES_tradnl"/>
        </w:rPr>
        <w:t xml:space="preserve"> de los certificados expedidos.</w:t>
      </w:r>
    </w:p>
    <w:p w14:paraId="71392B87" w14:textId="77777777" w:rsidR="00F5461C" w:rsidRPr="00F5461C" w:rsidRDefault="00F5461C" w:rsidP="00F5461C">
      <w:pPr>
        <w:pStyle w:val="SingleTxtG"/>
        <w:rPr>
          <w:lang w:val="es-ES_tradnl"/>
        </w:rPr>
      </w:pPr>
      <w:r w:rsidRPr="00F5461C">
        <w:rPr>
          <w:lang w:val="es-ES_tradnl"/>
        </w:rPr>
        <w:t>69.</w:t>
      </w:r>
      <w:r w:rsidRPr="00F5461C">
        <w:rPr>
          <w:lang w:val="es-ES_tradnl"/>
        </w:rPr>
        <w:tab/>
        <w:t xml:space="preserve">La Dirección de Asuntos Laborales también trabaja con ONG de jóvenes, organizando la Feria de Empleo para Jóvenes </w:t>
      </w:r>
      <w:r w:rsidRPr="00E27276">
        <w:rPr>
          <w:lang w:val="es-ES_tradnl"/>
        </w:rPr>
        <w:t>(</w:t>
      </w:r>
      <w:proofErr w:type="spellStart"/>
      <w:r w:rsidRPr="00E27276">
        <w:rPr>
          <w:lang w:val="es-ES_tradnl"/>
        </w:rPr>
        <w:t>Youth</w:t>
      </w:r>
      <w:proofErr w:type="spellEnd"/>
      <w:r w:rsidRPr="00E27276">
        <w:rPr>
          <w:lang w:val="es-ES_tradnl"/>
        </w:rPr>
        <w:t xml:space="preserve"> </w:t>
      </w:r>
      <w:proofErr w:type="spellStart"/>
      <w:r w:rsidRPr="00E27276">
        <w:rPr>
          <w:lang w:val="es-ES_tradnl"/>
        </w:rPr>
        <w:t>Career</w:t>
      </w:r>
      <w:proofErr w:type="spellEnd"/>
      <w:r w:rsidRPr="00E27276">
        <w:rPr>
          <w:lang w:val="es-ES_tradnl"/>
        </w:rPr>
        <w:t xml:space="preserve"> Expo)</w:t>
      </w:r>
      <w:r w:rsidRPr="00F5461C">
        <w:rPr>
          <w:lang w:val="es-ES_tradnl"/>
        </w:rPr>
        <w:t xml:space="preserve"> y otras actividades, como plataforma para ayudar a los jóvenes a desarrollar su trayectoria profesional, conocer las tendencias del mercado laboral y mejorar sus aptitudes para las entrevistas y comunicativas en general.</w:t>
      </w:r>
    </w:p>
    <w:p w14:paraId="3947BD2D" w14:textId="77777777" w:rsidR="00F5461C" w:rsidRPr="00F5461C" w:rsidRDefault="00F5461C" w:rsidP="00A30C12">
      <w:pPr>
        <w:pStyle w:val="H23G"/>
        <w:rPr>
          <w:lang w:val="es-ES_tradnl"/>
        </w:rPr>
      </w:pPr>
      <w:r w:rsidRPr="00F5461C">
        <w:rPr>
          <w:lang w:val="es-ES_tradnl"/>
        </w:rPr>
        <w:tab/>
      </w:r>
      <w:r w:rsidR="00A30C12">
        <w:rPr>
          <w:lang w:val="es-ES_tradnl"/>
        </w:rPr>
        <w:tab/>
      </w:r>
      <w:r w:rsidRPr="00F5461C">
        <w:rPr>
          <w:lang w:val="es-ES_tradnl"/>
        </w:rPr>
        <w:t>Actividades relacionadas con el empleo juvenil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0"/>
        <w:gridCol w:w="737"/>
        <w:gridCol w:w="740"/>
        <w:gridCol w:w="739"/>
        <w:gridCol w:w="740"/>
        <w:gridCol w:w="844"/>
      </w:tblGrid>
      <w:tr w:rsidR="006400FD" w:rsidRPr="006400FD" w14:paraId="27012F91" w14:textId="77777777" w:rsidTr="006400FD">
        <w:trPr>
          <w:cantSplit/>
          <w:trHeight w:val="240"/>
          <w:tblHeader/>
        </w:trPr>
        <w:tc>
          <w:tcPr>
            <w:tcW w:w="3642" w:type="dxa"/>
            <w:tcBorders>
              <w:top w:val="single" w:sz="4" w:space="0" w:color="auto"/>
              <w:bottom w:val="single" w:sz="12" w:space="0" w:color="auto"/>
            </w:tcBorders>
            <w:shd w:val="clear" w:color="auto" w:fill="auto"/>
            <w:vAlign w:val="bottom"/>
          </w:tcPr>
          <w:p w14:paraId="103126D1" w14:textId="77777777" w:rsidR="00F5461C" w:rsidRPr="00F5461C" w:rsidRDefault="00F5461C" w:rsidP="006400FD">
            <w:pPr>
              <w:pStyle w:val="SingleTxtG"/>
              <w:spacing w:before="80" w:after="80" w:line="200" w:lineRule="exact"/>
              <w:ind w:left="0" w:right="0"/>
              <w:jc w:val="left"/>
              <w:rPr>
                <w:i/>
                <w:sz w:val="16"/>
                <w:lang w:val="es-ES_tradnl"/>
              </w:rPr>
            </w:pPr>
            <w:r w:rsidRPr="00F5461C">
              <w:rPr>
                <w:i/>
                <w:iCs/>
                <w:sz w:val="16"/>
                <w:lang w:val="es-ES_tradnl"/>
              </w:rPr>
              <w:t>Actividades/Años</w:t>
            </w:r>
          </w:p>
        </w:tc>
        <w:tc>
          <w:tcPr>
            <w:tcW w:w="745" w:type="dxa"/>
            <w:tcBorders>
              <w:top w:val="single" w:sz="4" w:space="0" w:color="auto"/>
              <w:bottom w:val="single" w:sz="12" w:space="0" w:color="auto"/>
            </w:tcBorders>
            <w:shd w:val="clear" w:color="auto" w:fill="auto"/>
            <w:vAlign w:val="bottom"/>
          </w:tcPr>
          <w:p w14:paraId="48AACDA2"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746" w:type="dxa"/>
            <w:tcBorders>
              <w:top w:val="single" w:sz="4" w:space="0" w:color="auto"/>
              <w:bottom w:val="single" w:sz="12" w:space="0" w:color="auto"/>
            </w:tcBorders>
            <w:shd w:val="clear" w:color="auto" w:fill="auto"/>
            <w:vAlign w:val="bottom"/>
          </w:tcPr>
          <w:p w14:paraId="5B9F920C"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745" w:type="dxa"/>
            <w:tcBorders>
              <w:top w:val="single" w:sz="4" w:space="0" w:color="auto"/>
              <w:bottom w:val="single" w:sz="12" w:space="0" w:color="auto"/>
            </w:tcBorders>
            <w:shd w:val="clear" w:color="auto" w:fill="auto"/>
            <w:vAlign w:val="bottom"/>
          </w:tcPr>
          <w:p w14:paraId="13B2BA2B"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746" w:type="dxa"/>
            <w:tcBorders>
              <w:top w:val="single" w:sz="4" w:space="0" w:color="auto"/>
              <w:bottom w:val="single" w:sz="12" w:space="0" w:color="auto"/>
            </w:tcBorders>
            <w:shd w:val="clear" w:color="auto" w:fill="auto"/>
            <w:vAlign w:val="bottom"/>
          </w:tcPr>
          <w:p w14:paraId="4A9CB500"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746" w:type="dxa"/>
            <w:tcBorders>
              <w:top w:val="single" w:sz="4" w:space="0" w:color="auto"/>
              <w:bottom w:val="single" w:sz="12" w:space="0" w:color="auto"/>
            </w:tcBorders>
            <w:shd w:val="clear" w:color="auto" w:fill="auto"/>
            <w:vAlign w:val="bottom"/>
          </w:tcPr>
          <w:p w14:paraId="78D88F5F" w14:textId="77777777" w:rsidR="00F5461C" w:rsidRPr="00F5461C" w:rsidRDefault="00A87771" w:rsidP="00E27276">
            <w:pPr>
              <w:pStyle w:val="SingleTxtG"/>
              <w:spacing w:before="80" w:after="80" w:line="200" w:lineRule="exact"/>
              <w:ind w:left="113" w:right="11"/>
              <w:jc w:val="right"/>
              <w:rPr>
                <w:i/>
                <w:sz w:val="16"/>
                <w:lang w:val="es-ES_tradnl"/>
              </w:rPr>
            </w:pPr>
            <w:r>
              <w:rPr>
                <w:i/>
                <w:iCs/>
                <w:sz w:val="16"/>
                <w:lang w:val="es-ES_tradnl"/>
              </w:rPr>
              <w:t xml:space="preserve">Septiembre de </w:t>
            </w:r>
            <w:r w:rsidR="00F5461C" w:rsidRPr="00F5461C">
              <w:rPr>
                <w:i/>
                <w:iCs/>
                <w:sz w:val="16"/>
                <w:lang w:val="es-ES_tradnl"/>
              </w:rPr>
              <w:t>2018</w:t>
            </w:r>
          </w:p>
        </w:tc>
      </w:tr>
      <w:tr w:rsidR="006400FD" w:rsidRPr="00F5461C" w14:paraId="7A37F6B9" w14:textId="77777777" w:rsidTr="006400FD">
        <w:trPr>
          <w:cantSplit/>
          <w:trHeight w:val="240"/>
        </w:trPr>
        <w:tc>
          <w:tcPr>
            <w:tcW w:w="3642" w:type="dxa"/>
            <w:tcBorders>
              <w:top w:val="single" w:sz="12" w:space="0" w:color="auto"/>
            </w:tcBorders>
            <w:shd w:val="clear" w:color="auto" w:fill="auto"/>
          </w:tcPr>
          <w:p w14:paraId="738A917C"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Charlas o talleres de planificación de salidas profesionales</w:t>
            </w:r>
          </w:p>
        </w:tc>
        <w:tc>
          <w:tcPr>
            <w:tcW w:w="745" w:type="dxa"/>
            <w:tcBorders>
              <w:top w:val="single" w:sz="12" w:space="0" w:color="auto"/>
            </w:tcBorders>
            <w:shd w:val="clear" w:color="auto" w:fill="auto"/>
            <w:vAlign w:val="bottom"/>
          </w:tcPr>
          <w:p w14:paraId="25FC2AA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746" w:type="dxa"/>
            <w:tcBorders>
              <w:top w:val="single" w:sz="12" w:space="0" w:color="auto"/>
            </w:tcBorders>
            <w:shd w:val="clear" w:color="auto" w:fill="auto"/>
            <w:vAlign w:val="bottom"/>
          </w:tcPr>
          <w:p w14:paraId="55FCEBA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w:t>
            </w:r>
          </w:p>
        </w:tc>
        <w:tc>
          <w:tcPr>
            <w:tcW w:w="745" w:type="dxa"/>
            <w:tcBorders>
              <w:top w:val="single" w:sz="12" w:space="0" w:color="auto"/>
            </w:tcBorders>
            <w:shd w:val="clear" w:color="auto" w:fill="auto"/>
            <w:vAlign w:val="bottom"/>
          </w:tcPr>
          <w:p w14:paraId="62E9859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w:t>
            </w:r>
          </w:p>
        </w:tc>
        <w:tc>
          <w:tcPr>
            <w:tcW w:w="746" w:type="dxa"/>
            <w:tcBorders>
              <w:top w:val="single" w:sz="12" w:space="0" w:color="auto"/>
            </w:tcBorders>
            <w:shd w:val="clear" w:color="auto" w:fill="auto"/>
            <w:vAlign w:val="bottom"/>
          </w:tcPr>
          <w:p w14:paraId="33B5D6F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w:t>
            </w:r>
          </w:p>
        </w:tc>
        <w:tc>
          <w:tcPr>
            <w:tcW w:w="746" w:type="dxa"/>
            <w:tcBorders>
              <w:top w:val="single" w:sz="12" w:space="0" w:color="auto"/>
            </w:tcBorders>
            <w:shd w:val="clear" w:color="auto" w:fill="auto"/>
            <w:vAlign w:val="bottom"/>
          </w:tcPr>
          <w:p w14:paraId="620523B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w:t>
            </w:r>
          </w:p>
        </w:tc>
      </w:tr>
      <w:tr w:rsidR="006400FD" w:rsidRPr="00F5461C" w14:paraId="2463C19B" w14:textId="77777777" w:rsidTr="006400FD">
        <w:trPr>
          <w:cantSplit/>
          <w:trHeight w:val="240"/>
        </w:trPr>
        <w:tc>
          <w:tcPr>
            <w:tcW w:w="3642" w:type="dxa"/>
            <w:shd w:val="clear" w:color="auto" w:fill="auto"/>
          </w:tcPr>
          <w:p w14:paraId="50010FD7"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(Número de participantes)</w:t>
            </w:r>
          </w:p>
        </w:tc>
        <w:tc>
          <w:tcPr>
            <w:tcW w:w="745" w:type="dxa"/>
            <w:shd w:val="clear" w:color="auto" w:fill="auto"/>
            <w:vAlign w:val="bottom"/>
          </w:tcPr>
          <w:p w14:paraId="53C9960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(1 457)</w:t>
            </w:r>
          </w:p>
        </w:tc>
        <w:tc>
          <w:tcPr>
            <w:tcW w:w="746" w:type="dxa"/>
            <w:shd w:val="clear" w:color="auto" w:fill="auto"/>
            <w:vAlign w:val="bottom"/>
          </w:tcPr>
          <w:p w14:paraId="778D6C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(391)</w:t>
            </w:r>
          </w:p>
        </w:tc>
        <w:tc>
          <w:tcPr>
            <w:tcW w:w="745" w:type="dxa"/>
            <w:shd w:val="clear" w:color="auto" w:fill="auto"/>
            <w:vAlign w:val="bottom"/>
          </w:tcPr>
          <w:p w14:paraId="0778E7F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(928)</w:t>
            </w:r>
          </w:p>
        </w:tc>
        <w:tc>
          <w:tcPr>
            <w:tcW w:w="746" w:type="dxa"/>
            <w:shd w:val="clear" w:color="auto" w:fill="auto"/>
            <w:vAlign w:val="bottom"/>
          </w:tcPr>
          <w:p w14:paraId="446752A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(585)</w:t>
            </w:r>
          </w:p>
        </w:tc>
        <w:tc>
          <w:tcPr>
            <w:tcW w:w="746" w:type="dxa"/>
            <w:shd w:val="clear" w:color="auto" w:fill="auto"/>
            <w:vAlign w:val="bottom"/>
          </w:tcPr>
          <w:p w14:paraId="4AD9E64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(496)</w:t>
            </w:r>
          </w:p>
        </w:tc>
      </w:tr>
      <w:tr w:rsidR="006400FD" w:rsidRPr="00F5461C" w14:paraId="48427F69" w14:textId="77777777" w:rsidTr="006400FD">
        <w:trPr>
          <w:cantSplit/>
          <w:trHeight w:val="240"/>
        </w:trPr>
        <w:tc>
          <w:tcPr>
            <w:tcW w:w="3642" w:type="dxa"/>
            <w:shd w:val="clear" w:color="auto" w:fill="auto"/>
          </w:tcPr>
          <w:p w14:paraId="2207174D"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 xml:space="preserve">Talleres de entrevistas simuladas </w:t>
            </w:r>
            <w:r w:rsidR="004920D5">
              <w:rPr>
                <w:sz w:val="18"/>
                <w:lang w:val="es-ES_tradnl"/>
              </w:rPr>
              <w:br/>
            </w:r>
            <w:r w:rsidRPr="00F5461C">
              <w:rPr>
                <w:sz w:val="18"/>
                <w:lang w:val="es-ES_tradnl"/>
              </w:rPr>
              <w:t>(número de participantes)</w:t>
            </w:r>
          </w:p>
        </w:tc>
        <w:tc>
          <w:tcPr>
            <w:tcW w:w="745" w:type="dxa"/>
            <w:shd w:val="clear" w:color="auto" w:fill="auto"/>
            <w:vAlign w:val="bottom"/>
          </w:tcPr>
          <w:p w14:paraId="05159D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51</w:t>
            </w:r>
          </w:p>
        </w:tc>
        <w:tc>
          <w:tcPr>
            <w:tcW w:w="746" w:type="dxa"/>
            <w:shd w:val="clear" w:color="auto" w:fill="auto"/>
            <w:vAlign w:val="bottom"/>
          </w:tcPr>
          <w:p w14:paraId="29387D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213</w:t>
            </w:r>
          </w:p>
        </w:tc>
        <w:tc>
          <w:tcPr>
            <w:tcW w:w="745" w:type="dxa"/>
            <w:shd w:val="clear" w:color="auto" w:fill="auto"/>
            <w:vAlign w:val="bottom"/>
          </w:tcPr>
          <w:p w14:paraId="7730CB6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146</w:t>
            </w:r>
          </w:p>
        </w:tc>
        <w:tc>
          <w:tcPr>
            <w:tcW w:w="746" w:type="dxa"/>
            <w:shd w:val="clear" w:color="auto" w:fill="auto"/>
            <w:vAlign w:val="bottom"/>
          </w:tcPr>
          <w:p w14:paraId="25F77A6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140</w:t>
            </w:r>
          </w:p>
        </w:tc>
        <w:tc>
          <w:tcPr>
            <w:tcW w:w="746" w:type="dxa"/>
            <w:shd w:val="clear" w:color="auto" w:fill="auto"/>
            <w:vAlign w:val="bottom"/>
          </w:tcPr>
          <w:p w14:paraId="2220329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135</w:t>
            </w:r>
          </w:p>
        </w:tc>
      </w:tr>
      <w:tr w:rsidR="006400FD" w:rsidRPr="00F5461C" w14:paraId="43E2588C" w14:textId="77777777" w:rsidTr="006400FD">
        <w:trPr>
          <w:cantSplit/>
          <w:trHeight w:val="240"/>
        </w:trPr>
        <w:tc>
          <w:tcPr>
            <w:tcW w:w="3642" w:type="dxa"/>
            <w:shd w:val="clear" w:color="auto" w:fill="auto"/>
          </w:tcPr>
          <w:p w14:paraId="3A1EB8D6"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 xml:space="preserve">Orientación sobre salidas profesionales </w:t>
            </w:r>
            <w:r w:rsidR="004920D5">
              <w:rPr>
                <w:sz w:val="18"/>
                <w:lang w:val="es-ES_tradnl"/>
              </w:rPr>
              <w:br/>
            </w:r>
            <w:r w:rsidRPr="00F5461C">
              <w:rPr>
                <w:sz w:val="18"/>
                <w:lang w:val="es-ES_tradnl"/>
              </w:rPr>
              <w:t>(número de participantes)</w:t>
            </w:r>
          </w:p>
        </w:tc>
        <w:tc>
          <w:tcPr>
            <w:tcW w:w="745" w:type="dxa"/>
            <w:shd w:val="clear" w:color="auto" w:fill="auto"/>
            <w:vAlign w:val="bottom"/>
          </w:tcPr>
          <w:p w14:paraId="47A5AD7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w:t>
            </w:r>
          </w:p>
        </w:tc>
        <w:tc>
          <w:tcPr>
            <w:tcW w:w="746" w:type="dxa"/>
            <w:shd w:val="clear" w:color="auto" w:fill="auto"/>
            <w:vAlign w:val="bottom"/>
          </w:tcPr>
          <w:p w14:paraId="39FD02F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63</w:t>
            </w:r>
          </w:p>
        </w:tc>
        <w:tc>
          <w:tcPr>
            <w:tcW w:w="745" w:type="dxa"/>
            <w:shd w:val="clear" w:color="auto" w:fill="auto"/>
            <w:vAlign w:val="bottom"/>
          </w:tcPr>
          <w:p w14:paraId="3A67181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93</w:t>
            </w:r>
          </w:p>
        </w:tc>
        <w:tc>
          <w:tcPr>
            <w:tcW w:w="746" w:type="dxa"/>
            <w:shd w:val="clear" w:color="auto" w:fill="auto"/>
            <w:vAlign w:val="bottom"/>
          </w:tcPr>
          <w:p w14:paraId="201509B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186</w:t>
            </w:r>
          </w:p>
        </w:tc>
        <w:tc>
          <w:tcPr>
            <w:tcW w:w="746" w:type="dxa"/>
            <w:shd w:val="clear" w:color="auto" w:fill="auto"/>
            <w:vAlign w:val="bottom"/>
          </w:tcPr>
          <w:p w14:paraId="6221C07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80</w:t>
            </w:r>
          </w:p>
        </w:tc>
      </w:tr>
      <w:tr w:rsidR="006400FD" w:rsidRPr="00F5461C" w14:paraId="0A81A447" w14:textId="77777777" w:rsidTr="006400FD">
        <w:trPr>
          <w:cantSplit/>
          <w:trHeight w:val="240"/>
        </w:trPr>
        <w:tc>
          <w:tcPr>
            <w:tcW w:w="3642" w:type="dxa"/>
            <w:tcBorders>
              <w:bottom w:val="single" w:sz="12" w:space="0" w:color="auto"/>
            </w:tcBorders>
            <w:shd w:val="clear" w:color="auto" w:fill="auto"/>
          </w:tcPr>
          <w:p w14:paraId="5D6BC43B"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 xml:space="preserve">Feria de Empleo para Jóvenes </w:t>
            </w:r>
            <w:r w:rsidR="004920D5">
              <w:rPr>
                <w:sz w:val="18"/>
                <w:lang w:val="es-ES_tradnl"/>
              </w:rPr>
              <w:br/>
            </w:r>
            <w:r w:rsidRPr="00F5461C">
              <w:rPr>
                <w:sz w:val="18"/>
                <w:lang w:val="es-ES_tradnl"/>
              </w:rPr>
              <w:t>(número de participantes)</w:t>
            </w:r>
          </w:p>
        </w:tc>
        <w:tc>
          <w:tcPr>
            <w:tcW w:w="745" w:type="dxa"/>
            <w:tcBorders>
              <w:bottom w:val="single" w:sz="12" w:space="0" w:color="auto"/>
            </w:tcBorders>
            <w:shd w:val="clear" w:color="auto" w:fill="auto"/>
            <w:vAlign w:val="bottom"/>
          </w:tcPr>
          <w:p w14:paraId="0A53EF5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4 105</w:t>
            </w:r>
          </w:p>
        </w:tc>
        <w:tc>
          <w:tcPr>
            <w:tcW w:w="746" w:type="dxa"/>
            <w:tcBorders>
              <w:bottom w:val="single" w:sz="12" w:space="0" w:color="auto"/>
            </w:tcBorders>
            <w:shd w:val="clear" w:color="auto" w:fill="auto"/>
            <w:vAlign w:val="bottom"/>
          </w:tcPr>
          <w:p w14:paraId="5110AEC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4 014</w:t>
            </w:r>
          </w:p>
        </w:tc>
        <w:tc>
          <w:tcPr>
            <w:tcW w:w="745" w:type="dxa"/>
            <w:tcBorders>
              <w:bottom w:val="single" w:sz="12" w:space="0" w:color="auto"/>
            </w:tcBorders>
            <w:shd w:val="clear" w:color="auto" w:fill="auto"/>
            <w:vAlign w:val="bottom"/>
          </w:tcPr>
          <w:p w14:paraId="080DAC3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4 240</w:t>
            </w:r>
          </w:p>
        </w:tc>
        <w:tc>
          <w:tcPr>
            <w:tcW w:w="746" w:type="dxa"/>
            <w:tcBorders>
              <w:bottom w:val="single" w:sz="12" w:space="0" w:color="auto"/>
            </w:tcBorders>
            <w:shd w:val="clear" w:color="auto" w:fill="auto"/>
            <w:vAlign w:val="bottom"/>
          </w:tcPr>
          <w:p w14:paraId="0F93612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4 066</w:t>
            </w:r>
          </w:p>
        </w:tc>
        <w:tc>
          <w:tcPr>
            <w:tcW w:w="746" w:type="dxa"/>
            <w:tcBorders>
              <w:bottom w:val="single" w:sz="12" w:space="0" w:color="auto"/>
            </w:tcBorders>
            <w:shd w:val="clear" w:color="auto" w:fill="auto"/>
            <w:vAlign w:val="bottom"/>
          </w:tcPr>
          <w:p w14:paraId="2402624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3 402</w:t>
            </w:r>
          </w:p>
        </w:tc>
      </w:tr>
    </w:tbl>
    <w:p w14:paraId="2A87E0C8" w14:textId="77777777" w:rsidR="00F5461C" w:rsidRPr="00F5461C" w:rsidRDefault="00F5461C" w:rsidP="006400FD">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Asuntos Laborales.</w:t>
      </w:r>
    </w:p>
    <w:p w14:paraId="39C719D8" w14:textId="77777777" w:rsidR="00F5461C" w:rsidRPr="00F5461C" w:rsidRDefault="00F5461C" w:rsidP="00F5461C">
      <w:pPr>
        <w:pStyle w:val="SingleTxtG"/>
        <w:rPr>
          <w:lang w:val="es-ES_tradnl"/>
        </w:rPr>
      </w:pPr>
      <w:r w:rsidRPr="00F5461C">
        <w:rPr>
          <w:lang w:val="es-ES_tradnl"/>
        </w:rPr>
        <w:t>70.</w:t>
      </w:r>
      <w:r w:rsidRPr="00F5461C">
        <w:rPr>
          <w:lang w:val="es-ES_tradnl"/>
        </w:rPr>
        <w:tab/>
        <w:t xml:space="preserve">En cuanto a las personas de edad, la Dirección de Asuntos Laborales ofrece servicios de apoyo: búsqueda de puestos adecuados, servicios de remisión y planificación de salidas profesionales. Se adoptó un mecanismo de protección de la jubilación y se emprendieron iniciativas de divulgación sobre la empleabilidad de las personas mayores. En 2017, 115 personas de 65 años o más fueron seleccionadas para el programa de premios para empelados </w:t>
      </w:r>
      <w:r w:rsidRPr="00F5461C">
        <w:rPr>
          <w:lang w:val="es-ES_tradnl"/>
        </w:rPr>
        <w:lastRenderedPageBreak/>
        <w:t xml:space="preserve">mayores destacados, mientras que en el contexto del programa de premios para empleadores que contratan a personas mayores, organizado en 2018, 63 empleadores recibieron un reconocimiento. A través de estas actividades, en los distintos sectores se está tomando conciencia de la capacidad de trabajo y la valía de las personas de edad. </w:t>
      </w:r>
    </w:p>
    <w:p w14:paraId="26374E5C" w14:textId="77777777" w:rsidR="00F5461C" w:rsidRPr="00F5461C" w:rsidRDefault="00F5461C" w:rsidP="00F5461C">
      <w:pPr>
        <w:pStyle w:val="SingleTxtG"/>
        <w:rPr>
          <w:lang w:val="es-ES_tradnl"/>
        </w:rPr>
      </w:pPr>
      <w:r w:rsidRPr="00F5461C">
        <w:rPr>
          <w:lang w:val="es-ES_tradnl"/>
        </w:rPr>
        <w:t>71.</w:t>
      </w:r>
      <w:r w:rsidRPr="00F5461C">
        <w:rPr>
          <w:lang w:val="es-ES_tradnl"/>
        </w:rPr>
        <w:tab/>
        <w:t xml:space="preserve">Se siguen aplicando medidas e incentivos para apoyar a quienes se han quedado sin empleo, los nuevos solicitantes de empleo, las personas con discapacidad y los desempleados que reciben cursos de formación y reciclaje profesional (Orden </w:t>
      </w:r>
      <w:r w:rsidR="00E27276">
        <w:rPr>
          <w:lang w:val="es-ES_tradnl"/>
        </w:rPr>
        <w:t>núm. </w:t>
      </w:r>
      <w:r w:rsidRPr="00F5461C">
        <w:rPr>
          <w:lang w:val="es-ES_tradnl"/>
        </w:rPr>
        <w:t>6/2004 de la Secretaría de Economía y Finanzas).</w:t>
      </w:r>
    </w:p>
    <w:p w14:paraId="32C5DF90" w14:textId="77777777" w:rsidR="00F5461C" w:rsidRPr="00F5461C" w:rsidRDefault="00F5461C" w:rsidP="00F5461C">
      <w:pPr>
        <w:pStyle w:val="SingleTxtG"/>
        <w:rPr>
          <w:lang w:val="es-ES_tradnl"/>
        </w:rPr>
      </w:pPr>
      <w:r w:rsidRPr="00F5461C">
        <w:rPr>
          <w:lang w:val="es-ES_tradnl"/>
        </w:rPr>
        <w:t>72.</w:t>
      </w:r>
      <w:r w:rsidRPr="00F5461C">
        <w:rPr>
          <w:lang w:val="es-ES_tradnl"/>
        </w:rPr>
        <w:tab/>
        <w:t xml:space="preserve">Los trabajadores residentes permanentes (de 40 años o más, que trabajen 152 horas mensuales) con bajos ingresos o graves dificultades económicas (ingresos trimestrales inferiores a 15.000 patacas de Macao) pueden recibir un subsidio cuatro veces al año (Reglamento Administrativo </w:t>
      </w:r>
      <w:r w:rsidR="00E27276">
        <w:rPr>
          <w:lang w:val="es-ES_tradnl"/>
        </w:rPr>
        <w:t>núm. </w:t>
      </w:r>
      <w:r w:rsidRPr="00F5461C">
        <w:rPr>
          <w:lang w:val="es-ES_tradnl"/>
        </w:rPr>
        <w:t xml:space="preserve">6/2008, modificado por los reglamentos administrativos </w:t>
      </w:r>
      <w:r w:rsidR="00E27276">
        <w:rPr>
          <w:lang w:val="es-ES_tradnl"/>
        </w:rPr>
        <w:t>núm. </w:t>
      </w:r>
      <w:r w:rsidRPr="00F5461C">
        <w:rPr>
          <w:lang w:val="es-ES_tradnl"/>
        </w:rPr>
        <w:t xml:space="preserve">7/2014 y </w:t>
      </w:r>
      <w:r w:rsidR="00E27276">
        <w:rPr>
          <w:lang w:val="es-ES_tradnl"/>
        </w:rPr>
        <w:t>núm. </w:t>
      </w:r>
      <w:r w:rsidRPr="00F5461C">
        <w:rPr>
          <w:lang w:val="es-ES_tradnl"/>
        </w:rPr>
        <w:t>9/2018, relativos a las medidas provisionales de subsidio complementario a los ingresos). En 2017, el número de beneficiarios fue de 1.021, y recibieron en conjunto 7.129.196 patacas de Macao, mientras que en el primer trimestre de</w:t>
      </w:r>
      <w:r w:rsidR="0083304B">
        <w:rPr>
          <w:lang w:val="es-ES_tradnl"/>
        </w:rPr>
        <w:t> </w:t>
      </w:r>
      <w:r w:rsidRPr="00F5461C">
        <w:rPr>
          <w:lang w:val="es-ES_tradnl"/>
        </w:rPr>
        <w:t>2018 hubo 231 beneficiarios, que recibieron 1.669.891 patacas de Macao.</w:t>
      </w:r>
    </w:p>
    <w:p w14:paraId="6C1E5D5E" w14:textId="77777777" w:rsidR="00F5461C" w:rsidRPr="00F5461C" w:rsidRDefault="00F5461C" w:rsidP="006400FD">
      <w:pPr>
        <w:pStyle w:val="H23G"/>
        <w:rPr>
          <w:lang w:val="es-ES_tradnl"/>
        </w:rPr>
      </w:pPr>
      <w:r w:rsidRPr="00F5461C">
        <w:rPr>
          <w:lang w:val="es-ES_tradnl"/>
        </w:rPr>
        <w:tab/>
      </w:r>
      <w:r w:rsidR="006400FD">
        <w:rPr>
          <w:lang w:val="es-ES_tradnl"/>
        </w:rPr>
        <w:tab/>
      </w:r>
      <w:r w:rsidRPr="00F5461C">
        <w:rPr>
          <w:lang w:val="es-ES_tradnl"/>
        </w:rPr>
        <w:t>Higiene y seguridad en el trabajo</w:t>
      </w:r>
    </w:p>
    <w:p w14:paraId="63F0D8FB" w14:textId="77777777" w:rsidR="00F5461C" w:rsidRPr="00F5461C" w:rsidRDefault="00F5461C" w:rsidP="00F5461C">
      <w:pPr>
        <w:pStyle w:val="SingleTxtG"/>
        <w:rPr>
          <w:lang w:val="es-ES_tradnl"/>
        </w:rPr>
      </w:pPr>
      <w:r w:rsidRPr="00F5461C">
        <w:rPr>
          <w:lang w:val="es-ES_tradnl"/>
        </w:rPr>
        <w:t>73.</w:t>
      </w:r>
      <w:r w:rsidRPr="00F5461C">
        <w:rPr>
          <w:lang w:val="es-ES_tradnl"/>
        </w:rPr>
        <w:tab/>
        <w:t>El marco jurídico mencionado en los informes anteriores sigue en vigor. Continúan siendo prioritarias las medidas preventivas para evitar enfermedades y accidentes laborales, entre otros medios a través de la divulgación, la capacitación y la información sobre normas mínimas (sobre la base de una serie de incentivos y sanciones).</w:t>
      </w:r>
    </w:p>
    <w:p w14:paraId="29C0FC83" w14:textId="77777777" w:rsidR="00F5461C" w:rsidRPr="00F5461C" w:rsidRDefault="00F5461C" w:rsidP="00F5461C">
      <w:pPr>
        <w:pStyle w:val="SingleTxtG"/>
        <w:rPr>
          <w:lang w:val="es-ES_tradnl"/>
        </w:rPr>
      </w:pPr>
      <w:r w:rsidRPr="00F5461C">
        <w:rPr>
          <w:lang w:val="es-ES_tradnl"/>
        </w:rPr>
        <w:t>74.</w:t>
      </w:r>
      <w:r w:rsidRPr="00F5461C">
        <w:rPr>
          <w:lang w:val="es-ES_tradnl"/>
        </w:rPr>
        <w:tab/>
        <w:t xml:space="preserve">No obstante, en relación con el Decreto Ley </w:t>
      </w:r>
      <w:r w:rsidR="00E27276">
        <w:rPr>
          <w:lang w:val="es-ES_tradnl"/>
        </w:rPr>
        <w:t>núm. </w:t>
      </w:r>
      <w:r w:rsidRPr="00F5461C">
        <w:rPr>
          <w:lang w:val="es-ES_tradnl"/>
        </w:rPr>
        <w:t xml:space="preserve">40/95/M, relativo al régimen jurídico de indemnización de daños y perjuicios derivados de accidentes de trabajo y enfermedades profesionales, se introdujeron mejoras en virtud de la Ley </w:t>
      </w:r>
      <w:r w:rsidR="00E27276">
        <w:rPr>
          <w:lang w:val="es-ES_tradnl"/>
        </w:rPr>
        <w:t>núm. </w:t>
      </w:r>
      <w:r w:rsidRPr="00F5461C">
        <w:rPr>
          <w:lang w:val="es-ES_tradnl"/>
        </w:rPr>
        <w:t xml:space="preserve">6/2015, que refuerza la protección de los derechos de los trabajadores en lo que respecta a los mecanismos y procedimientos disponibles para la indemnización, lo que incluye la aclaración del término </w:t>
      </w:r>
      <w:r w:rsidR="00D353FA">
        <w:rPr>
          <w:lang w:val="es-ES_tradnl"/>
        </w:rPr>
        <w:t>“</w:t>
      </w:r>
      <w:r w:rsidRPr="00F5461C">
        <w:rPr>
          <w:lang w:val="es-ES_tradnl"/>
        </w:rPr>
        <w:t>accidente de trabajo</w:t>
      </w:r>
      <w:r w:rsidR="00D353FA">
        <w:rPr>
          <w:lang w:val="es-ES_tradnl"/>
        </w:rPr>
        <w:t>”</w:t>
      </w:r>
      <w:r w:rsidRPr="00F5461C">
        <w:rPr>
          <w:lang w:val="es-ES_tradnl"/>
        </w:rPr>
        <w:t xml:space="preserve"> (por ejemplo, para precisar que se incluyen los accidentes entre el domicilio del empleado y su lugar de trabajo ante determinados avisos de tormentas tropicales, o los accidentes durante actividades de formación).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873716" w:rsidRPr="00873716" w14:paraId="172FF04D" w14:textId="77777777" w:rsidTr="00873716">
        <w:trPr>
          <w:cantSplit/>
          <w:trHeight w:val="240"/>
          <w:tblHeader/>
        </w:trPr>
        <w:tc>
          <w:tcPr>
            <w:tcW w:w="2127" w:type="dxa"/>
            <w:tcBorders>
              <w:top w:val="single" w:sz="4" w:space="0" w:color="auto"/>
              <w:bottom w:val="single" w:sz="12" w:space="0" w:color="auto"/>
            </w:tcBorders>
            <w:shd w:val="clear" w:color="auto" w:fill="auto"/>
            <w:vAlign w:val="bottom"/>
          </w:tcPr>
          <w:p w14:paraId="6BA3F392" w14:textId="77777777" w:rsidR="00F5461C" w:rsidRPr="00F5461C" w:rsidRDefault="00F5461C" w:rsidP="00C51DD5">
            <w:pPr>
              <w:pStyle w:val="SingleTxtG"/>
              <w:keepNext/>
              <w:spacing w:before="80" w:after="80" w:line="200" w:lineRule="exact"/>
              <w:ind w:left="0" w:right="0"/>
              <w:jc w:val="left"/>
              <w:rPr>
                <w:i/>
                <w:sz w:val="16"/>
                <w:lang w:val="es-ES_tradnl"/>
              </w:rPr>
            </w:pPr>
            <w:r w:rsidRPr="00F5461C">
              <w:rPr>
                <w:i/>
                <w:iCs/>
                <w:sz w:val="16"/>
                <w:lang w:val="es-ES_tradnl"/>
              </w:rPr>
              <w:t>Accidentes laborales/Año</w:t>
            </w:r>
          </w:p>
        </w:tc>
        <w:tc>
          <w:tcPr>
            <w:tcW w:w="1048" w:type="dxa"/>
            <w:tcBorders>
              <w:top w:val="single" w:sz="4" w:space="0" w:color="auto"/>
              <w:bottom w:val="single" w:sz="12" w:space="0" w:color="auto"/>
            </w:tcBorders>
            <w:shd w:val="clear" w:color="auto" w:fill="auto"/>
            <w:vAlign w:val="bottom"/>
          </w:tcPr>
          <w:p w14:paraId="0BC41AE8"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2014</w:t>
            </w:r>
          </w:p>
        </w:tc>
        <w:tc>
          <w:tcPr>
            <w:tcW w:w="1049" w:type="dxa"/>
            <w:tcBorders>
              <w:top w:val="single" w:sz="4" w:space="0" w:color="auto"/>
              <w:bottom w:val="single" w:sz="12" w:space="0" w:color="auto"/>
            </w:tcBorders>
            <w:shd w:val="clear" w:color="auto" w:fill="auto"/>
            <w:vAlign w:val="bottom"/>
          </w:tcPr>
          <w:p w14:paraId="7D48FB49"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2015</w:t>
            </w:r>
          </w:p>
        </w:tc>
        <w:tc>
          <w:tcPr>
            <w:tcW w:w="1048" w:type="dxa"/>
            <w:tcBorders>
              <w:top w:val="single" w:sz="4" w:space="0" w:color="auto"/>
              <w:bottom w:val="single" w:sz="12" w:space="0" w:color="auto"/>
            </w:tcBorders>
            <w:shd w:val="clear" w:color="auto" w:fill="auto"/>
            <w:vAlign w:val="bottom"/>
          </w:tcPr>
          <w:p w14:paraId="73DD2AE2"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2016</w:t>
            </w:r>
          </w:p>
        </w:tc>
        <w:tc>
          <w:tcPr>
            <w:tcW w:w="1049" w:type="dxa"/>
            <w:tcBorders>
              <w:top w:val="single" w:sz="4" w:space="0" w:color="auto"/>
              <w:bottom w:val="single" w:sz="12" w:space="0" w:color="auto"/>
            </w:tcBorders>
            <w:shd w:val="clear" w:color="auto" w:fill="auto"/>
            <w:vAlign w:val="bottom"/>
          </w:tcPr>
          <w:p w14:paraId="06C31A9D"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2017</w:t>
            </w:r>
          </w:p>
        </w:tc>
        <w:tc>
          <w:tcPr>
            <w:tcW w:w="1049" w:type="dxa"/>
            <w:tcBorders>
              <w:top w:val="single" w:sz="4" w:space="0" w:color="auto"/>
              <w:bottom w:val="single" w:sz="12" w:space="0" w:color="auto"/>
            </w:tcBorders>
            <w:shd w:val="clear" w:color="auto" w:fill="auto"/>
            <w:vAlign w:val="bottom"/>
          </w:tcPr>
          <w:p w14:paraId="05E0ABEA" w14:textId="77777777" w:rsidR="00F5461C" w:rsidRPr="00F5461C" w:rsidRDefault="00C51DD5" w:rsidP="00C51DD5">
            <w:pPr>
              <w:pStyle w:val="SingleTxtG"/>
              <w:keepNext/>
              <w:spacing w:before="80" w:after="80" w:line="200" w:lineRule="exact"/>
              <w:ind w:left="113" w:right="11"/>
              <w:jc w:val="right"/>
              <w:rPr>
                <w:i/>
                <w:sz w:val="16"/>
                <w:lang w:val="es-ES_tradnl"/>
              </w:rPr>
            </w:pPr>
            <w:r>
              <w:rPr>
                <w:i/>
                <w:iCs/>
                <w:sz w:val="16"/>
                <w:lang w:val="es-ES_tradnl"/>
              </w:rPr>
              <w:t>Septiembre de </w:t>
            </w:r>
            <w:r w:rsidR="00F5461C" w:rsidRPr="00F5461C">
              <w:rPr>
                <w:i/>
                <w:iCs/>
                <w:sz w:val="16"/>
                <w:lang w:val="es-ES_tradnl"/>
              </w:rPr>
              <w:t>2018</w:t>
            </w:r>
          </w:p>
        </w:tc>
      </w:tr>
      <w:tr w:rsidR="00873716" w:rsidRPr="00F5461C" w14:paraId="45899C6E" w14:textId="77777777" w:rsidTr="00873716">
        <w:trPr>
          <w:cantSplit/>
          <w:trHeight w:val="240"/>
        </w:trPr>
        <w:tc>
          <w:tcPr>
            <w:tcW w:w="2127" w:type="dxa"/>
            <w:tcBorders>
              <w:top w:val="single" w:sz="12" w:space="0" w:color="auto"/>
            </w:tcBorders>
            <w:shd w:val="clear" w:color="auto" w:fill="auto"/>
          </w:tcPr>
          <w:p w14:paraId="2522679B" w14:textId="77777777" w:rsidR="00F5461C" w:rsidRPr="00F5461C" w:rsidRDefault="00F5461C" w:rsidP="00C51DD5">
            <w:pPr>
              <w:pStyle w:val="SingleTxtG"/>
              <w:keepNext/>
              <w:spacing w:before="40" w:after="40" w:line="220" w:lineRule="exact"/>
              <w:ind w:left="0" w:right="0"/>
              <w:jc w:val="left"/>
              <w:rPr>
                <w:sz w:val="18"/>
                <w:lang w:val="es-ES_tradnl"/>
              </w:rPr>
            </w:pPr>
            <w:r w:rsidRPr="00F5461C">
              <w:rPr>
                <w:sz w:val="18"/>
                <w:lang w:val="es-ES_tradnl"/>
              </w:rPr>
              <w:t>Número de víctimas</w:t>
            </w:r>
          </w:p>
        </w:tc>
        <w:tc>
          <w:tcPr>
            <w:tcW w:w="1048" w:type="dxa"/>
            <w:tcBorders>
              <w:top w:val="single" w:sz="12" w:space="0" w:color="auto"/>
            </w:tcBorders>
            <w:shd w:val="clear" w:color="auto" w:fill="auto"/>
            <w:vAlign w:val="bottom"/>
          </w:tcPr>
          <w:p w14:paraId="33ED708A"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7 318</w:t>
            </w:r>
          </w:p>
        </w:tc>
        <w:tc>
          <w:tcPr>
            <w:tcW w:w="1049" w:type="dxa"/>
            <w:tcBorders>
              <w:top w:val="single" w:sz="12" w:space="0" w:color="auto"/>
            </w:tcBorders>
            <w:shd w:val="clear" w:color="auto" w:fill="auto"/>
            <w:vAlign w:val="bottom"/>
          </w:tcPr>
          <w:p w14:paraId="37031FB2"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7 429</w:t>
            </w:r>
          </w:p>
        </w:tc>
        <w:tc>
          <w:tcPr>
            <w:tcW w:w="1048" w:type="dxa"/>
            <w:tcBorders>
              <w:top w:val="single" w:sz="12" w:space="0" w:color="auto"/>
            </w:tcBorders>
            <w:shd w:val="clear" w:color="auto" w:fill="auto"/>
            <w:vAlign w:val="bottom"/>
          </w:tcPr>
          <w:p w14:paraId="0DE3C709"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7 309</w:t>
            </w:r>
          </w:p>
        </w:tc>
        <w:tc>
          <w:tcPr>
            <w:tcW w:w="1049" w:type="dxa"/>
            <w:tcBorders>
              <w:top w:val="single" w:sz="12" w:space="0" w:color="auto"/>
            </w:tcBorders>
            <w:shd w:val="clear" w:color="auto" w:fill="auto"/>
            <w:vAlign w:val="bottom"/>
          </w:tcPr>
          <w:p w14:paraId="76574FCD"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7 390</w:t>
            </w:r>
          </w:p>
        </w:tc>
        <w:tc>
          <w:tcPr>
            <w:tcW w:w="1049" w:type="dxa"/>
            <w:tcBorders>
              <w:top w:val="single" w:sz="12" w:space="0" w:color="auto"/>
            </w:tcBorders>
            <w:shd w:val="clear" w:color="auto" w:fill="auto"/>
            <w:vAlign w:val="bottom"/>
          </w:tcPr>
          <w:p w14:paraId="0E9D59C5"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5 474</w:t>
            </w:r>
          </w:p>
        </w:tc>
      </w:tr>
      <w:tr w:rsidR="00873716" w:rsidRPr="00F5461C" w14:paraId="55FE4917" w14:textId="77777777" w:rsidTr="00873716">
        <w:trPr>
          <w:cantSplit/>
          <w:trHeight w:val="240"/>
        </w:trPr>
        <w:tc>
          <w:tcPr>
            <w:tcW w:w="2127" w:type="dxa"/>
            <w:shd w:val="clear" w:color="auto" w:fill="auto"/>
          </w:tcPr>
          <w:p w14:paraId="4B42F4D6" w14:textId="77777777" w:rsidR="00F5461C" w:rsidRPr="00F5461C" w:rsidRDefault="00F5461C" w:rsidP="00C51DD5">
            <w:pPr>
              <w:pStyle w:val="SingleTxtG"/>
              <w:keepNext/>
              <w:spacing w:before="40" w:after="40" w:line="220" w:lineRule="exact"/>
              <w:ind w:left="0" w:right="0"/>
              <w:jc w:val="left"/>
              <w:rPr>
                <w:sz w:val="18"/>
                <w:lang w:val="es-ES_tradnl"/>
              </w:rPr>
            </w:pPr>
            <w:r w:rsidRPr="00F5461C">
              <w:rPr>
                <w:sz w:val="18"/>
                <w:lang w:val="es-ES_tradnl"/>
              </w:rPr>
              <w:t>Género</w:t>
            </w:r>
          </w:p>
        </w:tc>
        <w:tc>
          <w:tcPr>
            <w:tcW w:w="1048" w:type="dxa"/>
            <w:shd w:val="clear" w:color="auto" w:fill="auto"/>
            <w:vAlign w:val="bottom"/>
          </w:tcPr>
          <w:p w14:paraId="62B79D84"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3 892 (H)</w:t>
            </w:r>
          </w:p>
          <w:p w14:paraId="3922C0BF"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3 426 (M)</w:t>
            </w:r>
          </w:p>
        </w:tc>
        <w:tc>
          <w:tcPr>
            <w:tcW w:w="1049" w:type="dxa"/>
            <w:shd w:val="clear" w:color="auto" w:fill="auto"/>
            <w:vAlign w:val="bottom"/>
          </w:tcPr>
          <w:p w14:paraId="05493988"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3 999 (H)</w:t>
            </w:r>
          </w:p>
          <w:p w14:paraId="6530B739"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3 430 (M)</w:t>
            </w:r>
          </w:p>
        </w:tc>
        <w:tc>
          <w:tcPr>
            <w:tcW w:w="1048" w:type="dxa"/>
            <w:shd w:val="clear" w:color="auto" w:fill="auto"/>
            <w:vAlign w:val="bottom"/>
          </w:tcPr>
          <w:p w14:paraId="18F1F4FA"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3 787 (H)</w:t>
            </w:r>
          </w:p>
          <w:p w14:paraId="154FEA8C"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3 522 (M)</w:t>
            </w:r>
          </w:p>
        </w:tc>
        <w:tc>
          <w:tcPr>
            <w:tcW w:w="1049" w:type="dxa"/>
            <w:shd w:val="clear" w:color="auto" w:fill="auto"/>
            <w:vAlign w:val="bottom"/>
          </w:tcPr>
          <w:p w14:paraId="35E5BA87"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3 690 (H)</w:t>
            </w:r>
          </w:p>
          <w:p w14:paraId="49319353"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3 700 (M)</w:t>
            </w:r>
          </w:p>
        </w:tc>
        <w:tc>
          <w:tcPr>
            <w:tcW w:w="1049" w:type="dxa"/>
            <w:shd w:val="clear" w:color="auto" w:fill="auto"/>
            <w:vAlign w:val="bottom"/>
          </w:tcPr>
          <w:p w14:paraId="0DEDBF88"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2 698 (H)</w:t>
            </w:r>
          </w:p>
          <w:p w14:paraId="74D978DA"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2 776 (M)</w:t>
            </w:r>
          </w:p>
        </w:tc>
      </w:tr>
      <w:tr w:rsidR="00873716" w:rsidRPr="00F5461C" w14:paraId="2B54453C" w14:textId="77777777" w:rsidTr="00873716">
        <w:trPr>
          <w:cantSplit/>
          <w:trHeight w:val="240"/>
        </w:trPr>
        <w:tc>
          <w:tcPr>
            <w:tcW w:w="2127" w:type="dxa"/>
            <w:shd w:val="clear" w:color="auto" w:fill="auto"/>
          </w:tcPr>
          <w:p w14:paraId="1746E7FA"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Personas en situación de incapacidad temporal</w:t>
            </w:r>
          </w:p>
        </w:tc>
        <w:tc>
          <w:tcPr>
            <w:tcW w:w="1048" w:type="dxa"/>
            <w:shd w:val="clear" w:color="auto" w:fill="auto"/>
            <w:vAlign w:val="bottom"/>
          </w:tcPr>
          <w:p w14:paraId="163E158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7 232</w:t>
            </w:r>
          </w:p>
        </w:tc>
        <w:tc>
          <w:tcPr>
            <w:tcW w:w="1049" w:type="dxa"/>
            <w:shd w:val="clear" w:color="auto" w:fill="auto"/>
            <w:vAlign w:val="bottom"/>
          </w:tcPr>
          <w:p w14:paraId="66CC75E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7 337</w:t>
            </w:r>
          </w:p>
        </w:tc>
        <w:tc>
          <w:tcPr>
            <w:tcW w:w="1048" w:type="dxa"/>
            <w:shd w:val="clear" w:color="auto" w:fill="auto"/>
            <w:vAlign w:val="bottom"/>
          </w:tcPr>
          <w:p w14:paraId="4CD39F3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7 210</w:t>
            </w:r>
          </w:p>
        </w:tc>
        <w:tc>
          <w:tcPr>
            <w:tcW w:w="1049" w:type="dxa"/>
            <w:shd w:val="clear" w:color="auto" w:fill="auto"/>
            <w:vAlign w:val="bottom"/>
          </w:tcPr>
          <w:p w14:paraId="6D8FF6B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7 308</w:t>
            </w:r>
          </w:p>
        </w:tc>
        <w:tc>
          <w:tcPr>
            <w:tcW w:w="1049" w:type="dxa"/>
            <w:shd w:val="clear" w:color="auto" w:fill="auto"/>
            <w:vAlign w:val="bottom"/>
          </w:tcPr>
          <w:p w14:paraId="46F7CBD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5 457</w:t>
            </w:r>
          </w:p>
        </w:tc>
      </w:tr>
      <w:tr w:rsidR="00873716" w:rsidRPr="00F5461C" w14:paraId="0F5357EB" w14:textId="77777777" w:rsidTr="00873716">
        <w:trPr>
          <w:cantSplit/>
          <w:trHeight w:val="240"/>
        </w:trPr>
        <w:tc>
          <w:tcPr>
            <w:tcW w:w="2127" w:type="dxa"/>
            <w:shd w:val="clear" w:color="auto" w:fill="auto"/>
          </w:tcPr>
          <w:p w14:paraId="5AF0DCDF"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Personas en situación de incapacidad permanente</w:t>
            </w:r>
          </w:p>
        </w:tc>
        <w:tc>
          <w:tcPr>
            <w:tcW w:w="1048" w:type="dxa"/>
            <w:shd w:val="clear" w:color="auto" w:fill="auto"/>
            <w:vAlign w:val="bottom"/>
          </w:tcPr>
          <w:p w14:paraId="65563B3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74</w:t>
            </w:r>
          </w:p>
        </w:tc>
        <w:tc>
          <w:tcPr>
            <w:tcW w:w="1049" w:type="dxa"/>
            <w:shd w:val="clear" w:color="auto" w:fill="auto"/>
            <w:vAlign w:val="bottom"/>
          </w:tcPr>
          <w:p w14:paraId="38299B0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66</w:t>
            </w:r>
          </w:p>
        </w:tc>
        <w:tc>
          <w:tcPr>
            <w:tcW w:w="1048" w:type="dxa"/>
            <w:shd w:val="clear" w:color="auto" w:fill="auto"/>
            <w:vAlign w:val="bottom"/>
          </w:tcPr>
          <w:p w14:paraId="2F2CEEF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w:t>
            </w:r>
          </w:p>
        </w:tc>
        <w:tc>
          <w:tcPr>
            <w:tcW w:w="1049" w:type="dxa"/>
            <w:shd w:val="clear" w:color="auto" w:fill="auto"/>
            <w:vAlign w:val="bottom"/>
          </w:tcPr>
          <w:p w14:paraId="69D7BBD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65</w:t>
            </w:r>
          </w:p>
        </w:tc>
        <w:tc>
          <w:tcPr>
            <w:tcW w:w="1049" w:type="dxa"/>
            <w:shd w:val="clear" w:color="auto" w:fill="auto"/>
            <w:vAlign w:val="bottom"/>
          </w:tcPr>
          <w:p w14:paraId="144DFF9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w:t>
            </w:r>
          </w:p>
        </w:tc>
      </w:tr>
      <w:tr w:rsidR="00873716" w:rsidRPr="00F5461C" w14:paraId="6F824420" w14:textId="77777777" w:rsidTr="00873716">
        <w:trPr>
          <w:cantSplit/>
          <w:trHeight w:val="240"/>
        </w:trPr>
        <w:tc>
          <w:tcPr>
            <w:tcW w:w="2127" w:type="dxa"/>
            <w:shd w:val="clear" w:color="auto" w:fill="auto"/>
          </w:tcPr>
          <w:p w14:paraId="0B6082DA"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Defunciones</w:t>
            </w:r>
          </w:p>
        </w:tc>
        <w:tc>
          <w:tcPr>
            <w:tcW w:w="1048" w:type="dxa"/>
            <w:shd w:val="clear" w:color="auto" w:fill="auto"/>
            <w:vAlign w:val="bottom"/>
          </w:tcPr>
          <w:p w14:paraId="1088ACA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w:t>
            </w:r>
          </w:p>
        </w:tc>
        <w:tc>
          <w:tcPr>
            <w:tcW w:w="1049" w:type="dxa"/>
            <w:shd w:val="clear" w:color="auto" w:fill="auto"/>
            <w:vAlign w:val="bottom"/>
          </w:tcPr>
          <w:p w14:paraId="66554DA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w:t>
            </w:r>
          </w:p>
        </w:tc>
        <w:tc>
          <w:tcPr>
            <w:tcW w:w="1048" w:type="dxa"/>
            <w:shd w:val="clear" w:color="auto" w:fill="auto"/>
            <w:vAlign w:val="bottom"/>
          </w:tcPr>
          <w:p w14:paraId="718FD8B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w:t>
            </w:r>
          </w:p>
        </w:tc>
        <w:tc>
          <w:tcPr>
            <w:tcW w:w="1049" w:type="dxa"/>
            <w:shd w:val="clear" w:color="auto" w:fill="auto"/>
            <w:vAlign w:val="bottom"/>
          </w:tcPr>
          <w:p w14:paraId="367A3D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w:t>
            </w:r>
          </w:p>
        </w:tc>
        <w:tc>
          <w:tcPr>
            <w:tcW w:w="1049" w:type="dxa"/>
            <w:shd w:val="clear" w:color="auto" w:fill="auto"/>
            <w:vAlign w:val="bottom"/>
          </w:tcPr>
          <w:p w14:paraId="0A86C6B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10</w:t>
            </w:r>
          </w:p>
        </w:tc>
      </w:tr>
      <w:tr w:rsidR="00873716" w:rsidRPr="00F5461C" w14:paraId="25B6672F" w14:textId="77777777" w:rsidTr="00873716">
        <w:trPr>
          <w:cantSplit/>
          <w:trHeight w:val="240"/>
        </w:trPr>
        <w:tc>
          <w:tcPr>
            <w:tcW w:w="2127" w:type="dxa"/>
            <w:shd w:val="clear" w:color="auto" w:fill="auto"/>
          </w:tcPr>
          <w:p w14:paraId="737C842C"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Empleadores sancionados por infringir normas de higiene y seguridad en el</w:t>
            </w:r>
            <w:r w:rsidR="0083304B">
              <w:rPr>
                <w:sz w:val="18"/>
                <w:lang w:val="es-ES_tradnl"/>
              </w:rPr>
              <w:t> </w:t>
            </w:r>
            <w:r w:rsidRPr="00F5461C">
              <w:rPr>
                <w:sz w:val="18"/>
                <w:lang w:val="es-ES_tradnl"/>
              </w:rPr>
              <w:t>trabajo</w:t>
            </w:r>
          </w:p>
        </w:tc>
        <w:tc>
          <w:tcPr>
            <w:tcW w:w="1048" w:type="dxa"/>
            <w:shd w:val="clear" w:color="auto" w:fill="auto"/>
            <w:vAlign w:val="bottom"/>
          </w:tcPr>
          <w:p w14:paraId="0AE7724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35</w:t>
            </w:r>
          </w:p>
        </w:tc>
        <w:tc>
          <w:tcPr>
            <w:tcW w:w="1049" w:type="dxa"/>
            <w:shd w:val="clear" w:color="auto" w:fill="auto"/>
            <w:vAlign w:val="bottom"/>
          </w:tcPr>
          <w:p w14:paraId="6C174BE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34</w:t>
            </w:r>
          </w:p>
        </w:tc>
        <w:tc>
          <w:tcPr>
            <w:tcW w:w="1048" w:type="dxa"/>
            <w:shd w:val="clear" w:color="auto" w:fill="auto"/>
            <w:vAlign w:val="bottom"/>
          </w:tcPr>
          <w:p w14:paraId="54C8D04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w:t>
            </w:r>
          </w:p>
        </w:tc>
        <w:tc>
          <w:tcPr>
            <w:tcW w:w="1049" w:type="dxa"/>
            <w:shd w:val="clear" w:color="auto" w:fill="auto"/>
            <w:vAlign w:val="bottom"/>
          </w:tcPr>
          <w:p w14:paraId="36EA7C4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26</w:t>
            </w:r>
          </w:p>
        </w:tc>
        <w:tc>
          <w:tcPr>
            <w:tcW w:w="1049" w:type="dxa"/>
            <w:shd w:val="clear" w:color="auto" w:fill="auto"/>
            <w:vAlign w:val="bottom"/>
          </w:tcPr>
          <w:p w14:paraId="5CAE4C6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w:t>
            </w:r>
          </w:p>
        </w:tc>
      </w:tr>
      <w:tr w:rsidR="00873716" w:rsidRPr="00F5461C" w14:paraId="713C7EC8" w14:textId="77777777" w:rsidTr="00873716">
        <w:trPr>
          <w:cantSplit/>
          <w:trHeight w:val="240"/>
        </w:trPr>
        <w:tc>
          <w:tcPr>
            <w:tcW w:w="2127" w:type="dxa"/>
            <w:tcBorders>
              <w:bottom w:val="single" w:sz="12" w:space="0" w:color="auto"/>
            </w:tcBorders>
            <w:shd w:val="clear" w:color="auto" w:fill="auto"/>
          </w:tcPr>
          <w:p w14:paraId="61A14665"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 xml:space="preserve">Cuantía de la multa </w:t>
            </w:r>
            <w:r w:rsidR="00873716">
              <w:rPr>
                <w:sz w:val="18"/>
                <w:lang w:val="es-ES_tradnl"/>
              </w:rPr>
              <w:br/>
            </w:r>
            <w:r w:rsidRPr="00F5461C">
              <w:rPr>
                <w:sz w:val="18"/>
                <w:lang w:val="es-ES_tradnl"/>
              </w:rPr>
              <w:t>(en patacas de Macao)</w:t>
            </w:r>
          </w:p>
        </w:tc>
        <w:tc>
          <w:tcPr>
            <w:tcW w:w="1048" w:type="dxa"/>
            <w:tcBorders>
              <w:bottom w:val="single" w:sz="12" w:space="0" w:color="auto"/>
            </w:tcBorders>
            <w:shd w:val="clear" w:color="auto" w:fill="auto"/>
            <w:vAlign w:val="bottom"/>
          </w:tcPr>
          <w:p w14:paraId="0316861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148 400</w:t>
            </w:r>
          </w:p>
        </w:tc>
        <w:tc>
          <w:tcPr>
            <w:tcW w:w="1049" w:type="dxa"/>
            <w:tcBorders>
              <w:bottom w:val="single" w:sz="12" w:space="0" w:color="auto"/>
            </w:tcBorders>
            <w:shd w:val="clear" w:color="auto" w:fill="auto"/>
            <w:vAlign w:val="bottom"/>
          </w:tcPr>
          <w:p w14:paraId="1223857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196 000</w:t>
            </w:r>
          </w:p>
        </w:tc>
        <w:tc>
          <w:tcPr>
            <w:tcW w:w="1048" w:type="dxa"/>
            <w:tcBorders>
              <w:bottom w:val="single" w:sz="12" w:space="0" w:color="auto"/>
            </w:tcBorders>
            <w:shd w:val="clear" w:color="auto" w:fill="auto"/>
            <w:vAlign w:val="bottom"/>
          </w:tcPr>
          <w:p w14:paraId="77C4D16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185 500</w:t>
            </w:r>
          </w:p>
        </w:tc>
        <w:tc>
          <w:tcPr>
            <w:tcW w:w="1049" w:type="dxa"/>
            <w:tcBorders>
              <w:bottom w:val="single" w:sz="12" w:space="0" w:color="auto"/>
            </w:tcBorders>
            <w:shd w:val="clear" w:color="auto" w:fill="auto"/>
            <w:vAlign w:val="bottom"/>
          </w:tcPr>
          <w:p w14:paraId="54A2F1E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167 000</w:t>
            </w:r>
          </w:p>
        </w:tc>
        <w:tc>
          <w:tcPr>
            <w:tcW w:w="1049" w:type="dxa"/>
            <w:tcBorders>
              <w:bottom w:val="single" w:sz="12" w:space="0" w:color="auto"/>
            </w:tcBorders>
            <w:shd w:val="clear" w:color="auto" w:fill="auto"/>
            <w:vAlign w:val="bottom"/>
          </w:tcPr>
          <w:p w14:paraId="0A260FE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26 500</w:t>
            </w:r>
          </w:p>
        </w:tc>
      </w:tr>
    </w:tbl>
    <w:p w14:paraId="38D8C082" w14:textId="77777777" w:rsidR="00F5461C" w:rsidRPr="00F5461C" w:rsidRDefault="00F5461C" w:rsidP="00873716">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Asuntos Laborales.</w:t>
      </w:r>
    </w:p>
    <w:p w14:paraId="6E5E0CD2" w14:textId="77777777" w:rsidR="00F5461C" w:rsidRPr="00F5461C" w:rsidRDefault="00F5461C" w:rsidP="00F5461C">
      <w:pPr>
        <w:pStyle w:val="SingleTxtG"/>
        <w:rPr>
          <w:lang w:val="es-ES_tradnl"/>
        </w:rPr>
      </w:pPr>
      <w:r w:rsidRPr="00F5461C">
        <w:rPr>
          <w:lang w:val="es-ES_tradnl"/>
        </w:rPr>
        <w:t>75.</w:t>
      </w:r>
      <w:r w:rsidRPr="00F5461C">
        <w:rPr>
          <w:lang w:val="es-ES_tradnl"/>
        </w:rPr>
        <w:tab/>
        <w:t>Las principales causas de los accidentes de trabajo fueron las caídas, pisadas sobre objetos, choques con objetos, partes del cuerpo atrapadas por objetos, heridas por perforación o incisión y torceduras o esguinces por uso de fuerza excesiva. La Dirección de Asuntos Laborales remitió al tribunal cuatro casos de enfermedades ocupacionales (que afectaron a cuatro víctimas) en 2017 y otros cuatro casos (que también afectaron a un total de cuatro víctimas) entre enero y septiembre de 2018.</w:t>
      </w:r>
    </w:p>
    <w:p w14:paraId="291ECD13" w14:textId="77777777" w:rsidR="00F5461C" w:rsidRPr="00F5461C" w:rsidRDefault="00F5461C" w:rsidP="00F5461C">
      <w:pPr>
        <w:pStyle w:val="SingleTxtG"/>
        <w:rPr>
          <w:lang w:val="es-ES_tradnl"/>
        </w:rPr>
      </w:pPr>
      <w:r w:rsidRPr="00F5461C">
        <w:rPr>
          <w:lang w:val="es-ES_tradnl"/>
        </w:rPr>
        <w:lastRenderedPageBreak/>
        <w:t>76.</w:t>
      </w:r>
      <w:r w:rsidRPr="00F5461C">
        <w:rPr>
          <w:lang w:val="es-ES_tradnl"/>
        </w:rPr>
        <w:tab/>
        <w:t xml:space="preserve">Se registró 1 caso de enfermedad ocupacional con 1 víctima confirmada según decisión judicial con una pérdida auditiva neurosensorial leve (2014), 1 caso con 1 víctima confirmada con una pérdida auditiva neurosensorial bilateral (2015) y 1 caso con 1 víctima confirmada de neumoconiosis (2016). </w:t>
      </w:r>
    </w:p>
    <w:p w14:paraId="1DAE2440" w14:textId="77777777" w:rsidR="00F5461C" w:rsidRPr="00F5461C" w:rsidRDefault="00F5461C" w:rsidP="00F5461C">
      <w:pPr>
        <w:pStyle w:val="SingleTxtG"/>
        <w:rPr>
          <w:lang w:val="es-ES_tradnl"/>
        </w:rPr>
      </w:pPr>
      <w:r w:rsidRPr="00F5461C">
        <w:rPr>
          <w:lang w:val="es-ES_tradnl"/>
        </w:rPr>
        <w:t>77.</w:t>
      </w:r>
      <w:r w:rsidRPr="00F5461C">
        <w:rPr>
          <w:lang w:val="es-ES_tradnl"/>
        </w:rPr>
        <w:tab/>
        <w:t>Desde 2014 hasta septiembre de 2018, la Dirección de Asuntos Laborales llevó a cabo 20.422 inspecciones de higiene y seguridad en centros de trabajo, a raíz de las cuales se emitieron 10.168 recomendaciones y se dictaron 182 órdenes de suspensión. Se impusieron, respectivamente, 143, 300, 312, 493 y 190 sanciones o medidas disciplinarias, con multas de 324.000, 630.000, 700.000, 1.148.500 y 457.500 patacas de Macao.</w:t>
      </w:r>
    </w:p>
    <w:p w14:paraId="3CB176A1" w14:textId="77777777" w:rsidR="00F5461C" w:rsidRPr="00F5461C" w:rsidRDefault="00F5461C" w:rsidP="00F5461C">
      <w:pPr>
        <w:pStyle w:val="SingleTxtG"/>
        <w:rPr>
          <w:lang w:val="es-ES_tradnl"/>
        </w:rPr>
      </w:pPr>
      <w:r w:rsidRPr="00F5461C">
        <w:rPr>
          <w:lang w:val="es-ES_tradnl"/>
        </w:rPr>
        <w:t>78.</w:t>
      </w:r>
      <w:r w:rsidRPr="00F5461C">
        <w:rPr>
          <w:lang w:val="es-ES_tradnl"/>
        </w:rPr>
        <w:tab/>
        <w:t>La Dirección de Asuntos Laborales ha organizado varios cursos de seguridad y salud ocupacional para trabajadores de diferentes sectores (hotelero, educativo, construcción, administración pública y comercio mayorista y minorista, entre otros). Entre 2014 y septiembre de 2018 el número de participantes fue, respectivamente, de 1.648, 3.055, 2.461, 3.227 y 2.906.</w:t>
      </w:r>
    </w:p>
    <w:p w14:paraId="7F20CDFC" w14:textId="77777777" w:rsidR="00F5461C" w:rsidRPr="00F5461C" w:rsidRDefault="00F5461C" w:rsidP="00F5461C">
      <w:pPr>
        <w:pStyle w:val="SingleTxtG"/>
        <w:rPr>
          <w:lang w:val="es-ES_tradnl"/>
        </w:rPr>
      </w:pPr>
      <w:r w:rsidRPr="00F5461C">
        <w:rPr>
          <w:lang w:val="es-ES_tradnl"/>
        </w:rPr>
        <w:t>79.</w:t>
      </w:r>
      <w:r w:rsidRPr="00F5461C">
        <w:rPr>
          <w:lang w:val="es-ES_tradnl"/>
        </w:rPr>
        <w:tab/>
        <w:t>La Dirección de Asuntos Laborales también emitió la Tarjeta de Seguridad en la Construcción, válida por 5 años, que permite a los trabajadores del sector acreditar un nivel básico de conocimientos sobre seguridad. Entre 2014 y septiembre de 2018, participaron en el programa asociado 49.316, 47.478, 36.540, 25.520 y 18.968 trabajadores, respectivamente.</w:t>
      </w:r>
    </w:p>
    <w:p w14:paraId="288B3209" w14:textId="77777777" w:rsidR="00F5461C" w:rsidRPr="00F5461C" w:rsidRDefault="00F5461C" w:rsidP="00F5461C">
      <w:pPr>
        <w:pStyle w:val="SingleTxtG"/>
        <w:rPr>
          <w:lang w:val="es-ES_tradnl"/>
        </w:rPr>
      </w:pPr>
      <w:r w:rsidRPr="00F5461C">
        <w:rPr>
          <w:lang w:val="es-ES_tradnl"/>
        </w:rPr>
        <w:t>80.</w:t>
      </w:r>
      <w:r w:rsidRPr="00F5461C">
        <w:rPr>
          <w:lang w:val="es-ES_tradnl"/>
        </w:rPr>
        <w:tab/>
        <w:t xml:space="preserve">En junio de 2018, la Dirección de Asuntos Laborales puso en marcha un programa especial de capacitación sobre seguridad en la construcción, con el fin de proporcionar a los titulares de la Tarjeta de Seguridad en la Construcción una capacitación avanzada en materia de seguridad. Se emitió una </w:t>
      </w:r>
      <w:r w:rsidR="00D353FA">
        <w:rPr>
          <w:lang w:val="es-ES_tradnl"/>
        </w:rPr>
        <w:t>“</w:t>
      </w:r>
      <w:r w:rsidRPr="00F5461C">
        <w:rPr>
          <w:lang w:val="es-ES_tradnl"/>
        </w:rPr>
        <w:t>Tarjeta de Formación Especial sobre Seguridad en la Construcción</w:t>
      </w:r>
      <w:r w:rsidR="00D353FA">
        <w:rPr>
          <w:lang w:val="es-ES_tradnl"/>
        </w:rPr>
        <w:t>”</w:t>
      </w:r>
      <w:r w:rsidRPr="00F5461C">
        <w:rPr>
          <w:lang w:val="es-ES_tradnl"/>
        </w:rPr>
        <w:t>, que tiene 5 años de validez. Hasta septiembre de 2018 habían participado el programa 451 trabajadores.</w:t>
      </w:r>
    </w:p>
    <w:p w14:paraId="7F0B55E9" w14:textId="77777777" w:rsidR="00F5461C" w:rsidRPr="00F5461C" w:rsidRDefault="00F5461C" w:rsidP="00F5461C">
      <w:pPr>
        <w:pStyle w:val="SingleTxtG"/>
        <w:rPr>
          <w:lang w:val="es-ES_tradnl"/>
        </w:rPr>
      </w:pPr>
      <w:r w:rsidRPr="00F5461C">
        <w:rPr>
          <w:lang w:val="es-ES_tradnl"/>
        </w:rPr>
        <w:t>81.</w:t>
      </w:r>
      <w:r w:rsidRPr="00F5461C">
        <w:rPr>
          <w:lang w:val="es-ES_tradnl"/>
        </w:rPr>
        <w:tab/>
        <w:t>En julio de 2018, para los trabajadores de los sectores de la hostelería y los juegos de azar, se empezó a impartir un programa de formación para la obtención de la Tarjeta de Seguridad en el Trabajo para el Sector de la Hostelería, de cinco años de validez. Los cursos tratan sobre riesgos laborales comunes, conocimientos básicos de seguridad, medidas preventivas y uso de equipo de protección personal. A septiembre de 2018, el número de participantes era de 1.628.</w:t>
      </w:r>
    </w:p>
    <w:p w14:paraId="70EBD942" w14:textId="77777777" w:rsidR="00F5461C" w:rsidRPr="00F5461C" w:rsidRDefault="00AC2200" w:rsidP="00AC2200">
      <w:pPr>
        <w:pStyle w:val="H1G"/>
        <w:rPr>
          <w:lang w:val="es-ES_tradnl"/>
        </w:rPr>
      </w:pPr>
      <w:r>
        <w:rPr>
          <w:lang w:val="es-ES_tradnl"/>
        </w:rPr>
        <w:tab/>
      </w:r>
      <w:r w:rsidR="00F5461C" w:rsidRPr="00F5461C">
        <w:rPr>
          <w:lang w:val="es-ES_tradnl"/>
        </w:rPr>
        <w:tab/>
      </w:r>
      <w:r w:rsidR="00722610">
        <w:rPr>
          <w:lang w:val="es-ES_tradnl"/>
        </w:rPr>
        <w:t>Artículo </w:t>
      </w:r>
      <w:r w:rsidR="00F5461C" w:rsidRPr="00F5461C">
        <w:rPr>
          <w:lang w:val="es-ES_tradnl"/>
        </w:rPr>
        <w:t>8</w:t>
      </w:r>
      <w:r w:rsidR="00F5461C" w:rsidRPr="00F5461C">
        <w:rPr>
          <w:lang w:val="es-ES_tradnl"/>
        </w:rPr>
        <w:br/>
        <w:t>Derecho de afiliación sindical</w:t>
      </w:r>
    </w:p>
    <w:p w14:paraId="22FA9E82" w14:textId="77777777" w:rsidR="00F5461C" w:rsidRPr="00F5461C" w:rsidRDefault="00F5461C" w:rsidP="00F5461C">
      <w:pPr>
        <w:pStyle w:val="SingleTxtG"/>
        <w:rPr>
          <w:lang w:val="es-ES_tradnl"/>
        </w:rPr>
      </w:pPr>
      <w:r w:rsidRPr="00F5461C">
        <w:rPr>
          <w:lang w:val="es-ES_tradnl"/>
        </w:rPr>
        <w:t>82.</w:t>
      </w:r>
      <w:r w:rsidRPr="00F5461C">
        <w:rPr>
          <w:lang w:val="es-ES_tradnl"/>
        </w:rPr>
        <w:tab/>
        <w:t xml:space="preserve">La información proporcionada hasta la fecha con respecto a este </w:t>
      </w:r>
      <w:r w:rsidR="00722610">
        <w:rPr>
          <w:lang w:val="es-ES_tradnl"/>
        </w:rPr>
        <w:t>artículo</w:t>
      </w:r>
      <w:r w:rsidR="00FB29E2">
        <w:rPr>
          <w:lang w:val="es-ES_tradnl"/>
        </w:rPr>
        <w:t xml:space="preserve"> </w:t>
      </w:r>
      <w:r w:rsidRPr="00F5461C">
        <w:rPr>
          <w:lang w:val="es-ES_tradnl"/>
        </w:rPr>
        <w:t>sigue vigente. El Comité Permanente de Coordinación de Asuntos Sociales, integrado por representantes de asociaciones de empleadores y trabajadores, sigue desempeñando su función en relación con las políticas y planes estratégicos del Gobierno en materia laboral.</w:t>
      </w:r>
    </w:p>
    <w:p w14:paraId="039F9980" w14:textId="77777777" w:rsidR="00F5461C" w:rsidRPr="00F5461C" w:rsidRDefault="00F5461C" w:rsidP="00F5461C">
      <w:pPr>
        <w:pStyle w:val="SingleTxtG"/>
        <w:rPr>
          <w:lang w:val="es-ES_tradnl"/>
        </w:rPr>
      </w:pPr>
      <w:r w:rsidRPr="00F5461C">
        <w:rPr>
          <w:lang w:val="es-ES_tradnl"/>
        </w:rPr>
        <w:t>83.</w:t>
      </w:r>
      <w:r w:rsidRPr="00F5461C">
        <w:rPr>
          <w:lang w:val="es-ES_tradnl"/>
        </w:rPr>
        <w:tab/>
        <w:t>Como se explicó en informes anteriores, las organizaciones laborales son una parte activa de la sociedad, ya que intervienen en la vida política y defienden los intereses de los trabajadores. Sus miembros no pueden ser discriminados ni estar sujetos a ninguna restricción por su afiliación. En septiembre de 2018 había unas 435 organizaciones laborales (56 asociaciones de trabajadores y 379 asociaciones profesionales) registradas en la Dirección de Servicios de Identificación.</w:t>
      </w:r>
    </w:p>
    <w:p w14:paraId="1CD086CA" w14:textId="77777777" w:rsidR="00F5461C" w:rsidRPr="00F5461C" w:rsidRDefault="00F5461C" w:rsidP="00F5461C">
      <w:pPr>
        <w:pStyle w:val="SingleTxtG"/>
        <w:rPr>
          <w:lang w:val="es-ES_tradnl"/>
        </w:rPr>
      </w:pPr>
      <w:r w:rsidRPr="00F5461C">
        <w:rPr>
          <w:lang w:val="es-ES_tradnl"/>
        </w:rPr>
        <w:t>84.</w:t>
      </w:r>
      <w:r w:rsidRPr="00F5461C">
        <w:rPr>
          <w:lang w:val="es-ES_tradnl"/>
        </w:rPr>
        <w:tab/>
        <w:t xml:space="preserve">En relación con el párrafo 57 de las observaciones finales, el derecho a la huelga y a la afiliación a una organización laboral es un derecho fundamental garantizado por el </w:t>
      </w:r>
      <w:r w:rsidR="00722610">
        <w:rPr>
          <w:lang w:val="es-ES_tradnl"/>
        </w:rPr>
        <w:t>artículo </w:t>
      </w:r>
      <w:r w:rsidRPr="00F5461C">
        <w:rPr>
          <w:lang w:val="es-ES_tradnl"/>
        </w:rPr>
        <w:t xml:space="preserve">27 de la Ley Fundamental y nadie debe ser discriminado por esos motivos. </w:t>
      </w:r>
    </w:p>
    <w:p w14:paraId="06CFAB35" w14:textId="77777777" w:rsidR="00F5461C" w:rsidRPr="00F5461C" w:rsidRDefault="00F5461C" w:rsidP="00F5461C">
      <w:pPr>
        <w:pStyle w:val="SingleTxtG"/>
        <w:rPr>
          <w:lang w:val="es-ES_tradnl"/>
        </w:rPr>
      </w:pPr>
      <w:r w:rsidRPr="00F5461C">
        <w:rPr>
          <w:lang w:val="es-ES_tradnl"/>
        </w:rPr>
        <w:t>85.</w:t>
      </w:r>
      <w:r w:rsidRPr="00F5461C">
        <w:rPr>
          <w:lang w:val="es-ES_tradnl"/>
        </w:rPr>
        <w:tab/>
        <w:t xml:space="preserve">A modo de ejemplo, en 2018, hubo una huelga de socorristas que duró 7 días, originada por la vulneración del horario de trabajo por parte de su empleador. Una de las consecuencias fue que se impuso a este una multa de 230.000 patacas de Macao. Aún se está investigando el caso. </w:t>
      </w:r>
    </w:p>
    <w:p w14:paraId="67E7D017" w14:textId="77777777" w:rsidR="00F5461C" w:rsidRPr="00F5461C" w:rsidRDefault="00F5461C" w:rsidP="00C56425">
      <w:pPr>
        <w:pStyle w:val="H1G"/>
        <w:rPr>
          <w:lang w:val="es-ES_tradnl"/>
        </w:rPr>
      </w:pPr>
      <w:r w:rsidRPr="00F5461C">
        <w:rPr>
          <w:lang w:val="es-ES_tradnl"/>
        </w:rPr>
        <w:lastRenderedPageBreak/>
        <w:tab/>
      </w:r>
      <w:r w:rsidR="00C56425">
        <w:rPr>
          <w:lang w:val="es-ES_tradnl"/>
        </w:rPr>
        <w:tab/>
      </w:r>
      <w:r w:rsidR="00722610">
        <w:rPr>
          <w:lang w:val="es-ES_tradnl"/>
        </w:rPr>
        <w:t>Artículo </w:t>
      </w:r>
      <w:r w:rsidRPr="00F5461C">
        <w:rPr>
          <w:lang w:val="es-ES_tradnl"/>
        </w:rPr>
        <w:t>9</w:t>
      </w:r>
      <w:r w:rsidRPr="00F5461C">
        <w:rPr>
          <w:lang w:val="es-ES_tradnl"/>
        </w:rPr>
        <w:br/>
        <w:t>Derecho a la seguridad social</w:t>
      </w:r>
    </w:p>
    <w:p w14:paraId="4326F944" w14:textId="77777777" w:rsidR="00F5461C" w:rsidRPr="00F5461C" w:rsidRDefault="00F5461C" w:rsidP="00F5461C">
      <w:pPr>
        <w:pStyle w:val="SingleTxtG"/>
        <w:rPr>
          <w:lang w:val="es-ES_tradnl"/>
        </w:rPr>
      </w:pPr>
      <w:r w:rsidRPr="00F5461C">
        <w:rPr>
          <w:lang w:val="es-ES_tradnl"/>
        </w:rPr>
        <w:t>86.</w:t>
      </w:r>
      <w:r w:rsidRPr="00F5461C">
        <w:rPr>
          <w:lang w:val="es-ES_tradnl"/>
        </w:rPr>
        <w:tab/>
        <w:t>El derecho a la seguridad social es un derecho constitucional, y es responsabilidad del Gobierno desarrollar las políticas y medidas pertinentes, tal como se menciona en informes anteriores (artículos 39 y 130 de la Ley Fundamental). Hay dos sistemas principales de seguridad social: el del sector público y el del sector privado. Si bien el sistema de seguridad social del sector público se mantiene esencialmente inalterado, el del sector privado ha sido objeto de mejoras sustanciales.</w:t>
      </w:r>
    </w:p>
    <w:p w14:paraId="493589A8" w14:textId="77777777" w:rsidR="00F5461C" w:rsidRPr="00F5461C" w:rsidRDefault="00F5461C" w:rsidP="00F5461C">
      <w:pPr>
        <w:pStyle w:val="SingleTxtG"/>
        <w:rPr>
          <w:lang w:val="es-ES_tradnl"/>
        </w:rPr>
      </w:pPr>
      <w:r w:rsidRPr="00F5461C">
        <w:rPr>
          <w:lang w:val="es-ES_tradnl"/>
        </w:rPr>
        <w:t>87.</w:t>
      </w:r>
      <w:r w:rsidRPr="00F5461C">
        <w:rPr>
          <w:lang w:val="es-ES_tradnl"/>
        </w:rPr>
        <w:tab/>
        <w:t>En el sector público, el Fondo de Pensiones continúa siendo la entidad responsable de las prestaciones por jubilación de los funcionarios públicos. El Fondo de Pensiones administra dos planes, el Plan de Pensiones de Jubilación y Supérstite (prestación definida) y el Plan de Fondos de Previsión (contribución definida).</w:t>
      </w:r>
    </w:p>
    <w:p w14:paraId="25EED7B6" w14:textId="77777777" w:rsidR="00F5461C" w:rsidRPr="00F5461C" w:rsidRDefault="00F5461C" w:rsidP="00F5461C">
      <w:pPr>
        <w:pStyle w:val="SingleTxtG"/>
        <w:rPr>
          <w:lang w:val="es-ES_tradnl"/>
        </w:rPr>
      </w:pPr>
      <w:r w:rsidRPr="00F5461C">
        <w:rPr>
          <w:lang w:val="es-ES_tradnl"/>
        </w:rPr>
        <w:t>88.</w:t>
      </w:r>
      <w:r w:rsidRPr="00F5461C">
        <w:rPr>
          <w:lang w:val="es-ES_tradnl"/>
        </w:rPr>
        <w:tab/>
        <w:t xml:space="preserve">En el marco del Plan de Pensiones de Jubilación y Supérstite, el afiliado tiene derecho a una pensión mensual vitalicia en el momento de su jubilación, mientras que los herederos de un afiliado fallecido que cumplan determinados requisitos tienen derecho a una pensión, de conformidad con la legislación pertinente. En septiembre de 2018, había 9.154 miembros activos del Plan de Pensiones de Jubilación y Supérstite (5.903 hombres y 3.251 mujeres), de los cuales 84 (40 hombres y 44 mujeres) eran jueces. En esa misma fecha, había 3.769 beneficiarios de pensiones de jubilación (2.974 hombres y 795 mujeres) y 385 beneficiarios de pensiones de supérstite (76 hombres y 309 mujeres). </w:t>
      </w:r>
    </w:p>
    <w:p w14:paraId="56D62740" w14:textId="77777777" w:rsidR="00F5461C" w:rsidRPr="00F5461C" w:rsidRDefault="00F5461C" w:rsidP="00F5461C">
      <w:pPr>
        <w:pStyle w:val="SingleTxtG"/>
        <w:rPr>
          <w:lang w:val="es-ES_tradnl"/>
        </w:rPr>
      </w:pPr>
      <w:r w:rsidRPr="00F5461C">
        <w:rPr>
          <w:lang w:val="es-ES_tradnl"/>
        </w:rPr>
        <w:t>89.</w:t>
      </w:r>
      <w:r w:rsidRPr="00F5461C">
        <w:rPr>
          <w:lang w:val="es-ES_tradnl"/>
        </w:rPr>
        <w:tab/>
        <w:t xml:space="preserve">Desde la introducción del Régimen del Plan de Fondos de Previsión (Ley </w:t>
      </w:r>
      <w:r w:rsidR="00E27276">
        <w:rPr>
          <w:lang w:val="es-ES_tradnl"/>
        </w:rPr>
        <w:t>núm. </w:t>
      </w:r>
      <w:r w:rsidRPr="00F5461C">
        <w:rPr>
          <w:lang w:val="es-ES_tradnl"/>
        </w:rPr>
        <w:t xml:space="preserve">8/2006, modificada, y Reglamento Administrativo </w:t>
      </w:r>
      <w:r w:rsidR="00E27276">
        <w:rPr>
          <w:lang w:val="es-ES_tradnl"/>
        </w:rPr>
        <w:t>núm. </w:t>
      </w:r>
      <w:r w:rsidRPr="00F5461C">
        <w:rPr>
          <w:lang w:val="es-ES_tradnl"/>
        </w:rPr>
        <w:t>15/2006, modificado), que es un plan público de prestaciones por jubilación para los trabajadores del sector público basado en aportaciones mensuales de los trabajadores y el Gobierno, ya no es posible suscribirse al Plan de Pensiones de Jubilación y Supérstite, excepto para los funcionarios de carrera de la judicatura y la fiscalía. Todos los demás trabajadores que tengan una relación laboral con la Administración Pública, con excepción de los trabajadores a tiempo parcial y los que trabajen en entidades con planes de jubilación propios, tienen derecho a acogerse al Plan de Fondos de Previsión. En septiembre de 2018, 22.360 trabajadores (11.895 hombres y 10.465 mujeres) estaban suscritos al Plan.</w:t>
      </w:r>
    </w:p>
    <w:p w14:paraId="70AC9CB0" w14:textId="77777777" w:rsidR="00F5461C" w:rsidRPr="00F5461C" w:rsidRDefault="00F5461C" w:rsidP="00F5461C">
      <w:pPr>
        <w:pStyle w:val="SingleTxtG"/>
        <w:rPr>
          <w:lang w:val="es-ES_tradnl"/>
        </w:rPr>
      </w:pPr>
      <w:r w:rsidRPr="00F5461C">
        <w:rPr>
          <w:lang w:val="es-ES_tradnl"/>
        </w:rPr>
        <w:t>90.</w:t>
      </w:r>
      <w:r w:rsidRPr="00F5461C">
        <w:rPr>
          <w:lang w:val="es-ES_tradnl"/>
        </w:rPr>
        <w:tab/>
        <w:t>En el marco del Plan de Fondos de Previsión, las aportaciones mensuales conjuntas de los suscriptores y el Gobierno se destinan a opciones de inversión y se suman a los rendimientos de las inversiones. Cuando deje de trabajar en la Administración Pública, el suscriptor recibirá la cantidad devengada en un pago global o hasta un máximo de 3 plazos, según prefiera.</w:t>
      </w:r>
    </w:p>
    <w:p w14:paraId="2903EEFF" w14:textId="77777777" w:rsidR="00F5461C" w:rsidRPr="00F5461C" w:rsidRDefault="00F5461C" w:rsidP="00F5461C">
      <w:pPr>
        <w:pStyle w:val="SingleTxtG"/>
        <w:rPr>
          <w:lang w:val="es-ES_tradnl"/>
        </w:rPr>
      </w:pPr>
      <w:r w:rsidRPr="00F5461C">
        <w:rPr>
          <w:lang w:val="es-ES_tradnl"/>
        </w:rPr>
        <w:t>91.</w:t>
      </w:r>
      <w:r w:rsidRPr="00F5461C">
        <w:rPr>
          <w:lang w:val="es-ES_tradnl"/>
        </w:rPr>
        <w:tab/>
        <w:t>Para proteger los intereses de los suscriptores, el Fondo de Previsión ha contratado a una empresa consultora de inversiones con el fin de que le ayude en el seguimiento de los fondos de inversión. Además, en 2014 se introdujo un fondo de gestión pasiva de renta variable global.</w:t>
      </w:r>
    </w:p>
    <w:p w14:paraId="16F46536" w14:textId="77777777" w:rsidR="00F5461C" w:rsidRPr="00E0390E" w:rsidRDefault="00F5461C" w:rsidP="00C56425">
      <w:pPr>
        <w:pStyle w:val="H23G"/>
        <w:rPr>
          <w:sz w:val="16"/>
          <w:szCs w:val="16"/>
          <w:lang w:val="es-ES_tradnl"/>
        </w:rPr>
      </w:pPr>
      <w:r w:rsidRPr="00F5461C">
        <w:rPr>
          <w:lang w:val="es-ES_tradnl"/>
        </w:rPr>
        <w:tab/>
      </w:r>
      <w:r w:rsidR="00C56425">
        <w:rPr>
          <w:lang w:val="es-ES_tradnl"/>
        </w:rPr>
        <w:tab/>
      </w:r>
      <w:r w:rsidRPr="00F5461C">
        <w:rPr>
          <w:lang w:val="es-ES_tradnl"/>
        </w:rPr>
        <w:t>Distribución de las inversiones de los suscriptores</w:t>
      </w:r>
      <w:r w:rsidR="00E0390E">
        <w:rPr>
          <w:lang w:val="es-ES_tradnl"/>
        </w:rPr>
        <w:br/>
      </w:r>
      <w:r w:rsidR="00E0390E" w:rsidRPr="00E0390E">
        <w:rPr>
          <w:b w:val="0"/>
          <w:bCs/>
          <w:sz w:val="16"/>
          <w:szCs w:val="16"/>
          <w:lang w:val="es-ES_tradnl"/>
        </w:rPr>
        <w:t>(En porcentaje)</w:t>
      </w:r>
    </w:p>
    <w:tbl>
      <w:tblPr>
        <w:tblW w:w="773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41"/>
        <w:gridCol w:w="2073"/>
        <w:gridCol w:w="2127"/>
        <w:gridCol w:w="1580"/>
        <w:gridCol w:w="1209"/>
      </w:tblGrid>
      <w:tr w:rsidR="00165BC8" w:rsidRPr="00165BC8" w14:paraId="345C0595" w14:textId="77777777" w:rsidTr="00E0390E">
        <w:trPr>
          <w:cantSplit/>
          <w:trHeight w:val="240"/>
          <w:tblHeader/>
        </w:trPr>
        <w:tc>
          <w:tcPr>
            <w:tcW w:w="741" w:type="dxa"/>
            <w:tcBorders>
              <w:top w:val="single" w:sz="4" w:space="0" w:color="auto"/>
              <w:bottom w:val="single" w:sz="12" w:space="0" w:color="auto"/>
            </w:tcBorders>
            <w:shd w:val="clear" w:color="auto" w:fill="auto"/>
            <w:noWrap/>
            <w:vAlign w:val="bottom"/>
          </w:tcPr>
          <w:p w14:paraId="38DB816A" w14:textId="77777777" w:rsidR="00F5461C" w:rsidRPr="00F5461C" w:rsidRDefault="00F5461C" w:rsidP="00165BC8">
            <w:pPr>
              <w:pStyle w:val="SingleTxtG"/>
              <w:spacing w:before="80" w:after="80" w:line="200" w:lineRule="exact"/>
              <w:ind w:left="0" w:right="0"/>
              <w:jc w:val="left"/>
              <w:rPr>
                <w:i/>
                <w:sz w:val="16"/>
                <w:lang w:val="es-ES_tradnl"/>
              </w:rPr>
            </w:pPr>
            <w:r w:rsidRPr="00F5461C">
              <w:rPr>
                <w:i/>
                <w:iCs/>
                <w:sz w:val="16"/>
                <w:lang w:val="es-ES_tradnl"/>
              </w:rPr>
              <w:t>Año</w:t>
            </w:r>
          </w:p>
        </w:tc>
        <w:tc>
          <w:tcPr>
            <w:tcW w:w="2073" w:type="dxa"/>
            <w:tcBorders>
              <w:top w:val="single" w:sz="4" w:space="0" w:color="auto"/>
              <w:bottom w:val="single" w:sz="12" w:space="0" w:color="auto"/>
            </w:tcBorders>
            <w:shd w:val="clear" w:color="auto" w:fill="auto"/>
            <w:noWrap/>
            <w:vAlign w:val="bottom"/>
          </w:tcPr>
          <w:p w14:paraId="58008D35"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Fondo de renta variable global</w:t>
            </w:r>
            <w:r w:rsidR="00165BC8">
              <w:rPr>
                <w:i/>
                <w:iCs/>
                <w:sz w:val="16"/>
                <w:lang w:val="es-ES_tradnl"/>
              </w:rPr>
              <w:t xml:space="preserve"> </w:t>
            </w:r>
            <w:r w:rsidRPr="00F5461C">
              <w:rPr>
                <w:i/>
                <w:iCs/>
                <w:sz w:val="16"/>
                <w:lang w:val="es-ES_tradnl"/>
              </w:rPr>
              <w:t>(gestión activa)</w:t>
            </w:r>
          </w:p>
        </w:tc>
        <w:tc>
          <w:tcPr>
            <w:tcW w:w="2127" w:type="dxa"/>
            <w:tcBorders>
              <w:top w:val="single" w:sz="4" w:space="0" w:color="auto"/>
              <w:bottom w:val="single" w:sz="12" w:space="0" w:color="auto"/>
            </w:tcBorders>
            <w:shd w:val="clear" w:color="auto" w:fill="auto"/>
            <w:noWrap/>
            <w:vAlign w:val="bottom"/>
          </w:tcPr>
          <w:p w14:paraId="283611F5"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 xml:space="preserve">Fondo de renta variable </w:t>
            </w:r>
            <w:r w:rsidR="00E27276">
              <w:rPr>
                <w:i/>
                <w:iCs/>
                <w:sz w:val="16"/>
                <w:lang w:val="es-ES_tradnl"/>
              </w:rPr>
              <w:br/>
            </w:r>
            <w:r w:rsidRPr="00F5461C">
              <w:rPr>
                <w:i/>
                <w:iCs/>
                <w:sz w:val="16"/>
                <w:lang w:val="es-ES_tradnl"/>
              </w:rPr>
              <w:t>global</w:t>
            </w:r>
            <w:r w:rsidR="00165BC8">
              <w:rPr>
                <w:i/>
                <w:iCs/>
                <w:sz w:val="16"/>
                <w:lang w:val="es-ES_tradnl"/>
              </w:rPr>
              <w:t xml:space="preserve"> </w:t>
            </w:r>
            <w:r w:rsidRPr="00F5461C">
              <w:rPr>
                <w:i/>
                <w:iCs/>
                <w:sz w:val="16"/>
                <w:lang w:val="es-ES_tradnl"/>
              </w:rPr>
              <w:t>(gestión pasiva)</w:t>
            </w:r>
          </w:p>
        </w:tc>
        <w:tc>
          <w:tcPr>
            <w:tcW w:w="1580" w:type="dxa"/>
            <w:tcBorders>
              <w:top w:val="single" w:sz="4" w:space="0" w:color="auto"/>
              <w:bottom w:val="single" w:sz="12" w:space="0" w:color="auto"/>
            </w:tcBorders>
            <w:shd w:val="clear" w:color="auto" w:fill="auto"/>
            <w:noWrap/>
            <w:vAlign w:val="bottom"/>
          </w:tcPr>
          <w:p w14:paraId="3D5BA677"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Fondo de bonos global</w:t>
            </w:r>
          </w:p>
        </w:tc>
        <w:tc>
          <w:tcPr>
            <w:tcW w:w="1209" w:type="dxa"/>
            <w:tcBorders>
              <w:top w:val="single" w:sz="4" w:space="0" w:color="auto"/>
              <w:bottom w:val="single" w:sz="12" w:space="0" w:color="auto"/>
            </w:tcBorders>
            <w:shd w:val="clear" w:color="auto" w:fill="auto"/>
            <w:noWrap/>
            <w:vAlign w:val="bottom"/>
          </w:tcPr>
          <w:p w14:paraId="000E017F"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Depósitos bancarios</w:t>
            </w:r>
          </w:p>
        </w:tc>
      </w:tr>
      <w:tr w:rsidR="00165BC8" w:rsidRPr="00F5461C" w14:paraId="1A247581" w14:textId="77777777" w:rsidTr="00E0390E">
        <w:trPr>
          <w:cantSplit/>
          <w:trHeight w:val="240"/>
          <w:tblHeader/>
        </w:trPr>
        <w:tc>
          <w:tcPr>
            <w:tcW w:w="741" w:type="dxa"/>
            <w:tcBorders>
              <w:top w:val="single" w:sz="12" w:space="0" w:color="auto"/>
            </w:tcBorders>
            <w:shd w:val="clear" w:color="auto" w:fill="auto"/>
            <w:hideMark/>
          </w:tcPr>
          <w:p w14:paraId="494EF18F"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2014</w:t>
            </w:r>
          </w:p>
        </w:tc>
        <w:tc>
          <w:tcPr>
            <w:tcW w:w="2073" w:type="dxa"/>
            <w:tcBorders>
              <w:top w:val="single" w:sz="12" w:space="0" w:color="auto"/>
            </w:tcBorders>
            <w:shd w:val="clear" w:color="auto" w:fill="auto"/>
            <w:vAlign w:val="bottom"/>
            <w:hideMark/>
          </w:tcPr>
          <w:p w14:paraId="7495C68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49</w:t>
            </w:r>
          </w:p>
        </w:tc>
        <w:tc>
          <w:tcPr>
            <w:tcW w:w="2127" w:type="dxa"/>
            <w:tcBorders>
              <w:top w:val="single" w:sz="12" w:space="0" w:color="auto"/>
            </w:tcBorders>
            <w:shd w:val="clear" w:color="auto" w:fill="auto"/>
            <w:vAlign w:val="bottom"/>
            <w:hideMark/>
          </w:tcPr>
          <w:p w14:paraId="30EEF3A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w:t>
            </w:r>
          </w:p>
        </w:tc>
        <w:tc>
          <w:tcPr>
            <w:tcW w:w="1580" w:type="dxa"/>
            <w:tcBorders>
              <w:top w:val="single" w:sz="12" w:space="0" w:color="auto"/>
            </w:tcBorders>
            <w:shd w:val="clear" w:color="auto" w:fill="auto"/>
            <w:vAlign w:val="bottom"/>
            <w:hideMark/>
          </w:tcPr>
          <w:p w14:paraId="5A052A4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w:t>
            </w:r>
          </w:p>
        </w:tc>
        <w:tc>
          <w:tcPr>
            <w:tcW w:w="1209" w:type="dxa"/>
            <w:tcBorders>
              <w:top w:val="single" w:sz="12" w:space="0" w:color="auto"/>
            </w:tcBorders>
            <w:shd w:val="clear" w:color="auto" w:fill="auto"/>
            <w:noWrap/>
            <w:vAlign w:val="bottom"/>
            <w:hideMark/>
          </w:tcPr>
          <w:p w14:paraId="1332AD0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r>
      <w:tr w:rsidR="00165BC8" w:rsidRPr="00F5461C" w14:paraId="6974144D" w14:textId="77777777" w:rsidTr="00E0390E">
        <w:trPr>
          <w:cantSplit/>
          <w:trHeight w:val="240"/>
          <w:tblHeader/>
        </w:trPr>
        <w:tc>
          <w:tcPr>
            <w:tcW w:w="741" w:type="dxa"/>
            <w:shd w:val="clear" w:color="auto" w:fill="auto"/>
            <w:hideMark/>
          </w:tcPr>
          <w:p w14:paraId="03BCA3CB"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2015</w:t>
            </w:r>
          </w:p>
        </w:tc>
        <w:tc>
          <w:tcPr>
            <w:tcW w:w="2073" w:type="dxa"/>
            <w:shd w:val="clear" w:color="auto" w:fill="auto"/>
            <w:vAlign w:val="bottom"/>
            <w:hideMark/>
          </w:tcPr>
          <w:p w14:paraId="76E4529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44</w:t>
            </w:r>
          </w:p>
        </w:tc>
        <w:tc>
          <w:tcPr>
            <w:tcW w:w="2127" w:type="dxa"/>
            <w:shd w:val="clear" w:color="auto" w:fill="auto"/>
            <w:vAlign w:val="bottom"/>
            <w:hideMark/>
          </w:tcPr>
          <w:p w14:paraId="3042A09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w:t>
            </w:r>
          </w:p>
        </w:tc>
        <w:tc>
          <w:tcPr>
            <w:tcW w:w="1580" w:type="dxa"/>
            <w:shd w:val="clear" w:color="auto" w:fill="auto"/>
            <w:vAlign w:val="bottom"/>
            <w:hideMark/>
          </w:tcPr>
          <w:p w14:paraId="07177A0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1209" w:type="dxa"/>
            <w:shd w:val="clear" w:color="auto" w:fill="auto"/>
            <w:noWrap/>
            <w:vAlign w:val="bottom"/>
            <w:hideMark/>
          </w:tcPr>
          <w:p w14:paraId="2AB128B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r>
      <w:tr w:rsidR="00165BC8" w:rsidRPr="00F5461C" w14:paraId="02A0B24D" w14:textId="77777777" w:rsidTr="00E0390E">
        <w:trPr>
          <w:cantSplit/>
          <w:trHeight w:val="240"/>
          <w:tblHeader/>
        </w:trPr>
        <w:tc>
          <w:tcPr>
            <w:tcW w:w="741" w:type="dxa"/>
            <w:shd w:val="clear" w:color="auto" w:fill="auto"/>
            <w:hideMark/>
          </w:tcPr>
          <w:p w14:paraId="253BB8AC"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2016</w:t>
            </w:r>
          </w:p>
        </w:tc>
        <w:tc>
          <w:tcPr>
            <w:tcW w:w="2073" w:type="dxa"/>
            <w:shd w:val="clear" w:color="auto" w:fill="auto"/>
            <w:vAlign w:val="bottom"/>
            <w:hideMark/>
          </w:tcPr>
          <w:p w14:paraId="7F286B2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42</w:t>
            </w:r>
          </w:p>
        </w:tc>
        <w:tc>
          <w:tcPr>
            <w:tcW w:w="2127" w:type="dxa"/>
            <w:shd w:val="clear" w:color="auto" w:fill="auto"/>
            <w:vAlign w:val="bottom"/>
            <w:hideMark/>
          </w:tcPr>
          <w:p w14:paraId="4CA2F09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1580" w:type="dxa"/>
            <w:shd w:val="clear" w:color="auto" w:fill="auto"/>
            <w:vAlign w:val="bottom"/>
            <w:hideMark/>
          </w:tcPr>
          <w:p w14:paraId="21F4807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1209" w:type="dxa"/>
            <w:shd w:val="clear" w:color="auto" w:fill="auto"/>
            <w:noWrap/>
            <w:vAlign w:val="bottom"/>
            <w:hideMark/>
          </w:tcPr>
          <w:p w14:paraId="3BF0094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25</w:t>
            </w:r>
          </w:p>
        </w:tc>
      </w:tr>
      <w:tr w:rsidR="00165BC8" w:rsidRPr="00F5461C" w14:paraId="66AC36A4" w14:textId="77777777" w:rsidTr="00E0390E">
        <w:trPr>
          <w:cantSplit/>
          <w:trHeight w:val="240"/>
          <w:tblHeader/>
        </w:trPr>
        <w:tc>
          <w:tcPr>
            <w:tcW w:w="741" w:type="dxa"/>
            <w:shd w:val="clear" w:color="auto" w:fill="auto"/>
            <w:hideMark/>
          </w:tcPr>
          <w:p w14:paraId="69E4EEB7"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2017</w:t>
            </w:r>
          </w:p>
        </w:tc>
        <w:tc>
          <w:tcPr>
            <w:tcW w:w="2073" w:type="dxa"/>
            <w:shd w:val="clear" w:color="auto" w:fill="auto"/>
            <w:vAlign w:val="bottom"/>
            <w:hideMark/>
          </w:tcPr>
          <w:p w14:paraId="0EA6CBE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37</w:t>
            </w:r>
          </w:p>
        </w:tc>
        <w:tc>
          <w:tcPr>
            <w:tcW w:w="2127" w:type="dxa"/>
            <w:shd w:val="clear" w:color="auto" w:fill="auto"/>
            <w:vAlign w:val="bottom"/>
            <w:hideMark/>
          </w:tcPr>
          <w:p w14:paraId="2FE9639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w:t>
            </w:r>
          </w:p>
        </w:tc>
        <w:tc>
          <w:tcPr>
            <w:tcW w:w="1580" w:type="dxa"/>
            <w:shd w:val="clear" w:color="auto" w:fill="auto"/>
            <w:vAlign w:val="bottom"/>
            <w:hideMark/>
          </w:tcPr>
          <w:p w14:paraId="279D74D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1209" w:type="dxa"/>
            <w:shd w:val="clear" w:color="auto" w:fill="auto"/>
            <w:noWrap/>
            <w:vAlign w:val="bottom"/>
            <w:hideMark/>
          </w:tcPr>
          <w:p w14:paraId="5E971FC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25</w:t>
            </w:r>
          </w:p>
        </w:tc>
      </w:tr>
      <w:tr w:rsidR="00165BC8" w:rsidRPr="00F5461C" w14:paraId="6CC6E5B2" w14:textId="77777777" w:rsidTr="00E0390E">
        <w:trPr>
          <w:cantSplit/>
          <w:trHeight w:val="240"/>
          <w:tblHeader/>
        </w:trPr>
        <w:tc>
          <w:tcPr>
            <w:tcW w:w="741" w:type="dxa"/>
            <w:tcBorders>
              <w:bottom w:val="single" w:sz="12" w:space="0" w:color="auto"/>
            </w:tcBorders>
            <w:shd w:val="clear" w:color="auto" w:fill="auto"/>
            <w:hideMark/>
          </w:tcPr>
          <w:p w14:paraId="77B927BD" w14:textId="77777777" w:rsidR="00F5461C" w:rsidRPr="00F5461C" w:rsidRDefault="00C51DD5" w:rsidP="00165BC8">
            <w:pPr>
              <w:pStyle w:val="SingleTxtG"/>
              <w:spacing w:before="40" w:after="40" w:line="220" w:lineRule="exact"/>
              <w:ind w:left="0" w:right="0"/>
              <w:jc w:val="left"/>
              <w:rPr>
                <w:sz w:val="18"/>
                <w:lang w:val="es-ES_tradnl"/>
              </w:rPr>
            </w:pPr>
            <w:r>
              <w:rPr>
                <w:iCs/>
                <w:sz w:val="18"/>
                <w:lang w:val="es-ES_tradnl"/>
              </w:rPr>
              <w:t xml:space="preserve">Sep. </w:t>
            </w:r>
            <w:r w:rsidR="00F5461C" w:rsidRPr="00F5461C">
              <w:rPr>
                <w:iCs/>
                <w:sz w:val="18"/>
                <w:lang w:val="es-ES_tradnl"/>
              </w:rPr>
              <w:t>2018</w:t>
            </w:r>
          </w:p>
        </w:tc>
        <w:tc>
          <w:tcPr>
            <w:tcW w:w="2073" w:type="dxa"/>
            <w:tcBorders>
              <w:bottom w:val="single" w:sz="12" w:space="0" w:color="auto"/>
            </w:tcBorders>
            <w:shd w:val="clear" w:color="auto" w:fill="auto"/>
            <w:vAlign w:val="bottom"/>
            <w:hideMark/>
          </w:tcPr>
          <w:p w14:paraId="153668A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34</w:t>
            </w:r>
          </w:p>
        </w:tc>
        <w:tc>
          <w:tcPr>
            <w:tcW w:w="2127" w:type="dxa"/>
            <w:tcBorders>
              <w:bottom w:val="single" w:sz="12" w:space="0" w:color="auto"/>
            </w:tcBorders>
            <w:shd w:val="clear" w:color="auto" w:fill="auto"/>
            <w:vAlign w:val="bottom"/>
            <w:hideMark/>
          </w:tcPr>
          <w:p w14:paraId="6359DD8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1580" w:type="dxa"/>
            <w:tcBorders>
              <w:bottom w:val="single" w:sz="12" w:space="0" w:color="auto"/>
            </w:tcBorders>
            <w:shd w:val="clear" w:color="auto" w:fill="auto"/>
            <w:vAlign w:val="bottom"/>
            <w:hideMark/>
          </w:tcPr>
          <w:p w14:paraId="0995795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w:t>
            </w:r>
          </w:p>
        </w:tc>
        <w:tc>
          <w:tcPr>
            <w:tcW w:w="1209" w:type="dxa"/>
            <w:tcBorders>
              <w:bottom w:val="single" w:sz="12" w:space="0" w:color="auto"/>
            </w:tcBorders>
            <w:shd w:val="clear" w:color="auto" w:fill="auto"/>
            <w:noWrap/>
            <w:vAlign w:val="bottom"/>
            <w:hideMark/>
          </w:tcPr>
          <w:p w14:paraId="465CAF8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28</w:t>
            </w:r>
          </w:p>
        </w:tc>
      </w:tr>
    </w:tbl>
    <w:p w14:paraId="2566D015" w14:textId="77777777" w:rsidR="00F5461C" w:rsidRPr="00F5461C" w:rsidRDefault="00F5461C" w:rsidP="00165BC8">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Fondo de Previsión.</w:t>
      </w:r>
    </w:p>
    <w:p w14:paraId="74497730" w14:textId="77777777" w:rsidR="00F5461C" w:rsidRPr="00F5461C" w:rsidRDefault="00F5461C" w:rsidP="00F5461C">
      <w:pPr>
        <w:pStyle w:val="SingleTxtG"/>
        <w:rPr>
          <w:lang w:val="es-ES_tradnl"/>
        </w:rPr>
      </w:pPr>
      <w:r w:rsidRPr="00F5461C">
        <w:rPr>
          <w:lang w:val="es-ES_tradnl"/>
        </w:rPr>
        <w:t>92.</w:t>
      </w:r>
      <w:r w:rsidRPr="00F5461C">
        <w:rPr>
          <w:lang w:val="es-ES_tradnl"/>
        </w:rPr>
        <w:tab/>
        <w:t xml:space="preserve">En el sector privado, el Fondo de la Seguridad Social es la entidad responsable de los planes de seguridad social. La Ley </w:t>
      </w:r>
      <w:r w:rsidR="00E27276">
        <w:rPr>
          <w:lang w:val="es-ES_tradnl"/>
        </w:rPr>
        <w:t>núm. </w:t>
      </w:r>
      <w:r w:rsidRPr="00F5461C">
        <w:rPr>
          <w:lang w:val="es-ES_tradnl"/>
        </w:rPr>
        <w:t xml:space="preserve">4/2010, modificada por la Ley </w:t>
      </w:r>
      <w:r w:rsidR="00E27276">
        <w:rPr>
          <w:lang w:val="es-ES_tradnl"/>
        </w:rPr>
        <w:t>núm. </w:t>
      </w:r>
      <w:r w:rsidRPr="00F5461C">
        <w:rPr>
          <w:lang w:val="es-ES_tradnl"/>
        </w:rPr>
        <w:t xml:space="preserve">6/2018, </w:t>
      </w:r>
      <w:r w:rsidRPr="00F5461C">
        <w:rPr>
          <w:lang w:val="es-ES_tradnl"/>
        </w:rPr>
        <w:lastRenderedPageBreak/>
        <w:t>estableció el Sistema de Seguridad Social con el fin de proporcionar a todos los residentes una protección básica, en particular asegurando la pensión de jubilación.</w:t>
      </w:r>
    </w:p>
    <w:p w14:paraId="416E6A2B" w14:textId="77777777" w:rsidR="00F5461C" w:rsidRPr="00F5461C" w:rsidRDefault="00F5461C" w:rsidP="00F5461C">
      <w:pPr>
        <w:pStyle w:val="SingleTxtG"/>
        <w:rPr>
          <w:lang w:val="es-ES_tradnl"/>
        </w:rPr>
      </w:pPr>
      <w:r w:rsidRPr="00F5461C">
        <w:rPr>
          <w:lang w:val="es-ES_tradnl"/>
        </w:rPr>
        <w:t>93.</w:t>
      </w:r>
      <w:r w:rsidRPr="00F5461C">
        <w:rPr>
          <w:lang w:val="es-ES_tradnl"/>
        </w:rPr>
        <w:tab/>
        <w:t>Con la nueva modificación mejora la cobertura de protección al ampliarse su alcance, y, a través de un mecanismo de pago retroactivo, se pretende proteger mejor a las personas mayores que no pudieron participar en el sistema original de seguridad social (</w:t>
      </w:r>
      <w:r w:rsidR="00722610">
        <w:rPr>
          <w:lang w:val="es-ES_tradnl"/>
        </w:rPr>
        <w:t>artículo </w:t>
      </w:r>
      <w:r w:rsidRPr="00F5461C">
        <w:rPr>
          <w:lang w:val="es-ES_tradnl"/>
        </w:rPr>
        <w:t>68).</w:t>
      </w:r>
    </w:p>
    <w:p w14:paraId="43EBC5AB" w14:textId="77777777" w:rsidR="00F5461C" w:rsidRPr="00F5461C" w:rsidRDefault="00F5461C" w:rsidP="00F5461C">
      <w:pPr>
        <w:pStyle w:val="SingleTxtG"/>
        <w:rPr>
          <w:lang w:val="es-ES_tradnl"/>
        </w:rPr>
      </w:pPr>
      <w:r w:rsidRPr="00F5461C">
        <w:rPr>
          <w:lang w:val="es-ES_tradnl"/>
        </w:rPr>
        <w:t>94.</w:t>
      </w:r>
      <w:r w:rsidRPr="00F5461C">
        <w:rPr>
          <w:lang w:val="es-ES_tradnl"/>
        </w:rPr>
        <w:tab/>
        <w:t>El sistema de seguridad social comprende: i) un régimen obligatorio, que se aplica a todo residente que trabaje en el sector privado con arreglo a un contrato, así como a los trabajadores de la administración pública, independientemente de su modalidad contractual (</w:t>
      </w:r>
      <w:r w:rsidR="00722610">
        <w:rPr>
          <w:lang w:val="es-ES_tradnl"/>
        </w:rPr>
        <w:t>artículo </w:t>
      </w:r>
      <w:r w:rsidRPr="00F5461C">
        <w:rPr>
          <w:lang w:val="es-ES_tradnl"/>
        </w:rPr>
        <w:t xml:space="preserve">10), y </w:t>
      </w:r>
      <w:proofErr w:type="spellStart"/>
      <w:r w:rsidRPr="00F5461C">
        <w:rPr>
          <w:lang w:val="es-ES_tradnl"/>
        </w:rPr>
        <w:t>ii</w:t>
      </w:r>
      <w:proofErr w:type="spellEnd"/>
      <w:r w:rsidRPr="00F5461C">
        <w:rPr>
          <w:lang w:val="es-ES_tradnl"/>
        </w:rPr>
        <w:t>) un sistema voluntario para los trabajadores que mantienen una relación laboral con su cónyuge o equivalente o con miembros de la familia hasta el segundo grado con los que conviven, para los trabajadores de la administración pública en activo que hayan suscrito el Plan de Pensiones de Jubilación y Supérstite, y para otros residentes mayores de 18 años, independientemente de si están empleados o no (</w:t>
      </w:r>
      <w:r w:rsidR="00722610">
        <w:rPr>
          <w:lang w:val="es-ES_tradnl"/>
        </w:rPr>
        <w:t>artículo </w:t>
      </w:r>
      <w:r w:rsidRPr="00F5461C">
        <w:rPr>
          <w:lang w:val="es-ES_tradnl"/>
        </w:rPr>
        <w:t>11).</w:t>
      </w:r>
    </w:p>
    <w:p w14:paraId="470B06FD" w14:textId="77777777" w:rsidR="00F5461C" w:rsidRPr="00F5461C" w:rsidRDefault="00F5461C" w:rsidP="00F5461C">
      <w:pPr>
        <w:pStyle w:val="SingleTxtG"/>
        <w:rPr>
          <w:lang w:val="es-ES_tradnl"/>
        </w:rPr>
      </w:pPr>
      <w:r w:rsidRPr="00F5461C">
        <w:rPr>
          <w:lang w:val="es-ES_tradnl"/>
        </w:rPr>
        <w:t>95.</w:t>
      </w:r>
      <w:r w:rsidRPr="00F5461C">
        <w:rPr>
          <w:lang w:val="es-ES_tradnl"/>
        </w:rPr>
        <w:tab/>
        <w:t>Sus fuentes de ingresos siguen siendo las mismas, es decir, los beneficiarios, los empleadores y la RAE de Macao (</w:t>
      </w:r>
      <w:r w:rsidR="00722610">
        <w:rPr>
          <w:lang w:val="es-ES_tradnl"/>
        </w:rPr>
        <w:t>artículo </w:t>
      </w:r>
      <w:r w:rsidRPr="00F5461C">
        <w:rPr>
          <w:lang w:val="es-ES_tradnl"/>
        </w:rPr>
        <w:t>4). En el régimen obligatorio, los trabajadores residentes deben ser inscritos por sus empleadores (</w:t>
      </w:r>
      <w:r w:rsidR="00722610">
        <w:rPr>
          <w:lang w:val="es-ES_tradnl"/>
        </w:rPr>
        <w:t>artículo </w:t>
      </w:r>
      <w:r w:rsidRPr="00F5461C">
        <w:rPr>
          <w:lang w:val="es-ES_tradnl"/>
        </w:rPr>
        <w:t>12), que también tienen que estar inscritos como contribuyentes (</w:t>
      </w:r>
      <w:r w:rsidR="00722610">
        <w:rPr>
          <w:lang w:val="es-ES_tradnl"/>
        </w:rPr>
        <w:t>artículo </w:t>
      </w:r>
      <w:r w:rsidRPr="00F5461C">
        <w:rPr>
          <w:lang w:val="es-ES_tradnl"/>
        </w:rPr>
        <w:t>15). Otros residentes que cumplan los requisitos legales podrán inscribirse en cualquier momento como contribuyentes en el sistema voluntario (</w:t>
      </w:r>
      <w:r w:rsidR="00722610">
        <w:rPr>
          <w:lang w:val="es-ES_tradnl"/>
        </w:rPr>
        <w:t>artículo </w:t>
      </w:r>
      <w:r w:rsidRPr="00F5461C">
        <w:rPr>
          <w:lang w:val="es-ES_tradnl"/>
        </w:rPr>
        <w:t>12). Todos los residentes inscritos, independientemente del sistema, son beneficiarios de las prestaciones de la seguridad social.</w:t>
      </w:r>
    </w:p>
    <w:p w14:paraId="0D17F7E6" w14:textId="77777777" w:rsidR="00F5461C" w:rsidRPr="00F5461C" w:rsidRDefault="00F5461C" w:rsidP="00F5461C">
      <w:pPr>
        <w:pStyle w:val="SingleTxtG"/>
        <w:rPr>
          <w:lang w:val="es-ES_tradnl"/>
        </w:rPr>
      </w:pPr>
      <w:r w:rsidRPr="00F5461C">
        <w:rPr>
          <w:lang w:val="es-ES_tradnl"/>
        </w:rPr>
        <w:t>96.</w:t>
      </w:r>
      <w:r w:rsidRPr="00F5461C">
        <w:rPr>
          <w:lang w:val="es-ES_tradnl"/>
        </w:rPr>
        <w:tab/>
        <w:t xml:space="preserve">De acuerdo con la Ley </w:t>
      </w:r>
      <w:r w:rsidR="00E27276">
        <w:rPr>
          <w:lang w:val="es-ES_tradnl"/>
        </w:rPr>
        <w:t>núm. </w:t>
      </w:r>
      <w:r w:rsidRPr="00F5461C">
        <w:rPr>
          <w:lang w:val="es-ES_tradnl"/>
        </w:rPr>
        <w:t xml:space="preserve">4/2010, el importe de las cotizaciones tanto para los trabajadores como para los empleadores se establece por una Orden del </w:t>
      </w:r>
      <w:proofErr w:type="gramStart"/>
      <w:r w:rsidRPr="00F5461C">
        <w:rPr>
          <w:lang w:val="es-ES_tradnl"/>
        </w:rPr>
        <w:t>Jefe</w:t>
      </w:r>
      <w:proofErr w:type="gramEnd"/>
      <w:r w:rsidRPr="00F5461C">
        <w:rPr>
          <w:lang w:val="es-ES_tradnl"/>
        </w:rPr>
        <w:t xml:space="preserve"> del Ejecutivo. A partir del 1 de enero de 2017, cada trabajador aporta mensualmente 30 patacas de Macao, y cada empleador, 60 patacas por trabajador (Orden </w:t>
      </w:r>
      <w:r w:rsidR="00E27276">
        <w:rPr>
          <w:lang w:val="es-ES_tradnl"/>
        </w:rPr>
        <w:t>núm. </w:t>
      </w:r>
      <w:r w:rsidRPr="00F5461C">
        <w:rPr>
          <w:lang w:val="es-ES_tradnl"/>
        </w:rPr>
        <w:t xml:space="preserve">357/2016 del </w:t>
      </w:r>
      <w:proofErr w:type="gramStart"/>
      <w:r w:rsidRPr="00F5461C">
        <w:rPr>
          <w:lang w:val="es-ES_tradnl"/>
        </w:rPr>
        <w:t>Jefe</w:t>
      </w:r>
      <w:proofErr w:type="gramEnd"/>
      <w:r w:rsidRPr="00F5461C">
        <w:rPr>
          <w:lang w:val="es-ES_tradnl"/>
        </w:rPr>
        <w:t xml:space="preserve"> del Ejecutivo). Otros residentes que estén inscritos en el régimen voluntario aportan 90 patacas de Macao mensualmente. Según el Fondo de la Seguridad Social, en septiembre de 2018 había 351.686 beneficiarios, de los cuales 185.230 eran mujeres.</w:t>
      </w:r>
    </w:p>
    <w:p w14:paraId="6B8DD9D1" w14:textId="77777777" w:rsidR="00F5461C" w:rsidRPr="00F5461C" w:rsidRDefault="00F5461C" w:rsidP="00F5461C">
      <w:pPr>
        <w:pStyle w:val="SingleTxtG"/>
        <w:rPr>
          <w:lang w:val="es-ES_tradnl"/>
        </w:rPr>
      </w:pPr>
      <w:r w:rsidRPr="00F5461C">
        <w:rPr>
          <w:lang w:val="es-ES_tradnl"/>
        </w:rPr>
        <w:t>97.</w:t>
      </w:r>
      <w:r w:rsidRPr="00F5461C">
        <w:rPr>
          <w:lang w:val="es-ES_tradnl"/>
        </w:rPr>
        <w:tab/>
        <w:t xml:space="preserve">En 2018, las cuantías correspondientes a la pensión de vejez, la pensión de invalidez, el subsidio de desempleo, la pensión por enfermedad, el subsidio por matrimonio y el subsidio por gastos funerarios ascendían, en patacas de Macao, a 3.450 al mes, 3.450 al mes, 138 al día, 104 al día (sin hospitalización) y 138 al día (con hospitalización), 1.957 y 2.534, respectivamente (Orden </w:t>
      </w:r>
      <w:r w:rsidR="00E27276">
        <w:rPr>
          <w:lang w:val="es-ES_tradnl"/>
        </w:rPr>
        <w:t>núm. </w:t>
      </w:r>
      <w:r w:rsidRPr="00F5461C">
        <w:rPr>
          <w:lang w:val="es-ES_tradnl"/>
        </w:rPr>
        <w:t xml:space="preserve">142/2016 del </w:t>
      </w:r>
      <w:proofErr w:type="gramStart"/>
      <w:r w:rsidRPr="00F5461C">
        <w:rPr>
          <w:lang w:val="es-ES_tradnl"/>
        </w:rPr>
        <w:t>Jefe</w:t>
      </w:r>
      <w:proofErr w:type="gramEnd"/>
      <w:r w:rsidRPr="00F5461C">
        <w:rPr>
          <w:lang w:val="es-ES_tradnl"/>
        </w:rPr>
        <w:t xml:space="preserve"> del Ejecutivo). En cuanto al subsidio por nacimiento de un hijo, se estableció un importe de 5.000 patacas de Macao (Orden </w:t>
      </w:r>
      <w:r w:rsidR="00E27276">
        <w:rPr>
          <w:lang w:val="es-ES_tradnl"/>
        </w:rPr>
        <w:t>núm. </w:t>
      </w:r>
      <w:r w:rsidRPr="00F5461C">
        <w:rPr>
          <w:lang w:val="es-ES_tradnl"/>
        </w:rPr>
        <w:t xml:space="preserve">26/2018 del </w:t>
      </w:r>
      <w:proofErr w:type="gramStart"/>
      <w:r w:rsidRPr="00F5461C">
        <w:rPr>
          <w:lang w:val="es-ES_tradnl"/>
        </w:rPr>
        <w:t>Jefe</w:t>
      </w:r>
      <w:proofErr w:type="gramEnd"/>
      <w:r w:rsidRPr="00F5461C">
        <w:rPr>
          <w:lang w:val="es-ES_tradnl"/>
        </w:rPr>
        <w:t xml:space="preserve"> del Ejecutivo).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32"/>
        <w:gridCol w:w="998"/>
        <w:gridCol w:w="903"/>
        <w:gridCol w:w="1020"/>
        <w:gridCol w:w="927"/>
        <w:gridCol w:w="990"/>
      </w:tblGrid>
      <w:tr w:rsidR="00EA119B" w:rsidRPr="00EA119B" w14:paraId="2AACC894" w14:textId="77777777" w:rsidTr="00EA119B">
        <w:trPr>
          <w:cantSplit/>
          <w:trHeight w:val="240"/>
          <w:tblHeader/>
        </w:trPr>
        <w:tc>
          <w:tcPr>
            <w:tcW w:w="3205" w:type="dxa"/>
            <w:vMerge w:val="restart"/>
            <w:tcBorders>
              <w:top w:val="single" w:sz="4" w:space="0" w:color="auto"/>
              <w:bottom w:val="single" w:sz="12" w:space="0" w:color="auto"/>
            </w:tcBorders>
            <w:shd w:val="clear" w:color="auto" w:fill="auto"/>
            <w:vAlign w:val="bottom"/>
          </w:tcPr>
          <w:p w14:paraId="3BEA07A9" w14:textId="77777777" w:rsidR="00F5461C" w:rsidRPr="00F5461C" w:rsidRDefault="00F5461C" w:rsidP="00EA119B">
            <w:pPr>
              <w:pStyle w:val="SingleTxtG"/>
              <w:spacing w:before="80" w:after="80" w:line="200" w:lineRule="exact"/>
              <w:ind w:left="0" w:right="0"/>
              <w:jc w:val="left"/>
              <w:rPr>
                <w:i/>
                <w:sz w:val="16"/>
                <w:lang w:val="es-ES_tradnl"/>
              </w:rPr>
            </w:pPr>
            <w:r w:rsidRPr="00F5461C">
              <w:rPr>
                <w:i/>
                <w:iCs/>
                <w:sz w:val="16"/>
                <w:lang w:val="es-ES_tradnl"/>
              </w:rPr>
              <w:t>Prestaciones/Años</w:t>
            </w:r>
          </w:p>
        </w:tc>
        <w:tc>
          <w:tcPr>
            <w:tcW w:w="5954" w:type="dxa"/>
            <w:gridSpan w:val="5"/>
            <w:tcBorders>
              <w:top w:val="single" w:sz="4" w:space="0" w:color="auto"/>
              <w:bottom w:val="single" w:sz="4" w:space="0" w:color="auto"/>
            </w:tcBorders>
            <w:shd w:val="clear" w:color="auto" w:fill="auto"/>
            <w:vAlign w:val="bottom"/>
          </w:tcPr>
          <w:p w14:paraId="1C34A50E" w14:textId="77777777" w:rsidR="00F5461C" w:rsidRPr="00F5461C" w:rsidRDefault="00F5461C" w:rsidP="00EA119B">
            <w:pPr>
              <w:pStyle w:val="SingleTxtG"/>
              <w:spacing w:before="80" w:after="80" w:line="200" w:lineRule="exact"/>
              <w:ind w:left="113" w:right="0"/>
              <w:jc w:val="center"/>
              <w:rPr>
                <w:i/>
                <w:sz w:val="16"/>
                <w:lang w:val="es-ES_tradnl"/>
              </w:rPr>
            </w:pPr>
            <w:r w:rsidRPr="00F5461C">
              <w:rPr>
                <w:i/>
                <w:iCs/>
                <w:sz w:val="16"/>
                <w:lang w:val="es-ES_tradnl"/>
              </w:rPr>
              <w:t>Número de beneficiarios</w:t>
            </w:r>
          </w:p>
        </w:tc>
      </w:tr>
      <w:tr w:rsidR="00C51DD5" w:rsidRPr="00F5461C" w14:paraId="215A3E6B" w14:textId="77777777" w:rsidTr="00EA119B">
        <w:trPr>
          <w:cantSplit/>
          <w:trHeight w:val="240"/>
          <w:tblHeader/>
        </w:trPr>
        <w:tc>
          <w:tcPr>
            <w:tcW w:w="3205" w:type="dxa"/>
            <w:vMerge/>
            <w:tcBorders>
              <w:top w:val="single" w:sz="12" w:space="0" w:color="auto"/>
              <w:bottom w:val="single" w:sz="12" w:space="0" w:color="auto"/>
            </w:tcBorders>
            <w:shd w:val="clear" w:color="auto" w:fill="auto"/>
            <w:vAlign w:val="bottom"/>
          </w:tcPr>
          <w:p w14:paraId="41979BF9" w14:textId="77777777" w:rsidR="00F5461C" w:rsidRPr="00F5461C" w:rsidRDefault="00F5461C" w:rsidP="00EA119B">
            <w:pPr>
              <w:pStyle w:val="SingleTxtG"/>
              <w:spacing w:before="40" w:after="40" w:line="220" w:lineRule="exact"/>
              <w:ind w:left="0" w:right="0"/>
              <w:jc w:val="left"/>
              <w:rPr>
                <w:sz w:val="18"/>
                <w:lang w:val="es-ES_tradnl"/>
              </w:rPr>
            </w:pPr>
          </w:p>
        </w:tc>
        <w:tc>
          <w:tcPr>
            <w:tcW w:w="1276" w:type="dxa"/>
            <w:tcBorders>
              <w:top w:val="single" w:sz="4" w:space="0" w:color="auto"/>
              <w:bottom w:val="single" w:sz="12" w:space="0" w:color="auto"/>
            </w:tcBorders>
            <w:shd w:val="clear" w:color="auto" w:fill="auto"/>
            <w:vAlign w:val="bottom"/>
          </w:tcPr>
          <w:p w14:paraId="704780DC"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2014</w:t>
            </w:r>
          </w:p>
        </w:tc>
        <w:tc>
          <w:tcPr>
            <w:tcW w:w="1134" w:type="dxa"/>
            <w:tcBorders>
              <w:top w:val="single" w:sz="4" w:space="0" w:color="auto"/>
              <w:bottom w:val="single" w:sz="12" w:space="0" w:color="auto"/>
            </w:tcBorders>
            <w:shd w:val="clear" w:color="auto" w:fill="auto"/>
            <w:vAlign w:val="bottom"/>
          </w:tcPr>
          <w:p w14:paraId="02277D39"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2015</w:t>
            </w:r>
          </w:p>
        </w:tc>
        <w:tc>
          <w:tcPr>
            <w:tcW w:w="1310" w:type="dxa"/>
            <w:tcBorders>
              <w:top w:val="single" w:sz="4" w:space="0" w:color="auto"/>
              <w:bottom w:val="single" w:sz="12" w:space="0" w:color="auto"/>
            </w:tcBorders>
            <w:shd w:val="clear" w:color="auto" w:fill="auto"/>
            <w:vAlign w:val="bottom"/>
          </w:tcPr>
          <w:p w14:paraId="3FFBAC94"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2016</w:t>
            </w:r>
          </w:p>
        </w:tc>
        <w:tc>
          <w:tcPr>
            <w:tcW w:w="1170" w:type="dxa"/>
            <w:tcBorders>
              <w:top w:val="single" w:sz="4" w:space="0" w:color="auto"/>
              <w:bottom w:val="single" w:sz="12" w:space="0" w:color="auto"/>
            </w:tcBorders>
            <w:shd w:val="clear" w:color="auto" w:fill="auto"/>
            <w:vAlign w:val="bottom"/>
          </w:tcPr>
          <w:p w14:paraId="35187E70"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2017</w:t>
            </w:r>
          </w:p>
        </w:tc>
        <w:tc>
          <w:tcPr>
            <w:tcW w:w="1064" w:type="dxa"/>
            <w:tcBorders>
              <w:top w:val="single" w:sz="4" w:space="0" w:color="auto"/>
              <w:bottom w:val="single" w:sz="12" w:space="0" w:color="auto"/>
            </w:tcBorders>
            <w:shd w:val="clear" w:color="auto" w:fill="auto"/>
            <w:vAlign w:val="bottom"/>
          </w:tcPr>
          <w:p w14:paraId="07B762E9" w14:textId="77777777" w:rsidR="00F5461C" w:rsidRPr="00F5461C" w:rsidRDefault="00C51DD5" w:rsidP="00E27276">
            <w:pPr>
              <w:pStyle w:val="SingleTxtG"/>
              <w:spacing w:before="80" w:after="80" w:line="200" w:lineRule="exact"/>
              <w:ind w:left="113" w:right="11"/>
              <w:jc w:val="right"/>
              <w:rPr>
                <w:i/>
                <w:iCs/>
                <w:sz w:val="16"/>
                <w:lang w:val="es-ES_tradnl"/>
              </w:rPr>
            </w:pPr>
            <w:r>
              <w:rPr>
                <w:i/>
                <w:iCs/>
                <w:sz w:val="16"/>
                <w:lang w:val="es-ES_tradnl"/>
              </w:rPr>
              <w:t>Septiembre de </w:t>
            </w:r>
            <w:r w:rsidR="00F5461C" w:rsidRPr="00F5461C">
              <w:rPr>
                <w:i/>
                <w:iCs/>
                <w:sz w:val="16"/>
                <w:lang w:val="es-ES_tradnl"/>
              </w:rPr>
              <w:t>2018</w:t>
            </w:r>
          </w:p>
        </w:tc>
      </w:tr>
      <w:tr w:rsidR="00C51DD5" w:rsidRPr="00F5461C" w14:paraId="154D167E" w14:textId="77777777" w:rsidTr="00EA119B">
        <w:trPr>
          <w:cantSplit/>
          <w:trHeight w:val="240"/>
        </w:trPr>
        <w:tc>
          <w:tcPr>
            <w:tcW w:w="3205" w:type="dxa"/>
            <w:tcBorders>
              <w:top w:val="single" w:sz="12" w:space="0" w:color="auto"/>
            </w:tcBorders>
            <w:shd w:val="clear" w:color="auto" w:fill="auto"/>
          </w:tcPr>
          <w:p w14:paraId="1E194413"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Pensión de vejez (personas mayores de 65 años)</w:t>
            </w:r>
          </w:p>
        </w:tc>
        <w:tc>
          <w:tcPr>
            <w:tcW w:w="1276" w:type="dxa"/>
            <w:tcBorders>
              <w:top w:val="single" w:sz="12" w:space="0" w:color="auto"/>
            </w:tcBorders>
            <w:shd w:val="clear" w:color="auto" w:fill="auto"/>
            <w:vAlign w:val="bottom"/>
          </w:tcPr>
          <w:p w14:paraId="4A553F0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33 026</w:t>
            </w:r>
          </w:p>
        </w:tc>
        <w:tc>
          <w:tcPr>
            <w:tcW w:w="1134" w:type="dxa"/>
            <w:tcBorders>
              <w:top w:val="single" w:sz="12" w:space="0" w:color="auto"/>
            </w:tcBorders>
            <w:shd w:val="clear" w:color="auto" w:fill="auto"/>
            <w:vAlign w:val="bottom"/>
          </w:tcPr>
          <w:p w14:paraId="435FDD3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33 025</w:t>
            </w:r>
          </w:p>
        </w:tc>
        <w:tc>
          <w:tcPr>
            <w:tcW w:w="1310" w:type="dxa"/>
            <w:tcBorders>
              <w:top w:val="single" w:sz="12" w:space="0" w:color="auto"/>
            </w:tcBorders>
            <w:shd w:val="clear" w:color="auto" w:fill="auto"/>
            <w:vAlign w:val="bottom"/>
          </w:tcPr>
          <w:p w14:paraId="4FB7440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32 849</w:t>
            </w:r>
          </w:p>
        </w:tc>
        <w:tc>
          <w:tcPr>
            <w:tcW w:w="1170" w:type="dxa"/>
            <w:tcBorders>
              <w:top w:val="single" w:sz="12" w:space="0" w:color="auto"/>
            </w:tcBorders>
            <w:shd w:val="clear" w:color="auto" w:fill="auto"/>
            <w:vAlign w:val="bottom"/>
          </w:tcPr>
          <w:p w14:paraId="44B8A1D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32 620</w:t>
            </w:r>
          </w:p>
        </w:tc>
        <w:tc>
          <w:tcPr>
            <w:tcW w:w="1064" w:type="dxa"/>
            <w:tcBorders>
              <w:top w:val="single" w:sz="12" w:space="0" w:color="auto"/>
            </w:tcBorders>
            <w:shd w:val="clear" w:color="auto" w:fill="auto"/>
            <w:vAlign w:val="bottom"/>
          </w:tcPr>
          <w:p w14:paraId="7A25C03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32 080</w:t>
            </w:r>
          </w:p>
        </w:tc>
      </w:tr>
      <w:tr w:rsidR="00C51DD5" w:rsidRPr="00F5461C" w14:paraId="0F2E8198" w14:textId="77777777" w:rsidTr="00EA119B">
        <w:trPr>
          <w:cantSplit/>
          <w:trHeight w:val="240"/>
        </w:trPr>
        <w:tc>
          <w:tcPr>
            <w:tcW w:w="3205" w:type="dxa"/>
            <w:shd w:val="clear" w:color="auto" w:fill="auto"/>
          </w:tcPr>
          <w:p w14:paraId="49649EF0"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 xml:space="preserve">Pensión anticipada de vejez </w:t>
            </w:r>
            <w:r w:rsidR="00E27276">
              <w:rPr>
                <w:sz w:val="18"/>
                <w:lang w:val="es-ES_tradnl"/>
              </w:rPr>
              <w:br/>
            </w:r>
            <w:r w:rsidRPr="00F5461C">
              <w:rPr>
                <w:sz w:val="18"/>
                <w:lang w:val="es-ES_tradnl"/>
              </w:rPr>
              <w:t>(</w:t>
            </w:r>
            <w:r w:rsidR="00C51DD5">
              <w:rPr>
                <w:sz w:val="18"/>
                <w:lang w:val="es-ES_tradnl"/>
              </w:rPr>
              <w:t xml:space="preserve">de </w:t>
            </w:r>
            <w:r w:rsidRPr="00F5461C">
              <w:rPr>
                <w:sz w:val="18"/>
                <w:lang w:val="es-ES_tradnl"/>
              </w:rPr>
              <w:t>60 a 65 años)</w:t>
            </w:r>
          </w:p>
        </w:tc>
        <w:tc>
          <w:tcPr>
            <w:tcW w:w="1276" w:type="dxa"/>
            <w:shd w:val="clear" w:color="auto" w:fill="auto"/>
            <w:vAlign w:val="bottom"/>
          </w:tcPr>
          <w:p w14:paraId="34323BC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44 358</w:t>
            </w:r>
          </w:p>
        </w:tc>
        <w:tc>
          <w:tcPr>
            <w:tcW w:w="1134" w:type="dxa"/>
            <w:shd w:val="clear" w:color="auto" w:fill="auto"/>
            <w:vAlign w:val="bottom"/>
          </w:tcPr>
          <w:p w14:paraId="062AF11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51 988</w:t>
            </w:r>
          </w:p>
        </w:tc>
        <w:tc>
          <w:tcPr>
            <w:tcW w:w="1310" w:type="dxa"/>
            <w:shd w:val="clear" w:color="auto" w:fill="auto"/>
            <w:vAlign w:val="bottom"/>
          </w:tcPr>
          <w:p w14:paraId="386EFB7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60 845</w:t>
            </w:r>
          </w:p>
        </w:tc>
        <w:tc>
          <w:tcPr>
            <w:tcW w:w="1170" w:type="dxa"/>
            <w:shd w:val="clear" w:color="auto" w:fill="auto"/>
            <w:vAlign w:val="bottom"/>
          </w:tcPr>
          <w:p w14:paraId="14B2838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69 392</w:t>
            </w:r>
          </w:p>
        </w:tc>
        <w:tc>
          <w:tcPr>
            <w:tcW w:w="1064" w:type="dxa"/>
            <w:shd w:val="clear" w:color="auto" w:fill="auto"/>
            <w:vAlign w:val="bottom"/>
          </w:tcPr>
          <w:p w14:paraId="1F6C0CA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75 427</w:t>
            </w:r>
          </w:p>
        </w:tc>
      </w:tr>
      <w:tr w:rsidR="00C51DD5" w:rsidRPr="00F5461C" w14:paraId="46DC0D2C" w14:textId="77777777" w:rsidTr="00EA119B">
        <w:trPr>
          <w:cantSplit/>
          <w:trHeight w:val="240"/>
        </w:trPr>
        <w:tc>
          <w:tcPr>
            <w:tcW w:w="3205" w:type="dxa"/>
            <w:shd w:val="clear" w:color="auto" w:fill="auto"/>
          </w:tcPr>
          <w:p w14:paraId="062E61AA"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Pensión de invalidez</w:t>
            </w:r>
          </w:p>
        </w:tc>
        <w:tc>
          <w:tcPr>
            <w:tcW w:w="1276" w:type="dxa"/>
            <w:shd w:val="clear" w:color="auto" w:fill="auto"/>
            <w:vAlign w:val="bottom"/>
          </w:tcPr>
          <w:p w14:paraId="3C65682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3 181</w:t>
            </w:r>
          </w:p>
        </w:tc>
        <w:tc>
          <w:tcPr>
            <w:tcW w:w="1134" w:type="dxa"/>
            <w:shd w:val="clear" w:color="auto" w:fill="auto"/>
            <w:vAlign w:val="bottom"/>
          </w:tcPr>
          <w:p w14:paraId="1958D51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3 842</w:t>
            </w:r>
          </w:p>
        </w:tc>
        <w:tc>
          <w:tcPr>
            <w:tcW w:w="1310" w:type="dxa"/>
            <w:shd w:val="clear" w:color="auto" w:fill="auto"/>
            <w:vAlign w:val="bottom"/>
          </w:tcPr>
          <w:p w14:paraId="7FF3AD0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4 529</w:t>
            </w:r>
          </w:p>
        </w:tc>
        <w:tc>
          <w:tcPr>
            <w:tcW w:w="1170" w:type="dxa"/>
            <w:shd w:val="clear" w:color="auto" w:fill="auto"/>
            <w:vAlign w:val="bottom"/>
          </w:tcPr>
          <w:p w14:paraId="4242691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5 162</w:t>
            </w:r>
          </w:p>
        </w:tc>
        <w:tc>
          <w:tcPr>
            <w:tcW w:w="1064" w:type="dxa"/>
            <w:shd w:val="clear" w:color="auto" w:fill="auto"/>
            <w:vAlign w:val="bottom"/>
          </w:tcPr>
          <w:p w14:paraId="08C69F5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5 683</w:t>
            </w:r>
          </w:p>
        </w:tc>
      </w:tr>
      <w:tr w:rsidR="00C51DD5" w:rsidRPr="00F5461C" w14:paraId="5EC94694" w14:textId="77777777" w:rsidTr="00EA119B">
        <w:trPr>
          <w:cantSplit/>
          <w:trHeight w:val="240"/>
        </w:trPr>
        <w:tc>
          <w:tcPr>
            <w:tcW w:w="3205" w:type="dxa"/>
            <w:shd w:val="clear" w:color="auto" w:fill="auto"/>
          </w:tcPr>
          <w:p w14:paraId="02F223C9"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Subsidio de desempleo</w:t>
            </w:r>
          </w:p>
        </w:tc>
        <w:tc>
          <w:tcPr>
            <w:tcW w:w="1276" w:type="dxa"/>
            <w:shd w:val="clear" w:color="auto" w:fill="auto"/>
            <w:vAlign w:val="bottom"/>
          </w:tcPr>
          <w:p w14:paraId="1E537E7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2 696</w:t>
            </w:r>
          </w:p>
        </w:tc>
        <w:tc>
          <w:tcPr>
            <w:tcW w:w="1134" w:type="dxa"/>
            <w:shd w:val="clear" w:color="auto" w:fill="auto"/>
            <w:vAlign w:val="bottom"/>
          </w:tcPr>
          <w:p w14:paraId="042811D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4 162</w:t>
            </w:r>
          </w:p>
        </w:tc>
        <w:tc>
          <w:tcPr>
            <w:tcW w:w="1310" w:type="dxa"/>
            <w:shd w:val="clear" w:color="auto" w:fill="auto"/>
            <w:vAlign w:val="bottom"/>
          </w:tcPr>
          <w:p w14:paraId="10408DA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6 543</w:t>
            </w:r>
          </w:p>
        </w:tc>
        <w:tc>
          <w:tcPr>
            <w:tcW w:w="1170" w:type="dxa"/>
            <w:shd w:val="clear" w:color="auto" w:fill="auto"/>
            <w:vAlign w:val="bottom"/>
          </w:tcPr>
          <w:p w14:paraId="17878D9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4 683</w:t>
            </w:r>
          </w:p>
        </w:tc>
        <w:tc>
          <w:tcPr>
            <w:tcW w:w="1064" w:type="dxa"/>
            <w:shd w:val="clear" w:color="auto" w:fill="auto"/>
            <w:vAlign w:val="bottom"/>
          </w:tcPr>
          <w:p w14:paraId="464EF99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2 767</w:t>
            </w:r>
          </w:p>
        </w:tc>
      </w:tr>
      <w:tr w:rsidR="00C51DD5" w:rsidRPr="00F5461C" w14:paraId="0A9185C5" w14:textId="77777777" w:rsidTr="00EA119B">
        <w:trPr>
          <w:cantSplit/>
          <w:trHeight w:val="240"/>
        </w:trPr>
        <w:tc>
          <w:tcPr>
            <w:tcW w:w="3205" w:type="dxa"/>
            <w:shd w:val="clear" w:color="auto" w:fill="auto"/>
          </w:tcPr>
          <w:p w14:paraId="6AA59539"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Prestación por enfermedad</w:t>
            </w:r>
          </w:p>
        </w:tc>
        <w:tc>
          <w:tcPr>
            <w:tcW w:w="1276" w:type="dxa"/>
            <w:shd w:val="clear" w:color="auto" w:fill="auto"/>
            <w:vAlign w:val="bottom"/>
          </w:tcPr>
          <w:p w14:paraId="6D5A966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2 374</w:t>
            </w:r>
          </w:p>
        </w:tc>
        <w:tc>
          <w:tcPr>
            <w:tcW w:w="1134" w:type="dxa"/>
            <w:shd w:val="clear" w:color="auto" w:fill="auto"/>
            <w:vAlign w:val="bottom"/>
          </w:tcPr>
          <w:p w14:paraId="4748E0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2 149</w:t>
            </w:r>
          </w:p>
        </w:tc>
        <w:tc>
          <w:tcPr>
            <w:tcW w:w="1310" w:type="dxa"/>
            <w:shd w:val="clear" w:color="auto" w:fill="auto"/>
            <w:vAlign w:val="bottom"/>
          </w:tcPr>
          <w:p w14:paraId="51D6D54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1 977</w:t>
            </w:r>
          </w:p>
        </w:tc>
        <w:tc>
          <w:tcPr>
            <w:tcW w:w="1170" w:type="dxa"/>
            <w:shd w:val="clear" w:color="auto" w:fill="auto"/>
            <w:vAlign w:val="bottom"/>
          </w:tcPr>
          <w:p w14:paraId="39C094D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1 841</w:t>
            </w:r>
          </w:p>
        </w:tc>
        <w:tc>
          <w:tcPr>
            <w:tcW w:w="1064" w:type="dxa"/>
            <w:shd w:val="clear" w:color="auto" w:fill="auto"/>
            <w:vAlign w:val="bottom"/>
          </w:tcPr>
          <w:p w14:paraId="2C1A5DE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1 274</w:t>
            </w:r>
          </w:p>
        </w:tc>
      </w:tr>
      <w:tr w:rsidR="00C51DD5" w:rsidRPr="00F5461C" w14:paraId="093B7980" w14:textId="77777777" w:rsidTr="00EA119B">
        <w:trPr>
          <w:cantSplit/>
          <w:trHeight w:val="240"/>
        </w:trPr>
        <w:tc>
          <w:tcPr>
            <w:tcW w:w="3205" w:type="dxa"/>
            <w:shd w:val="clear" w:color="auto" w:fill="auto"/>
          </w:tcPr>
          <w:p w14:paraId="0BC58D0B"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 xml:space="preserve">Prestación por nacimiento </w:t>
            </w:r>
            <w:r w:rsidR="00D95F52">
              <w:rPr>
                <w:sz w:val="18"/>
                <w:lang w:val="es-ES_tradnl"/>
              </w:rPr>
              <w:br/>
            </w:r>
            <w:r w:rsidRPr="00F5461C">
              <w:rPr>
                <w:sz w:val="18"/>
                <w:lang w:val="es-ES_tradnl"/>
              </w:rPr>
              <w:t>de un hijo</w:t>
            </w:r>
          </w:p>
        </w:tc>
        <w:tc>
          <w:tcPr>
            <w:tcW w:w="1276" w:type="dxa"/>
            <w:shd w:val="clear" w:color="auto" w:fill="auto"/>
            <w:vAlign w:val="bottom"/>
          </w:tcPr>
          <w:p w14:paraId="34C0947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6 192</w:t>
            </w:r>
          </w:p>
        </w:tc>
        <w:tc>
          <w:tcPr>
            <w:tcW w:w="1134" w:type="dxa"/>
            <w:shd w:val="clear" w:color="auto" w:fill="auto"/>
            <w:vAlign w:val="bottom"/>
          </w:tcPr>
          <w:p w14:paraId="5B0D9A2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6 588</w:t>
            </w:r>
          </w:p>
        </w:tc>
        <w:tc>
          <w:tcPr>
            <w:tcW w:w="1310" w:type="dxa"/>
            <w:shd w:val="clear" w:color="auto" w:fill="auto"/>
            <w:vAlign w:val="bottom"/>
          </w:tcPr>
          <w:p w14:paraId="33DF0D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6 746</w:t>
            </w:r>
          </w:p>
        </w:tc>
        <w:tc>
          <w:tcPr>
            <w:tcW w:w="1170" w:type="dxa"/>
            <w:shd w:val="clear" w:color="auto" w:fill="auto"/>
            <w:vAlign w:val="bottom"/>
          </w:tcPr>
          <w:p w14:paraId="0F26157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6 520</w:t>
            </w:r>
          </w:p>
        </w:tc>
        <w:tc>
          <w:tcPr>
            <w:tcW w:w="1064" w:type="dxa"/>
            <w:shd w:val="clear" w:color="auto" w:fill="auto"/>
            <w:vAlign w:val="bottom"/>
          </w:tcPr>
          <w:p w14:paraId="4311497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5 222</w:t>
            </w:r>
          </w:p>
        </w:tc>
      </w:tr>
      <w:tr w:rsidR="00C51DD5" w:rsidRPr="00F5461C" w14:paraId="047A0E5C" w14:textId="77777777" w:rsidTr="00EA119B">
        <w:trPr>
          <w:cantSplit/>
          <w:trHeight w:val="240"/>
        </w:trPr>
        <w:tc>
          <w:tcPr>
            <w:tcW w:w="3205" w:type="dxa"/>
            <w:shd w:val="clear" w:color="auto" w:fill="auto"/>
          </w:tcPr>
          <w:p w14:paraId="49B0EA3B"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Subsidio por matrimonio</w:t>
            </w:r>
          </w:p>
        </w:tc>
        <w:tc>
          <w:tcPr>
            <w:tcW w:w="1276" w:type="dxa"/>
            <w:shd w:val="clear" w:color="auto" w:fill="auto"/>
            <w:vAlign w:val="bottom"/>
          </w:tcPr>
          <w:p w14:paraId="2316C54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3 087</w:t>
            </w:r>
          </w:p>
        </w:tc>
        <w:tc>
          <w:tcPr>
            <w:tcW w:w="1134" w:type="dxa"/>
            <w:shd w:val="clear" w:color="auto" w:fill="auto"/>
            <w:vAlign w:val="bottom"/>
          </w:tcPr>
          <w:p w14:paraId="3B9A371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2 785</w:t>
            </w:r>
          </w:p>
        </w:tc>
        <w:tc>
          <w:tcPr>
            <w:tcW w:w="1310" w:type="dxa"/>
            <w:shd w:val="clear" w:color="auto" w:fill="auto"/>
            <w:vAlign w:val="bottom"/>
          </w:tcPr>
          <w:p w14:paraId="263F429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3 036</w:t>
            </w:r>
          </w:p>
        </w:tc>
        <w:tc>
          <w:tcPr>
            <w:tcW w:w="1170" w:type="dxa"/>
            <w:shd w:val="clear" w:color="auto" w:fill="auto"/>
            <w:vAlign w:val="bottom"/>
          </w:tcPr>
          <w:p w14:paraId="63EA9CA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2 988</w:t>
            </w:r>
          </w:p>
        </w:tc>
        <w:tc>
          <w:tcPr>
            <w:tcW w:w="1064" w:type="dxa"/>
            <w:shd w:val="clear" w:color="auto" w:fill="auto"/>
            <w:vAlign w:val="bottom"/>
          </w:tcPr>
          <w:p w14:paraId="3A87BD6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2 458</w:t>
            </w:r>
          </w:p>
        </w:tc>
      </w:tr>
      <w:tr w:rsidR="00C51DD5" w:rsidRPr="00F5461C" w14:paraId="03F60931" w14:textId="77777777" w:rsidTr="00EA119B">
        <w:trPr>
          <w:cantSplit/>
          <w:trHeight w:val="240"/>
        </w:trPr>
        <w:tc>
          <w:tcPr>
            <w:tcW w:w="3205" w:type="dxa"/>
            <w:shd w:val="clear" w:color="auto" w:fill="auto"/>
          </w:tcPr>
          <w:p w14:paraId="59858F26"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Subsidio por gastos funerarios</w:t>
            </w:r>
          </w:p>
        </w:tc>
        <w:tc>
          <w:tcPr>
            <w:tcW w:w="1276" w:type="dxa"/>
            <w:shd w:val="clear" w:color="auto" w:fill="auto"/>
            <w:vAlign w:val="bottom"/>
          </w:tcPr>
          <w:p w14:paraId="73D199B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1 723</w:t>
            </w:r>
          </w:p>
        </w:tc>
        <w:tc>
          <w:tcPr>
            <w:tcW w:w="1134" w:type="dxa"/>
            <w:shd w:val="clear" w:color="auto" w:fill="auto"/>
            <w:vAlign w:val="bottom"/>
          </w:tcPr>
          <w:p w14:paraId="4B0202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1 764</w:t>
            </w:r>
          </w:p>
        </w:tc>
        <w:tc>
          <w:tcPr>
            <w:tcW w:w="1310" w:type="dxa"/>
            <w:shd w:val="clear" w:color="auto" w:fill="auto"/>
            <w:vAlign w:val="bottom"/>
          </w:tcPr>
          <w:p w14:paraId="2737200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2 143</w:t>
            </w:r>
          </w:p>
        </w:tc>
        <w:tc>
          <w:tcPr>
            <w:tcW w:w="1170" w:type="dxa"/>
            <w:shd w:val="clear" w:color="auto" w:fill="auto"/>
            <w:vAlign w:val="bottom"/>
          </w:tcPr>
          <w:p w14:paraId="08D495E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1 943</w:t>
            </w:r>
          </w:p>
        </w:tc>
        <w:tc>
          <w:tcPr>
            <w:tcW w:w="1064" w:type="dxa"/>
            <w:shd w:val="clear" w:color="auto" w:fill="auto"/>
            <w:vAlign w:val="bottom"/>
          </w:tcPr>
          <w:p w14:paraId="5E87348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1 478</w:t>
            </w:r>
          </w:p>
        </w:tc>
      </w:tr>
      <w:tr w:rsidR="00C51DD5" w:rsidRPr="00F5461C" w14:paraId="0E1E78F1" w14:textId="77777777" w:rsidTr="00EA119B">
        <w:trPr>
          <w:cantSplit/>
          <w:trHeight w:val="240"/>
        </w:trPr>
        <w:tc>
          <w:tcPr>
            <w:tcW w:w="3205" w:type="dxa"/>
            <w:tcBorders>
              <w:bottom w:val="single" w:sz="12" w:space="0" w:color="auto"/>
            </w:tcBorders>
            <w:shd w:val="clear" w:color="auto" w:fill="auto"/>
          </w:tcPr>
          <w:p w14:paraId="10CB457D"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Indemnización por enfermedad respiratoria ocupacional</w:t>
            </w:r>
          </w:p>
        </w:tc>
        <w:tc>
          <w:tcPr>
            <w:tcW w:w="1276" w:type="dxa"/>
            <w:tcBorders>
              <w:bottom w:val="single" w:sz="12" w:space="0" w:color="auto"/>
            </w:tcBorders>
            <w:shd w:val="clear" w:color="auto" w:fill="auto"/>
            <w:vAlign w:val="bottom"/>
          </w:tcPr>
          <w:p w14:paraId="6135981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1134" w:type="dxa"/>
            <w:tcBorders>
              <w:bottom w:val="single" w:sz="12" w:space="0" w:color="auto"/>
            </w:tcBorders>
            <w:shd w:val="clear" w:color="auto" w:fill="auto"/>
            <w:vAlign w:val="bottom"/>
          </w:tcPr>
          <w:p w14:paraId="60186F5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1310" w:type="dxa"/>
            <w:tcBorders>
              <w:bottom w:val="single" w:sz="12" w:space="0" w:color="auto"/>
            </w:tcBorders>
            <w:shd w:val="clear" w:color="auto" w:fill="auto"/>
            <w:vAlign w:val="bottom"/>
          </w:tcPr>
          <w:p w14:paraId="247527C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1170" w:type="dxa"/>
            <w:tcBorders>
              <w:bottom w:val="single" w:sz="12" w:space="0" w:color="auto"/>
            </w:tcBorders>
            <w:shd w:val="clear" w:color="auto" w:fill="auto"/>
            <w:vAlign w:val="bottom"/>
          </w:tcPr>
          <w:p w14:paraId="3D84448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1064" w:type="dxa"/>
            <w:tcBorders>
              <w:bottom w:val="single" w:sz="12" w:space="0" w:color="auto"/>
            </w:tcBorders>
            <w:shd w:val="clear" w:color="auto" w:fill="auto"/>
            <w:vAlign w:val="bottom"/>
          </w:tcPr>
          <w:p w14:paraId="1645C83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r>
    </w:tbl>
    <w:p w14:paraId="4212674E" w14:textId="77777777" w:rsidR="00F5461C" w:rsidRPr="00F5461C" w:rsidRDefault="00F5461C" w:rsidP="00EA119B">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Fondo de la Seguridad Social.</w:t>
      </w:r>
    </w:p>
    <w:p w14:paraId="5711E630" w14:textId="77777777" w:rsidR="00F5461C" w:rsidRPr="00F5461C" w:rsidRDefault="00F5461C" w:rsidP="00F5461C">
      <w:pPr>
        <w:pStyle w:val="SingleTxtG"/>
        <w:rPr>
          <w:lang w:val="es-ES_tradnl"/>
        </w:rPr>
      </w:pPr>
      <w:r w:rsidRPr="00F5461C">
        <w:rPr>
          <w:lang w:val="es-ES_tradnl"/>
        </w:rPr>
        <w:lastRenderedPageBreak/>
        <w:t>98.</w:t>
      </w:r>
      <w:r w:rsidRPr="00F5461C">
        <w:rPr>
          <w:lang w:val="es-ES_tradnl"/>
        </w:rPr>
        <w:tab/>
        <w:t>A fin de posibilitar un acceso más temprano a la pensión, quienes hayan cumplido 60 años pueden solicitar un anticipo parcial, y tendrán derecho a percibir el importe íntegro al cumplir 80 años (</w:t>
      </w:r>
      <w:r w:rsidR="00722610">
        <w:rPr>
          <w:lang w:val="es-ES_tradnl"/>
        </w:rPr>
        <w:t>artículo </w:t>
      </w:r>
      <w:r w:rsidRPr="00F5461C">
        <w:rPr>
          <w:lang w:val="es-ES_tradnl"/>
        </w:rPr>
        <w:t xml:space="preserve">33 de la Ley </w:t>
      </w:r>
      <w:r w:rsidR="00E27276">
        <w:rPr>
          <w:lang w:val="es-ES_tradnl"/>
        </w:rPr>
        <w:t>núm. </w:t>
      </w:r>
      <w:r w:rsidRPr="00F5461C">
        <w:rPr>
          <w:lang w:val="es-ES_tradnl"/>
        </w:rPr>
        <w:t>4/2010).</w:t>
      </w:r>
    </w:p>
    <w:p w14:paraId="64B8AAE2" w14:textId="77777777" w:rsidR="00F5461C" w:rsidRPr="00F5461C" w:rsidRDefault="00F5461C" w:rsidP="00F5461C">
      <w:pPr>
        <w:pStyle w:val="SingleTxtG"/>
        <w:rPr>
          <w:lang w:val="es-ES_tradnl"/>
        </w:rPr>
      </w:pPr>
      <w:r w:rsidRPr="00F5461C">
        <w:rPr>
          <w:lang w:val="es-ES_tradnl"/>
        </w:rPr>
        <w:t>99.</w:t>
      </w:r>
      <w:r w:rsidRPr="00F5461C">
        <w:rPr>
          <w:lang w:val="es-ES_tradnl"/>
        </w:rPr>
        <w:tab/>
        <w:t>El ajuste de las prestaciones de seguridad social requiere un examen amplio de diversos factores sociales, entre ellos el desarrollo económico de la RAE de Macao, las políticas pertinentes, los recursos financieros y los gastos en pensiones relacionados con el envejecimiento de la población.</w:t>
      </w:r>
    </w:p>
    <w:p w14:paraId="1B808C13" w14:textId="77777777" w:rsidR="00F5461C" w:rsidRPr="00F5461C" w:rsidRDefault="00F5461C" w:rsidP="00F5461C">
      <w:pPr>
        <w:pStyle w:val="SingleTxtG"/>
        <w:rPr>
          <w:lang w:val="es-ES_tradnl"/>
        </w:rPr>
      </w:pPr>
      <w:r w:rsidRPr="00F5461C">
        <w:rPr>
          <w:lang w:val="es-ES_tradnl"/>
        </w:rPr>
        <w:t>100.</w:t>
      </w:r>
      <w:r w:rsidRPr="00F5461C">
        <w:rPr>
          <w:lang w:val="es-ES_tradnl"/>
        </w:rPr>
        <w:tab/>
        <w:t xml:space="preserve">En virtud de la Ley </w:t>
      </w:r>
      <w:r w:rsidR="00E27276">
        <w:rPr>
          <w:lang w:val="es-ES_tradnl"/>
        </w:rPr>
        <w:t>núm. </w:t>
      </w:r>
      <w:r w:rsidRPr="00F5461C">
        <w:rPr>
          <w:lang w:val="es-ES_tradnl"/>
        </w:rPr>
        <w:t>7/2017 se estableció el Fondo Central de Previsión de Afiliación no Obligatoria, un subsistema complementario del sistema de seguridad social destinado a aumentar la protección social de las personas de edad residentes, basado en una aportación voluntaria a un fondo administrado por el Gobierno. El saldo solo puede ser retirado una vez que el titular cumpla 65 años.</w:t>
      </w:r>
    </w:p>
    <w:p w14:paraId="2D8A84ED" w14:textId="77777777" w:rsidR="00F5461C" w:rsidRPr="00F5461C" w:rsidRDefault="00F5461C" w:rsidP="00F5461C">
      <w:pPr>
        <w:pStyle w:val="SingleTxtG"/>
        <w:rPr>
          <w:lang w:val="es-ES_tradnl"/>
        </w:rPr>
      </w:pPr>
      <w:r w:rsidRPr="00F5461C">
        <w:rPr>
          <w:lang w:val="es-ES_tradnl"/>
        </w:rPr>
        <w:t>101.</w:t>
      </w:r>
      <w:r w:rsidRPr="00F5461C">
        <w:rPr>
          <w:lang w:val="es-ES_tradnl"/>
        </w:rPr>
        <w:tab/>
        <w:t xml:space="preserve">El </w:t>
      </w:r>
      <w:r w:rsidR="00722610">
        <w:rPr>
          <w:lang w:val="es-ES_tradnl"/>
        </w:rPr>
        <w:t>artículo </w:t>
      </w:r>
      <w:r w:rsidRPr="00F5461C">
        <w:rPr>
          <w:lang w:val="es-ES_tradnl"/>
        </w:rPr>
        <w:t>20 establece que este sistema comprende 2 planes de cotización: i) el plan de previsión conjunta, en el que la contribución mínima mensual del trabajador y del empleador es del 5</w:t>
      </w:r>
      <w:r w:rsidR="00E27276">
        <w:rPr>
          <w:lang w:val="es-ES_tradnl"/>
        </w:rPr>
        <w:t> %</w:t>
      </w:r>
      <w:r w:rsidRPr="00F5461C">
        <w:rPr>
          <w:lang w:val="es-ES_tradnl"/>
        </w:rPr>
        <w:t xml:space="preserve"> del salario base del trabajador para el mes en cuestión (</w:t>
      </w:r>
      <w:r w:rsidR="00722610">
        <w:rPr>
          <w:lang w:val="es-ES_tradnl"/>
        </w:rPr>
        <w:t>artículo </w:t>
      </w:r>
      <w:r w:rsidRPr="00F5461C">
        <w:rPr>
          <w:lang w:val="es-ES_tradnl"/>
        </w:rPr>
        <w:t xml:space="preserve">26, párrafo 2), y </w:t>
      </w:r>
      <w:proofErr w:type="spellStart"/>
      <w:r w:rsidRPr="00F5461C">
        <w:rPr>
          <w:lang w:val="es-ES_tradnl"/>
        </w:rPr>
        <w:t>ii</w:t>
      </w:r>
      <w:proofErr w:type="spellEnd"/>
      <w:r w:rsidRPr="00F5461C">
        <w:rPr>
          <w:lang w:val="es-ES_tradnl"/>
        </w:rPr>
        <w:t>) el plan de previsión individual, en el que el importe mínimo de las aportaciones mensuales es de 500 patacas de Macao (el titular puede pagar una cuota superior) (</w:t>
      </w:r>
      <w:r w:rsidR="00722610">
        <w:rPr>
          <w:lang w:val="es-ES_tradnl"/>
        </w:rPr>
        <w:t>artículo </w:t>
      </w:r>
      <w:r w:rsidRPr="00F5461C">
        <w:rPr>
          <w:lang w:val="es-ES_tradnl"/>
        </w:rPr>
        <w:t>26, párrafo 8).</w:t>
      </w:r>
    </w:p>
    <w:p w14:paraId="361A51A3" w14:textId="77777777" w:rsidR="00F5461C" w:rsidRPr="00F5461C" w:rsidRDefault="00F5461C" w:rsidP="00F5461C">
      <w:pPr>
        <w:pStyle w:val="SingleTxtG"/>
        <w:rPr>
          <w:lang w:val="es-ES_tradnl"/>
        </w:rPr>
      </w:pPr>
      <w:r w:rsidRPr="00F5461C">
        <w:rPr>
          <w:lang w:val="es-ES_tradnl"/>
        </w:rPr>
        <w:t>102.</w:t>
      </w:r>
      <w:r w:rsidRPr="00F5461C">
        <w:rPr>
          <w:lang w:val="es-ES_tradnl"/>
        </w:rPr>
        <w:tab/>
        <w:t>En caso de finalización de la relación laboral, el trabajador que haya cotizado durante 3 años tiene derecho a obtener el 30</w:t>
      </w:r>
      <w:r w:rsidR="00E27276">
        <w:rPr>
          <w:lang w:val="es-ES_tradnl"/>
        </w:rPr>
        <w:t> %</w:t>
      </w:r>
      <w:r w:rsidRPr="00F5461C">
        <w:rPr>
          <w:lang w:val="es-ES_tradnl"/>
        </w:rPr>
        <w:t xml:space="preserve"> de las aportaciones del empleador en el régimen de previsión individual. Por cada año completo de cotización se suma un 10</w:t>
      </w:r>
      <w:r w:rsidR="00E27276">
        <w:rPr>
          <w:lang w:val="es-ES_tradnl"/>
        </w:rPr>
        <w:t> %</w:t>
      </w:r>
      <w:r w:rsidRPr="00F5461C">
        <w:rPr>
          <w:lang w:val="es-ES_tradnl"/>
        </w:rPr>
        <w:t xml:space="preserve"> adicional (artículos 34, párrafo 1, y 26, párrafo 9).</w:t>
      </w:r>
    </w:p>
    <w:p w14:paraId="2ABAB661" w14:textId="77777777" w:rsidR="00F5461C" w:rsidRPr="00F5461C" w:rsidRDefault="00F5461C" w:rsidP="00F5461C">
      <w:pPr>
        <w:pStyle w:val="SingleTxtG"/>
        <w:rPr>
          <w:lang w:val="es-ES_tradnl"/>
        </w:rPr>
      </w:pPr>
      <w:r w:rsidRPr="00F5461C">
        <w:rPr>
          <w:lang w:val="es-ES_tradnl"/>
        </w:rPr>
        <w:t>103.</w:t>
      </w:r>
      <w:r w:rsidRPr="00F5461C">
        <w:rPr>
          <w:lang w:val="es-ES_tradnl"/>
        </w:rPr>
        <w:tab/>
        <w:t>Los empleadores gozan de beneficios fiscales, con lo que se fomenta la adhesión y el pago de cotizaciones por parte de los empleadores, los trabajadores y los residentes para preparar conjuntamente el período posterior a la jubilación. Las aportaciones de los trabajadores al Fondo se consideran ingresos no imponibles (</w:t>
      </w:r>
      <w:r w:rsidR="00722610">
        <w:rPr>
          <w:lang w:val="es-ES_tradnl"/>
        </w:rPr>
        <w:t>artículo </w:t>
      </w:r>
      <w:r w:rsidRPr="00F5461C">
        <w:rPr>
          <w:lang w:val="es-ES_tradnl"/>
        </w:rPr>
        <w:t>53).</w:t>
      </w:r>
    </w:p>
    <w:p w14:paraId="57F36ABF" w14:textId="77777777" w:rsidR="00F5461C" w:rsidRPr="00F5461C" w:rsidRDefault="00F5461C" w:rsidP="00F5461C">
      <w:pPr>
        <w:pStyle w:val="SingleTxtG"/>
        <w:rPr>
          <w:lang w:val="es-ES_tradnl"/>
        </w:rPr>
      </w:pPr>
      <w:r w:rsidRPr="00F5461C">
        <w:rPr>
          <w:lang w:val="es-ES_tradnl"/>
        </w:rPr>
        <w:t>104.</w:t>
      </w:r>
      <w:r w:rsidRPr="00F5461C">
        <w:rPr>
          <w:lang w:val="es-ES_tradnl"/>
        </w:rPr>
        <w:tab/>
        <w:t xml:space="preserve">Según el Fondo de la Seguridad Social, a diciembre de 2017, había 576.515 titulares, de los cuales 462 eran menores de 18 años que se habían afiliado al sistema de seguridad social de acuerdo con el </w:t>
      </w:r>
      <w:r w:rsidR="00722610">
        <w:rPr>
          <w:lang w:val="es-ES_tradnl"/>
        </w:rPr>
        <w:t>artículo </w:t>
      </w:r>
      <w:r w:rsidRPr="00F5461C">
        <w:rPr>
          <w:lang w:val="es-ES_tradnl"/>
        </w:rPr>
        <w:t xml:space="preserve">10, párrafo 1, de la Ley </w:t>
      </w:r>
      <w:r w:rsidR="00E27276">
        <w:rPr>
          <w:lang w:val="es-ES_tradnl"/>
        </w:rPr>
        <w:t>núm. </w:t>
      </w:r>
      <w:r w:rsidRPr="00F5461C">
        <w:rPr>
          <w:lang w:val="es-ES_tradnl"/>
        </w:rPr>
        <w:t>4/2010 (</w:t>
      </w:r>
      <w:r w:rsidR="00722610">
        <w:rPr>
          <w:lang w:val="es-ES_tradnl"/>
        </w:rPr>
        <w:t>artículo </w:t>
      </w:r>
      <w:r w:rsidRPr="00F5461C">
        <w:rPr>
          <w:lang w:val="es-ES_tradnl"/>
        </w:rPr>
        <w:t xml:space="preserve">7, párrafos 1 y 2, de la Ley </w:t>
      </w:r>
      <w:r w:rsidR="00E27276">
        <w:rPr>
          <w:lang w:val="es-ES_tradnl"/>
        </w:rPr>
        <w:t>núm. </w:t>
      </w:r>
      <w:r w:rsidRPr="00F5461C">
        <w:rPr>
          <w:lang w:val="es-ES_tradnl"/>
        </w:rPr>
        <w:t xml:space="preserve">7/2017). </w:t>
      </w:r>
    </w:p>
    <w:p w14:paraId="3053147A" w14:textId="77777777" w:rsidR="00F5461C" w:rsidRPr="00F5461C" w:rsidRDefault="00F5461C" w:rsidP="00F5461C">
      <w:pPr>
        <w:pStyle w:val="SingleTxtG"/>
        <w:rPr>
          <w:lang w:val="es-ES_tradnl"/>
        </w:rPr>
      </w:pPr>
      <w:r w:rsidRPr="00F5461C">
        <w:rPr>
          <w:lang w:val="es-ES_tradnl"/>
        </w:rPr>
        <w:t>105.</w:t>
      </w:r>
      <w:r w:rsidRPr="00F5461C">
        <w:rPr>
          <w:lang w:val="es-ES_tradnl"/>
        </w:rPr>
        <w:tab/>
        <w:t xml:space="preserve">En relación con el párrafo 56 de las observaciones finales, aunque los trabajadores no residentes no tienen derecho a cotizar en el sistema de seguridad social, tanto los empleadores como los trabajadores no residentes pueden acordar un plan de pensiones privado sobre una base consensuada. </w:t>
      </w:r>
    </w:p>
    <w:p w14:paraId="7E456628" w14:textId="77777777" w:rsidR="00F5461C" w:rsidRPr="00F5461C" w:rsidRDefault="00F5461C" w:rsidP="00F5461C">
      <w:pPr>
        <w:pStyle w:val="SingleTxtG"/>
        <w:rPr>
          <w:lang w:val="es-ES_tradnl"/>
        </w:rPr>
      </w:pPr>
      <w:r w:rsidRPr="00F5461C">
        <w:rPr>
          <w:lang w:val="es-ES_tradnl"/>
        </w:rPr>
        <w:t>106.</w:t>
      </w:r>
      <w:r w:rsidRPr="00F5461C">
        <w:rPr>
          <w:lang w:val="es-ES_tradnl"/>
        </w:rPr>
        <w:tab/>
        <w:t>Según la Autoridad Monetaria de Macao, el porcentaje de no residentes que participan en fondos de pensiones privados ha aumentado en los últimos cinco años.</w:t>
      </w:r>
    </w:p>
    <w:p w14:paraId="476D0491" w14:textId="77777777" w:rsidR="00E27276" w:rsidRPr="00E27276" w:rsidRDefault="00F5461C" w:rsidP="00E27276">
      <w:pPr>
        <w:pStyle w:val="H23G"/>
        <w:rPr>
          <w:b w:val="0"/>
          <w:bCs/>
          <w:sz w:val="16"/>
          <w:szCs w:val="16"/>
          <w:lang w:val="es-ES_tradnl"/>
        </w:rPr>
      </w:pPr>
      <w:r w:rsidRPr="00F5461C">
        <w:rPr>
          <w:lang w:val="es-ES_tradnl"/>
        </w:rPr>
        <w:tab/>
      </w:r>
      <w:r w:rsidR="00814380">
        <w:rPr>
          <w:lang w:val="es-ES_tradnl"/>
        </w:rPr>
        <w:tab/>
      </w:r>
      <w:r w:rsidRPr="00F5461C">
        <w:rPr>
          <w:lang w:val="es-ES_tradnl"/>
        </w:rPr>
        <w:t>No residentes que participan en fondos de pensiones privados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878"/>
        <w:gridCol w:w="879"/>
        <w:gridCol w:w="878"/>
        <w:gridCol w:w="879"/>
        <w:gridCol w:w="879"/>
      </w:tblGrid>
      <w:tr w:rsidR="00F21905" w:rsidRPr="00F21905" w14:paraId="574D1C84" w14:textId="77777777" w:rsidTr="00F21905">
        <w:trPr>
          <w:cantSplit/>
          <w:trHeight w:val="240"/>
          <w:tblHeader/>
        </w:trPr>
        <w:tc>
          <w:tcPr>
            <w:tcW w:w="2977" w:type="dxa"/>
            <w:tcBorders>
              <w:top w:val="single" w:sz="4" w:space="0" w:color="auto"/>
              <w:bottom w:val="single" w:sz="12" w:space="0" w:color="auto"/>
            </w:tcBorders>
            <w:shd w:val="clear" w:color="auto" w:fill="auto"/>
            <w:vAlign w:val="bottom"/>
          </w:tcPr>
          <w:p w14:paraId="3C550837" w14:textId="77777777" w:rsidR="00F5461C" w:rsidRPr="00F5461C" w:rsidRDefault="00F5461C" w:rsidP="00F21905">
            <w:pPr>
              <w:pStyle w:val="SingleTxtG"/>
              <w:spacing w:before="80" w:after="80" w:line="200" w:lineRule="exact"/>
              <w:ind w:left="0" w:right="0"/>
              <w:jc w:val="left"/>
              <w:rPr>
                <w:i/>
                <w:sz w:val="16"/>
                <w:lang w:val="es-ES_tradnl"/>
              </w:rPr>
            </w:pPr>
            <w:r w:rsidRPr="00F5461C">
              <w:rPr>
                <w:i/>
                <w:iCs/>
                <w:sz w:val="16"/>
                <w:lang w:val="es-ES_tradnl"/>
              </w:rPr>
              <w:t>Concepto/Año</w:t>
            </w:r>
          </w:p>
        </w:tc>
        <w:tc>
          <w:tcPr>
            <w:tcW w:w="878" w:type="dxa"/>
            <w:tcBorders>
              <w:top w:val="single" w:sz="4" w:space="0" w:color="auto"/>
              <w:bottom w:val="single" w:sz="12" w:space="0" w:color="auto"/>
            </w:tcBorders>
            <w:shd w:val="clear" w:color="auto" w:fill="auto"/>
            <w:vAlign w:val="bottom"/>
          </w:tcPr>
          <w:p w14:paraId="25290225"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879" w:type="dxa"/>
            <w:tcBorders>
              <w:top w:val="single" w:sz="4" w:space="0" w:color="auto"/>
              <w:bottom w:val="single" w:sz="12" w:space="0" w:color="auto"/>
            </w:tcBorders>
            <w:shd w:val="clear" w:color="auto" w:fill="auto"/>
            <w:vAlign w:val="bottom"/>
          </w:tcPr>
          <w:p w14:paraId="314408F4"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878" w:type="dxa"/>
            <w:tcBorders>
              <w:top w:val="single" w:sz="4" w:space="0" w:color="auto"/>
              <w:bottom w:val="single" w:sz="12" w:space="0" w:color="auto"/>
            </w:tcBorders>
            <w:shd w:val="clear" w:color="auto" w:fill="auto"/>
            <w:vAlign w:val="bottom"/>
          </w:tcPr>
          <w:p w14:paraId="1A18455F"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879" w:type="dxa"/>
            <w:tcBorders>
              <w:top w:val="single" w:sz="4" w:space="0" w:color="auto"/>
              <w:bottom w:val="single" w:sz="12" w:space="0" w:color="auto"/>
            </w:tcBorders>
            <w:shd w:val="clear" w:color="auto" w:fill="auto"/>
            <w:vAlign w:val="bottom"/>
          </w:tcPr>
          <w:p w14:paraId="302A00FD"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879" w:type="dxa"/>
            <w:tcBorders>
              <w:top w:val="single" w:sz="4" w:space="0" w:color="auto"/>
              <w:bottom w:val="single" w:sz="12" w:space="0" w:color="auto"/>
            </w:tcBorders>
            <w:shd w:val="clear" w:color="auto" w:fill="auto"/>
            <w:vAlign w:val="bottom"/>
          </w:tcPr>
          <w:p w14:paraId="5674BB95" w14:textId="77777777" w:rsidR="00F5461C" w:rsidRPr="00F5461C" w:rsidRDefault="00B30E6D" w:rsidP="00E27276">
            <w:pPr>
              <w:pStyle w:val="SingleTxtG"/>
              <w:spacing w:before="80" w:after="80" w:line="200" w:lineRule="exact"/>
              <w:ind w:left="113" w:right="11"/>
              <w:jc w:val="right"/>
              <w:rPr>
                <w:i/>
                <w:sz w:val="16"/>
                <w:lang w:val="es-ES_tradnl"/>
              </w:rPr>
            </w:pPr>
            <w:r>
              <w:rPr>
                <w:i/>
                <w:iCs/>
                <w:sz w:val="16"/>
                <w:lang w:val="es-ES_tradnl"/>
              </w:rPr>
              <w:t>Septiembre de </w:t>
            </w:r>
            <w:r w:rsidR="00F5461C" w:rsidRPr="00F5461C">
              <w:rPr>
                <w:i/>
                <w:iCs/>
                <w:sz w:val="16"/>
                <w:lang w:val="es-ES_tradnl"/>
              </w:rPr>
              <w:t>2018</w:t>
            </w:r>
          </w:p>
        </w:tc>
      </w:tr>
      <w:tr w:rsidR="00F21905" w:rsidRPr="00F5461C" w14:paraId="40D60836" w14:textId="77777777" w:rsidTr="00F21905">
        <w:trPr>
          <w:cantSplit/>
          <w:trHeight w:val="240"/>
        </w:trPr>
        <w:tc>
          <w:tcPr>
            <w:tcW w:w="2977" w:type="dxa"/>
            <w:tcBorders>
              <w:top w:val="single" w:sz="12" w:space="0" w:color="auto"/>
            </w:tcBorders>
            <w:shd w:val="clear" w:color="auto" w:fill="auto"/>
          </w:tcPr>
          <w:p w14:paraId="444BE88B" w14:textId="77777777" w:rsidR="00F5461C" w:rsidRPr="00F5461C" w:rsidRDefault="00F5461C" w:rsidP="00F21905">
            <w:pPr>
              <w:pStyle w:val="SingleTxtG"/>
              <w:spacing w:before="40" w:after="40" w:line="220" w:lineRule="exact"/>
              <w:ind w:left="0" w:right="0"/>
              <w:jc w:val="left"/>
              <w:rPr>
                <w:sz w:val="18"/>
                <w:lang w:val="es-ES_tradnl"/>
              </w:rPr>
            </w:pPr>
            <w:r w:rsidRPr="00F5461C">
              <w:rPr>
                <w:sz w:val="18"/>
                <w:lang w:val="es-ES_tradnl"/>
              </w:rPr>
              <w:t>Trabajadores con un plan de pensiones privado (porcentaje)</w:t>
            </w:r>
          </w:p>
        </w:tc>
        <w:tc>
          <w:tcPr>
            <w:tcW w:w="878" w:type="dxa"/>
            <w:tcBorders>
              <w:top w:val="single" w:sz="12" w:space="0" w:color="auto"/>
            </w:tcBorders>
            <w:shd w:val="clear" w:color="auto" w:fill="auto"/>
            <w:vAlign w:val="bottom"/>
          </w:tcPr>
          <w:p w14:paraId="2F24E84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32,5</w:t>
            </w:r>
          </w:p>
        </w:tc>
        <w:tc>
          <w:tcPr>
            <w:tcW w:w="879" w:type="dxa"/>
            <w:tcBorders>
              <w:top w:val="single" w:sz="12" w:space="0" w:color="auto"/>
            </w:tcBorders>
            <w:shd w:val="clear" w:color="auto" w:fill="auto"/>
            <w:vAlign w:val="bottom"/>
          </w:tcPr>
          <w:p w14:paraId="35EEAB3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34,7</w:t>
            </w:r>
          </w:p>
        </w:tc>
        <w:tc>
          <w:tcPr>
            <w:tcW w:w="878" w:type="dxa"/>
            <w:tcBorders>
              <w:top w:val="single" w:sz="12" w:space="0" w:color="auto"/>
            </w:tcBorders>
            <w:shd w:val="clear" w:color="auto" w:fill="auto"/>
            <w:vAlign w:val="bottom"/>
          </w:tcPr>
          <w:p w14:paraId="202BB0F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36,7</w:t>
            </w:r>
          </w:p>
        </w:tc>
        <w:tc>
          <w:tcPr>
            <w:tcW w:w="879" w:type="dxa"/>
            <w:tcBorders>
              <w:top w:val="single" w:sz="12" w:space="0" w:color="auto"/>
            </w:tcBorders>
            <w:shd w:val="clear" w:color="auto" w:fill="auto"/>
            <w:vAlign w:val="bottom"/>
          </w:tcPr>
          <w:p w14:paraId="4730552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38,7</w:t>
            </w:r>
          </w:p>
        </w:tc>
        <w:tc>
          <w:tcPr>
            <w:tcW w:w="879" w:type="dxa"/>
            <w:tcBorders>
              <w:top w:val="single" w:sz="12" w:space="0" w:color="auto"/>
            </w:tcBorders>
            <w:shd w:val="clear" w:color="auto" w:fill="auto"/>
            <w:vAlign w:val="bottom"/>
          </w:tcPr>
          <w:p w14:paraId="243FDB8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37,5</w:t>
            </w:r>
          </w:p>
        </w:tc>
      </w:tr>
      <w:tr w:rsidR="00F21905" w:rsidRPr="00F5461C" w14:paraId="48998F13" w14:textId="77777777" w:rsidTr="00F21905">
        <w:trPr>
          <w:cantSplit/>
          <w:trHeight w:val="240"/>
        </w:trPr>
        <w:tc>
          <w:tcPr>
            <w:tcW w:w="2977" w:type="dxa"/>
            <w:shd w:val="clear" w:color="auto" w:fill="auto"/>
          </w:tcPr>
          <w:p w14:paraId="6E05D99B" w14:textId="77777777" w:rsidR="00F5461C" w:rsidRPr="00F5461C" w:rsidRDefault="00F5461C" w:rsidP="00F21905">
            <w:pPr>
              <w:pStyle w:val="SingleTxtG"/>
              <w:spacing w:before="40" w:after="40" w:line="220" w:lineRule="exact"/>
              <w:ind w:left="0" w:right="0"/>
              <w:jc w:val="left"/>
              <w:rPr>
                <w:sz w:val="18"/>
                <w:lang w:val="es-ES_tradnl"/>
              </w:rPr>
            </w:pPr>
            <w:r w:rsidRPr="00F5461C">
              <w:rPr>
                <w:sz w:val="18"/>
                <w:lang w:val="es-ES_tradnl"/>
              </w:rPr>
              <w:t xml:space="preserve">Número de trabajadores con un plan </w:t>
            </w:r>
            <w:r w:rsidR="00820737">
              <w:rPr>
                <w:sz w:val="18"/>
                <w:lang w:val="es-ES_tradnl"/>
              </w:rPr>
              <w:br/>
            </w:r>
            <w:r w:rsidRPr="00F5461C">
              <w:rPr>
                <w:sz w:val="18"/>
                <w:lang w:val="es-ES_tradnl"/>
              </w:rPr>
              <w:t>de pensiones privado</w:t>
            </w:r>
          </w:p>
        </w:tc>
        <w:tc>
          <w:tcPr>
            <w:tcW w:w="878" w:type="dxa"/>
            <w:shd w:val="clear" w:color="auto" w:fill="auto"/>
            <w:vAlign w:val="bottom"/>
          </w:tcPr>
          <w:p w14:paraId="7179EEE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129 462</w:t>
            </w:r>
          </w:p>
        </w:tc>
        <w:tc>
          <w:tcPr>
            <w:tcW w:w="879" w:type="dxa"/>
            <w:shd w:val="clear" w:color="auto" w:fill="auto"/>
            <w:vAlign w:val="bottom"/>
          </w:tcPr>
          <w:p w14:paraId="6DCF7E8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136 321</w:t>
            </w:r>
          </w:p>
        </w:tc>
        <w:tc>
          <w:tcPr>
            <w:tcW w:w="878" w:type="dxa"/>
            <w:shd w:val="clear" w:color="auto" w:fill="auto"/>
            <w:vAlign w:val="bottom"/>
          </w:tcPr>
          <w:p w14:paraId="4C35835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141 123</w:t>
            </w:r>
          </w:p>
        </w:tc>
        <w:tc>
          <w:tcPr>
            <w:tcW w:w="879" w:type="dxa"/>
            <w:shd w:val="clear" w:color="auto" w:fill="auto"/>
            <w:vAlign w:val="bottom"/>
          </w:tcPr>
          <w:p w14:paraId="3BFD78E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145 543</w:t>
            </w:r>
          </w:p>
        </w:tc>
        <w:tc>
          <w:tcPr>
            <w:tcW w:w="879" w:type="dxa"/>
            <w:shd w:val="clear" w:color="auto" w:fill="auto"/>
            <w:vAlign w:val="bottom"/>
          </w:tcPr>
          <w:p w14:paraId="061401E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145 117</w:t>
            </w:r>
          </w:p>
        </w:tc>
      </w:tr>
      <w:tr w:rsidR="00F21905" w:rsidRPr="00F5461C" w14:paraId="0B444CD6" w14:textId="77777777" w:rsidTr="00F21905">
        <w:trPr>
          <w:cantSplit/>
          <w:trHeight w:val="240"/>
        </w:trPr>
        <w:tc>
          <w:tcPr>
            <w:tcW w:w="2977" w:type="dxa"/>
            <w:shd w:val="clear" w:color="auto" w:fill="auto"/>
          </w:tcPr>
          <w:p w14:paraId="4612A06C" w14:textId="77777777" w:rsidR="00F5461C" w:rsidRPr="00F5461C" w:rsidRDefault="00F5461C" w:rsidP="00F21905">
            <w:pPr>
              <w:pStyle w:val="SingleTxtG"/>
              <w:spacing w:before="40" w:after="40" w:line="220" w:lineRule="exact"/>
              <w:ind w:left="0" w:right="0"/>
              <w:jc w:val="left"/>
              <w:rPr>
                <w:sz w:val="18"/>
                <w:lang w:val="es-ES_tradnl"/>
              </w:rPr>
            </w:pPr>
            <w:r w:rsidRPr="00F5461C">
              <w:rPr>
                <w:sz w:val="18"/>
                <w:lang w:val="es-ES_tradnl"/>
              </w:rPr>
              <w:t>Trabajadores residentes</w:t>
            </w:r>
            <w:r w:rsidR="009B789A">
              <w:rPr>
                <w:sz w:val="18"/>
                <w:lang w:val="es-ES_tradnl"/>
              </w:rPr>
              <w:t xml:space="preserve"> </w:t>
            </w:r>
            <w:r w:rsidR="009B789A" w:rsidRPr="00F5461C">
              <w:rPr>
                <w:sz w:val="18"/>
                <w:lang w:val="es-ES_tradnl"/>
              </w:rPr>
              <w:t>(porcentaje)</w:t>
            </w:r>
          </w:p>
        </w:tc>
        <w:tc>
          <w:tcPr>
            <w:tcW w:w="878" w:type="dxa"/>
            <w:shd w:val="clear" w:color="auto" w:fill="auto"/>
            <w:vAlign w:val="bottom"/>
          </w:tcPr>
          <w:p w14:paraId="53A124E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80,5</w:t>
            </w:r>
          </w:p>
        </w:tc>
        <w:tc>
          <w:tcPr>
            <w:tcW w:w="879" w:type="dxa"/>
            <w:shd w:val="clear" w:color="auto" w:fill="auto"/>
            <w:vAlign w:val="bottom"/>
          </w:tcPr>
          <w:p w14:paraId="681096D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79,0</w:t>
            </w:r>
          </w:p>
        </w:tc>
        <w:tc>
          <w:tcPr>
            <w:tcW w:w="878" w:type="dxa"/>
            <w:shd w:val="clear" w:color="auto" w:fill="auto"/>
            <w:vAlign w:val="bottom"/>
          </w:tcPr>
          <w:p w14:paraId="5F76A9E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78,5</w:t>
            </w:r>
          </w:p>
        </w:tc>
        <w:tc>
          <w:tcPr>
            <w:tcW w:w="879" w:type="dxa"/>
            <w:shd w:val="clear" w:color="auto" w:fill="auto"/>
            <w:vAlign w:val="bottom"/>
          </w:tcPr>
          <w:p w14:paraId="6661559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78,0</w:t>
            </w:r>
          </w:p>
        </w:tc>
        <w:tc>
          <w:tcPr>
            <w:tcW w:w="879" w:type="dxa"/>
            <w:shd w:val="clear" w:color="auto" w:fill="auto"/>
            <w:vAlign w:val="bottom"/>
          </w:tcPr>
          <w:p w14:paraId="3F1E5F8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78,0</w:t>
            </w:r>
          </w:p>
        </w:tc>
      </w:tr>
      <w:tr w:rsidR="00F21905" w:rsidRPr="00F5461C" w14:paraId="5E3AAA3D" w14:textId="77777777" w:rsidTr="00F21905">
        <w:trPr>
          <w:cantSplit/>
          <w:trHeight w:val="240"/>
        </w:trPr>
        <w:tc>
          <w:tcPr>
            <w:tcW w:w="2977" w:type="dxa"/>
            <w:tcBorders>
              <w:bottom w:val="single" w:sz="12" w:space="0" w:color="auto"/>
            </w:tcBorders>
            <w:shd w:val="clear" w:color="auto" w:fill="auto"/>
          </w:tcPr>
          <w:p w14:paraId="56447273" w14:textId="77777777" w:rsidR="00F5461C" w:rsidRPr="00F5461C" w:rsidRDefault="00F5461C" w:rsidP="00F21905">
            <w:pPr>
              <w:pStyle w:val="SingleTxtG"/>
              <w:spacing w:before="40" w:after="40" w:line="220" w:lineRule="exact"/>
              <w:ind w:left="0" w:right="0"/>
              <w:jc w:val="left"/>
              <w:rPr>
                <w:sz w:val="18"/>
                <w:lang w:val="es-ES_tradnl"/>
              </w:rPr>
            </w:pPr>
            <w:r w:rsidRPr="00F5461C">
              <w:rPr>
                <w:bCs/>
                <w:sz w:val="18"/>
                <w:lang w:val="es-ES_tradnl"/>
              </w:rPr>
              <w:t>Trabajadores no residentes</w:t>
            </w:r>
            <w:r w:rsidR="009B789A">
              <w:rPr>
                <w:bCs/>
                <w:sz w:val="18"/>
                <w:lang w:val="es-ES_tradnl"/>
              </w:rPr>
              <w:t xml:space="preserve"> </w:t>
            </w:r>
            <w:r w:rsidR="009B789A" w:rsidRPr="00F5461C">
              <w:rPr>
                <w:sz w:val="18"/>
                <w:lang w:val="es-ES_tradnl"/>
              </w:rPr>
              <w:t>(porcentaje)</w:t>
            </w:r>
          </w:p>
        </w:tc>
        <w:tc>
          <w:tcPr>
            <w:tcW w:w="878" w:type="dxa"/>
            <w:tcBorders>
              <w:bottom w:val="single" w:sz="12" w:space="0" w:color="auto"/>
            </w:tcBorders>
            <w:shd w:val="clear" w:color="auto" w:fill="auto"/>
            <w:vAlign w:val="bottom"/>
          </w:tcPr>
          <w:p w14:paraId="1AE7954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19,5</w:t>
            </w:r>
          </w:p>
        </w:tc>
        <w:tc>
          <w:tcPr>
            <w:tcW w:w="879" w:type="dxa"/>
            <w:tcBorders>
              <w:bottom w:val="single" w:sz="12" w:space="0" w:color="auto"/>
            </w:tcBorders>
            <w:shd w:val="clear" w:color="auto" w:fill="auto"/>
            <w:vAlign w:val="bottom"/>
          </w:tcPr>
          <w:p w14:paraId="41565CB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21,0</w:t>
            </w:r>
          </w:p>
        </w:tc>
        <w:tc>
          <w:tcPr>
            <w:tcW w:w="878" w:type="dxa"/>
            <w:tcBorders>
              <w:bottom w:val="single" w:sz="12" w:space="0" w:color="auto"/>
            </w:tcBorders>
            <w:shd w:val="clear" w:color="auto" w:fill="auto"/>
            <w:vAlign w:val="bottom"/>
          </w:tcPr>
          <w:p w14:paraId="292EF05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21,5</w:t>
            </w:r>
          </w:p>
        </w:tc>
        <w:tc>
          <w:tcPr>
            <w:tcW w:w="879" w:type="dxa"/>
            <w:tcBorders>
              <w:bottom w:val="single" w:sz="12" w:space="0" w:color="auto"/>
            </w:tcBorders>
            <w:shd w:val="clear" w:color="auto" w:fill="auto"/>
            <w:vAlign w:val="bottom"/>
          </w:tcPr>
          <w:p w14:paraId="08C6B44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22,0</w:t>
            </w:r>
          </w:p>
        </w:tc>
        <w:tc>
          <w:tcPr>
            <w:tcW w:w="879" w:type="dxa"/>
            <w:tcBorders>
              <w:bottom w:val="single" w:sz="12" w:space="0" w:color="auto"/>
            </w:tcBorders>
            <w:shd w:val="clear" w:color="auto" w:fill="auto"/>
            <w:vAlign w:val="bottom"/>
          </w:tcPr>
          <w:p w14:paraId="49FF325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22,0</w:t>
            </w:r>
          </w:p>
        </w:tc>
      </w:tr>
    </w:tbl>
    <w:p w14:paraId="0BA1CB51" w14:textId="77777777" w:rsidR="00F5461C" w:rsidRPr="00F5461C" w:rsidRDefault="00F5461C" w:rsidP="00F21905">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Autoridad Monetaria de Macao.</w:t>
      </w:r>
    </w:p>
    <w:p w14:paraId="59019E24" w14:textId="77777777" w:rsidR="00F5461C" w:rsidRPr="00F5461C" w:rsidRDefault="00F5461C" w:rsidP="00F5461C">
      <w:pPr>
        <w:pStyle w:val="SingleTxtG"/>
        <w:rPr>
          <w:lang w:val="es-ES_tradnl"/>
        </w:rPr>
      </w:pPr>
      <w:r w:rsidRPr="00F5461C">
        <w:rPr>
          <w:lang w:val="es-ES_tradnl"/>
        </w:rPr>
        <w:t>107.</w:t>
      </w:r>
      <w:r w:rsidRPr="00F5461C">
        <w:rPr>
          <w:lang w:val="es-ES_tradnl"/>
        </w:rPr>
        <w:tab/>
        <w:t xml:space="preserve">De conformidad con el Decreto Ley </w:t>
      </w:r>
      <w:r w:rsidR="00E27276">
        <w:rPr>
          <w:lang w:val="es-ES_tradnl"/>
        </w:rPr>
        <w:t>núm. </w:t>
      </w:r>
      <w:r w:rsidRPr="00F5461C">
        <w:rPr>
          <w:lang w:val="es-ES_tradnl"/>
        </w:rPr>
        <w:t xml:space="preserve">6/99/M, las aportaciones tanto de los empleadores como de los empleados al plan de pensiones y a los fondos de pensiones están exentas de impuestos y la liquidación monetaria que reciben los beneficiarios también es un ingreso no imponible (Ley </w:t>
      </w:r>
      <w:r w:rsidR="00E27276">
        <w:rPr>
          <w:lang w:val="es-ES_tradnl"/>
        </w:rPr>
        <w:t>núm. </w:t>
      </w:r>
      <w:r w:rsidRPr="00F5461C">
        <w:rPr>
          <w:lang w:val="es-ES_tradnl"/>
        </w:rPr>
        <w:t xml:space="preserve">2/78/M, modificada). </w:t>
      </w:r>
    </w:p>
    <w:p w14:paraId="2E1CC25E" w14:textId="77777777" w:rsidR="00F5461C" w:rsidRPr="00F5461C" w:rsidRDefault="00F5461C" w:rsidP="00F5461C">
      <w:pPr>
        <w:pStyle w:val="SingleTxtG"/>
        <w:rPr>
          <w:lang w:val="es-ES_tradnl"/>
        </w:rPr>
      </w:pPr>
      <w:r w:rsidRPr="00F5461C">
        <w:rPr>
          <w:lang w:val="es-ES_tradnl"/>
        </w:rPr>
        <w:lastRenderedPageBreak/>
        <w:t>108.</w:t>
      </w:r>
      <w:r w:rsidRPr="00F5461C">
        <w:rPr>
          <w:lang w:val="es-ES_tradnl"/>
        </w:rPr>
        <w:tab/>
        <w:t>En 2014, el Gobierno de la RAE de Macao destinó 6.559 millones de patacas de Macao a la seguridad social, y en 2017 la cifra ascendió a 8.139 millones de patacas, es decir, el equivalente al 9,78</w:t>
      </w:r>
      <w:r w:rsidR="00E27276">
        <w:rPr>
          <w:lang w:val="es-ES_tradnl"/>
        </w:rPr>
        <w:t> %</w:t>
      </w:r>
      <w:r w:rsidRPr="00F5461C">
        <w:rPr>
          <w:lang w:val="es-ES_tradnl"/>
        </w:rPr>
        <w:t xml:space="preserve"> y al 10,01</w:t>
      </w:r>
      <w:r w:rsidR="00E27276">
        <w:rPr>
          <w:lang w:val="es-ES_tradnl"/>
        </w:rPr>
        <w:t> %</w:t>
      </w:r>
      <w:r w:rsidRPr="00F5461C">
        <w:rPr>
          <w:lang w:val="es-ES_tradnl"/>
        </w:rPr>
        <w:t xml:space="preserve"> del gasto público total, respectivamente.</w:t>
      </w:r>
    </w:p>
    <w:p w14:paraId="20594A38" w14:textId="77777777" w:rsidR="00F5461C" w:rsidRPr="00F5461C" w:rsidRDefault="00F21905" w:rsidP="00F21905">
      <w:pPr>
        <w:pStyle w:val="H1G"/>
        <w:rPr>
          <w:lang w:val="es-ES_tradnl"/>
        </w:rPr>
      </w:pPr>
      <w:bookmarkStart w:id="30" w:name="_Toc523225773"/>
      <w:bookmarkStart w:id="31" w:name="_Toc194226865"/>
      <w:bookmarkStart w:id="32" w:name="_Toc286998596"/>
      <w:r>
        <w:rPr>
          <w:lang w:val="es-ES_tradnl"/>
        </w:rPr>
        <w:tab/>
      </w:r>
      <w:r w:rsidR="00F5461C" w:rsidRPr="00F5461C">
        <w:rPr>
          <w:lang w:val="es-ES_tradnl"/>
        </w:rPr>
        <w:tab/>
      </w:r>
      <w:r w:rsidR="00722610">
        <w:rPr>
          <w:lang w:val="es-ES_tradnl"/>
        </w:rPr>
        <w:t>Artículo </w:t>
      </w:r>
      <w:r w:rsidR="00F5461C" w:rsidRPr="00F5461C">
        <w:rPr>
          <w:lang w:val="es-ES_tradnl"/>
        </w:rPr>
        <w:t>10</w:t>
      </w:r>
      <w:r w:rsidR="00F5461C" w:rsidRPr="00F5461C">
        <w:rPr>
          <w:lang w:val="es-ES_tradnl"/>
        </w:rPr>
        <w:br/>
        <w:t>Protección de la familia</w:t>
      </w:r>
      <w:bookmarkStart w:id="33" w:name="_Toc194226866"/>
      <w:bookmarkStart w:id="34" w:name="_Toc194229819"/>
      <w:bookmarkStart w:id="35" w:name="_Toc286998597"/>
      <w:bookmarkEnd w:id="30"/>
      <w:bookmarkEnd w:id="31"/>
      <w:bookmarkEnd w:id="32"/>
      <w:bookmarkEnd w:id="33"/>
      <w:bookmarkEnd w:id="34"/>
      <w:bookmarkEnd w:id="35"/>
    </w:p>
    <w:p w14:paraId="1C81176B" w14:textId="77777777" w:rsidR="00F5461C" w:rsidRPr="00F5461C" w:rsidRDefault="00F5461C" w:rsidP="00F21905">
      <w:pPr>
        <w:pStyle w:val="H23G"/>
        <w:rPr>
          <w:lang w:val="es-ES_tradnl"/>
        </w:rPr>
      </w:pPr>
      <w:bookmarkStart w:id="36" w:name="_Toc523225774"/>
      <w:bookmarkStart w:id="37" w:name="_Toc194229820"/>
      <w:bookmarkStart w:id="38" w:name="_Toc286998598"/>
      <w:r w:rsidRPr="00F5461C">
        <w:rPr>
          <w:lang w:val="es-ES_tradnl"/>
        </w:rPr>
        <w:tab/>
      </w:r>
      <w:r w:rsidR="00F21905">
        <w:rPr>
          <w:lang w:val="es-ES_tradnl"/>
        </w:rPr>
        <w:tab/>
      </w:r>
      <w:r w:rsidRPr="00F5461C">
        <w:rPr>
          <w:lang w:val="es-ES_tradnl"/>
        </w:rPr>
        <w:t>Descripción general</w:t>
      </w:r>
      <w:bookmarkEnd w:id="36"/>
      <w:bookmarkEnd w:id="37"/>
      <w:bookmarkEnd w:id="38"/>
    </w:p>
    <w:p w14:paraId="1F6C2BE1" w14:textId="77777777" w:rsidR="00F5461C" w:rsidRPr="00F5461C" w:rsidRDefault="00F5461C" w:rsidP="00F5461C">
      <w:pPr>
        <w:pStyle w:val="SingleTxtG"/>
        <w:rPr>
          <w:lang w:val="es-ES_tradnl"/>
        </w:rPr>
      </w:pPr>
      <w:r w:rsidRPr="00F5461C">
        <w:rPr>
          <w:lang w:val="es-ES_tradnl"/>
        </w:rPr>
        <w:t>109.</w:t>
      </w:r>
      <w:r w:rsidRPr="00F5461C">
        <w:rPr>
          <w:lang w:val="es-ES_tradnl"/>
        </w:rPr>
        <w:tab/>
        <w:t>Como se mencionó en informes anteriores, se considera que la familia es la unidad fundamental de la sociedad y, en consecuencia, está protegida por la legislación constitucional (</w:t>
      </w:r>
      <w:r w:rsidR="00722610">
        <w:rPr>
          <w:lang w:val="es-ES_tradnl"/>
        </w:rPr>
        <w:t>artículo </w:t>
      </w:r>
      <w:r w:rsidRPr="00F5461C">
        <w:rPr>
          <w:lang w:val="es-ES_tradnl"/>
        </w:rPr>
        <w:t xml:space="preserve">38, párrafo 1, de la Ley Fundamental) y ordinaria (por ejemplo, el Código Civil y la Ley </w:t>
      </w:r>
      <w:r w:rsidR="00E27276">
        <w:rPr>
          <w:lang w:val="es-ES_tradnl"/>
        </w:rPr>
        <w:t>núm. </w:t>
      </w:r>
      <w:r w:rsidRPr="00F5461C">
        <w:rPr>
          <w:lang w:val="es-ES_tradnl"/>
        </w:rPr>
        <w:t>6/94/M por la que se establece el Marco Jurídico de la Política de la Familia). Los hombres y las mujeres tienen la misma condición jurídica y gozan de libertad para contraer matrimonio. Como se indica en los apartados correspondientes del presente informe, se ha mejorado el marco jurídico de la RAE de Macao para la protección de los derechos de las mujeres, los niños, las personas de edad y las personas con discapacidad.</w:t>
      </w:r>
    </w:p>
    <w:p w14:paraId="13DC1F92" w14:textId="77777777" w:rsidR="00F5461C" w:rsidRPr="00F5461C" w:rsidRDefault="00F5461C" w:rsidP="00F5461C">
      <w:pPr>
        <w:pStyle w:val="SingleTxtG"/>
        <w:rPr>
          <w:lang w:val="es-ES_tradnl"/>
        </w:rPr>
      </w:pPr>
      <w:r w:rsidRPr="00F5461C">
        <w:rPr>
          <w:lang w:val="es-ES_tradnl"/>
        </w:rPr>
        <w:t>110.</w:t>
      </w:r>
      <w:r w:rsidRPr="00F5461C">
        <w:rPr>
          <w:lang w:val="es-ES_tradnl"/>
        </w:rPr>
        <w:tab/>
        <w:t>El Gobierno sigue asumiendo plenamente su responsabilidad con respecto a las familias, creando las condiciones necesarias y promoviendo su calidad de vida (</w:t>
      </w:r>
      <w:r w:rsidR="00722610">
        <w:rPr>
          <w:lang w:val="es-ES_tradnl"/>
        </w:rPr>
        <w:t>artículo </w:t>
      </w:r>
      <w:r w:rsidRPr="00F5461C">
        <w:rPr>
          <w:lang w:val="es-ES_tradnl"/>
        </w:rPr>
        <w:t xml:space="preserve">1, párrafo 2, de la Ley </w:t>
      </w:r>
      <w:r w:rsidR="00E27276">
        <w:rPr>
          <w:lang w:val="es-ES_tradnl"/>
        </w:rPr>
        <w:t>núm. </w:t>
      </w:r>
      <w:r w:rsidRPr="00F5461C">
        <w:rPr>
          <w:lang w:val="es-ES_tradnl"/>
        </w:rPr>
        <w:t>6/94/M), por ejemplo, mediante planes de acción (como la Política de Macao para la Juventud 2012-2020, el Plan de Rehabilitación y el Plan de Acción Decenal de Servicios para las Personas Mayores 2016-2025 (Plan para las Personas de Edad)) y mecanismos o medidas para la protección y el disfrute de los derechos fundamentales de sus residentes, en particular de las personas y grupos vulnerables.</w:t>
      </w:r>
    </w:p>
    <w:p w14:paraId="7EB3ECCA" w14:textId="77777777" w:rsidR="00F5461C" w:rsidRPr="00F5461C" w:rsidRDefault="00F5461C" w:rsidP="00F5461C">
      <w:pPr>
        <w:pStyle w:val="SingleTxtG"/>
        <w:rPr>
          <w:lang w:val="es-ES_tradnl"/>
        </w:rPr>
      </w:pPr>
      <w:r w:rsidRPr="00F5461C">
        <w:rPr>
          <w:lang w:val="es-ES_tradnl"/>
        </w:rPr>
        <w:t>111.</w:t>
      </w:r>
      <w:r w:rsidRPr="00F5461C">
        <w:rPr>
          <w:lang w:val="es-ES_tradnl"/>
        </w:rPr>
        <w:tab/>
        <w:t>En esas estrategias juegan un importante papel en comisiones de derechos humanos destacadas, como el Comité de Asuntos de la Mujer y el Niño, el Comité de Asuntos de las Personas de Edad y la Comisión de Rehabilitación. Las ONG locales están igualmente comprometidas, trabajando estrechamente con el Gobierno y llevando a cabo su labor de forma independiente y autónoma, aunque reciban subvenciones.</w:t>
      </w:r>
    </w:p>
    <w:p w14:paraId="57900FE5" w14:textId="77777777" w:rsidR="00F5461C" w:rsidRPr="00F5461C" w:rsidRDefault="00F5461C" w:rsidP="00F5461C">
      <w:pPr>
        <w:pStyle w:val="SingleTxtG"/>
        <w:rPr>
          <w:lang w:val="es-ES_tradnl"/>
        </w:rPr>
      </w:pPr>
      <w:r w:rsidRPr="00F5461C">
        <w:rPr>
          <w:lang w:val="es-ES_tradnl"/>
        </w:rPr>
        <w:t>112.</w:t>
      </w:r>
      <w:r w:rsidRPr="00F5461C">
        <w:rPr>
          <w:lang w:val="es-ES_tradnl"/>
        </w:rPr>
        <w:tab/>
        <w:t xml:space="preserve">Como se indicó en informes anteriores, los objetivos prioritarios de intervención de la Oficina de Bienestar Social son las familias pobres, las familias monoparentales, las familias de personas mayores, las familias con personas mayores, las familias con miembros con enfermedades crónicas o con discapacidad (Orden </w:t>
      </w:r>
      <w:r w:rsidR="00E27276">
        <w:rPr>
          <w:lang w:val="es-ES_tradnl"/>
        </w:rPr>
        <w:t>núm. </w:t>
      </w:r>
      <w:r w:rsidRPr="00F5461C">
        <w:rPr>
          <w:lang w:val="es-ES_tradnl"/>
        </w:rPr>
        <w:t xml:space="preserve">18/2003 de la Secretaría de Asuntos Sociales y Cultura, modificada por la Orden </w:t>
      </w:r>
      <w:r w:rsidR="00E27276">
        <w:rPr>
          <w:lang w:val="es-ES_tradnl"/>
        </w:rPr>
        <w:t>núm. </w:t>
      </w:r>
      <w:r w:rsidRPr="00F5461C">
        <w:rPr>
          <w:lang w:val="es-ES_tradnl"/>
        </w:rPr>
        <w:t>158/2018).</w:t>
      </w:r>
    </w:p>
    <w:p w14:paraId="4CBEB09D" w14:textId="77777777" w:rsidR="00F5461C" w:rsidRPr="00F5461C" w:rsidRDefault="00F5461C" w:rsidP="00F5461C">
      <w:pPr>
        <w:pStyle w:val="SingleTxtG"/>
        <w:rPr>
          <w:lang w:val="es-ES_tradnl"/>
        </w:rPr>
      </w:pPr>
      <w:r w:rsidRPr="00F5461C">
        <w:rPr>
          <w:lang w:val="es-ES_tradnl"/>
        </w:rPr>
        <w:t>113.</w:t>
      </w:r>
      <w:r w:rsidRPr="00F5461C">
        <w:rPr>
          <w:lang w:val="es-ES_tradnl"/>
        </w:rPr>
        <w:tab/>
        <w:t xml:space="preserve">Se siguen prestando diferentes tipos de servicios y asistencia: i) ayuda financiera; </w:t>
      </w:r>
      <w:proofErr w:type="spellStart"/>
      <w:r w:rsidRPr="00F5461C">
        <w:rPr>
          <w:lang w:val="es-ES_tradnl"/>
        </w:rPr>
        <w:t>ii</w:t>
      </w:r>
      <w:proofErr w:type="spellEnd"/>
      <w:r w:rsidRPr="00F5461C">
        <w:rPr>
          <w:lang w:val="es-ES_tradnl"/>
        </w:rPr>
        <w:t>)</w:t>
      </w:r>
      <w:r w:rsidR="000E0862">
        <w:rPr>
          <w:lang w:val="es-ES_tradnl"/>
        </w:rPr>
        <w:t> </w:t>
      </w:r>
      <w:r w:rsidRPr="00F5461C">
        <w:rPr>
          <w:lang w:val="es-ES_tradnl"/>
        </w:rPr>
        <w:t xml:space="preserve">asesoramiento jurídico; </w:t>
      </w:r>
      <w:proofErr w:type="spellStart"/>
      <w:r w:rsidRPr="00F5461C">
        <w:rPr>
          <w:lang w:val="es-ES_tradnl"/>
        </w:rPr>
        <w:t>iii</w:t>
      </w:r>
      <w:proofErr w:type="spellEnd"/>
      <w:r w:rsidRPr="00F5461C">
        <w:rPr>
          <w:lang w:val="es-ES_tradnl"/>
        </w:rPr>
        <w:t xml:space="preserve">) remisión a otros departamentos gubernamentales; </w:t>
      </w:r>
      <w:proofErr w:type="spellStart"/>
      <w:r w:rsidRPr="00F5461C">
        <w:rPr>
          <w:lang w:val="es-ES_tradnl"/>
        </w:rPr>
        <w:t>iv</w:t>
      </w:r>
      <w:proofErr w:type="spellEnd"/>
      <w:r w:rsidRPr="00F5461C">
        <w:rPr>
          <w:lang w:val="es-ES_tradnl"/>
        </w:rPr>
        <w:t>)</w:t>
      </w:r>
      <w:r w:rsidR="000E0862">
        <w:rPr>
          <w:lang w:val="es-ES_tradnl"/>
        </w:rPr>
        <w:t> </w:t>
      </w:r>
      <w:r w:rsidRPr="00F5461C">
        <w:rPr>
          <w:lang w:val="es-ES_tradnl"/>
        </w:rPr>
        <w:t>instituciones de régimen de internado para niños, jóvenes o personas con discapacidad; v) centros de día para personas de edad, personas con discapacidad y niños; vi)</w:t>
      </w:r>
      <w:r w:rsidR="000E0862">
        <w:rPr>
          <w:lang w:val="es-ES_tradnl"/>
        </w:rPr>
        <w:t> </w:t>
      </w:r>
      <w:r w:rsidRPr="00F5461C">
        <w:rPr>
          <w:lang w:val="es-ES_tradnl"/>
        </w:rPr>
        <w:t xml:space="preserve">asesoramiento y asistencia para la búsqueda de empleo; </w:t>
      </w:r>
      <w:proofErr w:type="spellStart"/>
      <w:r w:rsidRPr="00F5461C">
        <w:rPr>
          <w:lang w:val="es-ES_tradnl"/>
        </w:rPr>
        <w:t>vii</w:t>
      </w:r>
      <w:proofErr w:type="spellEnd"/>
      <w:r w:rsidRPr="00F5461C">
        <w:rPr>
          <w:lang w:val="es-ES_tradnl"/>
        </w:rPr>
        <w:t xml:space="preserve">) servicios de orientación individual y familiar; </w:t>
      </w:r>
      <w:proofErr w:type="spellStart"/>
      <w:r w:rsidRPr="00F5461C">
        <w:rPr>
          <w:lang w:val="es-ES_tradnl"/>
        </w:rPr>
        <w:t>viii</w:t>
      </w:r>
      <w:proofErr w:type="spellEnd"/>
      <w:r w:rsidRPr="00F5461C">
        <w:rPr>
          <w:lang w:val="es-ES_tradnl"/>
        </w:rPr>
        <w:t xml:space="preserve">) servicios telefónicos de asesoramiento; </w:t>
      </w:r>
      <w:proofErr w:type="spellStart"/>
      <w:r w:rsidRPr="00F5461C">
        <w:rPr>
          <w:lang w:val="es-ES_tradnl"/>
        </w:rPr>
        <w:t>ix</w:t>
      </w:r>
      <w:proofErr w:type="spellEnd"/>
      <w:r w:rsidRPr="00F5461C">
        <w:rPr>
          <w:lang w:val="es-ES_tradnl"/>
        </w:rPr>
        <w:t xml:space="preserve">) campañas de formación y sensibilización y servicios de rehabilitación para toxicómanos o personas con problemas de ludopatía; x) servicio de comidas para personas de edad y personas y familias necesitadas; xi) refugio temporal para personas sin hogar y víctimas de catástrofes; </w:t>
      </w:r>
      <w:proofErr w:type="spellStart"/>
      <w:r w:rsidRPr="00F5461C">
        <w:rPr>
          <w:lang w:val="es-ES_tradnl"/>
        </w:rPr>
        <w:t>xii</w:t>
      </w:r>
      <w:proofErr w:type="spellEnd"/>
      <w:r w:rsidRPr="00F5461C">
        <w:rPr>
          <w:lang w:val="es-ES_tradnl"/>
        </w:rPr>
        <w:t>)</w:t>
      </w:r>
      <w:r w:rsidR="000E0862">
        <w:rPr>
          <w:lang w:val="es-ES_tradnl"/>
        </w:rPr>
        <w:t> </w:t>
      </w:r>
      <w:r w:rsidRPr="00F5461C">
        <w:rPr>
          <w:lang w:val="es-ES_tradnl"/>
        </w:rPr>
        <w:t xml:space="preserve">servicios funerarios para los necesitados; </w:t>
      </w:r>
      <w:proofErr w:type="spellStart"/>
      <w:r w:rsidRPr="00F5461C">
        <w:rPr>
          <w:lang w:val="es-ES_tradnl"/>
        </w:rPr>
        <w:t>xiii</w:t>
      </w:r>
      <w:proofErr w:type="spellEnd"/>
      <w:r w:rsidRPr="00F5461C">
        <w:rPr>
          <w:lang w:val="es-ES_tradnl"/>
        </w:rPr>
        <w:t>) servicios de transporte en autobús para acudir a sesiones de rehabilitación y servicios de acompañamiento para personas mayores o con discapacidad.</w:t>
      </w:r>
    </w:p>
    <w:p w14:paraId="4A8A4A81" w14:textId="77777777" w:rsidR="00F5461C" w:rsidRDefault="00F5461C" w:rsidP="00F5461C">
      <w:pPr>
        <w:pStyle w:val="SingleTxtG"/>
        <w:rPr>
          <w:lang w:val="es-ES_tradnl"/>
        </w:rPr>
      </w:pPr>
      <w:r w:rsidRPr="00BE6BC6">
        <w:rPr>
          <w:lang w:val="es-ES_tradnl"/>
        </w:rPr>
        <w:t>114.</w:t>
      </w:r>
      <w:r w:rsidRPr="00BE6BC6">
        <w:rPr>
          <w:lang w:val="es-ES_tradnl"/>
        </w:rPr>
        <w:tab/>
        <w:t xml:space="preserve">Como se mencionó en informes anteriores, se siguen aplicando medidas para apoyar a las personas necesitadas. En el Reglamento Administrativo </w:t>
      </w:r>
      <w:r w:rsidR="00E27276">
        <w:rPr>
          <w:lang w:val="es-ES_tradnl"/>
        </w:rPr>
        <w:t>núm. </w:t>
      </w:r>
      <w:r w:rsidRPr="00BE6BC6">
        <w:rPr>
          <w:lang w:val="es-ES_tradnl"/>
        </w:rPr>
        <w:t xml:space="preserve">6/2007 y la Orden </w:t>
      </w:r>
      <w:r w:rsidR="00E27276">
        <w:rPr>
          <w:lang w:val="es-ES_tradnl"/>
        </w:rPr>
        <w:t>núm. </w:t>
      </w:r>
      <w:r w:rsidRPr="00BE6BC6">
        <w:rPr>
          <w:lang w:val="es-ES_tradnl"/>
        </w:rPr>
        <w:t xml:space="preserve">264/2018 del </w:t>
      </w:r>
      <w:proofErr w:type="gramStart"/>
      <w:r w:rsidRPr="00BE6BC6">
        <w:rPr>
          <w:lang w:val="es-ES_tradnl"/>
        </w:rPr>
        <w:t>Jefe</w:t>
      </w:r>
      <w:proofErr w:type="gramEnd"/>
      <w:r w:rsidRPr="00BE6BC6">
        <w:rPr>
          <w:lang w:val="es-ES_tradnl"/>
        </w:rPr>
        <w:t xml:space="preserve"> del Ejecutivo se establece el régimen de subsidios para personas o familias con dificultades económicas. Los subsidios pueden ser regulares, provisionales o excepcionales, y se conceden en función de cada situación tras una evaluación de la Oficina de Bienestar Social.</w:t>
      </w:r>
    </w:p>
    <w:p w14:paraId="36591E0A" w14:textId="77777777" w:rsidR="000E0862" w:rsidRDefault="000E0862" w:rsidP="00F5461C">
      <w:pPr>
        <w:pStyle w:val="SingleTxtG"/>
        <w:rPr>
          <w:lang w:val="es-ES_tradnl"/>
        </w:rPr>
      </w:pPr>
    </w:p>
    <w:p w14:paraId="13E2440C" w14:textId="77777777" w:rsidR="00293F1F" w:rsidRDefault="00293F1F" w:rsidP="00F5461C">
      <w:pPr>
        <w:pStyle w:val="SingleTxtG"/>
        <w:sectPr w:rsidR="00293F1F" w:rsidSect="00F5461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6A592EBD" w14:textId="77777777" w:rsidR="00293F1F" w:rsidRPr="00293F1F" w:rsidRDefault="007A6F09" w:rsidP="002F4DE8">
      <w:pPr>
        <w:pStyle w:val="H23G"/>
        <w:rPr>
          <w:lang w:val="es-ES_tradnl"/>
        </w:rPr>
      </w:pPr>
      <w:r>
        <w:rPr>
          <w:lang w:val="es-ES_tradnl"/>
        </w:rPr>
        <w:lastRenderedPageBreak/>
        <w:tab/>
      </w:r>
      <w:r w:rsidR="00293F1F" w:rsidRPr="00293F1F">
        <w:rPr>
          <w:lang w:val="es-ES_tradnl"/>
        </w:rPr>
        <w:t>Personas y familias que reciben ayuda financiera de la Oficina de Bienestar Social</w:t>
      </w:r>
    </w:p>
    <w:tbl>
      <w:tblPr>
        <w:tblW w:w="14301" w:type="dxa"/>
        <w:jc w:val="center"/>
        <w:tblBorders>
          <w:top w:val="single" w:sz="4" w:space="0" w:color="auto"/>
        </w:tblBorders>
        <w:tblCellMar>
          <w:left w:w="0" w:type="dxa"/>
          <w:right w:w="0" w:type="dxa"/>
        </w:tblCellMar>
        <w:tblLook w:val="04A0" w:firstRow="1" w:lastRow="0" w:firstColumn="1" w:lastColumn="0" w:noHBand="0" w:noVBand="1"/>
      </w:tblPr>
      <w:tblGrid>
        <w:gridCol w:w="2602"/>
        <w:gridCol w:w="949"/>
        <w:gridCol w:w="1276"/>
        <w:gridCol w:w="1133"/>
        <w:gridCol w:w="1324"/>
        <w:gridCol w:w="1087"/>
        <w:gridCol w:w="1253"/>
        <w:gridCol w:w="1156"/>
        <w:gridCol w:w="1184"/>
        <w:gridCol w:w="1084"/>
        <w:gridCol w:w="1253"/>
      </w:tblGrid>
      <w:tr w:rsidR="007A6F09" w:rsidRPr="007A6F09" w14:paraId="61B7608F" w14:textId="77777777" w:rsidTr="00B13173">
        <w:trPr>
          <w:cantSplit/>
          <w:trHeight w:val="240"/>
          <w:tblHeader/>
          <w:jc w:val="center"/>
        </w:trPr>
        <w:tc>
          <w:tcPr>
            <w:tcW w:w="910" w:type="pct"/>
            <w:vMerge w:val="restart"/>
            <w:tcBorders>
              <w:top w:val="single" w:sz="4" w:space="0" w:color="auto"/>
              <w:bottom w:val="single" w:sz="12" w:space="0" w:color="auto"/>
            </w:tcBorders>
            <w:shd w:val="clear" w:color="auto" w:fill="auto"/>
            <w:vAlign w:val="bottom"/>
          </w:tcPr>
          <w:p w14:paraId="7A62F334" w14:textId="77777777" w:rsidR="00293F1F" w:rsidRPr="00293F1F" w:rsidRDefault="00293F1F" w:rsidP="007A6F09">
            <w:pPr>
              <w:spacing w:before="80" w:after="80" w:line="200" w:lineRule="exact"/>
              <w:rPr>
                <w:i/>
                <w:sz w:val="16"/>
                <w:lang w:val="es-ES_tradnl"/>
              </w:rPr>
            </w:pPr>
            <w:r w:rsidRPr="00293F1F">
              <w:rPr>
                <w:i/>
                <w:iCs/>
                <w:sz w:val="16"/>
                <w:lang w:val="es-ES_tradnl"/>
              </w:rPr>
              <w:t>Número de beneficiarios/gasto</w:t>
            </w:r>
          </w:p>
        </w:tc>
        <w:tc>
          <w:tcPr>
            <w:tcW w:w="778" w:type="pct"/>
            <w:gridSpan w:val="2"/>
            <w:tcBorders>
              <w:top w:val="single" w:sz="4" w:space="0" w:color="auto"/>
              <w:bottom w:val="single" w:sz="4" w:space="0" w:color="auto"/>
              <w:right w:val="single" w:sz="24" w:space="0" w:color="FFFFFF" w:themeColor="background1"/>
            </w:tcBorders>
            <w:shd w:val="clear" w:color="auto" w:fill="auto"/>
            <w:vAlign w:val="bottom"/>
          </w:tcPr>
          <w:p w14:paraId="41191D55"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2014</w:t>
            </w:r>
          </w:p>
        </w:tc>
        <w:tc>
          <w:tcPr>
            <w:tcW w:w="85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872110"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2015</w:t>
            </w:r>
          </w:p>
        </w:tc>
        <w:tc>
          <w:tcPr>
            <w:tcW w:w="81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0C6531"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2016</w:t>
            </w:r>
          </w:p>
        </w:tc>
        <w:tc>
          <w:tcPr>
            <w:tcW w:w="81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92BE61"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2017</w:t>
            </w:r>
          </w:p>
        </w:tc>
        <w:tc>
          <w:tcPr>
            <w:tcW w:w="817" w:type="pct"/>
            <w:gridSpan w:val="2"/>
            <w:tcBorders>
              <w:top w:val="single" w:sz="4" w:space="0" w:color="auto"/>
              <w:left w:val="single" w:sz="24" w:space="0" w:color="FFFFFF" w:themeColor="background1"/>
              <w:bottom w:val="single" w:sz="4" w:space="0" w:color="auto"/>
            </w:tcBorders>
            <w:shd w:val="clear" w:color="auto" w:fill="auto"/>
            <w:vAlign w:val="bottom"/>
          </w:tcPr>
          <w:p w14:paraId="509E3DD8"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2018</w:t>
            </w:r>
          </w:p>
        </w:tc>
      </w:tr>
      <w:tr w:rsidR="007A6F09" w:rsidRPr="007A6F09" w14:paraId="34706DCA" w14:textId="77777777" w:rsidTr="00B13173">
        <w:trPr>
          <w:cantSplit/>
          <w:trHeight w:val="240"/>
          <w:tblHeader/>
          <w:jc w:val="center"/>
        </w:trPr>
        <w:tc>
          <w:tcPr>
            <w:tcW w:w="910" w:type="pct"/>
            <w:vMerge/>
            <w:tcBorders>
              <w:top w:val="single" w:sz="12" w:space="0" w:color="auto"/>
              <w:bottom w:val="single" w:sz="12" w:space="0" w:color="auto"/>
            </w:tcBorders>
            <w:shd w:val="clear" w:color="auto" w:fill="auto"/>
            <w:vAlign w:val="bottom"/>
            <w:hideMark/>
          </w:tcPr>
          <w:p w14:paraId="530026AA" w14:textId="77777777" w:rsidR="00293F1F" w:rsidRPr="00293F1F" w:rsidRDefault="00293F1F" w:rsidP="007A6F09">
            <w:pPr>
              <w:spacing w:before="40" w:after="40" w:line="220" w:lineRule="exact"/>
              <w:rPr>
                <w:sz w:val="18"/>
                <w:lang w:val="es-ES_tradnl"/>
              </w:rPr>
            </w:pPr>
          </w:p>
        </w:tc>
        <w:tc>
          <w:tcPr>
            <w:tcW w:w="332" w:type="pct"/>
            <w:tcBorders>
              <w:top w:val="single" w:sz="4" w:space="0" w:color="auto"/>
              <w:bottom w:val="single" w:sz="12" w:space="0" w:color="auto"/>
            </w:tcBorders>
            <w:shd w:val="clear" w:color="auto" w:fill="auto"/>
            <w:vAlign w:val="bottom"/>
            <w:hideMark/>
          </w:tcPr>
          <w:p w14:paraId="47D823FF"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46" w:type="pct"/>
            <w:tcBorders>
              <w:top w:val="single" w:sz="4" w:space="0" w:color="auto"/>
              <w:bottom w:val="single" w:sz="12" w:space="0" w:color="auto"/>
              <w:right w:val="single" w:sz="24" w:space="0" w:color="FFFFFF" w:themeColor="background1"/>
            </w:tcBorders>
            <w:shd w:val="clear" w:color="auto" w:fill="auto"/>
            <w:vAlign w:val="bottom"/>
            <w:hideMark/>
          </w:tcPr>
          <w:p w14:paraId="49E9B81D"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396" w:type="pct"/>
            <w:tcBorders>
              <w:top w:val="single" w:sz="4" w:space="0" w:color="auto"/>
              <w:left w:val="single" w:sz="24" w:space="0" w:color="FFFFFF" w:themeColor="background1"/>
              <w:bottom w:val="single" w:sz="12" w:space="0" w:color="auto"/>
            </w:tcBorders>
            <w:shd w:val="clear" w:color="auto" w:fill="auto"/>
            <w:vAlign w:val="bottom"/>
            <w:hideMark/>
          </w:tcPr>
          <w:p w14:paraId="26491F81"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63" w:type="pct"/>
            <w:tcBorders>
              <w:top w:val="single" w:sz="4" w:space="0" w:color="auto"/>
              <w:bottom w:val="single" w:sz="12" w:space="0" w:color="auto"/>
              <w:right w:val="single" w:sz="24" w:space="0" w:color="FFFFFF" w:themeColor="background1"/>
            </w:tcBorders>
            <w:shd w:val="clear" w:color="auto" w:fill="auto"/>
            <w:vAlign w:val="bottom"/>
            <w:hideMark/>
          </w:tcPr>
          <w:p w14:paraId="5E4A7213"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380" w:type="pct"/>
            <w:tcBorders>
              <w:top w:val="single" w:sz="4" w:space="0" w:color="auto"/>
              <w:left w:val="single" w:sz="24" w:space="0" w:color="FFFFFF" w:themeColor="background1"/>
              <w:bottom w:val="single" w:sz="12" w:space="0" w:color="auto"/>
            </w:tcBorders>
            <w:shd w:val="clear" w:color="auto" w:fill="auto"/>
            <w:vAlign w:val="bottom"/>
            <w:hideMark/>
          </w:tcPr>
          <w:p w14:paraId="6907376A"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38" w:type="pct"/>
            <w:tcBorders>
              <w:top w:val="single" w:sz="4" w:space="0" w:color="auto"/>
              <w:bottom w:val="single" w:sz="12" w:space="0" w:color="auto"/>
              <w:right w:val="single" w:sz="24" w:space="0" w:color="FFFFFF" w:themeColor="background1"/>
            </w:tcBorders>
            <w:shd w:val="clear" w:color="auto" w:fill="auto"/>
            <w:vAlign w:val="bottom"/>
            <w:hideMark/>
          </w:tcPr>
          <w:p w14:paraId="54E5C8A8"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404" w:type="pct"/>
            <w:tcBorders>
              <w:top w:val="single" w:sz="4" w:space="0" w:color="auto"/>
              <w:left w:val="single" w:sz="24" w:space="0" w:color="FFFFFF" w:themeColor="background1"/>
              <w:bottom w:val="single" w:sz="12" w:space="0" w:color="auto"/>
            </w:tcBorders>
            <w:shd w:val="clear" w:color="auto" w:fill="auto"/>
            <w:vAlign w:val="bottom"/>
            <w:hideMark/>
          </w:tcPr>
          <w:p w14:paraId="0E4FA522"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14" w:type="pct"/>
            <w:tcBorders>
              <w:top w:val="single" w:sz="4" w:space="0" w:color="auto"/>
              <w:bottom w:val="single" w:sz="12" w:space="0" w:color="auto"/>
              <w:right w:val="single" w:sz="24" w:space="0" w:color="FFFFFF" w:themeColor="background1"/>
            </w:tcBorders>
            <w:shd w:val="clear" w:color="auto" w:fill="auto"/>
            <w:vAlign w:val="bottom"/>
            <w:hideMark/>
          </w:tcPr>
          <w:p w14:paraId="207EC380"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379" w:type="pct"/>
            <w:tcBorders>
              <w:top w:val="single" w:sz="4" w:space="0" w:color="auto"/>
              <w:left w:val="single" w:sz="24" w:space="0" w:color="FFFFFF" w:themeColor="background1"/>
              <w:bottom w:val="single" w:sz="12" w:space="0" w:color="auto"/>
            </w:tcBorders>
            <w:shd w:val="clear" w:color="auto" w:fill="auto"/>
            <w:vAlign w:val="bottom"/>
            <w:hideMark/>
          </w:tcPr>
          <w:p w14:paraId="3A1EB72E"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38" w:type="pct"/>
            <w:tcBorders>
              <w:top w:val="single" w:sz="4" w:space="0" w:color="auto"/>
              <w:bottom w:val="single" w:sz="12" w:space="0" w:color="auto"/>
            </w:tcBorders>
            <w:shd w:val="clear" w:color="auto" w:fill="auto"/>
            <w:vAlign w:val="bottom"/>
            <w:hideMark/>
          </w:tcPr>
          <w:p w14:paraId="47662399"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r>
      <w:tr w:rsidR="007A6F09" w:rsidRPr="007A6F09" w14:paraId="5C4D047D" w14:textId="77777777" w:rsidTr="00B13173">
        <w:trPr>
          <w:cantSplit/>
          <w:trHeight w:val="240"/>
          <w:jc w:val="center"/>
        </w:trPr>
        <w:tc>
          <w:tcPr>
            <w:tcW w:w="910" w:type="pct"/>
            <w:tcBorders>
              <w:top w:val="single" w:sz="12" w:space="0" w:color="auto"/>
            </w:tcBorders>
            <w:shd w:val="clear" w:color="auto" w:fill="auto"/>
            <w:hideMark/>
          </w:tcPr>
          <w:p w14:paraId="5830A39E" w14:textId="77777777" w:rsidR="00293F1F" w:rsidRPr="00293F1F" w:rsidRDefault="00293F1F" w:rsidP="007A6F09">
            <w:pPr>
              <w:spacing w:before="40" w:after="40" w:line="220" w:lineRule="exact"/>
              <w:rPr>
                <w:sz w:val="18"/>
                <w:lang w:val="es-ES_tradnl"/>
              </w:rPr>
            </w:pPr>
            <w:r w:rsidRPr="00293F1F">
              <w:rPr>
                <w:sz w:val="18"/>
                <w:lang w:val="es-ES_tradnl"/>
              </w:rPr>
              <w:t>Ayuda financiera*</w:t>
            </w:r>
          </w:p>
        </w:tc>
        <w:tc>
          <w:tcPr>
            <w:tcW w:w="332" w:type="pct"/>
            <w:tcBorders>
              <w:top w:val="single" w:sz="12" w:space="0" w:color="auto"/>
            </w:tcBorders>
            <w:shd w:val="clear" w:color="auto" w:fill="auto"/>
            <w:vAlign w:val="bottom"/>
            <w:hideMark/>
          </w:tcPr>
          <w:p w14:paraId="5D01B7F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5 413</w:t>
            </w:r>
          </w:p>
        </w:tc>
        <w:tc>
          <w:tcPr>
            <w:tcW w:w="446" w:type="pct"/>
            <w:tcBorders>
              <w:top w:val="single" w:sz="12" w:space="0" w:color="auto"/>
            </w:tcBorders>
            <w:shd w:val="clear" w:color="auto" w:fill="auto"/>
            <w:vAlign w:val="bottom"/>
            <w:hideMark/>
          </w:tcPr>
          <w:p w14:paraId="25FA86B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271 032 999</w:t>
            </w:r>
          </w:p>
        </w:tc>
        <w:tc>
          <w:tcPr>
            <w:tcW w:w="396" w:type="pct"/>
            <w:tcBorders>
              <w:top w:val="single" w:sz="12" w:space="0" w:color="auto"/>
            </w:tcBorders>
            <w:shd w:val="clear" w:color="auto" w:fill="auto"/>
            <w:vAlign w:val="bottom"/>
            <w:hideMark/>
          </w:tcPr>
          <w:p w14:paraId="170E34F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4 637</w:t>
            </w:r>
          </w:p>
        </w:tc>
        <w:tc>
          <w:tcPr>
            <w:tcW w:w="463" w:type="pct"/>
            <w:tcBorders>
              <w:top w:val="single" w:sz="12" w:space="0" w:color="auto"/>
            </w:tcBorders>
            <w:shd w:val="clear" w:color="auto" w:fill="auto"/>
            <w:vAlign w:val="bottom"/>
            <w:hideMark/>
          </w:tcPr>
          <w:p w14:paraId="171249C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248 972 892</w:t>
            </w:r>
          </w:p>
        </w:tc>
        <w:tc>
          <w:tcPr>
            <w:tcW w:w="380" w:type="pct"/>
            <w:tcBorders>
              <w:top w:val="single" w:sz="12" w:space="0" w:color="auto"/>
            </w:tcBorders>
            <w:shd w:val="clear" w:color="auto" w:fill="auto"/>
            <w:vAlign w:val="bottom"/>
            <w:hideMark/>
          </w:tcPr>
          <w:p w14:paraId="33A47E8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4 456</w:t>
            </w:r>
          </w:p>
        </w:tc>
        <w:tc>
          <w:tcPr>
            <w:tcW w:w="438" w:type="pct"/>
            <w:tcBorders>
              <w:top w:val="single" w:sz="12" w:space="0" w:color="auto"/>
            </w:tcBorders>
            <w:shd w:val="clear" w:color="auto" w:fill="auto"/>
            <w:vAlign w:val="bottom"/>
            <w:hideMark/>
          </w:tcPr>
          <w:p w14:paraId="4895EB5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251 815 030</w:t>
            </w:r>
          </w:p>
        </w:tc>
        <w:tc>
          <w:tcPr>
            <w:tcW w:w="404" w:type="pct"/>
            <w:tcBorders>
              <w:top w:val="single" w:sz="12" w:space="0" w:color="auto"/>
            </w:tcBorders>
            <w:shd w:val="clear" w:color="auto" w:fill="auto"/>
            <w:vAlign w:val="bottom"/>
            <w:hideMark/>
          </w:tcPr>
          <w:p w14:paraId="3A721F3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4 118</w:t>
            </w:r>
          </w:p>
        </w:tc>
        <w:tc>
          <w:tcPr>
            <w:tcW w:w="414" w:type="pct"/>
            <w:tcBorders>
              <w:top w:val="single" w:sz="12" w:space="0" w:color="auto"/>
            </w:tcBorders>
            <w:shd w:val="clear" w:color="auto" w:fill="auto"/>
            <w:vAlign w:val="bottom"/>
            <w:hideMark/>
          </w:tcPr>
          <w:p w14:paraId="4724DDD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223 908 521</w:t>
            </w:r>
          </w:p>
        </w:tc>
        <w:tc>
          <w:tcPr>
            <w:tcW w:w="379" w:type="pct"/>
            <w:tcBorders>
              <w:top w:val="single" w:sz="12" w:space="0" w:color="auto"/>
            </w:tcBorders>
            <w:shd w:val="clear" w:color="auto" w:fill="auto"/>
            <w:vAlign w:val="bottom"/>
            <w:hideMark/>
          </w:tcPr>
          <w:p w14:paraId="6C6079C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3 737</w:t>
            </w:r>
          </w:p>
        </w:tc>
        <w:tc>
          <w:tcPr>
            <w:tcW w:w="438" w:type="pct"/>
            <w:tcBorders>
              <w:top w:val="single" w:sz="12" w:space="0" w:color="auto"/>
            </w:tcBorders>
            <w:shd w:val="clear" w:color="auto" w:fill="auto"/>
            <w:vAlign w:val="bottom"/>
            <w:hideMark/>
          </w:tcPr>
          <w:p w14:paraId="4C2C588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159 434 128</w:t>
            </w:r>
          </w:p>
        </w:tc>
      </w:tr>
      <w:tr w:rsidR="007A6F09" w:rsidRPr="007A6F09" w14:paraId="6E9614D2" w14:textId="77777777" w:rsidTr="00B13173">
        <w:trPr>
          <w:cantSplit/>
          <w:trHeight w:val="240"/>
          <w:jc w:val="center"/>
        </w:trPr>
        <w:tc>
          <w:tcPr>
            <w:tcW w:w="910" w:type="pct"/>
            <w:shd w:val="clear" w:color="auto" w:fill="auto"/>
            <w:hideMark/>
          </w:tcPr>
          <w:p w14:paraId="11B21A43" w14:textId="77777777" w:rsidR="00293F1F" w:rsidRPr="00293F1F" w:rsidRDefault="00293F1F" w:rsidP="007A6F09">
            <w:pPr>
              <w:spacing w:before="40" w:after="40" w:line="220" w:lineRule="exact"/>
              <w:rPr>
                <w:sz w:val="18"/>
                <w:lang w:val="es-ES_tradnl"/>
              </w:rPr>
            </w:pPr>
            <w:r w:rsidRPr="00293F1F">
              <w:rPr>
                <w:sz w:val="18"/>
                <w:lang w:val="es-ES_tradnl"/>
              </w:rPr>
              <w:t>Ayuda al estudio para niños de familias monoparentales*</w:t>
            </w:r>
          </w:p>
        </w:tc>
        <w:tc>
          <w:tcPr>
            <w:tcW w:w="332" w:type="pct"/>
            <w:shd w:val="clear" w:color="auto" w:fill="auto"/>
            <w:vAlign w:val="bottom"/>
            <w:hideMark/>
          </w:tcPr>
          <w:p w14:paraId="78A6309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745</w:t>
            </w:r>
          </w:p>
        </w:tc>
        <w:tc>
          <w:tcPr>
            <w:tcW w:w="446" w:type="pct"/>
            <w:shd w:val="clear" w:color="auto" w:fill="auto"/>
            <w:vAlign w:val="bottom"/>
            <w:hideMark/>
          </w:tcPr>
          <w:p w14:paraId="1AA1F54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4 025 550</w:t>
            </w:r>
          </w:p>
        </w:tc>
        <w:tc>
          <w:tcPr>
            <w:tcW w:w="396" w:type="pct"/>
            <w:shd w:val="clear" w:color="auto" w:fill="auto"/>
            <w:vAlign w:val="bottom"/>
            <w:hideMark/>
          </w:tcPr>
          <w:p w14:paraId="524C87E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664</w:t>
            </w:r>
          </w:p>
        </w:tc>
        <w:tc>
          <w:tcPr>
            <w:tcW w:w="463" w:type="pct"/>
            <w:shd w:val="clear" w:color="auto" w:fill="auto"/>
            <w:vAlign w:val="bottom"/>
            <w:hideMark/>
          </w:tcPr>
          <w:p w14:paraId="5D0594B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3 779 500</w:t>
            </w:r>
          </w:p>
        </w:tc>
        <w:tc>
          <w:tcPr>
            <w:tcW w:w="380" w:type="pct"/>
            <w:shd w:val="clear" w:color="auto" w:fill="auto"/>
            <w:vAlign w:val="bottom"/>
            <w:hideMark/>
          </w:tcPr>
          <w:p w14:paraId="3A26D90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593</w:t>
            </w:r>
          </w:p>
        </w:tc>
        <w:tc>
          <w:tcPr>
            <w:tcW w:w="438" w:type="pct"/>
            <w:shd w:val="clear" w:color="auto" w:fill="auto"/>
            <w:vAlign w:val="bottom"/>
            <w:hideMark/>
          </w:tcPr>
          <w:p w14:paraId="7F60528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3 451 200</w:t>
            </w:r>
          </w:p>
        </w:tc>
        <w:tc>
          <w:tcPr>
            <w:tcW w:w="404" w:type="pct"/>
            <w:shd w:val="clear" w:color="auto" w:fill="auto"/>
            <w:vAlign w:val="bottom"/>
            <w:hideMark/>
          </w:tcPr>
          <w:p w14:paraId="2D4C053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552</w:t>
            </w:r>
          </w:p>
        </w:tc>
        <w:tc>
          <w:tcPr>
            <w:tcW w:w="414" w:type="pct"/>
            <w:shd w:val="clear" w:color="auto" w:fill="auto"/>
            <w:vAlign w:val="bottom"/>
            <w:hideMark/>
          </w:tcPr>
          <w:p w14:paraId="587059D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3 103 207</w:t>
            </w:r>
          </w:p>
        </w:tc>
        <w:tc>
          <w:tcPr>
            <w:tcW w:w="379" w:type="pct"/>
            <w:shd w:val="clear" w:color="auto" w:fill="auto"/>
            <w:vAlign w:val="bottom"/>
            <w:hideMark/>
          </w:tcPr>
          <w:p w14:paraId="693408B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479</w:t>
            </w:r>
          </w:p>
        </w:tc>
        <w:tc>
          <w:tcPr>
            <w:tcW w:w="438" w:type="pct"/>
            <w:shd w:val="clear" w:color="auto" w:fill="auto"/>
            <w:vAlign w:val="bottom"/>
            <w:hideMark/>
          </w:tcPr>
          <w:p w14:paraId="0C3F2C6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2 155 000</w:t>
            </w:r>
          </w:p>
        </w:tc>
      </w:tr>
      <w:tr w:rsidR="007A6F09" w:rsidRPr="007A6F09" w14:paraId="7A0F809A" w14:textId="77777777" w:rsidTr="00B13173">
        <w:trPr>
          <w:cantSplit/>
          <w:trHeight w:val="240"/>
          <w:jc w:val="center"/>
        </w:trPr>
        <w:tc>
          <w:tcPr>
            <w:tcW w:w="910" w:type="pct"/>
            <w:shd w:val="clear" w:color="auto" w:fill="auto"/>
            <w:hideMark/>
          </w:tcPr>
          <w:p w14:paraId="0EA9B41A" w14:textId="77777777" w:rsidR="00293F1F" w:rsidRPr="00293F1F" w:rsidRDefault="00293F1F" w:rsidP="007A6F09">
            <w:pPr>
              <w:spacing w:before="40" w:after="40" w:line="220" w:lineRule="exact"/>
              <w:rPr>
                <w:sz w:val="18"/>
                <w:lang w:val="es-ES_tradnl"/>
              </w:rPr>
            </w:pPr>
            <w:r w:rsidRPr="00293F1F">
              <w:rPr>
                <w:sz w:val="18"/>
                <w:lang w:val="es-ES_tradnl"/>
              </w:rPr>
              <w:t>Asistencia de enfermería*</w:t>
            </w:r>
          </w:p>
        </w:tc>
        <w:tc>
          <w:tcPr>
            <w:tcW w:w="332" w:type="pct"/>
            <w:shd w:val="clear" w:color="auto" w:fill="auto"/>
            <w:vAlign w:val="bottom"/>
            <w:hideMark/>
          </w:tcPr>
          <w:p w14:paraId="1F6F0E0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1 759</w:t>
            </w:r>
          </w:p>
        </w:tc>
        <w:tc>
          <w:tcPr>
            <w:tcW w:w="446" w:type="pct"/>
            <w:shd w:val="clear" w:color="auto" w:fill="auto"/>
            <w:vAlign w:val="bottom"/>
            <w:hideMark/>
          </w:tcPr>
          <w:p w14:paraId="02791DE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18 047 488</w:t>
            </w:r>
          </w:p>
        </w:tc>
        <w:tc>
          <w:tcPr>
            <w:tcW w:w="396" w:type="pct"/>
            <w:shd w:val="clear" w:color="auto" w:fill="auto"/>
            <w:vAlign w:val="bottom"/>
            <w:hideMark/>
          </w:tcPr>
          <w:p w14:paraId="7B7DAD3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1 602</w:t>
            </w:r>
          </w:p>
        </w:tc>
        <w:tc>
          <w:tcPr>
            <w:tcW w:w="463" w:type="pct"/>
            <w:shd w:val="clear" w:color="auto" w:fill="auto"/>
            <w:vAlign w:val="bottom"/>
            <w:hideMark/>
          </w:tcPr>
          <w:p w14:paraId="1F6BFA7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17 657 760</w:t>
            </w:r>
          </w:p>
        </w:tc>
        <w:tc>
          <w:tcPr>
            <w:tcW w:w="380" w:type="pct"/>
            <w:shd w:val="clear" w:color="auto" w:fill="auto"/>
            <w:vAlign w:val="bottom"/>
            <w:hideMark/>
          </w:tcPr>
          <w:p w14:paraId="0C73A69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1 565</w:t>
            </w:r>
          </w:p>
        </w:tc>
        <w:tc>
          <w:tcPr>
            <w:tcW w:w="438" w:type="pct"/>
            <w:shd w:val="clear" w:color="auto" w:fill="auto"/>
            <w:vAlign w:val="bottom"/>
            <w:hideMark/>
          </w:tcPr>
          <w:p w14:paraId="4BCA5A5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17 783 409</w:t>
            </w:r>
          </w:p>
        </w:tc>
        <w:tc>
          <w:tcPr>
            <w:tcW w:w="404" w:type="pct"/>
            <w:shd w:val="clear" w:color="auto" w:fill="auto"/>
            <w:vAlign w:val="bottom"/>
            <w:hideMark/>
          </w:tcPr>
          <w:p w14:paraId="2CF804D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1 478</w:t>
            </w:r>
          </w:p>
        </w:tc>
        <w:tc>
          <w:tcPr>
            <w:tcW w:w="414" w:type="pct"/>
            <w:shd w:val="clear" w:color="auto" w:fill="auto"/>
            <w:vAlign w:val="bottom"/>
            <w:hideMark/>
          </w:tcPr>
          <w:p w14:paraId="41DE41A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16 815 999</w:t>
            </w:r>
          </w:p>
        </w:tc>
        <w:tc>
          <w:tcPr>
            <w:tcW w:w="379" w:type="pct"/>
            <w:shd w:val="clear" w:color="auto" w:fill="auto"/>
            <w:vAlign w:val="bottom"/>
            <w:hideMark/>
          </w:tcPr>
          <w:p w14:paraId="068ABC6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1 362</w:t>
            </w:r>
          </w:p>
        </w:tc>
        <w:tc>
          <w:tcPr>
            <w:tcW w:w="438" w:type="pct"/>
            <w:shd w:val="clear" w:color="auto" w:fill="auto"/>
            <w:vAlign w:val="bottom"/>
            <w:hideMark/>
          </w:tcPr>
          <w:p w14:paraId="136A8F7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12 581 986</w:t>
            </w:r>
          </w:p>
        </w:tc>
      </w:tr>
      <w:tr w:rsidR="007A6F09" w:rsidRPr="007A6F09" w14:paraId="7A8FF3C7" w14:textId="77777777" w:rsidTr="00B13173">
        <w:trPr>
          <w:cantSplit/>
          <w:trHeight w:val="240"/>
          <w:jc w:val="center"/>
        </w:trPr>
        <w:tc>
          <w:tcPr>
            <w:tcW w:w="910" w:type="pct"/>
            <w:shd w:val="clear" w:color="auto" w:fill="auto"/>
            <w:hideMark/>
          </w:tcPr>
          <w:p w14:paraId="3FC59E1D" w14:textId="77777777" w:rsidR="00293F1F" w:rsidRPr="00293F1F" w:rsidRDefault="00293F1F" w:rsidP="007A6F09">
            <w:pPr>
              <w:spacing w:before="40" w:after="40" w:line="220" w:lineRule="exact"/>
              <w:rPr>
                <w:sz w:val="18"/>
                <w:lang w:val="es-ES_tradnl"/>
              </w:rPr>
            </w:pPr>
            <w:r w:rsidRPr="00293F1F">
              <w:rPr>
                <w:sz w:val="18"/>
                <w:lang w:val="es-ES_tradnl"/>
              </w:rPr>
              <w:t>Asistencia a personas con discapacidad*</w:t>
            </w:r>
          </w:p>
        </w:tc>
        <w:tc>
          <w:tcPr>
            <w:tcW w:w="332" w:type="pct"/>
            <w:shd w:val="clear" w:color="auto" w:fill="auto"/>
            <w:vAlign w:val="bottom"/>
            <w:hideMark/>
          </w:tcPr>
          <w:p w14:paraId="1B4F964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615</w:t>
            </w:r>
          </w:p>
        </w:tc>
        <w:tc>
          <w:tcPr>
            <w:tcW w:w="446" w:type="pct"/>
            <w:shd w:val="clear" w:color="auto" w:fill="auto"/>
            <w:vAlign w:val="bottom"/>
            <w:hideMark/>
          </w:tcPr>
          <w:p w14:paraId="5744F02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3 931 800</w:t>
            </w:r>
          </w:p>
        </w:tc>
        <w:tc>
          <w:tcPr>
            <w:tcW w:w="396" w:type="pct"/>
            <w:shd w:val="clear" w:color="auto" w:fill="auto"/>
            <w:vAlign w:val="bottom"/>
            <w:hideMark/>
          </w:tcPr>
          <w:p w14:paraId="0ABE7B5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554</w:t>
            </w:r>
          </w:p>
        </w:tc>
        <w:tc>
          <w:tcPr>
            <w:tcW w:w="463" w:type="pct"/>
            <w:shd w:val="clear" w:color="auto" w:fill="auto"/>
            <w:vAlign w:val="bottom"/>
            <w:hideMark/>
          </w:tcPr>
          <w:p w14:paraId="488D6FCC"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3 825 570</w:t>
            </w:r>
          </w:p>
        </w:tc>
        <w:tc>
          <w:tcPr>
            <w:tcW w:w="380" w:type="pct"/>
            <w:shd w:val="clear" w:color="auto" w:fill="auto"/>
            <w:vAlign w:val="bottom"/>
            <w:hideMark/>
          </w:tcPr>
          <w:p w14:paraId="7506C6B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502</w:t>
            </w:r>
          </w:p>
        </w:tc>
        <w:tc>
          <w:tcPr>
            <w:tcW w:w="438" w:type="pct"/>
            <w:shd w:val="clear" w:color="auto" w:fill="auto"/>
            <w:vAlign w:val="bottom"/>
            <w:hideMark/>
          </w:tcPr>
          <w:p w14:paraId="2003348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3 559 930</w:t>
            </w:r>
          </w:p>
        </w:tc>
        <w:tc>
          <w:tcPr>
            <w:tcW w:w="404" w:type="pct"/>
            <w:shd w:val="clear" w:color="auto" w:fill="auto"/>
            <w:vAlign w:val="bottom"/>
            <w:hideMark/>
          </w:tcPr>
          <w:p w14:paraId="3601E57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451</w:t>
            </w:r>
          </w:p>
        </w:tc>
        <w:tc>
          <w:tcPr>
            <w:tcW w:w="414" w:type="pct"/>
            <w:shd w:val="clear" w:color="auto" w:fill="auto"/>
            <w:vAlign w:val="bottom"/>
            <w:hideMark/>
          </w:tcPr>
          <w:p w14:paraId="01CC232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3 270 830</w:t>
            </w:r>
          </w:p>
        </w:tc>
        <w:tc>
          <w:tcPr>
            <w:tcW w:w="379" w:type="pct"/>
            <w:shd w:val="clear" w:color="auto" w:fill="auto"/>
            <w:vAlign w:val="bottom"/>
            <w:hideMark/>
          </w:tcPr>
          <w:p w14:paraId="0F6E4A3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407</w:t>
            </w:r>
          </w:p>
        </w:tc>
        <w:tc>
          <w:tcPr>
            <w:tcW w:w="438" w:type="pct"/>
            <w:shd w:val="clear" w:color="auto" w:fill="auto"/>
            <w:vAlign w:val="bottom"/>
            <w:hideMark/>
          </w:tcPr>
          <w:p w14:paraId="1522FEA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2 321 520</w:t>
            </w:r>
          </w:p>
        </w:tc>
      </w:tr>
      <w:tr w:rsidR="007A6F09" w:rsidRPr="007A6F09" w14:paraId="0C74C971" w14:textId="77777777" w:rsidTr="00B13173">
        <w:trPr>
          <w:cantSplit/>
          <w:trHeight w:val="240"/>
          <w:jc w:val="center"/>
        </w:trPr>
        <w:tc>
          <w:tcPr>
            <w:tcW w:w="910" w:type="pct"/>
            <w:shd w:val="clear" w:color="auto" w:fill="auto"/>
            <w:hideMark/>
          </w:tcPr>
          <w:p w14:paraId="7F881273" w14:textId="77777777" w:rsidR="00293F1F" w:rsidRPr="00293F1F" w:rsidRDefault="00293F1F" w:rsidP="007A6F09">
            <w:pPr>
              <w:spacing w:before="40" w:after="40" w:line="220" w:lineRule="exact"/>
              <w:rPr>
                <w:sz w:val="18"/>
                <w:lang w:val="es-ES_tradnl"/>
              </w:rPr>
            </w:pPr>
            <w:r w:rsidRPr="00293F1F">
              <w:rPr>
                <w:sz w:val="18"/>
                <w:lang w:val="es-ES_tradnl"/>
              </w:rPr>
              <w:t>Subsidio de alquiler*</w:t>
            </w:r>
          </w:p>
        </w:tc>
        <w:tc>
          <w:tcPr>
            <w:tcW w:w="332" w:type="pct"/>
            <w:shd w:val="clear" w:color="auto" w:fill="auto"/>
            <w:vAlign w:val="bottom"/>
            <w:hideMark/>
          </w:tcPr>
          <w:p w14:paraId="2238BB0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408</w:t>
            </w:r>
          </w:p>
        </w:tc>
        <w:tc>
          <w:tcPr>
            <w:tcW w:w="446" w:type="pct"/>
            <w:shd w:val="clear" w:color="auto" w:fill="auto"/>
            <w:vAlign w:val="bottom"/>
            <w:hideMark/>
          </w:tcPr>
          <w:p w14:paraId="756C52C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6 296 213</w:t>
            </w:r>
          </w:p>
        </w:tc>
        <w:tc>
          <w:tcPr>
            <w:tcW w:w="396" w:type="pct"/>
            <w:shd w:val="clear" w:color="auto" w:fill="auto"/>
            <w:vAlign w:val="bottom"/>
            <w:hideMark/>
          </w:tcPr>
          <w:p w14:paraId="57B1C9C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398</w:t>
            </w:r>
          </w:p>
        </w:tc>
        <w:tc>
          <w:tcPr>
            <w:tcW w:w="463" w:type="pct"/>
            <w:shd w:val="clear" w:color="auto" w:fill="auto"/>
            <w:vAlign w:val="bottom"/>
            <w:hideMark/>
          </w:tcPr>
          <w:p w14:paraId="5A96DDCA"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6 287 409</w:t>
            </w:r>
          </w:p>
        </w:tc>
        <w:tc>
          <w:tcPr>
            <w:tcW w:w="380" w:type="pct"/>
            <w:shd w:val="clear" w:color="auto" w:fill="auto"/>
            <w:vAlign w:val="bottom"/>
            <w:hideMark/>
          </w:tcPr>
          <w:p w14:paraId="68C769F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336</w:t>
            </w:r>
          </w:p>
        </w:tc>
        <w:tc>
          <w:tcPr>
            <w:tcW w:w="438" w:type="pct"/>
            <w:shd w:val="clear" w:color="auto" w:fill="auto"/>
            <w:vAlign w:val="bottom"/>
            <w:hideMark/>
          </w:tcPr>
          <w:p w14:paraId="4538416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5 511 616</w:t>
            </w:r>
          </w:p>
        </w:tc>
        <w:tc>
          <w:tcPr>
            <w:tcW w:w="404" w:type="pct"/>
            <w:shd w:val="clear" w:color="auto" w:fill="auto"/>
            <w:vAlign w:val="bottom"/>
            <w:hideMark/>
          </w:tcPr>
          <w:p w14:paraId="1A31FA1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324</w:t>
            </w:r>
          </w:p>
        </w:tc>
        <w:tc>
          <w:tcPr>
            <w:tcW w:w="414" w:type="pct"/>
            <w:shd w:val="clear" w:color="auto" w:fill="auto"/>
            <w:vAlign w:val="bottom"/>
            <w:hideMark/>
          </w:tcPr>
          <w:p w14:paraId="0A55016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5 606 610</w:t>
            </w:r>
          </w:p>
        </w:tc>
        <w:tc>
          <w:tcPr>
            <w:tcW w:w="379" w:type="pct"/>
            <w:shd w:val="clear" w:color="auto" w:fill="auto"/>
            <w:vAlign w:val="bottom"/>
            <w:hideMark/>
          </w:tcPr>
          <w:p w14:paraId="7A22ADB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301</w:t>
            </w:r>
          </w:p>
        </w:tc>
        <w:tc>
          <w:tcPr>
            <w:tcW w:w="438" w:type="pct"/>
            <w:shd w:val="clear" w:color="auto" w:fill="auto"/>
            <w:vAlign w:val="bottom"/>
            <w:hideMark/>
          </w:tcPr>
          <w:p w14:paraId="1F6F50A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4 374 910</w:t>
            </w:r>
          </w:p>
        </w:tc>
      </w:tr>
      <w:tr w:rsidR="007A6F09" w:rsidRPr="007A6F09" w14:paraId="26469AB5" w14:textId="77777777" w:rsidTr="00B13173">
        <w:trPr>
          <w:cantSplit/>
          <w:trHeight w:val="240"/>
          <w:jc w:val="center"/>
        </w:trPr>
        <w:tc>
          <w:tcPr>
            <w:tcW w:w="910" w:type="pct"/>
            <w:shd w:val="clear" w:color="auto" w:fill="auto"/>
            <w:hideMark/>
          </w:tcPr>
          <w:p w14:paraId="7760BA2E" w14:textId="77777777" w:rsidR="00293F1F" w:rsidRPr="00293F1F" w:rsidRDefault="00293F1F" w:rsidP="007A6F09">
            <w:pPr>
              <w:spacing w:before="40" w:after="40" w:line="220" w:lineRule="exact"/>
              <w:rPr>
                <w:sz w:val="18"/>
                <w:lang w:val="es-ES_tradnl"/>
              </w:rPr>
            </w:pPr>
            <w:r w:rsidRPr="00293F1F">
              <w:rPr>
                <w:sz w:val="18"/>
                <w:lang w:val="es-ES_tradnl"/>
              </w:rPr>
              <w:t>Subsidio para personas mayores**</w:t>
            </w:r>
          </w:p>
        </w:tc>
        <w:tc>
          <w:tcPr>
            <w:tcW w:w="332" w:type="pct"/>
            <w:shd w:val="clear" w:color="auto" w:fill="auto"/>
            <w:vAlign w:val="bottom"/>
            <w:hideMark/>
          </w:tcPr>
          <w:p w14:paraId="54D3778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63 735</w:t>
            </w:r>
          </w:p>
        </w:tc>
        <w:tc>
          <w:tcPr>
            <w:tcW w:w="446" w:type="pct"/>
            <w:shd w:val="clear" w:color="auto" w:fill="auto"/>
            <w:vAlign w:val="bottom"/>
            <w:hideMark/>
          </w:tcPr>
          <w:p w14:paraId="4F9CBFB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445 412 600</w:t>
            </w:r>
          </w:p>
        </w:tc>
        <w:tc>
          <w:tcPr>
            <w:tcW w:w="396" w:type="pct"/>
            <w:shd w:val="clear" w:color="auto" w:fill="auto"/>
            <w:vAlign w:val="bottom"/>
            <w:hideMark/>
          </w:tcPr>
          <w:p w14:paraId="4B73DB99"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69 017</w:t>
            </w:r>
          </w:p>
        </w:tc>
        <w:tc>
          <w:tcPr>
            <w:tcW w:w="463" w:type="pct"/>
            <w:shd w:val="clear" w:color="auto" w:fill="auto"/>
            <w:vAlign w:val="bottom"/>
            <w:hideMark/>
          </w:tcPr>
          <w:p w14:paraId="36BC49A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516 731 700</w:t>
            </w:r>
          </w:p>
        </w:tc>
        <w:tc>
          <w:tcPr>
            <w:tcW w:w="380" w:type="pct"/>
            <w:shd w:val="clear" w:color="auto" w:fill="auto"/>
            <w:vAlign w:val="bottom"/>
            <w:hideMark/>
          </w:tcPr>
          <w:p w14:paraId="706394E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73 719</w:t>
            </w:r>
          </w:p>
        </w:tc>
        <w:tc>
          <w:tcPr>
            <w:tcW w:w="438" w:type="pct"/>
            <w:shd w:val="clear" w:color="auto" w:fill="auto"/>
            <w:vAlign w:val="bottom"/>
            <w:hideMark/>
          </w:tcPr>
          <w:p w14:paraId="3753D24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555 704 000</w:t>
            </w:r>
          </w:p>
        </w:tc>
        <w:tc>
          <w:tcPr>
            <w:tcW w:w="404" w:type="pct"/>
            <w:shd w:val="clear" w:color="auto" w:fill="auto"/>
            <w:vAlign w:val="bottom"/>
            <w:hideMark/>
          </w:tcPr>
          <w:p w14:paraId="25B6095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80 991</w:t>
            </w:r>
          </w:p>
        </w:tc>
        <w:tc>
          <w:tcPr>
            <w:tcW w:w="414" w:type="pct"/>
            <w:shd w:val="clear" w:color="auto" w:fill="auto"/>
            <w:vAlign w:val="bottom"/>
            <w:hideMark/>
          </w:tcPr>
          <w:p w14:paraId="53902C0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647 669 000</w:t>
            </w:r>
          </w:p>
        </w:tc>
        <w:tc>
          <w:tcPr>
            <w:tcW w:w="379" w:type="pct"/>
            <w:shd w:val="clear" w:color="auto" w:fill="auto"/>
            <w:vAlign w:val="bottom"/>
            <w:hideMark/>
          </w:tcPr>
          <w:p w14:paraId="5CF542C9"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82 901</w:t>
            </w:r>
          </w:p>
        </w:tc>
        <w:tc>
          <w:tcPr>
            <w:tcW w:w="438" w:type="pct"/>
            <w:shd w:val="clear" w:color="auto" w:fill="auto"/>
            <w:vAlign w:val="bottom"/>
          </w:tcPr>
          <w:p w14:paraId="480FEEB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746 109 000</w:t>
            </w:r>
          </w:p>
        </w:tc>
      </w:tr>
      <w:tr w:rsidR="007A6F09" w:rsidRPr="007A6F09" w14:paraId="0A8E1112" w14:textId="77777777" w:rsidTr="00B13173">
        <w:trPr>
          <w:cantSplit/>
          <w:trHeight w:val="240"/>
          <w:jc w:val="center"/>
        </w:trPr>
        <w:tc>
          <w:tcPr>
            <w:tcW w:w="910" w:type="pct"/>
            <w:tcBorders>
              <w:bottom w:val="single" w:sz="12" w:space="0" w:color="auto"/>
            </w:tcBorders>
            <w:shd w:val="clear" w:color="auto" w:fill="auto"/>
            <w:hideMark/>
          </w:tcPr>
          <w:p w14:paraId="7DA9E79E" w14:textId="77777777" w:rsidR="00293F1F" w:rsidRPr="00293F1F" w:rsidRDefault="00293F1F" w:rsidP="007A6F09">
            <w:pPr>
              <w:spacing w:before="40" w:after="40" w:line="220" w:lineRule="exact"/>
              <w:rPr>
                <w:sz w:val="18"/>
                <w:lang w:val="es-ES_tradnl"/>
              </w:rPr>
            </w:pPr>
            <w:r w:rsidRPr="00293F1F">
              <w:rPr>
                <w:sz w:val="18"/>
                <w:lang w:val="es-ES_tradnl"/>
              </w:rPr>
              <w:t>Asistencia a personas con discapacidad**</w:t>
            </w:r>
          </w:p>
        </w:tc>
        <w:tc>
          <w:tcPr>
            <w:tcW w:w="332" w:type="pct"/>
            <w:tcBorders>
              <w:bottom w:val="single" w:sz="12" w:space="0" w:color="auto"/>
            </w:tcBorders>
            <w:shd w:val="clear" w:color="auto" w:fill="auto"/>
            <w:vAlign w:val="bottom"/>
            <w:hideMark/>
          </w:tcPr>
          <w:p w14:paraId="7A279EB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9 758</w:t>
            </w:r>
          </w:p>
        </w:tc>
        <w:tc>
          <w:tcPr>
            <w:tcW w:w="446" w:type="pct"/>
            <w:tcBorders>
              <w:bottom w:val="single" w:sz="12" w:space="0" w:color="auto"/>
            </w:tcBorders>
            <w:shd w:val="clear" w:color="auto" w:fill="auto"/>
            <w:vAlign w:val="bottom"/>
            <w:hideMark/>
          </w:tcPr>
          <w:p w14:paraId="5D01D31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95 172 000</w:t>
            </w:r>
          </w:p>
        </w:tc>
        <w:tc>
          <w:tcPr>
            <w:tcW w:w="396" w:type="pct"/>
            <w:tcBorders>
              <w:bottom w:val="single" w:sz="12" w:space="0" w:color="auto"/>
            </w:tcBorders>
            <w:shd w:val="clear" w:color="auto" w:fill="auto"/>
            <w:vAlign w:val="bottom"/>
            <w:hideMark/>
          </w:tcPr>
          <w:p w14:paraId="2A0BDAC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9 451</w:t>
            </w:r>
          </w:p>
        </w:tc>
        <w:tc>
          <w:tcPr>
            <w:tcW w:w="463" w:type="pct"/>
            <w:tcBorders>
              <w:bottom w:val="single" w:sz="12" w:space="0" w:color="auto"/>
            </w:tcBorders>
            <w:shd w:val="clear" w:color="auto" w:fill="auto"/>
            <w:vAlign w:val="bottom"/>
            <w:hideMark/>
          </w:tcPr>
          <w:p w14:paraId="23D4810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94 342 500</w:t>
            </w:r>
          </w:p>
        </w:tc>
        <w:tc>
          <w:tcPr>
            <w:tcW w:w="380" w:type="pct"/>
            <w:tcBorders>
              <w:bottom w:val="single" w:sz="12" w:space="0" w:color="auto"/>
            </w:tcBorders>
            <w:shd w:val="clear" w:color="auto" w:fill="auto"/>
            <w:vAlign w:val="bottom"/>
            <w:hideMark/>
          </w:tcPr>
          <w:p w14:paraId="2A6590C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11 416</w:t>
            </w:r>
          </w:p>
        </w:tc>
        <w:tc>
          <w:tcPr>
            <w:tcW w:w="438" w:type="pct"/>
            <w:tcBorders>
              <w:bottom w:val="single" w:sz="12" w:space="0" w:color="auto"/>
            </w:tcBorders>
            <w:shd w:val="clear" w:color="auto" w:fill="auto"/>
            <w:vAlign w:val="bottom"/>
            <w:hideMark/>
          </w:tcPr>
          <w:p w14:paraId="156FE97A"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124 818 200</w:t>
            </w:r>
          </w:p>
        </w:tc>
        <w:tc>
          <w:tcPr>
            <w:tcW w:w="404" w:type="pct"/>
            <w:tcBorders>
              <w:bottom w:val="single" w:sz="12" w:space="0" w:color="auto"/>
            </w:tcBorders>
            <w:shd w:val="clear" w:color="auto" w:fill="auto"/>
            <w:vAlign w:val="bottom"/>
            <w:hideMark/>
          </w:tcPr>
          <w:p w14:paraId="015CB63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11 239</w:t>
            </w:r>
          </w:p>
        </w:tc>
        <w:tc>
          <w:tcPr>
            <w:tcW w:w="414" w:type="pct"/>
            <w:tcBorders>
              <w:bottom w:val="single" w:sz="12" w:space="0" w:color="auto"/>
            </w:tcBorders>
            <w:shd w:val="clear" w:color="auto" w:fill="auto"/>
            <w:vAlign w:val="bottom"/>
            <w:hideMark/>
          </w:tcPr>
          <w:p w14:paraId="5CC79EC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123 568 000</w:t>
            </w:r>
          </w:p>
        </w:tc>
        <w:tc>
          <w:tcPr>
            <w:tcW w:w="379" w:type="pct"/>
            <w:tcBorders>
              <w:bottom w:val="single" w:sz="12" w:space="0" w:color="auto"/>
            </w:tcBorders>
            <w:shd w:val="clear" w:color="auto" w:fill="auto"/>
            <w:vAlign w:val="bottom"/>
            <w:hideMark/>
          </w:tcPr>
          <w:p w14:paraId="7123B5C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12 334</w:t>
            </w:r>
          </w:p>
        </w:tc>
        <w:tc>
          <w:tcPr>
            <w:tcW w:w="438" w:type="pct"/>
            <w:tcBorders>
              <w:bottom w:val="single" w:sz="12" w:space="0" w:color="auto"/>
            </w:tcBorders>
            <w:shd w:val="clear" w:color="auto" w:fill="auto"/>
            <w:vAlign w:val="bottom"/>
          </w:tcPr>
          <w:p w14:paraId="0201650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134 168 000</w:t>
            </w:r>
          </w:p>
        </w:tc>
      </w:tr>
    </w:tbl>
    <w:p w14:paraId="07318A41" w14:textId="77777777" w:rsidR="00293F1F" w:rsidRPr="00293F1F" w:rsidRDefault="00293F1F" w:rsidP="00E27276">
      <w:pPr>
        <w:pStyle w:val="SingleTxtG"/>
        <w:spacing w:before="120" w:after="0"/>
        <w:ind w:left="0" w:right="0" w:firstLine="170"/>
        <w:rPr>
          <w:sz w:val="18"/>
          <w:szCs w:val="18"/>
          <w:lang w:val="es-ES_tradnl"/>
        </w:rPr>
      </w:pPr>
      <w:r w:rsidRPr="00293F1F">
        <w:rPr>
          <w:i/>
          <w:iCs/>
          <w:sz w:val="18"/>
          <w:szCs w:val="18"/>
          <w:lang w:val="es-ES_tradnl"/>
        </w:rPr>
        <w:t>Fuente:</w:t>
      </w:r>
      <w:r w:rsidRPr="00293F1F">
        <w:rPr>
          <w:sz w:val="18"/>
          <w:szCs w:val="18"/>
          <w:lang w:val="es-ES_tradnl"/>
        </w:rPr>
        <w:t xml:space="preserve"> Oficina de Bienestar Social.</w:t>
      </w:r>
    </w:p>
    <w:p w14:paraId="12919841" w14:textId="77777777" w:rsidR="00293F1F" w:rsidRPr="00293F1F" w:rsidRDefault="00293F1F" w:rsidP="00E27276">
      <w:pPr>
        <w:ind w:firstLine="170"/>
        <w:jc w:val="both"/>
        <w:rPr>
          <w:sz w:val="18"/>
          <w:szCs w:val="18"/>
          <w:lang w:val="es-ES_tradnl"/>
        </w:rPr>
      </w:pPr>
      <w:r w:rsidRPr="00293F1F">
        <w:rPr>
          <w:sz w:val="18"/>
          <w:szCs w:val="18"/>
          <w:lang w:val="es-ES_tradnl"/>
        </w:rPr>
        <w:t xml:space="preserve">* </w:t>
      </w:r>
      <w:r w:rsidR="007A6F09">
        <w:rPr>
          <w:sz w:val="18"/>
          <w:szCs w:val="18"/>
          <w:lang w:val="es-ES_tradnl"/>
        </w:rPr>
        <w:t xml:space="preserve"> </w:t>
      </w:r>
      <w:r w:rsidRPr="00293F1F">
        <w:rPr>
          <w:sz w:val="18"/>
          <w:szCs w:val="18"/>
          <w:lang w:val="es-ES_tradnl"/>
        </w:rPr>
        <w:t>Cálculos sobre la base del número de miembros de la familia.</w:t>
      </w:r>
    </w:p>
    <w:p w14:paraId="768AA61E" w14:textId="77777777" w:rsidR="00F5461C" w:rsidRDefault="00293F1F" w:rsidP="00E27276">
      <w:pPr>
        <w:ind w:firstLine="170"/>
        <w:jc w:val="both"/>
        <w:rPr>
          <w:lang w:val="es-ES_tradnl"/>
        </w:rPr>
      </w:pPr>
      <w:r w:rsidRPr="00BE6BC6">
        <w:rPr>
          <w:sz w:val="18"/>
          <w:szCs w:val="18"/>
          <w:lang w:val="es-ES_tradnl"/>
        </w:rPr>
        <w:t>*</w:t>
      </w:r>
      <w:proofErr w:type="gramStart"/>
      <w:r w:rsidRPr="00BE6BC6">
        <w:rPr>
          <w:sz w:val="18"/>
          <w:szCs w:val="18"/>
          <w:lang w:val="es-ES_tradnl"/>
        </w:rPr>
        <w:t>*</w:t>
      </w:r>
      <w:r w:rsidR="007A6F09">
        <w:rPr>
          <w:sz w:val="18"/>
          <w:szCs w:val="18"/>
          <w:lang w:val="es-ES_tradnl"/>
        </w:rPr>
        <w:t xml:space="preserve"> </w:t>
      </w:r>
      <w:r w:rsidRPr="00BE6BC6">
        <w:rPr>
          <w:sz w:val="18"/>
          <w:szCs w:val="18"/>
          <w:lang w:val="es-ES_tradnl"/>
        </w:rPr>
        <w:t xml:space="preserve"> Cálculos</w:t>
      </w:r>
      <w:proofErr w:type="gramEnd"/>
      <w:r w:rsidRPr="00BE6BC6">
        <w:rPr>
          <w:sz w:val="18"/>
          <w:szCs w:val="18"/>
          <w:lang w:val="es-ES_tradnl"/>
        </w:rPr>
        <w:t xml:space="preserve"> sobre la base del número de casos.</w:t>
      </w:r>
    </w:p>
    <w:p w14:paraId="4013C229" w14:textId="77777777" w:rsidR="00FA40F2" w:rsidRDefault="00FA40F2" w:rsidP="00293F1F">
      <w:pPr>
        <w:sectPr w:rsidR="00FA40F2" w:rsidSect="00293F1F">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510C8313" w14:textId="77777777" w:rsidR="00FA40F2" w:rsidRPr="00FA40F2" w:rsidRDefault="00FA40F2" w:rsidP="00FA40F2">
      <w:pPr>
        <w:pStyle w:val="SingleTxtG"/>
        <w:rPr>
          <w:lang w:val="es-ES_tradnl"/>
        </w:rPr>
      </w:pPr>
      <w:r w:rsidRPr="00FA40F2">
        <w:rPr>
          <w:lang w:val="es-ES_tradnl"/>
        </w:rPr>
        <w:lastRenderedPageBreak/>
        <w:t>115.</w:t>
      </w:r>
      <w:r w:rsidRPr="00FA40F2">
        <w:rPr>
          <w:lang w:val="es-ES_tradnl"/>
        </w:rPr>
        <w:tab/>
        <w:t xml:space="preserve">Según la Oficina de Bienestar Social, entre 2014 y septiembre de 2018, el número de familias con dificultades que recibieron ayuda económica de forma regular fue de 3.119, 2.820, 2.660, 2.481 y 2.248, respectivamente. Las cuantías, que se ajustaron por última vez en 2018, guardan relación con el número de miembros de la unidad familiar: 4.230 patacas de Macao para las de 1 miembro; 7.770 para las de 2; 10.710 para las de 3; 13.020 para las de 4;14.700 para las de 5; 16.380 para las de 6; 18.060 para las de 7, y 19.710 patacas de Macao para las familias de 8 o más miembros (Reglamento Administrativo </w:t>
      </w:r>
      <w:r w:rsidR="00E27276">
        <w:rPr>
          <w:lang w:val="es-ES_tradnl"/>
        </w:rPr>
        <w:t>núm. </w:t>
      </w:r>
      <w:r w:rsidRPr="00FA40F2">
        <w:rPr>
          <w:lang w:val="es-ES_tradnl"/>
        </w:rPr>
        <w:t xml:space="preserve">6/2007, modificado por la Orden </w:t>
      </w:r>
      <w:r w:rsidR="00E27276">
        <w:rPr>
          <w:lang w:val="es-ES_tradnl"/>
        </w:rPr>
        <w:t>núm. </w:t>
      </w:r>
      <w:r w:rsidRPr="00FA40F2">
        <w:rPr>
          <w:lang w:val="es-ES_tradnl"/>
        </w:rPr>
        <w:t>264/2018 del Jefe del Ejecutivo).</w:t>
      </w:r>
    </w:p>
    <w:p w14:paraId="680D441F" w14:textId="77777777" w:rsidR="00FA40F2" w:rsidRPr="00FA40F2" w:rsidRDefault="00FA40F2" w:rsidP="00FA40F2">
      <w:pPr>
        <w:pStyle w:val="SingleTxtG"/>
        <w:rPr>
          <w:lang w:val="es-ES_tradnl"/>
        </w:rPr>
      </w:pPr>
      <w:r w:rsidRPr="00FA40F2">
        <w:rPr>
          <w:lang w:val="es-ES_tradnl"/>
        </w:rPr>
        <w:t>116.</w:t>
      </w:r>
      <w:r w:rsidRPr="00FA40F2">
        <w:rPr>
          <w:lang w:val="es-ES_tradnl"/>
        </w:rPr>
        <w:tab/>
        <w:t xml:space="preserve">Las personas que se encuentran entre los grupos destinatarios de intervención prioritarios también pueden solicitar una prestación especial otorgada mensualmente, por ejemplo, de ayuda al estudio, asistencia de enfermería y asistencia por discapacidad (Orden </w:t>
      </w:r>
      <w:r w:rsidR="00E27276">
        <w:rPr>
          <w:lang w:val="es-ES_tradnl"/>
        </w:rPr>
        <w:t>núm. </w:t>
      </w:r>
      <w:r w:rsidRPr="00FA40F2">
        <w:rPr>
          <w:lang w:val="es-ES_tradnl"/>
        </w:rPr>
        <w:t>18/2003 de la Secretaría de Asuntos Sociales y Cultura, modificada).</w:t>
      </w:r>
    </w:p>
    <w:p w14:paraId="5FFB3965" w14:textId="77777777" w:rsidR="00FA40F2" w:rsidRPr="00FA40F2" w:rsidRDefault="00FA40F2" w:rsidP="00FA40F2">
      <w:pPr>
        <w:pStyle w:val="SingleTxtG"/>
        <w:rPr>
          <w:lang w:val="es-ES_tradnl"/>
        </w:rPr>
      </w:pPr>
      <w:r w:rsidRPr="00FA40F2">
        <w:rPr>
          <w:lang w:val="es-ES_tradnl"/>
        </w:rPr>
        <w:t>117.</w:t>
      </w:r>
      <w:r w:rsidRPr="00FA40F2">
        <w:rPr>
          <w:lang w:val="es-ES_tradnl"/>
        </w:rPr>
        <w:tab/>
        <w:t>Una mejora sustancial para ayudar a las familias a alcanzar un equilibrio entre la vida laboral y el cuidado de los hijos es el aumento del número de guarderías, que pasaron de ser 45 en 2014 a 57 en septiembre de 2018, que ofrecen a los niños de 3 meses a 3 años un entorno seguro y saludable.</w:t>
      </w:r>
    </w:p>
    <w:p w14:paraId="43D5B341" w14:textId="77777777" w:rsidR="00FA40F2" w:rsidRPr="00FA40F2" w:rsidRDefault="00FA40F2" w:rsidP="00FA40F2">
      <w:pPr>
        <w:pStyle w:val="SingleTxtG"/>
        <w:rPr>
          <w:lang w:val="es-ES_tradnl"/>
        </w:rPr>
      </w:pPr>
      <w:r w:rsidRPr="00FA40F2">
        <w:rPr>
          <w:lang w:val="es-ES_tradnl"/>
        </w:rPr>
        <w:t>118.</w:t>
      </w:r>
      <w:r w:rsidRPr="00FA40F2">
        <w:rPr>
          <w:lang w:val="es-ES_tradnl"/>
        </w:rPr>
        <w:tab/>
        <w:t>En los cuadros de las páginas 133 a 136 del Anuario Estadístico de 2017 se presentan datos actualizados sobre los gastos en servicios sociales, instalaciones por tipo de servicio y usuarios.</w:t>
      </w:r>
    </w:p>
    <w:p w14:paraId="784A9D1A" w14:textId="77777777" w:rsidR="00FA40F2" w:rsidRPr="00FA40F2" w:rsidRDefault="0078739B" w:rsidP="0078739B">
      <w:pPr>
        <w:pStyle w:val="H4G"/>
        <w:rPr>
          <w:lang w:val="es-ES_tradnl"/>
        </w:rPr>
      </w:pPr>
      <w:r>
        <w:rPr>
          <w:lang w:val="es-ES_tradnl"/>
        </w:rPr>
        <w:tab/>
      </w:r>
      <w:r w:rsidR="00FA40F2" w:rsidRPr="00FA40F2">
        <w:rPr>
          <w:lang w:val="es-ES_tradnl"/>
        </w:rPr>
        <w:tab/>
        <w:t>Violencia doméstica y otras formas de maltrato</w:t>
      </w:r>
    </w:p>
    <w:p w14:paraId="6179DC23" w14:textId="77777777" w:rsidR="00FA40F2" w:rsidRPr="00FA40F2" w:rsidRDefault="00FA40F2" w:rsidP="00FA40F2">
      <w:pPr>
        <w:pStyle w:val="SingleTxtG"/>
        <w:rPr>
          <w:lang w:val="es-ES_tradnl"/>
        </w:rPr>
      </w:pPr>
      <w:r w:rsidRPr="00FA40F2">
        <w:rPr>
          <w:lang w:val="es-ES_tradnl"/>
        </w:rPr>
        <w:t>119.</w:t>
      </w:r>
      <w:r w:rsidRPr="00FA40F2">
        <w:rPr>
          <w:lang w:val="es-ES_tradnl"/>
        </w:rPr>
        <w:tab/>
        <w:t xml:space="preserve">De conformidad con el párrafo 58 de las observaciones finales, se aprobó la Ley </w:t>
      </w:r>
      <w:r w:rsidR="00E27276">
        <w:rPr>
          <w:lang w:val="es-ES_tradnl"/>
        </w:rPr>
        <w:t>núm. </w:t>
      </w:r>
      <w:r w:rsidRPr="00FA40F2">
        <w:rPr>
          <w:lang w:val="es-ES_tradnl"/>
        </w:rPr>
        <w:t>2/2016 sobre la prevención y la lucha contra la violencia doméstica, que tipifica la violencia en el hogar como un delito autónomo. Se prescribe el carácter público del delito, es decir, ya no es necesario que la víctima presente una denuncia para que se inicien actuaciones penales. Se introdujo un nuevo marco jurídico e institucional con normas procesales penales y medidas para la aplicación de la ley específicas, así como medidas preventivas y de protección de las víctimas, que abarca todos los departamentos pertinentes y la sociedad civil.</w:t>
      </w:r>
    </w:p>
    <w:p w14:paraId="1AFF27EC" w14:textId="77777777" w:rsidR="00FA40F2" w:rsidRPr="00FA40F2" w:rsidRDefault="00FA40F2" w:rsidP="00FA40F2">
      <w:pPr>
        <w:pStyle w:val="SingleTxtG"/>
        <w:rPr>
          <w:lang w:val="es-ES_tradnl"/>
        </w:rPr>
      </w:pPr>
      <w:r w:rsidRPr="00FA40F2">
        <w:rPr>
          <w:lang w:val="es-ES_tradnl"/>
        </w:rPr>
        <w:t>120.</w:t>
      </w:r>
      <w:r w:rsidRPr="00FA40F2">
        <w:rPr>
          <w:lang w:val="es-ES_tradnl"/>
        </w:rPr>
        <w:tab/>
        <w:t xml:space="preserve">En virtud del </w:t>
      </w:r>
      <w:r w:rsidR="00722610">
        <w:rPr>
          <w:lang w:val="es-ES_tradnl"/>
        </w:rPr>
        <w:t>artículo </w:t>
      </w:r>
      <w:r w:rsidRPr="00FA40F2">
        <w:rPr>
          <w:lang w:val="es-ES_tradnl"/>
        </w:rPr>
        <w:t xml:space="preserve">18, párrafo 1, de la Ley </w:t>
      </w:r>
      <w:r w:rsidR="00E27276">
        <w:rPr>
          <w:lang w:val="es-ES_tradnl"/>
        </w:rPr>
        <w:t>núm. </w:t>
      </w:r>
      <w:r w:rsidRPr="00FA40F2">
        <w:rPr>
          <w:lang w:val="es-ES_tradnl"/>
        </w:rPr>
        <w:t xml:space="preserve">2/2016, quien, en el marco de una relación familiar o similar, inflija a otra persona cualquier tipo de maltrato físico, mental o sexual será castigado con pena de prisión de uno a cinco años. En el </w:t>
      </w:r>
      <w:r w:rsidR="00722610">
        <w:rPr>
          <w:lang w:val="es-ES_tradnl"/>
        </w:rPr>
        <w:t>artículo </w:t>
      </w:r>
      <w:r w:rsidRPr="00FA40F2">
        <w:rPr>
          <w:lang w:val="es-ES_tradnl"/>
        </w:rPr>
        <w:t xml:space="preserve">18, párrafo 2, se establece que si los malos tratos se cometieron en circunstancias que revelan que la conducta del autor es especialmente reprensible o perversa, este será castigado con una pena de prisión de dos a ocho años. </w:t>
      </w:r>
    </w:p>
    <w:p w14:paraId="49AB5037" w14:textId="77777777" w:rsidR="00FA40F2" w:rsidRPr="00FA40F2" w:rsidRDefault="00FA40F2" w:rsidP="00FA40F2">
      <w:pPr>
        <w:pStyle w:val="SingleTxtG"/>
        <w:rPr>
          <w:lang w:val="es-ES_tradnl"/>
        </w:rPr>
      </w:pPr>
      <w:r w:rsidRPr="00FA40F2">
        <w:rPr>
          <w:lang w:val="es-ES_tradnl"/>
        </w:rPr>
        <w:t>121.</w:t>
      </w:r>
      <w:r w:rsidRPr="00FA40F2">
        <w:rPr>
          <w:lang w:val="es-ES_tradnl"/>
        </w:rPr>
        <w:tab/>
        <w:t xml:space="preserve">Entre las circunstancias que se consideran reveladoras de un comportamiento especialmente reprensible o perverso del autor figuran las siguientes: i) que la víctima sea menor de 14 años, tenga discapacidad o sea particularmente vulnerable por razón de su edad, embarazo, enfermedad o discapacidad física o mental; </w:t>
      </w:r>
      <w:proofErr w:type="spellStart"/>
      <w:r w:rsidRPr="00FA40F2">
        <w:rPr>
          <w:lang w:val="es-ES_tradnl"/>
        </w:rPr>
        <w:t>ii</w:t>
      </w:r>
      <w:proofErr w:type="spellEnd"/>
      <w:r w:rsidRPr="00FA40F2">
        <w:rPr>
          <w:lang w:val="es-ES_tradnl"/>
        </w:rPr>
        <w:t xml:space="preserve">) que el acto se haya producido en presencia de un menor de 14 años, o </w:t>
      </w:r>
      <w:proofErr w:type="spellStart"/>
      <w:r w:rsidRPr="00FA40F2">
        <w:rPr>
          <w:lang w:val="es-ES_tradnl"/>
        </w:rPr>
        <w:t>iii</w:t>
      </w:r>
      <w:proofErr w:type="spellEnd"/>
      <w:r w:rsidRPr="00FA40F2">
        <w:rPr>
          <w:lang w:val="es-ES_tradnl"/>
        </w:rPr>
        <w:t xml:space="preserve">) las circunstancias previstas en el </w:t>
      </w:r>
      <w:r w:rsidR="00722610">
        <w:rPr>
          <w:lang w:val="es-ES_tradnl"/>
        </w:rPr>
        <w:t>artículo </w:t>
      </w:r>
      <w:r w:rsidRPr="00FA40F2">
        <w:rPr>
          <w:lang w:val="es-ES_tradnl"/>
        </w:rPr>
        <w:t xml:space="preserve">129, párrafo 2, apartados b), c), f) y g) del Código Penal de Macao, en relación con los delitos de homicidio agravado. También pueden imponerse penas más severas en caso de delitos graves contra la integridad física o si se produce la muerte de la víctima. </w:t>
      </w:r>
    </w:p>
    <w:p w14:paraId="4C3132C2" w14:textId="77777777" w:rsidR="00FA40F2" w:rsidRPr="00FA40F2" w:rsidRDefault="00FA40F2" w:rsidP="00FA40F2">
      <w:pPr>
        <w:pStyle w:val="SingleTxtG"/>
        <w:rPr>
          <w:lang w:val="es-ES_tradnl"/>
        </w:rPr>
      </w:pPr>
      <w:r w:rsidRPr="00FA40F2">
        <w:rPr>
          <w:lang w:val="es-ES_tradnl"/>
        </w:rPr>
        <w:t>122.</w:t>
      </w:r>
      <w:r w:rsidRPr="00FA40F2">
        <w:rPr>
          <w:lang w:val="es-ES_tradnl"/>
        </w:rPr>
        <w:tab/>
        <w:t>Podrán imponerse penas accesorias, de forma individual o acumulativa, durante un período de seis meses a cinco años para evitar la reincidencia en la violencia doméstica (</w:t>
      </w:r>
      <w:r w:rsidR="00722610">
        <w:rPr>
          <w:lang w:val="es-ES_tradnl"/>
        </w:rPr>
        <w:t>artículo </w:t>
      </w:r>
      <w:r w:rsidRPr="00FA40F2">
        <w:rPr>
          <w:lang w:val="es-ES_tradnl"/>
        </w:rPr>
        <w:t>19), y aplicarse medidas coercitivas urgentes, si hay indicios claros de la comisión del delito, entre ellas, el desalojo del acusado de su domicilio, si cohabita con la víctima; la prohibición de que permanezca en zonas determinadas, en particular las cercanas al domicilio de la víctima o de los familiares que convivan con ella, a su lugar de trabajo o al centro educativo al que asistan; la prohibición de acompañar, alojar o recibir a determinadas personas; la prohibición de poseer armas, objetos o instrumentos que puedan ser utilizados para facilitar la comisión de nuevos delitos de violencia doméstica (</w:t>
      </w:r>
      <w:r w:rsidR="00722610">
        <w:rPr>
          <w:lang w:val="es-ES_tradnl"/>
        </w:rPr>
        <w:t>artículo </w:t>
      </w:r>
      <w:r w:rsidRPr="00FA40F2">
        <w:rPr>
          <w:lang w:val="es-ES_tradnl"/>
        </w:rPr>
        <w:t>25, párrafo 1).</w:t>
      </w:r>
    </w:p>
    <w:p w14:paraId="16752215" w14:textId="77777777" w:rsidR="00FA40F2" w:rsidRPr="00FA40F2" w:rsidRDefault="0078739B" w:rsidP="0078739B">
      <w:pPr>
        <w:pStyle w:val="H23G"/>
        <w:rPr>
          <w:lang w:val="es-ES_tradnl"/>
        </w:rPr>
      </w:pPr>
      <w:r>
        <w:rPr>
          <w:lang w:val="es-ES_tradnl"/>
        </w:rPr>
        <w:lastRenderedPageBreak/>
        <w:tab/>
      </w:r>
      <w:r w:rsidR="00FA40F2" w:rsidRPr="00FA40F2">
        <w:rPr>
          <w:lang w:val="es-ES_tradnl"/>
        </w:rPr>
        <w:tab/>
        <w:t>Casos de violencia doméstica atendidos por la policía</w:t>
      </w:r>
    </w:p>
    <w:tbl>
      <w:tblPr>
        <w:tblStyle w:val="Tablaconcuadrcula"/>
        <w:tblW w:w="7370" w:type="dxa"/>
        <w:tblInd w:w="1134" w:type="dxa"/>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992"/>
        <w:gridCol w:w="992"/>
        <w:gridCol w:w="993"/>
        <w:gridCol w:w="1134"/>
        <w:gridCol w:w="992"/>
        <w:gridCol w:w="849"/>
      </w:tblGrid>
      <w:tr w:rsidR="00355413" w:rsidRPr="00355413" w14:paraId="7D8B0DF9" w14:textId="77777777" w:rsidTr="00562673">
        <w:trPr>
          <w:cantSplit/>
          <w:trHeight w:val="240"/>
          <w:tblHeader/>
        </w:trPr>
        <w:tc>
          <w:tcPr>
            <w:tcW w:w="1418" w:type="dxa"/>
            <w:tcBorders>
              <w:top w:val="single" w:sz="4" w:space="0" w:color="auto"/>
              <w:bottom w:val="single" w:sz="12" w:space="0" w:color="FFFFFF" w:themeColor="background1"/>
            </w:tcBorders>
            <w:shd w:val="clear" w:color="auto" w:fill="auto"/>
            <w:vAlign w:val="bottom"/>
          </w:tcPr>
          <w:p w14:paraId="26A93ECC" w14:textId="77777777" w:rsidR="00FA40F2" w:rsidRPr="00FA40F2" w:rsidRDefault="00FA40F2" w:rsidP="00355413">
            <w:pPr>
              <w:pStyle w:val="SingleTxtG"/>
              <w:spacing w:before="80" w:after="80" w:line="200" w:lineRule="exact"/>
              <w:ind w:left="0" w:right="0"/>
              <w:jc w:val="left"/>
              <w:rPr>
                <w:i/>
                <w:sz w:val="16"/>
                <w:lang w:val="es-ES_tradnl"/>
              </w:rPr>
            </w:pPr>
          </w:p>
        </w:tc>
        <w:tc>
          <w:tcPr>
            <w:tcW w:w="992" w:type="dxa"/>
            <w:tcBorders>
              <w:top w:val="single" w:sz="4" w:space="0" w:color="auto"/>
              <w:bottom w:val="single" w:sz="12" w:space="0" w:color="FFFFFF" w:themeColor="background1"/>
            </w:tcBorders>
            <w:shd w:val="clear" w:color="auto" w:fill="auto"/>
            <w:vAlign w:val="bottom"/>
          </w:tcPr>
          <w:p w14:paraId="45DAD04E" w14:textId="77777777" w:rsidR="00FA40F2" w:rsidRPr="00FA40F2" w:rsidRDefault="00FA40F2" w:rsidP="00355413">
            <w:pPr>
              <w:pStyle w:val="SingleTxtG"/>
              <w:spacing w:before="80" w:after="80" w:line="200" w:lineRule="exact"/>
              <w:ind w:left="113" w:right="0"/>
              <w:jc w:val="right"/>
              <w:rPr>
                <w:i/>
                <w:sz w:val="16"/>
                <w:lang w:val="es-ES_tradnl"/>
              </w:rPr>
            </w:pPr>
          </w:p>
        </w:tc>
        <w:tc>
          <w:tcPr>
            <w:tcW w:w="992" w:type="dxa"/>
            <w:tcBorders>
              <w:top w:val="single" w:sz="4" w:space="0" w:color="auto"/>
              <w:bottom w:val="single" w:sz="12" w:space="0" w:color="FFFFFF" w:themeColor="background1"/>
            </w:tcBorders>
            <w:shd w:val="clear" w:color="auto" w:fill="auto"/>
            <w:vAlign w:val="bottom"/>
          </w:tcPr>
          <w:p w14:paraId="76762303" w14:textId="77777777" w:rsidR="00FA40F2" w:rsidRPr="00FA40F2" w:rsidRDefault="00FA40F2" w:rsidP="00355413">
            <w:pPr>
              <w:pStyle w:val="SingleTxtG"/>
              <w:spacing w:before="80" w:after="80" w:line="200" w:lineRule="exact"/>
              <w:ind w:left="113" w:right="0"/>
              <w:jc w:val="right"/>
              <w:rPr>
                <w:i/>
                <w:sz w:val="16"/>
                <w:lang w:val="es-ES_tradnl"/>
              </w:rPr>
            </w:pPr>
          </w:p>
        </w:tc>
        <w:tc>
          <w:tcPr>
            <w:tcW w:w="2127" w:type="dxa"/>
            <w:gridSpan w:val="2"/>
            <w:tcBorders>
              <w:top w:val="single" w:sz="4" w:space="0" w:color="auto"/>
              <w:bottom w:val="single" w:sz="4" w:space="0" w:color="auto"/>
            </w:tcBorders>
            <w:shd w:val="clear" w:color="auto" w:fill="auto"/>
            <w:vAlign w:val="bottom"/>
          </w:tcPr>
          <w:p w14:paraId="2D2A32C3" w14:textId="77777777" w:rsidR="00FA40F2" w:rsidRPr="00FA40F2" w:rsidRDefault="00FA40F2" w:rsidP="00355413">
            <w:pPr>
              <w:pStyle w:val="SingleTxtG"/>
              <w:spacing w:before="80" w:after="80" w:line="200" w:lineRule="exact"/>
              <w:ind w:left="113" w:right="0"/>
              <w:jc w:val="center"/>
              <w:rPr>
                <w:i/>
                <w:sz w:val="16"/>
                <w:lang w:val="es-ES_tradnl"/>
              </w:rPr>
            </w:pPr>
            <w:r w:rsidRPr="00FA40F2">
              <w:rPr>
                <w:i/>
                <w:iCs/>
                <w:sz w:val="16"/>
                <w:lang w:val="es-ES_tradnl"/>
              </w:rPr>
              <w:t>2016</w:t>
            </w:r>
          </w:p>
        </w:tc>
        <w:tc>
          <w:tcPr>
            <w:tcW w:w="992" w:type="dxa"/>
            <w:tcBorders>
              <w:top w:val="single" w:sz="4" w:space="0" w:color="auto"/>
              <w:bottom w:val="single" w:sz="12" w:space="0" w:color="FFFFFF" w:themeColor="background1"/>
            </w:tcBorders>
            <w:shd w:val="clear" w:color="auto" w:fill="auto"/>
            <w:vAlign w:val="bottom"/>
          </w:tcPr>
          <w:p w14:paraId="46EA224E" w14:textId="77777777" w:rsidR="00FA40F2" w:rsidRPr="00FA40F2" w:rsidRDefault="00FA40F2" w:rsidP="00355413">
            <w:pPr>
              <w:pStyle w:val="SingleTxtG"/>
              <w:spacing w:before="80" w:after="80" w:line="200" w:lineRule="exact"/>
              <w:ind w:left="113" w:right="0"/>
              <w:jc w:val="right"/>
              <w:rPr>
                <w:i/>
                <w:sz w:val="16"/>
                <w:lang w:val="es-ES_tradnl"/>
              </w:rPr>
            </w:pPr>
          </w:p>
        </w:tc>
        <w:tc>
          <w:tcPr>
            <w:tcW w:w="849" w:type="dxa"/>
            <w:tcBorders>
              <w:top w:val="single" w:sz="4" w:space="0" w:color="auto"/>
              <w:bottom w:val="single" w:sz="12" w:space="0" w:color="FFFFFF" w:themeColor="background1"/>
            </w:tcBorders>
            <w:shd w:val="clear" w:color="auto" w:fill="auto"/>
            <w:vAlign w:val="bottom"/>
          </w:tcPr>
          <w:p w14:paraId="1F32DE68" w14:textId="77777777" w:rsidR="00FA40F2" w:rsidRPr="00FA40F2" w:rsidRDefault="00FA40F2" w:rsidP="00355413">
            <w:pPr>
              <w:pStyle w:val="SingleTxtG"/>
              <w:spacing w:before="80" w:after="80" w:line="200" w:lineRule="exact"/>
              <w:ind w:left="113" w:right="0"/>
              <w:jc w:val="right"/>
              <w:rPr>
                <w:i/>
                <w:sz w:val="16"/>
                <w:lang w:val="es-ES_tradnl"/>
              </w:rPr>
            </w:pPr>
          </w:p>
        </w:tc>
      </w:tr>
      <w:tr w:rsidR="00355413" w:rsidRPr="00FA40F2" w14:paraId="4D07D5E9" w14:textId="77777777" w:rsidTr="00562673">
        <w:trPr>
          <w:cantSplit/>
          <w:trHeight w:val="240"/>
          <w:tblHeader/>
        </w:trPr>
        <w:tc>
          <w:tcPr>
            <w:tcW w:w="1418" w:type="dxa"/>
            <w:tcBorders>
              <w:top w:val="single" w:sz="12" w:space="0" w:color="FFFFFF" w:themeColor="background1"/>
              <w:bottom w:val="single" w:sz="12" w:space="0" w:color="auto"/>
            </w:tcBorders>
            <w:shd w:val="clear" w:color="auto" w:fill="auto"/>
            <w:vAlign w:val="bottom"/>
          </w:tcPr>
          <w:p w14:paraId="5AA413A0" w14:textId="77777777" w:rsidR="00FA40F2" w:rsidRPr="00FA40F2" w:rsidRDefault="00FA40F2" w:rsidP="00355413">
            <w:pPr>
              <w:pStyle w:val="SingleTxtG"/>
              <w:spacing w:before="80" w:after="80" w:line="200" w:lineRule="exact"/>
              <w:ind w:left="0" w:right="113"/>
              <w:jc w:val="left"/>
              <w:rPr>
                <w:i/>
                <w:iCs/>
                <w:sz w:val="16"/>
                <w:lang w:val="es-ES_tradnl"/>
              </w:rPr>
            </w:pPr>
            <w:r w:rsidRPr="00FA40F2">
              <w:rPr>
                <w:i/>
                <w:iCs/>
                <w:sz w:val="16"/>
                <w:lang w:val="es-ES_tradnl"/>
              </w:rPr>
              <w:t>Tipo/Año</w:t>
            </w:r>
          </w:p>
        </w:tc>
        <w:tc>
          <w:tcPr>
            <w:tcW w:w="992" w:type="dxa"/>
            <w:tcBorders>
              <w:top w:val="single" w:sz="12" w:space="0" w:color="FFFFFF" w:themeColor="background1"/>
              <w:bottom w:val="single" w:sz="12" w:space="0" w:color="auto"/>
            </w:tcBorders>
            <w:shd w:val="clear" w:color="auto" w:fill="auto"/>
            <w:vAlign w:val="bottom"/>
          </w:tcPr>
          <w:p w14:paraId="6391B8DD" w14:textId="77777777" w:rsidR="00FA40F2" w:rsidRPr="00FA40F2" w:rsidRDefault="00FA40F2" w:rsidP="006D543E">
            <w:pPr>
              <w:pStyle w:val="SingleTxtG"/>
              <w:spacing w:before="80" w:after="80" w:line="200" w:lineRule="exact"/>
              <w:ind w:left="113" w:right="11"/>
              <w:jc w:val="right"/>
              <w:rPr>
                <w:i/>
                <w:iCs/>
                <w:sz w:val="16"/>
                <w:lang w:val="es-ES_tradnl"/>
              </w:rPr>
            </w:pPr>
            <w:r w:rsidRPr="00FA40F2">
              <w:rPr>
                <w:i/>
                <w:iCs/>
                <w:sz w:val="16"/>
                <w:lang w:val="es-ES_tradnl"/>
              </w:rPr>
              <w:t>2014</w:t>
            </w:r>
          </w:p>
        </w:tc>
        <w:tc>
          <w:tcPr>
            <w:tcW w:w="992" w:type="dxa"/>
            <w:tcBorders>
              <w:top w:val="single" w:sz="12" w:space="0" w:color="FFFFFF" w:themeColor="background1"/>
              <w:bottom w:val="single" w:sz="12" w:space="0" w:color="auto"/>
            </w:tcBorders>
            <w:shd w:val="clear" w:color="auto" w:fill="auto"/>
            <w:vAlign w:val="bottom"/>
          </w:tcPr>
          <w:p w14:paraId="686DEB05" w14:textId="77777777" w:rsidR="00FA40F2" w:rsidRPr="00FA40F2" w:rsidRDefault="00FA40F2" w:rsidP="006D543E">
            <w:pPr>
              <w:pStyle w:val="SingleTxtG"/>
              <w:spacing w:before="80" w:after="80" w:line="200" w:lineRule="exact"/>
              <w:ind w:left="113" w:right="11"/>
              <w:jc w:val="right"/>
              <w:rPr>
                <w:i/>
                <w:iCs/>
                <w:sz w:val="16"/>
                <w:lang w:val="es-ES_tradnl"/>
              </w:rPr>
            </w:pPr>
            <w:r w:rsidRPr="00FA40F2">
              <w:rPr>
                <w:i/>
                <w:iCs/>
                <w:sz w:val="16"/>
                <w:lang w:val="es-ES_tradnl"/>
              </w:rPr>
              <w:t>2015</w:t>
            </w:r>
          </w:p>
        </w:tc>
        <w:tc>
          <w:tcPr>
            <w:tcW w:w="993" w:type="dxa"/>
            <w:tcBorders>
              <w:top w:val="single" w:sz="4" w:space="0" w:color="auto"/>
              <w:bottom w:val="single" w:sz="12" w:space="0" w:color="auto"/>
            </w:tcBorders>
            <w:shd w:val="clear" w:color="auto" w:fill="auto"/>
            <w:vAlign w:val="bottom"/>
          </w:tcPr>
          <w:p w14:paraId="5BDE1EDE" w14:textId="77777777" w:rsidR="00FA40F2" w:rsidRPr="00FA40F2" w:rsidRDefault="009E75BB" w:rsidP="006D543E">
            <w:pPr>
              <w:pStyle w:val="SingleTxtG"/>
              <w:spacing w:before="80" w:after="80" w:line="200" w:lineRule="exact"/>
              <w:ind w:left="113" w:right="11"/>
              <w:jc w:val="right"/>
              <w:rPr>
                <w:i/>
                <w:iCs/>
                <w:sz w:val="16"/>
                <w:lang w:val="es-ES_tradnl"/>
              </w:rPr>
            </w:pPr>
            <w:r>
              <w:rPr>
                <w:i/>
                <w:iCs/>
                <w:sz w:val="16"/>
                <w:lang w:val="es-ES_tradnl"/>
              </w:rPr>
              <w:t>De e</w:t>
            </w:r>
            <w:r w:rsidR="00FA40F2" w:rsidRPr="00FA40F2">
              <w:rPr>
                <w:i/>
                <w:iCs/>
                <w:sz w:val="16"/>
                <w:lang w:val="es-ES_tradnl"/>
              </w:rPr>
              <w:t>ne</w:t>
            </w:r>
            <w:r w:rsidR="006D543E">
              <w:rPr>
                <w:i/>
                <w:iCs/>
                <w:sz w:val="16"/>
                <w:lang w:val="es-ES_tradnl"/>
              </w:rPr>
              <w:t>ro</w:t>
            </w:r>
            <w:r>
              <w:rPr>
                <w:i/>
                <w:iCs/>
                <w:sz w:val="16"/>
                <w:lang w:val="es-ES_tradnl"/>
              </w:rPr>
              <w:t xml:space="preserve"> a s</w:t>
            </w:r>
            <w:r w:rsidR="00FA40F2" w:rsidRPr="00FA40F2">
              <w:rPr>
                <w:i/>
                <w:iCs/>
                <w:sz w:val="16"/>
                <w:lang w:val="es-ES_tradnl"/>
              </w:rPr>
              <w:t>ep</w:t>
            </w:r>
            <w:r w:rsidR="006D543E">
              <w:rPr>
                <w:i/>
                <w:iCs/>
                <w:sz w:val="16"/>
                <w:lang w:val="es-ES_tradnl"/>
              </w:rPr>
              <w:t>tiembre</w:t>
            </w:r>
          </w:p>
        </w:tc>
        <w:tc>
          <w:tcPr>
            <w:tcW w:w="1134" w:type="dxa"/>
            <w:tcBorders>
              <w:top w:val="single" w:sz="4" w:space="0" w:color="auto"/>
              <w:bottom w:val="single" w:sz="12" w:space="0" w:color="auto"/>
            </w:tcBorders>
            <w:shd w:val="clear" w:color="auto" w:fill="auto"/>
            <w:vAlign w:val="bottom"/>
          </w:tcPr>
          <w:p w14:paraId="735314BE" w14:textId="77777777" w:rsidR="00FA40F2" w:rsidRPr="00FA40F2" w:rsidRDefault="009E75BB" w:rsidP="006D543E">
            <w:pPr>
              <w:pStyle w:val="SingleTxtG"/>
              <w:spacing w:before="80" w:after="80" w:line="200" w:lineRule="exact"/>
              <w:ind w:left="113" w:right="11"/>
              <w:jc w:val="right"/>
              <w:rPr>
                <w:i/>
                <w:iCs/>
                <w:sz w:val="16"/>
                <w:lang w:val="es-ES_tradnl"/>
              </w:rPr>
            </w:pPr>
            <w:r>
              <w:rPr>
                <w:i/>
                <w:iCs/>
                <w:sz w:val="16"/>
                <w:lang w:val="es-ES_tradnl"/>
              </w:rPr>
              <w:t>De o</w:t>
            </w:r>
            <w:r w:rsidR="00FA40F2" w:rsidRPr="00FA40F2">
              <w:rPr>
                <w:i/>
                <w:iCs/>
                <w:sz w:val="16"/>
                <w:lang w:val="es-ES_tradnl"/>
              </w:rPr>
              <w:t>ct</w:t>
            </w:r>
            <w:r w:rsidR="006D543E">
              <w:rPr>
                <w:i/>
                <w:iCs/>
                <w:sz w:val="16"/>
                <w:lang w:val="es-ES_tradnl"/>
              </w:rPr>
              <w:t>ubre</w:t>
            </w:r>
            <w:r>
              <w:rPr>
                <w:i/>
                <w:iCs/>
                <w:sz w:val="16"/>
                <w:lang w:val="es-ES_tradnl"/>
              </w:rPr>
              <w:t xml:space="preserve"> a d</w:t>
            </w:r>
            <w:r w:rsidR="00FA40F2" w:rsidRPr="00FA40F2">
              <w:rPr>
                <w:i/>
                <w:iCs/>
                <w:sz w:val="16"/>
                <w:lang w:val="es-ES_tradnl"/>
              </w:rPr>
              <w:t>ic</w:t>
            </w:r>
            <w:r w:rsidR="006D543E">
              <w:rPr>
                <w:i/>
                <w:iCs/>
                <w:sz w:val="16"/>
                <w:lang w:val="es-ES_tradnl"/>
              </w:rPr>
              <w:t>iembre</w:t>
            </w:r>
            <w:r w:rsidR="00FA40F2" w:rsidRPr="00FA40F2">
              <w:rPr>
                <w:i/>
                <w:iCs/>
                <w:sz w:val="16"/>
                <w:lang w:val="es-ES_tradnl"/>
              </w:rPr>
              <w:t>*</w:t>
            </w:r>
          </w:p>
        </w:tc>
        <w:tc>
          <w:tcPr>
            <w:tcW w:w="992" w:type="dxa"/>
            <w:tcBorders>
              <w:top w:val="single" w:sz="12" w:space="0" w:color="FFFFFF" w:themeColor="background1"/>
              <w:bottom w:val="single" w:sz="12" w:space="0" w:color="auto"/>
            </w:tcBorders>
            <w:shd w:val="clear" w:color="auto" w:fill="auto"/>
            <w:vAlign w:val="bottom"/>
          </w:tcPr>
          <w:p w14:paraId="554FC504" w14:textId="77777777" w:rsidR="00FA40F2" w:rsidRPr="00FA40F2" w:rsidRDefault="00FA40F2" w:rsidP="006D543E">
            <w:pPr>
              <w:pStyle w:val="SingleTxtG"/>
              <w:spacing w:before="80" w:after="80" w:line="200" w:lineRule="exact"/>
              <w:ind w:left="113" w:right="11"/>
              <w:jc w:val="right"/>
              <w:rPr>
                <w:i/>
                <w:iCs/>
                <w:sz w:val="16"/>
                <w:lang w:val="es-ES_tradnl"/>
              </w:rPr>
            </w:pPr>
            <w:r w:rsidRPr="00FA40F2">
              <w:rPr>
                <w:i/>
                <w:iCs/>
                <w:sz w:val="16"/>
                <w:lang w:val="es-ES_tradnl"/>
              </w:rPr>
              <w:t>2017*</w:t>
            </w:r>
          </w:p>
        </w:tc>
        <w:tc>
          <w:tcPr>
            <w:tcW w:w="849" w:type="dxa"/>
            <w:tcBorders>
              <w:top w:val="single" w:sz="12" w:space="0" w:color="FFFFFF" w:themeColor="background1"/>
              <w:bottom w:val="single" w:sz="12" w:space="0" w:color="auto"/>
            </w:tcBorders>
            <w:shd w:val="clear" w:color="auto" w:fill="auto"/>
            <w:vAlign w:val="bottom"/>
          </w:tcPr>
          <w:p w14:paraId="70461E5D" w14:textId="77777777" w:rsidR="00FA40F2" w:rsidRPr="00FA40F2" w:rsidRDefault="00B30E6D" w:rsidP="006D543E">
            <w:pPr>
              <w:pStyle w:val="SingleTxtG"/>
              <w:spacing w:before="80" w:after="80" w:line="200" w:lineRule="exact"/>
              <w:ind w:left="113" w:right="11"/>
              <w:jc w:val="right"/>
              <w:rPr>
                <w:i/>
                <w:iCs/>
                <w:sz w:val="16"/>
                <w:lang w:val="es-ES_tradnl"/>
              </w:rPr>
            </w:pPr>
            <w:r>
              <w:rPr>
                <w:i/>
                <w:iCs/>
                <w:sz w:val="16"/>
                <w:lang w:val="es-ES_tradnl"/>
              </w:rPr>
              <w:t>Septiembre de </w:t>
            </w:r>
            <w:r w:rsidR="00FA40F2" w:rsidRPr="00FA40F2">
              <w:rPr>
                <w:i/>
                <w:iCs/>
                <w:sz w:val="16"/>
                <w:lang w:val="es-ES_tradnl"/>
              </w:rPr>
              <w:t>2018</w:t>
            </w:r>
          </w:p>
        </w:tc>
      </w:tr>
      <w:tr w:rsidR="00355413" w:rsidRPr="00FA40F2" w14:paraId="023D44AA" w14:textId="77777777" w:rsidTr="00562673">
        <w:trPr>
          <w:cantSplit/>
          <w:trHeight w:val="240"/>
        </w:trPr>
        <w:tc>
          <w:tcPr>
            <w:tcW w:w="1418" w:type="dxa"/>
            <w:tcBorders>
              <w:top w:val="single" w:sz="12" w:space="0" w:color="auto"/>
            </w:tcBorders>
            <w:shd w:val="clear" w:color="auto" w:fill="auto"/>
          </w:tcPr>
          <w:p w14:paraId="40A63CDD"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Número de casos</w:t>
            </w:r>
          </w:p>
        </w:tc>
        <w:tc>
          <w:tcPr>
            <w:tcW w:w="992" w:type="dxa"/>
            <w:tcBorders>
              <w:top w:val="single" w:sz="12" w:space="0" w:color="auto"/>
            </w:tcBorders>
            <w:shd w:val="clear" w:color="auto" w:fill="auto"/>
            <w:vAlign w:val="bottom"/>
          </w:tcPr>
          <w:p w14:paraId="4479AF5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353</w:t>
            </w:r>
          </w:p>
        </w:tc>
        <w:tc>
          <w:tcPr>
            <w:tcW w:w="992" w:type="dxa"/>
            <w:tcBorders>
              <w:top w:val="single" w:sz="12" w:space="0" w:color="auto"/>
            </w:tcBorders>
            <w:shd w:val="clear" w:color="auto" w:fill="auto"/>
            <w:vAlign w:val="bottom"/>
          </w:tcPr>
          <w:p w14:paraId="0B49952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273</w:t>
            </w:r>
          </w:p>
        </w:tc>
        <w:tc>
          <w:tcPr>
            <w:tcW w:w="993" w:type="dxa"/>
            <w:tcBorders>
              <w:top w:val="single" w:sz="12" w:space="0" w:color="auto"/>
            </w:tcBorders>
            <w:shd w:val="clear" w:color="auto" w:fill="auto"/>
            <w:vAlign w:val="bottom"/>
          </w:tcPr>
          <w:p w14:paraId="20EA964A"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383</w:t>
            </w:r>
          </w:p>
        </w:tc>
        <w:tc>
          <w:tcPr>
            <w:tcW w:w="1134" w:type="dxa"/>
            <w:tcBorders>
              <w:top w:val="single" w:sz="12" w:space="0" w:color="auto"/>
            </w:tcBorders>
            <w:shd w:val="clear" w:color="auto" w:fill="auto"/>
            <w:vAlign w:val="bottom"/>
          </w:tcPr>
          <w:p w14:paraId="6294480F"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9</w:t>
            </w:r>
          </w:p>
        </w:tc>
        <w:tc>
          <w:tcPr>
            <w:tcW w:w="992" w:type="dxa"/>
            <w:tcBorders>
              <w:top w:val="single" w:sz="12" w:space="0" w:color="auto"/>
            </w:tcBorders>
            <w:shd w:val="clear" w:color="auto" w:fill="auto"/>
            <w:vAlign w:val="bottom"/>
          </w:tcPr>
          <w:p w14:paraId="6D9D439C"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10</w:t>
            </w:r>
          </w:p>
        </w:tc>
        <w:tc>
          <w:tcPr>
            <w:tcW w:w="849" w:type="dxa"/>
            <w:tcBorders>
              <w:top w:val="single" w:sz="12" w:space="0" w:color="auto"/>
            </w:tcBorders>
            <w:shd w:val="clear" w:color="auto" w:fill="auto"/>
            <w:vAlign w:val="bottom"/>
          </w:tcPr>
          <w:p w14:paraId="4537A18C"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r>
      <w:tr w:rsidR="00355413" w:rsidRPr="00FA40F2" w14:paraId="0E036A17" w14:textId="77777777" w:rsidTr="00562673">
        <w:trPr>
          <w:cantSplit/>
          <w:trHeight w:val="240"/>
        </w:trPr>
        <w:tc>
          <w:tcPr>
            <w:tcW w:w="1418" w:type="dxa"/>
            <w:shd w:val="clear" w:color="auto" w:fill="auto"/>
          </w:tcPr>
          <w:p w14:paraId="037FE835"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Violencia contra el cónyuge (número de casos)</w:t>
            </w:r>
          </w:p>
        </w:tc>
        <w:tc>
          <w:tcPr>
            <w:tcW w:w="992" w:type="dxa"/>
            <w:shd w:val="clear" w:color="auto" w:fill="auto"/>
            <w:vAlign w:val="bottom"/>
          </w:tcPr>
          <w:p w14:paraId="5CFBE07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241</w:t>
            </w:r>
          </w:p>
        </w:tc>
        <w:tc>
          <w:tcPr>
            <w:tcW w:w="992" w:type="dxa"/>
            <w:shd w:val="clear" w:color="auto" w:fill="auto"/>
            <w:vAlign w:val="bottom"/>
          </w:tcPr>
          <w:p w14:paraId="45DE3FCF"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207</w:t>
            </w:r>
          </w:p>
        </w:tc>
        <w:tc>
          <w:tcPr>
            <w:tcW w:w="993" w:type="dxa"/>
            <w:shd w:val="clear" w:color="auto" w:fill="auto"/>
            <w:vAlign w:val="bottom"/>
          </w:tcPr>
          <w:p w14:paraId="7A42C0E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275</w:t>
            </w:r>
          </w:p>
        </w:tc>
        <w:tc>
          <w:tcPr>
            <w:tcW w:w="1134" w:type="dxa"/>
            <w:shd w:val="clear" w:color="auto" w:fill="auto"/>
            <w:vAlign w:val="bottom"/>
          </w:tcPr>
          <w:p w14:paraId="6DEFAD3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992" w:type="dxa"/>
            <w:shd w:val="clear" w:color="auto" w:fill="auto"/>
            <w:vAlign w:val="bottom"/>
          </w:tcPr>
          <w:p w14:paraId="1ED6147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849" w:type="dxa"/>
            <w:shd w:val="clear" w:color="auto" w:fill="auto"/>
            <w:vAlign w:val="bottom"/>
          </w:tcPr>
          <w:p w14:paraId="15DB02B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r>
      <w:tr w:rsidR="00355413" w:rsidRPr="00FA40F2" w14:paraId="606336B7" w14:textId="77777777" w:rsidTr="00562673">
        <w:trPr>
          <w:cantSplit/>
          <w:trHeight w:val="240"/>
        </w:trPr>
        <w:tc>
          <w:tcPr>
            <w:tcW w:w="1418" w:type="dxa"/>
            <w:shd w:val="clear" w:color="auto" w:fill="auto"/>
          </w:tcPr>
          <w:p w14:paraId="3409BEC3"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Víctimas de sexo femenino</w:t>
            </w:r>
          </w:p>
        </w:tc>
        <w:tc>
          <w:tcPr>
            <w:tcW w:w="992" w:type="dxa"/>
            <w:shd w:val="clear" w:color="auto" w:fill="auto"/>
            <w:vAlign w:val="bottom"/>
          </w:tcPr>
          <w:p w14:paraId="74E8007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229</w:t>
            </w:r>
          </w:p>
        </w:tc>
        <w:tc>
          <w:tcPr>
            <w:tcW w:w="992" w:type="dxa"/>
            <w:shd w:val="clear" w:color="auto" w:fill="auto"/>
            <w:vAlign w:val="bottom"/>
          </w:tcPr>
          <w:p w14:paraId="036726A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194</w:t>
            </w:r>
          </w:p>
        </w:tc>
        <w:tc>
          <w:tcPr>
            <w:tcW w:w="993" w:type="dxa"/>
            <w:shd w:val="clear" w:color="auto" w:fill="auto"/>
            <w:vAlign w:val="bottom"/>
          </w:tcPr>
          <w:p w14:paraId="2742C8E2"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239</w:t>
            </w:r>
          </w:p>
        </w:tc>
        <w:tc>
          <w:tcPr>
            <w:tcW w:w="1134" w:type="dxa"/>
            <w:shd w:val="clear" w:color="auto" w:fill="auto"/>
            <w:vAlign w:val="bottom"/>
          </w:tcPr>
          <w:p w14:paraId="4821556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992" w:type="dxa"/>
            <w:shd w:val="clear" w:color="auto" w:fill="auto"/>
            <w:vAlign w:val="bottom"/>
          </w:tcPr>
          <w:p w14:paraId="41D5247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849" w:type="dxa"/>
            <w:shd w:val="clear" w:color="auto" w:fill="auto"/>
            <w:vAlign w:val="bottom"/>
          </w:tcPr>
          <w:p w14:paraId="28E47B8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r>
      <w:tr w:rsidR="00355413" w:rsidRPr="00FA40F2" w14:paraId="6942CAA6" w14:textId="77777777" w:rsidTr="00562673">
        <w:trPr>
          <w:cantSplit/>
          <w:trHeight w:val="240"/>
        </w:trPr>
        <w:tc>
          <w:tcPr>
            <w:tcW w:w="1418" w:type="dxa"/>
            <w:shd w:val="clear" w:color="auto" w:fill="auto"/>
          </w:tcPr>
          <w:p w14:paraId="5936FA6C"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Víctimas de sexo masculino</w:t>
            </w:r>
          </w:p>
        </w:tc>
        <w:tc>
          <w:tcPr>
            <w:tcW w:w="992" w:type="dxa"/>
            <w:shd w:val="clear" w:color="auto" w:fill="auto"/>
            <w:vAlign w:val="bottom"/>
          </w:tcPr>
          <w:p w14:paraId="2D31E95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12</w:t>
            </w:r>
          </w:p>
        </w:tc>
        <w:tc>
          <w:tcPr>
            <w:tcW w:w="992" w:type="dxa"/>
            <w:shd w:val="clear" w:color="auto" w:fill="auto"/>
            <w:vAlign w:val="bottom"/>
          </w:tcPr>
          <w:p w14:paraId="6ED0610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13</w:t>
            </w:r>
          </w:p>
        </w:tc>
        <w:tc>
          <w:tcPr>
            <w:tcW w:w="993" w:type="dxa"/>
            <w:shd w:val="clear" w:color="auto" w:fill="auto"/>
            <w:vAlign w:val="bottom"/>
          </w:tcPr>
          <w:p w14:paraId="4B262D0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36</w:t>
            </w:r>
          </w:p>
        </w:tc>
        <w:tc>
          <w:tcPr>
            <w:tcW w:w="1134" w:type="dxa"/>
            <w:shd w:val="clear" w:color="auto" w:fill="auto"/>
            <w:vAlign w:val="bottom"/>
          </w:tcPr>
          <w:p w14:paraId="1299E193"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c>
          <w:tcPr>
            <w:tcW w:w="992" w:type="dxa"/>
            <w:shd w:val="clear" w:color="auto" w:fill="auto"/>
            <w:vAlign w:val="bottom"/>
          </w:tcPr>
          <w:p w14:paraId="346F863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c>
          <w:tcPr>
            <w:tcW w:w="849" w:type="dxa"/>
            <w:shd w:val="clear" w:color="auto" w:fill="auto"/>
            <w:vAlign w:val="bottom"/>
          </w:tcPr>
          <w:p w14:paraId="357BCBB6"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r w:rsidR="00355413" w:rsidRPr="00FA40F2" w14:paraId="710D714B" w14:textId="77777777" w:rsidTr="00562673">
        <w:trPr>
          <w:cantSplit/>
          <w:trHeight w:val="240"/>
        </w:trPr>
        <w:tc>
          <w:tcPr>
            <w:tcW w:w="1418" w:type="dxa"/>
            <w:shd w:val="clear" w:color="auto" w:fill="auto"/>
          </w:tcPr>
          <w:p w14:paraId="426531B9"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Malos tratos que afectan a otros miembros de la familia (número de casos)</w:t>
            </w:r>
          </w:p>
        </w:tc>
        <w:tc>
          <w:tcPr>
            <w:tcW w:w="992" w:type="dxa"/>
            <w:shd w:val="clear" w:color="auto" w:fill="auto"/>
            <w:vAlign w:val="bottom"/>
          </w:tcPr>
          <w:p w14:paraId="3F3163D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112</w:t>
            </w:r>
          </w:p>
        </w:tc>
        <w:tc>
          <w:tcPr>
            <w:tcW w:w="992" w:type="dxa"/>
            <w:shd w:val="clear" w:color="auto" w:fill="auto"/>
            <w:vAlign w:val="bottom"/>
          </w:tcPr>
          <w:p w14:paraId="64D1176F"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66</w:t>
            </w:r>
          </w:p>
        </w:tc>
        <w:tc>
          <w:tcPr>
            <w:tcW w:w="993" w:type="dxa"/>
            <w:shd w:val="clear" w:color="auto" w:fill="auto"/>
            <w:vAlign w:val="bottom"/>
          </w:tcPr>
          <w:p w14:paraId="447CEAB8"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108</w:t>
            </w:r>
          </w:p>
        </w:tc>
        <w:tc>
          <w:tcPr>
            <w:tcW w:w="1134" w:type="dxa"/>
            <w:shd w:val="clear" w:color="auto" w:fill="auto"/>
            <w:vAlign w:val="bottom"/>
          </w:tcPr>
          <w:p w14:paraId="0745762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992" w:type="dxa"/>
            <w:shd w:val="clear" w:color="auto" w:fill="auto"/>
            <w:vAlign w:val="bottom"/>
          </w:tcPr>
          <w:p w14:paraId="0ED3745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w:t>
            </w:r>
          </w:p>
        </w:tc>
        <w:tc>
          <w:tcPr>
            <w:tcW w:w="849" w:type="dxa"/>
            <w:shd w:val="clear" w:color="auto" w:fill="auto"/>
            <w:vAlign w:val="bottom"/>
          </w:tcPr>
          <w:p w14:paraId="61220457"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r w:rsidR="00355413" w:rsidRPr="00FA40F2" w14:paraId="4E1F6386" w14:textId="77777777" w:rsidTr="00562673">
        <w:trPr>
          <w:cantSplit/>
          <w:trHeight w:val="240"/>
        </w:trPr>
        <w:tc>
          <w:tcPr>
            <w:tcW w:w="1418" w:type="dxa"/>
            <w:tcBorders>
              <w:bottom w:val="nil"/>
            </w:tcBorders>
            <w:shd w:val="clear" w:color="auto" w:fill="auto"/>
          </w:tcPr>
          <w:p w14:paraId="2BC03578"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 xml:space="preserve">Víctimas </w:t>
            </w:r>
          </w:p>
        </w:tc>
        <w:tc>
          <w:tcPr>
            <w:tcW w:w="992" w:type="dxa"/>
            <w:tcBorders>
              <w:bottom w:val="nil"/>
            </w:tcBorders>
            <w:shd w:val="clear" w:color="auto" w:fill="auto"/>
            <w:vAlign w:val="bottom"/>
          </w:tcPr>
          <w:p w14:paraId="07D013BD"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90</w:t>
            </w:r>
          </w:p>
        </w:tc>
        <w:tc>
          <w:tcPr>
            <w:tcW w:w="992" w:type="dxa"/>
            <w:tcBorders>
              <w:bottom w:val="nil"/>
            </w:tcBorders>
            <w:shd w:val="clear" w:color="auto" w:fill="auto"/>
            <w:vAlign w:val="bottom"/>
          </w:tcPr>
          <w:p w14:paraId="5491F6A7"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50</w:t>
            </w:r>
          </w:p>
        </w:tc>
        <w:tc>
          <w:tcPr>
            <w:tcW w:w="993" w:type="dxa"/>
            <w:tcBorders>
              <w:bottom w:val="nil"/>
            </w:tcBorders>
            <w:shd w:val="clear" w:color="auto" w:fill="auto"/>
            <w:vAlign w:val="bottom"/>
          </w:tcPr>
          <w:p w14:paraId="7EB038F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74</w:t>
            </w:r>
          </w:p>
        </w:tc>
        <w:tc>
          <w:tcPr>
            <w:tcW w:w="1134" w:type="dxa"/>
            <w:tcBorders>
              <w:bottom w:val="nil"/>
            </w:tcBorders>
            <w:shd w:val="clear" w:color="auto" w:fill="auto"/>
            <w:vAlign w:val="bottom"/>
          </w:tcPr>
          <w:p w14:paraId="49861C78"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c>
          <w:tcPr>
            <w:tcW w:w="992" w:type="dxa"/>
            <w:tcBorders>
              <w:bottom w:val="nil"/>
            </w:tcBorders>
            <w:shd w:val="clear" w:color="auto" w:fill="auto"/>
            <w:vAlign w:val="bottom"/>
          </w:tcPr>
          <w:p w14:paraId="38FEFF0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849" w:type="dxa"/>
            <w:tcBorders>
              <w:bottom w:val="nil"/>
            </w:tcBorders>
            <w:shd w:val="clear" w:color="auto" w:fill="auto"/>
            <w:vAlign w:val="bottom"/>
          </w:tcPr>
          <w:p w14:paraId="298AD523"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r w:rsidR="00355413" w:rsidRPr="00FA40F2" w14:paraId="56851A9A" w14:textId="77777777" w:rsidTr="00562673">
        <w:trPr>
          <w:cantSplit/>
          <w:trHeight w:val="240"/>
        </w:trPr>
        <w:tc>
          <w:tcPr>
            <w:tcW w:w="1418" w:type="dxa"/>
            <w:tcBorders>
              <w:top w:val="nil"/>
              <w:bottom w:val="single" w:sz="12" w:space="0" w:color="auto"/>
            </w:tcBorders>
            <w:shd w:val="clear" w:color="auto" w:fill="auto"/>
          </w:tcPr>
          <w:p w14:paraId="2539F448"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Víctimas menores de 18</w:t>
            </w:r>
            <w:r w:rsidR="00E83A01">
              <w:rPr>
                <w:sz w:val="18"/>
                <w:lang w:val="es-ES_tradnl"/>
              </w:rPr>
              <w:t> </w:t>
            </w:r>
            <w:r w:rsidRPr="00FA40F2">
              <w:rPr>
                <w:sz w:val="18"/>
                <w:lang w:val="es-ES_tradnl"/>
              </w:rPr>
              <w:t xml:space="preserve">años </w:t>
            </w:r>
          </w:p>
        </w:tc>
        <w:tc>
          <w:tcPr>
            <w:tcW w:w="992" w:type="dxa"/>
            <w:tcBorders>
              <w:top w:val="nil"/>
              <w:bottom w:val="single" w:sz="12" w:space="0" w:color="auto"/>
            </w:tcBorders>
            <w:shd w:val="clear" w:color="auto" w:fill="auto"/>
            <w:vAlign w:val="bottom"/>
          </w:tcPr>
          <w:p w14:paraId="3B5D3783"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15</w:t>
            </w:r>
          </w:p>
        </w:tc>
        <w:tc>
          <w:tcPr>
            <w:tcW w:w="992" w:type="dxa"/>
            <w:tcBorders>
              <w:top w:val="nil"/>
              <w:bottom w:val="single" w:sz="12" w:space="0" w:color="auto"/>
            </w:tcBorders>
            <w:shd w:val="clear" w:color="auto" w:fill="auto"/>
            <w:vAlign w:val="bottom"/>
          </w:tcPr>
          <w:p w14:paraId="02276FC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993" w:type="dxa"/>
            <w:tcBorders>
              <w:top w:val="nil"/>
              <w:bottom w:val="single" w:sz="12" w:space="0" w:color="auto"/>
            </w:tcBorders>
            <w:shd w:val="clear" w:color="auto" w:fill="auto"/>
            <w:vAlign w:val="bottom"/>
          </w:tcPr>
          <w:p w14:paraId="3DF7572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28</w:t>
            </w:r>
          </w:p>
        </w:tc>
        <w:tc>
          <w:tcPr>
            <w:tcW w:w="1134" w:type="dxa"/>
            <w:tcBorders>
              <w:top w:val="nil"/>
              <w:bottom w:val="single" w:sz="12" w:space="0" w:color="auto"/>
            </w:tcBorders>
            <w:shd w:val="clear" w:color="auto" w:fill="auto"/>
            <w:vAlign w:val="bottom"/>
          </w:tcPr>
          <w:p w14:paraId="54D6EEF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992" w:type="dxa"/>
            <w:tcBorders>
              <w:top w:val="nil"/>
              <w:bottom w:val="single" w:sz="12" w:space="0" w:color="auto"/>
            </w:tcBorders>
            <w:shd w:val="clear" w:color="auto" w:fill="auto"/>
            <w:vAlign w:val="bottom"/>
          </w:tcPr>
          <w:p w14:paraId="549AB0B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849" w:type="dxa"/>
            <w:tcBorders>
              <w:top w:val="nil"/>
              <w:bottom w:val="single" w:sz="12" w:space="0" w:color="auto"/>
            </w:tcBorders>
            <w:shd w:val="clear" w:color="auto" w:fill="auto"/>
            <w:vAlign w:val="bottom"/>
          </w:tcPr>
          <w:p w14:paraId="4D79D8F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bl>
    <w:p w14:paraId="4B5A597D" w14:textId="77777777" w:rsidR="00FA40F2" w:rsidRPr="00FA40F2" w:rsidRDefault="00FA40F2" w:rsidP="00355413">
      <w:pPr>
        <w:pStyle w:val="SingleTxtG"/>
        <w:spacing w:before="120"/>
        <w:ind w:firstLine="170"/>
        <w:rPr>
          <w:sz w:val="18"/>
          <w:szCs w:val="18"/>
          <w:lang w:val="es-ES_tradnl"/>
        </w:rPr>
      </w:pPr>
      <w:r w:rsidRPr="00FA40F2">
        <w:rPr>
          <w:i/>
          <w:iCs/>
          <w:sz w:val="18"/>
          <w:szCs w:val="18"/>
          <w:lang w:val="es-ES_tradnl"/>
        </w:rPr>
        <w:t>Fuente</w:t>
      </w:r>
      <w:r w:rsidRPr="000125BE">
        <w:rPr>
          <w:i/>
          <w:iCs/>
          <w:sz w:val="18"/>
          <w:szCs w:val="18"/>
          <w:lang w:val="es-ES_tradnl"/>
        </w:rPr>
        <w:t>:</w:t>
      </w:r>
      <w:r w:rsidRPr="00FA40F2">
        <w:rPr>
          <w:sz w:val="18"/>
          <w:szCs w:val="18"/>
          <w:lang w:val="es-ES_tradnl"/>
        </w:rPr>
        <w:t xml:space="preserve"> Oficina de la Secretaría de Seguridad.</w:t>
      </w:r>
    </w:p>
    <w:p w14:paraId="6427FE8E" w14:textId="77777777" w:rsidR="00FA40F2" w:rsidRDefault="00FA40F2" w:rsidP="00355413">
      <w:pPr>
        <w:pStyle w:val="H23G"/>
        <w:rPr>
          <w:lang w:val="es-ES_tradnl"/>
        </w:rPr>
      </w:pPr>
      <w:r w:rsidRPr="00FA40F2">
        <w:rPr>
          <w:lang w:val="es-ES_tradnl"/>
        </w:rPr>
        <w:tab/>
      </w:r>
      <w:r w:rsidR="00355413">
        <w:rPr>
          <w:lang w:val="es-ES_tradnl"/>
        </w:rPr>
        <w:tab/>
      </w:r>
      <w:r w:rsidRPr="00FA40F2">
        <w:rPr>
          <w:lang w:val="es-ES_tradnl"/>
        </w:rPr>
        <w:t>Casos investigados por la policía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92"/>
        <w:gridCol w:w="1134"/>
        <w:gridCol w:w="1276"/>
        <w:gridCol w:w="992"/>
        <w:gridCol w:w="1133"/>
      </w:tblGrid>
      <w:tr w:rsidR="00E83A01" w:rsidRPr="00E83A01" w14:paraId="0217A5E7" w14:textId="77777777" w:rsidTr="00B30E6D">
        <w:tc>
          <w:tcPr>
            <w:tcW w:w="1843" w:type="dxa"/>
            <w:vMerge w:val="restart"/>
            <w:tcBorders>
              <w:top w:val="single" w:sz="4" w:space="0" w:color="auto"/>
            </w:tcBorders>
            <w:shd w:val="clear" w:color="auto" w:fill="auto"/>
            <w:vAlign w:val="bottom"/>
          </w:tcPr>
          <w:p w14:paraId="6D5D67DF" w14:textId="77777777" w:rsidR="00E83A01" w:rsidRPr="00FA40F2" w:rsidRDefault="00E83A01" w:rsidP="00E83A01">
            <w:pPr>
              <w:pStyle w:val="SingleTxtG"/>
              <w:spacing w:before="80" w:after="80" w:line="200" w:lineRule="exact"/>
              <w:ind w:left="0" w:right="0"/>
              <w:jc w:val="left"/>
              <w:rPr>
                <w:i/>
                <w:sz w:val="16"/>
                <w:lang w:val="es-ES_tradnl"/>
              </w:rPr>
            </w:pPr>
            <w:r w:rsidRPr="00FA40F2">
              <w:rPr>
                <w:i/>
                <w:iCs/>
                <w:sz w:val="16"/>
                <w:lang w:val="es-ES_tradnl"/>
              </w:rPr>
              <w:t>Año</w:t>
            </w:r>
          </w:p>
        </w:tc>
        <w:tc>
          <w:tcPr>
            <w:tcW w:w="992" w:type="dxa"/>
            <w:vMerge w:val="restart"/>
            <w:tcBorders>
              <w:top w:val="single" w:sz="4" w:space="0" w:color="auto"/>
            </w:tcBorders>
            <w:shd w:val="clear" w:color="auto" w:fill="auto"/>
            <w:vAlign w:val="bottom"/>
          </w:tcPr>
          <w:p w14:paraId="3366D17F" w14:textId="77777777" w:rsidR="00E83A01" w:rsidRPr="00FA40F2" w:rsidRDefault="00E83A01" w:rsidP="00E83A01">
            <w:pPr>
              <w:pStyle w:val="SingleTxtG"/>
              <w:spacing w:before="80" w:after="80" w:line="200" w:lineRule="exact"/>
              <w:ind w:left="113" w:right="11"/>
              <w:jc w:val="right"/>
              <w:rPr>
                <w:i/>
                <w:sz w:val="16"/>
                <w:lang w:val="es-ES_tradnl"/>
              </w:rPr>
            </w:pPr>
            <w:r w:rsidRPr="00FA40F2">
              <w:rPr>
                <w:i/>
                <w:sz w:val="16"/>
                <w:lang w:val="es-ES_tradnl"/>
              </w:rPr>
              <w:t>Número de casos</w:t>
            </w:r>
          </w:p>
        </w:tc>
        <w:tc>
          <w:tcPr>
            <w:tcW w:w="2410" w:type="dxa"/>
            <w:gridSpan w:val="2"/>
            <w:tcBorders>
              <w:top w:val="single" w:sz="4" w:space="0" w:color="auto"/>
              <w:bottom w:val="single" w:sz="4" w:space="0" w:color="auto"/>
              <w:right w:val="single" w:sz="24" w:space="0" w:color="FFFFFF" w:themeColor="background1"/>
            </w:tcBorders>
            <w:shd w:val="clear" w:color="auto" w:fill="auto"/>
            <w:vAlign w:val="bottom"/>
          </w:tcPr>
          <w:p w14:paraId="0A7FB5CE" w14:textId="77777777" w:rsidR="00E83A01" w:rsidRPr="00FA40F2" w:rsidRDefault="00E83A01" w:rsidP="00E83A01">
            <w:pPr>
              <w:pStyle w:val="SingleTxtG"/>
              <w:spacing w:before="80" w:after="80" w:line="200" w:lineRule="exact"/>
              <w:ind w:left="0" w:right="0"/>
              <w:jc w:val="center"/>
              <w:rPr>
                <w:i/>
                <w:sz w:val="16"/>
                <w:lang w:val="es-ES_tradnl"/>
              </w:rPr>
            </w:pPr>
            <w:r w:rsidRPr="00FA40F2">
              <w:rPr>
                <w:i/>
                <w:iCs/>
                <w:sz w:val="16"/>
                <w:lang w:val="es-ES_tradnl"/>
              </w:rPr>
              <w:t>Número de autores</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14:paraId="606E49F2" w14:textId="77777777" w:rsidR="00E83A01" w:rsidRPr="00FA40F2" w:rsidRDefault="00E83A01" w:rsidP="00E83A01">
            <w:pPr>
              <w:pStyle w:val="SingleTxtG"/>
              <w:spacing w:before="80" w:after="80" w:line="200" w:lineRule="exact"/>
              <w:ind w:left="0" w:right="0"/>
              <w:jc w:val="center"/>
              <w:rPr>
                <w:i/>
                <w:sz w:val="16"/>
                <w:lang w:val="es-ES_tradnl"/>
              </w:rPr>
            </w:pPr>
            <w:r w:rsidRPr="00FA40F2">
              <w:rPr>
                <w:i/>
                <w:iCs/>
                <w:sz w:val="16"/>
                <w:lang w:val="es-ES_tradnl"/>
              </w:rPr>
              <w:t>Número de autores detenidos</w:t>
            </w:r>
          </w:p>
        </w:tc>
      </w:tr>
      <w:tr w:rsidR="00E83A01" w:rsidRPr="00E83A01" w14:paraId="5E0EBB4A" w14:textId="77777777" w:rsidTr="00B30E6D">
        <w:tc>
          <w:tcPr>
            <w:tcW w:w="1843" w:type="dxa"/>
            <w:vMerge/>
            <w:tcBorders>
              <w:bottom w:val="single" w:sz="12" w:space="0" w:color="auto"/>
            </w:tcBorders>
            <w:shd w:val="clear" w:color="auto" w:fill="auto"/>
            <w:vAlign w:val="bottom"/>
          </w:tcPr>
          <w:p w14:paraId="6044525A" w14:textId="77777777" w:rsidR="00E83A01" w:rsidRPr="00E83A01" w:rsidRDefault="00E83A01" w:rsidP="00E83A01">
            <w:pPr>
              <w:spacing w:before="40" w:after="40" w:line="220" w:lineRule="exact"/>
              <w:rPr>
                <w:sz w:val="18"/>
                <w:lang w:val="es-ES_tradnl"/>
              </w:rPr>
            </w:pPr>
          </w:p>
        </w:tc>
        <w:tc>
          <w:tcPr>
            <w:tcW w:w="992" w:type="dxa"/>
            <w:vMerge/>
            <w:tcBorders>
              <w:bottom w:val="single" w:sz="12" w:space="0" w:color="auto"/>
            </w:tcBorders>
            <w:shd w:val="clear" w:color="auto" w:fill="auto"/>
            <w:vAlign w:val="bottom"/>
          </w:tcPr>
          <w:p w14:paraId="381832D2" w14:textId="77777777" w:rsidR="00E83A01" w:rsidRPr="00E83A01" w:rsidRDefault="00E83A01" w:rsidP="00E83A01">
            <w:pPr>
              <w:spacing w:before="40" w:after="40" w:line="220" w:lineRule="exact"/>
              <w:jc w:val="right"/>
              <w:rPr>
                <w:sz w:val="18"/>
                <w:lang w:val="es-ES_tradnl"/>
              </w:rPr>
            </w:pPr>
          </w:p>
        </w:tc>
        <w:tc>
          <w:tcPr>
            <w:tcW w:w="1134" w:type="dxa"/>
            <w:tcBorders>
              <w:top w:val="single" w:sz="4" w:space="0" w:color="auto"/>
              <w:bottom w:val="single" w:sz="12" w:space="0" w:color="auto"/>
            </w:tcBorders>
            <w:shd w:val="clear" w:color="auto" w:fill="auto"/>
          </w:tcPr>
          <w:p w14:paraId="136270E4"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Hombres</w:t>
            </w:r>
          </w:p>
        </w:tc>
        <w:tc>
          <w:tcPr>
            <w:tcW w:w="1276" w:type="dxa"/>
            <w:tcBorders>
              <w:top w:val="single" w:sz="4" w:space="0" w:color="auto"/>
              <w:bottom w:val="single" w:sz="12" w:space="0" w:color="auto"/>
              <w:right w:val="single" w:sz="24" w:space="0" w:color="FFFFFF" w:themeColor="background1"/>
            </w:tcBorders>
            <w:shd w:val="clear" w:color="auto" w:fill="auto"/>
          </w:tcPr>
          <w:p w14:paraId="4291A30F"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Mujeres</w:t>
            </w:r>
          </w:p>
        </w:tc>
        <w:tc>
          <w:tcPr>
            <w:tcW w:w="992" w:type="dxa"/>
            <w:tcBorders>
              <w:top w:val="single" w:sz="4" w:space="0" w:color="auto"/>
              <w:left w:val="single" w:sz="24" w:space="0" w:color="FFFFFF" w:themeColor="background1"/>
              <w:bottom w:val="single" w:sz="12" w:space="0" w:color="auto"/>
            </w:tcBorders>
            <w:shd w:val="clear" w:color="auto" w:fill="auto"/>
          </w:tcPr>
          <w:p w14:paraId="6829542F"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Hombres</w:t>
            </w:r>
          </w:p>
        </w:tc>
        <w:tc>
          <w:tcPr>
            <w:tcW w:w="1133" w:type="dxa"/>
            <w:tcBorders>
              <w:top w:val="single" w:sz="4" w:space="0" w:color="auto"/>
              <w:bottom w:val="single" w:sz="12" w:space="0" w:color="auto"/>
            </w:tcBorders>
            <w:shd w:val="clear" w:color="auto" w:fill="auto"/>
          </w:tcPr>
          <w:p w14:paraId="148F71D5"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Mujeres</w:t>
            </w:r>
          </w:p>
        </w:tc>
      </w:tr>
      <w:tr w:rsidR="00E83A01" w:rsidRPr="00E83A01" w14:paraId="05EAD8E7" w14:textId="77777777" w:rsidTr="00B30E6D">
        <w:tc>
          <w:tcPr>
            <w:tcW w:w="1843" w:type="dxa"/>
            <w:tcBorders>
              <w:top w:val="single" w:sz="12" w:space="0" w:color="auto"/>
            </w:tcBorders>
            <w:shd w:val="clear" w:color="auto" w:fill="auto"/>
          </w:tcPr>
          <w:p w14:paraId="7633E796" w14:textId="77777777" w:rsidR="00E83A01" w:rsidRPr="00E83A01" w:rsidRDefault="00E83A01" w:rsidP="00E83A01">
            <w:pPr>
              <w:pStyle w:val="SingleTxtG"/>
              <w:spacing w:before="40" w:after="40" w:line="220" w:lineRule="exact"/>
              <w:ind w:left="0" w:right="0"/>
              <w:jc w:val="left"/>
              <w:rPr>
                <w:sz w:val="18"/>
                <w:lang w:val="es-ES_tradnl"/>
              </w:rPr>
            </w:pPr>
            <w:r w:rsidRPr="00E83A01">
              <w:rPr>
                <w:sz w:val="18"/>
                <w:lang w:val="es-ES_tradnl"/>
              </w:rPr>
              <w:t>2014</w:t>
            </w:r>
          </w:p>
        </w:tc>
        <w:tc>
          <w:tcPr>
            <w:tcW w:w="992" w:type="dxa"/>
            <w:tcBorders>
              <w:top w:val="single" w:sz="12" w:space="0" w:color="auto"/>
            </w:tcBorders>
            <w:shd w:val="clear" w:color="auto" w:fill="auto"/>
          </w:tcPr>
          <w:p w14:paraId="4048604D"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353</w:t>
            </w:r>
          </w:p>
        </w:tc>
        <w:tc>
          <w:tcPr>
            <w:tcW w:w="1134" w:type="dxa"/>
            <w:tcBorders>
              <w:top w:val="single" w:sz="12" w:space="0" w:color="auto"/>
            </w:tcBorders>
            <w:shd w:val="clear" w:color="auto" w:fill="auto"/>
          </w:tcPr>
          <w:p w14:paraId="33A338B9"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328</w:t>
            </w:r>
          </w:p>
        </w:tc>
        <w:tc>
          <w:tcPr>
            <w:tcW w:w="1276" w:type="dxa"/>
            <w:tcBorders>
              <w:top w:val="single" w:sz="12" w:space="0" w:color="auto"/>
            </w:tcBorders>
            <w:shd w:val="clear" w:color="auto" w:fill="auto"/>
          </w:tcPr>
          <w:p w14:paraId="17C3E76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58</w:t>
            </w:r>
          </w:p>
        </w:tc>
        <w:tc>
          <w:tcPr>
            <w:tcW w:w="992" w:type="dxa"/>
            <w:tcBorders>
              <w:top w:val="single" w:sz="12" w:space="0" w:color="auto"/>
            </w:tcBorders>
            <w:shd w:val="clear" w:color="auto" w:fill="auto"/>
          </w:tcPr>
          <w:p w14:paraId="5190235E"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133" w:type="dxa"/>
            <w:tcBorders>
              <w:top w:val="single" w:sz="12" w:space="0" w:color="auto"/>
            </w:tcBorders>
            <w:shd w:val="clear" w:color="auto" w:fill="auto"/>
          </w:tcPr>
          <w:p w14:paraId="21A9B0A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r>
      <w:tr w:rsidR="00E83A01" w:rsidRPr="00E83A01" w14:paraId="36670D75" w14:textId="77777777" w:rsidTr="00B30E6D">
        <w:tc>
          <w:tcPr>
            <w:tcW w:w="1843" w:type="dxa"/>
            <w:shd w:val="clear" w:color="auto" w:fill="auto"/>
          </w:tcPr>
          <w:p w14:paraId="1D8FCE6B" w14:textId="77777777" w:rsidR="00E83A01" w:rsidRPr="00E83A01" w:rsidRDefault="00B30E6D" w:rsidP="00E83A01">
            <w:pPr>
              <w:pStyle w:val="SingleTxtG"/>
              <w:spacing w:before="40" w:after="40" w:line="220" w:lineRule="exact"/>
              <w:ind w:left="0" w:right="0"/>
              <w:jc w:val="left"/>
              <w:rPr>
                <w:sz w:val="18"/>
                <w:lang w:val="es-ES_tradnl"/>
              </w:rPr>
            </w:pPr>
            <w:r>
              <w:rPr>
                <w:sz w:val="18"/>
                <w:lang w:val="es-ES_tradnl"/>
              </w:rPr>
              <w:t xml:space="preserve">De octubre </w:t>
            </w:r>
            <w:r w:rsidR="00E83A01" w:rsidRPr="00E83A01">
              <w:rPr>
                <w:sz w:val="18"/>
                <w:lang w:val="es-ES_tradnl"/>
              </w:rPr>
              <w:t xml:space="preserve">a </w:t>
            </w:r>
            <w:r>
              <w:rPr>
                <w:sz w:val="18"/>
                <w:lang w:val="es-ES_tradnl"/>
              </w:rPr>
              <w:t xml:space="preserve">diciembre de </w:t>
            </w:r>
            <w:r w:rsidR="00E83A01" w:rsidRPr="00E83A01">
              <w:rPr>
                <w:sz w:val="18"/>
                <w:lang w:val="es-ES_tradnl"/>
              </w:rPr>
              <w:t>2016*</w:t>
            </w:r>
          </w:p>
        </w:tc>
        <w:tc>
          <w:tcPr>
            <w:tcW w:w="992" w:type="dxa"/>
            <w:shd w:val="clear" w:color="auto" w:fill="auto"/>
            <w:vAlign w:val="bottom"/>
          </w:tcPr>
          <w:p w14:paraId="30EE90B3"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9</w:t>
            </w:r>
          </w:p>
        </w:tc>
        <w:tc>
          <w:tcPr>
            <w:tcW w:w="1134" w:type="dxa"/>
            <w:shd w:val="clear" w:color="auto" w:fill="auto"/>
            <w:vAlign w:val="bottom"/>
          </w:tcPr>
          <w:p w14:paraId="4B31F4D9"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8</w:t>
            </w:r>
          </w:p>
        </w:tc>
        <w:tc>
          <w:tcPr>
            <w:tcW w:w="1276" w:type="dxa"/>
            <w:shd w:val="clear" w:color="auto" w:fill="auto"/>
            <w:vAlign w:val="bottom"/>
          </w:tcPr>
          <w:p w14:paraId="568B102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992" w:type="dxa"/>
            <w:shd w:val="clear" w:color="auto" w:fill="auto"/>
            <w:vAlign w:val="bottom"/>
          </w:tcPr>
          <w:p w14:paraId="2FF7BAE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8</w:t>
            </w:r>
          </w:p>
        </w:tc>
        <w:tc>
          <w:tcPr>
            <w:tcW w:w="1133" w:type="dxa"/>
            <w:shd w:val="clear" w:color="auto" w:fill="auto"/>
            <w:vAlign w:val="bottom"/>
          </w:tcPr>
          <w:p w14:paraId="4DC9163D"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r>
      <w:tr w:rsidR="00E83A01" w:rsidRPr="00E83A01" w14:paraId="6CB7A3AF" w14:textId="77777777" w:rsidTr="00B30E6D">
        <w:tc>
          <w:tcPr>
            <w:tcW w:w="1843" w:type="dxa"/>
            <w:shd w:val="clear" w:color="auto" w:fill="auto"/>
          </w:tcPr>
          <w:p w14:paraId="2A7C1F8A" w14:textId="77777777" w:rsidR="00E83A01" w:rsidRPr="00E83A01" w:rsidRDefault="00E83A01" w:rsidP="00E83A01">
            <w:pPr>
              <w:pStyle w:val="SingleTxtG"/>
              <w:spacing w:before="40" w:after="40" w:line="220" w:lineRule="exact"/>
              <w:ind w:left="0" w:right="0"/>
              <w:jc w:val="left"/>
              <w:rPr>
                <w:sz w:val="18"/>
                <w:lang w:val="es-ES_tradnl"/>
              </w:rPr>
            </w:pPr>
            <w:r w:rsidRPr="00E83A01">
              <w:rPr>
                <w:sz w:val="18"/>
                <w:lang w:val="es-ES_tradnl"/>
              </w:rPr>
              <w:t>2017</w:t>
            </w:r>
          </w:p>
        </w:tc>
        <w:tc>
          <w:tcPr>
            <w:tcW w:w="992" w:type="dxa"/>
            <w:shd w:val="clear" w:color="auto" w:fill="auto"/>
          </w:tcPr>
          <w:p w14:paraId="76D2C965"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10</w:t>
            </w:r>
          </w:p>
        </w:tc>
        <w:tc>
          <w:tcPr>
            <w:tcW w:w="1134" w:type="dxa"/>
            <w:shd w:val="clear" w:color="auto" w:fill="auto"/>
          </w:tcPr>
          <w:p w14:paraId="0F8526D9"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10</w:t>
            </w:r>
          </w:p>
        </w:tc>
        <w:tc>
          <w:tcPr>
            <w:tcW w:w="1276" w:type="dxa"/>
            <w:shd w:val="clear" w:color="auto" w:fill="auto"/>
          </w:tcPr>
          <w:p w14:paraId="02300FC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c>
          <w:tcPr>
            <w:tcW w:w="992" w:type="dxa"/>
            <w:shd w:val="clear" w:color="auto" w:fill="auto"/>
          </w:tcPr>
          <w:p w14:paraId="08D90614"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10</w:t>
            </w:r>
          </w:p>
        </w:tc>
        <w:tc>
          <w:tcPr>
            <w:tcW w:w="1133" w:type="dxa"/>
            <w:shd w:val="clear" w:color="auto" w:fill="auto"/>
          </w:tcPr>
          <w:p w14:paraId="08CAF22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r>
      <w:tr w:rsidR="00E83A01" w:rsidRPr="00E83A01" w14:paraId="575E220F" w14:textId="77777777" w:rsidTr="00B30E6D">
        <w:tc>
          <w:tcPr>
            <w:tcW w:w="1843" w:type="dxa"/>
            <w:tcBorders>
              <w:bottom w:val="single" w:sz="12" w:space="0" w:color="auto"/>
            </w:tcBorders>
            <w:shd w:val="clear" w:color="auto" w:fill="auto"/>
          </w:tcPr>
          <w:p w14:paraId="5C0F5B00" w14:textId="77777777" w:rsidR="00E83A01" w:rsidRPr="00E83A01" w:rsidRDefault="00B30E6D" w:rsidP="00E83A01">
            <w:pPr>
              <w:pStyle w:val="SingleTxtG"/>
              <w:spacing w:before="40" w:after="40" w:line="220" w:lineRule="exact"/>
              <w:ind w:left="0" w:right="0"/>
              <w:jc w:val="left"/>
              <w:rPr>
                <w:sz w:val="18"/>
                <w:lang w:val="es-ES_tradnl"/>
              </w:rPr>
            </w:pPr>
            <w:r>
              <w:rPr>
                <w:sz w:val="18"/>
                <w:lang w:val="es-ES_tradnl"/>
              </w:rPr>
              <w:t xml:space="preserve">Septiembre de </w:t>
            </w:r>
            <w:r w:rsidR="00E83A01" w:rsidRPr="00E83A01">
              <w:rPr>
                <w:sz w:val="18"/>
                <w:lang w:val="es-ES_tradnl"/>
              </w:rPr>
              <w:t>2018</w:t>
            </w:r>
          </w:p>
        </w:tc>
        <w:tc>
          <w:tcPr>
            <w:tcW w:w="992" w:type="dxa"/>
            <w:tcBorders>
              <w:bottom w:val="single" w:sz="12" w:space="0" w:color="auto"/>
            </w:tcBorders>
            <w:shd w:val="clear" w:color="auto" w:fill="auto"/>
          </w:tcPr>
          <w:p w14:paraId="5422EDA2"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134" w:type="dxa"/>
            <w:tcBorders>
              <w:bottom w:val="single" w:sz="12" w:space="0" w:color="auto"/>
            </w:tcBorders>
            <w:shd w:val="clear" w:color="auto" w:fill="auto"/>
          </w:tcPr>
          <w:p w14:paraId="5B034980"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276" w:type="dxa"/>
            <w:tcBorders>
              <w:bottom w:val="single" w:sz="12" w:space="0" w:color="auto"/>
            </w:tcBorders>
            <w:shd w:val="clear" w:color="auto" w:fill="auto"/>
          </w:tcPr>
          <w:p w14:paraId="282791B0"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c>
          <w:tcPr>
            <w:tcW w:w="992" w:type="dxa"/>
            <w:tcBorders>
              <w:bottom w:val="single" w:sz="12" w:space="0" w:color="auto"/>
            </w:tcBorders>
            <w:shd w:val="clear" w:color="auto" w:fill="auto"/>
          </w:tcPr>
          <w:p w14:paraId="110CCCC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133" w:type="dxa"/>
            <w:tcBorders>
              <w:bottom w:val="single" w:sz="12" w:space="0" w:color="auto"/>
            </w:tcBorders>
            <w:shd w:val="clear" w:color="auto" w:fill="auto"/>
          </w:tcPr>
          <w:p w14:paraId="3318BED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r>
    </w:tbl>
    <w:p w14:paraId="514D7F20" w14:textId="77777777" w:rsidR="00FA40F2" w:rsidRPr="00636933" w:rsidRDefault="00FA40F2" w:rsidP="00E83A01">
      <w:pPr>
        <w:pStyle w:val="SingleTxtG"/>
        <w:spacing w:before="120" w:after="0"/>
        <w:ind w:firstLine="170"/>
        <w:jc w:val="left"/>
        <w:rPr>
          <w:sz w:val="18"/>
          <w:szCs w:val="18"/>
          <w:lang w:val="es-ES_tradnl"/>
        </w:rPr>
      </w:pPr>
      <w:r w:rsidRPr="00636933">
        <w:rPr>
          <w:i/>
          <w:iCs/>
          <w:sz w:val="18"/>
          <w:szCs w:val="18"/>
          <w:lang w:val="es-ES_tradnl"/>
        </w:rPr>
        <w:t>Fuente:</w:t>
      </w:r>
      <w:r w:rsidRPr="00636933">
        <w:rPr>
          <w:sz w:val="18"/>
          <w:szCs w:val="18"/>
          <w:lang w:val="es-ES_tradnl"/>
        </w:rPr>
        <w:t xml:space="preserve"> Oficina de la Secretaría de Seguridad.</w:t>
      </w:r>
    </w:p>
    <w:p w14:paraId="2512DB20" w14:textId="77777777" w:rsidR="00FA40F2" w:rsidRPr="00636933" w:rsidRDefault="00FA40F2" w:rsidP="00E83A01">
      <w:pPr>
        <w:pStyle w:val="SingleTxtG"/>
        <w:ind w:firstLine="170"/>
        <w:jc w:val="left"/>
        <w:rPr>
          <w:sz w:val="18"/>
          <w:szCs w:val="18"/>
          <w:lang w:val="es-ES_tradnl"/>
        </w:rPr>
      </w:pPr>
      <w:r w:rsidRPr="00636933">
        <w:rPr>
          <w:sz w:val="18"/>
          <w:szCs w:val="18"/>
          <w:lang w:val="es-ES_tradnl"/>
        </w:rPr>
        <w:t xml:space="preserve">* </w:t>
      </w:r>
      <w:r w:rsidR="00DB0705" w:rsidRPr="00636933">
        <w:rPr>
          <w:sz w:val="18"/>
          <w:szCs w:val="18"/>
          <w:lang w:val="es-ES_tradnl"/>
        </w:rPr>
        <w:t xml:space="preserve"> </w:t>
      </w:r>
      <w:r w:rsidRPr="00636933">
        <w:rPr>
          <w:sz w:val="18"/>
          <w:szCs w:val="18"/>
          <w:lang w:val="es-ES_tradnl"/>
        </w:rPr>
        <w:t xml:space="preserve">La Ley </w:t>
      </w:r>
      <w:r w:rsidR="00E27276" w:rsidRPr="00636933">
        <w:rPr>
          <w:sz w:val="18"/>
          <w:szCs w:val="18"/>
          <w:lang w:val="es-ES_tradnl"/>
        </w:rPr>
        <w:t>núm. </w:t>
      </w:r>
      <w:r w:rsidRPr="00636933">
        <w:rPr>
          <w:sz w:val="18"/>
          <w:szCs w:val="18"/>
          <w:lang w:val="es-ES_tradnl"/>
        </w:rPr>
        <w:t xml:space="preserve">2/2016 entró en vigor el 5 de octubre de 2016. Anteriormente, los casos de violencia doméstica se incluían entre los delitos contra la integridad física. </w:t>
      </w:r>
    </w:p>
    <w:p w14:paraId="5F6D0EB3" w14:textId="77777777" w:rsidR="00FA40F2" w:rsidRPr="00FA40F2" w:rsidRDefault="00FA40F2" w:rsidP="00FA40F2">
      <w:pPr>
        <w:pStyle w:val="SingleTxtG"/>
        <w:rPr>
          <w:lang w:val="es-ES_tradnl"/>
        </w:rPr>
      </w:pPr>
      <w:r w:rsidRPr="00FA40F2">
        <w:rPr>
          <w:lang w:val="es-ES_tradnl"/>
        </w:rPr>
        <w:t>123.</w:t>
      </w:r>
      <w:r w:rsidRPr="00FA40F2">
        <w:rPr>
          <w:lang w:val="es-ES_tradnl"/>
        </w:rPr>
        <w:tab/>
        <w:t xml:space="preserve">Según la Oficina de la Presidencia del Tribunal Superior de Apelación, después de la promulgación de la Ley </w:t>
      </w:r>
      <w:r w:rsidR="00E27276">
        <w:rPr>
          <w:lang w:val="es-ES_tradnl"/>
        </w:rPr>
        <w:t>núm. </w:t>
      </w:r>
      <w:r w:rsidRPr="00FA40F2">
        <w:rPr>
          <w:lang w:val="es-ES_tradnl"/>
        </w:rPr>
        <w:t>2/2016, a septiembre de 2018 habían llegado a los tribunales nueve casos de violencia doméstica (una de las víctimas era menor de 18 años), de los cuales tres fueron juzgados y dieron lugar a sendas condenas, mientras que los seis restantes están todavía pendientes de juicio.</w:t>
      </w:r>
    </w:p>
    <w:p w14:paraId="75D9CC14" w14:textId="77777777" w:rsidR="00FA40F2" w:rsidRPr="00FA40F2" w:rsidRDefault="00FA40F2" w:rsidP="00FA40F2">
      <w:pPr>
        <w:pStyle w:val="SingleTxtG"/>
        <w:rPr>
          <w:lang w:val="es-ES_tradnl"/>
        </w:rPr>
      </w:pPr>
      <w:r w:rsidRPr="00FA40F2">
        <w:rPr>
          <w:lang w:val="es-ES_tradnl"/>
        </w:rPr>
        <w:t>124.</w:t>
      </w:r>
      <w:r w:rsidRPr="00FA40F2">
        <w:rPr>
          <w:lang w:val="es-ES_tradnl"/>
        </w:rPr>
        <w:tab/>
        <w:t>La Oficina de Bienestar Social se encarga de coordinar todas las acciones de prevención de la violencia doméstica, señalar situaciones de riesgo y aplicar medidas generales de protección (</w:t>
      </w:r>
      <w:r w:rsidR="00722610">
        <w:rPr>
          <w:lang w:val="es-ES_tradnl"/>
        </w:rPr>
        <w:t>artículo </w:t>
      </w:r>
      <w:r w:rsidRPr="00FA40F2">
        <w:rPr>
          <w:lang w:val="es-ES_tradnl"/>
        </w:rPr>
        <w:t xml:space="preserve">5). Se estableció un mecanismo de cooperación multidisciplinaria e intersectorial con el Cuerpo de Policía de Seguridad Pública, la Policía Judicial, la Oficina de Salud, la Dirección de Servicios de Educación y Juventud, la Dirección de Asuntos Laborales y las ONG. </w:t>
      </w:r>
    </w:p>
    <w:p w14:paraId="3F77206A" w14:textId="77777777" w:rsidR="00FA40F2" w:rsidRPr="00FA40F2" w:rsidRDefault="00FA40F2" w:rsidP="00FA40F2">
      <w:pPr>
        <w:pStyle w:val="SingleTxtG"/>
        <w:rPr>
          <w:lang w:val="es-ES_tradnl"/>
        </w:rPr>
      </w:pPr>
      <w:r w:rsidRPr="00FA40F2">
        <w:rPr>
          <w:lang w:val="es-ES_tradnl"/>
        </w:rPr>
        <w:t>125.</w:t>
      </w:r>
      <w:r w:rsidRPr="00FA40F2">
        <w:rPr>
          <w:lang w:val="es-ES_tradnl"/>
        </w:rPr>
        <w:tab/>
        <w:t>Se garantiza a las víctimas medidas de protección y asistencia, como alojamiento temporal, ayuda económica, asistencia jurídica, atención médica, asistencia para el acceso a la educación o el empleo, asesoramiento individual y familiar, información jurídica y servicios de orientación y otras medidas necesarias para proteger su seguridad y bienestar (</w:t>
      </w:r>
      <w:r w:rsidR="00722610">
        <w:rPr>
          <w:lang w:val="es-ES_tradnl"/>
        </w:rPr>
        <w:t>artículo </w:t>
      </w:r>
      <w:r w:rsidRPr="00FA40F2">
        <w:rPr>
          <w:lang w:val="es-ES_tradnl"/>
        </w:rPr>
        <w:t xml:space="preserve">16 de la Ley </w:t>
      </w:r>
      <w:r w:rsidR="00E27276">
        <w:rPr>
          <w:lang w:val="es-ES_tradnl"/>
        </w:rPr>
        <w:t>núm. </w:t>
      </w:r>
      <w:r w:rsidRPr="00FA40F2">
        <w:rPr>
          <w:lang w:val="es-ES_tradnl"/>
        </w:rPr>
        <w:t>2/2016).</w:t>
      </w:r>
    </w:p>
    <w:p w14:paraId="582353CE" w14:textId="77777777" w:rsidR="00FA40F2" w:rsidRPr="00FA40F2" w:rsidRDefault="00FA40F2" w:rsidP="00FA40F2">
      <w:pPr>
        <w:pStyle w:val="SingleTxtG"/>
        <w:rPr>
          <w:lang w:val="es-ES_tradnl"/>
        </w:rPr>
      </w:pPr>
      <w:r w:rsidRPr="00FA40F2">
        <w:rPr>
          <w:lang w:val="es-ES_tradnl"/>
        </w:rPr>
        <w:t>126.</w:t>
      </w:r>
      <w:r w:rsidRPr="00FA40F2">
        <w:rPr>
          <w:lang w:val="es-ES_tradnl"/>
        </w:rPr>
        <w:tab/>
        <w:t xml:space="preserve">El deber de las entidades públicas y privadas que prestan servicios médicos y de enfermería, atención a niños, personas mayores y personas con discapacidad, o que realizan </w:t>
      </w:r>
      <w:r w:rsidRPr="00FA40F2">
        <w:rPr>
          <w:lang w:val="es-ES_tradnl"/>
        </w:rPr>
        <w:lastRenderedPageBreak/>
        <w:t>actividades educativas, prestan servicios sociales u ofrecen asesoramiento, de denunciar ante la Oficina de Bienestar Social los casos sospechosos o que llegan a su conocimiento, es primordial para la prevención de la violencia doméstica y la determinación de las víctimas (</w:t>
      </w:r>
      <w:r w:rsidR="00722610">
        <w:rPr>
          <w:lang w:val="es-ES_tradnl"/>
        </w:rPr>
        <w:t>artículo </w:t>
      </w:r>
      <w:r w:rsidRPr="00FA40F2">
        <w:rPr>
          <w:lang w:val="es-ES_tradnl"/>
        </w:rPr>
        <w:t xml:space="preserve">6 de la Ley </w:t>
      </w:r>
      <w:r w:rsidR="00E27276">
        <w:rPr>
          <w:lang w:val="es-ES_tradnl"/>
        </w:rPr>
        <w:t>núm. </w:t>
      </w:r>
      <w:r w:rsidRPr="00FA40F2">
        <w:rPr>
          <w:lang w:val="es-ES_tradnl"/>
        </w:rPr>
        <w:t>2/2016).</w:t>
      </w:r>
    </w:p>
    <w:p w14:paraId="5E52E2BF" w14:textId="77777777" w:rsidR="00FA40F2" w:rsidRPr="00FA40F2" w:rsidRDefault="00336F2F" w:rsidP="00336F2F">
      <w:pPr>
        <w:pStyle w:val="H23G"/>
        <w:rPr>
          <w:lang w:val="es-ES_tradnl"/>
        </w:rPr>
      </w:pPr>
      <w:r>
        <w:rPr>
          <w:lang w:val="es-ES_tradnl"/>
        </w:rPr>
        <w:tab/>
      </w:r>
      <w:r>
        <w:rPr>
          <w:lang w:val="es-ES_tradnl"/>
        </w:rPr>
        <w:tab/>
      </w:r>
      <w:r w:rsidR="00FA40F2" w:rsidRPr="00FA40F2">
        <w:rPr>
          <w:lang w:val="es-ES_tradnl"/>
        </w:rPr>
        <w:t>Casos de violencia doméstica atendidos por la Oficina de Bienestar Social</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1560"/>
        <w:gridCol w:w="850"/>
        <w:gridCol w:w="851"/>
        <w:gridCol w:w="850"/>
        <w:gridCol w:w="851"/>
        <w:gridCol w:w="708"/>
        <w:gridCol w:w="851"/>
        <w:gridCol w:w="709"/>
        <w:gridCol w:w="850"/>
        <w:gridCol w:w="709"/>
        <w:gridCol w:w="848"/>
      </w:tblGrid>
      <w:tr w:rsidR="00336F2F" w:rsidRPr="00336F2F" w14:paraId="6F950673" w14:textId="77777777" w:rsidTr="00336F2F">
        <w:trPr>
          <w:cantSplit/>
          <w:trHeight w:val="240"/>
          <w:tblHeader/>
        </w:trPr>
        <w:tc>
          <w:tcPr>
            <w:tcW w:w="1560" w:type="dxa"/>
            <w:vMerge w:val="restart"/>
            <w:tcBorders>
              <w:top w:val="single" w:sz="4" w:space="0" w:color="auto"/>
              <w:bottom w:val="single" w:sz="12" w:space="0" w:color="auto"/>
            </w:tcBorders>
            <w:shd w:val="clear" w:color="auto" w:fill="auto"/>
            <w:vAlign w:val="bottom"/>
          </w:tcPr>
          <w:p w14:paraId="2CD19C38" w14:textId="77777777" w:rsidR="00FA40F2" w:rsidRPr="00FA40F2" w:rsidRDefault="00FA40F2" w:rsidP="00336F2F">
            <w:pPr>
              <w:pStyle w:val="SingleTxtG"/>
              <w:spacing w:before="80" w:after="80" w:line="200" w:lineRule="exact"/>
              <w:ind w:left="0" w:right="0"/>
              <w:jc w:val="left"/>
              <w:rPr>
                <w:i/>
                <w:sz w:val="16"/>
                <w:lang w:val="es-ES_tradnl"/>
              </w:rPr>
            </w:pPr>
            <w:r w:rsidRPr="00FA40F2">
              <w:rPr>
                <w:i/>
                <w:iCs/>
                <w:sz w:val="16"/>
                <w:lang w:val="es-ES_tradnl"/>
              </w:rPr>
              <w:t>Tipo/Año</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0062DA3A"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2014</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5A9A4A"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2015</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DDE0412"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2016</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4ED9B8"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2017</w:t>
            </w:r>
          </w:p>
        </w:tc>
        <w:tc>
          <w:tcPr>
            <w:tcW w:w="1557" w:type="dxa"/>
            <w:gridSpan w:val="2"/>
            <w:tcBorders>
              <w:top w:val="single" w:sz="4" w:space="0" w:color="auto"/>
              <w:left w:val="single" w:sz="24" w:space="0" w:color="FFFFFF" w:themeColor="background1"/>
              <w:bottom w:val="single" w:sz="4" w:space="0" w:color="auto"/>
            </w:tcBorders>
            <w:shd w:val="clear" w:color="auto" w:fill="auto"/>
            <w:vAlign w:val="bottom"/>
          </w:tcPr>
          <w:p w14:paraId="01031DA5" w14:textId="77777777" w:rsidR="00FA40F2" w:rsidRPr="00FA40F2" w:rsidRDefault="00B30E6D" w:rsidP="00336F2F">
            <w:pPr>
              <w:pStyle w:val="SingleTxtG"/>
              <w:spacing w:before="80" w:after="80" w:line="200" w:lineRule="exact"/>
              <w:ind w:left="113" w:right="0"/>
              <w:jc w:val="center"/>
              <w:rPr>
                <w:i/>
                <w:sz w:val="16"/>
                <w:lang w:val="es-ES_tradnl"/>
              </w:rPr>
            </w:pPr>
            <w:r>
              <w:rPr>
                <w:i/>
                <w:iCs/>
                <w:sz w:val="16"/>
                <w:lang w:val="es-ES_tradnl"/>
              </w:rPr>
              <w:t xml:space="preserve">Septiembre de </w:t>
            </w:r>
            <w:r w:rsidR="00FA40F2" w:rsidRPr="00FA40F2">
              <w:rPr>
                <w:i/>
                <w:iCs/>
                <w:sz w:val="16"/>
                <w:lang w:val="es-ES_tradnl"/>
              </w:rPr>
              <w:t>2018</w:t>
            </w:r>
          </w:p>
        </w:tc>
      </w:tr>
      <w:tr w:rsidR="00336F2F" w:rsidRPr="00336F2F" w14:paraId="701729EC" w14:textId="77777777" w:rsidTr="00336F2F">
        <w:trPr>
          <w:cantSplit/>
          <w:trHeight w:val="240"/>
          <w:tblHeader/>
        </w:trPr>
        <w:tc>
          <w:tcPr>
            <w:tcW w:w="1560" w:type="dxa"/>
            <w:vMerge/>
            <w:tcBorders>
              <w:top w:val="single" w:sz="12" w:space="0" w:color="auto"/>
              <w:bottom w:val="single" w:sz="12" w:space="0" w:color="auto"/>
            </w:tcBorders>
            <w:shd w:val="clear" w:color="auto" w:fill="auto"/>
            <w:vAlign w:val="bottom"/>
          </w:tcPr>
          <w:p w14:paraId="43255CDE" w14:textId="77777777" w:rsidR="00FA40F2" w:rsidRPr="00FA40F2" w:rsidRDefault="00FA40F2" w:rsidP="00336F2F">
            <w:pPr>
              <w:pStyle w:val="SingleTxtG"/>
              <w:spacing w:before="40" w:after="40" w:line="220" w:lineRule="exact"/>
              <w:ind w:left="0" w:right="0"/>
              <w:jc w:val="left"/>
              <w:rPr>
                <w:sz w:val="18"/>
                <w:lang w:val="es-ES_tradnl"/>
              </w:rPr>
            </w:pPr>
          </w:p>
        </w:tc>
        <w:tc>
          <w:tcPr>
            <w:tcW w:w="850" w:type="dxa"/>
            <w:tcBorders>
              <w:top w:val="single" w:sz="4" w:space="0" w:color="auto"/>
              <w:bottom w:val="single" w:sz="12" w:space="0" w:color="auto"/>
            </w:tcBorders>
            <w:shd w:val="clear" w:color="auto" w:fill="auto"/>
            <w:vAlign w:val="bottom"/>
          </w:tcPr>
          <w:p w14:paraId="0B689608"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6505B2A"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3C6452F"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3858D745"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3473893"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1E523652"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2FAB63D"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772E22D1"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3FFA91E7"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48" w:type="dxa"/>
            <w:tcBorders>
              <w:top w:val="single" w:sz="4" w:space="0" w:color="auto"/>
              <w:bottom w:val="single" w:sz="12" w:space="0" w:color="auto"/>
            </w:tcBorders>
            <w:shd w:val="clear" w:color="auto" w:fill="auto"/>
            <w:vAlign w:val="bottom"/>
          </w:tcPr>
          <w:p w14:paraId="0ABC2D01"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r>
      <w:tr w:rsidR="00336F2F" w:rsidRPr="00336F2F" w14:paraId="5F244AB9" w14:textId="77777777" w:rsidTr="00336F2F">
        <w:trPr>
          <w:cantSplit/>
          <w:trHeight w:val="240"/>
        </w:trPr>
        <w:tc>
          <w:tcPr>
            <w:tcW w:w="1560" w:type="dxa"/>
            <w:tcBorders>
              <w:top w:val="single" w:sz="12" w:space="0" w:color="auto"/>
            </w:tcBorders>
            <w:shd w:val="clear" w:color="auto" w:fill="auto"/>
          </w:tcPr>
          <w:p w14:paraId="43B0232B"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a la esposa</w:t>
            </w:r>
          </w:p>
        </w:tc>
        <w:tc>
          <w:tcPr>
            <w:tcW w:w="850" w:type="dxa"/>
            <w:tcBorders>
              <w:top w:val="single" w:sz="12" w:space="0" w:color="auto"/>
            </w:tcBorders>
            <w:shd w:val="clear" w:color="auto" w:fill="auto"/>
            <w:vAlign w:val="bottom"/>
          </w:tcPr>
          <w:p w14:paraId="5741F9C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31</w:t>
            </w:r>
          </w:p>
        </w:tc>
        <w:tc>
          <w:tcPr>
            <w:tcW w:w="851" w:type="dxa"/>
            <w:tcBorders>
              <w:top w:val="single" w:sz="12" w:space="0" w:color="auto"/>
            </w:tcBorders>
            <w:shd w:val="clear" w:color="auto" w:fill="auto"/>
            <w:vAlign w:val="bottom"/>
          </w:tcPr>
          <w:p w14:paraId="1917C98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31</w:t>
            </w:r>
          </w:p>
        </w:tc>
        <w:tc>
          <w:tcPr>
            <w:tcW w:w="850" w:type="dxa"/>
            <w:tcBorders>
              <w:top w:val="single" w:sz="12" w:space="0" w:color="auto"/>
            </w:tcBorders>
            <w:shd w:val="clear" w:color="auto" w:fill="auto"/>
            <w:vAlign w:val="bottom"/>
          </w:tcPr>
          <w:p w14:paraId="409B9E35"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46</w:t>
            </w:r>
          </w:p>
        </w:tc>
        <w:tc>
          <w:tcPr>
            <w:tcW w:w="851" w:type="dxa"/>
            <w:tcBorders>
              <w:top w:val="single" w:sz="12" w:space="0" w:color="auto"/>
            </w:tcBorders>
            <w:shd w:val="clear" w:color="auto" w:fill="auto"/>
            <w:vAlign w:val="bottom"/>
          </w:tcPr>
          <w:p w14:paraId="2D112063"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46</w:t>
            </w:r>
          </w:p>
        </w:tc>
        <w:tc>
          <w:tcPr>
            <w:tcW w:w="708" w:type="dxa"/>
            <w:tcBorders>
              <w:top w:val="single" w:sz="12" w:space="0" w:color="auto"/>
            </w:tcBorders>
            <w:shd w:val="clear" w:color="auto" w:fill="auto"/>
            <w:vAlign w:val="bottom"/>
          </w:tcPr>
          <w:p w14:paraId="0514343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90</w:t>
            </w:r>
          </w:p>
        </w:tc>
        <w:tc>
          <w:tcPr>
            <w:tcW w:w="851" w:type="dxa"/>
            <w:tcBorders>
              <w:top w:val="single" w:sz="12" w:space="0" w:color="auto"/>
            </w:tcBorders>
            <w:shd w:val="clear" w:color="auto" w:fill="auto"/>
            <w:vAlign w:val="bottom"/>
          </w:tcPr>
          <w:p w14:paraId="7324931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90</w:t>
            </w:r>
          </w:p>
        </w:tc>
        <w:tc>
          <w:tcPr>
            <w:tcW w:w="709" w:type="dxa"/>
            <w:tcBorders>
              <w:top w:val="single" w:sz="12" w:space="0" w:color="auto"/>
            </w:tcBorders>
            <w:shd w:val="clear" w:color="auto" w:fill="auto"/>
            <w:vAlign w:val="bottom"/>
          </w:tcPr>
          <w:p w14:paraId="5D2C13DA"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68</w:t>
            </w:r>
          </w:p>
        </w:tc>
        <w:tc>
          <w:tcPr>
            <w:tcW w:w="850" w:type="dxa"/>
            <w:tcBorders>
              <w:top w:val="single" w:sz="12" w:space="0" w:color="auto"/>
            </w:tcBorders>
            <w:shd w:val="clear" w:color="auto" w:fill="auto"/>
            <w:vAlign w:val="bottom"/>
          </w:tcPr>
          <w:p w14:paraId="7F02701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68</w:t>
            </w:r>
          </w:p>
        </w:tc>
        <w:tc>
          <w:tcPr>
            <w:tcW w:w="709" w:type="dxa"/>
            <w:tcBorders>
              <w:top w:val="single" w:sz="12" w:space="0" w:color="auto"/>
            </w:tcBorders>
            <w:shd w:val="clear" w:color="auto" w:fill="auto"/>
            <w:vAlign w:val="bottom"/>
          </w:tcPr>
          <w:p w14:paraId="1B929FF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27</w:t>
            </w:r>
          </w:p>
        </w:tc>
        <w:tc>
          <w:tcPr>
            <w:tcW w:w="848" w:type="dxa"/>
            <w:tcBorders>
              <w:top w:val="single" w:sz="12" w:space="0" w:color="auto"/>
            </w:tcBorders>
            <w:shd w:val="clear" w:color="auto" w:fill="auto"/>
            <w:vAlign w:val="bottom"/>
          </w:tcPr>
          <w:p w14:paraId="630F5B0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27</w:t>
            </w:r>
          </w:p>
        </w:tc>
      </w:tr>
      <w:tr w:rsidR="00336F2F" w:rsidRPr="00336F2F" w14:paraId="39B849DC" w14:textId="77777777" w:rsidTr="00336F2F">
        <w:trPr>
          <w:cantSplit/>
          <w:trHeight w:val="240"/>
        </w:trPr>
        <w:tc>
          <w:tcPr>
            <w:tcW w:w="1560" w:type="dxa"/>
            <w:shd w:val="clear" w:color="auto" w:fill="auto"/>
          </w:tcPr>
          <w:p w14:paraId="0E538EF9"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al esposo</w:t>
            </w:r>
          </w:p>
        </w:tc>
        <w:tc>
          <w:tcPr>
            <w:tcW w:w="850" w:type="dxa"/>
            <w:shd w:val="clear" w:color="auto" w:fill="auto"/>
            <w:vAlign w:val="bottom"/>
          </w:tcPr>
          <w:p w14:paraId="36A0B24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1" w:type="dxa"/>
            <w:shd w:val="clear" w:color="auto" w:fill="auto"/>
            <w:vAlign w:val="bottom"/>
          </w:tcPr>
          <w:p w14:paraId="4DE46D77"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0" w:type="dxa"/>
            <w:shd w:val="clear" w:color="auto" w:fill="auto"/>
            <w:vAlign w:val="bottom"/>
          </w:tcPr>
          <w:p w14:paraId="4F484AF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c>
          <w:tcPr>
            <w:tcW w:w="851" w:type="dxa"/>
            <w:shd w:val="clear" w:color="auto" w:fill="auto"/>
            <w:vAlign w:val="bottom"/>
          </w:tcPr>
          <w:p w14:paraId="2371C72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c>
          <w:tcPr>
            <w:tcW w:w="708" w:type="dxa"/>
            <w:shd w:val="clear" w:color="auto" w:fill="auto"/>
            <w:vAlign w:val="bottom"/>
          </w:tcPr>
          <w:p w14:paraId="5EF28EB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w:t>
            </w:r>
          </w:p>
        </w:tc>
        <w:tc>
          <w:tcPr>
            <w:tcW w:w="851" w:type="dxa"/>
            <w:shd w:val="clear" w:color="auto" w:fill="auto"/>
            <w:vAlign w:val="bottom"/>
          </w:tcPr>
          <w:p w14:paraId="1A5AEBD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w:t>
            </w:r>
          </w:p>
        </w:tc>
        <w:tc>
          <w:tcPr>
            <w:tcW w:w="709" w:type="dxa"/>
            <w:shd w:val="clear" w:color="auto" w:fill="auto"/>
            <w:vAlign w:val="bottom"/>
          </w:tcPr>
          <w:p w14:paraId="2D1732C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850" w:type="dxa"/>
            <w:shd w:val="clear" w:color="auto" w:fill="auto"/>
            <w:vAlign w:val="bottom"/>
          </w:tcPr>
          <w:p w14:paraId="6E04170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709" w:type="dxa"/>
            <w:shd w:val="clear" w:color="auto" w:fill="auto"/>
            <w:vAlign w:val="bottom"/>
          </w:tcPr>
          <w:p w14:paraId="2DF3F807"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c>
          <w:tcPr>
            <w:tcW w:w="848" w:type="dxa"/>
            <w:shd w:val="clear" w:color="auto" w:fill="auto"/>
            <w:vAlign w:val="bottom"/>
          </w:tcPr>
          <w:p w14:paraId="037EFCE3"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r>
      <w:tr w:rsidR="00336F2F" w:rsidRPr="00336F2F" w14:paraId="08E6F6AF" w14:textId="77777777" w:rsidTr="00336F2F">
        <w:trPr>
          <w:cantSplit/>
          <w:trHeight w:val="240"/>
        </w:trPr>
        <w:tc>
          <w:tcPr>
            <w:tcW w:w="1560" w:type="dxa"/>
            <w:shd w:val="clear" w:color="auto" w:fill="auto"/>
          </w:tcPr>
          <w:p w14:paraId="6DF65C01"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infantil</w:t>
            </w:r>
          </w:p>
        </w:tc>
        <w:tc>
          <w:tcPr>
            <w:tcW w:w="850" w:type="dxa"/>
            <w:shd w:val="clear" w:color="auto" w:fill="auto"/>
            <w:vAlign w:val="bottom"/>
          </w:tcPr>
          <w:p w14:paraId="1F347F7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8</w:t>
            </w:r>
          </w:p>
        </w:tc>
        <w:tc>
          <w:tcPr>
            <w:tcW w:w="851" w:type="dxa"/>
            <w:shd w:val="clear" w:color="auto" w:fill="auto"/>
            <w:vAlign w:val="bottom"/>
          </w:tcPr>
          <w:p w14:paraId="3C0A975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0" w:type="dxa"/>
            <w:shd w:val="clear" w:color="auto" w:fill="auto"/>
            <w:vAlign w:val="bottom"/>
          </w:tcPr>
          <w:p w14:paraId="7D5C339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14</w:t>
            </w:r>
          </w:p>
        </w:tc>
        <w:tc>
          <w:tcPr>
            <w:tcW w:w="851" w:type="dxa"/>
            <w:shd w:val="clear" w:color="auto" w:fill="auto"/>
            <w:vAlign w:val="bottom"/>
          </w:tcPr>
          <w:p w14:paraId="55347CBA"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w:t>
            </w:r>
          </w:p>
        </w:tc>
        <w:tc>
          <w:tcPr>
            <w:tcW w:w="708" w:type="dxa"/>
            <w:shd w:val="clear" w:color="auto" w:fill="auto"/>
            <w:vAlign w:val="bottom"/>
          </w:tcPr>
          <w:p w14:paraId="59A1C70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31</w:t>
            </w:r>
          </w:p>
        </w:tc>
        <w:tc>
          <w:tcPr>
            <w:tcW w:w="851" w:type="dxa"/>
            <w:shd w:val="clear" w:color="auto" w:fill="auto"/>
            <w:vAlign w:val="bottom"/>
          </w:tcPr>
          <w:p w14:paraId="2E5E5BF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32</w:t>
            </w:r>
          </w:p>
        </w:tc>
        <w:tc>
          <w:tcPr>
            <w:tcW w:w="709" w:type="dxa"/>
            <w:shd w:val="clear" w:color="auto" w:fill="auto"/>
            <w:vAlign w:val="bottom"/>
          </w:tcPr>
          <w:p w14:paraId="74FB2AE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w:t>
            </w:r>
          </w:p>
        </w:tc>
        <w:tc>
          <w:tcPr>
            <w:tcW w:w="850" w:type="dxa"/>
            <w:shd w:val="clear" w:color="auto" w:fill="auto"/>
            <w:vAlign w:val="bottom"/>
          </w:tcPr>
          <w:p w14:paraId="62AA031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22</w:t>
            </w:r>
          </w:p>
        </w:tc>
        <w:tc>
          <w:tcPr>
            <w:tcW w:w="709" w:type="dxa"/>
            <w:shd w:val="clear" w:color="auto" w:fill="auto"/>
            <w:vAlign w:val="bottom"/>
          </w:tcPr>
          <w:p w14:paraId="2F463AB1"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15</w:t>
            </w:r>
          </w:p>
        </w:tc>
        <w:tc>
          <w:tcPr>
            <w:tcW w:w="848" w:type="dxa"/>
            <w:shd w:val="clear" w:color="auto" w:fill="auto"/>
            <w:vAlign w:val="bottom"/>
          </w:tcPr>
          <w:p w14:paraId="344652E5"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w:t>
            </w:r>
          </w:p>
        </w:tc>
      </w:tr>
      <w:tr w:rsidR="00336F2F" w:rsidRPr="00336F2F" w14:paraId="6CBA7FC0" w14:textId="77777777" w:rsidTr="00336F2F">
        <w:trPr>
          <w:cantSplit/>
          <w:trHeight w:val="240"/>
        </w:trPr>
        <w:tc>
          <w:tcPr>
            <w:tcW w:w="1560" w:type="dxa"/>
            <w:shd w:val="clear" w:color="auto" w:fill="auto"/>
          </w:tcPr>
          <w:p w14:paraId="1F9242BC"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a ancianos</w:t>
            </w:r>
          </w:p>
        </w:tc>
        <w:tc>
          <w:tcPr>
            <w:tcW w:w="850" w:type="dxa"/>
            <w:shd w:val="clear" w:color="auto" w:fill="auto"/>
            <w:vAlign w:val="bottom"/>
          </w:tcPr>
          <w:p w14:paraId="4916F1C0"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1" w:type="dxa"/>
            <w:shd w:val="clear" w:color="auto" w:fill="auto"/>
            <w:vAlign w:val="bottom"/>
          </w:tcPr>
          <w:p w14:paraId="1045293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0" w:type="dxa"/>
            <w:shd w:val="clear" w:color="auto" w:fill="auto"/>
            <w:vAlign w:val="bottom"/>
          </w:tcPr>
          <w:p w14:paraId="484B145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851" w:type="dxa"/>
            <w:shd w:val="clear" w:color="auto" w:fill="auto"/>
            <w:vAlign w:val="bottom"/>
          </w:tcPr>
          <w:p w14:paraId="03586D5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708" w:type="dxa"/>
            <w:shd w:val="clear" w:color="auto" w:fill="auto"/>
            <w:vAlign w:val="bottom"/>
          </w:tcPr>
          <w:p w14:paraId="7267F96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1" w:type="dxa"/>
            <w:shd w:val="clear" w:color="auto" w:fill="auto"/>
            <w:vAlign w:val="bottom"/>
          </w:tcPr>
          <w:p w14:paraId="19D89B5F"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709" w:type="dxa"/>
            <w:shd w:val="clear" w:color="auto" w:fill="auto"/>
            <w:vAlign w:val="bottom"/>
          </w:tcPr>
          <w:p w14:paraId="25CD5E2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c>
          <w:tcPr>
            <w:tcW w:w="850" w:type="dxa"/>
            <w:shd w:val="clear" w:color="auto" w:fill="auto"/>
            <w:vAlign w:val="bottom"/>
          </w:tcPr>
          <w:p w14:paraId="52A20BC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c>
          <w:tcPr>
            <w:tcW w:w="709" w:type="dxa"/>
            <w:shd w:val="clear" w:color="auto" w:fill="auto"/>
            <w:vAlign w:val="bottom"/>
          </w:tcPr>
          <w:p w14:paraId="2DAADD0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0</w:t>
            </w:r>
          </w:p>
        </w:tc>
        <w:tc>
          <w:tcPr>
            <w:tcW w:w="848" w:type="dxa"/>
            <w:shd w:val="clear" w:color="auto" w:fill="auto"/>
            <w:vAlign w:val="bottom"/>
          </w:tcPr>
          <w:p w14:paraId="0EEE72E5"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0</w:t>
            </w:r>
          </w:p>
        </w:tc>
      </w:tr>
      <w:tr w:rsidR="00336F2F" w:rsidRPr="00336F2F" w14:paraId="4C55CA07" w14:textId="77777777" w:rsidTr="00336F2F">
        <w:trPr>
          <w:cantSplit/>
          <w:trHeight w:val="240"/>
        </w:trPr>
        <w:tc>
          <w:tcPr>
            <w:tcW w:w="1560" w:type="dxa"/>
            <w:tcBorders>
              <w:bottom w:val="single" w:sz="4" w:space="0" w:color="auto"/>
            </w:tcBorders>
            <w:shd w:val="clear" w:color="auto" w:fill="auto"/>
          </w:tcPr>
          <w:p w14:paraId="49C3CA4E"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 xml:space="preserve">Violencia infligida por miembros </w:t>
            </w:r>
            <w:r w:rsidR="005B6D39">
              <w:rPr>
                <w:sz w:val="18"/>
                <w:lang w:val="es-ES_tradnl"/>
              </w:rPr>
              <w:br/>
            </w:r>
            <w:r w:rsidRPr="00FA40F2">
              <w:rPr>
                <w:sz w:val="18"/>
                <w:lang w:val="es-ES_tradnl"/>
              </w:rPr>
              <w:t>de la familia</w:t>
            </w:r>
          </w:p>
        </w:tc>
        <w:tc>
          <w:tcPr>
            <w:tcW w:w="850" w:type="dxa"/>
            <w:tcBorders>
              <w:bottom w:val="single" w:sz="4" w:space="0" w:color="auto"/>
            </w:tcBorders>
            <w:shd w:val="clear" w:color="auto" w:fill="auto"/>
            <w:vAlign w:val="bottom"/>
          </w:tcPr>
          <w:p w14:paraId="7734FF5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18</w:t>
            </w:r>
          </w:p>
        </w:tc>
        <w:tc>
          <w:tcPr>
            <w:tcW w:w="851" w:type="dxa"/>
            <w:tcBorders>
              <w:bottom w:val="single" w:sz="4" w:space="0" w:color="auto"/>
            </w:tcBorders>
            <w:shd w:val="clear" w:color="auto" w:fill="auto"/>
            <w:vAlign w:val="bottom"/>
          </w:tcPr>
          <w:p w14:paraId="47352AE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18</w:t>
            </w:r>
          </w:p>
        </w:tc>
        <w:tc>
          <w:tcPr>
            <w:tcW w:w="850" w:type="dxa"/>
            <w:tcBorders>
              <w:bottom w:val="single" w:sz="4" w:space="0" w:color="auto"/>
            </w:tcBorders>
            <w:shd w:val="clear" w:color="auto" w:fill="auto"/>
            <w:vAlign w:val="bottom"/>
          </w:tcPr>
          <w:p w14:paraId="5DBC195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851" w:type="dxa"/>
            <w:tcBorders>
              <w:bottom w:val="single" w:sz="4" w:space="0" w:color="auto"/>
            </w:tcBorders>
            <w:shd w:val="clear" w:color="auto" w:fill="auto"/>
            <w:vAlign w:val="bottom"/>
          </w:tcPr>
          <w:p w14:paraId="1425F42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708" w:type="dxa"/>
            <w:tcBorders>
              <w:bottom w:val="single" w:sz="4" w:space="0" w:color="auto"/>
            </w:tcBorders>
            <w:shd w:val="clear" w:color="auto" w:fill="auto"/>
            <w:vAlign w:val="bottom"/>
          </w:tcPr>
          <w:p w14:paraId="0F136CAF"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1" w:type="dxa"/>
            <w:tcBorders>
              <w:bottom w:val="single" w:sz="4" w:space="0" w:color="auto"/>
            </w:tcBorders>
            <w:shd w:val="clear" w:color="auto" w:fill="auto"/>
            <w:vAlign w:val="bottom"/>
          </w:tcPr>
          <w:p w14:paraId="773D2F1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709" w:type="dxa"/>
            <w:tcBorders>
              <w:bottom w:val="single" w:sz="4" w:space="0" w:color="auto"/>
            </w:tcBorders>
            <w:shd w:val="clear" w:color="auto" w:fill="auto"/>
            <w:vAlign w:val="bottom"/>
          </w:tcPr>
          <w:p w14:paraId="01457EE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0" w:type="dxa"/>
            <w:tcBorders>
              <w:bottom w:val="single" w:sz="4" w:space="0" w:color="auto"/>
            </w:tcBorders>
            <w:shd w:val="clear" w:color="auto" w:fill="auto"/>
            <w:vAlign w:val="bottom"/>
          </w:tcPr>
          <w:p w14:paraId="6222E24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w:t>
            </w:r>
          </w:p>
        </w:tc>
        <w:tc>
          <w:tcPr>
            <w:tcW w:w="709" w:type="dxa"/>
            <w:tcBorders>
              <w:bottom w:val="single" w:sz="4" w:space="0" w:color="auto"/>
            </w:tcBorders>
            <w:shd w:val="clear" w:color="auto" w:fill="auto"/>
            <w:vAlign w:val="bottom"/>
          </w:tcPr>
          <w:p w14:paraId="6F50712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c>
          <w:tcPr>
            <w:tcW w:w="848" w:type="dxa"/>
            <w:tcBorders>
              <w:bottom w:val="single" w:sz="4" w:space="0" w:color="auto"/>
            </w:tcBorders>
            <w:shd w:val="clear" w:color="auto" w:fill="auto"/>
            <w:vAlign w:val="bottom"/>
          </w:tcPr>
          <w:p w14:paraId="7C11A78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r>
      <w:tr w:rsidR="00336F2F" w:rsidRPr="00336F2F" w14:paraId="2710326E" w14:textId="77777777" w:rsidTr="00336F2F">
        <w:trPr>
          <w:cantSplit/>
          <w:trHeight w:val="240"/>
        </w:trPr>
        <w:tc>
          <w:tcPr>
            <w:tcW w:w="1560" w:type="dxa"/>
            <w:tcBorders>
              <w:top w:val="single" w:sz="4" w:space="0" w:color="auto"/>
              <w:bottom w:val="single" w:sz="12" w:space="0" w:color="auto"/>
            </w:tcBorders>
            <w:shd w:val="clear" w:color="auto" w:fill="auto"/>
          </w:tcPr>
          <w:p w14:paraId="1234477C" w14:textId="77777777" w:rsidR="00FA40F2" w:rsidRPr="00FA40F2" w:rsidRDefault="00FA40F2" w:rsidP="00336F2F">
            <w:pPr>
              <w:pStyle w:val="SingleTxtG"/>
              <w:spacing w:before="80" w:after="80" w:line="220" w:lineRule="exact"/>
              <w:ind w:left="283" w:right="0"/>
              <w:jc w:val="left"/>
              <w:rPr>
                <w:b/>
                <w:sz w:val="18"/>
                <w:lang w:val="es-ES_tradnl"/>
              </w:rPr>
            </w:pPr>
            <w:r w:rsidRPr="00FA40F2">
              <w:rPr>
                <w:b/>
                <w:bCs/>
                <w:sz w:val="18"/>
                <w:lang w:val="es-ES_tradnl"/>
              </w:rPr>
              <w:t>Total</w:t>
            </w:r>
            <w:r w:rsidRPr="00FA40F2">
              <w:rPr>
                <w:sz w:val="18"/>
                <w:lang w:val="es-ES_tradnl"/>
              </w:rPr>
              <w:t>*</w:t>
            </w:r>
          </w:p>
        </w:tc>
        <w:tc>
          <w:tcPr>
            <w:tcW w:w="850" w:type="dxa"/>
            <w:tcBorders>
              <w:top w:val="single" w:sz="4" w:space="0" w:color="auto"/>
              <w:bottom w:val="single" w:sz="12" w:space="0" w:color="auto"/>
            </w:tcBorders>
            <w:shd w:val="clear" w:color="auto" w:fill="auto"/>
            <w:vAlign w:val="bottom"/>
          </w:tcPr>
          <w:p w14:paraId="7AA72AD2"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69</w:t>
            </w:r>
          </w:p>
        </w:tc>
        <w:tc>
          <w:tcPr>
            <w:tcW w:w="851" w:type="dxa"/>
            <w:tcBorders>
              <w:top w:val="single" w:sz="4" w:space="0" w:color="auto"/>
              <w:bottom w:val="single" w:sz="12" w:space="0" w:color="auto"/>
            </w:tcBorders>
            <w:shd w:val="clear" w:color="auto" w:fill="auto"/>
            <w:vAlign w:val="bottom"/>
          </w:tcPr>
          <w:p w14:paraId="7A22C521"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71</w:t>
            </w:r>
          </w:p>
        </w:tc>
        <w:tc>
          <w:tcPr>
            <w:tcW w:w="850" w:type="dxa"/>
            <w:tcBorders>
              <w:top w:val="single" w:sz="4" w:space="0" w:color="auto"/>
              <w:bottom w:val="single" w:sz="12" w:space="0" w:color="auto"/>
            </w:tcBorders>
            <w:shd w:val="clear" w:color="auto" w:fill="auto"/>
            <w:vAlign w:val="bottom"/>
          </w:tcPr>
          <w:p w14:paraId="22F17328"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80</w:t>
            </w:r>
          </w:p>
        </w:tc>
        <w:tc>
          <w:tcPr>
            <w:tcW w:w="851" w:type="dxa"/>
            <w:tcBorders>
              <w:top w:val="single" w:sz="4" w:space="0" w:color="auto"/>
              <w:bottom w:val="single" w:sz="12" w:space="0" w:color="auto"/>
            </w:tcBorders>
            <w:shd w:val="clear" w:color="auto" w:fill="auto"/>
            <w:vAlign w:val="bottom"/>
          </w:tcPr>
          <w:p w14:paraId="23DB9C3A"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82</w:t>
            </w:r>
          </w:p>
        </w:tc>
        <w:tc>
          <w:tcPr>
            <w:tcW w:w="708" w:type="dxa"/>
            <w:tcBorders>
              <w:top w:val="single" w:sz="4" w:space="0" w:color="auto"/>
              <w:bottom w:val="single" w:sz="12" w:space="0" w:color="auto"/>
            </w:tcBorders>
            <w:shd w:val="clear" w:color="auto" w:fill="auto"/>
            <w:vAlign w:val="bottom"/>
          </w:tcPr>
          <w:p w14:paraId="3B05169E"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140</w:t>
            </w:r>
          </w:p>
        </w:tc>
        <w:tc>
          <w:tcPr>
            <w:tcW w:w="851" w:type="dxa"/>
            <w:tcBorders>
              <w:top w:val="single" w:sz="4" w:space="0" w:color="auto"/>
              <w:bottom w:val="single" w:sz="12" w:space="0" w:color="auto"/>
            </w:tcBorders>
            <w:shd w:val="clear" w:color="auto" w:fill="auto"/>
            <w:vAlign w:val="bottom"/>
          </w:tcPr>
          <w:p w14:paraId="4D41720E"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142</w:t>
            </w:r>
          </w:p>
        </w:tc>
        <w:tc>
          <w:tcPr>
            <w:tcW w:w="709" w:type="dxa"/>
            <w:tcBorders>
              <w:top w:val="single" w:sz="4" w:space="0" w:color="auto"/>
              <w:bottom w:val="single" w:sz="12" w:space="0" w:color="auto"/>
            </w:tcBorders>
            <w:shd w:val="clear" w:color="auto" w:fill="auto"/>
            <w:vAlign w:val="bottom"/>
          </w:tcPr>
          <w:p w14:paraId="62C167F0"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96</w:t>
            </w:r>
          </w:p>
        </w:tc>
        <w:tc>
          <w:tcPr>
            <w:tcW w:w="850" w:type="dxa"/>
            <w:tcBorders>
              <w:top w:val="single" w:sz="4" w:space="0" w:color="auto"/>
              <w:bottom w:val="single" w:sz="12" w:space="0" w:color="auto"/>
            </w:tcBorders>
            <w:shd w:val="clear" w:color="auto" w:fill="auto"/>
            <w:vAlign w:val="bottom"/>
          </w:tcPr>
          <w:p w14:paraId="30BD4EC3"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99</w:t>
            </w:r>
          </w:p>
        </w:tc>
        <w:tc>
          <w:tcPr>
            <w:tcW w:w="709" w:type="dxa"/>
            <w:tcBorders>
              <w:top w:val="single" w:sz="4" w:space="0" w:color="auto"/>
              <w:bottom w:val="single" w:sz="12" w:space="0" w:color="auto"/>
            </w:tcBorders>
            <w:shd w:val="clear" w:color="auto" w:fill="auto"/>
            <w:vAlign w:val="bottom"/>
          </w:tcPr>
          <w:p w14:paraId="698349E2"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47</w:t>
            </w:r>
          </w:p>
        </w:tc>
        <w:tc>
          <w:tcPr>
            <w:tcW w:w="848" w:type="dxa"/>
            <w:tcBorders>
              <w:top w:val="single" w:sz="4" w:space="0" w:color="auto"/>
              <w:bottom w:val="single" w:sz="12" w:space="0" w:color="auto"/>
            </w:tcBorders>
            <w:shd w:val="clear" w:color="auto" w:fill="auto"/>
            <w:vAlign w:val="bottom"/>
          </w:tcPr>
          <w:p w14:paraId="6CB64209"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48</w:t>
            </w:r>
          </w:p>
        </w:tc>
      </w:tr>
    </w:tbl>
    <w:p w14:paraId="336B73D0" w14:textId="77777777" w:rsidR="00FA40F2" w:rsidRPr="00FA40F2" w:rsidRDefault="00FA40F2" w:rsidP="00DF727C">
      <w:pPr>
        <w:pStyle w:val="SingleTxtG"/>
        <w:spacing w:before="120" w:after="0"/>
        <w:ind w:left="0" w:firstLine="170"/>
        <w:rPr>
          <w:sz w:val="18"/>
          <w:szCs w:val="18"/>
          <w:lang w:val="es-ES_tradnl"/>
        </w:rPr>
      </w:pPr>
      <w:r w:rsidRPr="00FA40F2">
        <w:rPr>
          <w:i/>
          <w:iCs/>
          <w:sz w:val="18"/>
          <w:szCs w:val="18"/>
          <w:lang w:val="es-ES_tradnl"/>
        </w:rPr>
        <w:t>Fuente</w:t>
      </w:r>
      <w:r w:rsidRPr="00636933">
        <w:rPr>
          <w:i/>
          <w:iCs/>
          <w:sz w:val="18"/>
          <w:szCs w:val="18"/>
          <w:lang w:val="es-ES_tradnl"/>
        </w:rPr>
        <w:t>:</w:t>
      </w:r>
      <w:r w:rsidRPr="00FA40F2">
        <w:rPr>
          <w:sz w:val="18"/>
          <w:szCs w:val="18"/>
          <w:lang w:val="es-ES_tradnl"/>
        </w:rPr>
        <w:t xml:space="preserve"> Oficina de Bienestar Social.</w:t>
      </w:r>
    </w:p>
    <w:p w14:paraId="3C46C1D6" w14:textId="77777777" w:rsidR="00FA40F2" w:rsidRPr="00FA40F2" w:rsidRDefault="00FA40F2" w:rsidP="00DF727C">
      <w:pPr>
        <w:pStyle w:val="SingleTxtG"/>
        <w:ind w:left="0" w:firstLine="170"/>
        <w:rPr>
          <w:sz w:val="18"/>
          <w:szCs w:val="18"/>
          <w:lang w:val="es-ES_tradnl"/>
        </w:rPr>
      </w:pPr>
      <w:r w:rsidRPr="00FA40F2">
        <w:rPr>
          <w:sz w:val="18"/>
          <w:szCs w:val="18"/>
          <w:lang w:val="es-ES_tradnl"/>
        </w:rPr>
        <w:t>*</w:t>
      </w:r>
      <w:r w:rsidR="00336F2F">
        <w:rPr>
          <w:sz w:val="18"/>
          <w:szCs w:val="18"/>
          <w:lang w:val="es-ES_tradnl"/>
        </w:rPr>
        <w:t xml:space="preserve"> </w:t>
      </w:r>
      <w:r w:rsidRPr="00FA40F2">
        <w:rPr>
          <w:sz w:val="18"/>
          <w:szCs w:val="18"/>
          <w:lang w:val="es-ES_tradnl"/>
        </w:rPr>
        <w:t xml:space="preserve"> En algunos casos hay más de un tipo de maltrato.</w:t>
      </w:r>
    </w:p>
    <w:p w14:paraId="01870F54" w14:textId="77777777" w:rsidR="00FA40F2" w:rsidRPr="00FA40F2" w:rsidRDefault="00FA40F2" w:rsidP="00FA40F2">
      <w:pPr>
        <w:pStyle w:val="SingleTxtG"/>
        <w:rPr>
          <w:lang w:val="es-ES_tradnl"/>
        </w:rPr>
      </w:pPr>
      <w:r w:rsidRPr="00FA40F2">
        <w:rPr>
          <w:lang w:val="es-ES_tradnl"/>
        </w:rPr>
        <w:t>127.</w:t>
      </w:r>
      <w:r w:rsidRPr="00FA40F2">
        <w:rPr>
          <w:lang w:val="es-ES_tradnl"/>
        </w:rPr>
        <w:tab/>
        <w:t>En 2016 se estableció una Red de Servicios de Apoyo ante Crisis Familiares con el fin de evaluar el riesgo de que las víctimas sufran maltrato físico, mental o sexual, incluidos el alcance y el historial de maltratos y la posibilidad de que haya otras víctimas, así como para adoptar medidas adecuadas (seguimiento, gestión de crisis y orientación).</w:t>
      </w:r>
    </w:p>
    <w:p w14:paraId="3563C22A" w14:textId="77777777" w:rsidR="00FA40F2" w:rsidRPr="00FA40F2" w:rsidRDefault="00FA40F2" w:rsidP="00336F2F">
      <w:pPr>
        <w:pStyle w:val="H23G"/>
        <w:rPr>
          <w:lang w:val="es-ES_tradnl"/>
        </w:rPr>
      </w:pPr>
      <w:r w:rsidRPr="00FA40F2">
        <w:rPr>
          <w:lang w:val="es-ES_tradnl"/>
        </w:rPr>
        <w:tab/>
      </w:r>
      <w:r w:rsidR="00336F2F">
        <w:rPr>
          <w:lang w:val="es-ES_tradnl"/>
        </w:rPr>
        <w:tab/>
      </w:r>
      <w:r w:rsidRPr="00FA40F2">
        <w:rPr>
          <w:lang w:val="es-ES_tradnl"/>
        </w:rPr>
        <w:t>Casos atendidos por la Oficina de Bienestar Social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9"/>
        <w:gridCol w:w="1020"/>
        <w:gridCol w:w="1020"/>
        <w:gridCol w:w="1020"/>
        <w:gridCol w:w="1020"/>
        <w:gridCol w:w="1021"/>
      </w:tblGrid>
      <w:tr w:rsidR="009D19E6" w:rsidRPr="009D19E6" w14:paraId="2FC8A8B3" w14:textId="77777777" w:rsidTr="009D19E6">
        <w:trPr>
          <w:cantSplit/>
          <w:trHeight w:val="240"/>
          <w:tblHeader/>
        </w:trPr>
        <w:tc>
          <w:tcPr>
            <w:tcW w:w="1539" w:type="pct"/>
            <w:tcBorders>
              <w:top w:val="single" w:sz="4" w:space="0" w:color="auto"/>
              <w:bottom w:val="single" w:sz="12" w:space="0" w:color="auto"/>
            </w:tcBorders>
            <w:shd w:val="clear" w:color="auto" w:fill="auto"/>
            <w:vAlign w:val="bottom"/>
          </w:tcPr>
          <w:p w14:paraId="4F1C8506" w14:textId="77777777" w:rsidR="00FA40F2" w:rsidRPr="00FA40F2" w:rsidRDefault="00FA40F2" w:rsidP="009D19E6">
            <w:pPr>
              <w:pStyle w:val="SingleTxtG"/>
              <w:spacing w:before="80" w:after="80" w:line="200" w:lineRule="exact"/>
              <w:ind w:left="0" w:right="0"/>
              <w:jc w:val="left"/>
              <w:rPr>
                <w:i/>
                <w:sz w:val="16"/>
                <w:lang w:val="es-ES_tradnl"/>
              </w:rPr>
            </w:pPr>
            <w:r w:rsidRPr="00FA40F2">
              <w:rPr>
                <w:i/>
                <w:iCs/>
                <w:sz w:val="16"/>
                <w:lang w:val="es-ES_tradnl"/>
              </w:rPr>
              <w:t>Tipo/Año</w:t>
            </w:r>
          </w:p>
        </w:tc>
        <w:tc>
          <w:tcPr>
            <w:tcW w:w="692" w:type="pct"/>
            <w:tcBorders>
              <w:top w:val="single" w:sz="4" w:space="0" w:color="auto"/>
              <w:bottom w:val="single" w:sz="12" w:space="0" w:color="auto"/>
            </w:tcBorders>
            <w:shd w:val="clear" w:color="auto" w:fill="auto"/>
            <w:vAlign w:val="bottom"/>
          </w:tcPr>
          <w:p w14:paraId="14280C3A"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2014</w:t>
            </w:r>
          </w:p>
        </w:tc>
        <w:tc>
          <w:tcPr>
            <w:tcW w:w="692" w:type="pct"/>
            <w:tcBorders>
              <w:top w:val="single" w:sz="4" w:space="0" w:color="auto"/>
              <w:bottom w:val="single" w:sz="12" w:space="0" w:color="auto"/>
            </w:tcBorders>
            <w:shd w:val="clear" w:color="auto" w:fill="auto"/>
            <w:vAlign w:val="bottom"/>
          </w:tcPr>
          <w:p w14:paraId="5F69C6C3"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2015</w:t>
            </w:r>
          </w:p>
        </w:tc>
        <w:tc>
          <w:tcPr>
            <w:tcW w:w="692" w:type="pct"/>
            <w:tcBorders>
              <w:top w:val="single" w:sz="4" w:space="0" w:color="auto"/>
              <w:bottom w:val="single" w:sz="12" w:space="0" w:color="auto"/>
            </w:tcBorders>
            <w:shd w:val="clear" w:color="auto" w:fill="auto"/>
            <w:vAlign w:val="bottom"/>
          </w:tcPr>
          <w:p w14:paraId="77FB21CB"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2016</w:t>
            </w:r>
          </w:p>
        </w:tc>
        <w:tc>
          <w:tcPr>
            <w:tcW w:w="692" w:type="pct"/>
            <w:tcBorders>
              <w:top w:val="single" w:sz="4" w:space="0" w:color="auto"/>
              <w:bottom w:val="single" w:sz="12" w:space="0" w:color="auto"/>
            </w:tcBorders>
            <w:shd w:val="clear" w:color="auto" w:fill="auto"/>
            <w:vAlign w:val="bottom"/>
          </w:tcPr>
          <w:p w14:paraId="784C6BB8"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2017</w:t>
            </w:r>
          </w:p>
        </w:tc>
        <w:tc>
          <w:tcPr>
            <w:tcW w:w="693" w:type="pct"/>
            <w:tcBorders>
              <w:top w:val="single" w:sz="4" w:space="0" w:color="auto"/>
              <w:bottom w:val="single" w:sz="12" w:space="0" w:color="auto"/>
            </w:tcBorders>
            <w:shd w:val="clear" w:color="auto" w:fill="auto"/>
            <w:vAlign w:val="bottom"/>
          </w:tcPr>
          <w:p w14:paraId="26CD5F2A" w14:textId="77777777" w:rsidR="00FA40F2" w:rsidRPr="00FA40F2" w:rsidRDefault="00B30E6D" w:rsidP="00636933">
            <w:pPr>
              <w:pStyle w:val="SingleTxtG"/>
              <w:spacing w:before="80" w:after="80" w:line="200" w:lineRule="exact"/>
              <w:ind w:left="113" w:right="11"/>
              <w:jc w:val="right"/>
              <w:rPr>
                <w:i/>
                <w:sz w:val="16"/>
                <w:lang w:val="es-ES_tradnl"/>
              </w:rPr>
            </w:pPr>
            <w:r>
              <w:rPr>
                <w:i/>
                <w:iCs/>
                <w:sz w:val="16"/>
                <w:lang w:val="es-ES_tradnl"/>
              </w:rPr>
              <w:t>Septiembre de </w:t>
            </w:r>
            <w:r w:rsidR="00FA40F2" w:rsidRPr="00FA40F2">
              <w:rPr>
                <w:i/>
                <w:iCs/>
                <w:sz w:val="16"/>
                <w:lang w:val="es-ES_tradnl"/>
              </w:rPr>
              <w:t>2018</w:t>
            </w:r>
          </w:p>
        </w:tc>
      </w:tr>
      <w:tr w:rsidR="009D19E6" w:rsidRPr="00FA40F2" w14:paraId="1748D596" w14:textId="77777777" w:rsidTr="009D19E6">
        <w:trPr>
          <w:cantSplit/>
          <w:trHeight w:val="240"/>
        </w:trPr>
        <w:tc>
          <w:tcPr>
            <w:tcW w:w="1539" w:type="pct"/>
            <w:tcBorders>
              <w:top w:val="single" w:sz="12" w:space="0" w:color="auto"/>
            </w:tcBorders>
            <w:shd w:val="clear" w:color="auto" w:fill="auto"/>
            <w:hideMark/>
          </w:tcPr>
          <w:p w14:paraId="3FFC97B8"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Suicidio</w:t>
            </w:r>
          </w:p>
        </w:tc>
        <w:tc>
          <w:tcPr>
            <w:tcW w:w="692" w:type="pct"/>
            <w:tcBorders>
              <w:top w:val="single" w:sz="12" w:space="0" w:color="auto"/>
            </w:tcBorders>
            <w:shd w:val="clear" w:color="auto" w:fill="auto"/>
            <w:vAlign w:val="bottom"/>
            <w:hideMark/>
          </w:tcPr>
          <w:p w14:paraId="58554CA0"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w:t>
            </w:r>
          </w:p>
        </w:tc>
        <w:tc>
          <w:tcPr>
            <w:tcW w:w="692" w:type="pct"/>
            <w:tcBorders>
              <w:top w:val="single" w:sz="12" w:space="0" w:color="auto"/>
            </w:tcBorders>
            <w:shd w:val="clear" w:color="auto" w:fill="auto"/>
            <w:vAlign w:val="bottom"/>
            <w:hideMark/>
          </w:tcPr>
          <w:p w14:paraId="5B698DB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692" w:type="pct"/>
            <w:tcBorders>
              <w:top w:val="single" w:sz="12" w:space="0" w:color="auto"/>
            </w:tcBorders>
            <w:shd w:val="clear" w:color="auto" w:fill="auto"/>
            <w:vAlign w:val="bottom"/>
            <w:hideMark/>
          </w:tcPr>
          <w:p w14:paraId="7B6E550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692" w:type="pct"/>
            <w:tcBorders>
              <w:top w:val="single" w:sz="12" w:space="0" w:color="auto"/>
            </w:tcBorders>
            <w:shd w:val="clear" w:color="auto" w:fill="auto"/>
            <w:vAlign w:val="bottom"/>
            <w:hideMark/>
          </w:tcPr>
          <w:p w14:paraId="52C2076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23</w:t>
            </w:r>
          </w:p>
        </w:tc>
        <w:tc>
          <w:tcPr>
            <w:tcW w:w="693" w:type="pct"/>
            <w:tcBorders>
              <w:top w:val="single" w:sz="12" w:space="0" w:color="auto"/>
            </w:tcBorders>
            <w:shd w:val="clear" w:color="auto" w:fill="auto"/>
            <w:vAlign w:val="bottom"/>
          </w:tcPr>
          <w:p w14:paraId="78A2C41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r>
      <w:tr w:rsidR="009D19E6" w:rsidRPr="00FA40F2" w14:paraId="60438DE9" w14:textId="77777777" w:rsidTr="009D19E6">
        <w:trPr>
          <w:cantSplit/>
          <w:trHeight w:val="240"/>
        </w:trPr>
        <w:tc>
          <w:tcPr>
            <w:tcW w:w="1539" w:type="pct"/>
            <w:shd w:val="clear" w:color="auto" w:fill="auto"/>
            <w:hideMark/>
          </w:tcPr>
          <w:p w14:paraId="60369676"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Trastornos emocionales</w:t>
            </w:r>
          </w:p>
        </w:tc>
        <w:tc>
          <w:tcPr>
            <w:tcW w:w="692" w:type="pct"/>
            <w:shd w:val="clear" w:color="auto" w:fill="auto"/>
            <w:vAlign w:val="bottom"/>
            <w:hideMark/>
          </w:tcPr>
          <w:p w14:paraId="293704D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246</w:t>
            </w:r>
          </w:p>
        </w:tc>
        <w:tc>
          <w:tcPr>
            <w:tcW w:w="692" w:type="pct"/>
            <w:shd w:val="clear" w:color="auto" w:fill="auto"/>
            <w:vAlign w:val="bottom"/>
            <w:hideMark/>
          </w:tcPr>
          <w:p w14:paraId="3EC142A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254</w:t>
            </w:r>
          </w:p>
        </w:tc>
        <w:tc>
          <w:tcPr>
            <w:tcW w:w="692" w:type="pct"/>
            <w:shd w:val="clear" w:color="auto" w:fill="auto"/>
            <w:vAlign w:val="bottom"/>
            <w:hideMark/>
          </w:tcPr>
          <w:p w14:paraId="17271AB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203</w:t>
            </w:r>
          </w:p>
        </w:tc>
        <w:tc>
          <w:tcPr>
            <w:tcW w:w="692" w:type="pct"/>
            <w:shd w:val="clear" w:color="auto" w:fill="auto"/>
            <w:vAlign w:val="bottom"/>
            <w:hideMark/>
          </w:tcPr>
          <w:p w14:paraId="5238F011"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214</w:t>
            </w:r>
          </w:p>
        </w:tc>
        <w:tc>
          <w:tcPr>
            <w:tcW w:w="693" w:type="pct"/>
            <w:shd w:val="clear" w:color="auto" w:fill="auto"/>
            <w:vAlign w:val="bottom"/>
          </w:tcPr>
          <w:p w14:paraId="6D5E933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104</w:t>
            </w:r>
          </w:p>
        </w:tc>
      </w:tr>
      <w:tr w:rsidR="009D19E6" w:rsidRPr="00FA40F2" w14:paraId="1E260694" w14:textId="77777777" w:rsidTr="009D19E6">
        <w:trPr>
          <w:cantSplit/>
          <w:trHeight w:val="240"/>
        </w:trPr>
        <w:tc>
          <w:tcPr>
            <w:tcW w:w="1539" w:type="pct"/>
            <w:shd w:val="clear" w:color="auto" w:fill="auto"/>
            <w:hideMark/>
          </w:tcPr>
          <w:p w14:paraId="1AA7FC23"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 xml:space="preserve">Descuido de </w:t>
            </w:r>
            <w:proofErr w:type="spellStart"/>
            <w:r w:rsidRPr="00FA40F2">
              <w:rPr>
                <w:sz w:val="18"/>
                <w:lang w:val="es-ES_tradnl"/>
              </w:rPr>
              <w:t>niños</w:t>
            </w:r>
            <w:r w:rsidRPr="005B6D39">
              <w:rPr>
                <w:sz w:val="16"/>
                <w:szCs w:val="18"/>
                <w:vertAlign w:val="superscript"/>
                <w:lang w:val="es-ES_tradnl"/>
              </w:rPr>
              <w:t>1</w:t>
            </w:r>
            <w:proofErr w:type="spellEnd"/>
          </w:p>
        </w:tc>
        <w:tc>
          <w:tcPr>
            <w:tcW w:w="692" w:type="pct"/>
            <w:shd w:val="clear" w:color="auto" w:fill="auto"/>
            <w:vAlign w:val="bottom"/>
            <w:hideMark/>
          </w:tcPr>
          <w:p w14:paraId="3980920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w:t>
            </w:r>
          </w:p>
        </w:tc>
        <w:tc>
          <w:tcPr>
            <w:tcW w:w="692" w:type="pct"/>
            <w:shd w:val="clear" w:color="auto" w:fill="auto"/>
            <w:vAlign w:val="bottom"/>
            <w:hideMark/>
          </w:tcPr>
          <w:p w14:paraId="146FAD34" w14:textId="77777777" w:rsidR="00FA40F2" w:rsidRPr="005B6D39" w:rsidRDefault="00FA40F2"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c>
          <w:tcPr>
            <w:tcW w:w="692" w:type="pct"/>
            <w:shd w:val="clear" w:color="auto" w:fill="auto"/>
            <w:vAlign w:val="bottom"/>
            <w:hideMark/>
          </w:tcPr>
          <w:p w14:paraId="1B546B60" w14:textId="77777777" w:rsidR="00FA40F2" w:rsidRPr="005B6D39" w:rsidRDefault="005B6D39"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c>
          <w:tcPr>
            <w:tcW w:w="692" w:type="pct"/>
            <w:shd w:val="clear" w:color="auto" w:fill="auto"/>
            <w:vAlign w:val="bottom"/>
            <w:hideMark/>
          </w:tcPr>
          <w:p w14:paraId="10A8004B" w14:textId="77777777" w:rsidR="00FA40F2" w:rsidRPr="005B6D39" w:rsidRDefault="00FA40F2"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c>
          <w:tcPr>
            <w:tcW w:w="693" w:type="pct"/>
            <w:shd w:val="clear" w:color="auto" w:fill="auto"/>
            <w:vAlign w:val="bottom"/>
          </w:tcPr>
          <w:p w14:paraId="181FFC7D" w14:textId="77777777" w:rsidR="00FA40F2" w:rsidRPr="005B6D39" w:rsidRDefault="00FA40F2"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r>
      <w:tr w:rsidR="009D19E6" w:rsidRPr="00FA40F2" w14:paraId="15872F1C" w14:textId="77777777" w:rsidTr="009D19E6">
        <w:trPr>
          <w:cantSplit/>
          <w:trHeight w:val="240"/>
        </w:trPr>
        <w:tc>
          <w:tcPr>
            <w:tcW w:w="1539" w:type="pct"/>
            <w:shd w:val="clear" w:color="auto" w:fill="auto"/>
            <w:hideMark/>
          </w:tcPr>
          <w:p w14:paraId="33D713F7"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Problemas conyugales</w:t>
            </w:r>
          </w:p>
        </w:tc>
        <w:tc>
          <w:tcPr>
            <w:tcW w:w="692" w:type="pct"/>
            <w:shd w:val="clear" w:color="auto" w:fill="auto"/>
            <w:vAlign w:val="bottom"/>
            <w:hideMark/>
          </w:tcPr>
          <w:p w14:paraId="5D25A70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207</w:t>
            </w:r>
          </w:p>
        </w:tc>
        <w:tc>
          <w:tcPr>
            <w:tcW w:w="692" w:type="pct"/>
            <w:shd w:val="clear" w:color="auto" w:fill="auto"/>
            <w:vAlign w:val="bottom"/>
            <w:hideMark/>
          </w:tcPr>
          <w:p w14:paraId="088659A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201</w:t>
            </w:r>
          </w:p>
        </w:tc>
        <w:tc>
          <w:tcPr>
            <w:tcW w:w="692" w:type="pct"/>
            <w:shd w:val="clear" w:color="auto" w:fill="auto"/>
            <w:vAlign w:val="bottom"/>
            <w:hideMark/>
          </w:tcPr>
          <w:p w14:paraId="252AB49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175</w:t>
            </w:r>
          </w:p>
        </w:tc>
        <w:tc>
          <w:tcPr>
            <w:tcW w:w="692" w:type="pct"/>
            <w:shd w:val="clear" w:color="auto" w:fill="auto"/>
            <w:vAlign w:val="bottom"/>
            <w:hideMark/>
          </w:tcPr>
          <w:p w14:paraId="725EB28F"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209</w:t>
            </w:r>
          </w:p>
        </w:tc>
        <w:tc>
          <w:tcPr>
            <w:tcW w:w="693" w:type="pct"/>
            <w:shd w:val="clear" w:color="auto" w:fill="auto"/>
            <w:vAlign w:val="bottom"/>
          </w:tcPr>
          <w:p w14:paraId="35F51083"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91</w:t>
            </w:r>
          </w:p>
        </w:tc>
      </w:tr>
      <w:tr w:rsidR="009D19E6" w:rsidRPr="00FA40F2" w14:paraId="64CBD1DD" w14:textId="77777777" w:rsidTr="009D19E6">
        <w:trPr>
          <w:cantSplit/>
          <w:trHeight w:val="240"/>
        </w:trPr>
        <w:tc>
          <w:tcPr>
            <w:tcW w:w="1539" w:type="pct"/>
            <w:shd w:val="clear" w:color="auto" w:fill="auto"/>
            <w:hideMark/>
          </w:tcPr>
          <w:p w14:paraId="7E26FD84"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Vínculo parental</w:t>
            </w:r>
          </w:p>
        </w:tc>
        <w:tc>
          <w:tcPr>
            <w:tcW w:w="692" w:type="pct"/>
            <w:shd w:val="clear" w:color="auto" w:fill="auto"/>
            <w:vAlign w:val="bottom"/>
            <w:hideMark/>
          </w:tcPr>
          <w:p w14:paraId="38D8A19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169</w:t>
            </w:r>
          </w:p>
        </w:tc>
        <w:tc>
          <w:tcPr>
            <w:tcW w:w="692" w:type="pct"/>
            <w:shd w:val="clear" w:color="auto" w:fill="auto"/>
            <w:vAlign w:val="bottom"/>
            <w:hideMark/>
          </w:tcPr>
          <w:p w14:paraId="69BB382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141</w:t>
            </w:r>
          </w:p>
        </w:tc>
        <w:tc>
          <w:tcPr>
            <w:tcW w:w="692" w:type="pct"/>
            <w:shd w:val="clear" w:color="auto" w:fill="auto"/>
            <w:vAlign w:val="bottom"/>
            <w:hideMark/>
          </w:tcPr>
          <w:p w14:paraId="4E6703E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121</w:t>
            </w:r>
          </w:p>
        </w:tc>
        <w:tc>
          <w:tcPr>
            <w:tcW w:w="692" w:type="pct"/>
            <w:shd w:val="clear" w:color="auto" w:fill="auto"/>
            <w:vAlign w:val="bottom"/>
            <w:hideMark/>
          </w:tcPr>
          <w:p w14:paraId="610D311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120</w:t>
            </w:r>
          </w:p>
        </w:tc>
        <w:tc>
          <w:tcPr>
            <w:tcW w:w="693" w:type="pct"/>
            <w:shd w:val="clear" w:color="auto" w:fill="auto"/>
            <w:vAlign w:val="bottom"/>
          </w:tcPr>
          <w:p w14:paraId="52215BC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73</w:t>
            </w:r>
          </w:p>
        </w:tc>
      </w:tr>
      <w:tr w:rsidR="009D19E6" w:rsidRPr="00FA40F2" w14:paraId="73BD8660" w14:textId="77777777" w:rsidTr="009D19E6">
        <w:trPr>
          <w:cantSplit/>
          <w:trHeight w:val="240"/>
        </w:trPr>
        <w:tc>
          <w:tcPr>
            <w:tcW w:w="1539" w:type="pct"/>
            <w:shd w:val="clear" w:color="auto" w:fill="auto"/>
            <w:hideMark/>
          </w:tcPr>
          <w:p w14:paraId="7A3EF7EE"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 xml:space="preserve">Orientación </w:t>
            </w:r>
            <w:proofErr w:type="spellStart"/>
            <w:r w:rsidRPr="00FA40F2">
              <w:rPr>
                <w:sz w:val="18"/>
                <w:lang w:val="es-ES_tradnl"/>
              </w:rPr>
              <w:t>individual</w:t>
            </w:r>
            <w:r w:rsidRPr="005B6D39">
              <w:rPr>
                <w:sz w:val="16"/>
                <w:szCs w:val="18"/>
                <w:vertAlign w:val="superscript"/>
                <w:lang w:val="es-ES_tradnl"/>
              </w:rPr>
              <w:t>2</w:t>
            </w:r>
            <w:proofErr w:type="spellEnd"/>
          </w:p>
        </w:tc>
        <w:tc>
          <w:tcPr>
            <w:tcW w:w="692" w:type="pct"/>
            <w:shd w:val="clear" w:color="auto" w:fill="auto"/>
            <w:vAlign w:val="bottom"/>
            <w:hideMark/>
          </w:tcPr>
          <w:p w14:paraId="5CBA4DD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448</w:t>
            </w:r>
          </w:p>
        </w:tc>
        <w:tc>
          <w:tcPr>
            <w:tcW w:w="692" w:type="pct"/>
            <w:shd w:val="clear" w:color="auto" w:fill="auto"/>
            <w:vAlign w:val="bottom"/>
            <w:hideMark/>
          </w:tcPr>
          <w:p w14:paraId="7248E5A1" w14:textId="77777777" w:rsidR="00FA40F2" w:rsidRPr="00FA40F2" w:rsidRDefault="00FA40F2" w:rsidP="00636933">
            <w:pPr>
              <w:pStyle w:val="SingleTxtG"/>
              <w:spacing w:before="40" w:after="40" w:line="220" w:lineRule="exact"/>
              <w:ind w:left="113" w:right="11"/>
              <w:jc w:val="right"/>
              <w:rPr>
                <w:sz w:val="18"/>
                <w:lang w:val="es-ES_tradnl"/>
              </w:rPr>
            </w:pPr>
          </w:p>
        </w:tc>
        <w:tc>
          <w:tcPr>
            <w:tcW w:w="692" w:type="pct"/>
            <w:shd w:val="clear" w:color="auto" w:fill="auto"/>
            <w:vAlign w:val="bottom"/>
            <w:hideMark/>
          </w:tcPr>
          <w:p w14:paraId="719E37FD" w14:textId="77777777" w:rsidR="00FA40F2" w:rsidRPr="00FA40F2" w:rsidRDefault="00FA40F2" w:rsidP="00636933">
            <w:pPr>
              <w:pStyle w:val="SingleTxtG"/>
              <w:spacing w:before="40" w:after="40" w:line="220" w:lineRule="exact"/>
              <w:ind w:left="113" w:right="11"/>
              <w:jc w:val="right"/>
              <w:rPr>
                <w:sz w:val="18"/>
                <w:lang w:val="es-ES_tradnl"/>
              </w:rPr>
            </w:pPr>
          </w:p>
        </w:tc>
        <w:tc>
          <w:tcPr>
            <w:tcW w:w="692" w:type="pct"/>
            <w:shd w:val="clear" w:color="auto" w:fill="auto"/>
            <w:vAlign w:val="bottom"/>
            <w:hideMark/>
          </w:tcPr>
          <w:p w14:paraId="5DD6D154" w14:textId="77777777" w:rsidR="00FA40F2" w:rsidRPr="00FA40F2" w:rsidRDefault="00FA40F2" w:rsidP="00636933">
            <w:pPr>
              <w:pStyle w:val="SingleTxtG"/>
              <w:spacing w:before="40" w:after="40" w:line="220" w:lineRule="exact"/>
              <w:ind w:left="113" w:right="11"/>
              <w:jc w:val="right"/>
              <w:rPr>
                <w:sz w:val="18"/>
                <w:lang w:val="es-ES_tradnl"/>
              </w:rPr>
            </w:pPr>
          </w:p>
        </w:tc>
        <w:tc>
          <w:tcPr>
            <w:tcW w:w="693" w:type="pct"/>
            <w:shd w:val="clear" w:color="auto" w:fill="auto"/>
            <w:vAlign w:val="bottom"/>
          </w:tcPr>
          <w:p w14:paraId="15297D6D" w14:textId="77777777" w:rsidR="00FA40F2" w:rsidRPr="00FA40F2" w:rsidRDefault="00FA40F2" w:rsidP="00636933">
            <w:pPr>
              <w:pStyle w:val="SingleTxtG"/>
              <w:spacing w:before="40" w:after="40" w:line="220" w:lineRule="exact"/>
              <w:ind w:left="113" w:right="11"/>
              <w:jc w:val="right"/>
              <w:rPr>
                <w:sz w:val="18"/>
                <w:lang w:val="es-ES_tradnl"/>
              </w:rPr>
            </w:pPr>
          </w:p>
        </w:tc>
      </w:tr>
      <w:tr w:rsidR="009D19E6" w:rsidRPr="00FA40F2" w14:paraId="22E4833F" w14:textId="77777777" w:rsidTr="009D19E6">
        <w:trPr>
          <w:cantSplit/>
          <w:trHeight w:val="240"/>
        </w:trPr>
        <w:tc>
          <w:tcPr>
            <w:tcW w:w="1539" w:type="pct"/>
            <w:tcBorders>
              <w:bottom w:val="single" w:sz="12" w:space="0" w:color="auto"/>
            </w:tcBorders>
            <w:shd w:val="clear" w:color="auto" w:fill="auto"/>
            <w:hideMark/>
          </w:tcPr>
          <w:p w14:paraId="48D91187"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Orientación para familias</w:t>
            </w:r>
          </w:p>
        </w:tc>
        <w:tc>
          <w:tcPr>
            <w:tcW w:w="692" w:type="pct"/>
            <w:tcBorders>
              <w:bottom w:val="single" w:sz="12" w:space="0" w:color="auto"/>
            </w:tcBorders>
            <w:shd w:val="clear" w:color="auto" w:fill="auto"/>
            <w:vAlign w:val="bottom"/>
            <w:hideMark/>
          </w:tcPr>
          <w:p w14:paraId="4A823D3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137</w:t>
            </w:r>
          </w:p>
        </w:tc>
        <w:tc>
          <w:tcPr>
            <w:tcW w:w="692" w:type="pct"/>
            <w:tcBorders>
              <w:bottom w:val="single" w:sz="12" w:space="0" w:color="auto"/>
            </w:tcBorders>
            <w:shd w:val="clear" w:color="auto" w:fill="auto"/>
            <w:vAlign w:val="bottom"/>
            <w:hideMark/>
          </w:tcPr>
          <w:p w14:paraId="017414C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733</w:t>
            </w:r>
            <w:r w:rsidRPr="005B6D39">
              <w:rPr>
                <w:sz w:val="16"/>
                <w:szCs w:val="18"/>
                <w:vertAlign w:val="superscript"/>
                <w:lang w:val="es-ES_tradnl"/>
              </w:rPr>
              <w:t>2</w:t>
            </w:r>
          </w:p>
        </w:tc>
        <w:tc>
          <w:tcPr>
            <w:tcW w:w="692" w:type="pct"/>
            <w:tcBorders>
              <w:bottom w:val="single" w:sz="12" w:space="0" w:color="auto"/>
            </w:tcBorders>
            <w:shd w:val="clear" w:color="auto" w:fill="auto"/>
            <w:vAlign w:val="bottom"/>
            <w:hideMark/>
          </w:tcPr>
          <w:p w14:paraId="5D4E7C1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748</w:t>
            </w:r>
            <w:r w:rsidRPr="005B6D39">
              <w:rPr>
                <w:sz w:val="16"/>
                <w:szCs w:val="18"/>
                <w:vertAlign w:val="superscript"/>
                <w:lang w:val="es-ES_tradnl"/>
              </w:rPr>
              <w:t>2</w:t>
            </w:r>
          </w:p>
        </w:tc>
        <w:tc>
          <w:tcPr>
            <w:tcW w:w="692" w:type="pct"/>
            <w:tcBorders>
              <w:bottom w:val="single" w:sz="12" w:space="0" w:color="auto"/>
            </w:tcBorders>
            <w:shd w:val="clear" w:color="auto" w:fill="auto"/>
            <w:vAlign w:val="bottom"/>
            <w:hideMark/>
          </w:tcPr>
          <w:p w14:paraId="26FBA87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924</w:t>
            </w:r>
            <w:r w:rsidRPr="005B6D39">
              <w:rPr>
                <w:sz w:val="16"/>
                <w:szCs w:val="18"/>
                <w:vertAlign w:val="superscript"/>
                <w:lang w:val="es-ES_tradnl"/>
              </w:rPr>
              <w:t>2</w:t>
            </w:r>
          </w:p>
        </w:tc>
        <w:tc>
          <w:tcPr>
            <w:tcW w:w="693" w:type="pct"/>
            <w:tcBorders>
              <w:bottom w:val="single" w:sz="12" w:space="0" w:color="auto"/>
            </w:tcBorders>
            <w:shd w:val="clear" w:color="auto" w:fill="auto"/>
            <w:vAlign w:val="bottom"/>
          </w:tcPr>
          <w:p w14:paraId="1F79E8C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942</w:t>
            </w:r>
            <w:r w:rsidRPr="005B6D39">
              <w:rPr>
                <w:sz w:val="16"/>
                <w:szCs w:val="18"/>
                <w:vertAlign w:val="superscript"/>
                <w:lang w:val="es-ES_tradnl"/>
              </w:rPr>
              <w:t>2</w:t>
            </w:r>
          </w:p>
        </w:tc>
      </w:tr>
    </w:tbl>
    <w:p w14:paraId="338BD703" w14:textId="77777777" w:rsidR="00FA40F2" w:rsidRPr="00FA40F2" w:rsidRDefault="00FA40F2" w:rsidP="00E1697D">
      <w:pPr>
        <w:pStyle w:val="SingleTxtG"/>
        <w:spacing w:before="120" w:after="0"/>
        <w:ind w:firstLine="170"/>
        <w:rPr>
          <w:sz w:val="18"/>
          <w:szCs w:val="18"/>
          <w:lang w:val="es-ES_tradnl"/>
        </w:rPr>
      </w:pPr>
      <w:r w:rsidRPr="00FA40F2">
        <w:rPr>
          <w:i/>
          <w:iCs/>
          <w:sz w:val="18"/>
          <w:szCs w:val="18"/>
          <w:lang w:val="es-ES_tradnl"/>
        </w:rPr>
        <w:t>Fuente</w:t>
      </w:r>
      <w:r w:rsidRPr="005B6D39">
        <w:rPr>
          <w:i/>
          <w:iCs/>
          <w:sz w:val="18"/>
          <w:szCs w:val="18"/>
          <w:lang w:val="es-ES_tradnl"/>
        </w:rPr>
        <w:t>:</w:t>
      </w:r>
      <w:r w:rsidRPr="00FA40F2">
        <w:rPr>
          <w:sz w:val="18"/>
          <w:szCs w:val="18"/>
          <w:lang w:val="es-ES_tradnl"/>
        </w:rPr>
        <w:t xml:space="preserve"> Oficina de Bienestar Social.</w:t>
      </w:r>
    </w:p>
    <w:p w14:paraId="16C460BD" w14:textId="77777777" w:rsidR="00FA40F2" w:rsidRPr="00FA40F2" w:rsidRDefault="00FA40F2" w:rsidP="00E1697D">
      <w:pPr>
        <w:pStyle w:val="SingleTxtG"/>
        <w:spacing w:after="0"/>
        <w:ind w:firstLine="170"/>
        <w:rPr>
          <w:i/>
          <w:iCs/>
          <w:sz w:val="18"/>
          <w:szCs w:val="18"/>
          <w:lang w:val="es-ES_tradnl"/>
        </w:rPr>
      </w:pPr>
      <w:r w:rsidRPr="00FA40F2">
        <w:rPr>
          <w:i/>
          <w:iCs/>
          <w:sz w:val="18"/>
          <w:szCs w:val="18"/>
          <w:lang w:val="es-ES_tradnl"/>
        </w:rPr>
        <w:t>Nota:</w:t>
      </w:r>
    </w:p>
    <w:p w14:paraId="06BFF38D" w14:textId="77777777" w:rsidR="00FA40F2" w:rsidRPr="00FA40F2" w:rsidRDefault="00FA40F2" w:rsidP="00E1697D">
      <w:pPr>
        <w:pStyle w:val="SingleTxtG"/>
        <w:spacing w:after="0"/>
        <w:ind w:firstLine="170"/>
        <w:rPr>
          <w:sz w:val="18"/>
          <w:szCs w:val="18"/>
          <w:lang w:val="es-ES_tradnl"/>
        </w:rPr>
      </w:pPr>
      <w:proofErr w:type="gramStart"/>
      <w:r w:rsidRPr="00FA40F2">
        <w:rPr>
          <w:sz w:val="18"/>
          <w:szCs w:val="18"/>
          <w:vertAlign w:val="superscript"/>
          <w:lang w:val="es-ES_tradnl"/>
        </w:rPr>
        <w:t>1</w:t>
      </w:r>
      <w:r w:rsidR="009D19E6" w:rsidRPr="00E1697D">
        <w:rPr>
          <w:sz w:val="18"/>
          <w:szCs w:val="18"/>
          <w:lang w:val="es-ES_tradnl"/>
        </w:rPr>
        <w:t xml:space="preserve"> </w:t>
      </w:r>
      <w:r w:rsidRPr="00FA40F2">
        <w:rPr>
          <w:sz w:val="18"/>
          <w:szCs w:val="18"/>
          <w:lang w:val="es-ES_tradnl"/>
        </w:rPr>
        <w:t xml:space="preserve"> Ya</w:t>
      </w:r>
      <w:proofErr w:type="gramEnd"/>
      <w:r w:rsidRPr="00FA40F2">
        <w:rPr>
          <w:sz w:val="18"/>
          <w:szCs w:val="18"/>
          <w:lang w:val="es-ES_tradnl"/>
        </w:rPr>
        <w:t xml:space="preserve"> no se incluyen estadísticas desde 2015.</w:t>
      </w:r>
    </w:p>
    <w:p w14:paraId="0CEF273E" w14:textId="77777777" w:rsidR="00FA40F2" w:rsidRPr="00FA40F2" w:rsidRDefault="00FA40F2" w:rsidP="00E1697D">
      <w:pPr>
        <w:pStyle w:val="SingleTxtG"/>
        <w:ind w:firstLine="170"/>
        <w:rPr>
          <w:sz w:val="18"/>
          <w:szCs w:val="18"/>
          <w:lang w:val="es-ES_tradnl"/>
        </w:rPr>
      </w:pPr>
      <w:proofErr w:type="gramStart"/>
      <w:r w:rsidRPr="00FA40F2">
        <w:rPr>
          <w:sz w:val="18"/>
          <w:szCs w:val="18"/>
          <w:vertAlign w:val="superscript"/>
          <w:lang w:val="es-ES_tradnl"/>
        </w:rPr>
        <w:t>2</w:t>
      </w:r>
      <w:r w:rsidRPr="00FA40F2">
        <w:rPr>
          <w:sz w:val="18"/>
          <w:szCs w:val="18"/>
          <w:lang w:val="es-ES_tradnl"/>
        </w:rPr>
        <w:t xml:space="preserve"> </w:t>
      </w:r>
      <w:r w:rsidR="009D19E6">
        <w:rPr>
          <w:sz w:val="18"/>
          <w:szCs w:val="18"/>
          <w:lang w:val="es-ES_tradnl"/>
        </w:rPr>
        <w:t xml:space="preserve"> </w:t>
      </w:r>
      <w:r w:rsidRPr="00FA40F2">
        <w:rPr>
          <w:sz w:val="18"/>
          <w:szCs w:val="18"/>
          <w:lang w:val="es-ES_tradnl"/>
        </w:rPr>
        <w:t>Las</w:t>
      </w:r>
      <w:proofErr w:type="gramEnd"/>
      <w:r w:rsidRPr="00FA40F2">
        <w:rPr>
          <w:sz w:val="18"/>
          <w:szCs w:val="18"/>
          <w:lang w:val="es-ES_tradnl"/>
        </w:rPr>
        <w:t xml:space="preserve"> dos categorías se combinaron a partir de 2015.</w:t>
      </w:r>
    </w:p>
    <w:p w14:paraId="4DC11FC8" w14:textId="77777777" w:rsidR="00FA40F2" w:rsidRPr="00FA40F2" w:rsidRDefault="00FA40F2" w:rsidP="00FA40F2">
      <w:pPr>
        <w:pStyle w:val="SingleTxtG"/>
        <w:rPr>
          <w:lang w:val="es-ES_tradnl"/>
        </w:rPr>
      </w:pPr>
      <w:r w:rsidRPr="00FA40F2">
        <w:rPr>
          <w:lang w:val="es-ES_tradnl"/>
        </w:rPr>
        <w:t>128.</w:t>
      </w:r>
      <w:r w:rsidRPr="00FA40F2">
        <w:rPr>
          <w:lang w:val="es-ES_tradnl"/>
        </w:rPr>
        <w:tab/>
        <w:t xml:space="preserve">También se creó un sistema de registro centralizado con objeto de: i) reunir datos para estudiar el fenómeno de la violencia doméstica, sus características y tendencias; </w:t>
      </w:r>
      <w:proofErr w:type="spellStart"/>
      <w:r w:rsidRPr="00FA40F2">
        <w:rPr>
          <w:lang w:val="es-ES_tradnl"/>
        </w:rPr>
        <w:t>ii</w:t>
      </w:r>
      <w:proofErr w:type="spellEnd"/>
      <w:r w:rsidRPr="00FA40F2">
        <w:rPr>
          <w:lang w:val="es-ES_tradnl"/>
        </w:rPr>
        <w:t>)</w:t>
      </w:r>
      <w:r w:rsidR="005B6D39">
        <w:rPr>
          <w:lang w:val="es-ES_tradnl"/>
        </w:rPr>
        <w:t> </w:t>
      </w:r>
      <w:r w:rsidRPr="00FA40F2">
        <w:rPr>
          <w:lang w:val="es-ES_tradnl"/>
        </w:rPr>
        <w:t xml:space="preserve">determinar las causas de la violencia doméstica, las pautas de comportamiento que la caracterizan y las respuestas sociales y jurídicas que se suelen dar, y </w:t>
      </w:r>
      <w:proofErr w:type="spellStart"/>
      <w:r w:rsidRPr="00FA40F2">
        <w:rPr>
          <w:lang w:val="es-ES_tradnl"/>
        </w:rPr>
        <w:t>iii</w:t>
      </w:r>
      <w:proofErr w:type="spellEnd"/>
      <w:r w:rsidRPr="00FA40F2">
        <w:rPr>
          <w:lang w:val="es-ES_tradnl"/>
        </w:rPr>
        <w:t>) fomentar actividades apropiadas para combatir la violencia doméstica (</w:t>
      </w:r>
      <w:r w:rsidR="00722610">
        <w:rPr>
          <w:lang w:val="es-ES_tradnl"/>
        </w:rPr>
        <w:t>artículo </w:t>
      </w:r>
      <w:r w:rsidRPr="00FA40F2">
        <w:rPr>
          <w:lang w:val="es-ES_tradnl"/>
        </w:rPr>
        <w:t xml:space="preserve">7 de la Ley </w:t>
      </w:r>
      <w:r w:rsidR="00E27276">
        <w:rPr>
          <w:lang w:val="es-ES_tradnl"/>
        </w:rPr>
        <w:t>núm. </w:t>
      </w:r>
      <w:r w:rsidRPr="00FA40F2">
        <w:rPr>
          <w:lang w:val="es-ES_tradnl"/>
        </w:rPr>
        <w:t>2/2016). Se añadió una cuarta línea telefónica de asistencia para casos de violencia doméstica que funciona las 24 horas del día.</w:t>
      </w:r>
    </w:p>
    <w:p w14:paraId="04ED2695" w14:textId="77777777" w:rsidR="00FA40F2" w:rsidRPr="00FA40F2" w:rsidRDefault="00FA40F2" w:rsidP="00FA40F2">
      <w:pPr>
        <w:pStyle w:val="SingleTxtG"/>
        <w:rPr>
          <w:lang w:val="es-ES_tradnl"/>
        </w:rPr>
      </w:pPr>
      <w:r w:rsidRPr="00FA40F2">
        <w:rPr>
          <w:lang w:val="es-ES_tradnl"/>
        </w:rPr>
        <w:t>129.</w:t>
      </w:r>
      <w:r w:rsidRPr="00FA40F2">
        <w:rPr>
          <w:lang w:val="es-ES_tradnl"/>
        </w:rPr>
        <w:tab/>
        <w:t>En relación con el párrafo 58 de las observaciones finales, existen dos establecimientos de acogida que ofrecen alojamiento temporal a mujeres víctimas de violencia, incluida la violencia doméstica. Entre 2014 y septiembre de 2018, estos refugios temporales fueron utilizados por 70, 139, 133, 26 y 12 mujeres, respectivamente. En mayo de 2017, se abrió un establecimiento de acogida para hombres víctimas de violencia doméstica.</w:t>
      </w:r>
    </w:p>
    <w:p w14:paraId="18EDDD53" w14:textId="77777777" w:rsidR="00FA40F2" w:rsidRPr="00FA40F2" w:rsidRDefault="00FA40F2" w:rsidP="00FA40F2">
      <w:pPr>
        <w:pStyle w:val="SingleTxtG"/>
        <w:rPr>
          <w:lang w:val="es-ES_tradnl"/>
        </w:rPr>
      </w:pPr>
      <w:r w:rsidRPr="00FA40F2">
        <w:rPr>
          <w:lang w:val="es-ES_tradnl"/>
        </w:rPr>
        <w:lastRenderedPageBreak/>
        <w:t>130.</w:t>
      </w:r>
      <w:r w:rsidRPr="00FA40F2">
        <w:rPr>
          <w:lang w:val="es-ES_tradnl"/>
        </w:rPr>
        <w:tab/>
        <w:t>Hay 9 centros de acogida para menores. Entre 2014 y septiembre de 2018, en ellos se alojaron, respectivamente, 3, 3, 7, 11 y 12 niñas víctimas de violencia, incluida la violencia doméstica. Los refugios están adaptados a los menores atendiendo a su edad, sexo y necesidades específicas.</w:t>
      </w:r>
    </w:p>
    <w:p w14:paraId="78507FA8" w14:textId="77777777" w:rsidR="00FA40F2" w:rsidRPr="00FA40F2" w:rsidRDefault="00FA40F2" w:rsidP="00FA40F2">
      <w:pPr>
        <w:pStyle w:val="SingleTxtG"/>
        <w:rPr>
          <w:lang w:val="es-ES_tradnl"/>
        </w:rPr>
      </w:pPr>
      <w:r w:rsidRPr="00FA40F2">
        <w:rPr>
          <w:lang w:val="es-ES_tradnl"/>
        </w:rPr>
        <w:t>131.</w:t>
      </w:r>
      <w:r w:rsidRPr="00FA40F2">
        <w:rPr>
          <w:lang w:val="es-ES_tradnl"/>
        </w:rPr>
        <w:tab/>
        <w:t>Entre 2014 y septiembre de 2018, la Oficina de Bienestar Social organizó 25 cursos de capacitación relacionados con la violencia doméstica, que abarcaban una amplia gama de campos, entre ellos el derecho, el trabajo social y la psicología, y que contaron con 10.662 participantes.</w:t>
      </w:r>
    </w:p>
    <w:p w14:paraId="433E4D50" w14:textId="77777777" w:rsidR="00FA40F2" w:rsidRPr="00FA40F2" w:rsidRDefault="00FA40F2" w:rsidP="009D19E6">
      <w:pPr>
        <w:pStyle w:val="H23G"/>
        <w:rPr>
          <w:lang w:val="es-ES_tradnl"/>
        </w:rPr>
      </w:pPr>
      <w:r w:rsidRPr="00FA40F2">
        <w:rPr>
          <w:lang w:val="es-ES_tradnl"/>
        </w:rPr>
        <w:tab/>
      </w:r>
      <w:r w:rsidR="009D19E6">
        <w:rPr>
          <w:lang w:val="es-ES_tradnl"/>
        </w:rPr>
        <w:tab/>
      </w:r>
      <w:r w:rsidRPr="00FA40F2">
        <w:rPr>
          <w:lang w:val="es-ES_tradnl"/>
        </w:rPr>
        <w:t xml:space="preserve">Formación para el Cuerpo de Policía de Seguridad Pública y la Policía Judicial </w:t>
      </w:r>
      <w:r w:rsidR="009D19E6">
        <w:rPr>
          <w:lang w:val="es-ES_tradnl"/>
        </w:rPr>
        <w:br/>
      </w:r>
      <w:r w:rsidRPr="00FA40F2">
        <w:rPr>
          <w:lang w:val="es-ES_tradnl"/>
        </w:rPr>
        <w:t>en materia de violencia doméstica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20"/>
        <w:gridCol w:w="3574"/>
        <w:gridCol w:w="1616"/>
        <w:gridCol w:w="711"/>
        <w:gridCol w:w="649"/>
      </w:tblGrid>
      <w:tr w:rsidR="00D353FA" w:rsidRPr="00D353FA" w14:paraId="1E2C1B34" w14:textId="77777777" w:rsidTr="0032798F">
        <w:trPr>
          <w:cantSplit/>
          <w:trHeight w:val="240"/>
          <w:tblHeader/>
        </w:trPr>
        <w:tc>
          <w:tcPr>
            <w:tcW w:w="761" w:type="dxa"/>
            <w:vMerge w:val="restart"/>
            <w:tcBorders>
              <w:top w:val="single" w:sz="4" w:space="0" w:color="auto"/>
              <w:bottom w:val="single" w:sz="12" w:space="0" w:color="auto"/>
            </w:tcBorders>
            <w:shd w:val="clear" w:color="auto" w:fill="auto"/>
            <w:vAlign w:val="bottom"/>
          </w:tcPr>
          <w:p w14:paraId="4828C483" w14:textId="77777777" w:rsidR="00FA40F2" w:rsidRPr="00FA40F2" w:rsidRDefault="00FA40F2" w:rsidP="00D353FA">
            <w:pPr>
              <w:pStyle w:val="SingleTxtG"/>
              <w:spacing w:before="80" w:after="80" w:line="200" w:lineRule="exact"/>
              <w:ind w:left="0" w:right="0"/>
              <w:jc w:val="left"/>
              <w:rPr>
                <w:i/>
                <w:sz w:val="16"/>
                <w:lang w:val="es-ES_tradnl"/>
              </w:rPr>
            </w:pPr>
            <w:r w:rsidRPr="00FA40F2">
              <w:rPr>
                <w:i/>
                <w:iCs/>
                <w:sz w:val="16"/>
                <w:lang w:val="es-ES_tradnl"/>
              </w:rPr>
              <w:t>Año</w:t>
            </w:r>
          </w:p>
        </w:tc>
        <w:tc>
          <w:tcPr>
            <w:tcW w:w="3634" w:type="dxa"/>
            <w:vMerge w:val="restart"/>
            <w:tcBorders>
              <w:top w:val="single" w:sz="4" w:space="0" w:color="auto"/>
              <w:bottom w:val="single" w:sz="12" w:space="0" w:color="auto"/>
            </w:tcBorders>
            <w:shd w:val="clear" w:color="auto" w:fill="auto"/>
            <w:vAlign w:val="bottom"/>
          </w:tcPr>
          <w:p w14:paraId="5F07B63F" w14:textId="77777777" w:rsidR="00FA40F2" w:rsidRPr="00FA40F2" w:rsidRDefault="00FA40F2" w:rsidP="00D353FA">
            <w:pPr>
              <w:pStyle w:val="SingleTxtG"/>
              <w:spacing w:before="80" w:after="80" w:line="200" w:lineRule="exact"/>
              <w:ind w:left="0" w:right="0"/>
              <w:jc w:val="left"/>
              <w:rPr>
                <w:i/>
                <w:sz w:val="16"/>
                <w:lang w:val="es-ES_tradnl"/>
              </w:rPr>
            </w:pPr>
            <w:r w:rsidRPr="00FA40F2">
              <w:rPr>
                <w:i/>
                <w:iCs/>
                <w:sz w:val="16"/>
                <w:lang w:val="es-ES_tradnl"/>
              </w:rPr>
              <w:t>Nombre/Tipo</w:t>
            </w:r>
          </w:p>
        </w:tc>
        <w:tc>
          <w:tcPr>
            <w:tcW w:w="1637" w:type="dxa"/>
            <w:vMerge w:val="restart"/>
            <w:tcBorders>
              <w:top w:val="single" w:sz="4" w:space="0" w:color="auto"/>
              <w:bottom w:val="single" w:sz="12" w:space="0" w:color="auto"/>
            </w:tcBorders>
            <w:shd w:val="clear" w:color="auto" w:fill="auto"/>
            <w:vAlign w:val="bottom"/>
          </w:tcPr>
          <w:p w14:paraId="45E774DD" w14:textId="77777777" w:rsidR="00FA40F2" w:rsidRPr="00FA40F2" w:rsidRDefault="00FA40F2" w:rsidP="00D353FA">
            <w:pPr>
              <w:pStyle w:val="SingleTxtG"/>
              <w:spacing w:before="80" w:after="80" w:line="200" w:lineRule="exact"/>
              <w:ind w:left="0" w:right="0"/>
              <w:jc w:val="left"/>
              <w:rPr>
                <w:i/>
                <w:sz w:val="16"/>
                <w:lang w:val="es-ES_tradnl"/>
              </w:rPr>
            </w:pPr>
            <w:r w:rsidRPr="00FA40F2">
              <w:rPr>
                <w:i/>
                <w:iCs/>
                <w:sz w:val="16"/>
                <w:lang w:val="es-ES_tradnl"/>
              </w:rPr>
              <w:t>Entidad</w:t>
            </w:r>
          </w:p>
        </w:tc>
        <w:tc>
          <w:tcPr>
            <w:tcW w:w="1338" w:type="dxa"/>
            <w:gridSpan w:val="2"/>
            <w:tcBorders>
              <w:top w:val="single" w:sz="4" w:space="0" w:color="auto"/>
              <w:bottom w:val="single" w:sz="4" w:space="0" w:color="auto"/>
            </w:tcBorders>
            <w:shd w:val="clear" w:color="auto" w:fill="auto"/>
            <w:vAlign w:val="bottom"/>
          </w:tcPr>
          <w:p w14:paraId="5B7B244A" w14:textId="77777777" w:rsidR="00FA40F2" w:rsidRPr="00FA40F2" w:rsidRDefault="00FA40F2" w:rsidP="00D353FA">
            <w:pPr>
              <w:pStyle w:val="SingleTxtG"/>
              <w:spacing w:before="80" w:after="80" w:line="200" w:lineRule="exact"/>
              <w:ind w:left="113" w:right="0"/>
              <w:jc w:val="center"/>
              <w:rPr>
                <w:i/>
                <w:sz w:val="16"/>
                <w:lang w:val="es-ES_tradnl"/>
              </w:rPr>
            </w:pPr>
            <w:r w:rsidRPr="00FA40F2">
              <w:rPr>
                <w:i/>
                <w:iCs/>
                <w:sz w:val="16"/>
                <w:lang w:val="es-ES_tradnl"/>
              </w:rPr>
              <w:t>Participantes</w:t>
            </w:r>
          </w:p>
        </w:tc>
      </w:tr>
      <w:tr w:rsidR="00D353FA" w:rsidRPr="00FA40F2" w14:paraId="7E63FCA5" w14:textId="77777777" w:rsidTr="0032798F">
        <w:trPr>
          <w:cantSplit/>
          <w:trHeight w:val="240"/>
          <w:tblHeader/>
        </w:trPr>
        <w:tc>
          <w:tcPr>
            <w:tcW w:w="761" w:type="dxa"/>
            <w:vMerge/>
            <w:tcBorders>
              <w:top w:val="nil"/>
              <w:bottom w:val="single" w:sz="12" w:space="0" w:color="auto"/>
            </w:tcBorders>
            <w:shd w:val="clear" w:color="auto" w:fill="auto"/>
            <w:vAlign w:val="bottom"/>
          </w:tcPr>
          <w:p w14:paraId="1D1C5815"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vMerge/>
            <w:tcBorders>
              <w:top w:val="nil"/>
              <w:bottom w:val="single" w:sz="12" w:space="0" w:color="auto"/>
            </w:tcBorders>
            <w:shd w:val="clear" w:color="auto" w:fill="auto"/>
            <w:vAlign w:val="bottom"/>
          </w:tcPr>
          <w:p w14:paraId="636BEE53" w14:textId="77777777" w:rsidR="00FA40F2" w:rsidRPr="00FA40F2" w:rsidRDefault="00FA40F2" w:rsidP="00D353FA">
            <w:pPr>
              <w:pStyle w:val="SingleTxtG"/>
              <w:spacing w:before="40" w:after="40" w:line="220" w:lineRule="exact"/>
              <w:ind w:left="0" w:right="0"/>
              <w:jc w:val="left"/>
              <w:rPr>
                <w:sz w:val="18"/>
                <w:lang w:val="es-ES_tradnl"/>
              </w:rPr>
            </w:pPr>
          </w:p>
        </w:tc>
        <w:tc>
          <w:tcPr>
            <w:tcW w:w="1637" w:type="dxa"/>
            <w:vMerge/>
            <w:tcBorders>
              <w:top w:val="nil"/>
              <w:bottom w:val="single" w:sz="12" w:space="0" w:color="auto"/>
            </w:tcBorders>
            <w:shd w:val="clear" w:color="auto" w:fill="auto"/>
            <w:vAlign w:val="bottom"/>
          </w:tcPr>
          <w:p w14:paraId="3EA2D80B" w14:textId="77777777" w:rsidR="00FA40F2" w:rsidRPr="00FA40F2" w:rsidRDefault="00FA40F2" w:rsidP="00D353FA">
            <w:pPr>
              <w:pStyle w:val="SingleTxtG"/>
              <w:spacing w:before="40" w:after="40" w:line="220" w:lineRule="exact"/>
              <w:ind w:left="0" w:right="0"/>
              <w:jc w:val="left"/>
              <w:rPr>
                <w:sz w:val="18"/>
                <w:lang w:val="es-ES_tradnl"/>
              </w:rPr>
            </w:pPr>
          </w:p>
        </w:tc>
        <w:tc>
          <w:tcPr>
            <w:tcW w:w="700" w:type="dxa"/>
            <w:tcBorders>
              <w:top w:val="single" w:sz="4" w:space="0" w:color="auto"/>
              <w:bottom w:val="single" w:sz="12" w:space="0" w:color="auto"/>
            </w:tcBorders>
            <w:shd w:val="clear" w:color="auto" w:fill="auto"/>
            <w:vAlign w:val="bottom"/>
          </w:tcPr>
          <w:p w14:paraId="0846FB6F" w14:textId="77777777" w:rsidR="00FA40F2" w:rsidRPr="00FA40F2" w:rsidRDefault="00FA40F2" w:rsidP="0032798F">
            <w:pPr>
              <w:pStyle w:val="SingleTxtG"/>
              <w:spacing w:before="80" w:after="80" w:line="200" w:lineRule="exact"/>
              <w:ind w:left="113" w:right="11"/>
              <w:jc w:val="right"/>
              <w:rPr>
                <w:i/>
                <w:iCs/>
                <w:sz w:val="16"/>
                <w:lang w:val="es-ES_tradnl"/>
              </w:rPr>
            </w:pPr>
            <w:r w:rsidRPr="00FA40F2">
              <w:rPr>
                <w:i/>
                <w:iCs/>
                <w:sz w:val="16"/>
                <w:lang w:val="es-ES_tradnl"/>
              </w:rPr>
              <w:t>Hombres</w:t>
            </w:r>
          </w:p>
        </w:tc>
        <w:tc>
          <w:tcPr>
            <w:tcW w:w="638" w:type="dxa"/>
            <w:tcBorders>
              <w:top w:val="single" w:sz="4" w:space="0" w:color="auto"/>
              <w:bottom w:val="single" w:sz="12" w:space="0" w:color="auto"/>
            </w:tcBorders>
            <w:shd w:val="clear" w:color="auto" w:fill="auto"/>
            <w:vAlign w:val="bottom"/>
          </w:tcPr>
          <w:p w14:paraId="26289835" w14:textId="77777777" w:rsidR="00FA40F2" w:rsidRPr="00FA40F2" w:rsidRDefault="00FA40F2" w:rsidP="0032798F">
            <w:pPr>
              <w:pStyle w:val="SingleTxtG"/>
              <w:spacing w:before="80" w:after="80" w:line="200" w:lineRule="exact"/>
              <w:ind w:left="113" w:right="11"/>
              <w:jc w:val="right"/>
              <w:rPr>
                <w:i/>
                <w:iCs/>
                <w:sz w:val="16"/>
                <w:lang w:val="es-ES_tradnl"/>
              </w:rPr>
            </w:pPr>
            <w:r w:rsidRPr="00FA40F2">
              <w:rPr>
                <w:i/>
                <w:iCs/>
                <w:sz w:val="16"/>
                <w:lang w:val="es-ES_tradnl"/>
              </w:rPr>
              <w:t>Mujeres</w:t>
            </w:r>
          </w:p>
        </w:tc>
      </w:tr>
      <w:tr w:rsidR="00D353FA" w:rsidRPr="00FA40F2" w14:paraId="289A5F4E" w14:textId="77777777" w:rsidTr="002118A4">
        <w:trPr>
          <w:cantSplit/>
          <w:trHeight w:val="240"/>
        </w:trPr>
        <w:tc>
          <w:tcPr>
            <w:tcW w:w="761" w:type="dxa"/>
            <w:tcBorders>
              <w:top w:val="single" w:sz="12" w:space="0" w:color="auto"/>
            </w:tcBorders>
            <w:shd w:val="clear" w:color="auto" w:fill="auto"/>
          </w:tcPr>
          <w:p w14:paraId="5CE04C8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2014</w:t>
            </w:r>
          </w:p>
        </w:tc>
        <w:tc>
          <w:tcPr>
            <w:tcW w:w="3634" w:type="dxa"/>
            <w:tcBorders>
              <w:top w:val="single" w:sz="12" w:space="0" w:color="auto"/>
            </w:tcBorders>
            <w:shd w:val="clear" w:color="auto" w:fill="auto"/>
            <w:vAlign w:val="bottom"/>
          </w:tcPr>
          <w:p w14:paraId="23E4201F"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Violencia doméstica</w:t>
            </w:r>
          </w:p>
        </w:tc>
        <w:tc>
          <w:tcPr>
            <w:tcW w:w="1637" w:type="dxa"/>
            <w:tcBorders>
              <w:top w:val="single" w:sz="12" w:space="0" w:color="auto"/>
            </w:tcBorders>
            <w:shd w:val="clear" w:color="auto" w:fill="auto"/>
            <w:vAlign w:val="bottom"/>
          </w:tcPr>
          <w:p w14:paraId="01B119A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w:t>
            </w:r>
          </w:p>
        </w:tc>
        <w:tc>
          <w:tcPr>
            <w:tcW w:w="700" w:type="dxa"/>
            <w:tcBorders>
              <w:top w:val="single" w:sz="12" w:space="0" w:color="auto"/>
            </w:tcBorders>
            <w:shd w:val="clear" w:color="auto" w:fill="auto"/>
            <w:vAlign w:val="bottom"/>
          </w:tcPr>
          <w:p w14:paraId="02312390"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20</w:t>
            </w:r>
          </w:p>
        </w:tc>
        <w:tc>
          <w:tcPr>
            <w:tcW w:w="638" w:type="dxa"/>
            <w:tcBorders>
              <w:top w:val="single" w:sz="12" w:space="0" w:color="auto"/>
            </w:tcBorders>
            <w:shd w:val="clear" w:color="auto" w:fill="auto"/>
            <w:vAlign w:val="bottom"/>
          </w:tcPr>
          <w:p w14:paraId="322DF846"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12</w:t>
            </w:r>
          </w:p>
        </w:tc>
      </w:tr>
      <w:tr w:rsidR="00D353FA" w:rsidRPr="00FA40F2" w14:paraId="5AA09C9A" w14:textId="77777777" w:rsidTr="00D353FA">
        <w:trPr>
          <w:cantSplit/>
          <w:trHeight w:val="240"/>
        </w:trPr>
        <w:tc>
          <w:tcPr>
            <w:tcW w:w="761" w:type="dxa"/>
            <w:vMerge w:val="restart"/>
            <w:shd w:val="clear" w:color="auto" w:fill="auto"/>
          </w:tcPr>
          <w:p w14:paraId="45470947"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2015</w:t>
            </w:r>
          </w:p>
        </w:tc>
        <w:tc>
          <w:tcPr>
            <w:tcW w:w="3634" w:type="dxa"/>
            <w:shd w:val="clear" w:color="auto" w:fill="auto"/>
            <w:vAlign w:val="bottom"/>
          </w:tcPr>
          <w:p w14:paraId="513BCFBE"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Visita a la Unidad de Conflictos Familiares y Violencia Sexual de la Policía de Hong Kong</w:t>
            </w:r>
          </w:p>
        </w:tc>
        <w:tc>
          <w:tcPr>
            <w:tcW w:w="1637" w:type="dxa"/>
            <w:shd w:val="clear" w:color="auto" w:fill="auto"/>
            <w:vAlign w:val="bottom"/>
          </w:tcPr>
          <w:p w14:paraId="7E9D9BE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w:t>
            </w:r>
          </w:p>
        </w:tc>
        <w:tc>
          <w:tcPr>
            <w:tcW w:w="700" w:type="dxa"/>
            <w:shd w:val="clear" w:color="auto" w:fill="auto"/>
            <w:vAlign w:val="bottom"/>
          </w:tcPr>
          <w:p w14:paraId="7F725AE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9</w:t>
            </w:r>
          </w:p>
        </w:tc>
        <w:tc>
          <w:tcPr>
            <w:tcW w:w="638" w:type="dxa"/>
            <w:shd w:val="clear" w:color="auto" w:fill="auto"/>
            <w:vAlign w:val="bottom"/>
          </w:tcPr>
          <w:p w14:paraId="61176C3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r>
      <w:tr w:rsidR="00D353FA" w:rsidRPr="00FA40F2" w14:paraId="0D447D84" w14:textId="77777777" w:rsidTr="00D353FA">
        <w:trPr>
          <w:cantSplit/>
          <w:trHeight w:val="240"/>
        </w:trPr>
        <w:tc>
          <w:tcPr>
            <w:tcW w:w="761" w:type="dxa"/>
            <w:vMerge/>
            <w:shd w:val="clear" w:color="auto" w:fill="auto"/>
          </w:tcPr>
          <w:p w14:paraId="5EA4B97A"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706C6EFC"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Prevención de la violencia doméstica</w:t>
            </w:r>
          </w:p>
        </w:tc>
        <w:tc>
          <w:tcPr>
            <w:tcW w:w="1637" w:type="dxa"/>
            <w:shd w:val="clear" w:color="auto" w:fill="auto"/>
            <w:vAlign w:val="bottom"/>
          </w:tcPr>
          <w:p w14:paraId="0AEAA87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674CCA4B"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5</w:t>
            </w:r>
          </w:p>
        </w:tc>
        <w:tc>
          <w:tcPr>
            <w:tcW w:w="638" w:type="dxa"/>
            <w:shd w:val="clear" w:color="auto" w:fill="auto"/>
            <w:vAlign w:val="bottom"/>
          </w:tcPr>
          <w:p w14:paraId="07F997E2"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r>
      <w:tr w:rsidR="00D353FA" w:rsidRPr="00FA40F2" w14:paraId="10EF859C" w14:textId="77777777" w:rsidTr="00D353FA">
        <w:trPr>
          <w:cantSplit/>
          <w:trHeight w:val="240"/>
        </w:trPr>
        <w:tc>
          <w:tcPr>
            <w:tcW w:w="761" w:type="dxa"/>
            <w:vMerge/>
            <w:shd w:val="clear" w:color="auto" w:fill="auto"/>
          </w:tcPr>
          <w:p w14:paraId="178FDE36"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054C8C5F"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Conferencia: Marco jurídico de la política familiar</w:t>
            </w:r>
          </w:p>
        </w:tc>
        <w:tc>
          <w:tcPr>
            <w:tcW w:w="1637" w:type="dxa"/>
            <w:shd w:val="clear" w:color="auto" w:fill="auto"/>
            <w:vAlign w:val="bottom"/>
          </w:tcPr>
          <w:p w14:paraId="64B1C850"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135EA0EC"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c>
          <w:tcPr>
            <w:tcW w:w="638" w:type="dxa"/>
            <w:shd w:val="clear" w:color="auto" w:fill="auto"/>
            <w:vAlign w:val="bottom"/>
          </w:tcPr>
          <w:p w14:paraId="30503AE1"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r>
      <w:tr w:rsidR="00D353FA" w:rsidRPr="00FA40F2" w14:paraId="239CE3CA" w14:textId="77777777" w:rsidTr="00D353FA">
        <w:trPr>
          <w:cantSplit/>
          <w:trHeight w:val="240"/>
        </w:trPr>
        <w:tc>
          <w:tcPr>
            <w:tcW w:w="761" w:type="dxa"/>
            <w:vMerge w:val="restart"/>
            <w:shd w:val="clear" w:color="auto" w:fill="auto"/>
          </w:tcPr>
          <w:p w14:paraId="4FE56A2B"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2016</w:t>
            </w:r>
          </w:p>
        </w:tc>
        <w:tc>
          <w:tcPr>
            <w:tcW w:w="3634" w:type="dxa"/>
            <w:shd w:val="clear" w:color="auto" w:fill="auto"/>
            <w:vAlign w:val="bottom"/>
          </w:tcPr>
          <w:p w14:paraId="2F26CBD0"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Conferencia: Ley de Prevención y Lucha contra la Violencia Doméstica</w:t>
            </w:r>
          </w:p>
        </w:tc>
        <w:tc>
          <w:tcPr>
            <w:tcW w:w="1637" w:type="dxa"/>
            <w:shd w:val="clear" w:color="auto" w:fill="auto"/>
            <w:vAlign w:val="bottom"/>
          </w:tcPr>
          <w:p w14:paraId="7E65BC61"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1FF8E2EE"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98</w:t>
            </w:r>
          </w:p>
        </w:tc>
        <w:tc>
          <w:tcPr>
            <w:tcW w:w="638" w:type="dxa"/>
            <w:shd w:val="clear" w:color="auto" w:fill="auto"/>
            <w:vAlign w:val="bottom"/>
          </w:tcPr>
          <w:p w14:paraId="2A268A85"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27</w:t>
            </w:r>
          </w:p>
        </w:tc>
      </w:tr>
      <w:tr w:rsidR="00D353FA" w:rsidRPr="00FA40F2" w14:paraId="4D4A9906" w14:textId="77777777" w:rsidTr="00D353FA">
        <w:trPr>
          <w:cantSplit/>
          <w:trHeight w:val="240"/>
        </w:trPr>
        <w:tc>
          <w:tcPr>
            <w:tcW w:w="761" w:type="dxa"/>
            <w:vMerge/>
            <w:shd w:val="clear" w:color="auto" w:fill="auto"/>
          </w:tcPr>
          <w:p w14:paraId="54DB7D32"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035EC594"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Directrices de procedimiento para tratar casos de violencia doméstica</w:t>
            </w:r>
          </w:p>
        </w:tc>
        <w:tc>
          <w:tcPr>
            <w:tcW w:w="1637" w:type="dxa"/>
            <w:shd w:val="clear" w:color="auto" w:fill="auto"/>
            <w:vAlign w:val="bottom"/>
          </w:tcPr>
          <w:p w14:paraId="65CE6D25"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3B3E0EFD"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96</w:t>
            </w:r>
          </w:p>
        </w:tc>
        <w:tc>
          <w:tcPr>
            <w:tcW w:w="638" w:type="dxa"/>
            <w:shd w:val="clear" w:color="auto" w:fill="auto"/>
            <w:vAlign w:val="bottom"/>
          </w:tcPr>
          <w:p w14:paraId="56D1E4FD"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31</w:t>
            </w:r>
          </w:p>
        </w:tc>
      </w:tr>
      <w:tr w:rsidR="00D353FA" w:rsidRPr="00FA40F2" w14:paraId="56889C9F" w14:textId="77777777" w:rsidTr="00D353FA">
        <w:trPr>
          <w:cantSplit/>
          <w:trHeight w:val="240"/>
        </w:trPr>
        <w:tc>
          <w:tcPr>
            <w:tcW w:w="761" w:type="dxa"/>
            <w:vMerge w:val="restart"/>
            <w:shd w:val="clear" w:color="auto" w:fill="auto"/>
          </w:tcPr>
          <w:p w14:paraId="41DD5039"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2017</w:t>
            </w:r>
          </w:p>
        </w:tc>
        <w:tc>
          <w:tcPr>
            <w:tcW w:w="3634" w:type="dxa"/>
            <w:shd w:val="clear" w:color="auto" w:fill="auto"/>
            <w:vAlign w:val="bottom"/>
          </w:tcPr>
          <w:p w14:paraId="625B7AC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Gestión de casos de maltrato infantil y a personas con discapacidad mental (Hong Kong)</w:t>
            </w:r>
          </w:p>
        </w:tc>
        <w:tc>
          <w:tcPr>
            <w:tcW w:w="1637" w:type="dxa"/>
            <w:shd w:val="clear" w:color="auto" w:fill="auto"/>
            <w:vAlign w:val="bottom"/>
          </w:tcPr>
          <w:p w14:paraId="6A8185CB"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05F6BFBA"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w:t>
            </w:r>
            <w:r w:rsidR="0032798F">
              <w:rPr>
                <w:sz w:val="18"/>
                <w:lang w:val="es-ES_tradnl"/>
              </w:rPr>
              <w:br/>
            </w:r>
            <w:r w:rsidRPr="00FA40F2">
              <w:rPr>
                <w:sz w:val="18"/>
                <w:lang w:val="es-ES_tradnl"/>
              </w:rPr>
              <w:t>1</w:t>
            </w:r>
          </w:p>
        </w:tc>
        <w:tc>
          <w:tcPr>
            <w:tcW w:w="638" w:type="dxa"/>
            <w:shd w:val="clear" w:color="auto" w:fill="auto"/>
            <w:vAlign w:val="bottom"/>
          </w:tcPr>
          <w:p w14:paraId="6625E32A"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r w:rsidR="0032798F">
              <w:rPr>
                <w:sz w:val="18"/>
                <w:lang w:val="es-ES_tradnl"/>
              </w:rPr>
              <w:br/>
            </w:r>
            <w:r w:rsidRPr="00FA40F2">
              <w:rPr>
                <w:sz w:val="18"/>
                <w:lang w:val="es-ES_tradnl"/>
              </w:rPr>
              <w:t>1</w:t>
            </w:r>
          </w:p>
        </w:tc>
      </w:tr>
      <w:tr w:rsidR="00D353FA" w:rsidRPr="00FA40F2" w14:paraId="008CD7C6" w14:textId="77777777" w:rsidTr="00D353FA">
        <w:trPr>
          <w:cantSplit/>
          <w:trHeight w:val="240"/>
        </w:trPr>
        <w:tc>
          <w:tcPr>
            <w:tcW w:w="761" w:type="dxa"/>
            <w:vMerge/>
            <w:shd w:val="clear" w:color="auto" w:fill="auto"/>
          </w:tcPr>
          <w:p w14:paraId="51ED5BD9"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19E976B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Visita: Tratamiento de la violencia doméstica y los abusos sexuales a niños (Hong Kong)</w:t>
            </w:r>
          </w:p>
        </w:tc>
        <w:tc>
          <w:tcPr>
            <w:tcW w:w="1637" w:type="dxa"/>
            <w:shd w:val="clear" w:color="auto" w:fill="auto"/>
            <w:vAlign w:val="bottom"/>
          </w:tcPr>
          <w:p w14:paraId="2C7D018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w:t>
            </w:r>
          </w:p>
        </w:tc>
        <w:tc>
          <w:tcPr>
            <w:tcW w:w="700" w:type="dxa"/>
            <w:shd w:val="clear" w:color="auto" w:fill="auto"/>
            <w:vAlign w:val="bottom"/>
          </w:tcPr>
          <w:p w14:paraId="52AFB1B1"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3</w:t>
            </w:r>
          </w:p>
        </w:tc>
        <w:tc>
          <w:tcPr>
            <w:tcW w:w="638" w:type="dxa"/>
            <w:shd w:val="clear" w:color="auto" w:fill="auto"/>
            <w:vAlign w:val="bottom"/>
          </w:tcPr>
          <w:p w14:paraId="3940A87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p>
        </w:tc>
      </w:tr>
      <w:tr w:rsidR="00D353FA" w:rsidRPr="00FA40F2" w14:paraId="227C8B27" w14:textId="77777777" w:rsidTr="00D353FA">
        <w:trPr>
          <w:cantSplit/>
          <w:trHeight w:val="240"/>
        </w:trPr>
        <w:tc>
          <w:tcPr>
            <w:tcW w:w="761" w:type="dxa"/>
            <w:vMerge/>
            <w:shd w:val="clear" w:color="auto" w:fill="auto"/>
          </w:tcPr>
          <w:p w14:paraId="363E6CEB"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13E550BC"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Tratamiento de niños víctimas de violencia doméstica (agresiones sexuales)</w:t>
            </w:r>
          </w:p>
        </w:tc>
        <w:tc>
          <w:tcPr>
            <w:tcW w:w="1637" w:type="dxa"/>
            <w:shd w:val="clear" w:color="auto" w:fill="auto"/>
            <w:vAlign w:val="bottom"/>
          </w:tcPr>
          <w:p w14:paraId="5F5707AC"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28CE4759"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8</w:t>
            </w:r>
          </w:p>
        </w:tc>
        <w:tc>
          <w:tcPr>
            <w:tcW w:w="638" w:type="dxa"/>
            <w:shd w:val="clear" w:color="auto" w:fill="auto"/>
            <w:vAlign w:val="bottom"/>
          </w:tcPr>
          <w:p w14:paraId="0C93F076"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6</w:t>
            </w:r>
          </w:p>
        </w:tc>
      </w:tr>
      <w:tr w:rsidR="00D353FA" w:rsidRPr="00FA40F2" w14:paraId="40D4C403" w14:textId="77777777" w:rsidTr="00D353FA">
        <w:trPr>
          <w:cantSplit/>
          <w:trHeight w:val="240"/>
        </w:trPr>
        <w:tc>
          <w:tcPr>
            <w:tcW w:w="761" w:type="dxa"/>
            <w:vMerge/>
            <w:shd w:val="clear" w:color="auto" w:fill="auto"/>
          </w:tcPr>
          <w:p w14:paraId="1EF3180F"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6EEEB676"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Estrategias y procedimientos de investigación criminal para el tratamiento de casos en que se sospecha la existencia de maltrato infantil</w:t>
            </w:r>
          </w:p>
        </w:tc>
        <w:tc>
          <w:tcPr>
            <w:tcW w:w="1637" w:type="dxa"/>
            <w:shd w:val="clear" w:color="auto" w:fill="auto"/>
            <w:vAlign w:val="bottom"/>
          </w:tcPr>
          <w:p w14:paraId="56DAC3DA"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21986D1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76</w:t>
            </w:r>
            <w:r w:rsidR="0032798F">
              <w:rPr>
                <w:sz w:val="18"/>
                <w:lang w:val="es-ES_tradnl"/>
              </w:rPr>
              <w:br/>
            </w:r>
            <w:r w:rsidRPr="00FA40F2">
              <w:rPr>
                <w:sz w:val="18"/>
                <w:lang w:val="es-ES_tradnl"/>
              </w:rPr>
              <w:t>13</w:t>
            </w:r>
          </w:p>
        </w:tc>
        <w:tc>
          <w:tcPr>
            <w:tcW w:w="638" w:type="dxa"/>
            <w:shd w:val="clear" w:color="auto" w:fill="auto"/>
            <w:vAlign w:val="bottom"/>
          </w:tcPr>
          <w:p w14:paraId="6F9EF974"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11</w:t>
            </w:r>
            <w:r w:rsidR="0032798F">
              <w:rPr>
                <w:sz w:val="18"/>
                <w:lang w:val="es-ES_tradnl"/>
              </w:rPr>
              <w:br/>
            </w:r>
            <w:r w:rsidRPr="00FA40F2">
              <w:rPr>
                <w:sz w:val="18"/>
                <w:lang w:val="es-ES_tradnl"/>
              </w:rPr>
              <w:t>35</w:t>
            </w:r>
          </w:p>
        </w:tc>
      </w:tr>
      <w:tr w:rsidR="00D353FA" w:rsidRPr="00FA40F2" w14:paraId="2DC82AE6" w14:textId="77777777" w:rsidTr="00D353FA">
        <w:trPr>
          <w:cantSplit/>
          <w:trHeight w:val="240"/>
        </w:trPr>
        <w:tc>
          <w:tcPr>
            <w:tcW w:w="761" w:type="dxa"/>
            <w:vMerge/>
            <w:shd w:val="clear" w:color="auto" w:fill="auto"/>
          </w:tcPr>
          <w:p w14:paraId="3D707E15"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1FA1C10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Conferencia: Crímenes de violencia doméstica contra la libertad sexual y la libre determinación sexual</w:t>
            </w:r>
          </w:p>
        </w:tc>
        <w:tc>
          <w:tcPr>
            <w:tcW w:w="1637" w:type="dxa"/>
            <w:shd w:val="clear" w:color="auto" w:fill="auto"/>
            <w:vAlign w:val="bottom"/>
          </w:tcPr>
          <w:p w14:paraId="1B77C5E6"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5CEFC88B"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r w:rsidR="0032798F">
              <w:rPr>
                <w:sz w:val="18"/>
                <w:lang w:val="es-ES_tradnl"/>
              </w:rPr>
              <w:br/>
            </w:r>
            <w:r w:rsidRPr="00FA40F2">
              <w:rPr>
                <w:sz w:val="18"/>
                <w:lang w:val="es-ES_tradnl"/>
              </w:rPr>
              <w:t>4</w:t>
            </w:r>
          </w:p>
        </w:tc>
        <w:tc>
          <w:tcPr>
            <w:tcW w:w="638" w:type="dxa"/>
            <w:shd w:val="clear" w:color="auto" w:fill="auto"/>
            <w:vAlign w:val="bottom"/>
          </w:tcPr>
          <w:p w14:paraId="75ED5AFA"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r w:rsidR="0032798F">
              <w:rPr>
                <w:sz w:val="18"/>
                <w:lang w:val="es-ES_tradnl"/>
              </w:rPr>
              <w:br/>
            </w:r>
            <w:r w:rsidRPr="00FA40F2">
              <w:rPr>
                <w:sz w:val="18"/>
                <w:lang w:val="es-ES_tradnl"/>
              </w:rPr>
              <w:t>0</w:t>
            </w:r>
          </w:p>
        </w:tc>
      </w:tr>
      <w:tr w:rsidR="00D353FA" w:rsidRPr="00FA40F2" w14:paraId="69714E19" w14:textId="77777777" w:rsidTr="00D353FA">
        <w:trPr>
          <w:cantSplit/>
          <w:trHeight w:val="240"/>
        </w:trPr>
        <w:tc>
          <w:tcPr>
            <w:tcW w:w="761" w:type="dxa"/>
            <w:vMerge/>
            <w:shd w:val="clear" w:color="auto" w:fill="auto"/>
          </w:tcPr>
          <w:p w14:paraId="7322799E"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0CA087DB"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Estrategias y procedimientos de investigación criminal para el tratamiento de casos en que se sospecha la existencia de maltrato infantil</w:t>
            </w:r>
          </w:p>
        </w:tc>
        <w:tc>
          <w:tcPr>
            <w:tcW w:w="1637" w:type="dxa"/>
            <w:shd w:val="clear" w:color="auto" w:fill="auto"/>
            <w:vAlign w:val="bottom"/>
          </w:tcPr>
          <w:p w14:paraId="05888DF1"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62B9FE90"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6</w:t>
            </w:r>
          </w:p>
        </w:tc>
        <w:tc>
          <w:tcPr>
            <w:tcW w:w="638" w:type="dxa"/>
            <w:shd w:val="clear" w:color="auto" w:fill="auto"/>
            <w:vAlign w:val="bottom"/>
          </w:tcPr>
          <w:p w14:paraId="1467B401"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7</w:t>
            </w:r>
          </w:p>
        </w:tc>
      </w:tr>
      <w:tr w:rsidR="00D353FA" w:rsidRPr="00FA40F2" w14:paraId="436AA3C2" w14:textId="77777777" w:rsidTr="00D353FA">
        <w:trPr>
          <w:cantSplit/>
          <w:trHeight w:val="240"/>
        </w:trPr>
        <w:tc>
          <w:tcPr>
            <w:tcW w:w="761" w:type="dxa"/>
            <w:vMerge w:val="restart"/>
            <w:shd w:val="clear" w:color="auto" w:fill="auto"/>
          </w:tcPr>
          <w:p w14:paraId="3ACDF6B7" w14:textId="77777777" w:rsidR="00FA40F2" w:rsidRPr="00FA40F2" w:rsidRDefault="00B30E6D" w:rsidP="00D353FA">
            <w:pPr>
              <w:pStyle w:val="SingleTxtG"/>
              <w:spacing w:before="40" w:after="40" w:line="220" w:lineRule="exact"/>
              <w:ind w:left="0" w:right="0"/>
              <w:jc w:val="left"/>
              <w:rPr>
                <w:sz w:val="18"/>
                <w:lang w:val="es-ES_tradnl"/>
              </w:rPr>
            </w:pPr>
            <w:r>
              <w:rPr>
                <w:sz w:val="18"/>
                <w:lang w:val="es-ES_tradnl"/>
              </w:rPr>
              <w:t xml:space="preserve">Septiembre de </w:t>
            </w:r>
            <w:r w:rsidR="00FA40F2" w:rsidRPr="00FA40F2">
              <w:rPr>
                <w:sz w:val="18"/>
                <w:lang w:val="es-ES_tradnl"/>
              </w:rPr>
              <w:t>2018</w:t>
            </w:r>
          </w:p>
        </w:tc>
        <w:tc>
          <w:tcPr>
            <w:tcW w:w="3634" w:type="dxa"/>
            <w:shd w:val="clear" w:color="auto" w:fill="auto"/>
            <w:vAlign w:val="bottom"/>
          </w:tcPr>
          <w:p w14:paraId="0A7E97F6"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Capacitación básica sobre protección de niños</w:t>
            </w:r>
          </w:p>
        </w:tc>
        <w:tc>
          <w:tcPr>
            <w:tcW w:w="1637" w:type="dxa"/>
            <w:shd w:val="clear" w:color="auto" w:fill="auto"/>
            <w:vAlign w:val="bottom"/>
          </w:tcPr>
          <w:p w14:paraId="359864C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325FDB4C"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111</w:t>
            </w:r>
            <w:r w:rsidR="0032798F">
              <w:rPr>
                <w:sz w:val="18"/>
                <w:lang w:val="es-ES_tradnl"/>
              </w:rPr>
              <w:br/>
            </w:r>
            <w:r w:rsidRPr="00FA40F2">
              <w:rPr>
                <w:sz w:val="18"/>
                <w:lang w:val="es-ES_tradnl"/>
              </w:rPr>
              <w:t>3</w:t>
            </w:r>
          </w:p>
        </w:tc>
        <w:tc>
          <w:tcPr>
            <w:tcW w:w="638" w:type="dxa"/>
            <w:shd w:val="clear" w:color="auto" w:fill="auto"/>
            <w:vAlign w:val="bottom"/>
          </w:tcPr>
          <w:p w14:paraId="226CCFB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60</w:t>
            </w:r>
            <w:r w:rsidR="0032798F">
              <w:rPr>
                <w:sz w:val="18"/>
                <w:lang w:val="es-ES_tradnl"/>
              </w:rPr>
              <w:br/>
            </w:r>
            <w:r w:rsidRPr="00FA40F2">
              <w:rPr>
                <w:sz w:val="18"/>
                <w:lang w:val="es-ES_tradnl"/>
              </w:rPr>
              <w:t>5</w:t>
            </w:r>
          </w:p>
        </w:tc>
      </w:tr>
      <w:tr w:rsidR="00D353FA" w:rsidRPr="00FA40F2" w14:paraId="396C9259" w14:textId="77777777" w:rsidTr="00D353FA">
        <w:trPr>
          <w:cantSplit/>
          <w:trHeight w:val="240"/>
        </w:trPr>
        <w:tc>
          <w:tcPr>
            <w:tcW w:w="761" w:type="dxa"/>
            <w:vMerge/>
            <w:shd w:val="clear" w:color="auto" w:fill="auto"/>
          </w:tcPr>
          <w:p w14:paraId="6D192D5B"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79EDDAC4"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Entrevistas en vídeo con niños y testigos con discapacidad mental</w:t>
            </w:r>
          </w:p>
        </w:tc>
        <w:tc>
          <w:tcPr>
            <w:tcW w:w="1637" w:type="dxa"/>
            <w:shd w:val="clear" w:color="auto" w:fill="auto"/>
            <w:vAlign w:val="bottom"/>
          </w:tcPr>
          <w:p w14:paraId="34EE81D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3CF72F6E"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w:t>
            </w:r>
          </w:p>
        </w:tc>
        <w:tc>
          <w:tcPr>
            <w:tcW w:w="638" w:type="dxa"/>
            <w:shd w:val="clear" w:color="auto" w:fill="auto"/>
            <w:vAlign w:val="bottom"/>
          </w:tcPr>
          <w:p w14:paraId="71E35624"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p>
        </w:tc>
      </w:tr>
      <w:tr w:rsidR="00D353FA" w:rsidRPr="00FA40F2" w14:paraId="624DE67D" w14:textId="77777777" w:rsidTr="00D353FA">
        <w:trPr>
          <w:cantSplit/>
          <w:trHeight w:val="240"/>
        </w:trPr>
        <w:tc>
          <w:tcPr>
            <w:tcW w:w="761" w:type="dxa"/>
            <w:vMerge/>
            <w:tcBorders>
              <w:bottom w:val="single" w:sz="12" w:space="0" w:color="auto"/>
            </w:tcBorders>
            <w:shd w:val="clear" w:color="auto" w:fill="auto"/>
          </w:tcPr>
          <w:p w14:paraId="15373022"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tcBorders>
              <w:bottom w:val="single" w:sz="12" w:space="0" w:color="auto"/>
            </w:tcBorders>
            <w:shd w:val="clear" w:color="auto" w:fill="auto"/>
            <w:vAlign w:val="bottom"/>
          </w:tcPr>
          <w:p w14:paraId="013E4CF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Reunión: Reunión ordinaria de trabajo sobre la Ley del Mecanismo de Colaboración para la Prevención y la Lucha contra la Violencia Doméstica.</w:t>
            </w:r>
          </w:p>
        </w:tc>
        <w:tc>
          <w:tcPr>
            <w:tcW w:w="1637" w:type="dxa"/>
            <w:tcBorders>
              <w:bottom w:val="single" w:sz="12" w:space="0" w:color="auto"/>
            </w:tcBorders>
            <w:shd w:val="clear" w:color="auto" w:fill="auto"/>
            <w:vAlign w:val="bottom"/>
          </w:tcPr>
          <w:p w14:paraId="4E1C481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tcBorders>
              <w:bottom w:val="single" w:sz="12" w:space="0" w:color="auto"/>
            </w:tcBorders>
            <w:shd w:val="clear" w:color="auto" w:fill="auto"/>
            <w:vAlign w:val="bottom"/>
          </w:tcPr>
          <w:p w14:paraId="2E05C34B"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w:t>
            </w:r>
          </w:p>
        </w:tc>
        <w:tc>
          <w:tcPr>
            <w:tcW w:w="638" w:type="dxa"/>
            <w:tcBorders>
              <w:bottom w:val="single" w:sz="12" w:space="0" w:color="auto"/>
            </w:tcBorders>
            <w:shd w:val="clear" w:color="auto" w:fill="auto"/>
            <w:vAlign w:val="bottom"/>
          </w:tcPr>
          <w:p w14:paraId="2E21D0A4"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p>
        </w:tc>
      </w:tr>
    </w:tbl>
    <w:p w14:paraId="61902B1D" w14:textId="77777777" w:rsidR="00FA40F2" w:rsidRPr="00FA40F2" w:rsidRDefault="00FA40F2" w:rsidP="00D353FA">
      <w:pPr>
        <w:pStyle w:val="SingleTxtG"/>
        <w:spacing w:before="120"/>
        <w:ind w:firstLine="170"/>
        <w:rPr>
          <w:sz w:val="18"/>
          <w:szCs w:val="18"/>
          <w:lang w:val="es-ES_tradnl"/>
        </w:rPr>
      </w:pPr>
      <w:r w:rsidRPr="00FA40F2">
        <w:rPr>
          <w:i/>
          <w:iCs/>
          <w:sz w:val="18"/>
          <w:szCs w:val="18"/>
          <w:lang w:val="es-ES_tradnl"/>
        </w:rPr>
        <w:t>Fuente:</w:t>
      </w:r>
      <w:r w:rsidRPr="00FA40F2">
        <w:rPr>
          <w:sz w:val="18"/>
          <w:szCs w:val="18"/>
          <w:lang w:val="es-ES_tradnl"/>
        </w:rPr>
        <w:t xml:space="preserve"> Oficina de la Secretaría de Seguridad.</w:t>
      </w:r>
    </w:p>
    <w:p w14:paraId="72D2F257" w14:textId="77777777" w:rsidR="00FA40F2" w:rsidRPr="00FA40F2" w:rsidRDefault="00FA40F2" w:rsidP="00FA40F2">
      <w:pPr>
        <w:pStyle w:val="SingleTxtG"/>
        <w:rPr>
          <w:lang w:val="es-ES_tradnl"/>
        </w:rPr>
      </w:pPr>
      <w:r w:rsidRPr="00FA40F2">
        <w:rPr>
          <w:lang w:val="es-ES_tradnl"/>
        </w:rPr>
        <w:t>132.</w:t>
      </w:r>
      <w:r w:rsidRPr="00FA40F2">
        <w:rPr>
          <w:lang w:val="es-ES_tradnl"/>
        </w:rPr>
        <w:tab/>
        <w:t>Se han llevado a cabo varias campañas de sensibilización, entre otras vías a través de</w:t>
      </w:r>
      <w:r w:rsidR="002118A4">
        <w:rPr>
          <w:lang w:val="es-ES_tradnl"/>
        </w:rPr>
        <w:t> </w:t>
      </w:r>
      <w:r w:rsidRPr="00FA40F2">
        <w:rPr>
          <w:lang w:val="es-ES_tradnl"/>
        </w:rPr>
        <w:t xml:space="preserve">folletos informativos, carteles, medios de comunicación y actividades comunitarias. Entre 2016 y septiembre de 2018, 12.740 personas participaron en la actividad de sensibilización pública </w:t>
      </w:r>
      <w:r w:rsidR="00D353FA">
        <w:rPr>
          <w:lang w:val="es-ES_tradnl"/>
        </w:rPr>
        <w:t>“</w:t>
      </w:r>
      <w:r w:rsidRPr="00FA40F2">
        <w:rPr>
          <w:lang w:val="es-ES_tradnl"/>
        </w:rPr>
        <w:t>Violencia Cero</w:t>
      </w:r>
      <w:r w:rsidR="00D353FA">
        <w:rPr>
          <w:lang w:val="es-ES_tradnl"/>
        </w:rPr>
        <w:t>”</w:t>
      </w:r>
      <w:r w:rsidRPr="00FA40F2">
        <w:rPr>
          <w:lang w:val="es-ES_tradnl"/>
        </w:rPr>
        <w:t xml:space="preserve">. Durante seis años consecutivos se han organizado actividades </w:t>
      </w:r>
      <w:r w:rsidRPr="00FA40F2">
        <w:rPr>
          <w:lang w:val="es-ES_tradnl"/>
        </w:rPr>
        <w:lastRenderedPageBreak/>
        <w:t xml:space="preserve">continuas en el marco de la campaña </w:t>
      </w:r>
      <w:r w:rsidR="00D353FA">
        <w:rPr>
          <w:lang w:val="es-ES_tradnl"/>
        </w:rPr>
        <w:t>“</w:t>
      </w:r>
      <w:r w:rsidRPr="00FA40F2">
        <w:rPr>
          <w:lang w:val="es-ES_tradnl"/>
        </w:rPr>
        <w:t>Familia Feliz</w:t>
      </w:r>
      <w:r w:rsidR="00D353FA">
        <w:rPr>
          <w:lang w:val="es-ES_tradnl"/>
        </w:rPr>
        <w:t>”</w:t>
      </w:r>
      <w:r w:rsidRPr="00FA40F2">
        <w:rPr>
          <w:lang w:val="es-ES_tradnl"/>
        </w:rPr>
        <w:t xml:space="preserve"> y la </w:t>
      </w:r>
      <w:r w:rsidR="00D353FA">
        <w:rPr>
          <w:lang w:val="es-ES_tradnl"/>
        </w:rPr>
        <w:t>“</w:t>
      </w:r>
      <w:r w:rsidRPr="00FA40F2">
        <w:rPr>
          <w:lang w:val="es-ES_tradnl"/>
        </w:rPr>
        <w:t>Campaña contra la Violencia Doméstica</w:t>
      </w:r>
      <w:r w:rsidR="00D353FA">
        <w:rPr>
          <w:lang w:val="es-ES_tradnl"/>
        </w:rPr>
        <w:t>”</w:t>
      </w:r>
      <w:r w:rsidRPr="00FA40F2">
        <w:rPr>
          <w:lang w:val="es-ES_tradnl"/>
        </w:rPr>
        <w:t xml:space="preserve">, que han contado con más de 134.000 participantes. </w:t>
      </w:r>
    </w:p>
    <w:p w14:paraId="21A7E8A5" w14:textId="77777777" w:rsidR="00FA40F2" w:rsidRPr="00FA40F2" w:rsidRDefault="00FA40F2" w:rsidP="00D353FA">
      <w:pPr>
        <w:pStyle w:val="H4G"/>
        <w:rPr>
          <w:lang w:val="es-ES_tradnl"/>
        </w:rPr>
      </w:pPr>
      <w:r w:rsidRPr="00FA40F2">
        <w:rPr>
          <w:lang w:val="es-ES_tradnl"/>
        </w:rPr>
        <w:tab/>
      </w:r>
      <w:r w:rsidR="00D353FA">
        <w:rPr>
          <w:lang w:val="es-ES_tradnl"/>
        </w:rPr>
        <w:tab/>
      </w:r>
      <w:r w:rsidRPr="00FA40F2">
        <w:rPr>
          <w:lang w:val="es-ES_tradnl"/>
        </w:rPr>
        <w:t>Trata de personas</w:t>
      </w:r>
    </w:p>
    <w:p w14:paraId="4194D14A" w14:textId="77777777" w:rsidR="00FA40F2" w:rsidRPr="00FA40F2" w:rsidRDefault="00FA40F2" w:rsidP="00FA40F2">
      <w:pPr>
        <w:pStyle w:val="SingleTxtG"/>
        <w:rPr>
          <w:lang w:val="es-ES_tradnl"/>
        </w:rPr>
      </w:pPr>
      <w:r w:rsidRPr="00FA40F2">
        <w:rPr>
          <w:lang w:val="es-ES_tradnl"/>
        </w:rPr>
        <w:t>133.</w:t>
      </w:r>
      <w:r w:rsidRPr="00FA40F2">
        <w:rPr>
          <w:lang w:val="es-ES_tradnl"/>
        </w:rPr>
        <w:tab/>
        <w:t xml:space="preserve">Como se señaló en el último informe, en la Ley </w:t>
      </w:r>
      <w:r w:rsidR="00E27276">
        <w:rPr>
          <w:lang w:val="es-ES_tradnl"/>
        </w:rPr>
        <w:t>núm. </w:t>
      </w:r>
      <w:r w:rsidRPr="00FA40F2">
        <w:rPr>
          <w:lang w:val="es-ES_tradnl"/>
        </w:rPr>
        <w:t xml:space="preserve">6/2008 se establecía un marco amplio e integrado para prevenir y combatir la trata de personas y prestar apoyo a sus víctimas. Esa información sigue vigente. El Comité de Seguimiento de la implantación de Medidas Disuasorias contra la Trata de Personas sigue participando intensa y activamente, en cooperación con distintos organismos públicos y diversas ONG, en la mayoría de las iniciativas emprendidas para combatir la trata. </w:t>
      </w:r>
    </w:p>
    <w:p w14:paraId="052DEB70" w14:textId="77777777" w:rsidR="00FA40F2" w:rsidRPr="00FA40F2" w:rsidRDefault="00FA40F2" w:rsidP="00D353FA">
      <w:pPr>
        <w:pStyle w:val="H23G"/>
        <w:rPr>
          <w:lang w:val="es-ES_tradnl"/>
        </w:rPr>
      </w:pPr>
      <w:r w:rsidRPr="00FA40F2">
        <w:rPr>
          <w:lang w:val="es-ES_tradnl"/>
        </w:rPr>
        <w:tab/>
      </w:r>
      <w:r w:rsidR="00D353FA">
        <w:rPr>
          <w:lang w:val="es-ES_tradnl"/>
        </w:rPr>
        <w:tab/>
      </w:r>
      <w:r w:rsidRPr="00FA40F2">
        <w:rPr>
          <w:lang w:val="es-ES_tradnl"/>
        </w:rPr>
        <w:t>Casos de trata de personas investigados por la policía</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851"/>
        <w:gridCol w:w="857"/>
        <w:gridCol w:w="1269"/>
        <w:gridCol w:w="851"/>
        <w:gridCol w:w="1134"/>
        <w:gridCol w:w="1134"/>
        <w:gridCol w:w="850"/>
        <w:gridCol w:w="851"/>
        <w:gridCol w:w="944"/>
        <w:gridCol w:w="896"/>
      </w:tblGrid>
      <w:tr w:rsidR="004C528E" w:rsidRPr="004C528E" w14:paraId="1947EB37" w14:textId="77777777" w:rsidTr="005D4220">
        <w:trPr>
          <w:cantSplit/>
          <w:trHeight w:val="240"/>
          <w:tblHeader/>
        </w:trPr>
        <w:tc>
          <w:tcPr>
            <w:tcW w:w="851" w:type="dxa"/>
            <w:vMerge w:val="restart"/>
            <w:tcBorders>
              <w:top w:val="single" w:sz="4" w:space="0" w:color="auto"/>
              <w:bottom w:val="single" w:sz="12" w:space="0" w:color="auto"/>
            </w:tcBorders>
            <w:shd w:val="clear" w:color="auto" w:fill="auto"/>
            <w:tcMar>
              <w:left w:w="0" w:type="dxa"/>
              <w:right w:w="0" w:type="dxa"/>
            </w:tcMar>
            <w:vAlign w:val="bottom"/>
          </w:tcPr>
          <w:p w14:paraId="4DADDC36" w14:textId="77777777" w:rsidR="00FA40F2" w:rsidRPr="00FA40F2" w:rsidRDefault="00FA40F2" w:rsidP="004C528E">
            <w:pPr>
              <w:pStyle w:val="SingleTxtG"/>
              <w:spacing w:before="80" w:after="80" w:line="200" w:lineRule="exact"/>
              <w:ind w:left="0" w:right="0"/>
              <w:jc w:val="left"/>
              <w:rPr>
                <w:i/>
                <w:sz w:val="16"/>
                <w:lang w:val="es-ES_tradnl"/>
              </w:rPr>
            </w:pPr>
            <w:r w:rsidRPr="00FA40F2">
              <w:rPr>
                <w:i/>
                <w:iCs/>
                <w:sz w:val="16"/>
                <w:lang w:val="es-ES_tradnl"/>
              </w:rPr>
              <w:t>Año</w:t>
            </w:r>
          </w:p>
        </w:tc>
        <w:tc>
          <w:tcPr>
            <w:tcW w:w="857" w:type="dxa"/>
            <w:vMerge w:val="restart"/>
            <w:tcBorders>
              <w:top w:val="single" w:sz="4" w:space="0" w:color="auto"/>
              <w:bottom w:val="single" w:sz="12" w:space="0" w:color="auto"/>
            </w:tcBorders>
            <w:shd w:val="clear" w:color="auto" w:fill="auto"/>
            <w:tcMar>
              <w:left w:w="0" w:type="dxa"/>
              <w:right w:w="0" w:type="dxa"/>
            </w:tcMar>
            <w:vAlign w:val="bottom"/>
          </w:tcPr>
          <w:p w14:paraId="21E5EA1F"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w:t>
            </w:r>
            <w:r w:rsidR="0032798F">
              <w:rPr>
                <w:i/>
                <w:iCs/>
                <w:sz w:val="16"/>
                <w:lang w:val="es-ES_tradnl"/>
              </w:rPr>
              <w:br/>
            </w:r>
            <w:r w:rsidRPr="00FA40F2">
              <w:rPr>
                <w:i/>
                <w:iCs/>
                <w:sz w:val="16"/>
                <w:lang w:val="es-ES_tradnl"/>
              </w:rPr>
              <w:t>de casos investigados</w:t>
            </w:r>
          </w:p>
        </w:tc>
        <w:tc>
          <w:tcPr>
            <w:tcW w:w="1269" w:type="dxa"/>
            <w:vMerge w:val="restart"/>
            <w:tcBorders>
              <w:top w:val="single" w:sz="4" w:space="0" w:color="auto"/>
              <w:bottom w:val="single" w:sz="12" w:space="0" w:color="auto"/>
            </w:tcBorders>
            <w:shd w:val="clear" w:color="auto" w:fill="auto"/>
            <w:tcMar>
              <w:left w:w="0" w:type="dxa"/>
              <w:right w:w="0" w:type="dxa"/>
            </w:tcMar>
            <w:vAlign w:val="bottom"/>
          </w:tcPr>
          <w:p w14:paraId="0C536D53"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de casos calificados de </w:t>
            </w:r>
            <w:r w:rsidR="0032798F">
              <w:rPr>
                <w:i/>
                <w:iCs/>
                <w:sz w:val="16"/>
                <w:lang w:val="es-ES_tradnl"/>
              </w:rPr>
              <w:br/>
            </w:r>
            <w:r w:rsidRPr="00FA40F2">
              <w:rPr>
                <w:i/>
                <w:iCs/>
                <w:sz w:val="16"/>
                <w:lang w:val="es-ES_tradnl"/>
              </w:rPr>
              <w:t>trata de personas por la fiscalía</w:t>
            </w:r>
          </w:p>
        </w:tc>
        <w:tc>
          <w:tcPr>
            <w:tcW w:w="851" w:type="dxa"/>
            <w:vMerge w:val="restart"/>
            <w:tcBorders>
              <w:top w:val="single" w:sz="4" w:space="0" w:color="auto"/>
              <w:bottom w:val="single" w:sz="12" w:space="0" w:color="auto"/>
            </w:tcBorders>
            <w:shd w:val="clear" w:color="auto" w:fill="auto"/>
            <w:tcMar>
              <w:left w:w="0" w:type="dxa"/>
              <w:right w:w="0" w:type="dxa"/>
            </w:tcMar>
            <w:vAlign w:val="bottom"/>
          </w:tcPr>
          <w:p w14:paraId="7795B642"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causas incoadas</w:t>
            </w:r>
          </w:p>
        </w:tc>
        <w:tc>
          <w:tcPr>
            <w:tcW w:w="1134" w:type="dxa"/>
            <w:vMerge w:val="restart"/>
            <w:tcBorders>
              <w:top w:val="single" w:sz="4" w:space="0" w:color="auto"/>
              <w:bottom w:val="single" w:sz="12" w:space="0" w:color="auto"/>
            </w:tcBorders>
            <w:shd w:val="clear" w:color="auto" w:fill="auto"/>
            <w:tcMar>
              <w:left w:w="0" w:type="dxa"/>
              <w:right w:w="0" w:type="dxa"/>
            </w:tcMar>
            <w:vAlign w:val="bottom"/>
          </w:tcPr>
          <w:p w14:paraId="457DE927"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causas pendientes</w:t>
            </w:r>
          </w:p>
        </w:tc>
        <w:tc>
          <w:tcPr>
            <w:tcW w:w="1134" w:type="dxa"/>
            <w:vMerge w:val="restart"/>
            <w:tcBorders>
              <w:top w:val="single" w:sz="4" w:space="0" w:color="auto"/>
              <w:bottom w:val="single" w:sz="12" w:space="0" w:color="auto"/>
            </w:tcBorders>
            <w:shd w:val="clear" w:color="auto" w:fill="auto"/>
            <w:tcMar>
              <w:left w:w="0" w:type="dxa"/>
              <w:right w:w="0" w:type="dxa"/>
            </w:tcMar>
            <w:vAlign w:val="bottom"/>
          </w:tcPr>
          <w:p w14:paraId="0A665BA8"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Número de procesamientos</w:t>
            </w:r>
          </w:p>
        </w:tc>
        <w:tc>
          <w:tcPr>
            <w:tcW w:w="850" w:type="dxa"/>
            <w:vMerge w:val="restart"/>
            <w:tcBorders>
              <w:top w:val="single" w:sz="4" w:space="0" w:color="auto"/>
              <w:bottom w:val="single" w:sz="12" w:space="0" w:color="auto"/>
            </w:tcBorders>
            <w:shd w:val="clear" w:color="auto" w:fill="auto"/>
            <w:tcMar>
              <w:left w:w="0" w:type="dxa"/>
              <w:right w:w="0" w:type="dxa"/>
            </w:tcMar>
            <w:vAlign w:val="bottom"/>
          </w:tcPr>
          <w:p w14:paraId="13D6F162"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Número de personas procesadas</w:t>
            </w:r>
          </w:p>
        </w:tc>
        <w:tc>
          <w:tcPr>
            <w:tcW w:w="2691" w:type="dxa"/>
            <w:gridSpan w:val="3"/>
            <w:tcBorders>
              <w:top w:val="single" w:sz="4" w:space="0" w:color="auto"/>
              <w:bottom w:val="single" w:sz="4" w:space="0" w:color="auto"/>
            </w:tcBorders>
            <w:shd w:val="clear" w:color="auto" w:fill="auto"/>
            <w:tcMar>
              <w:left w:w="0" w:type="dxa"/>
              <w:right w:w="0" w:type="dxa"/>
            </w:tcMar>
            <w:vAlign w:val="bottom"/>
          </w:tcPr>
          <w:p w14:paraId="37F6FCAB" w14:textId="77777777" w:rsidR="00FA40F2" w:rsidRPr="00FA40F2" w:rsidRDefault="00FA40F2" w:rsidP="004C528E">
            <w:pPr>
              <w:pStyle w:val="SingleTxtG"/>
              <w:spacing w:before="80" w:after="80" w:line="200" w:lineRule="exact"/>
              <w:ind w:left="0" w:right="0"/>
              <w:jc w:val="center"/>
              <w:rPr>
                <w:i/>
                <w:sz w:val="16"/>
                <w:lang w:val="es-ES_tradnl"/>
              </w:rPr>
            </w:pPr>
            <w:r w:rsidRPr="00FA40F2">
              <w:rPr>
                <w:i/>
                <w:iCs/>
                <w:sz w:val="16"/>
                <w:lang w:val="es-ES_tradnl"/>
              </w:rPr>
              <w:t>Sentencia (número de personas)</w:t>
            </w:r>
          </w:p>
        </w:tc>
      </w:tr>
      <w:tr w:rsidR="005D4220" w:rsidRPr="00FA40F2" w14:paraId="1D2F82F4" w14:textId="77777777" w:rsidTr="005D4220">
        <w:trPr>
          <w:cantSplit/>
          <w:trHeight w:val="240"/>
          <w:tblHeader/>
        </w:trPr>
        <w:tc>
          <w:tcPr>
            <w:tcW w:w="851" w:type="dxa"/>
            <w:vMerge/>
            <w:tcBorders>
              <w:top w:val="single" w:sz="12" w:space="0" w:color="auto"/>
              <w:bottom w:val="single" w:sz="12" w:space="0" w:color="auto"/>
            </w:tcBorders>
            <w:shd w:val="clear" w:color="auto" w:fill="auto"/>
            <w:tcMar>
              <w:left w:w="0" w:type="dxa"/>
              <w:right w:w="0" w:type="dxa"/>
            </w:tcMar>
            <w:vAlign w:val="bottom"/>
          </w:tcPr>
          <w:p w14:paraId="77174E35" w14:textId="77777777" w:rsidR="00FA40F2" w:rsidRPr="00FA40F2" w:rsidRDefault="00FA40F2" w:rsidP="004C528E">
            <w:pPr>
              <w:pStyle w:val="SingleTxtG"/>
              <w:spacing w:before="40" w:after="40" w:line="220" w:lineRule="exact"/>
              <w:ind w:left="0" w:right="0"/>
              <w:jc w:val="left"/>
              <w:rPr>
                <w:sz w:val="18"/>
                <w:lang w:val="es-ES_tradnl"/>
              </w:rPr>
            </w:pPr>
          </w:p>
        </w:tc>
        <w:tc>
          <w:tcPr>
            <w:tcW w:w="857" w:type="dxa"/>
            <w:vMerge/>
            <w:tcBorders>
              <w:top w:val="single" w:sz="12" w:space="0" w:color="auto"/>
              <w:bottom w:val="single" w:sz="12" w:space="0" w:color="auto"/>
            </w:tcBorders>
            <w:shd w:val="clear" w:color="auto" w:fill="auto"/>
            <w:tcMar>
              <w:left w:w="0" w:type="dxa"/>
              <w:right w:w="0" w:type="dxa"/>
            </w:tcMar>
            <w:vAlign w:val="bottom"/>
          </w:tcPr>
          <w:p w14:paraId="54202E0E" w14:textId="77777777" w:rsidR="00FA40F2" w:rsidRPr="00FA40F2" w:rsidRDefault="00FA40F2" w:rsidP="004C528E">
            <w:pPr>
              <w:pStyle w:val="SingleTxtG"/>
              <w:spacing w:before="40" w:after="40" w:line="220" w:lineRule="exact"/>
              <w:ind w:left="0" w:right="57"/>
              <w:jc w:val="right"/>
              <w:rPr>
                <w:sz w:val="18"/>
                <w:lang w:val="es-ES_tradnl"/>
              </w:rPr>
            </w:pPr>
          </w:p>
        </w:tc>
        <w:tc>
          <w:tcPr>
            <w:tcW w:w="1269" w:type="dxa"/>
            <w:vMerge/>
            <w:tcBorders>
              <w:top w:val="single" w:sz="12" w:space="0" w:color="auto"/>
              <w:bottom w:val="single" w:sz="12" w:space="0" w:color="auto"/>
            </w:tcBorders>
            <w:shd w:val="clear" w:color="auto" w:fill="auto"/>
            <w:tcMar>
              <w:left w:w="0" w:type="dxa"/>
              <w:right w:w="0" w:type="dxa"/>
            </w:tcMar>
            <w:vAlign w:val="bottom"/>
          </w:tcPr>
          <w:p w14:paraId="7193B104" w14:textId="77777777" w:rsidR="00FA40F2" w:rsidRPr="00FA40F2" w:rsidRDefault="00FA40F2" w:rsidP="004C528E">
            <w:pPr>
              <w:pStyle w:val="SingleTxtG"/>
              <w:spacing w:before="40" w:after="40" w:line="220" w:lineRule="exact"/>
              <w:ind w:left="0" w:right="57"/>
              <w:jc w:val="right"/>
              <w:rPr>
                <w:sz w:val="18"/>
                <w:lang w:val="es-ES_tradnl"/>
              </w:rPr>
            </w:pPr>
          </w:p>
        </w:tc>
        <w:tc>
          <w:tcPr>
            <w:tcW w:w="851" w:type="dxa"/>
            <w:vMerge/>
            <w:tcBorders>
              <w:top w:val="single" w:sz="12" w:space="0" w:color="auto"/>
              <w:bottom w:val="single" w:sz="12" w:space="0" w:color="auto"/>
            </w:tcBorders>
            <w:shd w:val="clear" w:color="auto" w:fill="auto"/>
            <w:tcMar>
              <w:left w:w="0" w:type="dxa"/>
              <w:right w:w="0" w:type="dxa"/>
            </w:tcMar>
            <w:vAlign w:val="bottom"/>
          </w:tcPr>
          <w:p w14:paraId="49FACFCD" w14:textId="77777777" w:rsidR="00FA40F2" w:rsidRPr="00FA40F2" w:rsidRDefault="00FA40F2" w:rsidP="004C528E">
            <w:pPr>
              <w:pStyle w:val="SingleTxtG"/>
              <w:spacing w:before="40" w:after="40" w:line="220" w:lineRule="exact"/>
              <w:ind w:left="0" w:right="57"/>
              <w:jc w:val="right"/>
              <w:rPr>
                <w:sz w:val="18"/>
                <w:lang w:val="es-ES_tradnl"/>
              </w:rPr>
            </w:pPr>
          </w:p>
        </w:tc>
        <w:tc>
          <w:tcPr>
            <w:tcW w:w="1134" w:type="dxa"/>
            <w:vMerge/>
            <w:tcBorders>
              <w:top w:val="single" w:sz="12" w:space="0" w:color="auto"/>
              <w:bottom w:val="single" w:sz="12" w:space="0" w:color="auto"/>
            </w:tcBorders>
            <w:shd w:val="clear" w:color="auto" w:fill="auto"/>
            <w:tcMar>
              <w:left w:w="0" w:type="dxa"/>
              <w:right w:w="0" w:type="dxa"/>
            </w:tcMar>
            <w:vAlign w:val="bottom"/>
          </w:tcPr>
          <w:p w14:paraId="3602D44C" w14:textId="77777777" w:rsidR="00FA40F2" w:rsidRPr="00FA40F2" w:rsidRDefault="00FA40F2" w:rsidP="004C528E">
            <w:pPr>
              <w:pStyle w:val="SingleTxtG"/>
              <w:spacing w:before="40" w:after="40" w:line="220" w:lineRule="exact"/>
              <w:ind w:left="0" w:right="57"/>
              <w:jc w:val="right"/>
              <w:rPr>
                <w:sz w:val="18"/>
                <w:lang w:val="es-ES_tradnl"/>
              </w:rPr>
            </w:pPr>
          </w:p>
        </w:tc>
        <w:tc>
          <w:tcPr>
            <w:tcW w:w="1134" w:type="dxa"/>
            <w:vMerge/>
            <w:tcBorders>
              <w:top w:val="single" w:sz="12" w:space="0" w:color="auto"/>
              <w:bottom w:val="single" w:sz="12" w:space="0" w:color="auto"/>
            </w:tcBorders>
            <w:shd w:val="clear" w:color="auto" w:fill="auto"/>
            <w:tcMar>
              <w:left w:w="0" w:type="dxa"/>
              <w:right w:w="0" w:type="dxa"/>
            </w:tcMar>
            <w:vAlign w:val="bottom"/>
          </w:tcPr>
          <w:p w14:paraId="259745DF" w14:textId="77777777" w:rsidR="00FA40F2" w:rsidRPr="00FA40F2" w:rsidRDefault="00FA40F2" w:rsidP="004C528E">
            <w:pPr>
              <w:pStyle w:val="SingleTxtG"/>
              <w:spacing w:before="40" w:after="40" w:line="220" w:lineRule="exact"/>
              <w:ind w:left="0" w:right="57"/>
              <w:jc w:val="right"/>
              <w:rPr>
                <w:sz w:val="18"/>
                <w:lang w:val="es-ES_tradnl"/>
              </w:rPr>
            </w:pPr>
          </w:p>
        </w:tc>
        <w:tc>
          <w:tcPr>
            <w:tcW w:w="850" w:type="dxa"/>
            <w:vMerge/>
            <w:tcBorders>
              <w:top w:val="single" w:sz="12" w:space="0" w:color="auto"/>
              <w:bottom w:val="single" w:sz="12" w:space="0" w:color="auto"/>
            </w:tcBorders>
            <w:shd w:val="clear" w:color="auto" w:fill="auto"/>
            <w:tcMar>
              <w:left w:w="0" w:type="dxa"/>
              <w:right w:w="0" w:type="dxa"/>
            </w:tcMar>
            <w:vAlign w:val="bottom"/>
          </w:tcPr>
          <w:p w14:paraId="376042D2" w14:textId="77777777" w:rsidR="00FA40F2" w:rsidRPr="00FA40F2" w:rsidRDefault="00FA40F2" w:rsidP="004C528E">
            <w:pPr>
              <w:pStyle w:val="SingleTxtG"/>
              <w:spacing w:before="40" w:after="40" w:line="220" w:lineRule="exact"/>
              <w:ind w:left="0" w:right="57"/>
              <w:jc w:val="right"/>
              <w:rPr>
                <w:sz w:val="18"/>
                <w:lang w:val="es-ES_tradnl"/>
              </w:rPr>
            </w:pPr>
          </w:p>
        </w:tc>
        <w:tc>
          <w:tcPr>
            <w:tcW w:w="851" w:type="dxa"/>
            <w:tcBorders>
              <w:top w:val="single" w:sz="4" w:space="0" w:color="auto"/>
              <w:bottom w:val="single" w:sz="12" w:space="0" w:color="auto"/>
            </w:tcBorders>
            <w:shd w:val="clear" w:color="auto" w:fill="auto"/>
            <w:tcMar>
              <w:left w:w="0" w:type="dxa"/>
              <w:right w:w="0" w:type="dxa"/>
            </w:tcMar>
            <w:vAlign w:val="bottom"/>
          </w:tcPr>
          <w:p w14:paraId="02F03EB8" w14:textId="77777777" w:rsidR="00FA40F2" w:rsidRPr="00FA40F2" w:rsidRDefault="00FA40F2" w:rsidP="0032798F">
            <w:pPr>
              <w:pStyle w:val="SingleTxtG"/>
              <w:spacing w:before="80" w:after="80" w:line="200" w:lineRule="exact"/>
              <w:ind w:left="0" w:right="11"/>
              <w:jc w:val="right"/>
              <w:rPr>
                <w:i/>
                <w:iCs/>
                <w:sz w:val="16"/>
                <w:lang w:val="es-ES_tradnl"/>
              </w:rPr>
            </w:pPr>
            <w:r w:rsidRPr="00FA40F2">
              <w:rPr>
                <w:i/>
                <w:iCs/>
                <w:sz w:val="16"/>
                <w:lang w:val="es-ES_tradnl"/>
              </w:rPr>
              <w:t>Sentencia absolutoria</w:t>
            </w:r>
          </w:p>
        </w:tc>
        <w:tc>
          <w:tcPr>
            <w:tcW w:w="944" w:type="dxa"/>
            <w:tcBorders>
              <w:top w:val="single" w:sz="4" w:space="0" w:color="auto"/>
              <w:bottom w:val="single" w:sz="12" w:space="0" w:color="auto"/>
            </w:tcBorders>
            <w:shd w:val="clear" w:color="auto" w:fill="auto"/>
            <w:tcMar>
              <w:left w:w="0" w:type="dxa"/>
              <w:right w:w="0" w:type="dxa"/>
            </w:tcMar>
            <w:vAlign w:val="bottom"/>
          </w:tcPr>
          <w:p w14:paraId="55A2D6CF" w14:textId="77777777" w:rsidR="00FA40F2" w:rsidRPr="00FA40F2" w:rsidRDefault="00FA40F2" w:rsidP="0032798F">
            <w:pPr>
              <w:pStyle w:val="SingleTxtG"/>
              <w:spacing w:before="80" w:after="80" w:line="200" w:lineRule="exact"/>
              <w:ind w:left="0" w:right="11"/>
              <w:jc w:val="right"/>
              <w:rPr>
                <w:i/>
                <w:iCs/>
                <w:sz w:val="16"/>
                <w:lang w:val="es-ES_tradnl"/>
              </w:rPr>
            </w:pPr>
            <w:r w:rsidRPr="00FA40F2">
              <w:rPr>
                <w:i/>
                <w:iCs/>
                <w:sz w:val="16"/>
                <w:lang w:val="es-ES_tradnl"/>
              </w:rPr>
              <w:t xml:space="preserve">Condenas </w:t>
            </w:r>
            <w:r w:rsidR="002118A4">
              <w:rPr>
                <w:i/>
                <w:iCs/>
                <w:sz w:val="16"/>
                <w:lang w:val="es-ES_tradnl"/>
              </w:rPr>
              <w:br/>
            </w:r>
            <w:r w:rsidRPr="00FA40F2">
              <w:rPr>
                <w:i/>
                <w:iCs/>
                <w:sz w:val="16"/>
                <w:lang w:val="es-ES_tradnl"/>
              </w:rPr>
              <w:t xml:space="preserve">por trata </w:t>
            </w:r>
            <w:r w:rsidR="002118A4">
              <w:rPr>
                <w:i/>
                <w:iCs/>
                <w:sz w:val="16"/>
                <w:lang w:val="es-ES_tradnl"/>
              </w:rPr>
              <w:br/>
            </w:r>
            <w:r w:rsidRPr="00FA40F2">
              <w:rPr>
                <w:i/>
                <w:iCs/>
                <w:sz w:val="16"/>
                <w:lang w:val="es-ES_tradnl"/>
              </w:rPr>
              <w:t>de personas</w:t>
            </w:r>
          </w:p>
        </w:tc>
        <w:tc>
          <w:tcPr>
            <w:tcW w:w="896" w:type="dxa"/>
            <w:tcBorders>
              <w:top w:val="single" w:sz="4" w:space="0" w:color="auto"/>
              <w:bottom w:val="single" w:sz="12" w:space="0" w:color="auto"/>
            </w:tcBorders>
            <w:shd w:val="clear" w:color="auto" w:fill="auto"/>
            <w:tcMar>
              <w:left w:w="0" w:type="dxa"/>
              <w:right w:w="0" w:type="dxa"/>
            </w:tcMar>
            <w:vAlign w:val="bottom"/>
          </w:tcPr>
          <w:p w14:paraId="6317A55B" w14:textId="77777777" w:rsidR="00FA40F2" w:rsidRPr="00FA40F2" w:rsidRDefault="00FA40F2" w:rsidP="0032798F">
            <w:pPr>
              <w:pStyle w:val="SingleTxtG"/>
              <w:spacing w:before="80" w:after="80" w:line="200" w:lineRule="exact"/>
              <w:ind w:left="0" w:right="11"/>
              <w:jc w:val="right"/>
              <w:rPr>
                <w:i/>
                <w:iCs/>
                <w:sz w:val="16"/>
                <w:lang w:val="es-ES_tradnl"/>
              </w:rPr>
            </w:pPr>
            <w:r w:rsidRPr="00FA40F2">
              <w:rPr>
                <w:i/>
                <w:iCs/>
                <w:sz w:val="16"/>
                <w:lang w:val="es-ES_tradnl"/>
              </w:rPr>
              <w:t>Condenas por otras acusaciones</w:t>
            </w:r>
          </w:p>
        </w:tc>
      </w:tr>
      <w:tr w:rsidR="005D4220" w:rsidRPr="00FA40F2" w14:paraId="42BFE9BF" w14:textId="77777777" w:rsidTr="005D4220">
        <w:trPr>
          <w:cantSplit/>
          <w:trHeight w:val="240"/>
        </w:trPr>
        <w:tc>
          <w:tcPr>
            <w:tcW w:w="851" w:type="dxa"/>
            <w:tcBorders>
              <w:top w:val="single" w:sz="12" w:space="0" w:color="auto"/>
            </w:tcBorders>
            <w:shd w:val="clear" w:color="auto" w:fill="auto"/>
          </w:tcPr>
          <w:p w14:paraId="42BF9DE3"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2014</w:t>
            </w:r>
          </w:p>
        </w:tc>
        <w:tc>
          <w:tcPr>
            <w:tcW w:w="857" w:type="dxa"/>
            <w:tcBorders>
              <w:top w:val="single" w:sz="12" w:space="0" w:color="auto"/>
            </w:tcBorders>
            <w:shd w:val="clear" w:color="auto" w:fill="auto"/>
            <w:vAlign w:val="bottom"/>
          </w:tcPr>
          <w:p w14:paraId="4C18DFBC"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5</w:t>
            </w:r>
          </w:p>
        </w:tc>
        <w:tc>
          <w:tcPr>
            <w:tcW w:w="1269" w:type="dxa"/>
            <w:tcBorders>
              <w:top w:val="single" w:sz="12" w:space="0" w:color="auto"/>
            </w:tcBorders>
            <w:shd w:val="clear" w:color="auto" w:fill="auto"/>
            <w:vAlign w:val="bottom"/>
          </w:tcPr>
          <w:p w14:paraId="714C1A1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4</w:t>
            </w:r>
          </w:p>
        </w:tc>
        <w:tc>
          <w:tcPr>
            <w:tcW w:w="851" w:type="dxa"/>
            <w:tcBorders>
              <w:top w:val="single" w:sz="12" w:space="0" w:color="auto"/>
            </w:tcBorders>
            <w:shd w:val="clear" w:color="auto" w:fill="auto"/>
            <w:vAlign w:val="bottom"/>
          </w:tcPr>
          <w:p w14:paraId="0F90F82A"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4</w:t>
            </w:r>
          </w:p>
        </w:tc>
        <w:tc>
          <w:tcPr>
            <w:tcW w:w="1134" w:type="dxa"/>
            <w:tcBorders>
              <w:top w:val="single" w:sz="12" w:space="0" w:color="auto"/>
            </w:tcBorders>
            <w:shd w:val="clear" w:color="auto" w:fill="auto"/>
            <w:vAlign w:val="bottom"/>
          </w:tcPr>
          <w:p w14:paraId="478D0BA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tcBorders>
              <w:top w:val="single" w:sz="12" w:space="0" w:color="auto"/>
            </w:tcBorders>
            <w:shd w:val="clear" w:color="auto" w:fill="auto"/>
            <w:vAlign w:val="bottom"/>
          </w:tcPr>
          <w:p w14:paraId="09048F1D"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0" w:type="dxa"/>
            <w:tcBorders>
              <w:top w:val="single" w:sz="12" w:space="0" w:color="auto"/>
            </w:tcBorders>
            <w:shd w:val="clear" w:color="auto" w:fill="auto"/>
            <w:vAlign w:val="bottom"/>
          </w:tcPr>
          <w:p w14:paraId="0EF2FAAB"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tcBorders>
              <w:top w:val="single" w:sz="12" w:space="0" w:color="auto"/>
            </w:tcBorders>
            <w:shd w:val="clear" w:color="auto" w:fill="auto"/>
            <w:vAlign w:val="bottom"/>
          </w:tcPr>
          <w:p w14:paraId="1A872F44"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tcBorders>
              <w:top w:val="single" w:sz="12" w:space="0" w:color="auto"/>
            </w:tcBorders>
            <w:shd w:val="clear" w:color="auto" w:fill="auto"/>
            <w:vAlign w:val="bottom"/>
          </w:tcPr>
          <w:p w14:paraId="4F2CFF9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tcBorders>
              <w:top w:val="single" w:sz="12" w:space="0" w:color="auto"/>
            </w:tcBorders>
            <w:shd w:val="clear" w:color="auto" w:fill="auto"/>
            <w:vAlign w:val="bottom"/>
          </w:tcPr>
          <w:p w14:paraId="0C5562E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FA40F2" w14:paraId="426FF4DC" w14:textId="77777777" w:rsidTr="005D4220">
        <w:trPr>
          <w:cantSplit/>
          <w:trHeight w:val="240"/>
        </w:trPr>
        <w:tc>
          <w:tcPr>
            <w:tcW w:w="851" w:type="dxa"/>
            <w:shd w:val="clear" w:color="auto" w:fill="auto"/>
          </w:tcPr>
          <w:p w14:paraId="57771635"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2015</w:t>
            </w:r>
          </w:p>
        </w:tc>
        <w:tc>
          <w:tcPr>
            <w:tcW w:w="857" w:type="dxa"/>
            <w:shd w:val="clear" w:color="auto" w:fill="auto"/>
            <w:vAlign w:val="bottom"/>
          </w:tcPr>
          <w:p w14:paraId="0E9BD69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5</w:t>
            </w:r>
          </w:p>
        </w:tc>
        <w:tc>
          <w:tcPr>
            <w:tcW w:w="1269" w:type="dxa"/>
            <w:shd w:val="clear" w:color="auto" w:fill="auto"/>
            <w:vAlign w:val="bottom"/>
          </w:tcPr>
          <w:p w14:paraId="0B83D81E"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2</w:t>
            </w:r>
          </w:p>
        </w:tc>
        <w:tc>
          <w:tcPr>
            <w:tcW w:w="851" w:type="dxa"/>
            <w:shd w:val="clear" w:color="auto" w:fill="auto"/>
            <w:vAlign w:val="bottom"/>
          </w:tcPr>
          <w:p w14:paraId="5C069D09"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04C34D9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shd w:val="clear" w:color="auto" w:fill="auto"/>
            <w:vAlign w:val="bottom"/>
          </w:tcPr>
          <w:p w14:paraId="538391B6"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0" w:type="dxa"/>
            <w:shd w:val="clear" w:color="auto" w:fill="auto"/>
            <w:vAlign w:val="bottom"/>
          </w:tcPr>
          <w:p w14:paraId="7979CB6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1" w:type="dxa"/>
            <w:shd w:val="clear" w:color="auto" w:fill="auto"/>
            <w:vAlign w:val="bottom"/>
          </w:tcPr>
          <w:p w14:paraId="507C4764"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944" w:type="dxa"/>
            <w:shd w:val="clear" w:color="auto" w:fill="auto"/>
            <w:vAlign w:val="bottom"/>
          </w:tcPr>
          <w:p w14:paraId="4ACBAA9C"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shd w:val="clear" w:color="auto" w:fill="auto"/>
            <w:vAlign w:val="bottom"/>
          </w:tcPr>
          <w:p w14:paraId="025CF00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FA40F2" w14:paraId="4B19C3A2" w14:textId="77777777" w:rsidTr="005D4220">
        <w:trPr>
          <w:cantSplit/>
          <w:trHeight w:val="240"/>
        </w:trPr>
        <w:tc>
          <w:tcPr>
            <w:tcW w:w="851" w:type="dxa"/>
            <w:shd w:val="clear" w:color="auto" w:fill="auto"/>
          </w:tcPr>
          <w:p w14:paraId="5C1172FD"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2016</w:t>
            </w:r>
          </w:p>
        </w:tc>
        <w:tc>
          <w:tcPr>
            <w:tcW w:w="857" w:type="dxa"/>
            <w:shd w:val="clear" w:color="auto" w:fill="auto"/>
            <w:vAlign w:val="bottom"/>
          </w:tcPr>
          <w:p w14:paraId="2475474D"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4</w:t>
            </w:r>
          </w:p>
        </w:tc>
        <w:tc>
          <w:tcPr>
            <w:tcW w:w="1269" w:type="dxa"/>
            <w:shd w:val="clear" w:color="auto" w:fill="auto"/>
            <w:vAlign w:val="bottom"/>
          </w:tcPr>
          <w:p w14:paraId="423D245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2</w:t>
            </w:r>
          </w:p>
        </w:tc>
        <w:tc>
          <w:tcPr>
            <w:tcW w:w="851" w:type="dxa"/>
            <w:shd w:val="clear" w:color="auto" w:fill="auto"/>
            <w:vAlign w:val="bottom"/>
          </w:tcPr>
          <w:p w14:paraId="3EA7455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321BF57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shd w:val="clear" w:color="auto" w:fill="auto"/>
            <w:vAlign w:val="bottom"/>
          </w:tcPr>
          <w:p w14:paraId="75A5C946"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0" w:type="dxa"/>
            <w:shd w:val="clear" w:color="auto" w:fill="auto"/>
            <w:vAlign w:val="bottom"/>
          </w:tcPr>
          <w:p w14:paraId="74276ED9"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1" w:type="dxa"/>
            <w:shd w:val="clear" w:color="auto" w:fill="auto"/>
            <w:vAlign w:val="bottom"/>
          </w:tcPr>
          <w:p w14:paraId="27D474BE"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shd w:val="clear" w:color="auto" w:fill="auto"/>
            <w:vAlign w:val="bottom"/>
          </w:tcPr>
          <w:p w14:paraId="1C8F64E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shd w:val="clear" w:color="auto" w:fill="auto"/>
            <w:vAlign w:val="bottom"/>
          </w:tcPr>
          <w:p w14:paraId="441DECF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FA40F2" w14:paraId="4FDD6A85" w14:textId="77777777" w:rsidTr="005D4220">
        <w:trPr>
          <w:cantSplit/>
          <w:trHeight w:val="240"/>
        </w:trPr>
        <w:tc>
          <w:tcPr>
            <w:tcW w:w="851" w:type="dxa"/>
            <w:shd w:val="clear" w:color="auto" w:fill="auto"/>
          </w:tcPr>
          <w:p w14:paraId="36730541"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2017</w:t>
            </w:r>
          </w:p>
        </w:tc>
        <w:tc>
          <w:tcPr>
            <w:tcW w:w="857" w:type="dxa"/>
            <w:shd w:val="clear" w:color="auto" w:fill="auto"/>
            <w:vAlign w:val="bottom"/>
          </w:tcPr>
          <w:p w14:paraId="759D5B90"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3</w:t>
            </w:r>
          </w:p>
        </w:tc>
        <w:tc>
          <w:tcPr>
            <w:tcW w:w="1269" w:type="dxa"/>
            <w:shd w:val="clear" w:color="auto" w:fill="auto"/>
            <w:vAlign w:val="bottom"/>
          </w:tcPr>
          <w:p w14:paraId="30CE920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2</w:t>
            </w:r>
          </w:p>
        </w:tc>
        <w:tc>
          <w:tcPr>
            <w:tcW w:w="851" w:type="dxa"/>
            <w:shd w:val="clear" w:color="auto" w:fill="auto"/>
            <w:vAlign w:val="bottom"/>
          </w:tcPr>
          <w:p w14:paraId="7FC60EE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6C36C2BB"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0BD961DE"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0" w:type="dxa"/>
            <w:shd w:val="clear" w:color="auto" w:fill="auto"/>
            <w:vAlign w:val="bottom"/>
          </w:tcPr>
          <w:p w14:paraId="2D8C44B6"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shd w:val="clear" w:color="auto" w:fill="auto"/>
            <w:vAlign w:val="bottom"/>
          </w:tcPr>
          <w:p w14:paraId="7934C36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shd w:val="clear" w:color="auto" w:fill="auto"/>
            <w:vAlign w:val="bottom"/>
          </w:tcPr>
          <w:p w14:paraId="7838EC4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shd w:val="clear" w:color="auto" w:fill="auto"/>
            <w:vAlign w:val="bottom"/>
          </w:tcPr>
          <w:p w14:paraId="3ACC6F7A"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4C528E" w14:paraId="04D767E6" w14:textId="77777777" w:rsidTr="005D4220">
        <w:trPr>
          <w:cantSplit/>
          <w:trHeight w:val="240"/>
        </w:trPr>
        <w:tc>
          <w:tcPr>
            <w:tcW w:w="851" w:type="dxa"/>
            <w:tcBorders>
              <w:bottom w:val="single" w:sz="12" w:space="0" w:color="auto"/>
            </w:tcBorders>
            <w:shd w:val="clear" w:color="auto" w:fill="auto"/>
          </w:tcPr>
          <w:p w14:paraId="7C4C49ED" w14:textId="77777777" w:rsidR="00FA40F2" w:rsidRPr="00FA40F2" w:rsidRDefault="00B30E6D" w:rsidP="004C528E">
            <w:pPr>
              <w:pStyle w:val="SingleTxtG"/>
              <w:spacing w:before="40" w:after="40" w:line="220" w:lineRule="exact"/>
              <w:ind w:left="0" w:right="0"/>
              <w:jc w:val="left"/>
              <w:rPr>
                <w:sz w:val="18"/>
                <w:lang w:val="es-ES_tradnl"/>
              </w:rPr>
            </w:pPr>
            <w:r>
              <w:rPr>
                <w:sz w:val="18"/>
                <w:lang w:val="es-ES_tradnl"/>
              </w:rPr>
              <w:t>Sep</w:t>
            </w:r>
            <w:r w:rsidR="005D4220">
              <w:rPr>
                <w:sz w:val="18"/>
                <w:lang w:val="es-ES_tradnl"/>
              </w:rPr>
              <w:t xml:space="preserve">. </w:t>
            </w:r>
            <w:r w:rsidR="00FA40F2" w:rsidRPr="00FA40F2">
              <w:rPr>
                <w:sz w:val="18"/>
                <w:lang w:val="es-ES_tradnl"/>
              </w:rPr>
              <w:t>2018</w:t>
            </w:r>
          </w:p>
        </w:tc>
        <w:tc>
          <w:tcPr>
            <w:tcW w:w="857" w:type="dxa"/>
            <w:tcBorders>
              <w:bottom w:val="single" w:sz="12" w:space="0" w:color="auto"/>
            </w:tcBorders>
            <w:shd w:val="clear" w:color="auto" w:fill="auto"/>
            <w:vAlign w:val="bottom"/>
          </w:tcPr>
          <w:p w14:paraId="15BD1298"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269" w:type="dxa"/>
            <w:tcBorders>
              <w:bottom w:val="single" w:sz="12" w:space="0" w:color="auto"/>
            </w:tcBorders>
            <w:shd w:val="clear" w:color="auto" w:fill="auto"/>
            <w:vAlign w:val="bottom"/>
          </w:tcPr>
          <w:p w14:paraId="117F10B0"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tcBorders>
              <w:bottom w:val="single" w:sz="12" w:space="0" w:color="auto"/>
            </w:tcBorders>
            <w:shd w:val="clear" w:color="auto" w:fill="auto"/>
            <w:vAlign w:val="bottom"/>
          </w:tcPr>
          <w:p w14:paraId="52AFDDA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tcBorders>
              <w:bottom w:val="single" w:sz="12" w:space="0" w:color="auto"/>
            </w:tcBorders>
            <w:shd w:val="clear" w:color="auto" w:fill="auto"/>
            <w:vAlign w:val="bottom"/>
          </w:tcPr>
          <w:p w14:paraId="3FD6D523"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tcBorders>
              <w:bottom w:val="single" w:sz="12" w:space="0" w:color="auto"/>
            </w:tcBorders>
            <w:shd w:val="clear" w:color="auto" w:fill="auto"/>
            <w:vAlign w:val="bottom"/>
          </w:tcPr>
          <w:p w14:paraId="2FBB838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0" w:type="dxa"/>
            <w:tcBorders>
              <w:bottom w:val="single" w:sz="12" w:space="0" w:color="auto"/>
            </w:tcBorders>
            <w:shd w:val="clear" w:color="auto" w:fill="auto"/>
            <w:vAlign w:val="bottom"/>
          </w:tcPr>
          <w:p w14:paraId="47B15D0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tcBorders>
              <w:bottom w:val="single" w:sz="12" w:space="0" w:color="auto"/>
            </w:tcBorders>
            <w:shd w:val="clear" w:color="auto" w:fill="auto"/>
            <w:vAlign w:val="bottom"/>
          </w:tcPr>
          <w:p w14:paraId="7A4BD6D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tcBorders>
              <w:bottom w:val="single" w:sz="12" w:space="0" w:color="auto"/>
            </w:tcBorders>
            <w:shd w:val="clear" w:color="auto" w:fill="auto"/>
            <w:vAlign w:val="bottom"/>
          </w:tcPr>
          <w:p w14:paraId="4A7D365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tcBorders>
              <w:bottom w:val="single" w:sz="12" w:space="0" w:color="auto"/>
            </w:tcBorders>
            <w:shd w:val="clear" w:color="auto" w:fill="auto"/>
            <w:vAlign w:val="bottom"/>
          </w:tcPr>
          <w:p w14:paraId="409A91C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bl>
    <w:p w14:paraId="56B9858C" w14:textId="77777777" w:rsidR="00FA40F2" w:rsidRPr="00FA40F2" w:rsidRDefault="00FA40F2" w:rsidP="004C528E">
      <w:pPr>
        <w:pStyle w:val="SingleTxtG"/>
        <w:spacing w:before="120"/>
        <w:ind w:left="0" w:firstLine="170"/>
        <w:rPr>
          <w:sz w:val="18"/>
          <w:szCs w:val="18"/>
          <w:lang w:val="es-ES_tradnl"/>
        </w:rPr>
      </w:pPr>
      <w:r w:rsidRPr="00FA40F2">
        <w:rPr>
          <w:i/>
          <w:iCs/>
          <w:sz w:val="18"/>
          <w:szCs w:val="18"/>
          <w:lang w:val="es-ES_tradnl"/>
        </w:rPr>
        <w:t>Fuente</w:t>
      </w:r>
      <w:r w:rsidRPr="002118A4">
        <w:rPr>
          <w:i/>
          <w:iCs/>
          <w:sz w:val="18"/>
          <w:szCs w:val="18"/>
          <w:lang w:val="es-ES_tradnl"/>
        </w:rPr>
        <w:t>:</w:t>
      </w:r>
      <w:r w:rsidRPr="00FA40F2">
        <w:rPr>
          <w:sz w:val="18"/>
          <w:szCs w:val="18"/>
          <w:lang w:val="es-ES_tradnl"/>
        </w:rPr>
        <w:t xml:space="preserve"> Oficina de la Secretaría de Seguridad.</w:t>
      </w:r>
    </w:p>
    <w:p w14:paraId="26451F08" w14:textId="77777777" w:rsidR="00FA40F2" w:rsidRPr="00FA40F2" w:rsidRDefault="004C528E" w:rsidP="004C528E">
      <w:pPr>
        <w:pStyle w:val="H23G"/>
        <w:rPr>
          <w:lang w:val="es-ES_tradnl"/>
        </w:rPr>
      </w:pPr>
      <w:r>
        <w:rPr>
          <w:lang w:val="es-ES_tradnl"/>
        </w:rPr>
        <w:tab/>
      </w:r>
      <w:r w:rsidR="00FA40F2" w:rsidRPr="00FA40F2">
        <w:rPr>
          <w:lang w:val="es-ES_tradnl"/>
        </w:rPr>
        <w:tab/>
        <w:t>Casos calificados de trata de personas por la fiscalía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93"/>
        <w:gridCol w:w="993"/>
        <w:gridCol w:w="1133"/>
        <w:gridCol w:w="855"/>
        <w:gridCol w:w="848"/>
        <w:gridCol w:w="990"/>
        <w:gridCol w:w="851"/>
        <w:gridCol w:w="707"/>
      </w:tblGrid>
      <w:tr w:rsidR="004C528E" w:rsidRPr="004C528E" w14:paraId="1CD837DE" w14:textId="77777777" w:rsidTr="004C528E">
        <w:trPr>
          <w:cantSplit/>
          <w:trHeight w:val="240"/>
          <w:tblHeader/>
        </w:trPr>
        <w:tc>
          <w:tcPr>
            <w:tcW w:w="993" w:type="dxa"/>
            <w:vMerge w:val="restart"/>
            <w:tcBorders>
              <w:top w:val="single" w:sz="4" w:space="0" w:color="auto"/>
              <w:bottom w:val="single" w:sz="12" w:space="0" w:color="auto"/>
            </w:tcBorders>
            <w:shd w:val="clear" w:color="auto" w:fill="auto"/>
            <w:vAlign w:val="bottom"/>
          </w:tcPr>
          <w:p w14:paraId="44C44136" w14:textId="77777777" w:rsidR="00FA40F2" w:rsidRPr="00FA40F2" w:rsidRDefault="00FA40F2" w:rsidP="004C528E">
            <w:pPr>
              <w:pStyle w:val="SingleTxtG"/>
              <w:spacing w:before="80" w:after="80" w:line="200" w:lineRule="exact"/>
              <w:ind w:left="0" w:right="0"/>
              <w:jc w:val="left"/>
              <w:rPr>
                <w:i/>
                <w:iCs/>
                <w:sz w:val="16"/>
                <w:lang w:val="es-ES_tradnl"/>
              </w:rPr>
            </w:pPr>
            <w:r w:rsidRPr="00FA40F2">
              <w:rPr>
                <w:i/>
                <w:iCs/>
                <w:sz w:val="16"/>
                <w:lang w:val="es-ES_tradnl"/>
              </w:rPr>
              <w:t>Año</w:t>
            </w:r>
          </w:p>
        </w:tc>
        <w:tc>
          <w:tcPr>
            <w:tcW w:w="993" w:type="dxa"/>
            <w:vMerge w:val="restart"/>
            <w:tcBorders>
              <w:top w:val="single" w:sz="4" w:space="0" w:color="auto"/>
              <w:bottom w:val="single" w:sz="12" w:space="0" w:color="auto"/>
            </w:tcBorders>
            <w:shd w:val="clear" w:color="auto" w:fill="auto"/>
            <w:vAlign w:val="bottom"/>
          </w:tcPr>
          <w:p w14:paraId="38067D26"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casos</w:t>
            </w:r>
          </w:p>
        </w:tc>
        <w:tc>
          <w:tcPr>
            <w:tcW w:w="1133" w:type="dxa"/>
            <w:vMerge w:val="restart"/>
            <w:tcBorders>
              <w:top w:val="single" w:sz="4" w:space="0" w:color="auto"/>
              <w:bottom w:val="single" w:sz="12" w:space="0" w:color="auto"/>
            </w:tcBorders>
            <w:shd w:val="clear" w:color="auto" w:fill="auto"/>
            <w:vAlign w:val="bottom"/>
          </w:tcPr>
          <w:p w14:paraId="6BFBEE0C"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víctimas</w:t>
            </w:r>
          </w:p>
        </w:tc>
        <w:tc>
          <w:tcPr>
            <w:tcW w:w="855" w:type="dxa"/>
            <w:vMerge w:val="restart"/>
            <w:tcBorders>
              <w:top w:val="single" w:sz="4" w:space="0" w:color="auto"/>
              <w:bottom w:val="single" w:sz="12" w:space="0" w:color="auto"/>
            </w:tcBorders>
            <w:shd w:val="clear" w:color="auto" w:fill="auto"/>
            <w:vAlign w:val="bottom"/>
          </w:tcPr>
          <w:p w14:paraId="3AE83AFF"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Sexo</w:t>
            </w:r>
          </w:p>
        </w:tc>
        <w:tc>
          <w:tcPr>
            <w:tcW w:w="1838" w:type="dxa"/>
            <w:gridSpan w:val="2"/>
            <w:tcBorders>
              <w:top w:val="single" w:sz="4" w:space="0" w:color="auto"/>
              <w:bottom w:val="single" w:sz="4" w:space="0" w:color="auto"/>
            </w:tcBorders>
            <w:shd w:val="clear" w:color="auto" w:fill="auto"/>
            <w:vAlign w:val="bottom"/>
          </w:tcPr>
          <w:p w14:paraId="7A2C0D31" w14:textId="77777777" w:rsidR="00FA40F2" w:rsidRPr="00FA40F2" w:rsidRDefault="00FA40F2" w:rsidP="004C528E">
            <w:pPr>
              <w:pStyle w:val="SingleTxtG"/>
              <w:spacing w:before="80" w:after="80" w:line="200" w:lineRule="exact"/>
              <w:ind w:left="113" w:right="0"/>
              <w:jc w:val="center"/>
              <w:rPr>
                <w:i/>
                <w:iCs/>
                <w:sz w:val="16"/>
                <w:lang w:val="es-ES_tradnl"/>
              </w:rPr>
            </w:pPr>
            <w:r w:rsidRPr="00FA40F2">
              <w:rPr>
                <w:i/>
                <w:iCs/>
                <w:sz w:val="16"/>
                <w:lang w:val="es-ES_tradnl"/>
              </w:rPr>
              <w:t>Edad</w:t>
            </w:r>
          </w:p>
        </w:tc>
        <w:tc>
          <w:tcPr>
            <w:tcW w:w="1558" w:type="dxa"/>
            <w:gridSpan w:val="2"/>
            <w:tcBorders>
              <w:top w:val="single" w:sz="4" w:space="0" w:color="auto"/>
              <w:bottom w:val="single" w:sz="4" w:space="0" w:color="auto"/>
            </w:tcBorders>
            <w:shd w:val="clear" w:color="auto" w:fill="auto"/>
            <w:vAlign w:val="bottom"/>
          </w:tcPr>
          <w:p w14:paraId="070318B9" w14:textId="77777777" w:rsidR="00FA40F2" w:rsidRPr="00FA40F2" w:rsidRDefault="00FA40F2" w:rsidP="004C528E">
            <w:pPr>
              <w:pStyle w:val="SingleTxtG"/>
              <w:spacing w:before="80" w:after="80" w:line="200" w:lineRule="exact"/>
              <w:ind w:left="113" w:right="0"/>
              <w:jc w:val="center"/>
              <w:rPr>
                <w:i/>
                <w:iCs/>
                <w:sz w:val="16"/>
                <w:lang w:val="es-ES_tradnl"/>
              </w:rPr>
            </w:pPr>
            <w:r w:rsidRPr="00FA40F2">
              <w:rPr>
                <w:i/>
                <w:iCs/>
                <w:sz w:val="16"/>
                <w:lang w:val="es-ES_tradnl"/>
              </w:rPr>
              <w:t>Nacionalidad</w:t>
            </w:r>
          </w:p>
        </w:tc>
      </w:tr>
      <w:tr w:rsidR="004C528E" w:rsidRPr="004C528E" w14:paraId="09A27734" w14:textId="77777777" w:rsidTr="004C528E">
        <w:trPr>
          <w:cantSplit/>
          <w:trHeight w:val="240"/>
          <w:tblHeader/>
        </w:trPr>
        <w:tc>
          <w:tcPr>
            <w:tcW w:w="993" w:type="dxa"/>
            <w:vMerge/>
            <w:tcBorders>
              <w:top w:val="single" w:sz="12" w:space="0" w:color="auto"/>
              <w:bottom w:val="single" w:sz="12" w:space="0" w:color="auto"/>
            </w:tcBorders>
            <w:shd w:val="clear" w:color="auto" w:fill="auto"/>
            <w:vAlign w:val="bottom"/>
          </w:tcPr>
          <w:p w14:paraId="2DE3FE24" w14:textId="77777777" w:rsidR="00FA40F2" w:rsidRPr="00FA40F2" w:rsidRDefault="00FA40F2" w:rsidP="004C528E">
            <w:pPr>
              <w:pStyle w:val="SingleTxtG"/>
              <w:spacing w:before="40" w:after="40" w:line="220" w:lineRule="exact"/>
              <w:ind w:left="0" w:right="0"/>
              <w:jc w:val="left"/>
              <w:rPr>
                <w:iCs/>
                <w:sz w:val="18"/>
                <w:lang w:val="es-ES_tradnl"/>
              </w:rPr>
            </w:pPr>
          </w:p>
        </w:tc>
        <w:tc>
          <w:tcPr>
            <w:tcW w:w="993" w:type="dxa"/>
            <w:vMerge/>
            <w:tcBorders>
              <w:top w:val="single" w:sz="12" w:space="0" w:color="auto"/>
              <w:bottom w:val="single" w:sz="12" w:space="0" w:color="auto"/>
            </w:tcBorders>
            <w:shd w:val="clear" w:color="auto" w:fill="auto"/>
            <w:vAlign w:val="bottom"/>
          </w:tcPr>
          <w:p w14:paraId="1E99714A" w14:textId="77777777" w:rsidR="00FA40F2" w:rsidRPr="00FA40F2" w:rsidRDefault="00FA40F2" w:rsidP="008603C8">
            <w:pPr>
              <w:pStyle w:val="SingleTxtG"/>
              <w:spacing w:before="40" w:after="40" w:line="220" w:lineRule="exact"/>
              <w:ind w:left="113" w:right="11"/>
              <w:jc w:val="right"/>
              <w:rPr>
                <w:iCs/>
                <w:sz w:val="18"/>
                <w:lang w:val="es-ES_tradnl"/>
              </w:rPr>
            </w:pPr>
          </w:p>
        </w:tc>
        <w:tc>
          <w:tcPr>
            <w:tcW w:w="1133" w:type="dxa"/>
            <w:vMerge/>
            <w:tcBorders>
              <w:top w:val="single" w:sz="12" w:space="0" w:color="auto"/>
              <w:bottom w:val="single" w:sz="12" w:space="0" w:color="auto"/>
            </w:tcBorders>
            <w:shd w:val="clear" w:color="auto" w:fill="auto"/>
            <w:vAlign w:val="bottom"/>
          </w:tcPr>
          <w:p w14:paraId="7F9BDEEC" w14:textId="77777777" w:rsidR="00FA40F2" w:rsidRPr="00FA40F2" w:rsidRDefault="00FA40F2" w:rsidP="008603C8">
            <w:pPr>
              <w:pStyle w:val="SingleTxtG"/>
              <w:spacing w:before="40" w:after="40" w:line="220" w:lineRule="exact"/>
              <w:ind w:left="113" w:right="11"/>
              <w:jc w:val="right"/>
              <w:rPr>
                <w:iCs/>
                <w:sz w:val="18"/>
                <w:lang w:val="es-ES_tradnl"/>
              </w:rPr>
            </w:pPr>
          </w:p>
        </w:tc>
        <w:tc>
          <w:tcPr>
            <w:tcW w:w="855" w:type="dxa"/>
            <w:vMerge/>
            <w:tcBorders>
              <w:top w:val="single" w:sz="12" w:space="0" w:color="auto"/>
              <w:bottom w:val="single" w:sz="12" w:space="0" w:color="auto"/>
            </w:tcBorders>
            <w:shd w:val="clear" w:color="auto" w:fill="auto"/>
            <w:vAlign w:val="bottom"/>
          </w:tcPr>
          <w:p w14:paraId="19C40909" w14:textId="77777777" w:rsidR="00FA40F2" w:rsidRPr="00FA40F2" w:rsidRDefault="00FA40F2" w:rsidP="008603C8">
            <w:pPr>
              <w:pStyle w:val="SingleTxtG"/>
              <w:spacing w:before="40" w:after="40" w:line="220" w:lineRule="exact"/>
              <w:ind w:left="113" w:right="11"/>
              <w:jc w:val="right"/>
              <w:rPr>
                <w:iCs/>
                <w:sz w:val="18"/>
                <w:lang w:val="es-ES_tradnl"/>
              </w:rPr>
            </w:pPr>
          </w:p>
        </w:tc>
        <w:tc>
          <w:tcPr>
            <w:tcW w:w="848" w:type="dxa"/>
            <w:tcBorders>
              <w:top w:val="single" w:sz="4" w:space="0" w:color="auto"/>
              <w:bottom w:val="single" w:sz="12" w:space="0" w:color="auto"/>
            </w:tcBorders>
            <w:shd w:val="clear" w:color="auto" w:fill="auto"/>
            <w:vAlign w:val="bottom"/>
          </w:tcPr>
          <w:p w14:paraId="109B5725"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 xml:space="preserve">18 años </w:t>
            </w:r>
            <w:r w:rsidR="004C528E">
              <w:rPr>
                <w:i/>
                <w:iCs/>
                <w:sz w:val="16"/>
                <w:lang w:val="es-ES_tradnl"/>
              </w:rPr>
              <w:br/>
            </w:r>
            <w:r w:rsidRPr="00FA40F2">
              <w:rPr>
                <w:i/>
                <w:iCs/>
                <w:sz w:val="16"/>
                <w:lang w:val="es-ES_tradnl"/>
              </w:rPr>
              <w:t>y más</w:t>
            </w:r>
          </w:p>
        </w:tc>
        <w:tc>
          <w:tcPr>
            <w:tcW w:w="990" w:type="dxa"/>
            <w:tcBorders>
              <w:top w:val="single" w:sz="4" w:space="0" w:color="auto"/>
              <w:bottom w:val="single" w:sz="12" w:space="0" w:color="auto"/>
            </w:tcBorders>
            <w:shd w:val="clear" w:color="auto" w:fill="auto"/>
            <w:vAlign w:val="bottom"/>
          </w:tcPr>
          <w:p w14:paraId="326AD4C0"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Menores de 18 años</w:t>
            </w:r>
          </w:p>
        </w:tc>
        <w:tc>
          <w:tcPr>
            <w:tcW w:w="851" w:type="dxa"/>
            <w:tcBorders>
              <w:top w:val="single" w:sz="4" w:space="0" w:color="auto"/>
              <w:bottom w:val="single" w:sz="12" w:space="0" w:color="auto"/>
            </w:tcBorders>
            <w:shd w:val="clear" w:color="auto" w:fill="auto"/>
            <w:vAlign w:val="bottom"/>
          </w:tcPr>
          <w:p w14:paraId="477086F7"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China</w:t>
            </w:r>
          </w:p>
        </w:tc>
        <w:tc>
          <w:tcPr>
            <w:tcW w:w="707" w:type="dxa"/>
            <w:tcBorders>
              <w:top w:val="single" w:sz="4" w:space="0" w:color="auto"/>
              <w:bottom w:val="single" w:sz="12" w:space="0" w:color="auto"/>
            </w:tcBorders>
            <w:shd w:val="clear" w:color="auto" w:fill="auto"/>
            <w:vAlign w:val="bottom"/>
          </w:tcPr>
          <w:p w14:paraId="42F69AEE"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Otras</w:t>
            </w:r>
          </w:p>
        </w:tc>
      </w:tr>
      <w:tr w:rsidR="004C528E" w:rsidRPr="004C528E" w14:paraId="6952CFDE" w14:textId="77777777" w:rsidTr="004C528E">
        <w:trPr>
          <w:cantSplit/>
          <w:trHeight w:val="240"/>
        </w:trPr>
        <w:tc>
          <w:tcPr>
            <w:tcW w:w="993" w:type="dxa"/>
            <w:tcBorders>
              <w:top w:val="single" w:sz="12" w:space="0" w:color="auto"/>
            </w:tcBorders>
            <w:shd w:val="clear" w:color="auto" w:fill="auto"/>
          </w:tcPr>
          <w:p w14:paraId="38C3B818"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2014</w:t>
            </w:r>
          </w:p>
        </w:tc>
        <w:tc>
          <w:tcPr>
            <w:tcW w:w="993" w:type="dxa"/>
            <w:tcBorders>
              <w:top w:val="single" w:sz="12" w:space="0" w:color="auto"/>
            </w:tcBorders>
            <w:shd w:val="clear" w:color="auto" w:fill="auto"/>
            <w:vAlign w:val="bottom"/>
          </w:tcPr>
          <w:p w14:paraId="477A3F05"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1133" w:type="dxa"/>
            <w:tcBorders>
              <w:top w:val="single" w:sz="12" w:space="0" w:color="auto"/>
            </w:tcBorders>
            <w:shd w:val="clear" w:color="auto" w:fill="auto"/>
            <w:vAlign w:val="bottom"/>
          </w:tcPr>
          <w:p w14:paraId="37D0758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855" w:type="dxa"/>
            <w:tcBorders>
              <w:top w:val="single" w:sz="12" w:space="0" w:color="auto"/>
            </w:tcBorders>
            <w:shd w:val="clear" w:color="auto" w:fill="auto"/>
            <w:vAlign w:val="bottom"/>
          </w:tcPr>
          <w:p w14:paraId="5339F6F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tcBorders>
              <w:top w:val="single" w:sz="12" w:space="0" w:color="auto"/>
            </w:tcBorders>
            <w:shd w:val="clear" w:color="auto" w:fill="auto"/>
            <w:vAlign w:val="bottom"/>
          </w:tcPr>
          <w:p w14:paraId="71C5292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990" w:type="dxa"/>
            <w:tcBorders>
              <w:top w:val="single" w:sz="12" w:space="0" w:color="auto"/>
            </w:tcBorders>
            <w:shd w:val="clear" w:color="auto" w:fill="auto"/>
            <w:vAlign w:val="bottom"/>
          </w:tcPr>
          <w:p w14:paraId="33C9279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3</w:t>
            </w:r>
          </w:p>
        </w:tc>
        <w:tc>
          <w:tcPr>
            <w:tcW w:w="851" w:type="dxa"/>
            <w:tcBorders>
              <w:top w:val="single" w:sz="12" w:space="0" w:color="auto"/>
            </w:tcBorders>
            <w:shd w:val="clear" w:color="auto" w:fill="auto"/>
            <w:vAlign w:val="bottom"/>
          </w:tcPr>
          <w:p w14:paraId="4701BFE0"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707" w:type="dxa"/>
            <w:tcBorders>
              <w:top w:val="single" w:sz="12" w:space="0" w:color="auto"/>
            </w:tcBorders>
            <w:shd w:val="clear" w:color="auto" w:fill="auto"/>
            <w:vAlign w:val="bottom"/>
          </w:tcPr>
          <w:p w14:paraId="292AC84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r w:rsidR="004C528E" w:rsidRPr="004C528E" w14:paraId="6CED480F" w14:textId="77777777" w:rsidTr="004C528E">
        <w:trPr>
          <w:cantSplit/>
          <w:trHeight w:val="240"/>
        </w:trPr>
        <w:tc>
          <w:tcPr>
            <w:tcW w:w="993" w:type="dxa"/>
            <w:shd w:val="clear" w:color="auto" w:fill="auto"/>
          </w:tcPr>
          <w:p w14:paraId="28FD63B2"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2015</w:t>
            </w:r>
          </w:p>
        </w:tc>
        <w:tc>
          <w:tcPr>
            <w:tcW w:w="993" w:type="dxa"/>
            <w:shd w:val="clear" w:color="auto" w:fill="auto"/>
            <w:vAlign w:val="bottom"/>
          </w:tcPr>
          <w:p w14:paraId="1BE67AA9"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1133" w:type="dxa"/>
            <w:shd w:val="clear" w:color="auto" w:fill="auto"/>
            <w:vAlign w:val="bottom"/>
          </w:tcPr>
          <w:p w14:paraId="73FC547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855" w:type="dxa"/>
            <w:shd w:val="clear" w:color="auto" w:fill="auto"/>
            <w:vAlign w:val="bottom"/>
          </w:tcPr>
          <w:p w14:paraId="32409C5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shd w:val="clear" w:color="auto" w:fill="auto"/>
            <w:vAlign w:val="bottom"/>
          </w:tcPr>
          <w:p w14:paraId="73B98F7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990" w:type="dxa"/>
            <w:shd w:val="clear" w:color="auto" w:fill="auto"/>
            <w:vAlign w:val="bottom"/>
          </w:tcPr>
          <w:p w14:paraId="30C293D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51" w:type="dxa"/>
            <w:shd w:val="clear" w:color="auto" w:fill="auto"/>
            <w:vAlign w:val="bottom"/>
          </w:tcPr>
          <w:p w14:paraId="33AF5D0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707" w:type="dxa"/>
            <w:shd w:val="clear" w:color="auto" w:fill="auto"/>
            <w:vAlign w:val="bottom"/>
          </w:tcPr>
          <w:p w14:paraId="6990A3E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r>
      <w:tr w:rsidR="004C528E" w:rsidRPr="004C528E" w14:paraId="41F50E18" w14:textId="77777777" w:rsidTr="004C528E">
        <w:trPr>
          <w:cantSplit/>
          <w:trHeight w:val="240"/>
        </w:trPr>
        <w:tc>
          <w:tcPr>
            <w:tcW w:w="993" w:type="dxa"/>
            <w:shd w:val="clear" w:color="auto" w:fill="auto"/>
          </w:tcPr>
          <w:p w14:paraId="65F2518C"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2016</w:t>
            </w:r>
          </w:p>
        </w:tc>
        <w:tc>
          <w:tcPr>
            <w:tcW w:w="993" w:type="dxa"/>
            <w:shd w:val="clear" w:color="auto" w:fill="auto"/>
            <w:vAlign w:val="bottom"/>
          </w:tcPr>
          <w:p w14:paraId="1C2F497E"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1133" w:type="dxa"/>
            <w:shd w:val="clear" w:color="auto" w:fill="auto"/>
            <w:vAlign w:val="bottom"/>
          </w:tcPr>
          <w:p w14:paraId="5D23343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855" w:type="dxa"/>
            <w:shd w:val="clear" w:color="auto" w:fill="auto"/>
            <w:vAlign w:val="bottom"/>
          </w:tcPr>
          <w:p w14:paraId="2A984E0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shd w:val="clear" w:color="auto" w:fill="auto"/>
            <w:vAlign w:val="bottom"/>
          </w:tcPr>
          <w:p w14:paraId="2FF6F12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990" w:type="dxa"/>
            <w:shd w:val="clear" w:color="auto" w:fill="auto"/>
            <w:vAlign w:val="bottom"/>
          </w:tcPr>
          <w:p w14:paraId="2F8F753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851" w:type="dxa"/>
            <w:shd w:val="clear" w:color="auto" w:fill="auto"/>
            <w:vAlign w:val="bottom"/>
          </w:tcPr>
          <w:p w14:paraId="2D9069FE"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707" w:type="dxa"/>
            <w:shd w:val="clear" w:color="auto" w:fill="auto"/>
            <w:vAlign w:val="bottom"/>
          </w:tcPr>
          <w:p w14:paraId="183EF2C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r w:rsidR="004C528E" w:rsidRPr="004C528E" w14:paraId="726918B7" w14:textId="77777777" w:rsidTr="004C528E">
        <w:trPr>
          <w:cantSplit/>
          <w:trHeight w:val="240"/>
        </w:trPr>
        <w:tc>
          <w:tcPr>
            <w:tcW w:w="993" w:type="dxa"/>
            <w:shd w:val="clear" w:color="auto" w:fill="auto"/>
          </w:tcPr>
          <w:p w14:paraId="712A78F8"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2017</w:t>
            </w:r>
          </w:p>
        </w:tc>
        <w:tc>
          <w:tcPr>
            <w:tcW w:w="993" w:type="dxa"/>
            <w:shd w:val="clear" w:color="auto" w:fill="auto"/>
            <w:vAlign w:val="bottom"/>
          </w:tcPr>
          <w:p w14:paraId="056FC28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1133" w:type="dxa"/>
            <w:shd w:val="clear" w:color="auto" w:fill="auto"/>
            <w:vAlign w:val="bottom"/>
          </w:tcPr>
          <w:p w14:paraId="2B864F0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855" w:type="dxa"/>
            <w:shd w:val="clear" w:color="auto" w:fill="auto"/>
            <w:vAlign w:val="bottom"/>
          </w:tcPr>
          <w:p w14:paraId="5A9333F5"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shd w:val="clear" w:color="auto" w:fill="auto"/>
            <w:vAlign w:val="bottom"/>
          </w:tcPr>
          <w:p w14:paraId="5C3D2B79"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990" w:type="dxa"/>
            <w:shd w:val="clear" w:color="auto" w:fill="auto"/>
            <w:vAlign w:val="bottom"/>
          </w:tcPr>
          <w:p w14:paraId="31B9A94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851" w:type="dxa"/>
            <w:shd w:val="clear" w:color="auto" w:fill="auto"/>
            <w:vAlign w:val="bottom"/>
          </w:tcPr>
          <w:p w14:paraId="3A9F1CD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707" w:type="dxa"/>
            <w:shd w:val="clear" w:color="auto" w:fill="auto"/>
            <w:vAlign w:val="bottom"/>
          </w:tcPr>
          <w:p w14:paraId="052187F3"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r w:rsidR="004C528E" w:rsidRPr="004C528E" w14:paraId="4BF7E52D" w14:textId="77777777" w:rsidTr="004C528E">
        <w:trPr>
          <w:cantSplit/>
          <w:trHeight w:val="240"/>
        </w:trPr>
        <w:tc>
          <w:tcPr>
            <w:tcW w:w="993" w:type="dxa"/>
            <w:tcBorders>
              <w:bottom w:val="single" w:sz="12" w:space="0" w:color="auto"/>
            </w:tcBorders>
            <w:shd w:val="clear" w:color="auto" w:fill="auto"/>
          </w:tcPr>
          <w:p w14:paraId="44E62176" w14:textId="77777777" w:rsidR="00FA40F2" w:rsidRPr="00FA40F2" w:rsidRDefault="00B30E6D" w:rsidP="004C528E">
            <w:pPr>
              <w:pStyle w:val="SingleTxtG"/>
              <w:spacing w:before="40" w:after="40" w:line="220" w:lineRule="exact"/>
              <w:ind w:left="0" w:right="0"/>
              <w:jc w:val="left"/>
              <w:rPr>
                <w:sz w:val="18"/>
                <w:lang w:val="es-ES_tradnl"/>
              </w:rPr>
            </w:pPr>
            <w:r>
              <w:rPr>
                <w:sz w:val="18"/>
                <w:lang w:val="es-ES_tradnl"/>
              </w:rPr>
              <w:t>Sep</w:t>
            </w:r>
            <w:r w:rsidR="005D4220">
              <w:rPr>
                <w:sz w:val="18"/>
                <w:lang w:val="es-ES_tradnl"/>
              </w:rPr>
              <w:t>.</w:t>
            </w:r>
            <w:r>
              <w:rPr>
                <w:sz w:val="18"/>
                <w:lang w:val="es-ES_tradnl"/>
              </w:rPr>
              <w:t xml:space="preserve"> </w:t>
            </w:r>
            <w:r w:rsidR="00FA40F2" w:rsidRPr="00FA40F2">
              <w:rPr>
                <w:sz w:val="18"/>
                <w:lang w:val="es-ES_tradnl"/>
              </w:rPr>
              <w:t>2018</w:t>
            </w:r>
          </w:p>
        </w:tc>
        <w:tc>
          <w:tcPr>
            <w:tcW w:w="993" w:type="dxa"/>
            <w:tcBorders>
              <w:bottom w:val="single" w:sz="12" w:space="0" w:color="auto"/>
            </w:tcBorders>
            <w:shd w:val="clear" w:color="auto" w:fill="auto"/>
            <w:vAlign w:val="bottom"/>
          </w:tcPr>
          <w:p w14:paraId="4B9E84C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1133" w:type="dxa"/>
            <w:tcBorders>
              <w:bottom w:val="single" w:sz="12" w:space="0" w:color="auto"/>
            </w:tcBorders>
            <w:shd w:val="clear" w:color="auto" w:fill="auto"/>
            <w:vAlign w:val="bottom"/>
          </w:tcPr>
          <w:p w14:paraId="1B59C3F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55" w:type="dxa"/>
            <w:tcBorders>
              <w:bottom w:val="single" w:sz="12" w:space="0" w:color="auto"/>
            </w:tcBorders>
            <w:shd w:val="clear" w:color="auto" w:fill="auto"/>
            <w:vAlign w:val="bottom"/>
          </w:tcPr>
          <w:p w14:paraId="5DC0324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48" w:type="dxa"/>
            <w:tcBorders>
              <w:bottom w:val="single" w:sz="12" w:space="0" w:color="auto"/>
            </w:tcBorders>
            <w:shd w:val="clear" w:color="auto" w:fill="auto"/>
            <w:vAlign w:val="bottom"/>
          </w:tcPr>
          <w:p w14:paraId="31567DB4"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990" w:type="dxa"/>
            <w:tcBorders>
              <w:bottom w:val="single" w:sz="12" w:space="0" w:color="auto"/>
            </w:tcBorders>
            <w:shd w:val="clear" w:color="auto" w:fill="auto"/>
            <w:vAlign w:val="bottom"/>
          </w:tcPr>
          <w:p w14:paraId="5E21320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51" w:type="dxa"/>
            <w:tcBorders>
              <w:bottom w:val="single" w:sz="12" w:space="0" w:color="auto"/>
            </w:tcBorders>
            <w:shd w:val="clear" w:color="auto" w:fill="auto"/>
            <w:vAlign w:val="bottom"/>
          </w:tcPr>
          <w:p w14:paraId="3A8986B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707" w:type="dxa"/>
            <w:tcBorders>
              <w:bottom w:val="single" w:sz="12" w:space="0" w:color="auto"/>
            </w:tcBorders>
            <w:shd w:val="clear" w:color="auto" w:fill="auto"/>
            <w:vAlign w:val="bottom"/>
          </w:tcPr>
          <w:p w14:paraId="4901251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bl>
    <w:p w14:paraId="001FCDB0" w14:textId="77777777" w:rsidR="00FA40F2" w:rsidRPr="00FA40F2" w:rsidRDefault="00FA40F2" w:rsidP="004C528E">
      <w:pPr>
        <w:pStyle w:val="SingleTxtG"/>
        <w:spacing w:before="120"/>
        <w:ind w:firstLine="170"/>
        <w:rPr>
          <w:sz w:val="18"/>
          <w:szCs w:val="18"/>
          <w:lang w:val="es-ES_tradnl"/>
        </w:rPr>
      </w:pPr>
      <w:r w:rsidRPr="00FA40F2">
        <w:rPr>
          <w:i/>
          <w:iCs/>
          <w:sz w:val="18"/>
          <w:szCs w:val="18"/>
          <w:lang w:val="es-ES_tradnl"/>
        </w:rPr>
        <w:t>Fuente</w:t>
      </w:r>
      <w:r w:rsidRPr="002118A4">
        <w:rPr>
          <w:i/>
          <w:iCs/>
          <w:sz w:val="18"/>
          <w:szCs w:val="18"/>
          <w:lang w:val="es-ES_tradnl"/>
        </w:rPr>
        <w:t>:</w:t>
      </w:r>
      <w:r w:rsidRPr="00FA40F2">
        <w:rPr>
          <w:sz w:val="18"/>
          <w:szCs w:val="18"/>
          <w:lang w:val="es-ES_tradnl"/>
        </w:rPr>
        <w:t xml:space="preserve"> Oficina de la Secretaría de Seguridad.</w:t>
      </w:r>
    </w:p>
    <w:p w14:paraId="5F228059" w14:textId="77777777" w:rsidR="00FA40F2" w:rsidRPr="00FA40F2" w:rsidRDefault="00FA40F2" w:rsidP="00FA40F2">
      <w:pPr>
        <w:pStyle w:val="SingleTxtG"/>
        <w:rPr>
          <w:lang w:val="es-ES_tradnl"/>
        </w:rPr>
      </w:pPr>
      <w:r w:rsidRPr="00FA40F2">
        <w:rPr>
          <w:lang w:val="es-ES_tradnl"/>
        </w:rPr>
        <w:t>134.</w:t>
      </w:r>
      <w:r w:rsidRPr="00FA40F2">
        <w:rPr>
          <w:lang w:val="es-ES_tradnl"/>
        </w:rPr>
        <w:tab/>
        <w:t xml:space="preserve">En cuanto a los casos calificados y juzgados como trata de personas en virtud del </w:t>
      </w:r>
      <w:r w:rsidR="00722610">
        <w:rPr>
          <w:lang w:val="es-ES_tradnl"/>
        </w:rPr>
        <w:t>artículo </w:t>
      </w:r>
      <w:r w:rsidRPr="00FA40F2">
        <w:rPr>
          <w:lang w:val="es-ES_tradnl"/>
        </w:rPr>
        <w:t xml:space="preserve">153-A del Código Penal de Macao, se registró uno en 2014, en que el acusado fue declarado inocente. En 2016, se juzgó un caso de 2010 y se condenó a un acusado a 16 años de prisión por los delitos de trata de personas, proxenetismo y falsificación. En 2017, se juzgó un caso de 2010 y se condenó a un acusado a 9 años de prisión por los delitos de trata de personas y alojamiento ilegal. </w:t>
      </w:r>
    </w:p>
    <w:p w14:paraId="49A2C501" w14:textId="77777777" w:rsidR="00FA40F2" w:rsidRPr="00FA40F2" w:rsidRDefault="00FA40F2" w:rsidP="00FA40F2">
      <w:pPr>
        <w:pStyle w:val="SingleTxtG"/>
        <w:rPr>
          <w:lang w:val="es-ES_tradnl"/>
        </w:rPr>
      </w:pPr>
      <w:r w:rsidRPr="00FA40F2">
        <w:rPr>
          <w:lang w:val="es-ES_tradnl"/>
        </w:rPr>
        <w:t>135.</w:t>
      </w:r>
      <w:r w:rsidRPr="00FA40F2">
        <w:rPr>
          <w:lang w:val="es-ES_tradnl"/>
        </w:rPr>
        <w:tab/>
        <w:t>La Oficina de Bienestar Social sigue proporcionando a las víctimas de trata ayuda financiera (que incluye gastos de manutención, gastos del transporte de regreso y tasas de certificación) y servicios de tratamiento de toxicomanías, alojamiento, derivación médica y asesoramiento jurídico, entre otros. Las víctimas cuyas vidas corren peligro tienen derecho a recibir protección física (protección policial).</w:t>
      </w:r>
    </w:p>
    <w:p w14:paraId="046C8418" w14:textId="77777777" w:rsidR="00FA40F2" w:rsidRPr="00FA40F2" w:rsidRDefault="00FA40F2" w:rsidP="00B30E6D">
      <w:pPr>
        <w:pStyle w:val="H23G"/>
        <w:wordWrap w:val="0"/>
        <w:rPr>
          <w:lang w:val="es-ES_tradnl"/>
        </w:rPr>
      </w:pPr>
      <w:r w:rsidRPr="00FA40F2">
        <w:rPr>
          <w:lang w:val="es-ES_tradnl"/>
        </w:rPr>
        <w:lastRenderedPageBreak/>
        <w:tab/>
      </w:r>
      <w:r w:rsidR="004C528E">
        <w:rPr>
          <w:lang w:val="es-ES_tradnl"/>
        </w:rPr>
        <w:tab/>
      </w:r>
      <w:r w:rsidRPr="00FA40F2">
        <w:rPr>
          <w:lang w:val="es-ES_tradnl"/>
        </w:rPr>
        <w:t>Servicios a víctimas y posibles víctimas de la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6"/>
        <w:gridCol w:w="736"/>
        <w:gridCol w:w="737"/>
        <w:gridCol w:w="737"/>
        <w:gridCol w:w="626"/>
        <w:gridCol w:w="848"/>
      </w:tblGrid>
      <w:tr w:rsidR="00807EE4" w:rsidRPr="004C528E" w14:paraId="593C3D54" w14:textId="77777777" w:rsidTr="00807EE4">
        <w:trPr>
          <w:cantSplit/>
          <w:trHeight w:val="240"/>
          <w:tblHeader/>
        </w:trPr>
        <w:tc>
          <w:tcPr>
            <w:tcW w:w="2501" w:type="pct"/>
            <w:tcBorders>
              <w:top w:val="single" w:sz="4" w:space="0" w:color="auto"/>
              <w:bottom w:val="single" w:sz="12" w:space="0" w:color="auto"/>
            </w:tcBorders>
            <w:shd w:val="clear" w:color="auto" w:fill="auto"/>
            <w:vAlign w:val="bottom"/>
          </w:tcPr>
          <w:p w14:paraId="52144032" w14:textId="77777777" w:rsidR="00FA40F2" w:rsidRPr="00FA40F2" w:rsidRDefault="00FA40F2" w:rsidP="00B30E6D">
            <w:pPr>
              <w:pStyle w:val="SingleTxtG"/>
              <w:keepNext/>
              <w:keepLines/>
              <w:wordWrap w:val="0"/>
              <w:spacing w:before="80" w:after="80" w:line="200" w:lineRule="exact"/>
              <w:ind w:left="0" w:right="0"/>
              <w:jc w:val="left"/>
              <w:rPr>
                <w:i/>
                <w:sz w:val="16"/>
                <w:lang w:val="es-ES_tradnl"/>
              </w:rPr>
            </w:pPr>
            <w:r w:rsidRPr="00FA40F2">
              <w:rPr>
                <w:i/>
                <w:iCs/>
                <w:sz w:val="16"/>
                <w:lang w:val="es-ES_tradnl"/>
              </w:rPr>
              <w:t>Servicios/Año</w:t>
            </w:r>
          </w:p>
        </w:tc>
        <w:tc>
          <w:tcPr>
            <w:tcW w:w="499" w:type="pct"/>
            <w:tcBorders>
              <w:top w:val="single" w:sz="4" w:space="0" w:color="auto"/>
              <w:bottom w:val="single" w:sz="12" w:space="0" w:color="auto"/>
            </w:tcBorders>
            <w:shd w:val="clear" w:color="auto" w:fill="auto"/>
            <w:vAlign w:val="bottom"/>
          </w:tcPr>
          <w:p w14:paraId="6DEF8FD5"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2014</w:t>
            </w:r>
          </w:p>
        </w:tc>
        <w:tc>
          <w:tcPr>
            <w:tcW w:w="500" w:type="pct"/>
            <w:tcBorders>
              <w:top w:val="single" w:sz="4" w:space="0" w:color="auto"/>
              <w:bottom w:val="single" w:sz="12" w:space="0" w:color="auto"/>
            </w:tcBorders>
            <w:shd w:val="clear" w:color="auto" w:fill="auto"/>
            <w:vAlign w:val="bottom"/>
          </w:tcPr>
          <w:p w14:paraId="1A6DDE22"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2015</w:t>
            </w:r>
          </w:p>
        </w:tc>
        <w:tc>
          <w:tcPr>
            <w:tcW w:w="500" w:type="pct"/>
            <w:tcBorders>
              <w:top w:val="single" w:sz="4" w:space="0" w:color="auto"/>
              <w:bottom w:val="single" w:sz="12" w:space="0" w:color="auto"/>
            </w:tcBorders>
            <w:shd w:val="clear" w:color="auto" w:fill="auto"/>
            <w:vAlign w:val="bottom"/>
          </w:tcPr>
          <w:p w14:paraId="03EF8CA8"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2016</w:t>
            </w:r>
          </w:p>
        </w:tc>
        <w:tc>
          <w:tcPr>
            <w:tcW w:w="425" w:type="pct"/>
            <w:tcBorders>
              <w:top w:val="single" w:sz="4" w:space="0" w:color="auto"/>
              <w:bottom w:val="single" w:sz="12" w:space="0" w:color="auto"/>
            </w:tcBorders>
            <w:shd w:val="clear" w:color="auto" w:fill="auto"/>
            <w:vAlign w:val="bottom"/>
          </w:tcPr>
          <w:p w14:paraId="17F3B564"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2017</w:t>
            </w:r>
          </w:p>
        </w:tc>
        <w:tc>
          <w:tcPr>
            <w:tcW w:w="575" w:type="pct"/>
            <w:tcBorders>
              <w:top w:val="single" w:sz="4" w:space="0" w:color="auto"/>
              <w:bottom w:val="single" w:sz="12" w:space="0" w:color="auto"/>
            </w:tcBorders>
            <w:shd w:val="clear" w:color="auto" w:fill="auto"/>
            <w:vAlign w:val="bottom"/>
          </w:tcPr>
          <w:p w14:paraId="7B82852E" w14:textId="77777777" w:rsidR="00FA40F2" w:rsidRPr="00FA40F2" w:rsidRDefault="00B30E6D" w:rsidP="00B30E6D">
            <w:pPr>
              <w:pStyle w:val="SingleTxtG"/>
              <w:keepNext/>
              <w:keepLines/>
              <w:wordWrap w:val="0"/>
              <w:spacing w:before="80" w:after="80" w:line="200" w:lineRule="exact"/>
              <w:ind w:left="113" w:right="11"/>
              <w:jc w:val="right"/>
              <w:rPr>
                <w:i/>
                <w:sz w:val="16"/>
                <w:lang w:val="es-ES_tradnl"/>
              </w:rPr>
            </w:pPr>
            <w:bookmarkStart w:id="39" w:name="_Hlk54338913"/>
            <w:r>
              <w:rPr>
                <w:i/>
                <w:iCs/>
                <w:sz w:val="16"/>
                <w:lang w:val="es-ES_tradnl"/>
              </w:rPr>
              <w:t xml:space="preserve">Septiembre de </w:t>
            </w:r>
            <w:r w:rsidR="00FA40F2" w:rsidRPr="00FA40F2">
              <w:rPr>
                <w:i/>
                <w:iCs/>
                <w:sz w:val="16"/>
                <w:lang w:val="es-ES_tradnl"/>
              </w:rPr>
              <w:t>2018</w:t>
            </w:r>
            <w:bookmarkEnd w:id="39"/>
          </w:p>
        </w:tc>
      </w:tr>
      <w:tr w:rsidR="00807EE4" w:rsidRPr="00FA40F2" w14:paraId="3A01BDE8" w14:textId="77777777" w:rsidTr="00807EE4">
        <w:trPr>
          <w:cantSplit/>
          <w:trHeight w:val="240"/>
        </w:trPr>
        <w:tc>
          <w:tcPr>
            <w:tcW w:w="2501" w:type="pct"/>
            <w:tcBorders>
              <w:top w:val="single" w:sz="12" w:space="0" w:color="auto"/>
            </w:tcBorders>
            <w:shd w:val="clear" w:color="auto" w:fill="auto"/>
          </w:tcPr>
          <w:p w14:paraId="7709B706" w14:textId="77777777" w:rsidR="00FA40F2" w:rsidRPr="00FA40F2" w:rsidRDefault="00FA40F2" w:rsidP="00B30E6D">
            <w:pPr>
              <w:pStyle w:val="SingleTxtG"/>
              <w:keepNext/>
              <w:keepLines/>
              <w:wordWrap w:val="0"/>
              <w:spacing w:before="40" w:after="40" w:line="220" w:lineRule="exact"/>
              <w:ind w:left="0" w:right="0"/>
              <w:jc w:val="left"/>
              <w:rPr>
                <w:sz w:val="18"/>
                <w:lang w:val="es-ES_tradnl"/>
              </w:rPr>
            </w:pPr>
            <w:r w:rsidRPr="00FA40F2">
              <w:rPr>
                <w:sz w:val="18"/>
                <w:lang w:val="es-ES_tradnl"/>
              </w:rPr>
              <w:t>Albergue para adultos (número de personas)</w:t>
            </w:r>
          </w:p>
        </w:tc>
        <w:tc>
          <w:tcPr>
            <w:tcW w:w="499" w:type="pct"/>
            <w:tcBorders>
              <w:top w:val="single" w:sz="12" w:space="0" w:color="auto"/>
            </w:tcBorders>
            <w:shd w:val="clear" w:color="auto" w:fill="auto"/>
            <w:vAlign w:val="bottom"/>
          </w:tcPr>
          <w:p w14:paraId="4ABF5684"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2</w:t>
            </w:r>
          </w:p>
        </w:tc>
        <w:tc>
          <w:tcPr>
            <w:tcW w:w="500" w:type="pct"/>
            <w:tcBorders>
              <w:top w:val="single" w:sz="12" w:space="0" w:color="auto"/>
            </w:tcBorders>
            <w:shd w:val="clear" w:color="auto" w:fill="auto"/>
            <w:vAlign w:val="bottom"/>
          </w:tcPr>
          <w:p w14:paraId="2966F12D"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2</w:t>
            </w:r>
          </w:p>
        </w:tc>
        <w:tc>
          <w:tcPr>
            <w:tcW w:w="500" w:type="pct"/>
            <w:tcBorders>
              <w:top w:val="single" w:sz="12" w:space="0" w:color="auto"/>
            </w:tcBorders>
            <w:shd w:val="clear" w:color="auto" w:fill="auto"/>
            <w:vAlign w:val="bottom"/>
          </w:tcPr>
          <w:p w14:paraId="6D3F2269"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1</w:t>
            </w:r>
          </w:p>
        </w:tc>
        <w:tc>
          <w:tcPr>
            <w:tcW w:w="425" w:type="pct"/>
            <w:tcBorders>
              <w:top w:val="single" w:sz="12" w:space="0" w:color="auto"/>
            </w:tcBorders>
            <w:shd w:val="clear" w:color="auto" w:fill="auto"/>
            <w:vAlign w:val="bottom"/>
          </w:tcPr>
          <w:p w14:paraId="2A1818E5"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w:t>
            </w:r>
          </w:p>
        </w:tc>
        <w:tc>
          <w:tcPr>
            <w:tcW w:w="575" w:type="pct"/>
            <w:tcBorders>
              <w:top w:val="single" w:sz="12" w:space="0" w:color="auto"/>
            </w:tcBorders>
            <w:shd w:val="clear" w:color="auto" w:fill="auto"/>
            <w:vAlign w:val="bottom"/>
          </w:tcPr>
          <w:p w14:paraId="797FE1AE"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w:t>
            </w:r>
          </w:p>
        </w:tc>
      </w:tr>
      <w:tr w:rsidR="00807EE4" w:rsidRPr="00FA40F2" w14:paraId="5815A6C3" w14:textId="77777777" w:rsidTr="00807EE4">
        <w:trPr>
          <w:cantSplit/>
          <w:trHeight w:val="240"/>
        </w:trPr>
        <w:tc>
          <w:tcPr>
            <w:tcW w:w="2501" w:type="pct"/>
            <w:shd w:val="clear" w:color="auto" w:fill="auto"/>
          </w:tcPr>
          <w:p w14:paraId="6FDF441F"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Albergue para menores (número de personas)</w:t>
            </w:r>
          </w:p>
        </w:tc>
        <w:tc>
          <w:tcPr>
            <w:tcW w:w="499" w:type="pct"/>
            <w:shd w:val="clear" w:color="auto" w:fill="auto"/>
            <w:vAlign w:val="bottom"/>
          </w:tcPr>
          <w:p w14:paraId="6345471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500" w:type="pct"/>
            <w:shd w:val="clear" w:color="auto" w:fill="auto"/>
            <w:vAlign w:val="bottom"/>
          </w:tcPr>
          <w:p w14:paraId="73C5BBB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500" w:type="pct"/>
            <w:shd w:val="clear" w:color="auto" w:fill="auto"/>
            <w:vAlign w:val="bottom"/>
          </w:tcPr>
          <w:p w14:paraId="03C00ED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3</w:t>
            </w:r>
          </w:p>
        </w:tc>
        <w:tc>
          <w:tcPr>
            <w:tcW w:w="425" w:type="pct"/>
            <w:shd w:val="clear" w:color="auto" w:fill="auto"/>
            <w:vAlign w:val="bottom"/>
          </w:tcPr>
          <w:p w14:paraId="7A06052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575" w:type="pct"/>
            <w:shd w:val="clear" w:color="auto" w:fill="auto"/>
            <w:vAlign w:val="bottom"/>
          </w:tcPr>
          <w:p w14:paraId="54017C98"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r>
      <w:tr w:rsidR="00807EE4" w:rsidRPr="00FA40F2" w14:paraId="117A431A" w14:textId="77777777" w:rsidTr="00807EE4">
        <w:trPr>
          <w:cantSplit/>
          <w:trHeight w:val="240"/>
        </w:trPr>
        <w:tc>
          <w:tcPr>
            <w:tcW w:w="2501" w:type="pct"/>
            <w:shd w:val="clear" w:color="auto" w:fill="auto"/>
          </w:tcPr>
          <w:p w14:paraId="51AB74FC"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Número de acciones de orientación y seguimiento</w:t>
            </w:r>
          </w:p>
        </w:tc>
        <w:tc>
          <w:tcPr>
            <w:tcW w:w="499" w:type="pct"/>
            <w:shd w:val="clear" w:color="auto" w:fill="auto"/>
            <w:vAlign w:val="bottom"/>
          </w:tcPr>
          <w:p w14:paraId="39B3C1D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55</w:t>
            </w:r>
          </w:p>
        </w:tc>
        <w:tc>
          <w:tcPr>
            <w:tcW w:w="500" w:type="pct"/>
            <w:shd w:val="clear" w:color="auto" w:fill="auto"/>
            <w:vAlign w:val="bottom"/>
          </w:tcPr>
          <w:p w14:paraId="402003D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20</w:t>
            </w:r>
          </w:p>
        </w:tc>
        <w:tc>
          <w:tcPr>
            <w:tcW w:w="500" w:type="pct"/>
            <w:shd w:val="clear" w:color="auto" w:fill="auto"/>
            <w:vAlign w:val="bottom"/>
          </w:tcPr>
          <w:p w14:paraId="2740F5F3"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12</w:t>
            </w:r>
          </w:p>
        </w:tc>
        <w:tc>
          <w:tcPr>
            <w:tcW w:w="425" w:type="pct"/>
            <w:shd w:val="clear" w:color="auto" w:fill="auto"/>
            <w:vAlign w:val="bottom"/>
          </w:tcPr>
          <w:p w14:paraId="02283BC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5</w:t>
            </w:r>
          </w:p>
        </w:tc>
        <w:tc>
          <w:tcPr>
            <w:tcW w:w="575" w:type="pct"/>
            <w:shd w:val="clear" w:color="auto" w:fill="auto"/>
            <w:vAlign w:val="bottom"/>
          </w:tcPr>
          <w:p w14:paraId="5C8911B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3</w:t>
            </w:r>
          </w:p>
        </w:tc>
      </w:tr>
      <w:tr w:rsidR="00807EE4" w:rsidRPr="00FA40F2" w14:paraId="2771E635" w14:textId="77777777" w:rsidTr="00807EE4">
        <w:trPr>
          <w:cantSplit/>
          <w:trHeight w:val="240"/>
        </w:trPr>
        <w:tc>
          <w:tcPr>
            <w:tcW w:w="2501" w:type="pct"/>
            <w:shd w:val="clear" w:color="auto" w:fill="auto"/>
          </w:tcPr>
          <w:p w14:paraId="1A6CF2D9"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 xml:space="preserve">Número de derivaciones a servicios médicos </w:t>
            </w:r>
            <w:r w:rsidR="002118A4">
              <w:rPr>
                <w:sz w:val="18"/>
                <w:lang w:val="es-ES_tradnl"/>
              </w:rPr>
              <w:br/>
            </w:r>
            <w:r w:rsidRPr="00FA40F2">
              <w:rPr>
                <w:sz w:val="18"/>
                <w:lang w:val="es-ES_tradnl"/>
              </w:rPr>
              <w:t>y de atención de la salud</w:t>
            </w:r>
          </w:p>
        </w:tc>
        <w:tc>
          <w:tcPr>
            <w:tcW w:w="499" w:type="pct"/>
            <w:shd w:val="clear" w:color="auto" w:fill="auto"/>
            <w:vAlign w:val="bottom"/>
          </w:tcPr>
          <w:p w14:paraId="60AD1D5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8</w:t>
            </w:r>
          </w:p>
        </w:tc>
        <w:tc>
          <w:tcPr>
            <w:tcW w:w="500" w:type="pct"/>
            <w:shd w:val="clear" w:color="auto" w:fill="auto"/>
            <w:vAlign w:val="bottom"/>
          </w:tcPr>
          <w:p w14:paraId="6C4C4AE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7</w:t>
            </w:r>
          </w:p>
        </w:tc>
        <w:tc>
          <w:tcPr>
            <w:tcW w:w="500" w:type="pct"/>
            <w:shd w:val="clear" w:color="auto" w:fill="auto"/>
            <w:vAlign w:val="bottom"/>
          </w:tcPr>
          <w:p w14:paraId="45E2831E"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425" w:type="pct"/>
            <w:shd w:val="clear" w:color="auto" w:fill="auto"/>
            <w:vAlign w:val="bottom"/>
          </w:tcPr>
          <w:p w14:paraId="1DCCF1D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575" w:type="pct"/>
            <w:shd w:val="clear" w:color="auto" w:fill="auto"/>
            <w:vAlign w:val="bottom"/>
          </w:tcPr>
          <w:p w14:paraId="5A6673B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r>
      <w:tr w:rsidR="00807EE4" w:rsidRPr="00FA40F2" w14:paraId="0570F947" w14:textId="77777777" w:rsidTr="00807EE4">
        <w:trPr>
          <w:cantSplit/>
          <w:trHeight w:val="240"/>
        </w:trPr>
        <w:tc>
          <w:tcPr>
            <w:tcW w:w="2501" w:type="pct"/>
            <w:shd w:val="clear" w:color="auto" w:fill="auto"/>
          </w:tcPr>
          <w:p w14:paraId="579957F8"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Número de cursos de formación</w:t>
            </w:r>
          </w:p>
        </w:tc>
        <w:tc>
          <w:tcPr>
            <w:tcW w:w="499" w:type="pct"/>
            <w:shd w:val="clear" w:color="auto" w:fill="auto"/>
            <w:vAlign w:val="bottom"/>
          </w:tcPr>
          <w:p w14:paraId="30D0A155"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500" w:type="pct"/>
            <w:shd w:val="clear" w:color="auto" w:fill="auto"/>
            <w:vAlign w:val="bottom"/>
          </w:tcPr>
          <w:p w14:paraId="4ECA045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500" w:type="pct"/>
            <w:shd w:val="clear" w:color="auto" w:fill="auto"/>
            <w:vAlign w:val="bottom"/>
          </w:tcPr>
          <w:p w14:paraId="3716060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425" w:type="pct"/>
            <w:shd w:val="clear" w:color="auto" w:fill="auto"/>
            <w:vAlign w:val="bottom"/>
          </w:tcPr>
          <w:p w14:paraId="62F214C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575" w:type="pct"/>
            <w:shd w:val="clear" w:color="auto" w:fill="auto"/>
            <w:vAlign w:val="bottom"/>
          </w:tcPr>
          <w:p w14:paraId="7C1324A0"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r>
      <w:tr w:rsidR="00807EE4" w:rsidRPr="00FA40F2" w14:paraId="5F96F736" w14:textId="77777777" w:rsidTr="00807EE4">
        <w:trPr>
          <w:cantSplit/>
          <w:trHeight w:val="240"/>
        </w:trPr>
        <w:tc>
          <w:tcPr>
            <w:tcW w:w="2501" w:type="pct"/>
            <w:tcBorders>
              <w:bottom w:val="single" w:sz="12" w:space="0" w:color="auto"/>
            </w:tcBorders>
            <w:shd w:val="clear" w:color="auto" w:fill="auto"/>
          </w:tcPr>
          <w:p w14:paraId="5A17C2AD"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Repatriación por la Organización Internacional para las Migraciones (</w:t>
            </w:r>
            <w:proofErr w:type="spellStart"/>
            <w:r w:rsidRPr="00FA40F2">
              <w:rPr>
                <w:sz w:val="18"/>
                <w:lang w:val="es-ES_tradnl"/>
              </w:rPr>
              <w:t>OIM</w:t>
            </w:r>
            <w:proofErr w:type="spellEnd"/>
            <w:r w:rsidRPr="00FA40F2">
              <w:rPr>
                <w:sz w:val="18"/>
                <w:lang w:val="es-ES_tradnl"/>
              </w:rPr>
              <w:t>) (número de personas)</w:t>
            </w:r>
          </w:p>
        </w:tc>
        <w:tc>
          <w:tcPr>
            <w:tcW w:w="499" w:type="pct"/>
            <w:tcBorders>
              <w:bottom w:val="single" w:sz="12" w:space="0" w:color="auto"/>
            </w:tcBorders>
            <w:shd w:val="clear" w:color="auto" w:fill="auto"/>
            <w:vAlign w:val="bottom"/>
          </w:tcPr>
          <w:p w14:paraId="5C94554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500" w:type="pct"/>
            <w:tcBorders>
              <w:bottom w:val="single" w:sz="12" w:space="0" w:color="auto"/>
            </w:tcBorders>
            <w:shd w:val="clear" w:color="auto" w:fill="auto"/>
            <w:vAlign w:val="bottom"/>
          </w:tcPr>
          <w:p w14:paraId="4198EE0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500" w:type="pct"/>
            <w:tcBorders>
              <w:bottom w:val="single" w:sz="12" w:space="0" w:color="auto"/>
            </w:tcBorders>
            <w:shd w:val="clear" w:color="auto" w:fill="auto"/>
            <w:vAlign w:val="bottom"/>
          </w:tcPr>
          <w:p w14:paraId="22F106F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425" w:type="pct"/>
            <w:tcBorders>
              <w:bottom w:val="single" w:sz="12" w:space="0" w:color="auto"/>
            </w:tcBorders>
            <w:shd w:val="clear" w:color="auto" w:fill="auto"/>
            <w:vAlign w:val="bottom"/>
          </w:tcPr>
          <w:p w14:paraId="13A626C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575" w:type="pct"/>
            <w:tcBorders>
              <w:bottom w:val="single" w:sz="12" w:space="0" w:color="auto"/>
            </w:tcBorders>
            <w:shd w:val="clear" w:color="auto" w:fill="auto"/>
            <w:vAlign w:val="bottom"/>
          </w:tcPr>
          <w:p w14:paraId="682B48D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r>
    </w:tbl>
    <w:p w14:paraId="3D96C3E9" w14:textId="77777777" w:rsidR="00FA40F2" w:rsidRPr="00AE2F52" w:rsidRDefault="00FA40F2" w:rsidP="00AE2F52">
      <w:pPr>
        <w:pStyle w:val="SingleTxtG"/>
        <w:spacing w:before="120"/>
        <w:ind w:firstLine="170"/>
        <w:rPr>
          <w:sz w:val="18"/>
          <w:szCs w:val="18"/>
          <w:lang w:val="es-ES_tradnl"/>
        </w:rPr>
      </w:pPr>
      <w:r w:rsidRPr="00AE2F52">
        <w:rPr>
          <w:i/>
          <w:iCs/>
          <w:sz w:val="18"/>
          <w:szCs w:val="18"/>
          <w:lang w:val="es-ES_tradnl"/>
        </w:rPr>
        <w:t>Fuente:</w:t>
      </w:r>
      <w:r w:rsidRPr="00AE2F52">
        <w:rPr>
          <w:sz w:val="18"/>
          <w:szCs w:val="18"/>
          <w:lang w:val="es-ES_tradnl"/>
        </w:rPr>
        <w:t xml:space="preserve"> Oficina de Bienestar Social.</w:t>
      </w:r>
    </w:p>
    <w:p w14:paraId="5BE68DB2" w14:textId="77777777" w:rsidR="00FA40F2" w:rsidRPr="00FA40F2" w:rsidRDefault="00FA40F2" w:rsidP="00FA40F2">
      <w:pPr>
        <w:pStyle w:val="SingleTxtG"/>
        <w:rPr>
          <w:lang w:val="es-ES_tradnl"/>
        </w:rPr>
      </w:pPr>
      <w:r w:rsidRPr="00FA40F2">
        <w:rPr>
          <w:lang w:val="es-ES_tradnl"/>
        </w:rPr>
        <w:t>136.</w:t>
      </w:r>
      <w:r w:rsidRPr="00FA40F2">
        <w:rPr>
          <w:lang w:val="es-ES_tradnl"/>
        </w:rPr>
        <w:tab/>
        <w:t xml:space="preserve">Los organismos de seguridad (Servicio Unitario de Policía, Servicios de Aduanas, Policía Judicial y Cuerpo de Policía de Seguridad Pública) continúan trabajando en la lucha contra la trata de personas. Periódicamente se realizan redadas y operaciones selectivas contra la trata de personas con fines de explotación sexual en posibles </w:t>
      </w:r>
      <w:r w:rsidR="00D353FA">
        <w:rPr>
          <w:lang w:val="es-ES_tradnl"/>
        </w:rPr>
        <w:t>“</w:t>
      </w:r>
      <w:r w:rsidRPr="00FA40F2">
        <w:rPr>
          <w:lang w:val="es-ES_tradnl"/>
        </w:rPr>
        <w:t>puntos negros</w:t>
      </w:r>
      <w:r w:rsidR="00D353FA">
        <w:rPr>
          <w:lang w:val="es-ES_tradnl"/>
        </w:rPr>
        <w:t>”</w:t>
      </w:r>
      <w:r w:rsidRPr="00FA40F2">
        <w:rPr>
          <w:lang w:val="es-ES_tradnl"/>
        </w:rPr>
        <w:t>, como saunas, salas de masajes, clubes nocturnos y pensiones ilegales. En la lucha contra la trata de personas con fines de explotación laboral, esas operaciones se realizan en obras de construcción, hoteles, restaurantes y agencias de empleo.</w:t>
      </w:r>
    </w:p>
    <w:p w14:paraId="36D6CD84" w14:textId="77777777" w:rsidR="00FA40F2" w:rsidRPr="00FA40F2" w:rsidRDefault="00FA40F2" w:rsidP="00FA40F2">
      <w:pPr>
        <w:pStyle w:val="SingleTxtG"/>
        <w:rPr>
          <w:lang w:val="es-ES_tradnl"/>
        </w:rPr>
      </w:pPr>
      <w:r w:rsidRPr="00FA40F2">
        <w:rPr>
          <w:lang w:val="es-ES_tradnl"/>
        </w:rPr>
        <w:t>137.</w:t>
      </w:r>
      <w:r w:rsidRPr="00FA40F2">
        <w:rPr>
          <w:lang w:val="es-ES_tradnl"/>
        </w:rPr>
        <w:tab/>
        <w:t xml:space="preserve">Se realizan controles más estrictos en los puestos fronterizos, en particular en lo que respecta a los visitantes o los trabajadores no residentes procedentes de países de alto riesgo, así como encuestas mediante cuestionarios y controles aleatorios a los visitantes en el momento de su llegada (mujeres de entre 18 y 35 años). </w:t>
      </w:r>
    </w:p>
    <w:p w14:paraId="69971159" w14:textId="77777777" w:rsidR="00FA40F2" w:rsidRPr="00FA40F2" w:rsidRDefault="00FA40F2" w:rsidP="00FA40F2">
      <w:pPr>
        <w:pStyle w:val="SingleTxtG"/>
        <w:rPr>
          <w:lang w:val="es-ES_tradnl"/>
        </w:rPr>
      </w:pPr>
      <w:r w:rsidRPr="00FA40F2">
        <w:rPr>
          <w:lang w:val="es-ES_tradnl"/>
        </w:rPr>
        <w:t>138.</w:t>
      </w:r>
      <w:r w:rsidRPr="00FA40F2">
        <w:rPr>
          <w:lang w:val="es-ES_tradnl"/>
        </w:rPr>
        <w:tab/>
        <w:t xml:space="preserve">Los derechos humanos y la trata de personas figuran entre los temas que se abordan en los cursos de capacitación para miembros de las fuerzas del orden. Asimismo, </w:t>
      </w:r>
      <w:proofErr w:type="gramStart"/>
      <w:r w:rsidRPr="00FA40F2">
        <w:rPr>
          <w:lang w:val="es-ES_tradnl"/>
        </w:rPr>
        <w:t>conjuntamente con</w:t>
      </w:r>
      <w:proofErr w:type="gramEnd"/>
      <w:r w:rsidRPr="00FA40F2">
        <w:rPr>
          <w:lang w:val="es-ES_tradnl"/>
        </w:rPr>
        <w:t xml:space="preserve"> la Organización Internacional para las Migraciones y varias ONG, se llevaron a cabo actividades de formación relativas a la identificación de las víctimas de la trata de personas y la asistencia correspondiente. También se realizan actividades de divulgación sobre la prevención y lucha contra la trata dirigidas a estudiantes, trabajadores no residentes y empresas del sector privado, como las de juegos de azar.</w:t>
      </w:r>
    </w:p>
    <w:p w14:paraId="63817FB6" w14:textId="77777777" w:rsidR="00FA40F2" w:rsidRPr="00FA40F2" w:rsidRDefault="00FA40F2" w:rsidP="00FA40F2">
      <w:pPr>
        <w:pStyle w:val="SingleTxtG"/>
        <w:rPr>
          <w:lang w:val="es-ES_tradnl"/>
        </w:rPr>
      </w:pPr>
      <w:r w:rsidRPr="00FA40F2">
        <w:rPr>
          <w:lang w:val="es-ES_tradnl"/>
        </w:rPr>
        <w:t>139.</w:t>
      </w:r>
      <w:r w:rsidRPr="00FA40F2">
        <w:rPr>
          <w:lang w:val="es-ES_tradnl"/>
        </w:rPr>
        <w:tab/>
        <w:t>A fin de promover la sensibilización pública, se han hecho considerables esfuerzos para divulgar en las escuelas y la comunidad (incluso en los puestos de control fronterizos) información para la denuncia y la lucha contra la trata de personas, para lo cual se han utilizado carteles, folletos y medios de difusión en diferentes idiomas (chino tradicional, chino simplificado, portugués, inglés, japonés, coreano, tailandés, filipino, indonesio, birmano, vietnamita y mongol). Desde 2014, también se han utilizado plataformas como YouTube, el sitio web de la Oficina de Asuntos Jurídicos y el Portal Jurídico de Macao.</w:t>
      </w:r>
    </w:p>
    <w:p w14:paraId="7A0D5709" w14:textId="77777777" w:rsidR="00FA40F2" w:rsidRPr="00FA40F2" w:rsidRDefault="00FA40F2" w:rsidP="00FA40F2">
      <w:pPr>
        <w:pStyle w:val="SingleTxtG"/>
        <w:rPr>
          <w:lang w:val="es-ES_tradnl"/>
        </w:rPr>
      </w:pPr>
      <w:r w:rsidRPr="00FA40F2">
        <w:rPr>
          <w:lang w:val="es-ES_tradnl"/>
        </w:rPr>
        <w:t>140.</w:t>
      </w:r>
      <w:r w:rsidRPr="00FA40F2">
        <w:rPr>
          <w:lang w:val="es-ES_tradnl"/>
        </w:rPr>
        <w:tab/>
        <w:t xml:space="preserve">Se ha reforzado la cooperación con las jurisdicciones vecinas, se han establecido sistemas de intercambio y recopilación de información de inteligencia y cada año se organizan operaciones tripartitas a gran escala en colaboración con las autoridades policiales de China continental y la RAE de Hong Kong. La </w:t>
      </w:r>
      <w:proofErr w:type="spellStart"/>
      <w:r w:rsidRPr="00FA40F2">
        <w:rPr>
          <w:lang w:val="es-ES_tradnl"/>
        </w:rPr>
        <w:t>Suboficina</w:t>
      </w:r>
      <w:proofErr w:type="spellEnd"/>
      <w:r w:rsidRPr="00FA40F2">
        <w:rPr>
          <w:lang w:val="es-ES_tradnl"/>
        </w:rPr>
        <w:t xml:space="preserve"> de Macao de la Oficina Central Nacional de la Organización Internacional de Policía Criminal (INTERPOL) en China desempeña un importante papel en la mejora de la comunicación con diferentes países y regiones para luchar contra la trata de personas. </w:t>
      </w:r>
    </w:p>
    <w:p w14:paraId="6CD0E004" w14:textId="77777777" w:rsidR="00FA40F2" w:rsidRPr="00FA40F2" w:rsidRDefault="00AE2F52" w:rsidP="00AE2F52">
      <w:pPr>
        <w:pStyle w:val="H23G"/>
        <w:rPr>
          <w:lang w:val="es-ES_tradnl"/>
        </w:rPr>
      </w:pPr>
      <w:r>
        <w:rPr>
          <w:lang w:val="es-ES_tradnl"/>
        </w:rPr>
        <w:tab/>
      </w:r>
      <w:r w:rsidR="00FA40F2" w:rsidRPr="00FA40F2">
        <w:rPr>
          <w:lang w:val="es-ES_tradnl"/>
        </w:rPr>
        <w:tab/>
        <w:t>Protección infantil</w:t>
      </w:r>
    </w:p>
    <w:p w14:paraId="242EDB16" w14:textId="77777777" w:rsidR="00FA40F2" w:rsidRPr="00FA40F2" w:rsidRDefault="00FA40F2" w:rsidP="00FA40F2">
      <w:pPr>
        <w:pStyle w:val="SingleTxtG"/>
        <w:rPr>
          <w:lang w:val="es-ES_tradnl"/>
        </w:rPr>
      </w:pPr>
      <w:r w:rsidRPr="00FA40F2">
        <w:rPr>
          <w:lang w:val="es-ES_tradnl"/>
        </w:rPr>
        <w:t>141.</w:t>
      </w:r>
      <w:r w:rsidRPr="00FA40F2">
        <w:rPr>
          <w:lang w:val="es-ES_tradnl"/>
        </w:rPr>
        <w:tab/>
        <w:t>Como se ha señalado en informes anteriores, en todas las decisiones, políticas y medidas adoptadas en relación con la infancia se debe tener en cuenta el principio primordial del interés superior del niño</w:t>
      </w:r>
      <w:r w:rsidR="00B97CE9">
        <w:rPr>
          <w:lang w:val="es-ES_tradnl"/>
        </w:rPr>
        <w:t xml:space="preserve"> (artículo </w:t>
      </w:r>
      <w:r w:rsidR="00B97CE9" w:rsidRPr="00FA40F2">
        <w:rPr>
          <w:lang w:val="es-ES_tradnl"/>
        </w:rPr>
        <w:t>38, párrafo 3, de la Ley Fundamental</w:t>
      </w:r>
      <w:r w:rsidR="00B97CE9">
        <w:rPr>
          <w:lang w:val="es-ES_tradnl"/>
        </w:rPr>
        <w:t>)</w:t>
      </w:r>
      <w:r w:rsidRPr="00FA40F2">
        <w:rPr>
          <w:lang w:val="es-ES_tradnl"/>
        </w:rPr>
        <w:t xml:space="preserve">. Los principales cambios en el marco jurídico para la protección de los niños son las modificaciones introducidas en el Código Penal en virtud de la Ley </w:t>
      </w:r>
      <w:r w:rsidR="00E27276">
        <w:rPr>
          <w:lang w:val="es-ES_tradnl"/>
        </w:rPr>
        <w:t>núm. </w:t>
      </w:r>
      <w:r w:rsidRPr="00FA40F2">
        <w:rPr>
          <w:lang w:val="es-ES_tradnl"/>
        </w:rPr>
        <w:t xml:space="preserve">8/2017, que amplía el alcance de los delitos contra la libre determinación sexual cuando la víctima es un menor. </w:t>
      </w:r>
    </w:p>
    <w:p w14:paraId="3497A88B" w14:textId="77777777" w:rsidR="00FA40F2" w:rsidRPr="00FA40F2" w:rsidRDefault="00FA40F2" w:rsidP="00FA40F2">
      <w:pPr>
        <w:pStyle w:val="SingleTxtG"/>
        <w:rPr>
          <w:lang w:val="es-ES_tradnl"/>
        </w:rPr>
      </w:pPr>
      <w:r w:rsidRPr="00FA40F2">
        <w:rPr>
          <w:lang w:val="es-ES_tradnl"/>
        </w:rPr>
        <w:lastRenderedPageBreak/>
        <w:t>142.</w:t>
      </w:r>
      <w:r w:rsidRPr="00FA40F2">
        <w:rPr>
          <w:lang w:val="es-ES_tradnl"/>
        </w:rPr>
        <w:tab/>
        <w:t xml:space="preserve">El ámbito de aplicación del </w:t>
      </w:r>
      <w:r w:rsidR="00722610">
        <w:rPr>
          <w:lang w:val="es-ES_tradnl"/>
        </w:rPr>
        <w:t>artículo </w:t>
      </w:r>
      <w:r w:rsidRPr="00FA40F2">
        <w:rPr>
          <w:lang w:val="es-ES_tradnl"/>
        </w:rPr>
        <w:t xml:space="preserve">166 (abusos sexuales a niños) del Código Penal de Macao se amplió para incluir a toda persona que incite a un menor de 14 años a realizar un acto sexual y a toda persona que tenga contacto </w:t>
      </w:r>
      <w:proofErr w:type="spellStart"/>
      <w:r w:rsidRPr="00FA40F2">
        <w:rPr>
          <w:lang w:val="es-ES_tradnl"/>
        </w:rPr>
        <w:t>bucogenital</w:t>
      </w:r>
      <w:proofErr w:type="spellEnd"/>
      <w:r w:rsidRPr="00FA40F2">
        <w:rPr>
          <w:lang w:val="es-ES_tradnl"/>
        </w:rPr>
        <w:t xml:space="preserve"> con un menor de 14 años o introduzca cualquier parte del cuerpo u objetos en la vagina o el ano de la víctima. Esos actos se castigan con penas de prisión de tres a diez años. </w:t>
      </w:r>
    </w:p>
    <w:p w14:paraId="3929B643" w14:textId="77777777" w:rsidR="00FA40F2" w:rsidRPr="00FA40F2" w:rsidRDefault="00FA40F2" w:rsidP="00FA40F2">
      <w:pPr>
        <w:pStyle w:val="SingleTxtG"/>
        <w:rPr>
          <w:lang w:val="es-ES_tradnl"/>
        </w:rPr>
      </w:pPr>
      <w:r w:rsidRPr="00FA40F2">
        <w:rPr>
          <w:lang w:val="es-ES_tradnl"/>
        </w:rPr>
        <w:t>143.</w:t>
      </w:r>
      <w:r w:rsidRPr="00FA40F2">
        <w:rPr>
          <w:lang w:val="es-ES_tradnl"/>
        </w:rPr>
        <w:tab/>
        <w:t xml:space="preserve">La pornografía infantil se ha convertido en un delito autónomo en virtud del </w:t>
      </w:r>
      <w:r w:rsidR="00722610">
        <w:rPr>
          <w:lang w:val="es-ES_tradnl"/>
        </w:rPr>
        <w:t>artículo </w:t>
      </w:r>
      <w:r w:rsidRPr="00FA40F2">
        <w:rPr>
          <w:lang w:val="es-ES_tradnl"/>
        </w:rPr>
        <w:t>170-A del Código Penal de Macao. Independientemente de la edad del menor, quienquiera que: a) utilice o atraiga a un menor para una actuación pornográfica; b) utilice o atraiga a un menor para una fotografía, película o grabación pornográfica, independientemente del soporte utilizado; c) produzca, distribuya, venda, importe, exporte o difunda a cualquier título o por cualquier medio o adquiera o posea para tales fines el material antes mencionado será castigado con una pena de prisión de uno a cinco años.</w:t>
      </w:r>
    </w:p>
    <w:p w14:paraId="1041F30C" w14:textId="77777777" w:rsidR="00FA40F2" w:rsidRPr="00FA40F2" w:rsidRDefault="00FA40F2" w:rsidP="00FA40F2">
      <w:pPr>
        <w:pStyle w:val="SingleTxtG"/>
        <w:rPr>
          <w:lang w:val="es-ES_tradnl"/>
        </w:rPr>
      </w:pPr>
      <w:r w:rsidRPr="00FA40F2">
        <w:rPr>
          <w:lang w:val="es-ES_tradnl"/>
        </w:rPr>
        <w:t>144.</w:t>
      </w:r>
      <w:r w:rsidRPr="00FA40F2">
        <w:rPr>
          <w:lang w:val="es-ES_tradnl"/>
        </w:rPr>
        <w:tab/>
        <w:t xml:space="preserve">También se ampliaron las sanciones por el delito de prostitución infantil previsto en el </w:t>
      </w:r>
      <w:r w:rsidR="00722610">
        <w:rPr>
          <w:lang w:val="es-ES_tradnl"/>
        </w:rPr>
        <w:t>artículo </w:t>
      </w:r>
      <w:r w:rsidRPr="00FA40F2">
        <w:rPr>
          <w:lang w:val="es-ES_tradnl"/>
        </w:rPr>
        <w:t xml:space="preserve">170 del Código Penal de Macao, </w:t>
      </w:r>
      <w:r w:rsidR="00D353FA">
        <w:rPr>
          <w:lang w:val="es-ES_tradnl"/>
        </w:rPr>
        <w:t>“</w:t>
      </w:r>
      <w:r w:rsidRPr="00FA40F2">
        <w:rPr>
          <w:lang w:val="es-ES_tradnl"/>
        </w:rPr>
        <w:t>Explotación de la prostitución de un menor</w:t>
      </w:r>
      <w:r w:rsidR="00D353FA">
        <w:rPr>
          <w:lang w:val="es-ES_tradnl"/>
        </w:rPr>
        <w:t>”</w:t>
      </w:r>
      <w:r w:rsidRPr="00FA40F2">
        <w:rPr>
          <w:lang w:val="es-ES_tradnl"/>
        </w:rPr>
        <w:t xml:space="preserve">, con lo dispuesto en el </w:t>
      </w:r>
      <w:r w:rsidR="00722610">
        <w:rPr>
          <w:lang w:val="es-ES_tradnl"/>
        </w:rPr>
        <w:t>artículo </w:t>
      </w:r>
      <w:r w:rsidRPr="00FA40F2">
        <w:rPr>
          <w:lang w:val="es-ES_tradnl"/>
        </w:rPr>
        <w:t xml:space="preserve">169-A, </w:t>
      </w:r>
      <w:r w:rsidR="00D353FA">
        <w:rPr>
          <w:lang w:val="es-ES_tradnl"/>
        </w:rPr>
        <w:t>“</w:t>
      </w:r>
      <w:r w:rsidRPr="00FA40F2">
        <w:rPr>
          <w:lang w:val="es-ES_tradnl"/>
        </w:rPr>
        <w:t>Relaciones sexuales remuneradas con menores</w:t>
      </w:r>
      <w:r w:rsidR="00D353FA">
        <w:rPr>
          <w:lang w:val="es-ES_tradnl"/>
        </w:rPr>
        <w:t>”</w:t>
      </w:r>
      <w:r w:rsidRPr="00FA40F2">
        <w:rPr>
          <w:lang w:val="es-ES_tradnl"/>
        </w:rPr>
        <w:t>. Esta disposición establece que quien realice uno de los actos sexuales descritos con un menor de edad comprendida entre 14 y 18 años a cambio de una remuneración, promesa u otro tipo de retribución del autor o un tercero será castigado con una pena de prisión de hasta tres años. Si el acto sexual en cuestión consiste en acceso carnal por vía vaginal, anal o bucal o la introducción de cualquier parte del cuerpo en la vagina o el ano de la víctima, el responsable será castigado con una pena de prisión de hasta cuatro años.</w:t>
      </w:r>
    </w:p>
    <w:p w14:paraId="4D15CA82" w14:textId="77777777" w:rsidR="00FA40F2" w:rsidRPr="00FA40F2" w:rsidRDefault="00FA40F2" w:rsidP="00FA40F2">
      <w:pPr>
        <w:pStyle w:val="SingleTxtG"/>
        <w:rPr>
          <w:lang w:val="es-ES_tradnl"/>
        </w:rPr>
      </w:pPr>
      <w:r w:rsidRPr="00FA40F2">
        <w:rPr>
          <w:lang w:val="es-ES_tradnl"/>
        </w:rPr>
        <w:t>145.</w:t>
      </w:r>
      <w:r w:rsidRPr="00FA40F2">
        <w:rPr>
          <w:lang w:val="es-ES_tradnl"/>
        </w:rPr>
        <w:tab/>
        <w:t>Las penas pueden incrementarse en un tercio en sus límites mínimo y máximo, entre otras cosas, si la víctima es un ascendiente, descendiente, adoptante o adoptado o tiene con el delincuente un parentesco de hasta segundo grado o se encuentra bajo la tutela o curatela de este (</w:t>
      </w:r>
      <w:r w:rsidR="00722610">
        <w:rPr>
          <w:lang w:val="es-ES_tradnl"/>
        </w:rPr>
        <w:t>artículo </w:t>
      </w:r>
      <w:r w:rsidRPr="00FA40F2">
        <w:rPr>
          <w:lang w:val="es-ES_tradnl"/>
        </w:rPr>
        <w:t>171, párrafo 1 a)). Asimismo, se puede suspender el ejercicio de la patria potestad, la tutela o la curatela durante un período de 2 a 5 años (</w:t>
      </w:r>
      <w:r w:rsidR="00722610">
        <w:rPr>
          <w:lang w:val="es-ES_tradnl"/>
        </w:rPr>
        <w:t>artículo </w:t>
      </w:r>
      <w:r w:rsidRPr="00FA40F2">
        <w:rPr>
          <w:lang w:val="es-ES_tradnl"/>
        </w:rPr>
        <w:t>173).</w:t>
      </w:r>
    </w:p>
    <w:p w14:paraId="5806AB13" w14:textId="77777777" w:rsidR="00FA40F2" w:rsidRPr="00FA40F2" w:rsidRDefault="00FA40F2" w:rsidP="00FA40F2">
      <w:pPr>
        <w:pStyle w:val="SingleTxtG"/>
        <w:rPr>
          <w:lang w:val="es-ES_tradnl"/>
        </w:rPr>
      </w:pPr>
      <w:r w:rsidRPr="00FA40F2">
        <w:rPr>
          <w:lang w:val="es-ES_tradnl"/>
        </w:rPr>
        <w:t>146.</w:t>
      </w:r>
      <w:r w:rsidRPr="00FA40F2">
        <w:rPr>
          <w:lang w:val="es-ES_tradnl"/>
        </w:rPr>
        <w:tab/>
        <w:t xml:space="preserve">El Gobierno sigue adoptando medidas específicas para proteger los intereses de los niños. La Política de Macao para la Juventud y la creación del Comité de Asuntos de la Mujer y el Niño son ejemplos destacados de ese compromiso. La Política de Macao para la Juventud tiene por objeto: i) promover la participación social de los jóvenes; </w:t>
      </w:r>
      <w:proofErr w:type="spellStart"/>
      <w:r w:rsidRPr="00FA40F2">
        <w:rPr>
          <w:lang w:val="es-ES_tradnl"/>
        </w:rPr>
        <w:t>ii</w:t>
      </w:r>
      <w:proofErr w:type="spellEnd"/>
      <w:r w:rsidRPr="00FA40F2">
        <w:rPr>
          <w:lang w:val="es-ES_tradnl"/>
        </w:rPr>
        <w:t xml:space="preserve">) estimular su crecimiento físico y mental; </w:t>
      </w:r>
      <w:proofErr w:type="spellStart"/>
      <w:r w:rsidRPr="00FA40F2">
        <w:rPr>
          <w:lang w:val="es-ES_tradnl"/>
        </w:rPr>
        <w:t>iii</w:t>
      </w:r>
      <w:proofErr w:type="spellEnd"/>
      <w:r w:rsidRPr="00FA40F2">
        <w:rPr>
          <w:lang w:val="es-ES_tradnl"/>
        </w:rPr>
        <w:t xml:space="preserve">) crear un entorno de cariño, y </w:t>
      </w:r>
      <w:proofErr w:type="spellStart"/>
      <w:r w:rsidRPr="00FA40F2">
        <w:rPr>
          <w:lang w:val="es-ES_tradnl"/>
        </w:rPr>
        <w:t>iv</w:t>
      </w:r>
      <w:proofErr w:type="spellEnd"/>
      <w:r w:rsidRPr="00FA40F2">
        <w:rPr>
          <w:lang w:val="es-ES_tradnl"/>
        </w:rPr>
        <w:t>) promover la movilidad social. El Comité de Asuntos de la Juventud es el principal órgano consultivo que presta asistencia al Gobierno en este terreno.</w:t>
      </w:r>
    </w:p>
    <w:p w14:paraId="12DDED8B" w14:textId="77777777" w:rsidR="00FA40F2" w:rsidRPr="00FA40F2" w:rsidRDefault="00FA40F2" w:rsidP="00FA40F2">
      <w:pPr>
        <w:pStyle w:val="SingleTxtG"/>
        <w:rPr>
          <w:lang w:val="es-ES_tradnl"/>
        </w:rPr>
      </w:pPr>
      <w:r w:rsidRPr="00FA40F2">
        <w:rPr>
          <w:lang w:val="es-ES_tradnl"/>
        </w:rPr>
        <w:t>147.</w:t>
      </w:r>
      <w:r w:rsidRPr="00FA40F2">
        <w:rPr>
          <w:lang w:val="es-ES_tradnl"/>
        </w:rPr>
        <w:tab/>
        <w:t>La Oficina de Bienestar Social, en colaboración con las ONG y otros departamentos del Gobierno, como la Dirección de Servicios de Educación y Juventud, desempeña un importante papel en la protección de la infancia, especialmente en lo que se refiere a los menores de edad privados de un ambiente familiar normal y a las víctimas de maltrato, descuido, violencia doméstica u otras situaciones que ponen en peligro su bienestar, salud, desarrollo moral e integración social. La Oficina presta apoyo especializado, por ejemplo, en los ámbitos de la salud, la educación y el medioambiente, así como en programas de prevención contra las drogas, el alcohol, el tabaco, el VIH/sida y los juegos de azar, así como en la rehabilitación social.</w:t>
      </w:r>
    </w:p>
    <w:p w14:paraId="66EEA7B7" w14:textId="77777777" w:rsidR="00FA40F2" w:rsidRPr="00FA40F2" w:rsidRDefault="00FA40F2" w:rsidP="00FA40F2">
      <w:pPr>
        <w:pStyle w:val="SingleTxtG"/>
        <w:rPr>
          <w:lang w:val="es-ES_tradnl"/>
        </w:rPr>
      </w:pPr>
      <w:r w:rsidRPr="00FA40F2">
        <w:rPr>
          <w:lang w:val="es-ES_tradnl"/>
        </w:rPr>
        <w:t>148.</w:t>
      </w:r>
      <w:r w:rsidRPr="00FA40F2">
        <w:rPr>
          <w:lang w:val="es-ES_tradnl"/>
        </w:rPr>
        <w:tab/>
        <w:t>La Oficina de Bienestar Social, a través de ONG que reciben subvenciones, proporciona albergue a huérfanos, niños expósitos, niños y jóvenes abandonados, o que se encuentran en situaciones de crisis o no reciben atención adecuada debido a problemas familiares, con objeto de que vivan y crezcan en un entorno sano y seguro. Entre los alojamientos habilitados para ese fin figuran nueve hogares infantiles financiados por la Oficina, en los que se acoge a niños y jóvenes de entre 0 y 21 años.</w:t>
      </w:r>
    </w:p>
    <w:p w14:paraId="6CA4F67D" w14:textId="77777777" w:rsidR="00FA40F2" w:rsidRPr="00FA40F2" w:rsidRDefault="00FA40F2" w:rsidP="00FA40F2">
      <w:pPr>
        <w:pStyle w:val="SingleTxtG"/>
        <w:rPr>
          <w:lang w:val="es-ES_tradnl"/>
        </w:rPr>
      </w:pPr>
      <w:r w:rsidRPr="00FA40F2">
        <w:rPr>
          <w:lang w:val="es-ES_tradnl"/>
        </w:rPr>
        <w:t>149.</w:t>
      </w:r>
      <w:r w:rsidRPr="00FA40F2">
        <w:rPr>
          <w:lang w:val="es-ES_tradnl"/>
        </w:rPr>
        <w:tab/>
        <w:t>También se ofrece atención diaria en familias de acogida y servicios de alojamiento en la comunidad a niños y jóvenes con dificultades transitorias. Entre 2014 y septiembre de</w:t>
      </w:r>
      <w:r w:rsidR="006A33C1">
        <w:rPr>
          <w:lang w:val="es-ES_tradnl"/>
        </w:rPr>
        <w:t> </w:t>
      </w:r>
      <w:r w:rsidRPr="00FA40F2">
        <w:rPr>
          <w:lang w:val="es-ES_tradnl"/>
        </w:rPr>
        <w:t xml:space="preserve">2018, se beneficiaron de alojamiento y cuidado diario en familias de acogida 283, 316, 302, 345 y 333 menores, respectivamente, de edades comprendidas entre 0 y 17 años. </w:t>
      </w:r>
    </w:p>
    <w:p w14:paraId="0F90FF8A" w14:textId="77777777" w:rsidR="00FA40F2" w:rsidRPr="00FA40F2" w:rsidRDefault="00FA40F2" w:rsidP="00FA40F2">
      <w:pPr>
        <w:pStyle w:val="SingleTxtG"/>
        <w:rPr>
          <w:lang w:val="es-ES_tradnl"/>
        </w:rPr>
      </w:pPr>
      <w:r w:rsidRPr="00FA40F2">
        <w:rPr>
          <w:lang w:val="es-ES_tradnl"/>
        </w:rPr>
        <w:t>150.</w:t>
      </w:r>
      <w:r w:rsidRPr="00FA40F2">
        <w:rPr>
          <w:lang w:val="es-ES_tradnl"/>
        </w:rPr>
        <w:tab/>
        <w:t>A los niños indocumentados, refugiados o solicitantes de asilo se les proporciona alojamiento y atención adecuados. Asimismo, se establecen planes para cubrir sus</w:t>
      </w:r>
      <w:r w:rsidR="006A33C1">
        <w:rPr>
          <w:lang w:val="es-ES_tradnl"/>
        </w:rPr>
        <w:t> </w:t>
      </w:r>
      <w:r w:rsidRPr="00FA40F2">
        <w:rPr>
          <w:lang w:val="es-ES_tradnl"/>
        </w:rPr>
        <w:t xml:space="preserve">necesidades específicas en materia de educación, orientación y salud, entre otras. </w:t>
      </w:r>
      <w:r w:rsidRPr="00FA40F2">
        <w:rPr>
          <w:lang w:val="es-ES_tradnl"/>
        </w:rPr>
        <w:lastRenderedPageBreak/>
        <w:t>Desde</w:t>
      </w:r>
      <w:r w:rsidR="006A33C1">
        <w:rPr>
          <w:lang w:val="es-ES_tradnl"/>
        </w:rPr>
        <w:t> </w:t>
      </w:r>
      <w:r w:rsidRPr="00FA40F2">
        <w:rPr>
          <w:lang w:val="es-ES_tradnl"/>
        </w:rPr>
        <w:t>2014 hasta septiembre de 2018, la Oficina de Bienestar Social prestó asistencia a 40</w:t>
      </w:r>
      <w:r w:rsidR="006A33C1">
        <w:rPr>
          <w:lang w:val="es-ES_tradnl"/>
        </w:rPr>
        <w:t> </w:t>
      </w:r>
      <w:r w:rsidRPr="00FA40F2">
        <w:rPr>
          <w:lang w:val="es-ES_tradnl"/>
        </w:rPr>
        <w:t>menores de entre 0 y 17 años. En los cursos 2016/17 y 2017/18, 111 y 117 personas, respectivamente, se beneficiaron del Programa de Apoyo Académico a Nuevos Estudiantes Inmigrantes.</w:t>
      </w:r>
    </w:p>
    <w:p w14:paraId="48A81ACA" w14:textId="77777777" w:rsidR="00FA40F2" w:rsidRPr="00FA40F2" w:rsidRDefault="00FA40F2" w:rsidP="00FA40F2">
      <w:pPr>
        <w:pStyle w:val="SingleTxtG"/>
        <w:rPr>
          <w:lang w:val="es-ES_tradnl"/>
        </w:rPr>
      </w:pPr>
      <w:r w:rsidRPr="00FA40F2">
        <w:rPr>
          <w:lang w:val="es-ES_tradnl"/>
        </w:rPr>
        <w:t>151.</w:t>
      </w:r>
      <w:r w:rsidRPr="00FA40F2">
        <w:rPr>
          <w:lang w:val="es-ES_tradnl"/>
        </w:rPr>
        <w:tab/>
        <w:t>Hay también cuatro equipos de trabajo para los jóvenes de la comunidad dedicados a prestar asistencia a jóvenes que se encuentran en situación de necesidad. Entre los principales servicios ofrecidos figuran los siguientes: tareas con fines sociales; orientación para el desarrollo personal y profesional de los jóvenes, y servicios de apoyo y prevención del abuso de drogas dirigidos a familias, niños y jóvenes en situación de riesgo, mediante asesoramiento, terapias y actividades y programas de desarrollo en grupo, entre otras cosas.</w:t>
      </w:r>
    </w:p>
    <w:p w14:paraId="7418800F" w14:textId="77777777" w:rsidR="00FA40F2" w:rsidRDefault="00FA40F2" w:rsidP="00FA40F2">
      <w:pPr>
        <w:pStyle w:val="SingleTxtG"/>
        <w:rPr>
          <w:lang w:val="es-ES_tradnl"/>
        </w:rPr>
      </w:pPr>
      <w:r w:rsidRPr="00FA40F2">
        <w:rPr>
          <w:lang w:val="es-ES_tradnl"/>
        </w:rPr>
        <w:t>152.</w:t>
      </w:r>
      <w:r w:rsidRPr="00FA40F2">
        <w:rPr>
          <w:lang w:val="es-ES_tradnl"/>
        </w:rPr>
        <w:tab/>
        <w:t>Se siguen promoviendo las actividades de sensibilización por diferentes vías, como se muestra en el cuadro que figura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3118"/>
        <w:gridCol w:w="1843"/>
        <w:gridCol w:w="567"/>
        <w:gridCol w:w="991"/>
      </w:tblGrid>
      <w:tr w:rsidR="003300D6" w:rsidRPr="003300D6" w14:paraId="357834E8" w14:textId="77777777" w:rsidTr="007F2B52">
        <w:tc>
          <w:tcPr>
            <w:tcW w:w="851" w:type="dxa"/>
            <w:tcBorders>
              <w:top w:val="single" w:sz="4" w:space="0" w:color="auto"/>
              <w:bottom w:val="single" w:sz="12" w:space="0" w:color="auto"/>
            </w:tcBorders>
            <w:shd w:val="clear" w:color="auto" w:fill="auto"/>
            <w:vAlign w:val="bottom"/>
          </w:tcPr>
          <w:p w14:paraId="6AF5C6FE" w14:textId="77777777" w:rsidR="003300D6" w:rsidRPr="00AE2F52" w:rsidRDefault="003300D6" w:rsidP="003300D6">
            <w:pPr>
              <w:pStyle w:val="SingleTxtG"/>
              <w:spacing w:before="80" w:after="80" w:line="200" w:lineRule="exact"/>
              <w:ind w:left="0" w:right="0"/>
              <w:jc w:val="left"/>
              <w:rPr>
                <w:i/>
                <w:sz w:val="16"/>
                <w:lang w:val="es-ES_tradnl"/>
              </w:rPr>
            </w:pPr>
            <w:r w:rsidRPr="00AE2F52">
              <w:rPr>
                <w:i/>
                <w:iCs/>
                <w:sz w:val="16"/>
                <w:lang w:val="es-ES_tradnl"/>
              </w:rPr>
              <w:t>Año</w:t>
            </w:r>
          </w:p>
        </w:tc>
        <w:tc>
          <w:tcPr>
            <w:tcW w:w="3118" w:type="dxa"/>
            <w:tcBorders>
              <w:top w:val="single" w:sz="4" w:space="0" w:color="auto"/>
              <w:bottom w:val="single" w:sz="12" w:space="0" w:color="auto"/>
            </w:tcBorders>
            <w:shd w:val="clear" w:color="auto" w:fill="auto"/>
            <w:vAlign w:val="bottom"/>
          </w:tcPr>
          <w:p w14:paraId="71DFEEBD" w14:textId="77777777" w:rsidR="003300D6" w:rsidRPr="00AE2F52" w:rsidRDefault="003300D6" w:rsidP="003300D6">
            <w:pPr>
              <w:pStyle w:val="SingleTxtG"/>
              <w:spacing w:before="80" w:after="80" w:line="200" w:lineRule="exact"/>
              <w:ind w:left="0" w:right="0"/>
              <w:jc w:val="left"/>
              <w:rPr>
                <w:i/>
                <w:sz w:val="16"/>
                <w:lang w:val="es-ES_tradnl"/>
              </w:rPr>
            </w:pPr>
            <w:r w:rsidRPr="00AE2F52">
              <w:rPr>
                <w:i/>
                <w:iCs/>
                <w:sz w:val="16"/>
                <w:lang w:val="es-ES_tradnl"/>
              </w:rPr>
              <w:t>Proyectos</w:t>
            </w:r>
          </w:p>
        </w:tc>
        <w:tc>
          <w:tcPr>
            <w:tcW w:w="1843" w:type="dxa"/>
            <w:tcBorders>
              <w:top w:val="single" w:sz="4" w:space="0" w:color="auto"/>
              <w:bottom w:val="single" w:sz="12" w:space="0" w:color="auto"/>
            </w:tcBorders>
            <w:shd w:val="clear" w:color="auto" w:fill="auto"/>
            <w:vAlign w:val="bottom"/>
          </w:tcPr>
          <w:p w14:paraId="36D6BB3A" w14:textId="77777777" w:rsidR="003300D6" w:rsidRPr="00AE2F52" w:rsidRDefault="003300D6" w:rsidP="003300D6">
            <w:pPr>
              <w:pStyle w:val="SingleTxtG"/>
              <w:spacing w:before="80" w:after="80" w:line="200" w:lineRule="exact"/>
              <w:ind w:left="0" w:right="0"/>
              <w:jc w:val="left"/>
              <w:rPr>
                <w:i/>
                <w:sz w:val="16"/>
                <w:lang w:val="es-ES_tradnl"/>
              </w:rPr>
            </w:pPr>
            <w:r w:rsidRPr="00AE2F52">
              <w:rPr>
                <w:i/>
                <w:iCs/>
                <w:sz w:val="16"/>
                <w:lang w:val="es-ES_tradnl"/>
              </w:rPr>
              <w:t>Tipo</w:t>
            </w:r>
            <w:r w:rsidRPr="00AE2F52">
              <w:rPr>
                <w:i/>
                <w:sz w:val="16"/>
                <w:lang w:val="es-ES_tradnl"/>
              </w:rPr>
              <w:t xml:space="preserve"> </w:t>
            </w:r>
          </w:p>
        </w:tc>
        <w:tc>
          <w:tcPr>
            <w:tcW w:w="567" w:type="dxa"/>
            <w:tcBorders>
              <w:top w:val="single" w:sz="4" w:space="0" w:color="auto"/>
              <w:bottom w:val="single" w:sz="12" w:space="0" w:color="auto"/>
            </w:tcBorders>
            <w:shd w:val="clear" w:color="auto" w:fill="auto"/>
            <w:vAlign w:val="bottom"/>
          </w:tcPr>
          <w:p w14:paraId="66D96F91" w14:textId="77777777" w:rsidR="003300D6" w:rsidRPr="00AE2F52" w:rsidRDefault="003300D6" w:rsidP="003300D6">
            <w:pPr>
              <w:pStyle w:val="SingleTxtG"/>
              <w:spacing w:before="80" w:after="80" w:line="200" w:lineRule="exact"/>
              <w:ind w:left="0" w:right="11"/>
              <w:jc w:val="right"/>
              <w:rPr>
                <w:i/>
                <w:sz w:val="16"/>
                <w:lang w:val="es-ES_tradnl"/>
              </w:rPr>
            </w:pPr>
            <w:r w:rsidRPr="00AE2F52">
              <w:rPr>
                <w:i/>
                <w:iCs/>
                <w:sz w:val="16"/>
                <w:lang w:val="es-ES_tradnl"/>
              </w:rPr>
              <w:t>Monto</w:t>
            </w:r>
          </w:p>
        </w:tc>
        <w:tc>
          <w:tcPr>
            <w:tcW w:w="991" w:type="dxa"/>
            <w:tcBorders>
              <w:top w:val="single" w:sz="4" w:space="0" w:color="auto"/>
              <w:bottom w:val="single" w:sz="12" w:space="0" w:color="auto"/>
            </w:tcBorders>
            <w:shd w:val="clear" w:color="auto" w:fill="auto"/>
            <w:vAlign w:val="bottom"/>
          </w:tcPr>
          <w:p w14:paraId="3E9A032A" w14:textId="77777777" w:rsidR="003300D6" w:rsidRPr="00AE2F52" w:rsidRDefault="003300D6" w:rsidP="003300D6">
            <w:pPr>
              <w:pStyle w:val="SingleTxtG"/>
              <w:spacing w:before="80" w:after="80" w:line="200" w:lineRule="exact"/>
              <w:ind w:left="0" w:right="11"/>
              <w:jc w:val="right"/>
              <w:rPr>
                <w:i/>
                <w:sz w:val="16"/>
                <w:lang w:val="es-ES_tradnl"/>
              </w:rPr>
            </w:pPr>
            <w:r w:rsidRPr="00AE2F52">
              <w:rPr>
                <w:i/>
                <w:iCs/>
                <w:sz w:val="16"/>
                <w:lang w:val="es-ES_tradnl"/>
              </w:rPr>
              <w:t>Número de participantes</w:t>
            </w:r>
          </w:p>
        </w:tc>
      </w:tr>
      <w:tr w:rsidR="003300D6" w:rsidRPr="003300D6" w14:paraId="129A27DD" w14:textId="77777777" w:rsidTr="007F2B52">
        <w:tc>
          <w:tcPr>
            <w:tcW w:w="851" w:type="dxa"/>
            <w:vMerge w:val="restart"/>
            <w:tcBorders>
              <w:top w:val="single" w:sz="12" w:space="0" w:color="auto"/>
            </w:tcBorders>
            <w:shd w:val="clear" w:color="auto" w:fill="auto"/>
          </w:tcPr>
          <w:p w14:paraId="5F92692B"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2014</w:t>
            </w:r>
          </w:p>
        </w:tc>
        <w:tc>
          <w:tcPr>
            <w:tcW w:w="3118" w:type="dxa"/>
            <w:tcBorders>
              <w:top w:val="single" w:sz="12" w:space="0" w:color="auto"/>
            </w:tcBorders>
            <w:shd w:val="clear" w:color="auto" w:fill="auto"/>
            <w:vAlign w:val="bottom"/>
          </w:tcPr>
          <w:p w14:paraId="0ED97C01"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Los derechos y la protección de los niños en Macao</w:t>
            </w:r>
          </w:p>
        </w:tc>
        <w:tc>
          <w:tcPr>
            <w:tcW w:w="1843" w:type="dxa"/>
            <w:tcBorders>
              <w:top w:val="single" w:sz="12" w:space="0" w:color="auto"/>
            </w:tcBorders>
            <w:shd w:val="clear" w:color="auto" w:fill="auto"/>
            <w:vAlign w:val="bottom"/>
          </w:tcPr>
          <w:p w14:paraId="4876DC9F"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Formación</w:t>
            </w:r>
          </w:p>
        </w:tc>
        <w:tc>
          <w:tcPr>
            <w:tcW w:w="567" w:type="dxa"/>
            <w:tcBorders>
              <w:top w:val="single" w:sz="12" w:space="0" w:color="auto"/>
            </w:tcBorders>
            <w:shd w:val="clear" w:color="auto" w:fill="auto"/>
            <w:vAlign w:val="bottom"/>
          </w:tcPr>
          <w:p w14:paraId="12FAAAB0"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5</w:t>
            </w:r>
          </w:p>
        </w:tc>
        <w:tc>
          <w:tcPr>
            <w:tcW w:w="991" w:type="dxa"/>
            <w:tcBorders>
              <w:top w:val="single" w:sz="12" w:space="0" w:color="auto"/>
            </w:tcBorders>
            <w:shd w:val="clear" w:color="auto" w:fill="auto"/>
            <w:vAlign w:val="bottom"/>
          </w:tcPr>
          <w:p w14:paraId="3572DD22"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342</w:t>
            </w:r>
          </w:p>
        </w:tc>
      </w:tr>
      <w:tr w:rsidR="003300D6" w:rsidRPr="003300D6" w14:paraId="0E88D80E" w14:textId="77777777" w:rsidTr="007F2B52">
        <w:tc>
          <w:tcPr>
            <w:tcW w:w="851" w:type="dxa"/>
            <w:vMerge/>
            <w:shd w:val="clear" w:color="auto" w:fill="auto"/>
          </w:tcPr>
          <w:p w14:paraId="3EF7F9D7"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4A387B8E"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Crucigrama sobre los derechos del niño y</w:t>
            </w:r>
            <w:r w:rsidR="006A33C1">
              <w:rPr>
                <w:sz w:val="18"/>
                <w:lang w:val="es-ES_tradnl"/>
              </w:rPr>
              <w:t> </w:t>
            </w:r>
            <w:r w:rsidRPr="00AE2F52">
              <w:rPr>
                <w:sz w:val="18"/>
                <w:lang w:val="es-ES_tradnl"/>
              </w:rPr>
              <w:t>sorteo</w:t>
            </w:r>
          </w:p>
        </w:tc>
        <w:tc>
          <w:tcPr>
            <w:tcW w:w="1843" w:type="dxa"/>
            <w:shd w:val="clear" w:color="auto" w:fill="auto"/>
            <w:vAlign w:val="bottom"/>
          </w:tcPr>
          <w:p w14:paraId="73E8D73E"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Competición</w:t>
            </w:r>
          </w:p>
        </w:tc>
        <w:tc>
          <w:tcPr>
            <w:tcW w:w="567" w:type="dxa"/>
            <w:shd w:val="clear" w:color="auto" w:fill="auto"/>
            <w:vAlign w:val="bottom"/>
          </w:tcPr>
          <w:p w14:paraId="46964B80"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0EDB4F96"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2 248</w:t>
            </w:r>
          </w:p>
        </w:tc>
      </w:tr>
      <w:tr w:rsidR="003300D6" w:rsidRPr="003300D6" w14:paraId="182D2E16" w14:textId="77777777" w:rsidTr="007F2B52">
        <w:tc>
          <w:tcPr>
            <w:tcW w:w="851" w:type="dxa"/>
            <w:vMerge w:val="restart"/>
            <w:shd w:val="clear" w:color="auto" w:fill="auto"/>
          </w:tcPr>
          <w:p w14:paraId="32D54B28"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2015</w:t>
            </w:r>
          </w:p>
        </w:tc>
        <w:tc>
          <w:tcPr>
            <w:tcW w:w="3118" w:type="dxa"/>
            <w:shd w:val="clear" w:color="auto" w:fill="auto"/>
            <w:vAlign w:val="bottom"/>
          </w:tcPr>
          <w:p w14:paraId="3BB10E9B"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Curso de certificación en prevención de agresiones sexuales a niños</w:t>
            </w:r>
          </w:p>
        </w:tc>
        <w:tc>
          <w:tcPr>
            <w:tcW w:w="1843" w:type="dxa"/>
            <w:shd w:val="clear" w:color="auto" w:fill="auto"/>
            <w:vAlign w:val="bottom"/>
          </w:tcPr>
          <w:p w14:paraId="128A1851"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Formación</w:t>
            </w:r>
          </w:p>
        </w:tc>
        <w:tc>
          <w:tcPr>
            <w:tcW w:w="567" w:type="dxa"/>
            <w:shd w:val="clear" w:color="auto" w:fill="auto"/>
            <w:vAlign w:val="bottom"/>
          </w:tcPr>
          <w:p w14:paraId="56D3A441"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105140B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44</w:t>
            </w:r>
          </w:p>
        </w:tc>
      </w:tr>
      <w:tr w:rsidR="003300D6" w:rsidRPr="003300D6" w14:paraId="3EAEA9D8" w14:textId="77777777" w:rsidTr="007F2B52">
        <w:tc>
          <w:tcPr>
            <w:tcW w:w="851" w:type="dxa"/>
            <w:vMerge/>
            <w:shd w:val="clear" w:color="auto" w:fill="auto"/>
          </w:tcPr>
          <w:p w14:paraId="184DC7E7"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7AFAAE73"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Llaveros de bolígrafo</w:t>
            </w:r>
          </w:p>
        </w:tc>
        <w:tc>
          <w:tcPr>
            <w:tcW w:w="1843" w:type="dxa"/>
            <w:shd w:val="clear" w:color="auto" w:fill="auto"/>
            <w:vAlign w:val="bottom"/>
          </w:tcPr>
          <w:p w14:paraId="7E036131"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shd w:val="clear" w:color="auto" w:fill="auto"/>
            <w:vAlign w:val="bottom"/>
          </w:tcPr>
          <w:p w14:paraId="62B498E6"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455A9263"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4 000</w:t>
            </w:r>
          </w:p>
        </w:tc>
      </w:tr>
      <w:tr w:rsidR="003300D6" w:rsidRPr="003300D6" w14:paraId="77E3165A" w14:textId="77777777" w:rsidTr="007F2B52">
        <w:tc>
          <w:tcPr>
            <w:tcW w:w="851" w:type="dxa"/>
            <w:vMerge w:val="restart"/>
            <w:shd w:val="clear" w:color="auto" w:fill="auto"/>
          </w:tcPr>
          <w:p w14:paraId="4DB6A10E"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2016</w:t>
            </w:r>
          </w:p>
        </w:tc>
        <w:tc>
          <w:tcPr>
            <w:tcW w:w="3118" w:type="dxa"/>
            <w:shd w:val="clear" w:color="auto" w:fill="auto"/>
            <w:vAlign w:val="bottom"/>
          </w:tcPr>
          <w:p w14:paraId="724D6AE7"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Programas de subsidios para concienciar a</w:t>
            </w:r>
            <w:r w:rsidR="006A33C1">
              <w:rPr>
                <w:sz w:val="18"/>
                <w:lang w:val="es-ES_tradnl"/>
              </w:rPr>
              <w:t> </w:t>
            </w:r>
            <w:r w:rsidRPr="00AE2F52">
              <w:rPr>
                <w:sz w:val="18"/>
                <w:lang w:val="es-ES_tradnl"/>
              </w:rPr>
              <w:t>los niños sobre la importancia de la</w:t>
            </w:r>
            <w:r w:rsidR="006A33C1">
              <w:rPr>
                <w:sz w:val="18"/>
                <w:lang w:val="es-ES_tradnl"/>
              </w:rPr>
              <w:t> </w:t>
            </w:r>
            <w:r w:rsidRPr="00AE2F52">
              <w:rPr>
                <w:sz w:val="18"/>
                <w:lang w:val="es-ES_tradnl"/>
              </w:rPr>
              <w:t>autoprotección.</w:t>
            </w:r>
          </w:p>
        </w:tc>
        <w:tc>
          <w:tcPr>
            <w:tcW w:w="1843" w:type="dxa"/>
            <w:shd w:val="clear" w:color="auto" w:fill="auto"/>
            <w:vAlign w:val="bottom"/>
          </w:tcPr>
          <w:p w14:paraId="1F0B1170"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Programas de subsidios</w:t>
            </w:r>
          </w:p>
        </w:tc>
        <w:tc>
          <w:tcPr>
            <w:tcW w:w="567" w:type="dxa"/>
            <w:shd w:val="clear" w:color="auto" w:fill="auto"/>
            <w:vAlign w:val="bottom"/>
          </w:tcPr>
          <w:p w14:paraId="06A8B05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3</w:t>
            </w:r>
          </w:p>
        </w:tc>
        <w:tc>
          <w:tcPr>
            <w:tcW w:w="991" w:type="dxa"/>
            <w:shd w:val="clear" w:color="auto" w:fill="auto"/>
            <w:vAlign w:val="bottom"/>
          </w:tcPr>
          <w:p w14:paraId="10827585"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1 106</w:t>
            </w:r>
          </w:p>
        </w:tc>
      </w:tr>
      <w:tr w:rsidR="003300D6" w:rsidRPr="003300D6" w14:paraId="7548C46D" w14:textId="77777777" w:rsidTr="007F2B52">
        <w:tc>
          <w:tcPr>
            <w:tcW w:w="851" w:type="dxa"/>
            <w:vMerge/>
            <w:shd w:val="clear" w:color="auto" w:fill="auto"/>
          </w:tcPr>
          <w:p w14:paraId="5DDD6CE2"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12A7136A"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Los derechos de los niños y el ciberdelito</w:t>
            </w:r>
          </w:p>
        </w:tc>
        <w:tc>
          <w:tcPr>
            <w:tcW w:w="1843" w:type="dxa"/>
            <w:shd w:val="clear" w:color="auto" w:fill="auto"/>
            <w:vAlign w:val="bottom"/>
          </w:tcPr>
          <w:p w14:paraId="2EA07FE8"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Formación</w:t>
            </w:r>
          </w:p>
        </w:tc>
        <w:tc>
          <w:tcPr>
            <w:tcW w:w="567" w:type="dxa"/>
            <w:shd w:val="clear" w:color="auto" w:fill="auto"/>
            <w:vAlign w:val="bottom"/>
          </w:tcPr>
          <w:p w14:paraId="5E57BC2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w:t>
            </w:r>
          </w:p>
        </w:tc>
        <w:tc>
          <w:tcPr>
            <w:tcW w:w="991" w:type="dxa"/>
            <w:shd w:val="clear" w:color="auto" w:fill="auto"/>
            <w:vAlign w:val="bottom"/>
          </w:tcPr>
          <w:p w14:paraId="66DADC78"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367</w:t>
            </w:r>
          </w:p>
        </w:tc>
      </w:tr>
      <w:tr w:rsidR="003300D6" w:rsidRPr="003300D6" w14:paraId="7842D100" w14:textId="77777777" w:rsidTr="007F2B52">
        <w:tc>
          <w:tcPr>
            <w:tcW w:w="851" w:type="dxa"/>
            <w:vMerge w:val="restart"/>
            <w:shd w:val="clear" w:color="auto" w:fill="auto"/>
          </w:tcPr>
          <w:p w14:paraId="03A48BD4"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2017</w:t>
            </w:r>
          </w:p>
        </w:tc>
        <w:tc>
          <w:tcPr>
            <w:tcW w:w="3118" w:type="dxa"/>
            <w:shd w:val="clear" w:color="auto" w:fill="auto"/>
            <w:vAlign w:val="bottom"/>
          </w:tcPr>
          <w:p w14:paraId="5A94EBCD"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Botella de viaje</w:t>
            </w:r>
          </w:p>
        </w:tc>
        <w:tc>
          <w:tcPr>
            <w:tcW w:w="1843" w:type="dxa"/>
            <w:shd w:val="clear" w:color="auto" w:fill="auto"/>
            <w:vAlign w:val="bottom"/>
          </w:tcPr>
          <w:p w14:paraId="1E27029F"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shd w:val="clear" w:color="auto" w:fill="auto"/>
            <w:vAlign w:val="bottom"/>
          </w:tcPr>
          <w:p w14:paraId="599C5DD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5EC9A16E"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4 000</w:t>
            </w:r>
          </w:p>
        </w:tc>
      </w:tr>
      <w:tr w:rsidR="003300D6" w:rsidRPr="003300D6" w14:paraId="1973B92B" w14:textId="77777777" w:rsidTr="007F2B52">
        <w:tc>
          <w:tcPr>
            <w:tcW w:w="851" w:type="dxa"/>
            <w:vMerge/>
            <w:shd w:val="clear" w:color="auto" w:fill="auto"/>
          </w:tcPr>
          <w:p w14:paraId="3658D740"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09467B9C"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Libro de juegos para entender la Convención sobre los Derechos del Niño</w:t>
            </w:r>
          </w:p>
        </w:tc>
        <w:tc>
          <w:tcPr>
            <w:tcW w:w="1843" w:type="dxa"/>
            <w:shd w:val="clear" w:color="auto" w:fill="auto"/>
            <w:vAlign w:val="bottom"/>
          </w:tcPr>
          <w:p w14:paraId="7000BC7A"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shd w:val="clear" w:color="auto" w:fill="auto"/>
            <w:vAlign w:val="bottom"/>
          </w:tcPr>
          <w:p w14:paraId="674B85F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57600384"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2 250</w:t>
            </w:r>
          </w:p>
        </w:tc>
      </w:tr>
      <w:tr w:rsidR="003300D6" w:rsidRPr="003300D6" w14:paraId="5B23C4D7" w14:textId="77777777" w:rsidTr="007F2B52">
        <w:tc>
          <w:tcPr>
            <w:tcW w:w="851" w:type="dxa"/>
            <w:tcBorders>
              <w:bottom w:val="single" w:sz="12" w:space="0" w:color="auto"/>
            </w:tcBorders>
            <w:shd w:val="clear" w:color="auto" w:fill="auto"/>
          </w:tcPr>
          <w:p w14:paraId="079374C6"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2018</w:t>
            </w:r>
          </w:p>
        </w:tc>
        <w:tc>
          <w:tcPr>
            <w:tcW w:w="3118" w:type="dxa"/>
            <w:tcBorders>
              <w:bottom w:val="single" w:sz="12" w:space="0" w:color="auto"/>
            </w:tcBorders>
            <w:shd w:val="clear" w:color="auto" w:fill="auto"/>
            <w:vAlign w:val="bottom"/>
          </w:tcPr>
          <w:p w14:paraId="3EF394B7"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Llavero de cubo de Rubik</w:t>
            </w:r>
          </w:p>
        </w:tc>
        <w:tc>
          <w:tcPr>
            <w:tcW w:w="1843" w:type="dxa"/>
            <w:tcBorders>
              <w:bottom w:val="single" w:sz="12" w:space="0" w:color="auto"/>
            </w:tcBorders>
            <w:shd w:val="clear" w:color="auto" w:fill="auto"/>
            <w:vAlign w:val="bottom"/>
          </w:tcPr>
          <w:p w14:paraId="219D0095"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tcBorders>
              <w:bottom w:val="single" w:sz="12" w:space="0" w:color="auto"/>
            </w:tcBorders>
            <w:shd w:val="clear" w:color="auto" w:fill="auto"/>
            <w:vAlign w:val="bottom"/>
          </w:tcPr>
          <w:p w14:paraId="1F2C0E47"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tcBorders>
              <w:bottom w:val="single" w:sz="12" w:space="0" w:color="auto"/>
            </w:tcBorders>
            <w:shd w:val="clear" w:color="auto" w:fill="auto"/>
            <w:vAlign w:val="bottom"/>
          </w:tcPr>
          <w:p w14:paraId="782C6B78"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4 000</w:t>
            </w:r>
          </w:p>
        </w:tc>
      </w:tr>
    </w:tbl>
    <w:p w14:paraId="06435BD4" w14:textId="77777777" w:rsidR="00FA40F2" w:rsidRPr="00AE2F52" w:rsidRDefault="00FA40F2" w:rsidP="00AE2F52">
      <w:pPr>
        <w:pStyle w:val="SingleTxtG"/>
        <w:spacing w:before="120"/>
        <w:ind w:firstLine="170"/>
        <w:rPr>
          <w:iCs/>
          <w:sz w:val="18"/>
          <w:szCs w:val="18"/>
          <w:lang w:val="es-ES_tradnl"/>
        </w:rPr>
      </w:pPr>
      <w:r w:rsidRPr="00AE2F52">
        <w:rPr>
          <w:i/>
          <w:iCs/>
          <w:sz w:val="18"/>
          <w:szCs w:val="18"/>
          <w:lang w:val="es-ES_tradnl"/>
        </w:rPr>
        <w:t xml:space="preserve">Fuente: </w:t>
      </w:r>
      <w:r w:rsidRPr="00AE2F52">
        <w:rPr>
          <w:iCs/>
          <w:sz w:val="18"/>
          <w:szCs w:val="18"/>
          <w:lang w:val="es-ES_tradnl"/>
        </w:rPr>
        <w:t>Oficina de Bienestar Social.</w:t>
      </w:r>
    </w:p>
    <w:p w14:paraId="612680D2" w14:textId="77777777" w:rsidR="00FA40F2" w:rsidRPr="00FA40F2" w:rsidRDefault="00FA40F2" w:rsidP="00FA40F2">
      <w:pPr>
        <w:pStyle w:val="SingleTxtG"/>
        <w:rPr>
          <w:lang w:val="es-ES_tradnl"/>
        </w:rPr>
      </w:pPr>
      <w:r w:rsidRPr="00FA40F2">
        <w:rPr>
          <w:lang w:val="es-ES_tradnl"/>
        </w:rPr>
        <w:t>153.</w:t>
      </w:r>
      <w:r w:rsidRPr="00FA40F2">
        <w:rPr>
          <w:lang w:val="es-ES_tradnl"/>
        </w:rPr>
        <w:tab/>
        <w:t xml:space="preserve">En lo que respecta a los jóvenes infractores, cabe mencionar que la información proporcionada en informes anteriores sigue vigente. El Instituto Correccional de Menores se encarga de la enseñanza, la educación y la reeducación, la orientación profesional y la formación de jóvenes infractores (Ley </w:t>
      </w:r>
      <w:r w:rsidR="00E27276">
        <w:rPr>
          <w:lang w:val="es-ES_tradnl"/>
        </w:rPr>
        <w:t>núm. </w:t>
      </w:r>
      <w:r w:rsidRPr="00FA40F2">
        <w:rPr>
          <w:lang w:val="es-ES_tradnl"/>
        </w:rPr>
        <w:t xml:space="preserve">2/2007). Los jóvenes infractores de 16 </w:t>
      </w:r>
      <w:proofErr w:type="gramStart"/>
      <w:r w:rsidRPr="00FA40F2">
        <w:rPr>
          <w:lang w:val="es-ES_tradnl"/>
        </w:rPr>
        <w:t>años de edad</w:t>
      </w:r>
      <w:proofErr w:type="gramEnd"/>
      <w:r w:rsidRPr="00FA40F2">
        <w:rPr>
          <w:lang w:val="es-ES_tradnl"/>
        </w:rPr>
        <w:t xml:space="preserve"> o más se alojan en el correccional (</w:t>
      </w:r>
      <w:r w:rsidR="00722610">
        <w:rPr>
          <w:lang w:val="es-ES_tradnl"/>
        </w:rPr>
        <w:t>artículo </w:t>
      </w:r>
      <w:r w:rsidRPr="00FA40F2">
        <w:rPr>
          <w:lang w:val="es-ES_tradnl"/>
        </w:rPr>
        <w:t xml:space="preserve">7, párrafo 2, del Decreto Ley </w:t>
      </w:r>
      <w:r w:rsidR="00E27276">
        <w:rPr>
          <w:lang w:val="es-ES_tradnl"/>
        </w:rPr>
        <w:t>núm. </w:t>
      </w:r>
      <w:r w:rsidRPr="00FA40F2">
        <w:rPr>
          <w:lang w:val="es-ES_tradnl"/>
        </w:rPr>
        <w:t>40/94/M). La Dirección de Servicios de Educación y Juventud presta asistencia al Instituto Correccional de Menores en cuanto a clases de educación básica. En la actualidad, 17 jóvenes infractores varones están recibiendo asistencia.</w:t>
      </w:r>
    </w:p>
    <w:p w14:paraId="1D28E9F5" w14:textId="77777777" w:rsidR="00FA40F2" w:rsidRPr="00FA40F2" w:rsidRDefault="00AE2F52" w:rsidP="00AE2F52">
      <w:pPr>
        <w:pStyle w:val="H23G"/>
        <w:rPr>
          <w:lang w:val="es-ES_tradnl"/>
        </w:rPr>
      </w:pPr>
      <w:r>
        <w:rPr>
          <w:lang w:val="es-ES_tradnl"/>
        </w:rPr>
        <w:tab/>
      </w:r>
      <w:r w:rsidR="00FA40F2" w:rsidRPr="00FA40F2">
        <w:rPr>
          <w:lang w:val="es-ES_tradnl"/>
        </w:rPr>
        <w:tab/>
        <w:t>Protección de las personas de edad</w:t>
      </w:r>
    </w:p>
    <w:p w14:paraId="45A42489" w14:textId="77777777" w:rsidR="00FA40F2" w:rsidRPr="00FA40F2" w:rsidRDefault="00FA40F2" w:rsidP="00FA40F2">
      <w:pPr>
        <w:pStyle w:val="SingleTxtG"/>
        <w:rPr>
          <w:lang w:val="es-ES_tradnl"/>
        </w:rPr>
      </w:pPr>
      <w:r w:rsidRPr="00FA40F2">
        <w:rPr>
          <w:lang w:val="es-ES_tradnl"/>
        </w:rPr>
        <w:t>154.</w:t>
      </w:r>
      <w:r w:rsidRPr="00FA40F2">
        <w:rPr>
          <w:lang w:val="es-ES_tradnl"/>
        </w:rPr>
        <w:tab/>
        <w:t>El envejecimiento de la población y su bienestar son preocupaciones primordiales del Gobierno (</w:t>
      </w:r>
      <w:r w:rsidR="00722610">
        <w:rPr>
          <w:lang w:val="es-ES_tradnl"/>
        </w:rPr>
        <w:t>artículo </w:t>
      </w:r>
      <w:r w:rsidRPr="00FA40F2">
        <w:rPr>
          <w:lang w:val="es-ES_tradnl"/>
        </w:rPr>
        <w:t xml:space="preserve">38, párrafo 3, de la Ley Fundamental). Se aprobó una ley específica, la Ley </w:t>
      </w:r>
      <w:r w:rsidR="00E27276">
        <w:rPr>
          <w:lang w:val="es-ES_tradnl"/>
        </w:rPr>
        <w:t>núm. </w:t>
      </w:r>
      <w:r w:rsidRPr="00FA40F2">
        <w:rPr>
          <w:lang w:val="es-ES_tradnl"/>
        </w:rPr>
        <w:t>12/2018, sobre derechos e intereses de las personas de edad, con la finalidad de promover una sociedad inclusiva que apoye y respete a los ancianos y fomente el sentido de pertenencia y utilidad en la vejez.</w:t>
      </w:r>
    </w:p>
    <w:p w14:paraId="451A6F04" w14:textId="77777777" w:rsidR="00FA40F2" w:rsidRPr="0000117B" w:rsidRDefault="00FA40F2" w:rsidP="00FA40F2">
      <w:pPr>
        <w:pStyle w:val="SingleTxtG"/>
        <w:rPr>
          <w:lang w:val="es-ES_tradnl"/>
        </w:rPr>
      </w:pPr>
      <w:r w:rsidRPr="0000117B">
        <w:rPr>
          <w:lang w:val="es-ES_tradnl"/>
        </w:rPr>
        <w:t>155.</w:t>
      </w:r>
      <w:r w:rsidRPr="0000117B">
        <w:rPr>
          <w:lang w:val="es-ES_tradnl"/>
        </w:rPr>
        <w:tab/>
        <w:t xml:space="preserve">La Ley </w:t>
      </w:r>
      <w:r w:rsidR="00E27276" w:rsidRPr="0000117B">
        <w:rPr>
          <w:lang w:val="es-ES_tradnl"/>
        </w:rPr>
        <w:t>núm. </w:t>
      </w:r>
      <w:r w:rsidRPr="0000117B">
        <w:rPr>
          <w:lang w:val="es-ES_tradnl"/>
        </w:rPr>
        <w:t>12/2018 adopta un enfoque holístico que abarca, entre otras cosas, el apoyo y la atención, las necesidades básicas de subsistencia (por ejemplo, la ayuda económica, las prestaciones sociales y la seguridad social), la salud (por ejemplo, el desarrollo de servicios geriátricos y la prestación de servicios de alivio del dolor y cuidados paliativos), la accesibilidad a infraestructuras y servicios (por ejemplo, el transporte, la</w:t>
      </w:r>
      <w:r w:rsidR="00AE2F52" w:rsidRPr="0000117B">
        <w:rPr>
          <w:lang w:val="es-ES_tradnl"/>
        </w:rPr>
        <w:t xml:space="preserve"> </w:t>
      </w:r>
      <w:r w:rsidRPr="0000117B">
        <w:rPr>
          <w:lang w:val="es-ES_tradnl"/>
        </w:rPr>
        <w:t xml:space="preserve">planificación urbana, los edificios residenciales y las zonas e instalaciones de acceso público), el trabajo y la ocupación profesional (reempleo), el trato preferencial, la educación </w:t>
      </w:r>
      <w:r w:rsidRPr="0000117B">
        <w:rPr>
          <w:lang w:val="es-ES_tradnl"/>
        </w:rPr>
        <w:lastRenderedPageBreak/>
        <w:t>permanente, actividades sociales y de participación social (por ejemplo, acciones de voluntariado y solidarias, y actividades culturales, recreativas y deportivas) (artículos 6 a</w:t>
      </w:r>
      <w:r w:rsidR="00AE2F52" w:rsidRPr="0000117B">
        <w:rPr>
          <w:lang w:val="es-ES_tradnl"/>
        </w:rPr>
        <w:t> </w:t>
      </w:r>
      <w:r w:rsidRPr="0000117B">
        <w:rPr>
          <w:lang w:val="es-ES_tradnl"/>
        </w:rPr>
        <w:t>19).</w:t>
      </w:r>
    </w:p>
    <w:p w14:paraId="2221BEBA" w14:textId="77777777" w:rsidR="00FA40F2" w:rsidRPr="00FA40F2" w:rsidRDefault="00FA40F2" w:rsidP="00FA40F2">
      <w:pPr>
        <w:pStyle w:val="SingleTxtG"/>
        <w:rPr>
          <w:lang w:val="es-ES_tradnl"/>
        </w:rPr>
      </w:pPr>
      <w:r w:rsidRPr="00FA40F2">
        <w:rPr>
          <w:lang w:val="es-ES_tradnl"/>
        </w:rPr>
        <w:t>156.</w:t>
      </w:r>
      <w:r w:rsidRPr="00FA40F2">
        <w:rPr>
          <w:lang w:val="es-ES_tradnl"/>
        </w:rPr>
        <w:tab/>
        <w:t>La protección de los derechos e intereses de las personas de edad (residentes de 65</w:t>
      </w:r>
      <w:r w:rsidR="0000117B">
        <w:rPr>
          <w:lang w:val="es-ES_tradnl"/>
        </w:rPr>
        <w:t> </w:t>
      </w:r>
      <w:r w:rsidRPr="00FA40F2">
        <w:rPr>
          <w:lang w:val="es-ES_tradnl"/>
        </w:rPr>
        <w:t>años o más) no solo incumbe al Gobierno, sino a toda la sociedad, y ese es un concepto subyacente de la Ley. Se estableció un sistema de atención a las personas mayores para ayudarlas a mantener y reforzar su capacidad de vivir autónomamente, con cuidados familiares, complementados con servicios de apoyo a los hogares (artículos 21 a 23).</w:t>
      </w:r>
    </w:p>
    <w:p w14:paraId="039EA9FC" w14:textId="77777777" w:rsidR="00FA40F2" w:rsidRPr="00FA40F2" w:rsidRDefault="00FA40F2" w:rsidP="00FA40F2">
      <w:pPr>
        <w:pStyle w:val="SingleTxtG"/>
        <w:rPr>
          <w:lang w:val="es-ES_tradnl"/>
        </w:rPr>
      </w:pPr>
      <w:r w:rsidRPr="00FA40F2">
        <w:rPr>
          <w:lang w:val="es-ES_tradnl"/>
        </w:rPr>
        <w:t>157.</w:t>
      </w:r>
      <w:r w:rsidRPr="00FA40F2">
        <w:rPr>
          <w:lang w:val="es-ES_tradnl"/>
        </w:rPr>
        <w:tab/>
        <w:t xml:space="preserve">Cabe señalar también que los familiares y las personas o entidades que se encargan de pagar la manutención de personas de edad y de cuidarlas deben cumplir estrictamente con sus obligaciones para no incurrir en responsabilidades civiles o penales. </w:t>
      </w:r>
    </w:p>
    <w:p w14:paraId="78EBD5CD" w14:textId="77777777" w:rsidR="00FA40F2" w:rsidRPr="00FA40F2" w:rsidRDefault="00FA40F2" w:rsidP="00FA40F2">
      <w:pPr>
        <w:pStyle w:val="SingleTxtG"/>
        <w:rPr>
          <w:lang w:val="es-ES_tradnl"/>
        </w:rPr>
      </w:pPr>
      <w:r w:rsidRPr="00FA40F2">
        <w:rPr>
          <w:lang w:val="es-ES_tradnl"/>
        </w:rPr>
        <w:t>158.</w:t>
      </w:r>
      <w:r w:rsidRPr="00FA40F2">
        <w:rPr>
          <w:lang w:val="es-ES_tradnl"/>
        </w:rPr>
        <w:tab/>
        <w:t>En caso de incumplimiento, las personas mayores con derecho a pensión alimentaria podrán iniciar acciones legales y solicitar asistencia jurídica (</w:t>
      </w:r>
      <w:r w:rsidR="00722610">
        <w:rPr>
          <w:lang w:val="es-ES_tradnl"/>
        </w:rPr>
        <w:t>artículo </w:t>
      </w:r>
      <w:r w:rsidRPr="00FA40F2">
        <w:rPr>
          <w:lang w:val="es-ES_tradnl"/>
        </w:rPr>
        <w:t>6). Pueden ser de aplicación medidas de intervención administrativa adecuadas. Y, en caso de litigios civiles, tienen derecho a recibir asesoramiento y servicios de mediación (</w:t>
      </w:r>
      <w:r w:rsidR="00722610">
        <w:rPr>
          <w:lang w:val="es-ES_tradnl"/>
        </w:rPr>
        <w:t>artículo </w:t>
      </w:r>
      <w:r w:rsidRPr="00FA40F2">
        <w:rPr>
          <w:lang w:val="es-ES_tradnl"/>
        </w:rPr>
        <w:t xml:space="preserve">27). </w:t>
      </w:r>
    </w:p>
    <w:p w14:paraId="0A760E97" w14:textId="77777777" w:rsidR="00FA40F2" w:rsidRPr="00FA40F2" w:rsidRDefault="00FA40F2" w:rsidP="00FA40F2">
      <w:pPr>
        <w:pStyle w:val="SingleTxtG"/>
        <w:rPr>
          <w:lang w:val="es-ES_tradnl"/>
        </w:rPr>
      </w:pPr>
      <w:r w:rsidRPr="00FA40F2">
        <w:rPr>
          <w:lang w:val="es-ES_tradnl"/>
        </w:rPr>
        <w:t>159.</w:t>
      </w:r>
      <w:r w:rsidRPr="00FA40F2">
        <w:rPr>
          <w:lang w:val="es-ES_tradnl"/>
        </w:rPr>
        <w:tab/>
        <w:t>También se garantizan medidas de protección, siempre que exista una necesidad inminente (por ejemplo, alojamiento provisional) (</w:t>
      </w:r>
      <w:r w:rsidR="00722610">
        <w:rPr>
          <w:lang w:val="es-ES_tradnl"/>
        </w:rPr>
        <w:t>artículo </w:t>
      </w:r>
      <w:r w:rsidRPr="00FA40F2">
        <w:rPr>
          <w:lang w:val="es-ES_tradnl"/>
        </w:rPr>
        <w:t>28), así como asistencia a personas de edad cuyos recursos económicos sean insuficientes (</w:t>
      </w:r>
      <w:r w:rsidR="00722610">
        <w:rPr>
          <w:lang w:val="es-ES_tradnl"/>
        </w:rPr>
        <w:t>artículo </w:t>
      </w:r>
      <w:r w:rsidRPr="00FA40F2">
        <w:rPr>
          <w:lang w:val="es-ES_tradnl"/>
        </w:rPr>
        <w:t>7).</w:t>
      </w:r>
    </w:p>
    <w:p w14:paraId="6E1A66BB" w14:textId="77777777" w:rsidR="00FA40F2" w:rsidRPr="00FA40F2" w:rsidRDefault="00FA40F2" w:rsidP="00FA40F2">
      <w:pPr>
        <w:pStyle w:val="SingleTxtG"/>
        <w:rPr>
          <w:lang w:val="es-ES_tradnl"/>
        </w:rPr>
      </w:pPr>
      <w:r w:rsidRPr="00FA40F2">
        <w:rPr>
          <w:lang w:val="es-ES_tradnl"/>
        </w:rPr>
        <w:t>160.</w:t>
      </w:r>
      <w:r w:rsidRPr="00FA40F2">
        <w:rPr>
          <w:lang w:val="es-ES_tradnl"/>
        </w:rPr>
        <w:tab/>
        <w:t>La Oficina de Bienestar Social se encarga de coordinar la aplicación de la Ley y de la realización de estudios y evaluaciones sobre el fenómeno del envejecimiento de la población (artículos 25 y 26). En cooperación con otros departamentos gubernamentales y con ONG, presta apoyo económico y técnico, según las necesidades, a personas de edad que viven solas o en condiciones deficientes, o a familias en las que hay personas de edad.</w:t>
      </w:r>
    </w:p>
    <w:p w14:paraId="05E416C3" w14:textId="77777777" w:rsidR="00FA40F2" w:rsidRPr="00FA40F2" w:rsidRDefault="00FA40F2" w:rsidP="00FA40F2">
      <w:pPr>
        <w:pStyle w:val="SingleTxtG"/>
        <w:rPr>
          <w:lang w:val="es-ES_tradnl"/>
        </w:rPr>
      </w:pPr>
      <w:r w:rsidRPr="00FA40F2">
        <w:rPr>
          <w:lang w:val="es-ES_tradnl"/>
        </w:rPr>
        <w:t>161.</w:t>
      </w:r>
      <w:r w:rsidRPr="00FA40F2">
        <w:rPr>
          <w:lang w:val="es-ES_tradnl"/>
        </w:rPr>
        <w:tab/>
        <w:t xml:space="preserve">El Comité de Asuntos de las Personas de Edad ayuda al Gobierno a aplicar y supervisar las políticas sociales para las personas mayores, y en particular ha contribuido a la redacción del Plan para las Personas de Edad y la Ley </w:t>
      </w:r>
      <w:r w:rsidR="00E27276">
        <w:rPr>
          <w:lang w:val="es-ES_tradnl"/>
        </w:rPr>
        <w:t>núm. </w:t>
      </w:r>
      <w:r w:rsidRPr="00FA40F2">
        <w:rPr>
          <w:lang w:val="es-ES_tradnl"/>
        </w:rPr>
        <w:t xml:space="preserve">12/2018. Se estableció un Grupo Directivo Interdepartamental sobre el Mecanismo de Seguridad para la Vejez de Macao (Orden </w:t>
      </w:r>
      <w:r w:rsidR="00E27276">
        <w:rPr>
          <w:lang w:val="es-ES_tradnl"/>
        </w:rPr>
        <w:t>núm. </w:t>
      </w:r>
      <w:r w:rsidRPr="00FA40F2">
        <w:rPr>
          <w:lang w:val="es-ES_tradnl"/>
        </w:rPr>
        <w:t xml:space="preserve">109/2016 del </w:t>
      </w:r>
      <w:proofErr w:type="gramStart"/>
      <w:r w:rsidRPr="00FA40F2">
        <w:rPr>
          <w:lang w:val="es-ES_tradnl"/>
        </w:rPr>
        <w:t>Jefe</w:t>
      </w:r>
      <w:proofErr w:type="gramEnd"/>
      <w:r w:rsidRPr="00FA40F2">
        <w:rPr>
          <w:lang w:val="es-ES_tradnl"/>
        </w:rPr>
        <w:t xml:space="preserve"> del Ejecutivo) con el fin de coordinar y facilitar la aplicación de las políticas y medidas a corto, medio y largo plazo del Plan para las Personas de Edad.</w:t>
      </w:r>
    </w:p>
    <w:p w14:paraId="1A49F003" w14:textId="77777777" w:rsidR="00FA40F2" w:rsidRPr="00FA40F2" w:rsidRDefault="00FA40F2" w:rsidP="00FA40F2">
      <w:pPr>
        <w:pStyle w:val="SingleTxtG"/>
        <w:rPr>
          <w:lang w:val="es-ES_tradnl"/>
        </w:rPr>
      </w:pPr>
      <w:r w:rsidRPr="00FA40F2">
        <w:rPr>
          <w:lang w:val="es-ES_tradnl"/>
        </w:rPr>
        <w:t>162.</w:t>
      </w:r>
      <w:r w:rsidRPr="00FA40F2">
        <w:rPr>
          <w:lang w:val="es-ES_tradnl"/>
        </w:rPr>
        <w:tab/>
        <w:t xml:space="preserve">En relación con los servicios de atención a largo plazo para personas de edad, actualmente hay 6 centros de atención diurna y 21 residencias que prestan de manera integrada un amplio abanico de servicios de atención personal, rehabilitación, actividades sociales y derivación, entre otros. </w:t>
      </w:r>
    </w:p>
    <w:p w14:paraId="21896D45" w14:textId="77777777" w:rsidR="00FA40F2" w:rsidRPr="00FA40F2" w:rsidRDefault="001501C8" w:rsidP="001501C8">
      <w:pPr>
        <w:pStyle w:val="H23G"/>
        <w:rPr>
          <w:lang w:val="es-ES_tradnl"/>
        </w:rPr>
      </w:pPr>
      <w:r>
        <w:rPr>
          <w:lang w:val="es-ES_tradnl"/>
        </w:rPr>
        <w:tab/>
      </w:r>
      <w:r w:rsidR="00FA40F2" w:rsidRPr="00FA40F2">
        <w:rPr>
          <w:lang w:val="es-ES_tradnl"/>
        </w:rPr>
        <w:tab/>
        <w:t>Servicios sociales e instalaciones para personas de edad</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070"/>
        <w:gridCol w:w="860"/>
        <w:gridCol w:w="859"/>
        <w:gridCol w:w="861"/>
        <w:gridCol w:w="859"/>
        <w:gridCol w:w="861"/>
      </w:tblGrid>
      <w:tr w:rsidR="00FA40F2" w:rsidRPr="00027F3E" w14:paraId="3B07FA1A" w14:textId="77777777" w:rsidTr="00AB20A1">
        <w:trPr>
          <w:cantSplit/>
          <w:trHeight w:val="240"/>
          <w:tblHeader/>
        </w:trPr>
        <w:tc>
          <w:tcPr>
            <w:tcW w:w="2081" w:type="pct"/>
            <w:tcBorders>
              <w:top w:val="single" w:sz="4" w:space="0" w:color="auto"/>
              <w:bottom w:val="single" w:sz="12" w:space="0" w:color="auto"/>
            </w:tcBorders>
            <w:shd w:val="clear" w:color="auto" w:fill="auto"/>
            <w:vAlign w:val="bottom"/>
          </w:tcPr>
          <w:p w14:paraId="3031C32A" w14:textId="77777777" w:rsidR="00FA40F2" w:rsidRPr="00027F3E" w:rsidRDefault="00FA40F2" w:rsidP="00027F3E">
            <w:pPr>
              <w:pStyle w:val="SingleTxtG"/>
              <w:spacing w:before="80" w:after="80" w:line="200" w:lineRule="exact"/>
              <w:ind w:left="0" w:right="0"/>
              <w:jc w:val="left"/>
              <w:rPr>
                <w:i/>
                <w:sz w:val="16"/>
                <w:lang w:val="es-ES_tradnl"/>
              </w:rPr>
            </w:pPr>
            <w:r w:rsidRPr="00027F3E">
              <w:rPr>
                <w:i/>
                <w:iCs/>
                <w:sz w:val="16"/>
                <w:lang w:val="es-ES_tradnl"/>
              </w:rPr>
              <w:t>Servicios o instalaciones/Año</w:t>
            </w:r>
          </w:p>
        </w:tc>
        <w:tc>
          <w:tcPr>
            <w:tcW w:w="583" w:type="pct"/>
            <w:tcBorders>
              <w:top w:val="single" w:sz="4" w:space="0" w:color="auto"/>
              <w:bottom w:val="single" w:sz="12" w:space="0" w:color="auto"/>
            </w:tcBorders>
            <w:shd w:val="clear" w:color="auto" w:fill="auto"/>
            <w:vAlign w:val="bottom"/>
          </w:tcPr>
          <w:p w14:paraId="0018E699"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2014</w:t>
            </w:r>
          </w:p>
        </w:tc>
        <w:tc>
          <w:tcPr>
            <w:tcW w:w="583" w:type="pct"/>
            <w:tcBorders>
              <w:top w:val="single" w:sz="4" w:space="0" w:color="auto"/>
              <w:bottom w:val="single" w:sz="12" w:space="0" w:color="auto"/>
            </w:tcBorders>
            <w:shd w:val="clear" w:color="auto" w:fill="auto"/>
            <w:vAlign w:val="bottom"/>
          </w:tcPr>
          <w:p w14:paraId="565321DF"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2015</w:t>
            </w:r>
          </w:p>
        </w:tc>
        <w:tc>
          <w:tcPr>
            <w:tcW w:w="584" w:type="pct"/>
            <w:tcBorders>
              <w:top w:val="single" w:sz="4" w:space="0" w:color="auto"/>
              <w:bottom w:val="single" w:sz="12" w:space="0" w:color="auto"/>
            </w:tcBorders>
            <w:shd w:val="clear" w:color="auto" w:fill="auto"/>
            <w:vAlign w:val="bottom"/>
          </w:tcPr>
          <w:p w14:paraId="4E473AE2"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2016</w:t>
            </w:r>
          </w:p>
        </w:tc>
        <w:tc>
          <w:tcPr>
            <w:tcW w:w="583" w:type="pct"/>
            <w:tcBorders>
              <w:top w:val="single" w:sz="4" w:space="0" w:color="auto"/>
              <w:bottom w:val="single" w:sz="12" w:space="0" w:color="auto"/>
            </w:tcBorders>
            <w:shd w:val="clear" w:color="auto" w:fill="auto"/>
            <w:vAlign w:val="bottom"/>
          </w:tcPr>
          <w:p w14:paraId="1DAAD389"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2017</w:t>
            </w:r>
          </w:p>
        </w:tc>
        <w:tc>
          <w:tcPr>
            <w:tcW w:w="584" w:type="pct"/>
            <w:tcBorders>
              <w:top w:val="single" w:sz="4" w:space="0" w:color="auto"/>
              <w:bottom w:val="single" w:sz="12" w:space="0" w:color="auto"/>
            </w:tcBorders>
            <w:shd w:val="clear" w:color="auto" w:fill="auto"/>
            <w:vAlign w:val="bottom"/>
          </w:tcPr>
          <w:p w14:paraId="3D81E3AB" w14:textId="77777777" w:rsidR="00FA40F2" w:rsidRPr="00027F3E" w:rsidRDefault="00807EE4" w:rsidP="00BB18F5">
            <w:pPr>
              <w:pStyle w:val="SingleTxtG"/>
              <w:spacing w:before="80" w:after="80" w:line="200" w:lineRule="exact"/>
              <w:ind w:left="113" w:right="11"/>
              <w:jc w:val="right"/>
              <w:rPr>
                <w:i/>
                <w:sz w:val="16"/>
                <w:lang w:val="es-ES_tradnl"/>
              </w:rPr>
            </w:pPr>
            <w:r>
              <w:rPr>
                <w:i/>
                <w:iCs/>
                <w:sz w:val="16"/>
                <w:lang w:val="es-ES_tradnl"/>
              </w:rPr>
              <w:t>Septiembre de </w:t>
            </w:r>
            <w:r w:rsidR="00FA40F2" w:rsidRPr="00027F3E">
              <w:rPr>
                <w:i/>
                <w:iCs/>
                <w:sz w:val="16"/>
                <w:lang w:val="es-ES_tradnl"/>
              </w:rPr>
              <w:t>2018</w:t>
            </w:r>
          </w:p>
        </w:tc>
      </w:tr>
      <w:tr w:rsidR="00FA40F2" w:rsidRPr="00027F3E" w14:paraId="4B6B4434" w14:textId="77777777" w:rsidTr="00AB20A1">
        <w:trPr>
          <w:cantSplit/>
          <w:trHeight w:val="240"/>
        </w:trPr>
        <w:tc>
          <w:tcPr>
            <w:tcW w:w="2081" w:type="pct"/>
            <w:tcBorders>
              <w:top w:val="single" w:sz="12" w:space="0" w:color="auto"/>
            </w:tcBorders>
            <w:shd w:val="clear" w:color="auto" w:fill="auto"/>
          </w:tcPr>
          <w:p w14:paraId="3C128F43"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Residencias*</w:t>
            </w:r>
          </w:p>
        </w:tc>
        <w:tc>
          <w:tcPr>
            <w:tcW w:w="583" w:type="pct"/>
            <w:tcBorders>
              <w:top w:val="single" w:sz="12" w:space="0" w:color="auto"/>
            </w:tcBorders>
            <w:shd w:val="clear" w:color="auto" w:fill="auto"/>
            <w:vAlign w:val="bottom"/>
          </w:tcPr>
          <w:p w14:paraId="2F0ED2AF"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1 374</w:t>
            </w:r>
          </w:p>
        </w:tc>
        <w:tc>
          <w:tcPr>
            <w:tcW w:w="583" w:type="pct"/>
            <w:tcBorders>
              <w:top w:val="single" w:sz="12" w:space="0" w:color="auto"/>
            </w:tcBorders>
            <w:shd w:val="clear" w:color="auto" w:fill="auto"/>
            <w:vAlign w:val="bottom"/>
          </w:tcPr>
          <w:p w14:paraId="66B55924"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1 469</w:t>
            </w:r>
          </w:p>
        </w:tc>
        <w:tc>
          <w:tcPr>
            <w:tcW w:w="584" w:type="pct"/>
            <w:tcBorders>
              <w:top w:val="single" w:sz="12" w:space="0" w:color="auto"/>
            </w:tcBorders>
            <w:shd w:val="clear" w:color="auto" w:fill="auto"/>
            <w:vAlign w:val="bottom"/>
          </w:tcPr>
          <w:p w14:paraId="5629A48D"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1 501</w:t>
            </w:r>
          </w:p>
        </w:tc>
        <w:tc>
          <w:tcPr>
            <w:tcW w:w="583" w:type="pct"/>
            <w:tcBorders>
              <w:top w:val="single" w:sz="12" w:space="0" w:color="auto"/>
            </w:tcBorders>
            <w:shd w:val="clear" w:color="auto" w:fill="auto"/>
            <w:vAlign w:val="bottom"/>
          </w:tcPr>
          <w:p w14:paraId="169A9356"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1 523</w:t>
            </w:r>
          </w:p>
        </w:tc>
        <w:tc>
          <w:tcPr>
            <w:tcW w:w="584" w:type="pct"/>
            <w:tcBorders>
              <w:top w:val="single" w:sz="12" w:space="0" w:color="auto"/>
            </w:tcBorders>
            <w:shd w:val="clear" w:color="auto" w:fill="auto"/>
            <w:vAlign w:val="bottom"/>
          </w:tcPr>
          <w:p w14:paraId="4313031D"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1 603</w:t>
            </w:r>
          </w:p>
        </w:tc>
      </w:tr>
      <w:tr w:rsidR="00FA40F2" w:rsidRPr="00027F3E" w14:paraId="7A2B1674" w14:textId="77777777" w:rsidTr="00AB20A1">
        <w:trPr>
          <w:cantSplit/>
          <w:trHeight w:val="240"/>
        </w:trPr>
        <w:tc>
          <w:tcPr>
            <w:tcW w:w="2081" w:type="pct"/>
            <w:shd w:val="clear" w:color="auto" w:fill="auto"/>
          </w:tcPr>
          <w:p w14:paraId="6D246278"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Centros de día**</w:t>
            </w:r>
          </w:p>
        </w:tc>
        <w:tc>
          <w:tcPr>
            <w:tcW w:w="583" w:type="pct"/>
            <w:shd w:val="clear" w:color="auto" w:fill="auto"/>
            <w:vAlign w:val="bottom"/>
          </w:tcPr>
          <w:p w14:paraId="27E27EC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2 826</w:t>
            </w:r>
          </w:p>
        </w:tc>
        <w:tc>
          <w:tcPr>
            <w:tcW w:w="583" w:type="pct"/>
            <w:shd w:val="clear" w:color="auto" w:fill="auto"/>
            <w:vAlign w:val="bottom"/>
          </w:tcPr>
          <w:p w14:paraId="37270C7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3 851</w:t>
            </w:r>
          </w:p>
        </w:tc>
        <w:tc>
          <w:tcPr>
            <w:tcW w:w="584" w:type="pct"/>
            <w:shd w:val="clear" w:color="auto" w:fill="auto"/>
            <w:vAlign w:val="bottom"/>
          </w:tcPr>
          <w:p w14:paraId="7016C99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4 604</w:t>
            </w:r>
          </w:p>
        </w:tc>
        <w:tc>
          <w:tcPr>
            <w:tcW w:w="583" w:type="pct"/>
            <w:shd w:val="clear" w:color="auto" w:fill="auto"/>
            <w:vAlign w:val="bottom"/>
          </w:tcPr>
          <w:p w14:paraId="35415A56"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3 846</w:t>
            </w:r>
          </w:p>
        </w:tc>
        <w:tc>
          <w:tcPr>
            <w:tcW w:w="584" w:type="pct"/>
            <w:shd w:val="clear" w:color="auto" w:fill="auto"/>
            <w:vAlign w:val="bottom"/>
          </w:tcPr>
          <w:p w14:paraId="2733680A"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4 110</w:t>
            </w:r>
          </w:p>
        </w:tc>
      </w:tr>
      <w:tr w:rsidR="00FA40F2" w:rsidRPr="00027F3E" w14:paraId="7AB43A8A" w14:textId="77777777" w:rsidTr="00AB20A1">
        <w:trPr>
          <w:cantSplit/>
          <w:trHeight w:val="240"/>
        </w:trPr>
        <w:tc>
          <w:tcPr>
            <w:tcW w:w="2081" w:type="pct"/>
            <w:shd w:val="clear" w:color="auto" w:fill="auto"/>
          </w:tcPr>
          <w:p w14:paraId="620963A3"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Centros de cuidados especiales diurnos*</w:t>
            </w:r>
          </w:p>
        </w:tc>
        <w:tc>
          <w:tcPr>
            <w:tcW w:w="583" w:type="pct"/>
            <w:shd w:val="clear" w:color="auto" w:fill="auto"/>
            <w:vAlign w:val="bottom"/>
          </w:tcPr>
          <w:p w14:paraId="1D405C07"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161</w:t>
            </w:r>
          </w:p>
        </w:tc>
        <w:tc>
          <w:tcPr>
            <w:tcW w:w="583" w:type="pct"/>
            <w:shd w:val="clear" w:color="auto" w:fill="auto"/>
            <w:vAlign w:val="bottom"/>
          </w:tcPr>
          <w:p w14:paraId="49173D07"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191</w:t>
            </w:r>
          </w:p>
        </w:tc>
        <w:tc>
          <w:tcPr>
            <w:tcW w:w="584" w:type="pct"/>
            <w:shd w:val="clear" w:color="auto" w:fill="auto"/>
            <w:vAlign w:val="bottom"/>
          </w:tcPr>
          <w:p w14:paraId="1B8D1022"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201</w:t>
            </w:r>
          </w:p>
        </w:tc>
        <w:tc>
          <w:tcPr>
            <w:tcW w:w="583" w:type="pct"/>
            <w:shd w:val="clear" w:color="auto" w:fill="auto"/>
            <w:vAlign w:val="bottom"/>
          </w:tcPr>
          <w:p w14:paraId="0DB0B2F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230</w:t>
            </w:r>
          </w:p>
        </w:tc>
        <w:tc>
          <w:tcPr>
            <w:tcW w:w="584" w:type="pct"/>
            <w:shd w:val="clear" w:color="auto" w:fill="auto"/>
            <w:vAlign w:val="bottom"/>
          </w:tcPr>
          <w:p w14:paraId="4ECF1DBA"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241</w:t>
            </w:r>
          </w:p>
        </w:tc>
      </w:tr>
      <w:tr w:rsidR="00FA40F2" w:rsidRPr="00027F3E" w14:paraId="1651345F" w14:textId="77777777" w:rsidTr="00AB20A1">
        <w:trPr>
          <w:cantSplit/>
          <w:trHeight w:val="240"/>
        </w:trPr>
        <w:tc>
          <w:tcPr>
            <w:tcW w:w="2081" w:type="pct"/>
            <w:shd w:val="clear" w:color="auto" w:fill="auto"/>
          </w:tcPr>
          <w:p w14:paraId="6F36B565"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Centros de actividades**</w:t>
            </w:r>
          </w:p>
        </w:tc>
        <w:tc>
          <w:tcPr>
            <w:tcW w:w="583" w:type="pct"/>
            <w:shd w:val="clear" w:color="auto" w:fill="auto"/>
            <w:vAlign w:val="bottom"/>
          </w:tcPr>
          <w:p w14:paraId="20D9C7DF"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7 196</w:t>
            </w:r>
          </w:p>
        </w:tc>
        <w:tc>
          <w:tcPr>
            <w:tcW w:w="583" w:type="pct"/>
            <w:shd w:val="clear" w:color="auto" w:fill="auto"/>
            <w:vAlign w:val="bottom"/>
          </w:tcPr>
          <w:p w14:paraId="5DD58A4E"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4 466</w:t>
            </w:r>
          </w:p>
        </w:tc>
        <w:tc>
          <w:tcPr>
            <w:tcW w:w="584" w:type="pct"/>
            <w:shd w:val="clear" w:color="auto" w:fill="auto"/>
            <w:vAlign w:val="bottom"/>
          </w:tcPr>
          <w:p w14:paraId="6427B96F"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6 358</w:t>
            </w:r>
          </w:p>
        </w:tc>
        <w:tc>
          <w:tcPr>
            <w:tcW w:w="583" w:type="pct"/>
            <w:shd w:val="clear" w:color="auto" w:fill="auto"/>
            <w:vAlign w:val="bottom"/>
          </w:tcPr>
          <w:p w14:paraId="6301D521"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5 931</w:t>
            </w:r>
          </w:p>
        </w:tc>
        <w:tc>
          <w:tcPr>
            <w:tcW w:w="584" w:type="pct"/>
            <w:shd w:val="clear" w:color="auto" w:fill="auto"/>
            <w:vAlign w:val="bottom"/>
          </w:tcPr>
          <w:p w14:paraId="585A2BDA"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6 264</w:t>
            </w:r>
          </w:p>
        </w:tc>
      </w:tr>
      <w:tr w:rsidR="00FA40F2" w:rsidRPr="00027F3E" w14:paraId="199035E3" w14:textId="77777777" w:rsidTr="00AB20A1">
        <w:trPr>
          <w:cantSplit/>
          <w:trHeight w:val="240"/>
        </w:trPr>
        <w:tc>
          <w:tcPr>
            <w:tcW w:w="2081" w:type="pct"/>
            <w:shd w:val="clear" w:color="auto" w:fill="auto"/>
          </w:tcPr>
          <w:p w14:paraId="4452E2C0"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Servicios de ayuda a domicilio**</w:t>
            </w:r>
          </w:p>
        </w:tc>
        <w:tc>
          <w:tcPr>
            <w:tcW w:w="583" w:type="pct"/>
            <w:shd w:val="clear" w:color="auto" w:fill="auto"/>
            <w:vAlign w:val="bottom"/>
          </w:tcPr>
          <w:p w14:paraId="3AD1A91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643</w:t>
            </w:r>
          </w:p>
        </w:tc>
        <w:tc>
          <w:tcPr>
            <w:tcW w:w="583" w:type="pct"/>
            <w:shd w:val="clear" w:color="auto" w:fill="auto"/>
            <w:vAlign w:val="bottom"/>
          </w:tcPr>
          <w:p w14:paraId="185143F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638</w:t>
            </w:r>
          </w:p>
        </w:tc>
        <w:tc>
          <w:tcPr>
            <w:tcW w:w="584" w:type="pct"/>
            <w:shd w:val="clear" w:color="auto" w:fill="auto"/>
            <w:vAlign w:val="bottom"/>
          </w:tcPr>
          <w:p w14:paraId="00A9BF7E"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742</w:t>
            </w:r>
          </w:p>
        </w:tc>
        <w:tc>
          <w:tcPr>
            <w:tcW w:w="583" w:type="pct"/>
            <w:shd w:val="clear" w:color="auto" w:fill="auto"/>
            <w:vAlign w:val="bottom"/>
          </w:tcPr>
          <w:p w14:paraId="0B23E6F2"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761</w:t>
            </w:r>
          </w:p>
        </w:tc>
        <w:tc>
          <w:tcPr>
            <w:tcW w:w="584" w:type="pct"/>
            <w:shd w:val="clear" w:color="auto" w:fill="auto"/>
            <w:vAlign w:val="bottom"/>
          </w:tcPr>
          <w:p w14:paraId="7B5F7EC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771</w:t>
            </w:r>
          </w:p>
        </w:tc>
      </w:tr>
      <w:tr w:rsidR="00FA40F2" w:rsidRPr="00027F3E" w14:paraId="3C3BEA28" w14:textId="77777777" w:rsidTr="00AB20A1">
        <w:trPr>
          <w:cantSplit/>
          <w:trHeight w:val="240"/>
        </w:trPr>
        <w:tc>
          <w:tcPr>
            <w:tcW w:w="2081" w:type="pct"/>
            <w:tcBorders>
              <w:bottom w:val="single" w:sz="12" w:space="0" w:color="auto"/>
            </w:tcBorders>
            <w:shd w:val="clear" w:color="auto" w:fill="auto"/>
          </w:tcPr>
          <w:p w14:paraId="4C6FF232"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Servicios para personas que viven solas**</w:t>
            </w:r>
          </w:p>
        </w:tc>
        <w:tc>
          <w:tcPr>
            <w:tcW w:w="583" w:type="pct"/>
            <w:tcBorders>
              <w:bottom w:val="single" w:sz="12" w:space="0" w:color="auto"/>
            </w:tcBorders>
            <w:shd w:val="clear" w:color="auto" w:fill="auto"/>
            <w:vAlign w:val="bottom"/>
          </w:tcPr>
          <w:p w14:paraId="7DAB52D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2 911</w:t>
            </w:r>
          </w:p>
        </w:tc>
        <w:tc>
          <w:tcPr>
            <w:tcW w:w="583" w:type="pct"/>
            <w:tcBorders>
              <w:bottom w:val="single" w:sz="12" w:space="0" w:color="auto"/>
            </w:tcBorders>
            <w:shd w:val="clear" w:color="auto" w:fill="auto"/>
            <w:vAlign w:val="bottom"/>
          </w:tcPr>
          <w:p w14:paraId="3096B4F0"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3 267</w:t>
            </w:r>
          </w:p>
        </w:tc>
        <w:tc>
          <w:tcPr>
            <w:tcW w:w="584" w:type="pct"/>
            <w:tcBorders>
              <w:bottom w:val="single" w:sz="12" w:space="0" w:color="auto"/>
            </w:tcBorders>
            <w:shd w:val="clear" w:color="auto" w:fill="auto"/>
            <w:vAlign w:val="bottom"/>
          </w:tcPr>
          <w:p w14:paraId="20A82E23"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3 700</w:t>
            </w:r>
          </w:p>
        </w:tc>
        <w:tc>
          <w:tcPr>
            <w:tcW w:w="583" w:type="pct"/>
            <w:tcBorders>
              <w:bottom w:val="single" w:sz="12" w:space="0" w:color="auto"/>
            </w:tcBorders>
            <w:shd w:val="clear" w:color="auto" w:fill="auto"/>
            <w:vAlign w:val="bottom"/>
          </w:tcPr>
          <w:p w14:paraId="6EFEAB1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3 957</w:t>
            </w:r>
          </w:p>
        </w:tc>
        <w:tc>
          <w:tcPr>
            <w:tcW w:w="584" w:type="pct"/>
            <w:tcBorders>
              <w:bottom w:val="single" w:sz="12" w:space="0" w:color="auto"/>
            </w:tcBorders>
            <w:shd w:val="clear" w:color="auto" w:fill="auto"/>
            <w:vAlign w:val="bottom"/>
          </w:tcPr>
          <w:p w14:paraId="3AF74C6E"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4 319</w:t>
            </w:r>
          </w:p>
        </w:tc>
      </w:tr>
    </w:tbl>
    <w:p w14:paraId="6192E456" w14:textId="77777777" w:rsidR="00FA40F2" w:rsidRPr="00027F3E" w:rsidRDefault="00FA40F2" w:rsidP="003C50CB">
      <w:pPr>
        <w:pStyle w:val="SingleTxtG"/>
        <w:spacing w:before="120" w:after="0"/>
        <w:ind w:firstLine="170"/>
        <w:rPr>
          <w:sz w:val="18"/>
          <w:szCs w:val="18"/>
          <w:lang w:val="es-ES_tradnl"/>
        </w:rPr>
      </w:pPr>
      <w:r w:rsidRPr="00027F3E">
        <w:rPr>
          <w:i/>
          <w:iCs/>
          <w:sz w:val="18"/>
          <w:szCs w:val="18"/>
          <w:lang w:val="es-ES_tradnl"/>
        </w:rPr>
        <w:t>Fuente</w:t>
      </w:r>
      <w:r w:rsidRPr="003C50CB">
        <w:rPr>
          <w:i/>
          <w:iCs/>
          <w:sz w:val="18"/>
          <w:szCs w:val="18"/>
          <w:lang w:val="es-ES_tradnl"/>
        </w:rPr>
        <w:t>:</w:t>
      </w:r>
      <w:r w:rsidRPr="00027F3E">
        <w:rPr>
          <w:sz w:val="18"/>
          <w:szCs w:val="18"/>
          <w:lang w:val="es-ES_tradnl"/>
        </w:rPr>
        <w:t xml:space="preserve"> Oficina de Bienestar Social.</w:t>
      </w:r>
    </w:p>
    <w:p w14:paraId="5B4E8EFB" w14:textId="77777777" w:rsidR="00FA40F2" w:rsidRPr="003C50CB" w:rsidRDefault="00FA40F2" w:rsidP="003C50CB">
      <w:pPr>
        <w:pStyle w:val="SingleTxtG"/>
        <w:spacing w:after="0"/>
        <w:ind w:firstLine="170"/>
        <w:rPr>
          <w:i/>
          <w:iCs/>
          <w:sz w:val="18"/>
          <w:szCs w:val="18"/>
          <w:lang w:val="es-ES_tradnl"/>
        </w:rPr>
      </w:pPr>
      <w:r w:rsidRPr="003C50CB">
        <w:rPr>
          <w:i/>
          <w:iCs/>
          <w:sz w:val="18"/>
          <w:szCs w:val="18"/>
          <w:lang w:val="es-ES_tradnl"/>
        </w:rPr>
        <w:t>Nota:</w:t>
      </w:r>
    </w:p>
    <w:p w14:paraId="6FD027EB" w14:textId="77777777" w:rsidR="00FA40F2" w:rsidRPr="00027F3E" w:rsidRDefault="00FA40F2" w:rsidP="003C50CB">
      <w:pPr>
        <w:pStyle w:val="SingleTxtG"/>
        <w:spacing w:after="0"/>
        <w:ind w:firstLine="170"/>
        <w:rPr>
          <w:sz w:val="18"/>
          <w:szCs w:val="18"/>
          <w:lang w:val="es-ES_tradnl"/>
        </w:rPr>
      </w:pPr>
      <w:r w:rsidRPr="00027F3E">
        <w:rPr>
          <w:sz w:val="18"/>
          <w:szCs w:val="18"/>
          <w:lang w:val="es-ES_tradnl"/>
        </w:rPr>
        <w:t>*</w:t>
      </w:r>
      <w:r w:rsidR="00027F3E">
        <w:rPr>
          <w:sz w:val="18"/>
          <w:szCs w:val="18"/>
          <w:lang w:val="es-ES_tradnl"/>
        </w:rPr>
        <w:t xml:space="preserve"> </w:t>
      </w:r>
      <w:r w:rsidRPr="00027F3E">
        <w:rPr>
          <w:sz w:val="18"/>
          <w:szCs w:val="18"/>
          <w:lang w:val="es-ES_tradnl"/>
        </w:rPr>
        <w:t xml:space="preserve"> Número de personas.</w:t>
      </w:r>
    </w:p>
    <w:p w14:paraId="1F98626D" w14:textId="77777777" w:rsidR="00FA40F2" w:rsidRPr="00027F3E" w:rsidRDefault="00FA40F2" w:rsidP="003C50CB">
      <w:pPr>
        <w:pStyle w:val="SingleTxtG"/>
        <w:ind w:firstLine="170"/>
        <w:rPr>
          <w:sz w:val="18"/>
          <w:szCs w:val="18"/>
          <w:lang w:val="es-ES_tradnl"/>
        </w:rPr>
      </w:pPr>
      <w:r w:rsidRPr="00027F3E">
        <w:rPr>
          <w:sz w:val="18"/>
          <w:szCs w:val="18"/>
          <w:lang w:val="es-ES_tradnl"/>
        </w:rPr>
        <w:t>*</w:t>
      </w:r>
      <w:proofErr w:type="gramStart"/>
      <w:r w:rsidRPr="00027F3E">
        <w:rPr>
          <w:sz w:val="18"/>
          <w:szCs w:val="18"/>
          <w:lang w:val="es-ES_tradnl"/>
        </w:rPr>
        <w:t xml:space="preserve">* </w:t>
      </w:r>
      <w:r w:rsidR="00027F3E">
        <w:rPr>
          <w:sz w:val="18"/>
          <w:szCs w:val="18"/>
          <w:lang w:val="es-ES_tradnl"/>
        </w:rPr>
        <w:t xml:space="preserve"> </w:t>
      </w:r>
      <w:r w:rsidRPr="00027F3E">
        <w:rPr>
          <w:sz w:val="18"/>
          <w:szCs w:val="18"/>
          <w:lang w:val="es-ES_tradnl"/>
        </w:rPr>
        <w:t>Número</w:t>
      </w:r>
      <w:proofErr w:type="gramEnd"/>
      <w:r w:rsidRPr="00027F3E">
        <w:rPr>
          <w:sz w:val="18"/>
          <w:szCs w:val="18"/>
          <w:lang w:val="es-ES_tradnl"/>
        </w:rPr>
        <w:t xml:space="preserve"> de veces.</w:t>
      </w:r>
    </w:p>
    <w:p w14:paraId="3404B369" w14:textId="77777777" w:rsidR="00FA40F2" w:rsidRPr="00FA40F2" w:rsidRDefault="00FA40F2" w:rsidP="00FA40F2">
      <w:pPr>
        <w:pStyle w:val="SingleTxtG"/>
        <w:rPr>
          <w:lang w:val="es-ES_tradnl"/>
        </w:rPr>
      </w:pPr>
      <w:r w:rsidRPr="00FA40F2">
        <w:rPr>
          <w:lang w:val="es-ES_tradnl"/>
        </w:rPr>
        <w:t>163.</w:t>
      </w:r>
      <w:r w:rsidRPr="00FA40F2">
        <w:rPr>
          <w:lang w:val="es-ES_tradnl"/>
        </w:rPr>
        <w:tab/>
        <w:t xml:space="preserve">Además, existen seis equipos de atención a domicilio y hay diversos programas para las personas mayores y las que viven solas. Entre estos figuran un plan de evaluación de la seguridad en el hogar y financiación de equipos para las personas de edad, un plan de apoyo a la red para las personas de edad que viven solas, el programa de servicios de atención a las personas de edad y una línea telefónica de emergencia que funciona las 24 horas del día. </w:t>
      </w:r>
      <w:r w:rsidRPr="00FA40F2">
        <w:rPr>
          <w:lang w:val="es-ES_tradnl"/>
        </w:rPr>
        <w:lastRenderedPageBreak/>
        <w:t xml:space="preserve">Además, en 2018 se puso en marcha un servicio especial de llamadas de emergencia que ayuda a la localización de personas mayores que se ausentan de su casa, especialmente las que padecen demencia. </w:t>
      </w:r>
    </w:p>
    <w:p w14:paraId="33638562" w14:textId="77777777" w:rsidR="00FA40F2" w:rsidRPr="00FA40F2" w:rsidRDefault="00FA40F2" w:rsidP="00FA40F2">
      <w:pPr>
        <w:pStyle w:val="SingleTxtG"/>
        <w:rPr>
          <w:lang w:val="es-ES_tradnl"/>
        </w:rPr>
      </w:pPr>
      <w:r w:rsidRPr="00FA40F2">
        <w:rPr>
          <w:lang w:val="es-ES_tradnl"/>
        </w:rPr>
        <w:t>164.</w:t>
      </w:r>
      <w:r w:rsidRPr="00FA40F2">
        <w:rPr>
          <w:lang w:val="es-ES_tradnl"/>
        </w:rPr>
        <w:tab/>
        <w:t>Hay que señalar que quienes disponen de una tarjeta de la tercera edad expedida por la Oficina de Bienestar Social (es decir, los residentes permanentes mayores de 65 años) tienen derecho a descuentos, tarifas especiales o ciertas prestaciones ofrecidas por departamentos gubernamentales y otros organismos públicos o privados que se han adherido al proyecto (tales como supermercados, teatros, hoteles, centros médicos y bancos).</w:t>
      </w:r>
    </w:p>
    <w:p w14:paraId="0C00C9F6" w14:textId="77777777" w:rsidR="00FA40F2" w:rsidRPr="00FA40F2" w:rsidRDefault="00FA40F2" w:rsidP="00FA40F2">
      <w:pPr>
        <w:pStyle w:val="SingleTxtG"/>
        <w:rPr>
          <w:lang w:val="es-ES_tradnl"/>
        </w:rPr>
      </w:pPr>
      <w:r w:rsidRPr="00FA40F2">
        <w:rPr>
          <w:lang w:val="es-ES_tradnl"/>
        </w:rPr>
        <w:t>165.</w:t>
      </w:r>
      <w:r w:rsidRPr="00FA40F2">
        <w:rPr>
          <w:lang w:val="es-ES_tradnl"/>
        </w:rPr>
        <w:tab/>
        <w:t>Entre 2014 y 2018, la cuantía del subsidio anual para las personas de edad se incrementó de 7.000 a 9.000 patacas de Macao. El número de beneficiarios aumentó de</w:t>
      </w:r>
      <w:r w:rsidR="00C14200">
        <w:rPr>
          <w:lang w:val="es-ES_tradnl"/>
        </w:rPr>
        <w:t> </w:t>
      </w:r>
      <w:r w:rsidRPr="00FA40F2">
        <w:rPr>
          <w:lang w:val="es-ES_tradnl"/>
        </w:rPr>
        <w:t>63.735 (que en conjunto recibieron 445.412.600 patacas de Macao) a 82.901 (que recibieron 746.109.000 patacas de Macao).</w:t>
      </w:r>
    </w:p>
    <w:p w14:paraId="15508F2D" w14:textId="77777777" w:rsidR="00FA40F2" w:rsidRPr="00FA40F2" w:rsidRDefault="00FA40F2" w:rsidP="00FA40F2">
      <w:pPr>
        <w:pStyle w:val="SingleTxtG"/>
        <w:rPr>
          <w:lang w:val="es-ES_tradnl"/>
        </w:rPr>
      </w:pPr>
      <w:r w:rsidRPr="00FA40F2">
        <w:rPr>
          <w:lang w:val="es-ES_tradnl"/>
        </w:rPr>
        <w:t>166.</w:t>
      </w:r>
      <w:r w:rsidRPr="00FA40F2">
        <w:rPr>
          <w:lang w:val="es-ES_tradnl"/>
        </w:rPr>
        <w:tab/>
        <w:t xml:space="preserve">Otro elemento clave del programa de políticas del Gobierno orientado a la atención familiar, el envejecimiento en el hogar, la participación y el envejecimiento activo, consiste en llegar a toda la comunidad fomentando las actividades recreativas, culturales u ocupacionales, de manera que se promuevan los valores familiares, la autoestima y la solidaridad. Las ONG y los centros comunitarios participan conjuntamente en la puesta en práctica de esas actividades, por ejemplo, en la celebración anual del </w:t>
      </w:r>
      <w:r w:rsidR="00D353FA">
        <w:rPr>
          <w:lang w:val="es-ES_tradnl"/>
        </w:rPr>
        <w:t>“</w:t>
      </w:r>
      <w:r w:rsidRPr="00FA40F2">
        <w:rPr>
          <w:lang w:val="es-ES_tradnl"/>
        </w:rPr>
        <w:t>Día de las Personas de Edad de la RAE de Macao</w:t>
      </w:r>
      <w:r w:rsidR="00D353FA">
        <w:rPr>
          <w:lang w:val="es-ES_tradnl"/>
        </w:rPr>
        <w:t>”</w:t>
      </w:r>
      <w:r w:rsidRPr="00FA40F2">
        <w:rPr>
          <w:lang w:val="es-ES_tradnl"/>
        </w:rPr>
        <w:t>.</w:t>
      </w:r>
    </w:p>
    <w:p w14:paraId="4E917CA6" w14:textId="77777777" w:rsidR="00FA40F2" w:rsidRPr="00FA40F2" w:rsidRDefault="00FA40F2" w:rsidP="003C50CB">
      <w:pPr>
        <w:pStyle w:val="H23G"/>
        <w:rPr>
          <w:lang w:val="es-ES_tradnl"/>
        </w:rPr>
      </w:pPr>
      <w:r w:rsidRPr="00FA40F2">
        <w:rPr>
          <w:lang w:val="es-ES_tradnl"/>
        </w:rPr>
        <w:tab/>
      </w:r>
      <w:r w:rsidR="003C50CB">
        <w:rPr>
          <w:lang w:val="es-ES_tradnl"/>
        </w:rPr>
        <w:tab/>
      </w:r>
      <w:r w:rsidRPr="00FA40F2">
        <w:rPr>
          <w:lang w:val="es-ES_tradnl"/>
        </w:rPr>
        <w:t xml:space="preserve">Condición de refugiado y protección de los solicitantes de asilo </w:t>
      </w:r>
    </w:p>
    <w:p w14:paraId="3E67DB33" w14:textId="77777777" w:rsidR="00FA40F2" w:rsidRPr="00FA40F2" w:rsidRDefault="00FA40F2" w:rsidP="00FA40F2">
      <w:pPr>
        <w:pStyle w:val="SingleTxtG"/>
        <w:rPr>
          <w:lang w:val="es-ES_tradnl"/>
        </w:rPr>
      </w:pPr>
      <w:r w:rsidRPr="00FA40F2">
        <w:rPr>
          <w:lang w:val="es-ES_tradnl"/>
        </w:rPr>
        <w:t>167.</w:t>
      </w:r>
      <w:r w:rsidRPr="00FA40F2">
        <w:rPr>
          <w:lang w:val="es-ES_tradnl"/>
        </w:rPr>
        <w:tab/>
        <w:t xml:space="preserve">El Marco Jurídico relativo al Reconocimiento y la Pérdida de la Condición de Refugiado (Ley </w:t>
      </w:r>
      <w:r w:rsidR="00E27276">
        <w:rPr>
          <w:lang w:val="es-ES_tradnl"/>
        </w:rPr>
        <w:t>núm. </w:t>
      </w:r>
      <w:r w:rsidRPr="00FA40F2">
        <w:rPr>
          <w:lang w:val="es-ES_tradnl"/>
        </w:rPr>
        <w:t>1/2004) no ha cambiado. Siempre ha de informarse al solicitante de sus derechos, en particular el derecho a ponerse en contacto con la Oficina del Alto Comisionado de las Naciones Unidas para los Refugiados, el derecho a contar con servicios de interpretación, el amparo de la ley, confidencialidad y asesoramiento jurídico gratuito, el derecho a hacer extensiva su solicitud a su cónyuge, hijos y otros familiares dependientes, el derecho a unas mínimas condiciones de vida (por ejemplo, alimentación, alojamiento y un respaldo económico mensual) y a recibir un apoyo especial (por ejemplo, servicios médicos o escolarización en el caso de los menores).</w:t>
      </w:r>
    </w:p>
    <w:p w14:paraId="315106C6" w14:textId="77777777" w:rsidR="00FA40F2" w:rsidRPr="00FA40F2" w:rsidRDefault="00FA40F2" w:rsidP="00FA40F2">
      <w:pPr>
        <w:pStyle w:val="SingleTxtG"/>
        <w:rPr>
          <w:lang w:val="es-ES_tradnl"/>
        </w:rPr>
      </w:pPr>
      <w:r w:rsidRPr="00FA40F2">
        <w:rPr>
          <w:lang w:val="es-ES_tradnl"/>
        </w:rPr>
        <w:t>168.</w:t>
      </w:r>
      <w:r w:rsidRPr="00FA40F2">
        <w:rPr>
          <w:lang w:val="es-ES_tradnl"/>
        </w:rPr>
        <w:tab/>
        <w:t>Entre 2014 y 2018, la Comisión para los Refugiados tramitó tres nuevas solicitudes. Las solicitudes fueron retiradas, pues los solicitantes regresaron voluntariamente a sus países de origen. Hay otras dos solicitudes pendientes.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03"/>
        <w:gridCol w:w="1316"/>
        <w:gridCol w:w="1984"/>
        <w:gridCol w:w="2267"/>
      </w:tblGrid>
      <w:tr w:rsidR="00FA40F2" w:rsidRPr="003C50CB" w14:paraId="1BF35D44" w14:textId="77777777" w:rsidTr="003C50CB">
        <w:trPr>
          <w:cantSplit/>
          <w:trHeight w:val="240"/>
          <w:tblHeader/>
        </w:trPr>
        <w:tc>
          <w:tcPr>
            <w:tcW w:w="1803" w:type="dxa"/>
            <w:tcBorders>
              <w:top w:val="single" w:sz="4" w:space="0" w:color="auto"/>
              <w:bottom w:val="single" w:sz="12" w:space="0" w:color="auto"/>
            </w:tcBorders>
            <w:shd w:val="clear" w:color="auto" w:fill="auto"/>
            <w:vAlign w:val="bottom"/>
            <w:hideMark/>
          </w:tcPr>
          <w:p w14:paraId="0C7DAC34" w14:textId="77777777" w:rsidR="00FA40F2" w:rsidRPr="003C50CB" w:rsidRDefault="00FA40F2" w:rsidP="003C50CB">
            <w:pPr>
              <w:pStyle w:val="SingleTxtG"/>
              <w:spacing w:before="80" w:after="80" w:line="200" w:lineRule="exact"/>
              <w:ind w:left="0" w:right="0"/>
              <w:jc w:val="left"/>
              <w:rPr>
                <w:i/>
                <w:sz w:val="16"/>
                <w:lang w:val="es-ES_tradnl"/>
              </w:rPr>
            </w:pPr>
            <w:r w:rsidRPr="003C50CB">
              <w:rPr>
                <w:i/>
                <w:iCs/>
                <w:sz w:val="16"/>
                <w:lang w:val="es-ES_tradnl"/>
              </w:rPr>
              <w:t>Año</w:t>
            </w:r>
          </w:p>
        </w:tc>
        <w:tc>
          <w:tcPr>
            <w:tcW w:w="1316" w:type="dxa"/>
            <w:tcBorders>
              <w:top w:val="single" w:sz="4" w:space="0" w:color="auto"/>
              <w:bottom w:val="single" w:sz="12" w:space="0" w:color="auto"/>
            </w:tcBorders>
            <w:shd w:val="clear" w:color="auto" w:fill="auto"/>
            <w:vAlign w:val="bottom"/>
            <w:hideMark/>
          </w:tcPr>
          <w:p w14:paraId="4C440B4D" w14:textId="77777777" w:rsidR="00FA40F2" w:rsidRPr="003C50CB" w:rsidRDefault="00FA40F2" w:rsidP="00BB18F5">
            <w:pPr>
              <w:pStyle w:val="SingleTxtG"/>
              <w:spacing w:before="80" w:after="80" w:line="200" w:lineRule="exact"/>
              <w:ind w:left="113" w:right="11"/>
              <w:jc w:val="right"/>
              <w:rPr>
                <w:i/>
                <w:sz w:val="16"/>
                <w:lang w:val="es-ES_tradnl"/>
              </w:rPr>
            </w:pPr>
            <w:r w:rsidRPr="003C50CB">
              <w:rPr>
                <w:i/>
                <w:iCs/>
                <w:sz w:val="16"/>
                <w:lang w:val="es-ES_tradnl"/>
              </w:rPr>
              <w:t>Familia</w:t>
            </w:r>
          </w:p>
        </w:tc>
        <w:tc>
          <w:tcPr>
            <w:tcW w:w="1984" w:type="dxa"/>
            <w:tcBorders>
              <w:top w:val="single" w:sz="4" w:space="0" w:color="auto"/>
              <w:bottom w:val="single" w:sz="12" w:space="0" w:color="auto"/>
            </w:tcBorders>
            <w:shd w:val="clear" w:color="auto" w:fill="auto"/>
            <w:vAlign w:val="bottom"/>
            <w:hideMark/>
          </w:tcPr>
          <w:p w14:paraId="69725C97" w14:textId="77777777" w:rsidR="00FA40F2" w:rsidRPr="003C50CB" w:rsidRDefault="00FA40F2" w:rsidP="00BB18F5">
            <w:pPr>
              <w:pStyle w:val="SingleTxtG"/>
              <w:spacing w:before="80" w:after="80" w:line="200" w:lineRule="exact"/>
              <w:ind w:left="113" w:right="11"/>
              <w:jc w:val="right"/>
              <w:rPr>
                <w:i/>
                <w:sz w:val="16"/>
                <w:lang w:val="es-ES_tradnl"/>
              </w:rPr>
            </w:pPr>
            <w:r w:rsidRPr="003C50CB">
              <w:rPr>
                <w:i/>
                <w:iCs/>
                <w:sz w:val="16"/>
                <w:lang w:val="es-ES_tradnl"/>
              </w:rPr>
              <w:t>Número de personas</w:t>
            </w:r>
          </w:p>
        </w:tc>
        <w:tc>
          <w:tcPr>
            <w:tcW w:w="2267" w:type="dxa"/>
            <w:tcBorders>
              <w:top w:val="single" w:sz="4" w:space="0" w:color="auto"/>
              <w:bottom w:val="single" w:sz="12" w:space="0" w:color="auto"/>
            </w:tcBorders>
            <w:shd w:val="clear" w:color="auto" w:fill="auto"/>
            <w:vAlign w:val="bottom"/>
            <w:hideMark/>
          </w:tcPr>
          <w:p w14:paraId="635701F7" w14:textId="77777777" w:rsidR="00FA40F2" w:rsidRPr="003C50CB" w:rsidRDefault="00FA40F2" w:rsidP="00BB18F5">
            <w:pPr>
              <w:pStyle w:val="SingleTxtG"/>
              <w:spacing w:before="80" w:after="80" w:line="200" w:lineRule="exact"/>
              <w:ind w:left="113" w:right="11"/>
              <w:jc w:val="right"/>
              <w:rPr>
                <w:i/>
                <w:sz w:val="16"/>
                <w:lang w:val="es-ES_tradnl"/>
              </w:rPr>
            </w:pPr>
            <w:r w:rsidRPr="003C50CB">
              <w:rPr>
                <w:i/>
                <w:iCs/>
                <w:sz w:val="16"/>
                <w:lang w:val="es-ES_tradnl"/>
              </w:rPr>
              <w:t xml:space="preserve">Suma total en concepto </w:t>
            </w:r>
            <w:r w:rsidR="00015FB5">
              <w:rPr>
                <w:i/>
                <w:iCs/>
                <w:sz w:val="16"/>
                <w:lang w:val="es-ES_tradnl"/>
              </w:rPr>
              <w:br/>
            </w:r>
            <w:r w:rsidRPr="003C50CB">
              <w:rPr>
                <w:i/>
                <w:iCs/>
                <w:sz w:val="16"/>
                <w:lang w:val="es-ES_tradnl"/>
              </w:rPr>
              <w:t>de asistencia</w:t>
            </w:r>
          </w:p>
        </w:tc>
      </w:tr>
      <w:tr w:rsidR="00FA40F2" w:rsidRPr="003C50CB" w14:paraId="2EBB6801" w14:textId="77777777" w:rsidTr="003C50CB">
        <w:trPr>
          <w:cantSplit/>
          <w:trHeight w:val="240"/>
        </w:trPr>
        <w:tc>
          <w:tcPr>
            <w:tcW w:w="1803" w:type="dxa"/>
            <w:tcBorders>
              <w:top w:val="single" w:sz="12" w:space="0" w:color="auto"/>
            </w:tcBorders>
            <w:shd w:val="clear" w:color="auto" w:fill="auto"/>
            <w:hideMark/>
          </w:tcPr>
          <w:p w14:paraId="624DA8D5"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2014</w:t>
            </w:r>
          </w:p>
        </w:tc>
        <w:tc>
          <w:tcPr>
            <w:tcW w:w="1316" w:type="dxa"/>
            <w:tcBorders>
              <w:top w:val="single" w:sz="12" w:space="0" w:color="auto"/>
            </w:tcBorders>
            <w:shd w:val="clear" w:color="auto" w:fill="auto"/>
            <w:vAlign w:val="bottom"/>
            <w:hideMark/>
          </w:tcPr>
          <w:p w14:paraId="5852D6E2"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4</w:t>
            </w:r>
          </w:p>
        </w:tc>
        <w:tc>
          <w:tcPr>
            <w:tcW w:w="1984" w:type="dxa"/>
            <w:tcBorders>
              <w:top w:val="single" w:sz="12" w:space="0" w:color="auto"/>
            </w:tcBorders>
            <w:shd w:val="clear" w:color="auto" w:fill="auto"/>
            <w:vAlign w:val="bottom"/>
            <w:hideMark/>
          </w:tcPr>
          <w:p w14:paraId="7D0A7E54"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6</w:t>
            </w:r>
          </w:p>
        </w:tc>
        <w:tc>
          <w:tcPr>
            <w:tcW w:w="2267" w:type="dxa"/>
            <w:tcBorders>
              <w:top w:val="single" w:sz="12" w:space="0" w:color="auto"/>
            </w:tcBorders>
            <w:shd w:val="clear" w:color="auto" w:fill="auto"/>
            <w:vAlign w:val="bottom"/>
            <w:hideMark/>
          </w:tcPr>
          <w:p w14:paraId="169D61BE"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271 290 patacas de Macao</w:t>
            </w:r>
          </w:p>
        </w:tc>
      </w:tr>
      <w:tr w:rsidR="00FA40F2" w:rsidRPr="003C50CB" w14:paraId="4F596660" w14:textId="77777777" w:rsidTr="003C50CB">
        <w:trPr>
          <w:cantSplit/>
          <w:trHeight w:val="240"/>
        </w:trPr>
        <w:tc>
          <w:tcPr>
            <w:tcW w:w="1803" w:type="dxa"/>
            <w:shd w:val="clear" w:color="auto" w:fill="auto"/>
            <w:hideMark/>
          </w:tcPr>
          <w:p w14:paraId="6691A7C2"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2015</w:t>
            </w:r>
          </w:p>
        </w:tc>
        <w:tc>
          <w:tcPr>
            <w:tcW w:w="1316" w:type="dxa"/>
            <w:shd w:val="clear" w:color="auto" w:fill="auto"/>
            <w:vAlign w:val="bottom"/>
          </w:tcPr>
          <w:p w14:paraId="7CDD9C8F"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1984" w:type="dxa"/>
            <w:shd w:val="clear" w:color="auto" w:fill="auto"/>
            <w:vAlign w:val="bottom"/>
          </w:tcPr>
          <w:p w14:paraId="5CCC070B"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7</w:t>
            </w:r>
          </w:p>
        </w:tc>
        <w:tc>
          <w:tcPr>
            <w:tcW w:w="2267" w:type="dxa"/>
            <w:shd w:val="clear" w:color="auto" w:fill="auto"/>
            <w:vAlign w:val="bottom"/>
          </w:tcPr>
          <w:p w14:paraId="1A371CD2"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240 940 patacas de Macao</w:t>
            </w:r>
          </w:p>
        </w:tc>
      </w:tr>
      <w:tr w:rsidR="00FA40F2" w:rsidRPr="003C50CB" w14:paraId="00A31C38" w14:textId="77777777" w:rsidTr="003C50CB">
        <w:trPr>
          <w:cantSplit/>
          <w:trHeight w:val="240"/>
        </w:trPr>
        <w:tc>
          <w:tcPr>
            <w:tcW w:w="1803" w:type="dxa"/>
            <w:shd w:val="clear" w:color="auto" w:fill="auto"/>
            <w:hideMark/>
          </w:tcPr>
          <w:p w14:paraId="33B952A8"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2016</w:t>
            </w:r>
          </w:p>
        </w:tc>
        <w:tc>
          <w:tcPr>
            <w:tcW w:w="1316" w:type="dxa"/>
            <w:shd w:val="clear" w:color="auto" w:fill="auto"/>
            <w:vAlign w:val="bottom"/>
          </w:tcPr>
          <w:p w14:paraId="67A4D271"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1984" w:type="dxa"/>
            <w:shd w:val="clear" w:color="auto" w:fill="auto"/>
            <w:vAlign w:val="bottom"/>
          </w:tcPr>
          <w:p w14:paraId="392A29F8"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7</w:t>
            </w:r>
          </w:p>
        </w:tc>
        <w:tc>
          <w:tcPr>
            <w:tcW w:w="2267" w:type="dxa"/>
            <w:shd w:val="clear" w:color="auto" w:fill="auto"/>
            <w:vAlign w:val="bottom"/>
          </w:tcPr>
          <w:p w14:paraId="2198DEAB"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256 650 patacas de Macao</w:t>
            </w:r>
          </w:p>
        </w:tc>
      </w:tr>
      <w:tr w:rsidR="00FA40F2" w:rsidRPr="003C50CB" w14:paraId="6A4B30B4" w14:textId="77777777" w:rsidTr="003C50CB">
        <w:trPr>
          <w:cantSplit/>
          <w:trHeight w:val="240"/>
        </w:trPr>
        <w:tc>
          <w:tcPr>
            <w:tcW w:w="1803" w:type="dxa"/>
            <w:shd w:val="clear" w:color="auto" w:fill="auto"/>
            <w:hideMark/>
          </w:tcPr>
          <w:p w14:paraId="0C7E3882"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2017</w:t>
            </w:r>
          </w:p>
        </w:tc>
        <w:tc>
          <w:tcPr>
            <w:tcW w:w="1316" w:type="dxa"/>
            <w:shd w:val="clear" w:color="auto" w:fill="auto"/>
            <w:vAlign w:val="bottom"/>
          </w:tcPr>
          <w:p w14:paraId="614A947D"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3</w:t>
            </w:r>
          </w:p>
        </w:tc>
        <w:tc>
          <w:tcPr>
            <w:tcW w:w="1984" w:type="dxa"/>
            <w:shd w:val="clear" w:color="auto" w:fill="auto"/>
            <w:vAlign w:val="bottom"/>
          </w:tcPr>
          <w:p w14:paraId="052F6CC6"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2267" w:type="dxa"/>
            <w:shd w:val="clear" w:color="auto" w:fill="auto"/>
            <w:vAlign w:val="bottom"/>
          </w:tcPr>
          <w:p w14:paraId="076C8C33"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220 200 patacas de Macao</w:t>
            </w:r>
          </w:p>
        </w:tc>
      </w:tr>
      <w:tr w:rsidR="00FA40F2" w:rsidRPr="003C50CB" w14:paraId="2746560D" w14:textId="77777777" w:rsidTr="003C50CB">
        <w:trPr>
          <w:cantSplit/>
          <w:trHeight w:val="240"/>
        </w:trPr>
        <w:tc>
          <w:tcPr>
            <w:tcW w:w="1803" w:type="dxa"/>
            <w:tcBorders>
              <w:bottom w:val="single" w:sz="12" w:space="0" w:color="auto"/>
            </w:tcBorders>
            <w:shd w:val="clear" w:color="auto" w:fill="auto"/>
          </w:tcPr>
          <w:p w14:paraId="619861B9" w14:textId="77777777" w:rsidR="00FA40F2" w:rsidRPr="003C50CB" w:rsidRDefault="00807EE4" w:rsidP="003C50CB">
            <w:pPr>
              <w:pStyle w:val="SingleTxtG"/>
              <w:spacing w:before="40" w:after="40" w:line="220" w:lineRule="exact"/>
              <w:ind w:left="0" w:right="0"/>
              <w:jc w:val="left"/>
              <w:rPr>
                <w:sz w:val="18"/>
                <w:lang w:val="es-ES_tradnl"/>
              </w:rPr>
            </w:pPr>
            <w:r>
              <w:rPr>
                <w:sz w:val="18"/>
                <w:lang w:val="es-ES_tradnl"/>
              </w:rPr>
              <w:t xml:space="preserve">Septiembre de </w:t>
            </w:r>
            <w:r w:rsidR="00FA40F2" w:rsidRPr="003C50CB">
              <w:rPr>
                <w:sz w:val="18"/>
                <w:lang w:val="es-ES_tradnl"/>
              </w:rPr>
              <w:t>2018</w:t>
            </w:r>
          </w:p>
        </w:tc>
        <w:tc>
          <w:tcPr>
            <w:tcW w:w="1316" w:type="dxa"/>
            <w:tcBorders>
              <w:bottom w:val="single" w:sz="12" w:space="0" w:color="auto"/>
            </w:tcBorders>
            <w:shd w:val="clear" w:color="auto" w:fill="auto"/>
            <w:vAlign w:val="bottom"/>
          </w:tcPr>
          <w:p w14:paraId="2DE9EB79"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3</w:t>
            </w:r>
          </w:p>
        </w:tc>
        <w:tc>
          <w:tcPr>
            <w:tcW w:w="1984" w:type="dxa"/>
            <w:tcBorders>
              <w:bottom w:val="single" w:sz="12" w:space="0" w:color="auto"/>
            </w:tcBorders>
            <w:shd w:val="clear" w:color="auto" w:fill="auto"/>
            <w:vAlign w:val="bottom"/>
          </w:tcPr>
          <w:p w14:paraId="01FB3EB4"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2267" w:type="dxa"/>
            <w:tcBorders>
              <w:bottom w:val="single" w:sz="12" w:space="0" w:color="auto"/>
            </w:tcBorders>
            <w:shd w:val="clear" w:color="auto" w:fill="auto"/>
            <w:vAlign w:val="bottom"/>
          </w:tcPr>
          <w:p w14:paraId="1EA12648"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165 150 patacas de Macao</w:t>
            </w:r>
          </w:p>
        </w:tc>
      </w:tr>
    </w:tbl>
    <w:p w14:paraId="505FFC8D" w14:textId="77777777" w:rsidR="00FA40F2" w:rsidRPr="00505CB1" w:rsidRDefault="00FA40F2" w:rsidP="00505CB1">
      <w:pPr>
        <w:pStyle w:val="SingleTxtG"/>
        <w:spacing w:before="120"/>
        <w:ind w:firstLine="170"/>
        <w:rPr>
          <w:sz w:val="18"/>
          <w:szCs w:val="18"/>
          <w:lang w:val="es-ES_tradnl"/>
        </w:rPr>
      </w:pPr>
      <w:r w:rsidRPr="00505CB1">
        <w:rPr>
          <w:i/>
          <w:iCs/>
          <w:sz w:val="18"/>
          <w:szCs w:val="18"/>
          <w:lang w:val="es-ES_tradnl"/>
        </w:rPr>
        <w:t xml:space="preserve">Fuente: </w:t>
      </w:r>
      <w:r w:rsidRPr="00505CB1">
        <w:rPr>
          <w:sz w:val="18"/>
          <w:szCs w:val="18"/>
          <w:lang w:val="es-ES_tradnl"/>
        </w:rPr>
        <w:t>Oficina de Bienestar Social.</w:t>
      </w:r>
    </w:p>
    <w:p w14:paraId="0D68802C" w14:textId="77777777" w:rsidR="00FA40F2" w:rsidRPr="00FA40F2" w:rsidRDefault="00FA40F2" w:rsidP="00505CB1">
      <w:pPr>
        <w:pStyle w:val="H23G"/>
        <w:rPr>
          <w:lang w:val="es-ES_tradnl"/>
        </w:rPr>
      </w:pPr>
      <w:r w:rsidRPr="00FA40F2">
        <w:rPr>
          <w:lang w:val="es-ES_tradnl"/>
        </w:rPr>
        <w:tab/>
      </w:r>
      <w:r w:rsidR="00505CB1">
        <w:rPr>
          <w:lang w:val="es-ES_tradnl"/>
        </w:rPr>
        <w:tab/>
      </w:r>
      <w:r w:rsidRPr="00FA40F2">
        <w:rPr>
          <w:lang w:val="es-ES_tradnl"/>
        </w:rPr>
        <w:t>Personas con discapacidad</w:t>
      </w:r>
    </w:p>
    <w:p w14:paraId="7D09CE61" w14:textId="77777777" w:rsidR="00FA40F2" w:rsidRPr="00FA40F2" w:rsidRDefault="00FA40F2" w:rsidP="00FA40F2">
      <w:pPr>
        <w:pStyle w:val="SingleTxtG"/>
        <w:rPr>
          <w:lang w:val="es-ES_tradnl"/>
        </w:rPr>
      </w:pPr>
      <w:r w:rsidRPr="00FA40F2">
        <w:rPr>
          <w:lang w:val="es-ES_tradnl"/>
        </w:rPr>
        <w:t>169.</w:t>
      </w:r>
      <w:r w:rsidRPr="00FA40F2">
        <w:rPr>
          <w:lang w:val="es-ES_tradnl"/>
        </w:rPr>
        <w:tab/>
        <w:t>Sobre la base del mismo principio, las personas con discapacidad serán atendidas y protegidas por la RAE de Macao (</w:t>
      </w:r>
      <w:r w:rsidR="00722610">
        <w:rPr>
          <w:lang w:val="es-ES_tradnl"/>
        </w:rPr>
        <w:t>artículo </w:t>
      </w:r>
      <w:r w:rsidRPr="00FA40F2">
        <w:rPr>
          <w:lang w:val="es-ES_tradnl"/>
        </w:rPr>
        <w:t xml:space="preserve">38, párrafo 3, de la Ley Fundamental y Decreto Ley </w:t>
      </w:r>
      <w:r w:rsidR="00E27276">
        <w:rPr>
          <w:lang w:val="es-ES_tradnl"/>
        </w:rPr>
        <w:t>núm. </w:t>
      </w:r>
      <w:r w:rsidRPr="00FA40F2">
        <w:rPr>
          <w:lang w:val="es-ES_tradnl"/>
        </w:rPr>
        <w:t xml:space="preserve">33/99/M). Cabe destacar la Ley </w:t>
      </w:r>
      <w:r w:rsidR="00E27276">
        <w:rPr>
          <w:lang w:val="es-ES_tradnl"/>
        </w:rPr>
        <w:t>núm. </w:t>
      </w:r>
      <w:r w:rsidRPr="00FA40F2">
        <w:rPr>
          <w:lang w:val="es-ES_tradnl"/>
        </w:rPr>
        <w:t xml:space="preserve">9/2011, de Régimen de Prestación por Discapacidad y Servicios de Salud Gratuitos, la Ley </w:t>
      </w:r>
      <w:r w:rsidR="00E27276">
        <w:rPr>
          <w:lang w:val="es-ES_tradnl"/>
        </w:rPr>
        <w:t>núm. </w:t>
      </w:r>
      <w:r w:rsidRPr="00FA40F2">
        <w:rPr>
          <w:lang w:val="es-ES_tradnl"/>
        </w:rPr>
        <w:t xml:space="preserve">8/2018, el Reglamento Administrativo </w:t>
      </w:r>
      <w:r w:rsidR="00E27276">
        <w:rPr>
          <w:lang w:val="es-ES_tradnl"/>
        </w:rPr>
        <w:t>núm. </w:t>
      </w:r>
      <w:r w:rsidRPr="00FA40F2">
        <w:rPr>
          <w:lang w:val="es-ES_tradnl"/>
        </w:rPr>
        <w:t>3/2011, relativo al sistema de evaluación del tipo y grado de discapacidad, el registro y la expedición de la tarjeta de discapacidad, y el Plan de Rehabilitación.</w:t>
      </w:r>
    </w:p>
    <w:p w14:paraId="7C3F5A7E" w14:textId="77777777" w:rsidR="00FA40F2" w:rsidRPr="00FA40F2" w:rsidRDefault="00FA40F2" w:rsidP="00FA40F2">
      <w:pPr>
        <w:pStyle w:val="SingleTxtG"/>
        <w:rPr>
          <w:lang w:val="es-ES_tradnl"/>
        </w:rPr>
      </w:pPr>
      <w:r w:rsidRPr="00FA40F2">
        <w:rPr>
          <w:lang w:val="es-ES_tradnl"/>
        </w:rPr>
        <w:t>170.</w:t>
      </w:r>
      <w:r w:rsidRPr="00FA40F2">
        <w:rPr>
          <w:lang w:val="es-ES_tradnl"/>
        </w:rPr>
        <w:tab/>
        <w:t xml:space="preserve">Se entiende por persona con discapacidad aquella que, por una pérdida o anomalía, congénita o adquirida, de la estructura o la función psicológica, intelectual, física o anatómica susceptible de provocar restricciones de capacidad, puede estar en situación de desventaja </w:t>
      </w:r>
      <w:r w:rsidRPr="00FA40F2">
        <w:rPr>
          <w:lang w:val="es-ES_tradnl"/>
        </w:rPr>
        <w:lastRenderedPageBreak/>
        <w:t xml:space="preserve">para el desempeño de actividades consideradas normales, teniendo en cuenta la edad, el sexo y los principales indicadores sociales (Decreto Ley </w:t>
      </w:r>
      <w:r w:rsidR="00E27276">
        <w:rPr>
          <w:lang w:val="es-ES_tradnl"/>
        </w:rPr>
        <w:t>núm. </w:t>
      </w:r>
      <w:r w:rsidRPr="00FA40F2">
        <w:rPr>
          <w:lang w:val="es-ES_tradnl"/>
        </w:rPr>
        <w:t xml:space="preserve">33/99/M, </w:t>
      </w:r>
      <w:r w:rsidR="00722610">
        <w:rPr>
          <w:lang w:val="es-ES_tradnl"/>
        </w:rPr>
        <w:t>artículo </w:t>
      </w:r>
      <w:r w:rsidRPr="00FA40F2">
        <w:rPr>
          <w:lang w:val="es-ES_tradnl"/>
        </w:rPr>
        <w:t>2).</w:t>
      </w:r>
    </w:p>
    <w:p w14:paraId="257F8C56" w14:textId="77777777" w:rsidR="00FA40F2" w:rsidRPr="00FA40F2" w:rsidRDefault="00FA40F2" w:rsidP="00FA40F2">
      <w:pPr>
        <w:pStyle w:val="SingleTxtG"/>
        <w:rPr>
          <w:lang w:val="es-ES_tradnl"/>
        </w:rPr>
      </w:pPr>
      <w:r w:rsidRPr="00FA40F2">
        <w:rPr>
          <w:lang w:val="es-ES_tradnl"/>
        </w:rPr>
        <w:t>171.</w:t>
      </w:r>
      <w:r w:rsidRPr="00FA40F2">
        <w:rPr>
          <w:lang w:val="es-ES_tradnl"/>
        </w:rPr>
        <w:tab/>
        <w:t xml:space="preserve">La discapacidad se clasifica en seis tipos (física, por deficiencia visual, por deficiencia auditiva, intelectual, mental y por trastornos del lenguaje) y en cuatro grados atendiendo a su gravedad: leve, moderada, grave y extremadamente grave (Reglamento Administrativo </w:t>
      </w:r>
      <w:r w:rsidR="00E27276">
        <w:rPr>
          <w:lang w:val="es-ES_tradnl"/>
        </w:rPr>
        <w:t>núm. </w:t>
      </w:r>
      <w:r w:rsidR="00C14200">
        <w:rPr>
          <w:lang w:val="es-ES_tradnl"/>
        </w:rPr>
        <w:t>3</w:t>
      </w:r>
      <w:r w:rsidRPr="00FA40F2">
        <w:rPr>
          <w:lang w:val="es-ES_tradnl"/>
        </w:rPr>
        <w:t xml:space="preserve">/2011, </w:t>
      </w:r>
      <w:r w:rsidR="00722610">
        <w:rPr>
          <w:lang w:val="es-ES_tradnl"/>
        </w:rPr>
        <w:t>artículo </w:t>
      </w:r>
      <w:r w:rsidRPr="00FA40F2">
        <w:rPr>
          <w:lang w:val="es-ES_tradnl"/>
        </w:rPr>
        <w:t xml:space="preserve">2). La Oficina de Bienestar Social expide una tarjeta de registro de evaluación de discapacidad que tiene una validez de 5 años (Reglamento Administrativo </w:t>
      </w:r>
      <w:r w:rsidR="00E27276">
        <w:rPr>
          <w:lang w:val="es-ES_tradnl"/>
        </w:rPr>
        <w:t>núm. </w:t>
      </w:r>
      <w:r w:rsidRPr="00FA40F2">
        <w:rPr>
          <w:lang w:val="es-ES_tradnl"/>
        </w:rPr>
        <w:t xml:space="preserve">3/2011, </w:t>
      </w:r>
      <w:r w:rsidR="00722610">
        <w:rPr>
          <w:lang w:val="es-ES_tradnl"/>
        </w:rPr>
        <w:t>artículo </w:t>
      </w:r>
      <w:r w:rsidRPr="00FA40F2">
        <w:rPr>
          <w:lang w:val="es-ES_tradnl"/>
        </w:rPr>
        <w:t xml:space="preserve">7, párrafo 2, y </w:t>
      </w:r>
      <w:r w:rsidR="00722610">
        <w:rPr>
          <w:lang w:val="es-ES_tradnl"/>
        </w:rPr>
        <w:t>artículo </w:t>
      </w:r>
      <w:r w:rsidRPr="00FA40F2">
        <w:rPr>
          <w:lang w:val="es-ES_tradnl"/>
        </w:rPr>
        <w:t>8).</w:t>
      </w:r>
    </w:p>
    <w:p w14:paraId="29377CC3" w14:textId="77777777" w:rsidR="00FA40F2" w:rsidRPr="00FA40F2" w:rsidRDefault="00505CB1" w:rsidP="00505CB1">
      <w:pPr>
        <w:pStyle w:val="H23G"/>
        <w:rPr>
          <w:lang w:val="es-ES_tradnl"/>
        </w:rPr>
      </w:pPr>
      <w:r>
        <w:rPr>
          <w:lang w:val="es-ES_tradnl"/>
        </w:rPr>
        <w:tab/>
      </w:r>
      <w:r w:rsidR="00FA40F2" w:rsidRPr="00FA40F2">
        <w:rPr>
          <w:lang w:val="es-ES_tradnl"/>
        </w:rPr>
        <w:tab/>
        <w:t xml:space="preserve">Titulares de la tarjeta de registro de evaluación de discapacidad </w:t>
      </w:r>
      <w:r>
        <w:rPr>
          <w:lang w:val="es-ES_tradnl"/>
        </w:rPr>
        <w:br/>
      </w:r>
      <w:r w:rsidR="00FA40F2" w:rsidRPr="00FA40F2">
        <w:rPr>
          <w:lang w:val="es-ES_tradnl"/>
        </w:rPr>
        <w:t>(</w:t>
      </w:r>
      <w:r w:rsidR="00C14200" w:rsidRPr="00FA40F2">
        <w:rPr>
          <w:lang w:val="es-ES_tradnl"/>
        </w:rPr>
        <w:t>A</w:t>
      </w:r>
      <w:r w:rsidR="00FA40F2" w:rsidRPr="00FA40F2">
        <w:rPr>
          <w:lang w:val="es-ES_tradnl"/>
        </w:rPr>
        <w:t xml:space="preserve"> septiembre de 2018)</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784"/>
        <w:gridCol w:w="909"/>
        <w:gridCol w:w="993"/>
        <w:gridCol w:w="991"/>
        <w:gridCol w:w="993"/>
        <w:gridCol w:w="1276"/>
        <w:gridCol w:w="852"/>
        <w:gridCol w:w="848"/>
        <w:gridCol w:w="991"/>
      </w:tblGrid>
      <w:tr w:rsidR="00015FB5" w:rsidRPr="00283D1B" w14:paraId="090845E6" w14:textId="77777777" w:rsidTr="00015FB5">
        <w:trPr>
          <w:cantSplit/>
          <w:trHeight w:val="240"/>
          <w:tblHeader/>
        </w:trPr>
        <w:tc>
          <w:tcPr>
            <w:tcW w:w="926" w:type="pct"/>
            <w:tcBorders>
              <w:top w:val="single" w:sz="4" w:space="0" w:color="auto"/>
              <w:bottom w:val="single" w:sz="12" w:space="0" w:color="auto"/>
            </w:tcBorders>
            <w:shd w:val="clear" w:color="auto" w:fill="auto"/>
            <w:vAlign w:val="bottom"/>
          </w:tcPr>
          <w:p w14:paraId="50B9FD2F" w14:textId="77777777" w:rsidR="00FA40F2" w:rsidRPr="00283D1B" w:rsidRDefault="00FA40F2" w:rsidP="00283D1B">
            <w:pPr>
              <w:pStyle w:val="SingleTxtG"/>
              <w:spacing w:before="80" w:after="80" w:line="200" w:lineRule="exact"/>
              <w:ind w:left="0" w:right="0"/>
              <w:jc w:val="left"/>
              <w:rPr>
                <w:i/>
                <w:sz w:val="16"/>
                <w:lang w:val="es-ES_tradnl"/>
              </w:rPr>
            </w:pPr>
            <w:r w:rsidRPr="00283D1B">
              <w:rPr>
                <w:i/>
                <w:iCs/>
                <w:sz w:val="16"/>
                <w:lang w:val="es-ES_tradnl"/>
              </w:rPr>
              <w:t>Tipo/Grado de discapacidad</w:t>
            </w:r>
          </w:p>
        </w:tc>
        <w:tc>
          <w:tcPr>
            <w:tcW w:w="472" w:type="pct"/>
            <w:tcBorders>
              <w:top w:val="single" w:sz="4" w:space="0" w:color="auto"/>
              <w:bottom w:val="single" w:sz="12" w:space="0" w:color="auto"/>
            </w:tcBorders>
            <w:shd w:val="clear" w:color="auto" w:fill="auto"/>
            <w:vAlign w:val="bottom"/>
          </w:tcPr>
          <w:p w14:paraId="0A32E4B2"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Sin grado*</w:t>
            </w:r>
          </w:p>
        </w:tc>
        <w:tc>
          <w:tcPr>
            <w:tcW w:w="515" w:type="pct"/>
            <w:tcBorders>
              <w:top w:val="single" w:sz="4" w:space="0" w:color="auto"/>
              <w:bottom w:val="single" w:sz="12" w:space="0" w:color="auto"/>
            </w:tcBorders>
            <w:shd w:val="clear" w:color="auto" w:fill="auto"/>
            <w:vAlign w:val="bottom"/>
          </w:tcPr>
          <w:p w14:paraId="5D7C345D"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Leve</w:t>
            </w:r>
          </w:p>
        </w:tc>
        <w:tc>
          <w:tcPr>
            <w:tcW w:w="514" w:type="pct"/>
            <w:tcBorders>
              <w:top w:val="single" w:sz="4" w:space="0" w:color="auto"/>
              <w:bottom w:val="single" w:sz="12" w:space="0" w:color="auto"/>
            </w:tcBorders>
            <w:shd w:val="clear" w:color="auto" w:fill="auto"/>
            <w:vAlign w:val="bottom"/>
          </w:tcPr>
          <w:p w14:paraId="00F1BA5E"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Moderada</w:t>
            </w:r>
          </w:p>
        </w:tc>
        <w:tc>
          <w:tcPr>
            <w:tcW w:w="515" w:type="pct"/>
            <w:tcBorders>
              <w:top w:val="single" w:sz="4" w:space="0" w:color="auto"/>
              <w:bottom w:val="single" w:sz="12" w:space="0" w:color="auto"/>
            </w:tcBorders>
            <w:shd w:val="clear" w:color="auto" w:fill="auto"/>
            <w:vAlign w:val="bottom"/>
          </w:tcPr>
          <w:p w14:paraId="54874ECF"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Grave</w:t>
            </w:r>
          </w:p>
        </w:tc>
        <w:tc>
          <w:tcPr>
            <w:tcW w:w="662" w:type="pct"/>
            <w:tcBorders>
              <w:top w:val="single" w:sz="4" w:space="0" w:color="auto"/>
              <w:bottom w:val="single" w:sz="12" w:space="0" w:color="auto"/>
            </w:tcBorders>
            <w:shd w:val="clear" w:color="auto" w:fill="auto"/>
            <w:vAlign w:val="bottom"/>
          </w:tcPr>
          <w:p w14:paraId="65E750E9"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Extremadamente grave</w:t>
            </w:r>
          </w:p>
        </w:tc>
        <w:tc>
          <w:tcPr>
            <w:tcW w:w="442" w:type="pct"/>
            <w:tcBorders>
              <w:top w:val="single" w:sz="4" w:space="0" w:color="auto"/>
              <w:bottom w:val="single" w:sz="12" w:space="0" w:color="auto"/>
            </w:tcBorders>
            <w:shd w:val="clear" w:color="auto" w:fill="auto"/>
            <w:vAlign w:val="bottom"/>
          </w:tcPr>
          <w:p w14:paraId="7617EDA8"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Hombres</w:t>
            </w:r>
          </w:p>
        </w:tc>
        <w:tc>
          <w:tcPr>
            <w:tcW w:w="440" w:type="pct"/>
            <w:tcBorders>
              <w:top w:val="single" w:sz="4" w:space="0" w:color="auto"/>
              <w:bottom w:val="single" w:sz="12" w:space="0" w:color="auto"/>
            </w:tcBorders>
            <w:shd w:val="clear" w:color="auto" w:fill="auto"/>
            <w:vAlign w:val="bottom"/>
          </w:tcPr>
          <w:p w14:paraId="0F053F45"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Mujeres</w:t>
            </w:r>
          </w:p>
        </w:tc>
        <w:tc>
          <w:tcPr>
            <w:tcW w:w="514" w:type="pct"/>
            <w:tcBorders>
              <w:top w:val="single" w:sz="4" w:space="0" w:color="auto"/>
              <w:bottom w:val="single" w:sz="12" w:space="0" w:color="auto"/>
            </w:tcBorders>
            <w:shd w:val="clear" w:color="auto" w:fill="auto"/>
            <w:vAlign w:val="bottom"/>
          </w:tcPr>
          <w:p w14:paraId="5758E9A5"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Número de personas</w:t>
            </w:r>
          </w:p>
        </w:tc>
      </w:tr>
      <w:tr w:rsidR="00015FB5" w:rsidRPr="00283D1B" w14:paraId="59C244F1" w14:textId="77777777" w:rsidTr="00015FB5">
        <w:trPr>
          <w:cantSplit/>
          <w:trHeight w:val="240"/>
        </w:trPr>
        <w:tc>
          <w:tcPr>
            <w:tcW w:w="926" w:type="pct"/>
            <w:tcBorders>
              <w:top w:val="single" w:sz="12" w:space="0" w:color="auto"/>
            </w:tcBorders>
            <w:shd w:val="clear" w:color="auto" w:fill="auto"/>
          </w:tcPr>
          <w:p w14:paraId="1D6E2BB3"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física</w:t>
            </w:r>
          </w:p>
        </w:tc>
        <w:tc>
          <w:tcPr>
            <w:tcW w:w="472" w:type="pct"/>
            <w:tcBorders>
              <w:top w:val="single" w:sz="12" w:space="0" w:color="auto"/>
            </w:tcBorders>
            <w:shd w:val="clear" w:color="auto" w:fill="auto"/>
            <w:vAlign w:val="bottom"/>
          </w:tcPr>
          <w:p w14:paraId="268F2CC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w:t>
            </w:r>
          </w:p>
        </w:tc>
        <w:tc>
          <w:tcPr>
            <w:tcW w:w="515" w:type="pct"/>
            <w:tcBorders>
              <w:top w:val="single" w:sz="12" w:space="0" w:color="auto"/>
            </w:tcBorders>
            <w:shd w:val="clear" w:color="auto" w:fill="auto"/>
            <w:vAlign w:val="bottom"/>
          </w:tcPr>
          <w:p w14:paraId="5DB56AF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2 277</w:t>
            </w:r>
          </w:p>
        </w:tc>
        <w:tc>
          <w:tcPr>
            <w:tcW w:w="514" w:type="pct"/>
            <w:tcBorders>
              <w:top w:val="single" w:sz="12" w:space="0" w:color="auto"/>
            </w:tcBorders>
            <w:shd w:val="clear" w:color="auto" w:fill="auto"/>
            <w:vAlign w:val="bottom"/>
          </w:tcPr>
          <w:p w14:paraId="13D65B8E"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1 146</w:t>
            </w:r>
          </w:p>
        </w:tc>
        <w:tc>
          <w:tcPr>
            <w:tcW w:w="515" w:type="pct"/>
            <w:tcBorders>
              <w:top w:val="single" w:sz="12" w:space="0" w:color="auto"/>
            </w:tcBorders>
            <w:shd w:val="clear" w:color="auto" w:fill="auto"/>
            <w:vAlign w:val="bottom"/>
          </w:tcPr>
          <w:p w14:paraId="218322CA"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867</w:t>
            </w:r>
          </w:p>
        </w:tc>
        <w:tc>
          <w:tcPr>
            <w:tcW w:w="662" w:type="pct"/>
            <w:tcBorders>
              <w:top w:val="single" w:sz="12" w:space="0" w:color="auto"/>
            </w:tcBorders>
            <w:shd w:val="clear" w:color="auto" w:fill="auto"/>
            <w:vAlign w:val="bottom"/>
          </w:tcPr>
          <w:p w14:paraId="3EDA6EC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201</w:t>
            </w:r>
          </w:p>
        </w:tc>
        <w:tc>
          <w:tcPr>
            <w:tcW w:w="442" w:type="pct"/>
            <w:tcBorders>
              <w:top w:val="single" w:sz="12" w:space="0" w:color="auto"/>
            </w:tcBorders>
            <w:shd w:val="clear" w:color="auto" w:fill="auto"/>
            <w:vAlign w:val="bottom"/>
          </w:tcPr>
          <w:p w14:paraId="5CD9C35B"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2 100</w:t>
            </w:r>
          </w:p>
        </w:tc>
        <w:tc>
          <w:tcPr>
            <w:tcW w:w="440" w:type="pct"/>
            <w:tcBorders>
              <w:top w:val="single" w:sz="12" w:space="0" w:color="auto"/>
            </w:tcBorders>
            <w:shd w:val="clear" w:color="auto" w:fill="auto"/>
            <w:vAlign w:val="bottom"/>
          </w:tcPr>
          <w:p w14:paraId="292850D4"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2 399</w:t>
            </w:r>
          </w:p>
        </w:tc>
        <w:tc>
          <w:tcPr>
            <w:tcW w:w="514" w:type="pct"/>
            <w:tcBorders>
              <w:top w:val="single" w:sz="12" w:space="0" w:color="auto"/>
            </w:tcBorders>
            <w:shd w:val="clear" w:color="auto" w:fill="auto"/>
            <w:vAlign w:val="bottom"/>
          </w:tcPr>
          <w:p w14:paraId="0AB19588"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4 499</w:t>
            </w:r>
          </w:p>
        </w:tc>
      </w:tr>
      <w:tr w:rsidR="00015FB5" w:rsidRPr="00283D1B" w14:paraId="4ED0D736" w14:textId="77777777" w:rsidTr="00015FB5">
        <w:trPr>
          <w:cantSplit/>
          <w:trHeight w:val="240"/>
        </w:trPr>
        <w:tc>
          <w:tcPr>
            <w:tcW w:w="926" w:type="pct"/>
            <w:shd w:val="clear" w:color="auto" w:fill="auto"/>
          </w:tcPr>
          <w:p w14:paraId="0CDBB6C8"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por deficiencia visual</w:t>
            </w:r>
          </w:p>
        </w:tc>
        <w:tc>
          <w:tcPr>
            <w:tcW w:w="472" w:type="pct"/>
            <w:shd w:val="clear" w:color="auto" w:fill="auto"/>
            <w:vAlign w:val="bottom"/>
          </w:tcPr>
          <w:p w14:paraId="63FFD95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w:t>
            </w:r>
          </w:p>
        </w:tc>
        <w:tc>
          <w:tcPr>
            <w:tcW w:w="515" w:type="pct"/>
            <w:shd w:val="clear" w:color="auto" w:fill="auto"/>
            <w:vAlign w:val="bottom"/>
          </w:tcPr>
          <w:p w14:paraId="6941D1C5"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142</w:t>
            </w:r>
          </w:p>
        </w:tc>
        <w:tc>
          <w:tcPr>
            <w:tcW w:w="514" w:type="pct"/>
            <w:shd w:val="clear" w:color="auto" w:fill="auto"/>
            <w:vAlign w:val="bottom"/>
          </w:tcPr>
          <w:p w14:paraId="1D19536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23</w:t>
            </w:r>
          </w:p>
        </w:tc>
        <w:tc>
          <w:tcPr>
            <w:tcW w:w="515" w:type="pct"/>
            <w:shd w:val="clear" w:color="auto" w:fill="auto"/>
            <w:vAlign w:val="bottom"/>
          </w:tcPr>
          <w:p w14:paraId="6FA0576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180</w:t>
            </w:r>
          </w:p>
        </w:tc>
        <w:tc>
          <w:tcPr>
            <w:tcW w:w="662" w:type="pct"/>
            <w:shd w:val="clear" w:color="auto" w:fill="auto"/>
            <w:vAlign w:val="bottom"/>
          </w:tcPr>
          <w:p w14:paraId="7546CA5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295</w:t>
            </w:r>
          </w:p>
        </w:tc>
        <w:tc>
          <w:tcPr>
            <w:tcW w:w="442" w:type="pct"/>
            <w:shd w:val="clear" w:color="auto" w:fill="auto"/>
            <w:vAlign w:val="bottom"/>
          </w:tcPr>
          <w:p w14:paraId="37CE1CA4"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313</w:t>
            </w:r>
          </w:p>
        </w:tc>
        <w:tc>
          <w:tcPr>
            <w:tcW w:w="440" w:type="pct"/>
            <w:shd w:val="clear" w:color="auto" w:fill="auto"/>
            <w:vAlign w:val="bottom"/>
          </w:tcPr>
          <w:p w14:paraId="792D84B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328</w:t>
            </w:r>
          </w:p>
        </w:tc>
        <w:tc>
          <w:tcPr>
            <w:tcW w:w="514" w:type="pct"/>
            <w:shd w:val="clear" w:color="auto" w:fill="auto"/>
            <w:vAlign w:val="bottom"/>
          </w:tcPr>
          <w:p w14:paraId="624A133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641</w:t>
            </w:r>
          </w:p>
        </w:tc>
      </w:tr>
      <w:tr w:rsidR="00015FB5" w:rsidRPr="00283D1B" w14:paraId="0D2E819E" w14:textId="77777777" w:rsidTr="00015FB5">
        <w:trPr>
          <w:cantSplit/>
          <w:trHeight w:val="240"/>
        </w:trPr>
        <w:tc>
          <w:tcPr>
            <w:tcW w:w="926" w:type="pct"/>
            <w:shd w:val="clear" w:color="auto" w:fill="auto"/>
          </w:tcPr>
          <w:p w14:paraId="3CDD1A78"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por deficiencia auditiva</w:t>
            </w:r>
          </w:p>
        </w:tc>
        <w:tc>
          <w:tcPr>
            <w:tcW w:w="472" w:type="pct"/>
            <w:shd w:val="clear" w:color="auto" w:fill="auto"/>
            <w:vAlign w:val="bottom"/>
          </w:tcPr>
          <w:p w14:paraId="094D3DF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17</w:t>
            </w:r>
          </w:p>
        </w:tc>
        <w:tc>
          <w:tcPr>
            <w:tcW w:w="515" w:type="pct"/>
            <w:shd w:val="clear" w:color="auto" w:fill="auto"/>
            <w:vAlign w:val="bottom"/>
          </w:tcPr>
          <w:p w14:paraId="73500F4A"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852</w:t>
            </w:r>
          </w:p>
        </w:tc>
        <w:tc>
          <w:tcPr>
            <w:tcW w:w="514" w:type="pct"/>
            <w:shd w:val="clear" w:color="auto" w:fill="auto"/>
            <w:vAlign w:val="bottom"/>
          </w:tcPr>
          <w:p w14:paraId="616777C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1 104</w:t>
            </w:r>
          </w:p>
        </w:tc>
        <w:tc>
          <w:tcPr>
            <w:tcW w:w="515" w:type="pct"/>
            <w:shd w:val="clear" w:color="auto" w:fill="auto"/>
            <w:vAlign w:val="bottom"/>
          </w:tcPr>
          <w:p w14:paraId="596BDF4B"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259</w:t>
            </w:r>
          </w:p>
        </w:tc>
        <w:tc>
          <w:tcPr>
            <w:tcW w:w="662" w:type="pct"/>
            <w:shd w:val="clear" w:color="auto" w:fill="auto"/>
            <w:vAlign w:val="bottom"/>
          </w:tcPr>
          <w:p w14:paraId="1A6228B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587</w:t>
            </w:r>
          </w:p>
        </w:tc>
        <w:tc>
          <w:tcPr>
            <w:tcW w:w="442" w:type="pct"/>
            <w:shd w:val="clear" w:color="auto" w:fill="auto"/>
            <w:vAlign w:val="bottom"/>
          </w:tcPr>
          <w:p w14:paraId="42C01672"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1 354</w:t>
            </w:r>
          </w:p>
        </w:tc>
        <w:tc>
          <w:tcPr>
            <w:tcW w:w="440" w:type="pct"/>
            <w:shd w:val="clear" w:color="auto" w:fill="auto"/>
            <w:vAlign w:val="bottom"/>
          </w:tcPr>
          <w:p w14:paraId="5E29EED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1 465</w:t>
            </w:r>
          </w:p>
        </w:tc>
        <w:tc>
          <w:tcPr>
            <w:tcW w:w="514" w:type="pct"/>
            <w:shd w:val="clear" w:color="auto" w:fill="auto"/>
            <w:vAlign w:val="bottom"/>
          </w:tcPr>
          <w:p w14:paraId="09BC059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2 819</w:t>
            </w:r>
          </w:p>
        </w:tc>
      </w:tr>
      <w:tr w:rsidR="00015FB5" w:rsidRPr="00283D1B" w14:paraId="5D9E9B47" w14:textId="77777777" w:rsidTr="00015FB5">
        <w:trPr>
          <w:cantSplit/>
          <w:trHeight w:val="240"/>
        </w:trPr>
        <w:tc>
          <w:tcPr>
            <w:tcW w:w="926" w:type="pct"/>
            <w:shd w:val="clear" w:color="auto" w:fill="auto"/>
          </w:tcPr>
          <w:p w14:paraId="4C2F3A21"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intelectual</w:t>
            </w:r>
          </w:p>
        </w:tc>
        <w:tc>
          <w:tcPr>
            <w:tcW w:w="472" w:type="pct"/>
            <w:shd w:val="clear" w:color="auto" w:fill="auto"/>
            <w:vAlign w:val="bottom"/>
          </w:tcPr>
          <w:p w14:paraId="4AD5D28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47</w:t>
            </w:r>
          </w:p>
        </w:tc>
        <w:tc>
          <w:tcPr>
            <w:tcW w:w="515" w:type="pct"/>
            <w:shd w:val="clear" w:color="auto" w:fill="auto"/>
            <w:vAlign w:val="bottom"/>
          </w:tcPr>
          <w:p w14:paraId="07F9D338"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401</w:t>
            </w:r>
          </w:p>
        </w:tc>
        <w:tc>
          <w:tcPr>
            <w:tcW w:w="514" w:type="pct"/>
            <w:shd w:val="clear" w:color="auto" w:fill="auto"/>
            <w:vAlign w:val="bottom"/>
          </w:tcPr>
          <w:p w14:paraId="1628C6D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381</w:t>
            </w:r>
          </w:p>
        </w:tc>
        <w:tc>
          <w:tcPr>
            <w:tcW w:w="515" w:type="pct"/>
            <w:shd w:val="clear" w:color="auto" w:fill="auto"/>
            <w:vAlign w:val="bottom"/>
          </w:tcPr>
          <w:p w14:paraId="3560E22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243</w:t>
            </w:r>
          </w:p>
        </w:tc>
        <w:tc>
          <w:tcPr>
            <w:tcW w:w="662" w:type="pct"/>
            <w:shd w:val="clear" w:color="auto" w:fill="auto"/>
            <w:vAlign w:val="bottom"/>
          </w:tcPr>
          <w:p w14:paraId="60CFAC0E"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104</w:t>
            </w:r>
          </w:p>
        </w:tc>
        <w:tc>
          <w:tcPr>
            <w:tcW w:w="442" w:type="pct"/>
            <w:shd w:val="clear" w:color="auto" w:fill="auto"/>
            <w:vAlign w:val="bottom"/>
          </w:tcPr>
          <w:p w14:paraId="1A088B6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520</w:t>
            </w:r>
          </w:p>
        </w:tc>
        <w:tc>
          <w:tcPr>
            <w:tcW w:w="440" w:type="pct"/>
            <w:shd w:val="clear" w:color="auto" w:fill="auto"/>
            <w:vAlign w:val="bottom"/>
          </w:tcPr>
          <w:p w14:paraId="54D89AA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656</w:t>
            </w:r>
          </w:p>
        </w:tc>
        <w:tc>
          <w:tcPr>
            <w:tcW w:w="514" w:type="pct"/>
            <w:shd w:val="clear" w:color="auto" w:fill="auto"/>
            <w:vAlign w:val="bottom"/>
          </w:tcPr>
          <w:p w14:paraId="14B0CC69"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1 176</w:t>
            </w:r>
          </w:p>
        </w:tc>
      </w:tr>
      <w:tr w:rsidR="00015FB5" w:rsidRPr="00283D1B" w14:paraId="5826FDB4" w14:textId="77777777" w:rsidTr="00015FB5">
        <w:trPr>
          <w:cantSplit/>
          <w:trHeight w:val="240"/>
        </w:trPr>
        <w:tc>
          <w:tcPr>
            <w:tcW w:w="926" w:type="pct"/>
            <w:shd w:val="clear" w:color="auto" w:fill="auto"/>
          </w:tcPr>
          <w:p w14:paraId="28B7E968"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mental</w:t>
            </w:r>
          </w:p>
        </w:tc>
        <w:tc>
          <w:tcPr>
            <w:tcW w:w="472" w:type="pct"/>
            <w:shd w:val="clear" w:color="auto" w:fill="auto"/>
            <w:vAlign w:val="bottom"/>
          </w:tcPr>
          <w:p w14:paraId="328202D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28</w:t>
            </w:r>
          </w:p>
        </w:tc>
        <w:tc>
          <w:tcPr>
            <w:tcW w:w="515" w:type="pct"/>
            <w:shd w:val="clear" w:color="auto" w:fill="auto"/>
            <w:vAlign w:val="bottom"/>
          </w:tcPr>
          <w:p w14:paraId="40B4A81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867</w:t>
            </w:r>
          </w:p>
        </w:tc>
        <w:tc>
          <w:tcPr>
            <w:tcW w:w="514" w:type="pct"/>
            <w:shd w:val="clear" w:color="auto" w:fill="auto"/>
            <w:vAlign w:val="bottom"/>
          </w:tcPr>
          <w:p w14:paraId="6DA118A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604</w:t>
            </w:r>
          </w:p>
        </w:tc>
        <w:tc>
          <w:tcPr>
            <w:tcW w:w="515" w:type="pct"/>
            <w:shd w:val="clear" w:color="auto" w:fill="auto"/>
            <w:vAlign w:val="bottom"/>
          </w:tcPr>
          <w:p w14:paraId="583A9AA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941</w:t>
            </w:r>
          </w:p>
        </w:tc>
        <w:tc>
          <w:tcPr>
            <w:tcW w:w="662" w:type="pct"/>
            <w:shd w:val="clear" w:color="auto" w:fill="auto"/>
            <w:vAlign w:val="bottom"/>
          </w:tcPr>
          <w:p w14:paraId="5B4BBB21"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96</w:t>
            </w:r>
          </w:p>
        </w:tc>
        <w:tc>
          <w:tcPr>
            <w:tcW w:w="442" w:type="pct"/>
            <w:shd w:val="clear" w:color="auto" w:fill="auto"/>
            <w:vAlign w:val="bottom"/>
          </w:tcPr>
          <w:p w14:paraId="0356BF41"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1 389</w:t>
            </w:r>
          </w:p>
        </w:tc>
        <w:tc>
          <w:tcPr>
            <w:tcW w:w="440" w:type="pct"/>
            <w:shd w:val="clear" w:color="auto" w:fill="auto"/>
            <w:vAlign w:val="bottom"/>
          </w:tcPr>
          <w:p w14:paraId="31F3C10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1 147</w:t>
            </w:r>
          </w:p>
        </w:tc>
        <w:tc>
          <w:tcPr>
            <w:tcW w:w="514" w:type="pct"/>
            <w:shd w:val="clear" w:color="auto" w:fill="auto"/>
            <w:vAlign w:val="bottom"/>
          </w:tcPr>
          <w:p w14:paraId="6F4228E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2 536</w:t>
            </w:r>
          </w:p>
        </w:tc>
      </w:tr>
      <w:tr w:rsidR="00015FB5" w:rsidRPr="00283D1B" w14:paraId="61321493" w14:textId="77777777" w:rsidTr="00015FB5">
        <w:trPr>
          <w:cantSplit/>
          <w:trHeight w:val="240"/>
        </w:trPr>
        <w:tc>
          <w:tcPr>
            <w:tcW w:w="926" w:type="pct"/>
            <w:shd w:val="clear" w:color="auto" w:fill="auto"/>
          </w:tcPr>
          <w:p w14:paraId="6ADFC49F"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por trastorno del lenguaje</w:t>
            </w:r>
          </w:p>
        </w:tc>
        <w:tc>
          <w:tcPr>
            <w:tcW w:w="472" w:type="pct"/>
            <w:shd w:val="clear" w:color="auto" w:fill="auto"/>
            <w:vAlign w:val="bottom"/>
          </w:tcPr>
          <w:p w14:paraId="2586E69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0</w:t>
            </w:r>
          </w:p>
        </w:tc>
        <w:tc>
          <w:tcPr>
            <w:tcW w:w="515" w:type="pct"/>
            <w:shd w:val="clear" w:color="auto" w:fill="auto"/>
            <w:vAlign w:val="bottom"/>
          </w:tcPr>
          <w:p w14:paraId="434A3A1A"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13</w:t>
            </w:r>
          </w:p>
        </w:tc>
        <w:tc>
          <w:tcPr>
            <w:tcW w:w="514" w:type="pct"/>
            <w:shd w:val="clear" w:color="auto" w:fill="auto"/>
            <w:vAlign w:val="bottom"/>
          </w:tcPr>
          <w:p w14:paraId="11A3D735"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w:t>
            </w:r>
          </w:p>
        </w:tc>
        <w:tc>
          <w:tcPr>
            <w:tcW w:w="515" w:type="pct"/>
            <w:shd w:val="clear" w:color="auto" w:fill="auto"/>
            <w:vAlign w:val="bottom"/>
          </w:tcPr>
          <w:p w14:paraId="5583C4F9"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26</w:t>
            </w:r>
          </w:p>
        </w:tc>
        <w:tc>
          <w:tcPr>
            <w:tcW w:w="662" w:type="pct"/>
            <w:shd w:val="clear" w:color="auto" w:fill="auto"/>
            <w:vAlign w:val="bottom"/>
          </w:tcPr>
          <w:p w14:paraId="3B28718E"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0</w:t>
            </w:r>
          </w:p>
        </w:tc>
        <w:tc>
          <w:tcPr>
            <w:tcW w:w="442" w:type="pct"/>
            <w:shd w:val="clear" w:color="auto" w:fill="auto"/>
            <w:vAlign w:val="bottom"/>
          </w:tcPr>
          <w:p w14:paraId="19991A0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w:t>
            </w:r>
          </w:p>
        </w:tc>
        <w:tc>
          <w:tcPr>
            <w:tcW w:w="440" w:type="pct"/>
            <w:shd w:val="clear" w:color="auto" w:fill="auto"/>
            <w:vAlign w:val="bottom"/>
          </w:tcPr>
          <w:p w14:paraId="2189007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41</w:t>
            </w:r>
          </w:p>
        </w:tc>
        <w:tc>
          <w:tcPr>
            <w:tcW w:w="514" w:type="pct"/>
            <w:shd w:val="clear" w:color="auto" w:fill="auto"/>
            <w:vAlign w:val="bottom"/>
          </w:tcPr>
          <w:p w14:paraId="1FE2F73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45</w:t>
            </w:r>
          </w:p>
        </w:tc>
      </w:tr>
      <w:tr w:rsidR="00015FB5" w:rsidRPr="00283D1B" w14:paraId="7905565F" w14:textId="77777777" w:rsidTr="00015FB5">
        <w:trPr>
          <w:cantSplit/>
          <w:trHeight w:val="240"/>
        </w:trPr>
        <w:tc>
          <w:tcPr>
            <w:tcW w:w="926" w:type="pct"/>
            <w:tcBorders>
              <w:bottom w:val="single" w:sz="4" w:space="0" w:color="auto"/>
            </w:tcBorders>
            <w:shd w:val="clear" w:color="auto" w:fill="auto"/>
          </w:tcPr>
          <w:p w14:paraId="594C3C51"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 xml:space="preserve">Discapacidades múltiples </w:t>
            </w:r>
          </w:p>
        </w:tc>
        <w:tc>
          <w:tcPr>
            <w:tcW w:w="472" w:type="pct"/>
            <w:tcBorders>
              <w:bottom w:val="single" w:sz="4" w:space="0" w:color="auto"/>
            </w:tcBorders>
            <w:shd w:val="clear" w:color="auto" w:fill="auto"/>
            <w:vAlign w:val="bottom"/>
          </w:tcPr>
          <w:p w14:paraId="5CB2E55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w:t>
            </w:r>
          </w:p>
        </w:tc>
        <w:tc>
          <w:tcPr>
            <w:tcW w:w="515" w:type="pct"/>
            <w:tcBorders>
              <w:bottom w:val="single" w:sz="4" w:space="0" w:color="auto"/>
            </w:tcBorders>
            <w:shd w:val="clear" w:color="auto" w:fill="auto"/>
            <w:vAlign w:val="bottom"/>
          </w:tcPr>
          <w:p w14:paraId="5615F6E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129</w:t>
            </w:r>
          </w:p>
        </w:tc>
        <w:tc>
          <w:tcPr>
            <w:tcW w:w="514" w:type="pct"/>
            <w:tcBorders>
              <w:bottom w:val="single" w:sz="4" w:space="0" w:color="auto"/>
            </w:tcBorders>
            <w:shd w:val="clear" w:color="auto" w:fill="auto"/>
            <w:vAlign w:val="bottom"/>
          </w:tcPr>
          <w:p w14:paraId="23ACE444"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194</w:t>
            </w:r>
          </w:p>
        </w:tc>
        <w:tc>
          <w:tcPr>
            <w:tcW w:w="515" w:type="pct"/>
            <w:tcBorders>
              <w:bottom w:val="single" w:sz="4" w:space="0" w:color="auto"/>
            </w:tcBorders>
            <w:shd w:val="clear" w:color="auto" w:fill="auto"/>
            <w:vAlign w:val="bottom"/>
          </w:tcPr>
          <w:p w14:paraId="3ABDC5F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333</w:t>
            </w:r>
          </w:p>
        </w:tc>
        <w:tc>
          <w:tcPr>
            <w:tcW w:w="662" w:type="pct"/>
            <w:tcBorders>
              <w:bottom w:val="single" w:sz="4" w:space="0" w:color="auto"/>
            </w:tcBorders>
            <w:shd w:val="clear" w:color="auto" w:fill="auto"/>
            <w:vAlign w:val="bottom"/>
          </w:tcPr>
          <w:p w14:paraId="1D60769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272</w:t>
            </w:r>
          </w:p>
        </w:tc>
        <w:tc>
          <w:tcPr>
            <w:tcW w:w="442" w:type="pct"/>
            <w:tcBorders>
              <w:bottom w:val="single" w:sz="4" w:space="0" w:color="auto"/>
            </w:tcBorders>
            <w:shd w:val="clear" w:color="auto" w:fill="auto"/>
            <w:vAlign w:val="bottom"/>
          </w:tcPr>
          <w:p w14:paraId="18B23AE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419</w:t>
            </w:r>
          </w:p>
        </w:tc>
        <w:tc>
          <w:tcPr>
            <w:tcW w:w="440" w:type="pct"/>
            <w:tcBorders>
              <w:bottom w:val="single" w:sz="4" w:space="0" w:color="auto"/>
            </w:tcBorders>
            <w:shd w:val="clear" w:color="auto" w:fill="auto"/>
            <w:vAlign w:val="bottom"/>
          </w:tcPr>
          <w:p w14:paraId="088969D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511</w:t>
            </w:r>
          </w:p>
        </w:tc>
        <w:tc>
          <w:tcPr>
            <w:tcW w:w="514" w:type="pct"/>
            <w:tcBorders>
              <w:bottom w:val="single" w:sz="4" w:space="0" w:color="auto"/>
            </w:tcBorders>
            <w:shd w:val="clear" w:color="auto" w:fill="auto"/>
            <w:vAlign w:val="bottom"/>
          </w:tcPr>
          <w:p w14:paraId="1AACFA2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930</w:t>
            </w:r>
          </w:p>
        </w:tc>
      </w:tr>
      <w:tr w:rsidR="00015FB5" w:rsidRPr="00283D1B" w14:paraId="61CF0E24" w14:textId="77777777" w:rsidTr="00015FB5">
        <w:trPr>
          <w:cantSplit/>
          <w:trHeight w:val="240"/>
        </w:trPr>
        <w:tc>
          <w:tcPr>
            <w:tcW w:w="926" w:type="pct"/>
            <w:tcBorders>
              <w:top w:val="single" w:sz="4" w:space="0" w:color="auto"/>
              <w:bottom w:val="single" w:sz="12" w:space="0" w:color="auto"/>
            </w:tcBorders>
            <w:shd w:val="clear" w:color="auto" w:fill="auto"/>
          </w:tcPr>
          <w:p w14:paraId="5CCF8128" w14:textId="77777777" w:rsidR="00FA40F2" w:rsidRPr="00283D1B" w:rsidRDefault="00FA40F2" w:rsidP="00283D1B">
            <w:pPr>
              <w:pStyle w:val="SingleTxtG"/>
              <w:spacing w:before="80" w:after="80" w:line="220" w:lineRule="exact"/>
              <w:ind w:left="283" w:right="0"/>
              <w:jc w:val="left"/>
              <w:rPr>
                <w:b/>
                <w:sz w:val="18"/>
                <w:lang w:val="es-ES_tradnl"/>
              </w:rPr>
            </w:pPr>
            <w:r w:rsidRPr="00283D1B">
              <w:rPr>
                <w:b/>
                <w:bCs/>
                <w:sz w:val="18"/>
                <w:lang w:val="es-ES_tradnl"/>
              </w:rPr>
              <w:t>Total</w:t>
            </w:r>
          </w:p>
        </w:tc>
        <w:tc>
          <w:tcPr>
            <w:tcW w:w="472" w:type="pct"/>
            <w:tcBorders>
              <w:top w:val="single" w:sz="4" w:space="0" w:color="auto"/>
              <w:bottom w:val="single" w:sz="12" w:space="0" w:color="auto"/>
            </w:tcBorders>
            <w:shd w:val="clear" w:color="auto" w:fill="auto"/>
            <w:vAlign w:val="bottom"/>
          </w:tcPr>
          <w:p w14:paraId="1F9AC51C"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103</w:t>
            </w:r>
          </w:p>
        </w:tc>
        <w:tc>
          <w:tcPr>
            <w:tcW w:w="515" w:type="pct"/>
            <w:tcBorders>
              <w:top w:val="single" w:sz="4" w:space="0" w:color="auto"/>
              <w:bottom w:val="single" w:sz="12" w:space="0" w:color="auto"/>
            </w:tcBorders>
            <w:shd w:val="clear" w:color="auto" w:fill="auto"/>
            <w:vAlign w:val="bottom"/>
          </w:tcPr>
          <w:p w14:paraId="0F887407"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4 681</w:t>
            </w:r>
          </w:p>
        </w:tc>
        <w:tc>
          <w:tcPr>
            <w:tcW w:w="514" w:type="pct"/>
            <w:tcBorders>
              <w:top w:val="single" w:sz="4" w:space="0" w:color="auto"/>
              <w:bottom w:val="single" w:sz="12" w:space="0" w:color="auto"/>
            </w:tcBorders>
            <w:shd w:val="clear" w:color="auto" w:fill="auto"/>
            <w:vAlign w:val="bottom"/>
          </w:tcPr>
          <w:p w14:paraId="00D7F482"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3 458</w:t>
            </w:r>
          </w:p>
        </w:tc>
        <w:tc>
          <w:tcPr>
            <w:tcW w:w="515" w:type="pct"/>
            <w:tcBorders>
              <w:top w:val="single" w:sz="4" w:space="0" w:color="auto"/>
              <w:bottom w:val="single" w:sz="12" w:space="0" w:color="auto"/>
            </w:tcBorders>
            <w:shd w:val="clear" w:color="auto" w:fill="auto"/>
            <w:vAlign w:val="bottom"/>
          </w:tcPr>
          <w:p w14:paraId="77CBC909"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2 849</w:t>
            </w:r>
          </w:p>
        </w:tc>
        <w:tc>
          <w:tcPr>
            <w:tcW w:w="662" w:type="pct"/>
            <w:tcBorders>
              <w:top w:val="single" w:sz="4" w:space="0" w:color="auto"/>
              <w:bottom w:val="single" w:sz="12" w:space="0" w:color="auto"/>
            </w:tcBorders>
            <w:shd w:val="clear" w:color="auto" w:fill="auto"/>
            <w:vAlign w:val="bottom"/>
          </w:tcPr>
          <w:p w14:paraId="5FEC45BF"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1 555</w:t>
            </w:r>
          </w:p>
        </w:tc>
        <w:tc>
          <w:tcPr>
            <w:tcW w:w="442" w:type="pct"/>
            <w:tcBorders>
              <w:top w:val="single" w:sz="4" w:space="0" w:color="auto"/>
              <w:bottom w:val="single" w:sz="12" w:space="0" w:color="auto"/>
            </w:tcBorders>
            <w:shd w:val="clear" w:color="auto" w:fill="auto"/>
            <w:vAlign w:val="bottom"/>
          </w:tcPr>
          <w:p w14:paraId="063C8FED"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6 099</w:t>
            </w:r>
          </w:p>
        </w:tc>
        <w:tc>
          <w:tcPr>
            <w:tcW w:w="440" w:type="pct"/>
            <w:tcBorders>
              <w:top w:val="single" w:sz="4" w:space="0" w:color="auto"/>
              <w:bottom w:val="single" w:sz="12" w:space="0" w:color="auto"/>
            </w:tcBorders>
            <w:shd w:val="clear" w:color="auto" w:fill="auto"/>
            <w:vAlign w:val="bottom"/>
          </w:tcPr>
          <w:p w14:paraId="5C6A1AE9"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6 547</w:t>
            </w:r>
          </w:p>
        </w:tc>
        <w:tc>
          <w:tcPr>
            <w:tcW w:w="514" w:type="pct"/>
            <w:tcBorders>
              <w:top w:val="single" w:sz="4" w:space="0" w:color="auto"/>
              <w:bottom w:val="single" w:sz="12" w:space="0" w:color="auto"/>
            </w:tcBorders>
            <w:shd w:val="clear" w:color="auto" w:fill="auto"/>
            <w:vAlign w:val="bottom"/>
          </w:tcPr>
          <w:p w14:paraId="6D97561A"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12 646</w:t>
            </w:r>
          </w:p>
        </w:tc>
      </w:tr>
    </w:tbl>
    <w:p w14:paraId="5F5E6E17" w14:textId="77777777" w:rsidR="00FA40F2" w:rsidRPr="00283D1B" w:rsidRDefault="00FA40F2" w:rsidP="00283D1B">
      <w:pPr>
        <w:pStyle w:val="SingleTxtG"/>
        <w:spacing w:before="120" w:after="0"/>
        <w:ind w:left="0" w:firstLine="170"/>
        <w:rPr>
          <w:sz w:val="18"/>
          <w:szCs w:val="18"/>
          <w:lang w:val="es-ES_tradnl"/>
        </w:rPr>
      </w:pPr>
      <w:r w:rsidRPr="00283D1B">
        <w:rPr>
          <w:i/>
          <w:iCs/>
          <w:sz w:val="18"/>
          <w:szCs w:val="18"/>
          <w:lang w:val="es-ES_tradnl"/>
        </w:rPr>
        <w:t>Fuente</w:t>
      </w:r>
      <w:r w:rsidRPr="000462BE">
        <w:rPr>
          <w:i/>
          <w:iCs/>
          <w:sz w:val="18"/>
          <w:szCs w:val="18"/>
          <w:lang w:val="es-ES_tradnl"/>
        </w:rPr>
        <w:t>:</w:t>
      </w:r>
      <w:r w:rsidRPr="00283D1B">
        <w:rPr>
          <w:sz w:val="18"/>
          <w:szCs w:val="18"/>
          <w:lang w:val="es-ES_tradnl"/>
        </w:rPr>
        <w:t xml:space="preserve"> Oficina de Bienestar Social.</w:t>
      </w:r>
    </w:p>
    <w:p w14:paraId="44B26197" w14:textId="77777777" w:rsidR="00FA40F2" w:rsidRPr="000462BE" w:rsidRDefault="00FA40F2" w:rsidP="00283D1B">
      <w:pPr>
        <w:pStyle w:val="SingleTxtG"/>
        <w:spacing w:after="0"/>
        <w:ind w:left="0" w:firstLine="170"/>
        <w:rPr>
          <w:i/>
          <w:iCs/>
          <w:sz w:val="18"/>
          <w:szCs w:val="18"/>
          <w:lang w:val="es-ES_tradnl"/>
        </w:rPr>
      </w:pPr>
      <w:r w:rsidRPr="000462BE">
        <w:rPr>
          <w:i/>
          <w:iCs/>
          <w:sz w:val="18"/>
          <w:szCs w:val="18"/>
          <w:lang w:val="es-ES_tradnl"/>
        </w:rPr>
        <w:t>Nota:</w:t>
      </w:r>
    </w:p>
    <w:p w14:paraId="0A56B3A7" w14:textId="77777777" w:rsidR="00FA40F2" w:rsidRPr="00283D1B" w:rsidRDefault="00FA40F2" w:rsidP="00283D1B">
      <w:pPr>
        <w:pStyle w:val="SingleTxtG"/>
        <w:spacing w:after="240"/>
        <w:ind w:left="0" w:firstLine="170"/>
        <w:rPr>
          <w:sz w:val="18"/>
          <w:szCs w:val="18"/>
          <w:lang w:val="es-ES_tradnl"/>
        </w:rPr>
      </w:pPr>
      <w:r w:rsidRPr="00283D1B">
        <w:rPr>
          <w:sz w:val="18"/>
          <w:szCs w:val="18"/>
          <w:lang w:val="es-ES_tradnl"/>
        </w:rPr>
        <w:t xml:space="preserve">* </w:t>
      </w:r>
      <w:r w:rsidR="00283D1B" w:rsidRPr="00283D1B">
        <w:rPr>
          <w:sz w:val="18"/>
          <w:szCs w:val="18"/>
          <w:lang w:val="es-ES_tradnl"/>
        </w:rPr>
        <w:t xml:space="preserve"> </w:t>
      </w:r>
      <w:r w:rsidRPr="00283D1B">
        <w:rPr>
          <w:sz w:val="18"/>
          <w:szCs w:val="18"/>
          <w:lang w:val="es-ES_tradnl"/>
        </w:rPr>
        <w:t xml:space="preserve">Menores de 4 </w:t>
      </w:r>
      <w:proofErr w:type="gramStart"/>
      <w:r w:rsidRPr="00283D1B">
        <w:rPr>
          <w:sz w:val="18"/>
          <w:szCs w:val="18"/>
          <w:lang w:val="es-ES_tradnl"/>
        </w:rPr>
        <w:t>años de edad</w:t>
      </w:r>
      <w:proofErr w:type="gramEnd"/>
      <w:r w:rsidRPr="00283D1B">
        <w:rPr>
          <w:sz w:val="18"/>
          <w:szCs w:val="18"/>
          <w:lang w:val="es-ES_tradnl"/>
        </w:rPr>
        <w:t>.</w:t>
      </w:r>
    </w:p>
    <w:p w14:paraId="3B36C052" w14:textId="77777777" w:rsidR="00FA40F2" w:rsidRPr="00FA40F2" w:rsidRDefault="00FA40F2" w:rsidP="00FA40F2">
      <w:pPr>
        <w:pStyle w:val="SingleTxtG"/>
        <w:rPr>
          <w:lang w:val="es-ES_tradnl"/>
        </w:rPr>
      </w:pPr>
      <w:r w:rsidRPr="00FA40F2">
        <w:rPr>
          <w:lang w:val="es-ES_tradnl"/>
        </w:rPr>
        <w:t>172.</w:t>
      </w:r>
      <w:r w:rsidRPr="00FA40F2">
        <w:rPr>
          <w:lang w:val="es-ES_tradnl"/>
        </w:rPr>
        <w:tab/>
        <w:t xml:space="preserve">Los titulares pueden solicitar un subsidio por discapacidad: el de categoría general, para personas con discapacidades leves o moderadas, y el de categoría especial, para personas con discapacidades graves o extremadamente graves (Ley </w:t>
      </w:r>
      <w:r w:rsidR="00E27276">
        <w:rPr>
          <w:lang w:val="es-ES_tradnl"/>
        </w:rPr>
        <w:t>núm. </w:t>
      </w:r>
      <w:r w:rsidRPr="00FA40F2">
        <w:rPr>
          <w:lang w:val="es-ES_tradnl"/>
        </w:rPr>
        <w:t xml:space="preserve">9/2011, </w:t>
      </w:r>
      <w:r w:rsidR="00722610">
        <w:rPr>
          <w:lang w:val="es-ES_tradnl"/>
        </w:rPr>
        <w:t>artículo </w:t>
      </w:r>
      <w:r w:rsidRPr="00FA40F2">
        <w:rPr>
          <w:lang w:val="es-ES_tradnl"/>
        </w:rPr>
        <w:t xml:space="preserve">3 y </w:t>
      </w:r>
      <w:r w:rsidR="00722610">
        <w:rPr>
          <w:lang w:val="es-ES_tradnl"/>
        </w:rPr>
        <w:t>artículo </w:t>
      </w:r>
      <w:r w:rsidRPr="00FA40F2">
        <w:rPr>
          <w:lang w:val="es-ES_tradnl"/>
        </w:rPr>
        <w:t xml:space="preserve">6, párrafo 1). Se ha incrementado la cuantía de los subsidios en ambas categorías: el general ha pasado de 6.000 a 8.000 patacas de Macao, y el especial, de 12.000 a 16.000 patacas de Macao (Orden </w:t>
      </w:r>
      <w:r w:rsidR="00E27276">
        <w:rPr>
          <w:lang w:val="es-ES_tradnl"/>
        </w:rPr>
        <w:t>núm. </w:t>
      </w:r>
      <w:r w:rsidRPr="00FA40F2">
        <w:rPr>
          <w:lang w:val="es-ES_tradnl"/>
        </w:rPr>
        <w:t xml:space="preserve">317/2016 del </w:t>
      </w:r>
      <w:proofErr w:type="gramStart"/>
      <w:r w:rsidRPr="00FA40F2">
        <w:rPr>
          <w:lang w:val="es-ES_tradnl"/>
        </w:rPr>
        <w:t>Jefe</w:t>
      </w:r>
      <w:proofErr w:type="gramEnd"/>
      <w:r w:rsidRPr="00FA40F2">
        <w:rPr>
          <w:lang w:val="es-ES_tradnl"/>
        </w:rPr>
        <w:t xml:space="preserve"> del Ejecutivo).</w:t>
      </w:r>
    </w:p>
    <w:p w14:paraId="3E7CDB89" w14:textId="77777777" w:rsidR="00FA40F2" w:rsidRPr="00FA40F2" w:rsidRDefault="00FA40F2" w:rsidP="00FA40F2">
      <w:pPr>
        <w:pStyle w:val="SingleTxtG"/>
        <w:rPr>
          <w:lang w:val="es-ES_tradnl"/>
        </w:rPr>
      </w:pPr>
      <w:r w:rsidRPr="00FA40F2">
        <w:rPr>
          <w:lang w:val="es-ES_tradnl"/>
        </w:rPr>
        <w:t>173.</w:t>
      </w:r>
      <w:r w:rsidRPr="00FA40F2">
        <w:rPr>
          <w:lang w:val="es-ES_tradnl"/>
        </w:rPr>
        <w:tab/>
        <w:t xml:space="preserve">El Plan de Rehabilitación, destinado a facilitar la integración social de las personas con discapacidad promoviendo el desarrollo sostenible de los servicios de rehabilitación, abarca 13 ámbitos: prevención y diagnóstico de la discapacidad, rehabilitación médica, formación preescolar y guarderías, educación, empleo y readaptación profesional, asistencia residencial, apoyo de la comunidad, seguridad social, creación de organizaciones de autoayuda de personas con discapacidad, infraestructura accesible (accesos, instalaciones y transporte), información y aplicación de la tecnología de las comunicaciones, actividades recreativas y culturales, y educación pública. </w:t>
      </w:r>
    </w:p>
    <w:p w14:paraId="56FEF720" w14:textId="77777777" w:rsidR="00FA40F2" w:rsidRPr="00FA40F2" w:rsidRDefault="00FA40F2" w:rsidP="00FA40F2">
      <w:pPr>
        <w:pStyle w:val="SingleTxtG"/>
        <w:rPr>
          <w:lang w:val="es-ES_tradnl"/>
        </w:rPr>
      </w:pPr>
      <w:r w:rsidRPr="00FA40F2">
        <w:rPr>
          <w:lang w:val="es-ES_tradnl"/>
        </w:rPr>
        <w:t>174.</w:t>
      </w:r>
      <w:r w:rsidRPr="00FA40F2">
        <w:rPr>
          <w:lang w:val="es-ES_tradnl"/>
        </w:rPr>
        <w:tab/>
        <w:t>La aplicación del Plan de Rehabilitación está siendo supervisada por la Comisión de Rehabilitación.</w:t>
      </w:r>
    </w:p>
    <w:p w14:paraId="0E5B7719" w14:textId="77777777" w:rsidR="00FA40F2" w:rsidRPr="00FA40F2" w:rsidRDefault="00FA40F2" w:rsidP="00FA40F2">
      <w:pPr>
        <w:pStyle w:val="SingleTxtG"/>
        <w:rPr>
          <w:lang w:val="es-ES_tradnl"/>
        </w:rPr>
      </w:pPr>
      <w:r w:rsidRPr="00FA40F2">
        <w:rPr>
          <w:lang w:val="es-ES_tradnl"/>
        </w:rPr>
        <w:t>175.</w:t>
      </w:r>
      <w:r w:rsidRPr="00FA40F2">
        <w:rPr>
          <w:lang w:val="es-ES_tradnl"/>
        </w:rPr>
        <w:tab/>
        <w:t>El Centro de Evaluación Integral para Servicios de Rehabilitación, dependiente de la Oficina de Bienestar Social, realiza evaluaciones interprofesionales y recomienda servicios específicos adecuados. Asimismo, apoya a las instituciones de rehabilitación en la prestación de servicios, como los de acogida, centros de transición, centros de educación y capacitación temprana, centros de recreo, centros diurnos de capacitación, centros de readaptación profesional y servicios de empleo, servicios de participación comunitaria, servicios de apoyo y orientación asistencial, atención médica programada, servicios de acompañamiento y transporte a centros de rehabilitación.</w:t>
      </w:r>
    </w:p>
    <w:p w14:paraId="65F49FD8" w14:textId="77777777" w:rsidR="00FA40F2" w:rsidRPr="00FA40F2" w:rsidRDefault="00FA40F2" w:rsidP="00FA40F2">
      <w:pPr>
        <w:pStyle w:val="SingleTxtG"/>
        <w:rPr>
          <w:lang w:val="es-ES_tradnl"/>
        </w:rPr>
      </w:pPr>
      <w:r w:rsidRPr="00FA40F2">
        <w:rPr>
          <w:lang w:val="es-ES_tradnl"/>
        </w:rPr>
        <w:lastRenderedPageBreak/>
        <w:t>176.</w:t>
      </w:r>
      <w:r w:rsidRPr="00FA40F2">
        <w:rPr>
          <w:lang w:val="es-ES_tradnl"/>
        </w:rPr>
        <w:tab/>
        <w:t xml:space="preserve">Hay 11 hogares de rehabilitación, 10 centros de día para capacitación, 6 centros de readaptación profesional, 4 centros de intervención temprana y educación, 2 servicios de acompañamiento y transporte para rehabilitación y 2 centros de servicios integrales. </w:t>
      </w:r>
    </w:p>
    <w:p w14:paraId="74A51049" w14:textId="77777777" w:rsidR="00FA40F2" w:rsidRPr="00FA40F2" w:rsidRDefault="00283D1B" w:rsidP="00283D1B">
      <w:pPr>
        <w:pStyle w:val="H23G"/>
        <w:rPr>
          <w:lang w:val="es-ES_tradnl"/>
        </w:rPr>
      </w:pPr>
      <w:r>
        <w:rPr>
          <w:lang w:val="es-ES_tradnl"/>
        </w:rPr>
        <w:tab/>
      </w:r>
      <w:r w:rsidR="00FA40F2" w:rsidRPr="00FA40F2">
        <w:rPr>
          <w:lang w:val="es-ES_tradnl"/>
        </w:rPr>
        <w:tab/>
        <w:t>Usuarios de instalaciones o servicios de rehabilitación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26"/>
        <w:gridCol w:w="1089"/>
        <w:gridCol w:w="1089"/>
        <w:gridCol w:w="1089"/>
        <w:gridCol w:w="1089"/>
        <w:gridCol w:w="1088"/>
      </w:tblGrid>
      <w:tr w:rsidR="00FA40F2" w:rsidRPr="00D5361F" w14:paraId="30A57F52" w14:textId="77777777" w:rsidTr="00D5361F">
        <w:trPr>
          <w:cantSplit/>
          <w:trHeight w:val="240"/>
          <w:tblHeader/>
        </w:trPr>
        <w:tc>
          <w:tcPr>
            <w:tcW w:w="1306" w:type="pct"/>
            <w:tcBorders>
              <w:top w:val="single" w:sz="4" w:space="0" w:color="auto"/>
              <w:bottom w:val="single" w:sz="12" w:space="0" w:color="auto"/>
            </w:tcBorders>
            <w:shd w:val="clear" w:color="auto" w:fill="auto"/>
            <w:vAlign w:val="bottom"/>
          </w:tcPr>
          <w:p w14:paraId="7B6EB328" w14:textId="77777777" w:rsidR="00FA40F2" w:rsidRPr="00D5361F" w:rsidRDefault="00FA40F2" w:rsidP="00D5361F">
            <w:pPr>
              <w:pStyle w:val="SingleTxtG"/>
              <w:spacing w:before="80" w:after="80" w:line="200" w:lineRule="exact"/>
              <w:ind w:left="0" w:right="0"/>
              <w:jc w:val="left"/>
              <w:rPr>
                <w:i/>
                <w:sz w:val="16"/>
                <w:lang w:val="es-ES_tradnl"/>
              </w:rPr>
            </w:pPr>
            <w:r w:rsidRPr="00D5361F">
              <w:rPr>
                <w:i/>
                <w:iCs/>
                <w:sz w:val="16"/>
                <w:lang w:val="es-ES_tradnl"/>
              </w:rPr>
              <w:t>Año/Tipo de discapacidad</w:t>
            </w:r>
          </w:p>
        </w:tc>
        <w:tc>
          <w:tcPr>
            <w:tcW w:w="739" w:type="pct"/>
            <w:tcBorders>
              <w:top w:val="single" w:sz="4" w:space="0" w:color="auto"/>
              <w:bottom w:val="single" w:sz="12" w:space="0" w:color="auto"/>
            </w:tcBorders>
            <w:shd w:val="clear" w:color="auto" w:fill="auto"/>
            <w:vAlign w:val="bottom"/>
          </w:tcPr>
          <w:p w14:paraId="60DC026F"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2014</w:t>
            </w:r>
          </w:p>
        </w:tc>
        <w:tc>
          <w:tcPr>
            <w:tcW w:w="739" w:type="pct"/>
            <w:tcBorders>
              <w:top w:val="single" w:sz="4" w:space="0" w:color="auto"/>
              <w:bottom w:val="single" w:sz="12" w:space="0" w:color="auto"/>
            </w:tcBorders>
            <w:shd w:val="clear" w:color="auto" w:fill="auto"/>
            <w:vAlign w:val="bottom"/>
          </w:tcPr>
          <w:p w14:paraId="735654BB"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2015</w:t>
            </w:r>
          </w:p>
        </w:tc>
        <w:tc>
          <w:tcPr>
            <w:tcW w:w="739" w:type="pct"/>
            <w:tcBorders>
              <w:top w:val="single" w:sz="4" w:space="0" w:color="auto"/>
              <w:bottom w:val="single" w:sz="12" w:space="0" w:color="auto"/>
            </w:tcBorders>
            <w:shd w:val="clear" w:color="auto" w:fill="auto"/>
            <w:vAlign w:val="bottom"/>
          </w:tcPr>
          <w:p w14:paraId="51FD862A"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2016</w:t>
            </w:r>
          </w:p>
        </w:tc>
        <w:tc>
          <w:tcPr>
            <w:tcW w:w="739" w:type="pct"/>
            <w:tcBorders>
              <w:top w:val="single" w:sz="4" w:space="0" w:color="auto"/>
              <w:bottom w:val="single" w:sz="12" w:space="0" w:color="auto"/>
            </w:tcBorders>
            <w:shd w:val="clear" w:color="auto" w:fill="auto"/>
            <w:vAlign w:val="bottom"/>
          </w:tcPr>
          <w:p w14:paraId="0610D965"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2017</w:t>
            </w:r>
          </w:p>
        </w:tc>
        <w:tc>
          <w:tcPr>
            <w:tcW w:w="739" w:type="pct"/>
            <w:tcBorders>
              <w:top w:val="single" w:sz="4" w:space="0" w:color="auto"/>
              <w:bottom w:val="single" w:sz="12" w:space="0" w:color="auto"/>
            </w:tcBorders>
            <w:shd w:val="clear" w:color="auto" w:fill="auto"/>
            <w:vAlign w:val="bottom"/>
          </w:tcPr>
          <w:p w14:paraId="4F70ACE4" w14:textId="77777777" w:rsidR="00FA40F2" w:rsidRPr="00D5361F" w:rsidRDefault="00807EE4" w:rsidP="009F379F">
            <w:pPr>
              <w:pStyle w:val="SingleTxtG"/>
              <w:spacing w:before="80" w:after="80" w:line="200" w:lineRule="exact"/>
              <w:ind w:left="113" w:right="11"/>
              <w:jc w:val="right"/>
              <w:rPr>
                <w:i/>
                <w:sz w:val="16"/>
                <w:lang w:val="es-ES_tradnl"/>
              </w:rPr>
            </w:pPr>
            <w:r>
              <w:rPr>
                <w:i/>
                <w:iCs/>
                <w:sz w:val="16"/>
                <w:lang w:val="es-ES_tradnl"/>
              </w:rPr>
              <w:t>Septiembre de </w:t>
            </w:r>
            <w:r w:rsidR="00FA40F2" w:rsidRPr="00D5361F">
              <w:rPr>
                <w:i/>
                <w:iCs/>
                <w:sz w:val="16"/>
                <w:lang w:val="es-ES_tradnl"/>
              </w:rPr>
              <w:t>2018</w:t>
            </w:r>
          </w:p>
        </w:tc>
      </w:tr>
      <w:tr w:rsidR="00FA40F2" w:rsidRPr="00D5361F" w14:paraId="49E4C1B5" w14:textId="77777777" w:rsidTr="00D5361F">
        <w:trPr>
          <w:cantSplit/>
          <w:trHeight w:val="240"/>
        </w:trPr>
        <w:tc>
          <w:tcPr>
            <w:tcW w:w="1306" w:type="pct"/>
            <w:tcBorders>
              <w:top w:val="single" w:sz="12" w:space="0" w:color="auto"/>
            </w:tcBorders>
            <w:shd w:val="clear" w:color="auto" w:fill="auto"/>
          </w:tcPr>
          <w:p w14:paraId="5812341F"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física</w:t>
            </w:r>
          </w:p>
        </w:tc>
        <w:tc>
          <w:tcPr>
            <w:tcW w:w="739" w:type="pct"/>
            <w:tcBorders>
              <w:top w:val="single" w:sz="12" w:space="0" w:color="auto"/>
            </w:tcBorders>
            <w:shd w:val="clear" w:color="auto" w:fill="auto"/>
            <w:vAlign w:val="bottom"/>
          </w:tcPr>
          <w:p w14:paraId="4D66601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1 730</w:t>
            </w:r>
          </w:p>
        </w:tc>
        <w:tc>
          <w:tcPr>
            <w:tcW w:w="739" w:type="pct"/>
            <w:tcBorders>
              <w:top w:val="single" w:sz="12" w:space="0" w:color="auto"/>
            </w:tcBorders>
            <w:shd w:val="clear" w:color="auto" w:fill="auto"/>
            <w:vAlign w:val="bottom"/>
          </w:tcPr>
          <w:p w14:paraId="6B81B34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754</w:t>
            </w:r>
          </w:p>
        </w:tc>
        <w:tc>
          <w:tcPr>
            <w:tcW w:w="739" w:type="pct"/>
            <w:tcBorders>
              <w:top w:val="single" w:sz="12" w:space="0" w:color="auto"/>
            </w:tcBorders>
            <w:shd w:val="clear" w:color="auto" w:fill="auto"/>
            <w:vAlign w:val="bottom"/>
          </w:tcPr>
          <w:p w14:paraId="69C802A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1 596</w:t>
            </w:r>
          </w:p>
        </w:tc>
        <w:tc>
          <w:tcPr>
            <w:tcW w:w="739" w:type="pct"/>
            <w:tcBorders>
              <w:top w:val="single" w:sz="12" w:space="0" w:color="auto"/>
            </w:tcBorders>
            <w:shd w:val="clear" w:color="auto" w:fill="auto"/>
            <w:vAlign w:val="bottom"/>
          </w:tcPr>
          <w:p w14:paraId="391AF31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763</w:t>
            </w:r>
          </w:p>
        </w:tc>
        <w:tc>
          <w:tcPr>
            <w:tcW w:w="739" w:type="pct"/>
            <w:tcBorders>
              <w:top w:val="single" w:sz="12" w:space="0" w:color="auto"/>
            </w:tcBorders>
            <w:shd w:val="clear" w:color="auto" w:fill="auto"/>
            <w:vAlign w:val="bottom"/>
          </w:tcPr>
          <w:p w14:paraId="59EBE60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478*</w:t>
            </w:r>
          </w:p>
        </w:tc>
      </w:tr>
      <w:tr w:rsidR="00FA40F2" w:rsidRPr="00D5361F" w14:paraId="63C91016" w14:textId="77777777" w:rsidTr="00D5361F">
        <w:trPr>
          <w:cantSplit/>
          <w:trHeight w:val="240"/>
        </w:trPr>
        <w:tc>
          <w:tcPr>
            <w:tcW w:w="1306" w:type="pct"/>
            <w:shd w:val="clear" w:color="auto" w:fill="auto"/>
          </w:tcPr>
          <w:p w14:paraId="67E81FCF"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intelectual</w:t>
            </w:r>
          </w:p>
        </w:tc>
        <w:tc>
          <w:tcPr>
            <w:tcW w:w="739" w:type="pct"/>
            <w:shd w:val="clear" w:color="auto" w:fill="auto"/>
            <w:vAlign w:val="bottom"/>
          </w:tcPr>
          <w:p w14:paraId="4F1926F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670</w:t>
            </w:r>
          </w:p>
        </w:tc>
        <w:tc>
          <w:tcPr>
            <w:tcW w:w="739" w:type="pct"/>
            <w:shd w:val="clear" w:color="auto" w:fill="auto"/>
            <w:vAlign w:val="bottom"/>
          </w:tcPr>
          <w:p w14:paraId="12F962C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731</w:t>
            </w:r>
          </w:p>
        </w:tc>
        <w:tc>
          <w:tcPr>
            <w:tcW w:w="739" w:type="pct"/>
            <w:shd w:val="clear" w:color="auto" w:fill="auto"/>
            <w:vAlign w:val="bottom"/>
          </w:tcPr>
          <w:p w14:paraId="044EF58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646</w:t>
            </w:r>
          </w:p>
        </w:tc>
        <w:tc>
          <w:tcPr>
            <w:tcW w:w="739" w:type="pct"/>
            <w:shd w:val="clear" w:color="auto" w:fill="auto"/>
            <w:vAlign w:val="bottom"/>
          </w:tcPr>
          <w:p w14:paraId="642D632D"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643</w:t>
            </w:r>
          </w:p>
        </w:tc>
        <w:tc>
          <w:tcPr>
            <w:tcW w:w="739" w:type="pct"/>
            <w:shd w:val="clear" w:color="auto" w:fill="auto"/>
            <w:vAlign w:val="bottom"/>
          </w:tcPr>
          <w:p w14:paraId="3C42A53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740</w:t>
            </w:r>
          </w:p>
        </w:tc>
      </w:tr>
      <w:tr w:rsidR="00FA40F2" w:rsidRPr="00D5361F" w14:paraId="0F173A2D" w14:textId="77777777" w:rsidTr="00D5361F">
        <w:trPr>
          <w:cantSplit/>
          <w:trHeight w:val="240"/>
        </w:trPr>
        <w:tc>
          <w:tcPr>
            <w:tcW w:w="1306" w:type="pct"/>
            <w:shd w:val="clear" w:color="auto" w:fill="auto"/>
          </w:tcPr>
          <w:p w14:paraId="337B056B"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mental</w:t>
            </w:r>
          </w:p>
        </w:tc>
        <w:tc>
          <w:tcPr>
            <w:tcW w:w="739" w:type="pct"/>
            <w:shd w:val="clear" w:color="auto" w:fill="auto"/>
            <w:vAlign w:val="bottom"/>
          </w:tcPr>
          <w:p w14:paraId="118BA32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868</w:t>
            </w:r>
          </w:p>
        </w:tc>
        <w:tc>
          <w:tcPr>
            <w:tcW w:w="739" w:type="pct"/>
            <w:shd w:val="clear" w:color="auto" w:fill="auto"/>
            <w:vAlign w:val="bottom"/>
          </w:tcPr>
          <w:p w14:paraId="34FEDB5F"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880</w:t>
            </w:r>
          </w:p>
        </w:tc>
        <w:tc>
          <w:tcPr>
            <w:tcW w:w="739" w:type="pct"/>
            <w:shd w:val="clear" w:color="auto" w:fill="auto"/>
            <w:vAlign w:val="bottom"/>
          </w:tcPr>
          <w:p w14:paraId="30329AF0"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934</w:t>
            </w:r>
          </w:p>
        </w:tc>
        <w:tc>
          <w:tcPr>
            <w:tcW w:w="739" w:type="pct"/>
            <w:shd w:val="clear" w:color="auto" w:fill="auto"/>
            <w:vAlign w:val="bottom"/>
          </w:tcPr>
          <w:p w14:paraId="206EB15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1 061</w:t>
            </w:r>
          </w:p>
        </w:tc>
        <w:tc>
          <w:tcPr>
            <w:tcW w:w="739" w:type="pct"/>
            <w:shd w:val="clear" w:color="auto" w:fill="auto"/>
            <w:vAlign w:val="bottom"/>
          </w:tcPr>
          <w:p w14:paraId="519653B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1 110</w:t>
            </w:r>
          </w:p>
        </w:tc>
      </w:tr>
      <w:tr w:rsidR="00FA40F2" w:rsidRPr="00D5361F" w14:paraId="6EEC36E5" w14:textId="77777777" w:rsidTr="00D5361F">
        <w:trPr>
          <w:cantSplit/>
          <w:trHeight w:val="240"/>
        </w:trPr>
        <w:tc>
          <w:tcPr>
            <w:tcW w:w="1306" w:type="pct"/>
            <w:shd w:val="clear" w:color="auto" w:fill="auto"/>
          </w:tcPr>
          <w:p w14:paraId="091F92E3"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por deficiencia auditiva</w:t>
            </w:r>
          </w:p>
        </w:tc>
        <w:tc>
          <w:tcPr>
            <w:tcW w:w="739" w:type="pct"/>
            <w:shd w:val="clear" w:color="auto" w:fill="auto"/>
            <w:vAlign w:val="bottom"/>
          </w:tcPr>
          <w:p w14:paraId="1B52CD55"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385</w:t>
            </w:r>
          </w:p>
        </w:tc>
        <w:tc>
          <w:tcPr>
            <w:tcW w:w="739" w:type="pct"/>
            <w:shd w:val="clear" w:color="auto" w:fill="auto"/>
            <w:vAlign w:val="bottom"/>
          </w:tcPr>
          <w:p w14:paraId="529BF890"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423</w:t>
            </w:r>
          </w:p>
        </w:tc>
        <w:tc>
          <w:tcPr>
            <w:tcW w:w="739" w:type="pct"/>
            <w:shd w:val="clear" w:color="auto" w:fill="auto"/>
            <w:vAlign w:val="bottom"/>
          </w:tcPr>
          <w:p w14:paraId="449B9F7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463</w:t>
            </w:r>
          </w:p>
        </w:tc>
        <w:tc>
          <w:tcPr>
            <w:tcW w:w="739" w:type="pct"/>
            <w:shd w:val="clear" w:color="auto" w:fill="auto"/>
            <w:vAlign w:val="bottom"/>
          </w:tcPr>
          <w:p w14:paraId="2141EC21"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546</w:t>
            </w:r>
          </w:p>
        </w:tc>
        <w:tc>
          <w:tcPr>
            <w:tcW w:w="739" w:type="pct"/>
            <w:shd w:val="clear" w:color="auto" w:fill="auto"/>
            <w:vAlign w:val="bottom"/>
          </w:tcPr>
          <w:p w14:paraId="790C7B8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836</w:t>
            </w:r>
          </w:p>
        </w:tc>
      </w:tr>
      <w:tr w:rsidR="00FA40F2" w:rsidRPr="00D5361F" w14:paraId="2FE8747F" w14:textId="77777777" w:rsidTr="00D5361F">
        <w:trPr>
          <w:cantSplit/>
          <w:trHeight w:val="240"/>
        </w:trPr>
        <w:tc>
          <w:tcPr>
            <w:tcW w:w="1306" w:type="pct"/>
            <w:shd w:val="clear" w:color="auto" w:fill="auto"/>
          </w:tcPr>
          <w:p w14:paraId="7702E068"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por trastornos del lenguaje</w:t>
            </w:r>
          </w:p>
        </w:tc>
        <w:tc>
          <w:tcPr>
            <w:tcW w:w="739" w:type="pct"/>
            <w:shd w:val="clear" w:color="auto" w:fill="auto"/>
            <w:vAlign w:val="bottom"/>
          </w:tcPr>
          <w:p w14:paraId="4467E14E"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67</w:t>
            </w:r>
          </w:p>
        </w:tc>
        <w:tc>
          <w:tcPr>
            <w:tcW w:w="739" w:type="pct"/>
            <w:shd w:val="clear" w:color="auto" w:fill="auto"/>
            <w:vAlign w:val="bottom"/>
          </w:tcPr>
          <w:p w14:paraId="603B39F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85</w:t>
            </w:r>
          </w:p>
        </w:tc>
        <w:tc>
          <w:tcPr>
            <w:tcW w:w="739" w:type="pct"/>
            <w:shd w:val="clear" w:color="auto" w:fill="auto"/>
            <w:vAlign w:val="bottom"/>
          </w:tcPr>
          <w:p w14:paraId="5B2C71C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87</w:t>
            </w:r>
          </w:p>
        </w:tc>
        <w:tc>
          <w:tcPr>
            <w:tcW w:w="739" w:type="pct"/>
            <w:shd w:val="clear" w:color="auto" w:fill="auto"/>
            <w:vAlign w:val="bottom"/>
          </w:tcPr>
          <w:p w14:paraId="5315DB7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96</w:t>
            </w:r>
          </w:p>
        </w:tc>
        <w:tc>
          <w:tcPr>
            <w:tcW w:w="739" w:type="pct"/>
            <w:shd w:val="clear" w:color="auto" w:fill="auto"/>
            <w:vAlign w:val="bottom"/>
          </w:tcPr>
          <w:p w14:paraId="0890A3C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53</w:t>
            </w:r>
          </w:p>
        </w:tc>
      </w:tr>
      <w:tr w:rsidR="00FA40F2" w:rsidRPr="00D5361F" w14:paraId="2CD7BC04" w14:textId="77777777" w:rsidTr="00D5361F">
        <w:trPr>
          <w:cantSplit/>
          <w:trHeight w:val="240"/>
        </w:trPr>
        <w:tc>
          <w:tcPr>
            <w:tcW w:w="1306" w:type="pct"/>
            <w:shd w:val="clear" w:color="auto" w:fill="auto"/>
          </w:tcPr>
          <w:p w14:paraId="03C9E623"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por deficiencia visual</w:t>
            </w:r>
          </w:p>
        </w:tc>
        <w:tc>
          <w:tcPr>
            <w:tcW w:w="739" w:type="pct"/>
            <w:shd w:val="clear" w:color="auto" w:fill="auto"/>
            <w:vAlign w:val="bottom"/>
          </w:tcPr>
          <w:p w14:paraId="738E7074"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87</w:t>
            </w:r>
          </w:p>
        </w:tc>
        <w:tc>
          <w:tcPr>
            <w:tcW w:w="739" w:type="pct"/>
            <w:shd w:val="clear" w:color="auto" w:fill="auto"/>
            <w:vAlign w:val="bottom"/>
          </w:tcPr>
          <w:p w14:paraId="3A7D04A2"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83</w:t>
            </w:r>
          </w:p>
        </w:tc>
        <w:tc>
          <w:tcPr>
            <w:tcW w:w="739" w:type="pct"/>
            <w:shd w:val="clear" w:color="auto" w:fill="auto"/>
            <w:vAlign w:val="bottom"/>
          </w:tcPr>
          <w:p w14:paraId="6927834E"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88</w:t>
            </w:r>
          </w:p>
        </w:tc>
        <w:tc>
          <w:tcPr>
            <w:tcW w:w="739" w:type="pct"/>
            <w:shd w:val="clear" w:color="auto" w:fill="auto"/>
            <w:vAlign w:val="bottom"/>
          </w:tcPr>
          <w:p w14:paraId="2BE539F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92</w:t>
            </w:r>
          </w:p>
        </w:tc>
        <w:tc>
          <w:tcPr>
            <w:tcW w:w="739" w:type="pct"/>
            <w:shd w:val="clear" w:color="auto" w:fill="auto"/>
            <w:vAlign w:val="bottom"/>
          </w:tcPr>
          <w:p w14:paraId="13EE023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90</w:t>
            </w:r>
          </w:p>
        </w:tc>
      </w:tr>
      <w:tr w:rsidR="00FA40F2" w:rsidRPr="00D5361F" w14:paraId="66D44FBF" w14:textId="77777777" w:rsidTr="00D5361F">
        <w:trPr>
          <w:cantSplit/>
          <w:trHeight w:val="240"/>
        </w:trPr>
        <w:tc>
          <w:tcPr>
            <w:tcW w:w="1306" w:type="pct"/>
            <w:shd w:val="clear" w:color="auto" w:fill="auto"/>
          </w:tcPr>
          <w:p w14:paraId="6B54BC98"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Autismo</w:t>
            </w:r>
          </w:p>
        </w:tc>
        <w:tc>
          <w:tcPr>
            <w:tcW w:w="739" w:type="pct"/>
            <w:shd w:val="clear" w:color="auto" w:fill="auto"/>
            <w:vAlign w:val="bottom"/>
          </w:tcPr>
          <w:p w14:paraId="2CD3F69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33</w:t>
            </w:r>
          </w:p>
        </w:tc>
        <w:tc>
          <w:tcPr>
            <w:tcW w:w="739" w:type="pct"/>
            <w:shd w:val="clear" w:color="auto" w:fill="auto"/>
            <w:vAlign w:val="bottom"/>
          </w:tcPr>
          <w:p w14:paraId="5AA739D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28</w:t>
            </w:r>
          </w:p>
        </w:tc>
        <w:tc>
          <w:tcPr>
            <w:tcW w:w="739" w:type="pct"/>
            <w:shd w:val="clear" w:color="auto" w:fill="auto"/>
            <w:vAlign w:val="bottom"/>
          </w:tcPr>
          <w:p w14:paraId="5C630881"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23</w:t>
            </w:r>
          </w:p>
        </w:tc>
        <w:tc>
          <w:tcPr>
            <w:tcW w:w="739" w:type="pct"/>
            <w:shd w:val="clear" w:color="auto" w:fill="auto"/>
            <w:vAlign w:val="bottom"/>
          </w:tcPr>
          <w:p w14:paraId="5E4A326D"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29</w:t>
            </w:r>
          </w:p>
        </w:tc>
        <w:tc>
          <w:tcPr>
            <w:tcW w:w="739" w:type="pct"/>
            <w:shd w:val="clear" w:color="auto" w:fill="auto"/>
            <w:vAlign w:val="bottom"/>
          </w:tcPr>
          <w:p w14:paraId="5F7D593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24</w:t>
            </w:r>
          </w:p>
        </w:tc>
      </w:tr>
      <w:tr w:rsidR="00FA40F2" w:rsidRPr="00D5361F" w14:paraId="24D0A9D7" w14:textId="77777777" w:rsidTr="00D5361F">
        <w:trPr>
          <w:cantSplit/>
          <w:trHeight w:val="240"/>
        </w:trPr>
        <w:tc>
          <w:tcPr>
            <w:tcW w:w="1306" w:type="pct"/>
            <w:shd w:val="clear" w:color="auto" w:fill="auto"/>
          </w:tcPr>
          <w:p w14:paraId="7A043823"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Discapacidades múltiples</w:t>
            </w:r>
          </w:p>
        </w:tc>
        <w:tc>
          <w:tcPr>
            <w:tcW w:w="739" w:type="pct"/>
            <w:shd w:val="clear" w:color="auto" w:fill="auto"/>
            <w:vAlign w:val="bottom"/>
          </w:tcPr>
          <w:p w14:paraId="0EEA8A2F"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398</w:t>
            </w:r>
          </w:p>
        </w:tc>
        <w:tc>
          <w:tcPr>
            <w:tcW w:w="739" w:type="pct"/>
            <w:shd w:val="clear" w:color="auto" w:fill="auto"/>
            <w:vAlign w:val="bottom"/>
          </w:tcPr>
          <w:p w14:paraId="56C3DD1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445</w:t>
            </w:r>
          </w:p>
        </w:tc>
        <w:tc>
          <w:tcPr>
            <w:tcW w:w="739" w:type="pct"/>
            <w:shd w:val="clear" w:color="auto" w:fill="auto"/>
            <w:vAlign w:val="bottom"/>
          </w:tcPr>
          <w:p w14:paraId="330618D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455</w:t>
            </w:r>
          </w:p>
        </w:tc>
        <w:tc>
          <w:tcPr>
            <w:tcW w:w="739" w:type="pct"/>
            <w:shd w:val="clear" w:color="auto" w:fill="auto"/>
            <w:vAlign w:val="bottom"/>
          </w:tcPr>
          <w:p w14:paraId="0BF3ED9D"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450</w:t>
            </w:r>
          </w:p>
        </w:tc>
        <w:tc>
          <w:tcPr>
            <w:tcW w:w="739" w:type="pct"/>
            <w:shd w:val="clear" w:color="auto" w:fill="auto"/>
            <w:vAlign w:val="bottom"/>
          </w:tcPr>
          <w:p w14:paraId="27EF5D0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597</w:t>
            </w:r>
          </w:p>
        </w:tc>
      </w:tr>
      <w:tr w:rsidR="00FA40F2" w:rsidRPr="00D5361F" w14:paraId="7C46A980" w14:textId="77777777" w:rsidTr="00D5361F">
        <w:trPr>
          <w:cantSplit/>
          <w:trHeight w:val="240"/>
        </w:trPr>
        <w:tc>
          <w:tcPr>
            <w:tcW w:w="1306" w:type="pct"/>
            <w:tcBorders>
              <w:bottom w:val="single" w:sz="4" w:space="0" w:color="auto"/>
            </w:tcBorders>
            <w:shd w:val="clear" w:color="auto" w:fill="auto"/>
          </w:tcPr>
          <w:p w14:paraId="74105DD7"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Otros</w:t>
            </w:r>
          </w:p>
        </w:tc>
        <w:tc>
          <w:tcPr>
            <w:tcW w:w="739" w:type="pct"/>
            <w:tcBorders>
              <w:bottom w:val="single" w:sz="4" w:space="0" w:color="auto"/>
            </w:tcBorders>
            <w:shd w:val="clear" w:color="auto" w:fill="auto"/>
            <w:vAlign w:val="bottom"/>
          </w:tcPr>
          <w:p w14:paraId="32ECFEE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614</w:t>
            </w:r>
          </w:p>
        </w:tc>
        <w:tc>
          <w:tcPr>
            <w:tcW w:w="739" w:type="pct"/>
            <w:tcBorders>
              <w:bottom w:val="single" w:sz="4" w:space="0" w:color="auto"/>
            </w:tcBorders>
            <w:shd w:val="clear" w:color="auto" w:fill="auto"/>
            <w:vAlign w:val="bottom"/>
          </w:tcPr>
          <w:p w14:paraId="48FC099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1 431</w:t>
            </w:r>
          </w:p>
        </w:tc>
        <w:tc>
          <w:tcPr>
            <w:tcW w:w="739" w:type="pct"/>
            <w:tcBorders>
              <w:bottom w:val="single" w:sz="4" w:space="0" w:color="auto"/>
            </w:tcBorders>
            <w:shd w:val="clear" w:color="auto" w:fill="auto"/>
            <w:vAlign w:val="bottom"/>
          </w:tcPr>
          <w:p w14:paraId="08088A4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586</w:t>
            </w:r>
          </w:p>
        </w:tc>
        <w:tc>
          <w:tcPr>
            <w:tcW w:w="739" w:type="pct"/>
            <w:tcBorders>
              <w:bottom w:val="single" w:sz="4" w:space="0" w:color="auto"/>
            </w:tcBorders>
            <w:shd w:val="clear" w:color="auto" w:fill="auto"/>
            <w:vAlign w:val="bottom"/>
          </w:tcPr>
          <w:p w14:paraId="4AAD5D8B"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1 266</w:t>
            </w:r>
          </w:p>
        </w:tc>
        <w:tc>
          <w:tcPr>
            <w:tcW w:w="739" w:type="pct"/>
            <w:tcBorders>
              <w:bottom w:val="single" w:sz="4" w:space="0" w:color="auto"/>
            </w:tcBorders>
            <w:shd w:val="clear" w:color="auto" w:fill="auto"/>
            <w:vAlign w:val="bottom"/>
          </w:tcPr>
          <w:p w14:paraId="77EA8D9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1 113</w:t>
            </w:r>
          </w:p>
        </w:tc>
      </w:tr>
      <w:tr w:rsidR="00FA40F2" w:rsidRPr="00D5361F" w14:paraId="1B57FE87" w14:textId="77777777" w:rsidTr="00D5361F">
        <w:trPr>
          <w:cantSplit/>
          <w:trHeight w:val="240"/>
        </w:trPr>
        <w:tc>
          <w:tcPr>
            <w:tcW w:w="1306" w:type="pct"/>
            <w:tcBorders>
              <w:top w:val="single" w:sz="4" w:space="0" w:color="auto"/>
              <w:bottom w:val="single" w:sz="12" w:space="0" w:color="auto"/>
            </w:tcBorders>
            <w:shd w:val="clear" w:color="auto" w:fill="auto"/>
          </w:tcPr>
          <w:p w14:paraId="3DE19700" w14:textId="77777777" w:rsidR="00FA40F2" w:rsidRPr="00D5361F" w:rsidRDefault="00FA40F2" w:rsidP="00D5361F">
            <w:pPr>
              <w:pStyle w:val="SingleTxtG"/>
              <w:spacing w:before="80" w:after="80" w:line="220" w:lineRule="exact"/>
              <w:ind w:left="283" w:right="0"/>
              <w:jc w:val="left"/>
              <w:rPr>
                <w:b/>
                <w:sz w:val="18"/>
                <w:lang w:val="es-ES_tradnl"/>
              </w:rPr>
            </w:pPr>
            <w:r w:rsidRPr="00D5361F">
              <w:rPr>
                <w:b/>
                <w:bCs/>
                <w:sz w:val="18"/>
                <w:lang w:val="es-ES_tradnl"/>
              </w:rPr>
              <w:t>Total</w:t>
            </w:r>
          </w:p>
        </w:tc>
        <w:tc>
          <w:tcPr>
            <w:tcW w:w="739" w:type="pct"/>
            <w:tcBorders>
              <w:top w:val="single" w:sz="4" w:space="0" w:color="auto"/>
              <w:bottom w:val="single" w:sz="12" w:space="0" w:color="auto"/>
            </w:tcBorders>
            <w:shd w:val="clear" w:color="auto" w:fill="auto"/>
            <w:vAlign w:val="bottom"/>
          </w:tcPr>
          <w:p w14:paraId="126AAC73"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4 852</w:t>
            </w:r>
          </w:p>
        </w:tc>
        <w:tc>
          <w:tcPr>
            <w:tcW w:w="739" w:type="pct"/>
            <w:tcBorders>
              <w:top w:val="single" w:sz="4" w:space="0" w:color="auto"/>
              <w:bottom w:val="single" w:sz="12" w:space="0" w:color="auto"/>
            </w:tcBorders>
            <w:shd w:val="clear" w:color="auto" w:fill="auto"/>
            <w:vAlign w:val="bottom"/>
          </w:tcPr>
          <w:p w14:paraId="21667C44"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4 860</w:t>
            </w:r>
          </w:p>
        </w:tc>
        <w:tc>
          <w:tcPr>
            <w:tcW w:w="739" w:type="pct"/>
            <w:tcBorders>
              <w:top w:val="single" w:sz="4" w:space="0" w:color="auto"/>
              <w:bottom w:val="single" w:sz="12" w:space="0" w:color="auto"/>
            </w:tcBorders>
            <w:shd w:val="clear" w:color="auto" w:fill="auto"/>
            <w:vAlign w:val="bottom"/>
          </w:tcPr>
          <w:p w14:paraId="73B9F0ED"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4 878</w:t>
            </w:r>
          </w:p>
        </w:tc>
        <w:tc>
          <w:tcPr>
            <w:tcW w:w="739" w:type="pct"/>
            <w:tcBorders>
              <w:top w:val="single" w:sz="4" w:space="0" w:color="auto"/>
              <w:bottom w:val="single" w:sz="12" w:space="0" w:color="auto"/>
            </w:tcBorders>
            <w:shd w:val="clear" w:color="auto" w:fill="auto"/>
            <w:vAlign w:val="bottom"/>
          </w:tcPr>
          <w:p w14:paraId="3F5CA517"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4 946</w:t>
            </w:r>
          </w:p>
        </w:tc>
        <w:tc>
          <w:tcPr>
            <w:tcW w:w="739" w:type="pct"/>
            <w:tcBorders>
              <w:top w:val="single" w:sz="4" w:space="0" w:color="auto"/>
              <w:bottom w:val="single" w:sz="12" w:space="0" w:color="auto"/>
            </w:tcBorders>
            <w:shd w:val="clear" w:color="auto" w:fill="auto"/>
            <w:vAlign w:val="bottom"/>
          </w:tcPr>
          <w:p w14:paraId="603639E5"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5 041</w:t>
            </w:r>
          </w:p>
        </w:tc>
      </w:tr>
    </w:tbl>
    <w:p w14:paraId="19CC4FF2" w14:textId="77777777" w:rsidR="00FA40F2" w:rsidRPr="005A1ED4" w:rsidRDefault="00FA40F2" w:rsidP="005A1ED4">
      <w:pPr>
        <w:pStyle w:val="SingleTxtG"/>
        <w:spacing w:before="120" w:after="0"/>
        <w:ind w:firstLine="170"/>
        <w:rPr>
          <w:sz w:val="18"/>
          <w:szCs w:val="18"/>
          <w:lang w:val="es-ES_tradnl"/>
        </w:rPr>
      </w:pPr>
      <w:r w:rsidRPr="005A1ED4">
        <w:rPr>
          <w:i/>
          <w:iCs/>
          <w:sz w:val="18"/>
          <w:szCs w:val="18"/>
          <w:lang w:val="es-ES_tradnl"/>
        </w:rPr>
        <w:t>Fuente</w:t>
      </w:r>
      <w:r w:rsidRPr="00390E39">
        <w:rPr>
          <w:i/>
          <w:iCs/>
          <w:sz w:val="18"/>
          <w:szCs w:val="18"/>
          <w:lang w:val="es-ES_tradnl"/>
        </w:rPr>
        <w:t>:</w:t>
      </w:r>
      <w:r w:rsidRPr="005A1ED4">
        <w:rPr>
          <w:sz w:val="18"/>
          <w:szCs w:val="18"/>
          <w:lang w:val="es-ES_tradnl"/>
        </w:rPr>
        <w:t xml:space="preserve"> Oficina de Bienestar Social.</w:t>
      </w:r>
    </w:p>
    <w:p w14:paraId="4E23B4A8" w14:textId="77777777" w:rsidR="00FA40F2" w:rsidRPr="005A1ED4" w:rsidRDefault="00FA40F2" w:rsidP="005A1ED4">
      <w:pPr>
        <w:pStyle w:val="SingleTxtG"/>
        <w:spacing w:after="0"/>
        <w:ind w:firstLine="170"/>
        <w:rPr>
          <w:sz w:val="18"/>
          <w:szCs w:val="18"/>
          <w:lang w:val="es-ES_tradnl"/>
        </w:rPr>
      </w:pPr>
      <w:r w:rsidRPr="005A1ED4">
        <w:rPr>
          <w:i/>
          <w:iCs/>
          <w:sz w:val="18"/>
          <w:szCs w:val="18"/>
          <w:lang w:val="es-ES_tradnl"/>
        </w:rPr>
        <w:t>Observaciones:</w:t>
      </w:r>
    </w:p>
    <w:p w14:paraId="4AD65E48" w14:textId="77777777" w:rsidR="00FA40F2" w:rsidRPr="005A1ED4" w:rsidRDefault="00FA40F2" w:rsidP="00390E39">
      <w:pPr>
        <w:pStyle w:val="SingleTxtG"/>
        <w:ind w:firstLine="170"/>
        <w:jc w:val="left"/>
        <w:rPr>
          <w:sz w:val="18"/>
          <w:szCs w:val="18"/>
          <w:lang w:val="es-ES_tradnl"/>
        </w:rPr>
      </w:pPr>
      <w:r w:rsidRPr="005A1ED4">
        <w:rPr>
          <w:sz w:val="18"/>
          <w:szCs w:val="18"/>
          <w:lang w:val="es-ES_tradnl"/>
        </w:rPr>
        <w:t xml:space="preserve">* </w:t>
      </w:r>
      <w:r w:rsidR="005A1ED4">
        <w:rPr>
          <w:sz w:val="18"/>
          <w:szCs w:val="18"/>
          <w:lang w:val="es-ES_tradnl"/>
        </w:rPr>
        <w:t xml:space="preserve"> </w:t>
      </w:r>
      <w:r w:rsidRPr="005A1ED4">
        <w:rPr>
          <w:sz w:val="18"/>
          <w:szCs w:val="18"/>
          <w:lang w:val="es-ES_tradnl"/>
        </w:rPr>
        <w:t>Sin incluir el número de servicios de traslado prestados por los centros de servicios sociales. Entre enero y septiembre de 2018 se realizaron 3.544 traslados de personas con discapacidad física.</w:t>
      </w:r>
    </w:p>
    <w:p w14:paraId="1CEBD46A" w14:textId="77777777" w:rsidR="00FA40F2" w:rsidRPr="00FA40F2" w:rsidRDefault="00FA40F2" w:rsidP="00FA40F2">
      <w:pPr>
        <w:pStyle w:val="SingleTxtG"/>
        <w:rPr>
          <w:lang w:val="es-ES_tradnl"/>
        </w:rPr>
      </w:pPr>
      <w:r w:rsidRPr="00FA40F2">
        <w:rPr>
          <w:lang w:val="es-ES_tradnl"/>
        </w:rPr>
        <w:t>177.</w:t>
      </w:r>
      <w:r w:rsidRPr="00FA40F2">
        <w:rPr>
          <w:lang w:val="es-ES_tradnl"/>
        </w:rPr>
        <w:tab/>
        <w:t>Cabe destacar que, en 2016, la Oficina de Salud, la Dirección de Servicios de Educación y Juventud y la Oficina de Bienestar Social crearon el Centro de Evaluación Integral de Niños, que presta un servicio centralizado de evaluación completa de niños de hasta 6 años inclusive, con fines de detección temprana, evaluación, diagnóstico y tratamiento. Por otra parte, el Centro ayuda a las familias en las que hay niños con discapacidad a superar las dificultades y desafíos que se presentan desde que se sospecha la existencia de una discapacidad hasta la rehabilitación. En 2016 y 2017 realizó 1.656 y 4.352 consultas, respectivamente.</w:t>
      </w:r>
    </w:p>
    <w:p w14:paraId="1E409B56" w14:textId="77777777" w:rsidR="00FA40F2" w:rsidRPr="00FA40F2" w:rsidRDefault="00FA40F2" w:rsidP="00FA40F2">
      <w:pPr>
        <w:pStyle w:val="SingleTxtG"/>
        <w:rPr>
          <w:lang w:val="es-ES_tradnl"/>
        </w:rPr>
      </w:pPr>
      <w:r w:rsidRPr="00FA40F2">
        <w:rPr>
          <w:lang w:val="es-ES_tradnl"/>
        </w:rPr>
        <w:t>178.</w:t>
      </w:r>
      <w:r w:rsidRPr="00FA40F2">
        <w:rPr>
          <w:lang w:val="es-ES_tradnl"/>
        </w:rPr>
        <w:tab/>
        <w:t xml:space="preserve">Es muy importante conseguir un entorno sin obstáculos. Para ello, se han optimizado las instalaciones para facilitar la accesibilidad en los lugares públicos adaptando baños y ascensores, colocando rampas, habilitando vías para sillas de ruedas y senderos para invidentes, instalando plataformas elevadoras y botoneras adaptadas en ascensores para usuarios de sillas de ruedas, colocando bandas táctiles de advertencia en pasillos, caminos y senderos de lugares públicos y adaptando la altura de los mostradores de recepción. </w:t>
      </w:r>
    </w:p>
    <w:p w14:paraId="2F93E7E4" w14:textId="77777777" w:rsidR="00FA40F2" w:rsidRPr="00FA40F2" w:rsidRDefault="00FA40F2" w:rsidP="00FA40F2">
      <w:pPr>
        <w:pStyle w:val="SingleTxtG"/>
        <w:rPr>
          <w:lang w:val="es-ES_tradnl"/>
        </w:rPr>
      </w:pPr>
      <w:r w:rsidRPr="00FA40F2">
        <w:rPr>
          <w:lang w:val="es-ES_tradnl"/>
        </w:rPr>
        <w:t>179.</w:t>
      </w:r>
      <w:r w:rsidRPr="00FA40F2">
        <w:rPr>
          <w:lang w:val="es-ES_tradnl"/>
        </w:rPr>
        <w:tab/>
        <w:t>En 2017 se distribuyeron folletos informativos sobre las instalaciones sin barreras y se publicaron directrices sobre la construcción sin barreras para un diseño universal, de aplicación en todas las nuevas construcciones públicas y los proyectos subvencionados por el Gobierno.</w:t>
      </w:r>
    </w:p>
    <w:p w14:paraId="5833F1C4" w14:textId="77777777" w:rsidR="00FA40F2" w:rsidRPr="00FA40F2" w:rsidRDefault="00FA40F2" w:rsidP="005A1ED4">
      <w:pPr>
        <w:pStyle w:val="H1G"/>
        <w:rPr>
          <w:lang w:val="es-ES_tradnl"/>
        </w:rPr>
      </w:pPr>
      <w:r w:rsidRPr="00FA40F2">
        <w:rPr>
          <w:lang w:val="es-ES_tradnl"/>
        </w:rPr>
        <w:tab/>
      </w:r>
      <w:r w:rsidR="005A1ED4">
        <w:rPr>
          <w:lang w:val="es-ES_tradnl"/>
        </w:rPr>
        <w:tab/>
      </w:r>
      <w:r w:rsidR="00722610">
        <w:rPr>
          <w:lang w:val="es-ES_tradnl"/>
        </w:rPr>
        <w:t>Artículo </w:t>
      </w:r>
      <w:r w:rsidRPr="00FA40F2">
        <w:rPr>
          <w:lang w:val="es-ES_tradnl"/>
        </w:rPr>
        <w:t>11</w:t>
      </w:r>
      <w:r w:rsidRPr="00FA40F2">
        <w:rPr>
          <w:lang w:val="es-ES_tradnl"/>
        </w:rPr>
        <w:br/>
        <w:t>Derecho a un nivel de vida adecuado</w:t>
      </w:r>
      <w:bookmarkStart w:id="40" w:name="_Toc286998600"/>
      <w:bookmarkStart w:id="41" w:name="_Toc194229830"/>
      <w:bookmarkStart w:id="42" w:name="_Toc194226868"/>
      <w:bookmarkEnd w:id="40"/>
      <w:bookmarkEnd w:id="41"/>
      <w:bookmarkEnd w:id="42"/>
    </w:p>
    <w:p w14:paraId="5BCEC12C" w14:textId="77777777" w:rsidR="00FA40F2" w:rsidRPr="00FA40F2" w:rsidRDefault="00FA40F2" w:rsidP="005A1ED4">
      <w:pPr>
        <w:pStyle w:val="H23G"/>
        <w:rPr>
          <w:lang w:val="es-ES_tradnl"/>
        </w:rPr>
      </w:pPr>
      <w:bookmarkStart w:id="43" w:name="_Toc286998601"/>
      <w:r w:rsidRPr="00FA40F2">
        <w:rPr>
          <w:lang w:val="es-ES_tradnl"/>
        </w:rPr>
        <w:tab/>
      </w:r>
      <w:r w:rsidR="005A1ED4">
        <w:rPr>
          <w:lang w:val="es-ES_tradnl"/>
        </w:rPr>
        <w:tab/>
      </w:r>
      <w:r w:rsidRPr="00FA40F2">
        <w:rPr>
          <w:lang w:val="es-ES_tradnl"/>
        </w:rPr>
        <w:t>Descripción general</w:t>
      </w:r>
      <w:bookmarkEnd w:id="43"/>
    </w:p>
    <w:p w14:paraId="25D58E13" w14:textId="77777777" w:rsidR="00FA40F2" w:rsidRPr="00FA40F2" w:rsidRDefault="00FA40F2" w:rsidP="00FA40F2">
      <w:pPr>
        <w:pStyle w:val="SingleTxtG"/>
        <w:rPr>
          <w:lang w:val="es-ES_tradnl"/>
        </w:rPr>
      </w:pPr>
      <w:r w:rsidRPr="00FA40F2">
        <w:rPr>
          <w:lang w:val="es-ES_tradnl"/>
        </w:rPr>
        <w:t>180.</w:t>
      </w:r>
      <w:r w:rsidRPr="00FA40F2">
        <w:rPr>
          <w:lang w:val="es-ES_tradnl"/>
        </w:rPr>
        <w:tab/>
        <w:t xml:space="preserve">En 2017, la superficie de Macao era de 30,8 </w:t>
      </w:r>
      <w:proofErr w:type="spellStart"/>
      <w:r w:rsidRPr="00FA40F2">
        <w:rPr>
          <w:lang w:val="es-ES_tradnl"/>
        </w:rPr>
        <w:t>km</w:t>
      </w:r>
      <w:r w:rsidRPr="00FA40F2">
        <w:rPr>
          <w:vertAlign w:val="superscript"/>
          <w:lang w:val="es-ES_tradnl"/>
        </w:rPr>
        <w:t>2</w:t>
      </w:r>
      <w:proofErr w:type="spellEnd"/>
      <w:r w:rsidRPr="00FA40F2">
        <w:rPr>
          <w:lang w:val="es-ES_tradnl"/>
        </w:rPr>
        <w:t xml:space="preserve">, es decir, 0,3 </w:t>
      </w:r>
      <w:proofErr w:type="spellStart"/>
      <w:r w:rsidRPr="00FA40F2">
        <w:rPr>
          <w:lang w:val="es-ES_tradnl"/>
        </w:rPr>
        <w:t>km</w:t>
      </w:r>
      <w:r w:rsidRPr="00FA40F2">
        <w:rPr>
          <w:vertAlign w:val="superscript"/>
          <w:lang w:val="es-ES_tradnl"/>
        </w:rPr>
        <w:t>2</w:t>
      </w:r>
      <w:proofErr w:type="spellEnd"/>
      <w:r w:rsidRPr="00FA40F2">
        <w:rPr>
          <w:lang w:val="es-ES_tradnl"/>
        </w:rPr>
        <w:t xml:space="preserve"> más que el año</w:t>
      </w:r>
      <w:r w:rsidR="00390E39">
        <w:rPr>
          <w:lang w:val="es-ES_tradnl"/>
        </w:rPr>
        <w:t> </w:t>
      </w:r>
      <w:r w:rsidRPr="00FA40F2">
        <w:rPr>
          <w:lang w:val="es-ES_tradnl"/>
        </w:rPr>
        <w:t xml:space="preserve">anterior. La densidad de población se redujo de 21.400 personas por </w:t>
      </w:r>
      <w:proofErr w:type="spellStart"/>
      <w:r w:rsidRPr="00FA40F2">
        <w:rPr>
          <w:lang w:val="es-ES_tradnl"/>
        </w:rPr>
        <w:t>km</w:t>
      </w:r>
      <w:r w:rsidRPr="00FA40F2">
        <w:rPr>
          <w:vertAlign w:val="superscript"/>
          <w:lang w:val="es-ES_tradnl"/>
        </w:rPr>
        <w:t>2</w:t>
      </w:r>
      <w:proofErr w:type="spellEnd"/>
      <w:r w:rsidRPr="00FA40F2">
        <w:rPr>
          <w:lang w:val="es-ES_tradnl"/>
        </w:rPr>
        <w:t xml:space="preserve"> en 2016 a 21.100 personas por </w:t>
      </w:r>
      <w:proofErr w:type="spellStart"/>
      <w:r w:rsidRPr="00FA40F2">
        <w:rPr>
          <w:lang w:val="es-ES_tradnl"/>
        </w:rPr>
        <w:t>km</w:t>
      </w:r>
      <w:r w:rsidRPr="00FA40F2">
        <w:rPr>
          <w:vertAlign w:val="superscript"/>
          <w:lang w:val="es-ES_tradnl"/>
        </w:rPr>
        <w:t>2</w:t>
      </w:r>
      <w:proofErr w:type="spellEnd"/>
      <w:r w:rsidRPr="00FA40F2">
        <w:rPr>
          <w:lang w:val="es-ES_tradnl"/>
        </w:rPr>
        <w:t xml:space="preserve"> en 2017. El PIB per cápita fue de 625.254 patacas de Macao. Los indicadores generales de calidad de vida, tales como el consumo de agua, la calidad del agua </w:t>
      </w:r>
      <w:r w:rsidRPr="00FA40F2">
        <w:rPr>
          <w:lang w:val="es-ES_tradnl"/>
        </w:rPr>
        <w:lastRenderedPageBreak/>
        <w:t>y la calidad del aire, pueden consultarse en las páginas 29 a 31 y 34 a 37 del Anuario Estadístico de 2017.</w:t>
      </w:r>
    </w:p>
    <w:p w14:paraId="0CB8479F" w14:textId="77777777" w:rsidR="00FA40F2" w:rsidRPr="00FA40F2" w:rsidRDefault="00FA40F2" w:rsidP="00FA40F2">
      <w:pPr>
        <w:pStyle w:val="SingleTxtG"/>
        <w:rPr>
          <w:lang w:val="es-ES_tradnl"/>
        </w:rPr>
      </w:pPr>
      <w:r w:rsidRPr="00FA40F2">
        <w:rPr>
          <w:lang w:val="es-ES_tradnl"/>
        </w:rPr>
        <w:t>181.</w:t>
      </w:r>
      <w:r w:rsidRPr="00FA40F2">
        <w:rPr>
          <w:lang w:val="es-ES_tradnl"/>
        </w:rPr>
        <w:tab/>
        <w:t>El Gobierno continúa plenamente comprometido con su objetivo permanente de mejorar las condiciones de vida de la población. Se introdujeron programas y medidas específicos con el fin de asegurar el derecho de toda la ciudadanía a vivir con dignidad y de ayudar a las personas o familias vulnerables, como se explica en los artículos 6, 7, 9 y 10.</w:t>
      </w:r>
    </w:p>
    <w:p w14:paraId="14A054A3" w14:textId="77777777" w:rsidR="00FA40F2" w:rsidRPr="00FA40F2" w:rsidRDefault="00FA40F2" w:rsidP="00FA40F2">
      <w:pPr>
        <w:pStyle w:val="SingleTxtG"/>
        <w:rPr>
          <w:lang w:val="es-ES_tradnl"/>
        </w:rPr>
      </w:pPr>
      <w:r w:rsidRPr="00FA40F2">
        <w:rPr>
          <w:lang w:val="es-ES_tradnl"/>
        </w:rPr>
        <w:t>182.</w:t>
      </w:r>
      <w:r w:rsidRPr="00FA40F2">
        <w:rPr>
          <w:lang w:val="es-ES_tradnl"/>
        </w:rPr>
        <w:tab/>
        <w:t xml:space="preserve">La Oficina de Bienestar Social ofrece una amplia gama de prestaciones para luchar contra la pobreza y la exclusión social (Reglamento Administrativo </w:t>
      </w:r>
      <w:r w:rsidR="00E27276">
        <w:rPr>
          <w:lang w:val="es-ES_tradnl"/>
        </w:rPr>
        <w:t>núm. </w:t>
      </w:r>
      <w:r w:rsidRPr="00FA40F2">
        <w:rPr>
          <w:lang w:val="es-ES_tradnl"/>
        </w:rPr>
        <w:t xml:space="preserve">28/2015), que incluye ayuda económica a las personas o familias que viven por debajo del umbral de pobreza (es decir, personas con un ingreso mensual igual o inferior a 4.050 patacas de Macao o parejas con un ingreso igual o inferior a 7.440 patacas de Macao) con objeto de aliviar su presión económica (Orden </w:t>
      </w:r>
      <w:r w:rsidR="00E27276">
        <w:rPr>
          <w:lang w:val="es-ES_tradnl"/>
        </w:rPr>
        <w:t>núm. </w:t>
      </w:r>
      <w:r w:rsidRPr="00FA40F2">
        <w:rPr>
          <w:lang w:val="es-ES_tradnl"/>
        </w:rPr>
        <w:t xml:space="preserve">18/2003 de la Secretaría de Asuntos Sociales y Cultura, modificada, y Reglamento Administrativo </w:t>
      </w:r>
      <w:r w:rsidR="00E27276">
        <w:rPr>
          <w:lang w:val="es-ES_tradnl"/>
        </w:rPr>
        <w:t>núm. </w:t>
      </w:r>
      <w:r w:rsidRPr="00FA40F2">
        <w:rPr>
          <w:lang w:val="es-ES_tradnl"/>
        </w:rPr>
        <w:t>6/2007).</w:t>
      </w:r>
    </w:p>
    <w:p w14:paraId="65DBBBB1" w14:textId="77777777" w:rsidR="00FA40F2" w:rsidRPr="00FA40F2" w:rsidRDefault="00FA40F2" w:rsidP="00FA40F2">
      <w:pPr>
        <w:pStyle w:val="SingleTxtG"/>
        <w:rPr>
          <w:lang w:val="es-ES_tradnl"/>
        </w:rPr>
      </w:pPr>
      <w:r w:rsidRPr="00FA40F2">
        <w:rPr>
          <w:lang w:val="es-ES_tradnl"/>
        </w:rPr>
        <w:t>183.</w:t>
      </w:r>
      <w:r w:rsidRPr="00FA40F2">
        <w:rPr>
          <w:lang w:val="es-ES_tradnl"/>
        </w:rPr>
        <w:tab/>
        <w:t xml:space="preserve">En 2016, en cooperación con una ONG, la Oficina de Bienestar Social creó el Centro </w:t>
      </w:r>
      <w:proofErr w:type="spellStart"/>
      <w:r w:rsidRPr="00FA40F2">
        <w:rPr>
          <w:lang w:val="es-ES_tradnl"/>
        </w:rPr>
        <w:t>WelAnser</w:t>
      </w:r>
      <w:proofErr w:type="spellEnd"/>
      <w:r w:rsidRPr="00FA40F2">
        <w:rPr>
          <w:lang w:val="es-ES_tradnl"/>
        </w:rPr>
        <w:t xml:space="preserve"> con objeto de facilitar la integración en la comunidad de los trabajadores y residentes extranjeros y de sus hijos mediante servicios de orientación psicológica, charlas sobre legislación para que conozcan mejor sus derechos y deberes, cursos de</w:t>
      </w:r>
      <w:r w:rsidR="00607429">
        <w:rPr>
          <w:lang w:val="es-ES_tradnl"/>
        </w:rPr>
        <w:t> </w:t>
      </w:r>
      <w:r w:rsidRPr="00FA40F2">
        <w:rPr>
          <w:lang w:val="es-ES_tradnl"/>
        </w:rPr>
        <w:t>formación (por ejemplo, clases de cantonés, repostería o cuidado de ancianos) y actividades culturales, entre otras propuestas. De 2014 a septiembre de 2018 se realizaron 896</w:t>
      </w:r>
      <w:r w:rsidR="00607429">
        <w:rPr>
          <w:lang w:val="es-ES_tradnl"/>
        </w:rPr>
        <w:t> </w:t>
      </w:r>
      <w:r w:rsidRPr="00FA40F2">
        <w:rPr>
          <w:lang w:val="es-ES_tradnl"/>
        </w:rPr>
        <w:t>actividades y se prestaron 506 servicios de orientación.</w:t>
      </w:r>
    </w:p>
    <w:p w14:paraId="39BC6445" w14:textId="77777777" w:rsidR="00FA40F2" w:rsidRPr="00FA40F2" w:rsidRDefault="00FA40F2" w:rsidP="00FA40F2">
      <w:pPr>
        <w:pStyle w:val="SingleTxtG"/>
        <w:rPr>
          <w:lang w:val="es-ES_tradnl"/>
        </w:rPr>
      </w:pPr>
      <w:r w:rsidRPr="00FA40F2">
        <w:rPr>
          <w:lang w:val="es-ES_tradnl"/>
        </w:rPr>
        <w:t>184.</w:t>
      </w:r>
      <w:r w:rsidRPr="00FA40F2">
        <w:rPr>
          <w:lang w:val="es-ES_tradnl"/>
        </w:rPr>
        <w:tab/>
        <w:t xml:space="preserve">Sigue en vigor el </w:t>
      </w:r>
      <w:r w:rsidR="00D353FA">
        <w:rPr>
          <w:lang w:val="es-ES_tradnl"/>
        </w:rPr>
        <w:t>“</w:t>
      </w:r>
      <w:r w:rsidRPr="00FA40F2">
        <w:rPr>
          <w:lang w:val="es-ES_tradnl"/>
        </w:rPr>
        <w:t>Plan de Participación en la Riqueza</w:t>
      </w:r>
      <w:r w:rsidR="00D353FA">
        <w:rPr>
          <w:lang w:val="es-ES_tradnl"/>
        </w:rPr>
        <w:t>”</w:t>
      </w:r>
      <w:r w:rsidRPr="00FA40F2">
        <w:rPr>
          <w:lang w:val="es-ES_tradnl"/>
        </w:rPr>
        <w:t>, que se puso en marcha en</w:t>
      </w:r>
      <w:r w:rsidR="007A1DE3">
        <w:rPr>
          <w:lang w:val="es-ES_tradnl"/>
        </w:rPr>
        <w:t> </w:t>
      </w:r>
      <w:r w:rsidRPr="00FA40F2">
        <w:rPr>
          <w:lang w:val="es-ES_tradnl"/>
        </w:rPr>
        <w:t xml:space="preserve">2008 y que se concreta con ayudas anuales por una cuantía de 9.000 patacas de Macao (a residentes permanentes) y 5.400 patacas de Macao (a residentes no permanentes) (Reglamento Administrativo </w:t>
      </w:r>
      <w:r w:rsidR="00E27276">
        <w:rPr>
          <w:lang w:val="es-ES_tradnl"/>
        </w:rPr>
        <w:t>núm. </w:t>
      </w:r>
      <w:r w:rsidRPr="00FA40F2">
        <w:rPr>
          <w:lang w:val="es-ES_tradnl"/>
        </w:rPr>
        <w:t xml:space="preserve">12/2008, modificado por el Reglamento Administrativo </w:t>
      </w:r>
      <w:r w:rsidR="00E27276">
        <w:rPr>
          <w:lang w:val="es-ES_tradnl"/>
        </w:rPr>
        <w:t>núm. </w:t>
      </w:r>
      <w:r w:rsidRPr="00FA40F2">
        <w:rPr>
          <w:lang w:val="es-ES_tradnl"/>
        </w:rPr>
        <w:t>8/2018). En 2018, el Gobierno destinó 6.178.419.000 patacas de Macao al Plan, del que se beneficiaron 707.081 personas.</w:t>
      </w:r>
    </w:p>
    <w:p w14:paraId="0B5F8549" w14:textId="77777777" w:rsidR="00FA40F2" w:rsidRPr="00FA40F2" w:rsidRDefault="00FA40F2" w:rsidP="005A1ED4">
      <w:pPr>
        <w:pStyle w:val="H23G"/>
        <w:rPr>
          <w:lang w:val="es-ES_tradnl"/>
        </w:rPr>
      </w:pPr>
      <w:bookmarkStart w:id="44" w:name="_Toc286998602"/>
      <w:r w:rsidRPr="00FA40F2">
        <w:rPr>
          <w:lang w:val="es-ES_tradnl"/>
        </w:rPr>
        <w:tab/>
      </w:r>
      <w:r w:rsidR="005A1ED4">
        <w:rPr>
          <w:lang w:val="es-ES_tradnl"/>
        </w:rPr>
        <w:tab/>
      </w:r>
      <w:r w:rsidRPr="00FA40F2">
        <w:rPr>
          <w:lang w:val="es-ES_tradnl"/>
        </w:rPr>
        <w:t>Derecho a una alimentación adecuada</w:t>
      </w:r>
      <w:bookmarkEnd w:id="44"/>
    </w:p>
    <w:p w14:paraId="6A88E94E" w14:textId="77777777" w:rsidR="00FA40F2" w:rsidRPr="00FA40F2" w:rsidRDefault="00FA40F2" w:rsidP="00FA40F2">
      <w:pPr>
        <w:pStyle w:val="SingleTxtG"/>
        <w:rPr>
          <w:lang w:val="es-ES_tradnl"/>
        </w:rPr>
      </w:pPr>
      <w:r w:rsidRPr="00FA40F2">
        <w:rPr>
          <w:lang w:val="es-ES_tradnl"/>
        </w:rPr>
        <w:t>185.</w:t>
      </w:r>
      <w:r w:rsidRPr="00FA40F2">
        <w:rPr>
          <w:lang w:val="es-ES_tradnl"/>
        </w:rPr>
        <w:tab/>
        <w:t>Como se mencionó en informes anteriores, el Gobierno presta especial atención a que todas las personas tengan un acceso adecuado a alimentación y agua, así como a la calidad e inocuidad de los alimentos. La evaluación periódica del crecimiento, la educación y formación nutricionales, y el suministro de suplementos multivitamínicos y de otro tipo para niños siguen formando parte del programa de atención a la salud infantil. Entre 2014 y</w:t>
      </w:r>
      <w:r w:rsidR="007A1DE3">
        <w:rPr>
          <w:lang w:val="es-ES_tradnl"/>
        </w:rPr>
        <w:t> </w:t>
      </w:r>
      <w:r w:rsidRPr="00FA40F2">
        <w:rPr>
          <w:lang w:val="es-ES_tradnl"/>
        </w:rPr>
        <w:t>2017, los nacidos con bajo peso (&lt;2.500 g) fueron el 6,5</w:t>
      </w:r>
      <w:r w:rsidR="00E27276">
        <w:rPr>
          <w:lang w:val="es-ES_tradnl"/>
        </w:rPr>
        <w:t> %</w:t>
      </w:r>
      <w:r w:rsidRPr="00FA40F2">
        <w:rPr>
          <w:lang w:val="es-ES_tradnl"/>
        </w:rPr>
        <w:t>, 6,8</w:t>
      </w:r>
      <w:r w:rsidR="00E27276">
        <w:rPr>
          <w:lang w:val="es-ES_tradnl"/>
        </w:rPr>
        <w:t> %</w:t>
      </w:r>
      <w:r w:rsidRPr="00FA40F2">
        <w:rPr>
          <w:lang w:val="es-ES_tradnl"/>
        </w:rPr>
        <w:t>, 7,2</w:t>
      </w:r>
      <w:r w:rsidR="00E27276">
        <w:rPr>
          <w:lang w:val="es-ES_tradnl"/>
        </w:rPr>
        <w:t> %</w:t>
      </w:r>
      <w:r w:rsidRPr="00FA40F2">
        <w:rPr>
          <w:lang w:val="es-ES_tradnl"/>
        </w:rPr>
        <w:t xml:space="preserve"> y 7,6</w:t>
      </w:r>
      <w:r w:rsidR="00E27276">
        <w:rPr>
          <w:lang w:val="es-ES_tradnl"/>
        </w:rPr>
        <w:t> %</w:t>
      </w:r>
      <w:r w:rsidRPr="00FA40F2">
        <w:rPr>
          <w:lang w:val="es-ES_tradnl"/>
        </w:rPr>
        <w:t xml:space="preserve"> del total, respectivamente, y entre enero y septiembre de 2018, del 6,9</w:t>
      </w:r>
      <w:r w:rsidR="00E27276">
        <w:rPr>
          <w:lang w:val="es-ES_tradnl"/>
        </w:rPr>
        <w:t> %</w:t>
      </w:r>
      <w:r w:rsidRPr="00FA40F2">
        <w:rPr>
          <w:lang w:val="es-ES_tradnl"/>
        </w:rPr>
        <w:t>.</w:t>
      </w:r>
    </w:p>
    <w:p w14:paraId="216B407C" w14:textId="77777777" w:rsidR="00FA40F2" w:rsidRPr="00FA40F2" w:rsidRDefault="00FA40F2" w:rsidP="00FA40F2">
      <w:pPr>
        <w:pStyle w:val="SingleTxtG"/>
        <w:rPr>
          <w:lang w:val="es-ES_tradnl"/>
        </w:rPr>
      </w:pPr>
      <w:r w:rsidRPr="00FA40F2">
        <w:rPr>
          <w:lang w:val="es-ES_tradnl"/>
        </w:rPr>
        <w:t>186.</w:t>
      </w:r>
      <w:r w:rsidRPr="00FA40F2">
        <w:rPr>
          <w:lang w:val="es-ES_tradnl"/>
        </w:rPr>
        <w:tab/>
        <w:t>La difusión de información, las campañas de capacitación y sensibilización sobre la calidad e inocuidad de los alimentos, la importancia de la lactancia materna, la dieta y los estilos de vida equilibrados y saludables y la prevención de las enfermedades crónicas y los comportamientos de riesgo son tareas importantes, que llevan a cabo principalmente la Oficina de Bienestar Social en los hogares y centros para niños, jóvenes y ancianos, la Dirección de Servicios de Educación y Juventud en las guarderías y centros de preescolar y las escuelas, y la Oficina de Salud en los centros de salud.</w:t>
      </w:r>
    </w:p>
    <w:p w14:paraId="2A95A526" w14:textId="77777777" w:rsidR="00FA40F2" w:rsidRPr="00FA40F2" w:rsidRDefault="00FA40F2" w:rsidP="00FA40F2">
      <w:pPr>
        <w:pStyle w:val="SingleTxtG"/>
        <w:rPr>
          <w:lang w:val="es-ES_tradnl"/>
        </w:rPr>
      </w:pPr>
      <w:r w:rsidRPr="00FA40F2">
        <w:rPr>
          <w:lang w:val="es-ES_tradnl"/>
        </w:rPr>
        <w:t>187.</w:t>
      </w:r>
      <w:r w:rsidRPr="00FA40F2">
        <w:rPr>
          <w:lang w:val="es-ES_tradnl"/>
        </w:rPr>
        <w:tab/>
        <w:t xml:space="preserve">De 2014 a noviembre de 2018, hubo respectivamente 21, 21, 24, 22 y 46 personas sin hogar que recibieron comidas proporcionadas por la Oficina de Bienestar Social. Desde el curso 2014/15 hasta el curso 2017/18, el programa de la Dirección de Servicios de Educación y Juventud para la distribución de leche se aplicó en 75, 74, 79 y 85 escuelas, y de él se beneficiaron alrededor de 28.000, 31.000, 35.000 y 37.000 alumnos, respectivamente. </w:t>
      </w:r>
    </w:p>
    <w:p w14:paraId="49ED5CF3" w14:textId="77777777" w:rsidR="00FA40F2" w:rsidRPr="00FA40F2" w:rsidRDefault="00FA40F2" w:rsidP="00FA40F2">
      <w:pPr>
        <w:pStyle w:val="SingleTxtG"/>
        <w:rPr>
          <w:lang w:val="es-ES_tradnl"/>
        </w:rPr>
      </w:pPr>
      <w:r w:rsidRPr="00FA40F2">
        <w:rPr>
          <w:lang w:val="es-ES_tradnl"/>
        </w:rPr>
        <w:t>188.</w:t>
      </w:r>
      <w:r w:rsidRPr="00FA40F2">
        <w:rPr>
          <w:lang w:val="es-ES_tradnl"/>
        </w:rPr>
        <w:tab/>
        <w:t xml:space="preserve">Además, el </w:t>
      </w:r>
      <w:r w:rsidR="00D353FA">
        <w:rPr>
          <w:lang w:val="es-ES_tradnl"/>
        </w:rPr>
        <w:t>“</w:t>
      </w:r>
      <w:r w:rsidRPr="00FA40F2">
        <w:rPr>
          <w:lang w:val="es-ES_tradnl"/>
        </w:rPr>
        <w:t>Servicio de Asistencia Alimentaria a Corto Plazo</w:t>
      </w:r>
      <w:r w:rsidR="00D353FA">
        <w:rPr>
          <w:lang w:val="es-ES_tradnl"/>
        </w:rPr>
        <w:t>”</w:t>
      </w:r>
      <w:r w:rsidRPr="00FA40F2">
        <w:rPr>
          <w:lang w:val="es-ES_tradnl"/>
        </w:rPr>
        <w:t xml:space="preserve"> proporciona un auxilio temporal, especialmente en forma de asistencia alimentaria a corto plazo, a individuos y familias, incluidos los migrantes, que se encuentran en una situación económica precaria. Entre 2014 y septiembre de 2018, se beneficiaron 3.461, 4.008, 4.099, 4.698 y 3.202 personas, respectivamente.</w:t>
      </w:r>
    </w:p>
    <w:p w14:paraId="3213AE52" w14:textId="77777777" w:rsidR="00FA40F2" w:rsidRPr="00FA40F2" w:rsidRDefault="00FA40F2" w:rsidP="00FA40F2">
      <w:pPr>
        <w:pStyle w:val="SingleTxtG"/>
        <w:rPr>
          <w:lang w:val="es-ES_tradnl"/>
        </w:rPr>
      </w:pPr>
      <w:r w:rsidRPr="00FA40F2">
        <w:rPr>
          <w:lang w:val="es-ES_tradnl"/>
        </w:rPr>
        <w:t>189.</w:t>
      </w:r>
      <w:r w:rsidRPr="00FA40F2">
        <w:rPr>
          <w:lang w:val="es-ES_tradnl"/>
        </w:rPr>
        <w:tab/>
        <w:t xml:space="preserve">El programa </w:t>
      </w:r>
      <w:r w:rsidR="00D353FA">
        <w:rPr>
          <w:lang w:val="es-ES_tradnl"/>
        </w:rPr>
        <w:t>“</w:t>
      </w:r>
      <w:r w:rsidRPr="00FA40F2">
        <w:rPr>
          <w:lang w:val="es-ES_tradnl"/>
        </w:rPr>
        <w:t>Alimentación Sana en la Escuela</w:t>
      </w:r>
      <w:r w:rsidR="00D353FA">
        <w:rPr>
          <w:lang w:val="es-ES_tradnl"/>
        </w:rPr>
        <w:t>”</w:t>
      </w:r>
      <w:r w:rsidRPr="00FA40F2">
        <w:rPr>
          <w:lang w:val="es-ES_tradnl"/>
        </w:rPr>
        <w:t xml:space="preserve">, organizado conjuntamente por la Oficina de Salud y la Dirección de Servicios de Educación y Juventud, sigue plenamente vigente y se desarrolla por medio de actividades de educación en materia de salud y otras </w:t>
      </w:r>
      <w:r w:rsidRPr="00FA40F2">
        <w:rPr>
          <w:lang w:val="es-ES_tradnl"/>
        </w:rPr>
        <w:lastRenderedPageBreak/>
        <w:t>relacionadas. Se están aplicando las directrices escolares de la Dirección de Servicios de Educación y Juventud en la gestión de los servicios de restauración, la higiene y la seguridad de los alimentos y la nutrición.</w:t>
      </w:r>
    </w:p>
    <w:p w14:paraId="381343AD" w14:textId="77777777" w:rsidR="00FA40F2" w:rsidRPr="00FA40F2" w:rsidRDefault="00FA40F2" w:rsidP="00FA40F2">
      <w:pPr>
        <w:pStyle w:val="SingleTxtG"/>
        <w:rPr>
          <w:lang w:val="es-ES_tradnl"/>
        </w:rPr>
      </w:pPr>
      <w:r w:rsidRPr="00FA40F2">
        <w:rPr>
          <w:lang w:val="es-ES_tradnl"/>
        </w:rPr>
        <w:t>190.</w:t>
      </w:r>
      <w:r w:rsidRPr="00FA40F2">
        <w:rPr>
          <w:lang w:val="es-ES_tradnl"/>
        </w:rPr>
        <w:tab/>
        <w:t>En lo que respecta a los brotes de enfermedades transmitidas por alimentos, la Oficina de Salud ha estado siguiendo muy de cerca la situación y difundiendo información a través de diversos canales y mecanismos. Cuando se produzcan brotes, se realizarán inmediatamente estudios epidemiológicos y se avisará a las entidades pertinentes. En el período que abarca el informe, se produjeron 141 brotes que afectaron a 836 personas.</w:t>
      </w:r>
    </w:p>
    <w:p w14:paraId="56180D0D" w14:textId="77777777" w:rsidR="00FA40F2" w:rsidRPr="00FA40F2" w:rsidRDefault="00FA40F2" w:rsidP="00FA40F2">
      <w:pPr>
        <w:pStyle w:val="SingleTxtG"/>
        <w:rPr>
          <w:lang w:val="es-ES_tradnl"/>
        </w:rPr>
      </w:pPr>
      <w:r w:rsidRPr="00FA40F2">
        <w:rPr>
          <w:lang w:val="es-ES_tradnl"/>
        </w:rPr>
        <w:t>191.</w:t>
      </w:r>
      <w:r w:rsidRPr="00FA40F2">
        <w:rPr>
          <w:lang w:val="es-ES_tradnl"/>
        </w:rPr>
        <w:tab/>
        <w:t xml:space="preserve">La aplicación de la Ley </w:t>
      </w:r>
      <w:r w:rsidR="00E27276">
        <w:rPr>
          <w:lang w:val="es-ES_tradnl"/>
        </w:rPr>
        <w:t>núm. </w:t>
      </w:r>
      <w:r w:rsidRPr="00FA40F2">
        <w:rPr>
          <w:lang w:val="es-ES_tradnl"/>
        </w:rPr>
        <w:t xml:space="preserve">5/2013, de Salubridad de los Alimentos, que regula la supervisión y gestión de la inocuidad alimentaria, las medidas preventivas, el control y el tratamiento de los riesgos, corresponde al Instituto de Asuntos Cívicos y Municipales, encargado de coordinar la supervisión de la inocuidad de los alimentos, supervisar los lugares de producción, investigar y tratar los incidentes que afecten a la inocuidad alimentaria, aplicar medidas preventivas y de control, llevar a cabo campañas divulgativas y de sensibilización e incoar procedimientos administrativos (Ley </w:t>
      </w:r>
      <w:r w:rsidR="00E27276">
        <w:rPr>
          <w:lang w:val="es-ES_tradnl"/>
        </w:rPr>
        <w:t>núm. </w:t>
      </w:r>
      <w:r w:rsidRPr="00FA40F2">
        <w:rPr>
          <w:lang w:val="es-ES_tradnl"/>
        </w:rPr>
        <w:t>5/2013, artículos 4 y 21). Las entidades que producen y comercializan alimentos tienen, entre otras obligaciones, la de cumplir con los criterios de inocuidad alimentaria (</w:t>
      </w:r>
      <w:r w:rsidR="00722610">
        <w:rPr>
          <w:lang w:val="es-ES_tradnl"/>
        </w:rPr>
        <w:t>artículo </w:t>
      </w:r>
      <w:r w:rsidRPr="00FA40F2">
        <w:rPr>
          <w:lang w:val="es-ES_tradnl"/>
        </w:rPr>
        <w:t>5).</w:t>
      </w:r>
    </w:p>
    <w:p w14:paraId="73B99751" w14:textId="77777777" w:rsidR="00FA40F2" w:rsidRPr="00FA40F2" w:rsidRDefault="00FA40F2" w:rsidP="00FA40F2">
      <w:pPr>
        <w:pStyle w:val="SingleTxtG"/>
        <w:rPr>
          <w:lang w:val="es-ES_tradnl"/>
        </w:rPr>
      </w:pPr>
      <w:r w:rsidRPr="00FA40F2">
        <w:rPr>
          <w:lang w:val="es-ES_tradnl"/>
        </w:rPr>
        <w:t>192.</w:t>
      </w:r>
      <w:r w:rsidRPr="00FA40F2">
        <w:rPr>
          <w:lang w:val="es-ES_tradnl"/>
        </w:rPr>
        <w:tab/>
        <w:t>El Gobierno amplió la cooperación con las autoridades de los países vecinos en esta esfera, al tiempo que prosiguió la vigilancia, el control y la supervisión alimentarios mediante inspecciones sanitarias periódicas consistentes, entre otras cosas, en el control sanitario de productos primarios frescos y de productos importados de origen animal, en los puertos de entrada, los mataderos y los almacenes de alimentos de origen animal. Durante el período que abarca el informe, el Instituto de Asuntos Cívicos y Municipales realizó de promedio más de 9.000 inspecciones anuales.</w:t>
      </w:r>
    </w:p>
    <w:p w14:paraId="31EEF856" w14:textId="77777777" w:rsidR="00FA40F2" w:rsidRPr="00FA40F2" w:rsidRDefault="005A1ED4" w:rsidP="005A1ED4">
      <w:pPr>
        <w:pStyle w:val="H23G"/>
        <w:rPr>
          <w:lang w:val="es-ES_tradnl"/>
        </w:rPr>
      </w:pPr>
      <w:bookmarkStart w:id="45" w:name="_Toc286998603"/>
      <w:bookmarkStart w:id="46" w:name="_Toc41219195"/>
      <w:bookmarkStart w:id="47" w:name="_Toc33444541"/>
      <w:r>
        <w:rPr>
          <w:lang w:val="es-ES_tradnl"/>
        </w:rPr>
        <w:tab/>
      </w:r>
      <w:r w:rsidR="00FA40F2" w:rsidRPr="00FA40F2">
        <w:rPr>
          <w:lang w:val="es-ES_tradnl"/>
        </w:rPr>
        <w:tab/>
        <w:t>Derecho a una vivienda adecuada</w:t>
      </w:r>
      <w:bookmarkEnd w:id="45"/>
      <w:bookmarkEnd w:id="46"/>
      <w:bookmarkEnd w:id="47"/>
    </w:p>
    <w:p w14:paraId="37B9C319" w14:textId="77777777" w:rsidR="00FA40F2" w:rsidRPr="00FA40F2" w:rsidRDefault="00FA40F2" w:rsidP="00FA40F2">
      <w:pPr>
        <w:pStyle w:val="SingleTxtG"/>
        <w:rPr>
          <w:lang w:val="es-ES_tradnl"/>
        </w:rPr>
      </w:pPr>
      <w:r w:rsidRPr="00FA40F2">
        <w:rPr>
          <w:lang w:val="es-ES_tradnl"/>
        </w:rPr>
        <w:t>193.</w:t>
      </w:r>
      <w:r w:rsidRPr="00FA40F2">
        <w:rPr>
          <w:lang w:val="es-ES_tradnl"/>
        </w:rPr>
        <w:tab/>
        <w:t>Se siguen proporcionando albergues para personas sin hogar, alojamiento temporal o subsidios de alquiler para personas necesitadas o con problemas para realojarse, así como viviendas sociales. Entre 2014 y septiembre de 2018, había respectivamente 71, 96, 90, 106 y 60 personas que vivían en albergues y 408, 398, 336, 324 y 301 familias que recibían un subsidio de alquiler. La Oficina de Bienestar Social también concede su</w:t>
      </w:r>
      <w:r w:rsidR="001109B7">
        <w:rPr>
          <w:lang w:val="es-ES_tradnl"/>
        </w:rPr>
        <w:t>b</w:t>
      </w:r>
      <w:r w:rsidRPr="00FA40F2">
        <w:rPr>
          <w:lang w:val="es-ES_tradnl"/>
        </w:rPr>
        <w:t>sidios para comprar enseres domésticos o efectuar mejoras básicas en el hogar, como cambiar el cableado eléctrico.</w:t>
      </w:r>
    </w:p>
    <w:p w14:paraId="6C7E7756" w14:textId="77777777" w:rsidR="00FA40F2" w:rsidRPr="00FA40F2" w:rsidRDefault="00FA40F2" w:rsidP="00FA40F2">
      <w:pPr>
        <w:pStyle w:val="SingleTxtG"/>
        <w:rPr>
          <w:lang w:val="es-ES_tradnl"/>
        </w:rPr>
      </w:pPr>
      <w:r w:rsidRPr="00FA40F2">
        <w:rPr>
          <w:lang w:val="es-ES_tradnl"/>
        </w:rPr>
        <w:t>194.</w:t>
      </w:r>
      <w:r w:rsidRPr="00FA40F2">
        <w:rPr>
          <w:lang w:val="es-ES_tradnl"/>
        </w:rPr>
        <w:tab/>
        <w:t xml:space="preserve">En relación con el párrafo 59 de las observaciones finales, cabe reiterar que la RAE de Macao cuenta con un plan de asignación de viviendas públicas que incluye dos categorías principales: viviendas económicas (Ley </w:t>
      </w:r>
      <w:r w:rsidR="00E27276">
        <w:rPr>
          <w:lang w:val="es-ES_tradnl"/>
        </w:rPr>
        <w:t>núm. </w:t>
      </w:r>
      <w:r w:rsidRPr="00FA40F2">
        <w:rPr>
          <w:lang w:val="es-ES_tradnl"/>
        </w:rPr>
        <w:t xml:space="preserve">10/2011, modificada por la Ley </w:t>
      </w:r>
      <w:r w:rsidR="00E27276">
        <w:rPr>
          <w:lang w:val="es-ES_tradnl"/>
        </w:rPr>
        <w:t>núm. </w:t>
      </w:r>
      <w:r w:rsidRPr="00FA40F2">
        <w:rPr>
          <w:lang w:val="es-ES_tradnl"/>
        </w:rPr>
        <w:t xml:space="preserve">11/2015) y viviendas sociales (Reglamento Administrativo </w:t>
      </w:r>
      <w:r w:rsidR="00E27276">
        <w:rPr>
          <w:lang w:val="es-ES_tradnl"/>
        </w:rPr>
        <w:t>núm. </w:t>
      </w:r>
      <w:r w:rsidRPr="00FA40F2">
        <w:rPr>
          <w:lang w:val="es-ES_tradnl"/>
        </w:rPr>
        <w:t xml:space="preserve">25/2009, relativo a la asignación, el alquiler y la gestión de las viviendas sociales, y Orden </w:t>
      </w:r>
      <w:r w:rsidR="00E27276">
        <w:rPr>
          <w:lang w:val="es-ES_tradnl"/>
        </w:rPr>
        <w:t>núm. </w:t>
      </w:r>
      <w:r w:rsidRPr="00FA40F2">
        <w:rPr>
          <w:lang w:val="es-ES_tradnl"/>
        </w:rPr>
        <w:t>296/2009 del Jefe del Ejecutivo, sobre la regulación de las solicitudes de asignación de viviendas sociales).</w:t>
      </w:r>
    </w:p>
    <w:p w14:paraId="4AB5159A" w14:textId="77777777" w:rsidR="00FA40F2" w:rsidRPr="00FA40F2" w:rsidRDefault="00FA40F2" w:rsidP="00FA40F2">
      <w:pPr>
        <w:pStyle w:val="SingleTxtG"/>
        <w:rPr>
          <w:lang w:val="es-ES_tradnl"/>
        </w:rPr>
      </w:pPr>
      <w:r w:rsidRPr="00FA40F2">
        <w:rPr>
          <w:lang w:val="es-ES_tradnl"/>
        </w:rPr>
        <w:t>195.</w:t>
      </w:r>
      <w:r w:rsidRPr="00FA40F2">
        <w:rPr>
          <w:lang w:val="es-ES_tradnl"/>
        </w:rPr>
        <w:tab/>
        <w:t xml:space="preserve">En la Ley </w:t>
      </w:r>
      <w:r w:rsidR="00E27276">
        <w:rPr>
          <w:lang w:val="es-ES_tradnl"/>
        </w:rPr>
        <w:t>núm. </w:t>
      </w:r>
      <w:r w:rsidRPr="00FA40F2">
        <w:rPr>
          <w:lang w:val="es-ES_tradnl"/>
        </w:rPr>
        <w:t>10/2011 se estableció el régimen de construcción y acceso a viviendas económicas y se definieron las condiciones de uso y venta de estas, con el fin de facilitar el acceso a una vivienda a los residentes que cuentan con un determinado nivel de ingresos y bienes. Con las enmiendas introducidas en 2015 se modificaron los requisitos para la solicitud (artículos 14 y 15), las formalidades para la licitación pública, incluida la evaluación preliminar de las solicitudes (artículos 21 y 22), y los criterios de selección, clasificación y exclusión de candidatos (artículos 23 a 28).</w:t>
      </w:r>
    </w:p>
    <w:p w14:paraId="200A9C6C" w14:textId="77777777" w:rsidR="00FA40F2" w:rsidRPr="00FA40F2" w:rsidRDefault="00FA40F2" w:rsidP="00FA40F2">
      <w:pPr>
        <w:pStyle w:val="SingleTxtG"/>
        <w:rPr>
          <w:lang w:val="es-ES_tradnl"/>
        </w:rPr>
      </w:pPr>
      <w:r w:rsidRPr="00FA40F2">
        <w:rPr>
          <w:lang w:val="es-ES_tradnl"/>
        </w:rPr>
        <w:t>196.</w:t>
      </w:r>
      <w:r w:rsidRPr="00FA40F2">
        <w:rPr>
          <w:lang w:val="es-ES_tradnl"/>
        </w:rPr>
        <w:tab/>
        <w:t xml:space="preserve">Se añadió la Ley </w:t>
      </w:r>
      <w:r w:rsidR="00E27276">
        <w:rPr>
          <w:lang w:val="es-ES_tradnl"/>
        </w:rPr>
        <w:t>núm. </w:t>
      </w:r>
      <w:r w:rsidRPr="00FA40F2">
        <w:rPr>
          <w:lang w:val="es-ES_tradnl"/>
        </w:rPr>
        <w:t xml:space="preserve">10/2011 el </w:t>
      </w:r>
      <w:r w:rsidR="00722610">
        <w:rPr>
          <w:lang w:val="es-ES_tradnl"/>
        </w:rPr>
        <w:t>artículo </w:t>
      </w:r>
      <w:r w:rsidRPr="00FA40F2">
        <w:rPr>
          <w:lang w:val="es-ES_tradnl"/>
        </w:rPr>
        <w:t>24-A, en el que se estipula que, tras la evaluación preliminar, el Instituto de la Vivienda elabora una lista con todos los candidatos (seleccionados y excluidos), en la que se incluyen los motivos de exclusión. La lista se publica en el Boletín Oficial de la RAE de Macao y puede ser recurrida.</w:t>
      </w:r>
    </w:p>
    <w:p w14:paraId="521FAF27" w14:textId="77777777" w:rsidR="00FA40F2" w:rsidRPr="00FA40F2" w:rsidRDefault="00FA40F2" w:rsidP="00FA40F2">
      <w:pPr>
        <w:pStyle w:val="SingleTxtG"/>
        <w:rPr>
          <w:lang w:val="es-ES_tradnl"/>
        </w:rPr>
      </w:pPr>
      <w:r w:rsidRPr="00FA40F2">
        <w:rPr>
          <w:lang w:val="es-ES_tradnl"/>
        </w:rPr>
        <w:t>197.</w:t>
      </w:r>
      <w:r w:rsidRPr="00FA40F2">
        <w:rPr>
          <w:lang w:val="es-ES_tradnl"/>
        </w:rPr>
        <w:tab/>
        <w:t>En consecuencia, en una licitación pública realizada entre el 18 de diciembre de</w:t>
      </w:r>
      <w:r w:rsidR="0035511D">
        <w:rPr>
          <w:lang w:val="es-ES_tradnl"/>
        </w:rPr>
        <w:t> </w:t>
      </w:r>
      <w:r w:rsidRPr="00FA40F2">
        <w:rPr>
          <w:lang w:val="es-ES_tradnl"/>
        </w:rPr>
        <w:t>2013 y el 17 de marzo de 2014 se pusieron a disposición de los candidatos 1.900 viviendas económicas (de una a tres habitaciones). A septiembre de 2018, se habían vendido 1.606 viviendas.</w:t>
      </w:r>
    </w:p>
    <w:p w14:paraId="248F55CB" w14:textId="77777777" w:rsidR="00FA40F2" w:rsidRPr="00FA40F2" w:rsidRDefault="00FA40F2" w:rsidP="00FA40F2">
      <w:pPr>
        <w:pStyle w:val="SingleTxtG"/>
        <w:rPr>
          <w:lang w:val="es-ES_tradnl"/>
        </w:rPr>
      </w:pPr>
      <w:r w:rsidRPr="00FA40F2">
        <w:rPr>
          <w:lang w:val="es-ES_tradnl"/>
        </w:rPr>
        <w:lastRenderedPageBreak/>
        <w:t>198.</w:t>
      </w:r>
      <w:r w:rsidRPr="00FA40F2">
        <w:rPr>
          <w:lang w:val="es-ES_tradnl"/>
        </w:rPr>
        <w:tab/>
        <w:t xml:space="preserve">En lo referente a la vivienda social, esta se destina al alquiler a familias con dificultades económicas (Reglamento Administrativo </w:t>
      </w:r>
      <w:r w:rsidR="00E27276">
        <w:rPr>
          <w:lang w:val="es-ES_tradnl"/>
        </w:rPr>
        <w:t>núm. </w:t>
      </w:r>
      <w:r w:rsidRPr="00FA40F2">
        <w:rPr>
          <w:lang w:val="es-ES_tradnl"/>
        </w:rPr>
        <w:t xml:space="preserve">25/2009 y Orden </w:t>
      </w:r>
      <w:r w:rsidR="00E27276">
        <w:rPr>
          <w:lang w:val="es-ES_tradnl"/>
        </w:rPr>
        <w:t>núm. </w:t>
      </w:r>
      <w:r w:rsidRPr="00FA40F2">
        <w:rPr>
          <w:lang w:val="es-ES_tradnl"/>
        </w:rPr>
        <w:t xml:space="preserve">296/2009 del </w:t>
      </w:r>
      <w:proofErr w:type="gramStart"/>
      <w:r w:rsidRPr="00FA40F2">
        <w:rPr>
          <w:lang w:val="es-ES_tradnl"/>
        </w:rPr>
        <w:t>Jefe</w:t>
      </w:r>
      <w:proofErr w:type="gramEnd"/>
      <w:r w:rsidRPr="00FA40F2">
        <w:rPr>
          <w:lang w:val="es-ES_tradnl"/>
        </w:rPr>
        <w:t xml:space="preserve"> del Ejecutivo). La adjudicación pública se realiza sobre la base de los ingresos mensuales y bienes familiares de los solicitantes, así como del número de</w:t>
      </w:r>
      <w:r w:rsidR="006E1E18">
        <w:rPr>
          <w:lang w:val="es-ES_tradnl"/>
        </w:rPr>
        <w:t xml:space="preserve"> </w:t>
      </w:r>
      <w:r w:rsidRPr="00FA40F2">
        <w:rPr>
          <w:lang w:val="es-ES_tradnl"/>
        </w:rPr>
        <w:t xml:space="preserve">miembros de la familia. Por ejemplo, un hogar de tres miembros no ha </w:t>
      </w:r>
      <w:r w:rsidR="006E1E18">
        <w:rPr>
          <w:lang w:val="es-ES_tradnl"/>
        </w:rPr>
        <w:t xml:space="preserve">de </w:t>
      </w:r>
      <w:r w:rsidRPr="00FA40F2">
        <w:rPr>
          <w:lang w:val="es-ES_tradnl"/>
        </w:rPr>
        <w:t xml:space="preserve">tener un ingreso mensual superior a 23.430 patacas de Macao ni bienes por un valor superior a 506.100 patacas de Macao, mientras que un hogar de cuatro miembros no debe superar 25.680 patacas de Macao anuales de ingresos, ni poseer bienes por un valor superior a 554.700 patacas de Macao (Orden </w:t>
      </w:r>
      <w:r w:rsidR="00E27276">
        <w:rPr>
          <w:lang w:val="es-ES_tradnl"/>
        </w:rPr>
        <w:t>núm. </w:t>
      </w:r>
      <w:r w:rsidRPr="00FA40F2">
        <w:rPr>
          <w:lang w:val="es-ES_tradnl"/>
        </w:rPr>
        <w:t xml:space="preserve">368/2017 del </w:t>
      </w:r>
      <w:proofErr w:type="gramStart"/>
      <w:r w:rsidRPr="00FA40F2">
        <w:rPr>
          <w:lang w:val="es-ES_tradnl"/>
        </w:rPr>
        <w:t>Jefe</w:t>
      </w:r>
      <w:proofErr w:type="gramEnd"/>
      <w:r w:rsidRPr="00FA40F2">
        <w:rPr>
          <w:lang w:val="es-ES_tradnl"/>
        </w:rPr>
        <w:t xml:space="preserve"> del Ejecutivo).</w:t>
      </w:r>
    </w:p>
    <w:p w14:paraId="29DB126E" w14:textId="77777777" w:rsidR="00FA40F2" w:rsidRPr="00FA40F2" w:rsidRDefault="00FA40F2" w:rsidP="00FA40F2">
      <w:pPr>
        <w:pStyle w:val="SingleTxtG"/>
        <w:rPr>
          <w:lang w:val="es-ES_tradnl"/>
        </w:rPr>
      </w:pPr>
      <w:r w:rsidRPr="00FA40F2">
        <w:rPr>
          <w:lang w:val="es-ES_tradnl"/>
        </w:rPr>
        <w:t>199.</w:t>
      </w:r>
      <w:r w:rsidRPr="00FA40F2">
        <w:rPr>
          <w:lang w:val="es-ES_tradnl"/>
        </w:rPr>
        <w:tab/>
        <w:t>Al margen de las condiciones generales, las personas o familias que se vean afectadas por crisis de tipo social, físico o mental, o que sean víctimas de catástrofes, también pueden solicitar una vivienda social.</w:t>
      </w:r>
    </w:p>
    <w:p w14:paraId="545EDCF4" w14:textId="77777777" w:rsidR="00FA40F2" w:rsidRPr="00FA40F2" w:rsidRDefault="00FA40F2" w:rsidP="00FA40F2">
      <w:pPr>
        <w:pStyle w:val="SingleTxtG"/>
        <w:rPr>
          <w:lang w:val="es-ES_tradnl"/>
        </w:rPr>
      </w:pPr>
      <w:r w:rsidRPr="00FA40F2">
        <w:rPr>
          <w:lang w:val="es-ES_tradnl"/>
        </w:rPr>
        <w:t>200.</w:t>
      </w:r>
      <w:r w:rsidRPr="00FA40F2">
        <w:rPr>
          <w:lang w:val="es-ES_tradnl"/>
        </w:rPr>
        <w:tab/>
        <w:t>Para reducir el tiempo de espera, el Instituto de la Vivienda ha optimizado los procedimientos de selección. La lista definitiva de solicitudes que cumplían los requisitos (2013) se anunció el 26 de diciembre de 2014, y el primer lote de viviendas sociales se asignó en un plazo de tres meses; el proceso de asignación concluyó en agosto de 2017.</w:t>
      </w:r>
    </w:p>
    <w:p w14:paraId="564F520F" w14:textId="77777777" w:rsidR="00FA40F2" w:rsidRPr="00FA40F2" w:rsidRDefault="00FA40F2" w:rsidP="00FA40F2">
      <w:pPr>
        <w:pStyle w:val="SingleTxtG"/>
        <w:rPr>
          <w:lang w:val="es-ES_tradnl"/>
        </w:rPr>
      </w:pPr>
      <w:r w:rsidRPr="00FA40F2">
        <w:rPr>
          <w:lang w:val="es-ES_tradnl"/>
        </w:rPr>
        <w:t>201.</w:t>
      </w:r>
      <w:r w:rsidRPr="00FA40F2">
        <w:rPr>
          <w:lang w:val="es-ES_tradnl"/>
        </w:rPr>
        <w:tab/>
        <w:t>En lo que respecta a la licitación general de 2017, se están examinando actualmente las solicitudes. De 2014 a septiembre de 2018, se asignaron viviendas sociales a 4.588</w:t>
      </w:r>
      <w:r w:rsidR="006E1E18">
        <w:rPr>
          <w:lang w:val="es-ES_tradnl"/>
        </w:rPr>
        <w:t> </w:t>
      </w:r>
      <w:r w:rsidRPr="00FA40F2">
        <w:rPr>
          <w:lang w:val="es-ES_tradnl"/>
        </w:rPr>
        <w:t>hogares; a septiembre de 2018, el número de hogares que vivían en viviendas sociales en régimen de alquiler ascendía a 12.132 (en total, 27.005 personas, o 2,23 por hogar, de promedio).</w:t>
      </w:r>
    </w:p>
    <w:p w14:paraId="3C0BE5FC" w14:textId="77777777" w:rsidR="00FA40F2" w:rsidRPr="00FA40F2" w:rsidRDefault="00FA40F2" w:rsidP="00FA40F2">
      <w:pPr>
        <w:pStyle w:val="SingleTxtG"/>
        <w:rPr>
          <w:lang w:val="es-ES_tradnl"/>
        </w:rPr>
      </w:pPr>
      <w:r w:rsidRPr="00FA40F2">
        <w:rPr>
          <w:lang w:val="es-ES_tradnl"/>
        </w:rPr>
        <w:t>202.</w:t>
      </w:r>
      <w:r w:rsidRPr="00FA40F2">
        <w:rPr>
          <w:lang w:val="es-ES_tradnl"/>
        </w:rPr>
        <w:tab/>
        <w:t>En el censo complementario de 2016, había 188.723 hogares en la RAE de Macao, y el tamaño medio de los hogares era de 3,07 personas. El 66,2</w:t>
      </w:r>
      <w:r w:rsidR="00E27276">
        <w:rPr>
          <w:lang w:val="es-ES_tradnl"/>
        </w:rPr>
        <w:t> %</w:t>
      </w:r>
      <w:r w:rsidRPr="00FA40F2">
        <w:rPr>
          <w:lang w:val="es-ES_tradnl"/>
        </w:rPr>
        <w:t xml:space="preserve"> del total de los hogares residían en viviendas de propiedad. A junio de 2018, había 225.457 viviendas.</w:t>
      </w:r>
    </w:p>
    <w:p w14:paraId="2F82DAE6" w14:textId="77777777" w:rsidR="00FA40F2" w:rsidRPr="00FA40F2" w:rsidRDefault="00FA40F2" w:rsidP="005A1ED4">
      <w:pPr>
        <w:pStyle w:val="H23G"/>
        <w:rPr>
          <w:lang w:val="es-ES_tradnl"/>
        </w:rPr>
      </w:pPr>
      <w:bookmarkStart w:id="48" w:name="_Toc286998604"/>
      <w:bookmarkStart w:id="49" w:name="_Toc41219198"/>
      <w:bookmarkStart w:id="50" w:name="_Toc33444551"/>
      <w:r w:rsidRPr="00FA40F2">
        <w:rPr>
          <w:lang w:val="es-ES_tradnl"/>
        </w:rPr>
        <w:tab/>
      </w:r>
      <w:r w:rsidR="005A1ED4">
        <w:rPr>
          <w:lang w:val="es-ES_tradnl"/>
        </w:rPr>
        <w:tab/>
      </w:r>
      <w:r w:rsidRPr="00FA40F2">
        <w:rPr>
          <w:lang w:val="es-ES_tradnl"/>
        </w:rPr>
        <w:t xml:space="preserve">Protección del medio ambiente y </w:t>
      </w:r>
      <w:bookmarkEnd w:id="48"/>
      <w:bookmarkEnd w:id="49"/>
      <w:bookmarkEnd w:id="50"/>
      <w:r w:rsidRPr="00FA40F2">
        <w:rPr>
          <w:lang w:val="es-ES_tradnl"/>
        </w:rPr>
        <w:t>planificación urbana</w:t>
      </w:r>
    </w:p>
    <w:p w14:paraId="4A14880A" w14:textId="77777777" w:rsidR="00FA40F2" w:rsidRPr="00FA40F2" w:rsidRDefault="00FA40F2" w:rsidP="00FA40F2">
      <w:pPr>
        <w:pStyle w:val="SingleTxtG"/>
        <w:rPr>
          <w:lang w:val="es-ES_tradnl"/>
        </w:rPr>
      </w:pPr>
      <w:r w:rsidRPr="00FA40F2">
        <w:rPr>
          <w:lang w:val="es-ES_tradnl"/>
        </w:rPr>
        <w:t>203.</w:t>
      </w:r>
      <w:r w:rsidRPr="00FA40F2">
        <w:rPr>
          <w:lang w:val="es-ES_tradnl"/>
        </w:rPr>
        <w:tab/>
        <w:t xml:space="preserve">El Gobierno concede gran importancia a la protección del medio ambiente y a la planificación urbana. El marco jurídico existente se complementó con la aplicación en la RAE de Macao del Acuerdo de París en 2016 y el Convenio de Minamata en 2017. También se aprobó la Ley </w:t>
      </w:r>
      <w:r w:rsidR="00E27276">
        <w:rPr>
          <w:lang w:val="es-ES_tradnl"/>
        </w:rPr>
        <w:t>núm. </w:t>
      </w:r>
      <w:r w:rsidRPr="00FA40F2">
        <w:rPr>
          <w:lang w:val="es-ES_tradnl"/>
        </w:rPr>
        <w:t>8/2014, de Prevención y Control del Ruido Ambiental, que establece límites al ruido ambiental, incluido el de las obras de construcción y el de las actividades de la vida cotidiana.</w:t>
      </w:r>
    </w:p>
    <w:p w14:paraId="10B3C359" w14:textId="77777777" w:rsidR="00FA40F2" w:rsidRPr="00FA40F2" w:rsidRDefault="00FA40F2" w:rsidP="00FA40F2">
      <w:pPr>
        <w:pStyle w:val="SingleTxtG"/>
        <w:rPr>
          <w:lang w:val="es-ES_tradnl"/>
        </w:rPr>
      </w:pPr>
      <w:r w:rsidRPr="00FA40F2">
        <w:rPr>
          <w:lang w:val="es-ES_tradnl"/>
        </w:rPr>
        <w:t>204.</w:t>
      </w:r>
      <w:r w:rsidRPr="00FA40F2">
        <w:rPr>
          <w:lang w:val="es-ES_tradnl"/>
        </w:rPr>
        <w:tab/>
        <w:t>Se está ejecutando el Plan de Protección Ambiental de Macao (2010-2020), mientras que se siguen adoptando estrategias específicas para proteger el valioso entorno ecológico y los recursos naturales de la RAE de Macao, además de mejorar la calidad del entorno vital, como el Programa de Gestión de los Recursos Hídricos de Macao, los programas de Asociación de Escuelas Verdes y Asociación de Empresas Verdes, el Programa de Gestión de Residuos Sólidos de Macao 2017-2026 y las Normas de Emisiones de Escape de Vehículos, de 2017.</w:t>
      </w:r>
    </w:p>
    <w:p w14:paraId="5B59ED65" w14:textId="77777777" w:rsidR="00FA40F2" w:rsidRPr="00FA40F2" w:rsidRDefault="00FA40F2" w:rsidP="00FA40F2">
      <w:pPr>
        <w:pStyle w:val="SingleTxtG"/>
        <w:rPr>
          <w:lang w:val="es-ES_tradnl"/>
        </w:rPr>
      </w:pPr>
      <w:r w:rsidRPr="00FA40F2">
        <w:rPr>
          <w:lang w:val="es-ES_tradnl"/>
        </w:rPr>
        <w:t>205.</w:t>
      </w:r>
      <w:r w:rsidRPr="00FA40F2">
        <w:rPr>
          <w:lang w:val="es-ES_tradnl"/>
        </w:rPr>
        <w:tab/>
        <w:t xml:space="preserve">La Dirección de Servicios de Protección del Medio Ambiente desempeña un papel fundamental en este terreno, en el que trabaja activamente con el Instituto de Asuntos Cívicos y Municipales, la Comisión para una Ciudad Sana, la Dirección de Servicios de Educación y Juventud, la Dirección de Asuntos Laborales y otras entidades, incluidas las escuelas, las ONG y el sector privado. </w:t>
      </w:r>
    </w:p>
    <w:p w14:paraId="23F52125" w14:textId="77777777" w:rsidR="00FA40F2" w:rsidRPr="00FA40F2" w:rsidRDefault="00FA40F2" w:rsidP="00FA40F2">
      <w:pPr>
        <w:pStyle w:val="SingleTxtG"/>
        <w:rPr>
          <w:lang w:val="es-ES_tradnl"/>
        </w:rPr>
      </w:pPr>
      <w:r w:rsidRPr="00FA40F2">
        <w:rPr>
          <w:lang w:val="es-ES_tradnl"/>
        </w:rPr>
        <w:t>206.</w:t>
      </w:r>
      <w:r w:rsidRPr="00FA40F2">
        <w:rPr>
          <w:lang w:val="es-ES_tradnl"/>
        </w:rPr>
        <w:tab/>
        <w:t>La educación ambiental y las prácticas sostenibles para una sociedad verde son una prioridad. Entre 2014 y 2017, la Dirección de Servicios de Protección del Medio Ambiente y el Instituto de Asuntos Cívicos y Municipales organizaron 8.049 actividades educativas y de sensibilización, que contaron en promedio con 217 participantes por actividad, y con un total de 861, 851, 840 y 986 coorganizadores, respectivamente. Durante el mismo período, se celebraron 111 seminarios y cursos sobre el sistema de gestión ambiental, a los que asistieron 4.020 personas, y se concedió la certificación ISO 14001 de Sistemas de Gestión Ambiental a 57, 66, 79 y 92 entidades, respectivamente.</w:t>
      </w:r>
    </w:p>
    <w:p w14:paraId="0E056009" w14:textId="77777777" w:rsidR="00FA40F2" w:rsidRPr="00FA40F2" w:rsidRDefault="00FA40F2" w:rsidP="00FA40F2">
      <w:pPr>
        <w:pStyle w:val="SingleTxtG"/>
        <w:rPr>
          <w:lang w:val="es-ES_tradnl"/>
        </w:rPr>
      </w:pPr>
      <w:r w:rsidRPr="00FA40F2">
        <w:rPr>
          <w:lang w:val="es-ES_tradnl"/>
        </w:rPr>
        <w:t>207.</w:t>
      </w:r>
      <w:r w:rsidRPr="00FA40F2">
        <w:rPr>
          <w:lang w:val="es-ES_tradnl"/>
        </w:rPr>
        <w:tab/>
        <w:t xml:space="preserve">El Instituto de Asuntos Cívicos y Municipales también sigue mejorando las condiciones de vida de la población con mejoras continuas en el sistema de alcantarillado, la adopción de medidas de mantenimiento y mitigación para paliar las inundaciones en los </w:t>
      </w:r>
      <w:r w:rsidRPr="00FA40F2">
        <w:rPr>
          <w:lang w:val="es-ES_tradnl"/>
        </w:rPr>
        <w:lastRenderedPageBreak/>
        <w:t>puntos negros, la sustitución de contenedores de basura por puntos de recogida de residuos (el número de contenedores se redujo de 291 en 2014 a 167 en 2018), la puesta en marcha de campañas de reciclaje (actualmente hay 356 puntos de reciclaje de desechos y 75 de reciclaje de botellas de vidrio) y la mejora de la higiene ambiental.</w:t>
      </w:r>
    </w:p>
    <w:p w14:paraId="7F41F9B4" w14:textId="77777777" w:rsidR="00FA40F2" w:rsidRPr="00FA40F2" w:rsidRDefault="00FA40F2" w:rsidP="00FA40F2">
      <w:pPr>
        <w:pStyle w:val="SingleTxtG"/>
        <w:rPr>
          <w:lang w:val="es-ES_tradnl"/>
        </w:rPr>
      </w:pPr>
      <w:r w:rsidRPr="00FA40F2">
        <w:rPr>
          <w:lang w:val="es-ES_tradnl"/>
        </w:rPr>
        <w:t>208.</w:t>
      </w:r>
      <w:r w:rsidRPr="00FA40F2">
        <w:rPr>
          <w:lang w:val="es-ES_tradnl"/>
        </w:rPr>
        <w:tab/>
        <w:t xml:space="preserve">Con el fin de prevenir la transmisión del dengue, el zika y otras enfermedades contagiosas, el Instituto de Asuntos Cívicos y Municipales colabora con el Instituto de la Vivienda en la limpieza de las zonas insalubres, la inspección de las obras de construcción y la puesta en marcha de campañas de sensibilización como las celebradas bajo los lemas </w:t>
      </w:r>
      <w:r w:rsidR="00D353FA">
        <w:rPr>
          <w:lang w:val="es-ES_tradnl"/>
        </w:rPr>
        <w:t>“</w:t>
      </w:r>
      <w:r w:rsidRPr="00FA40F2">
        <w:rPr>
          <w:lang w:val="es-ES_tradnl"/>
        </w:rPr>
        <w:t>Jornada de Limpieza de Aguas Estancadas</w:t>
      </w:r>
      <w:r w:rsidR="00D353FA">
        <w:rPr>
          <w:lang w:val="es-ES_tradnl"/>
        </w:rPr>
        <w:t>”</w:t>
      </w:r>
      <w:r w:rsidRPr="00FA40F2">
        <w:rPr>
          <w:lang w:val="es-ES_tradnl"/>
        </w:rPr>
        <w:t xml:space="preserve"> y </w:t>
      </w:r>
      <w:r w:rsidR="00D353FA">
        <w:rPr>
          <w:lang w:val="es-ES_tradnl"/>
        </w:rPr>
        <w:t>“</w:t>
      </w:r>
      <w:r w:rsidRPr="00FA40F2">
        <w:rPr>
          <w:lang w:val="es-ES_tradnl"/>
        </w:rPr>
        <w:t>Prevención del Dengue</w:t>
      </w:r>
      <w:r w:rsidR="00D353FA">
        <w:rPr>
          <w:lang w:val="es-ES_tradnl"/>
        </w:rPr>
        <w:t>”</w:t>
      </w:r>
      <w:r w:rsidRPr="00FA40F2">
        <w:rPr>
          <w:lang w:val="es-ES_tradnl"/>
        </w:rPr>
        <w:t>.</w:t>
      </w:r>
    </w:p>
    <w:p w14:paraId="211576B0" w14:textId="77777777" w:rsidR="00FA40F2" w:rsidRPr="00FA40F2" w:rsidRDefault="00FA40F2" w:rsidP="00FA40F2">
      <w:pPr>
        <w:pStyle w:val="SingleTxtG"/>
        <w:rPr>
          <w:lang w:val="es-ES_tradnl"/>
        </w:rPr>
      </w:pPr>
      <w:r w:rsidRPr="00FA40F2">
        <w:rPr>
          <w:lang w:val="es-ES_tradnl"/>
        </w:rPr>
        <w:t>209.</w:t>
      </w:r>
      <w:r w:rsidRPr="00FA40F2">
        <w:rPr>
          <w:lang w:val="es-ES_tradnl"/>
        </w:rPr>
        <w:tab/>
        <w:t xml:space="preserve">En cuanto a la planificación urbana, hay que destacar la aplicación de la Ley </w:t>
      </w:r>
      <w:r w:rsidR="00E27276">
        <w:rPr>
          <w:lang w:val="es-ES_tradnl"/>
        </w:rPr>
        <w:t>núm. </w:t>
      </w:r>
      <w:r w:rsidRPr="00FA40F2">
        <w:rPr>
          <w:lang w:val="es-ES_tradnl"/>
        </w:rPr>
        <w:t xml:space="preserve">12/2013, que establece normas y criterios de planificación y gestión urbana, así como las condiciones de uso y explotación del suelo, y crea el Consejo de Planificación Urbana (órgano consultivo integrado por representantes del sector privado y el Gobierno (Reglamento Administrativo </w:t>
      </w:r>
      <w:r w:rsidR="00E27276">
        <w:rPr>
          <w:lang w:val="es-ES_tradnl"/>
        </w:rPr>
        <w:t>núm. </w:t>
      </w:r>
      <w:r w:rsidRPr="00FA40F2">
        <w:rPr>
          <w:lang w:val="es-ES_tradnl"/>
        </w:rPr>
        <w:t>3/2014).</w:t>
      </w:r>
    </w:p>
    <w:p w14:paraId="4F7700FF" w14:textId="77777777" w:rsidR="00FA40F2" w:rsidRPr="00FA40F2" w:rsidRDefault="00FA40F2" w:rsidP="00FA40F2">
      <w:pPr>
        <w:pStyle w:val="SingleTxtG"/>
        <w:rPr>
          <w:lang w:val="es-ES_tradnl"/>
        </w:rPr>
      </w:pPr>
      <w:r w:rsidRPr="00FA40F2">
        <w:rPr>
          <w:lang w:val="es-ES_tradnl"/>
        </w:rPr>
        <w:t>210.</w:t>
      </w:r>
      <w:r w:rsidRPr="00FA40F2">
        <w:rPr>
          <w:lang w:val="es-ES_tradnl"/>
        </w:rPr>
        <w:tab/>
        <w:t xml:space="preserve">La renovación de los espacios públicos abiertos constituye también una prioridad, al igual que el aumento de las vías peatonales, el embellecimiento de las plazas y las zonas históricas y la renovación del paisaje (por ejemplo, mediante la creación de zonas verdes, senderos peatonales y espacios abiertos para el ocio). Actualmente, hay 86 áreas públicas de recreo y esparcimiento, con más de 1.280 aparatos de gimnasia al aire libre. </w:t>
      </w:r>
    </w:p>
    <w:p w14:paraId="236E2648" w14:textId="77777777" w:rsidR="00FA40F2" w:rsidRPr="00FA40F2" w:rsidRDefault="00FA40F2" w:rsidP="00FA40F2">
      <w:pPr>
        <w:pStyle w:val="SingleTxtG"/>
        <w:rPr>
          <w:lang w:val="es-ES_tradnl"/>
        </w:rPr>
      </w:pPr>
      <w:r w:rsidRPr="00FA40F2">
        <w:rPr>
          <w:lang w:val="es-ES_tradnl"/>
        </w:rPr>
        <w:t>211.</w:t>
      </w:r>
      <w:r w:rsidRPr="00FA40F2">
        <w:rPr>
          <w:lang w:val="es-ES_tradnl"/>
        </w:rPr>
        <w:tab/>
        <w:t>A través del Instituto de Asuntos Cívicos y Municipales se han creado siete centros de actividades que ofrecen una amplia variedad de instalaciones culturales, recreativas y de ocio, como zonas para exposiciones, auditorios, bibliotecas y centros dotados de tecnologías de la información (con acceso gratuito a computadoras e Internet).</w:t>
      </w:r>
    </w:p>
    <w:p w14:paraId="53BF645C" w14:textId="77777777" w:rsidR="00FA40F2" w:rsidRPr="00FA40F2" w:rsidRDefault="00FA40F2" w:rsidP="00FA40F2">
      <w:pPr>
        <w:pStyle w:val="SingleTxtG"/>
        <w:rPr>
          <w:lang w:val="es-ES_tradnl"/>
        </w:rPr>
      </w:pPr>
      <w:r w:rsidRPr="00FA40F2">
        <w:rPr>
          <w:lang w:val="es-ES_tradnl"/>
        </w:rPr>
        <w:t>212.</w:t>
      </w:r>
      <w:r w:rsidRPr="00FA40F2">
        <w:rPr>
          <w:lang w:val="es-ES_tradnl"/>
        </w:rPr>
        <w:tab/>
        <w:t>En lo que respecta a la prevención de catástrofes y la protección civil, tras el tifón Hato, el Gobierno concluyó la redacción del Marco Jurídico de Protección Civil y el Marco de la Oficina de Protección Civil y Coordinación de Contingencias. El Instituto se encarga de la coordinación general de la protección civil y la respuesta en casos de emergencia. Se está elaborando un Plan Decenal de Prevención y Mitigación de Desastres (2019-2028).</w:t>
      </w:r>
    </w:p>
    <w:p w14:paraId="7079ECD8" w14:textId="77777777" w:rsidR="00FA40F2" w:rsidRPr="00FA40F2" w:rsidRDefault="00FA40F2" w:rsidP="00FA40F2">
      <w:pPr>
        <w:pStyle w:val="SingleTxtG"/>
        <w:rPr>
          <w:lang w:val="es-ES_tradnl"/>
        </w:rPr>
      </w:pPr>
      <w:r w:rsidRPr="00FA40F2">
        <w:rPr>
          <w:lang w:val="es-ES_tradnl"/>
        </w:rPr>
        <w:t>213.</w:t>
      </w:r>
      <w:r w:rsidRPr="00FA40F2">
        <w:rPr>
          <w:lang w:val="es-ES_tradnl"/>
        </w:rPr>
        <w:tab/>
        <w:t>En referencia a la cooperación internacional e interregional, el Gobierno sigue aunando esfuerzos con la RAE de Hong Kong, las ciudades de Cantón, Shenzhen, Zhuhai y otras localidades de China, con miras a adoptar un enfoque sostenible para abordar las cuestiones relacionadas con el medio ambiente en la región.</w:t>
      </w:r>
    </w:p>
    <w:p w14:paraId="108008FE" w14:textId="77777777" w:rsidR="00FA40F2" w:rsidRPr="00FA40F2" w:rsidRDefault="00FA40F2" w:rsidP="00FA40F2">
      <w:pPr>
        <w:pStyle w:val="SingleTxtG"/>
        <w:rPr>
          <w:lang w:val="es-ES_tradnl"/>
        </w:rPr>
      </w:pPr>
      <w:r w:rsidRPr="00FA40F2">
        <w:rPr>
          <w:lang w:val="es-ES_tradnl"/>
        </w:rPr>
        <w:t>214.</w:t>
      </w:r>
      <w:r w:rsidRPr="00FA40F2">
        <w:rPr>
          <w:lang w:val="es-ES_tradnl"/>
        </w:rPr>
        <w:tab/>
        <w:t xml:space="preserve">Además, la Dirección de Servicios de Protección del Medio Ambiente y el Instituto de Promoción del Comercio y la Inversión de Macao siguen organizando el Foro y la Exposición Internacional de Cooperación Ambiental de Macao junto con los gobiernos de las provincias del delta del río de las Perlas. El propósito es convertir esos eventos en una plataforma internacional que fomente el desarrollo de la cooperación de la industria de la protección ambiental, así como la transferencia de tecnologías y el desarrollo sostenible de los países de la Iniciativa de la Franja y la Ruta, la región del delta del río de las Perlas, la zona de la gran bahía de Cantón-Hong Kong-Macao, los países de habla portuguesa, los países europeos y el resto del mundo. El tema de 2018 fue </w:t>
      </w:r>
      <w:r w:rsidR="00D353FA">
        <w:rPr>
          <w:lang w:val="es-ES_tradnl"/>
        </w:rPr>
        <w:t>“</w:t>
      </w:r>
      <w:r w:rsidRPr="00FA40F2">
        <w:rPr>
          <w:lang w:val="es-ES_tradnl"/>
        </w:rPr>
        <w:t>Conformación de Ciudades Ecológicas para una Economía Verde Inclusiva</w:t>
      </w:r>
      <w:r w:rsidR="00D353FA">
        <w:rPr>
          <w:lang w:val="es-ES_tradnl"/>
        </w:rPr>
        <w:t>”</w:t>
      </w:r>
      <w:r w:rsidRPr="00FA40F2">
        <w:rPr>
          <w:lang w:val="es-ES_tradnl"/>
        </w:rPr>
        <w:t>, y el objetivo, promover soluciones para un futuro con bajas emisiones de carbono y un desarrollo sostenible de las ciudades, en cooperación con la industria (finanzas y tecnología verdes).</w:t>
      </w:r>
    </w:p>
    <w:p w14:paraId="1AE5A8C1" w14:textId="77777777" w:rsidR="00FA40F2" w:rsidRPr="00FA40F2" w:rsidRDefault="005A1ED4" w:rsidP="005A1ED4">
      <w:pPr>
        <w:pStyle w:val="H1G"/>
        <w:rPr>
          <w:lang w:val="es-ES_tradnl"/>
        </w:rPr>
      </w:pPr>
      <w:r>
        <w:rPr>
          <w:lang w:val="es-ES_tradnl"/>
        </w:rPr>
        <w:tab/>
      </w:r>
      <w:r w:rsidR="00FA40F2" w:rsidRPr="00FA40F2">
        <w:rPr>
          <w:lang w:val="es-ES_tradnl"/>
        </w:rPr>
        <w:tab/>
      </w:r>
      <w:r w:rsidR="00722610">
        <w:rPr>
          <w:lang w:val="es-ES_tradnl"/>
        </w:rPr>
        <w:t>Artículo </w:t>
      </w:r>
      <w:r w:rsidR="00FA40F2" w:rsidRPr="00FA40F2">
        <w:rPr>
          <w:lang w:val="es-ES_tradnl"/>
        </w:rPr>
        <w:t>12</w:t>
      </w:r>
      <w:r w:rsidR="00FA40F2" w:rsidRPr="00FA40F2">
        <w:rPr>
          <w:lang w:val="es-ES_tradnl"/>
        </w:rPr>
        <w:br/>
        <w:t>Derecho a la salud</w:t>
      </w:r>
      <w:bookmarkStart w:id="51" w:name="_Toc194226870"/>
      <w:bookmarkStart w:id="52" w:name="_Toc194229832"/>
      <w:bookmarkStart w:id="53" w:name="_Toc286998606"/>
      <w:bookmarkEnd w:id="51"/>
      <w:bookmarkEnd w:id="52"/>
      <w:bookmarkEnd w:id="53"/>
    </w:p>
    <w:p w14:paraId="7787BB98" w14:textId="77777777" w:rsidR="00FA40F2" w:rsidRPr="00FA40F2" w:rsidRDefault="00FA40F2" w:rsidP="005A1ED4">
      <w:pPr>
        <w:pStyle w:val="H23G"/>
        <w:rPr>
          <w:lang w:val="es-ES_tradnl"/>
        </w:rPr>
      </w:pPr>
      <w:bookmarkStart w:id="54" w:name="_Toc33444554"/>
      <w:bookmarkStart w:id="55" w:name="_Toc41219201"/>
      <w:bookmarkStart w:id="56" w:name="_Toc286998607"/>
      <w:r w:rsidRPr="00FA40F2">
        <w:rPr>
          <w:lang w:val="es-ES_tradnl"/>
        </w:rPr>
        <w:tab/>
      </w:r>
      <w:r w:rsidR="005A1ED4">
        <w:rPr>
          <w:lang w:val="es-ES_tradnl"/>
        </w:rPr>
        <w:tab/>
      </w:r>
      <w:r w:rsidRPr="00FA40F2">
        <w:rPr>
          <w:lang w:val="es-ES_tradnl"/>
        </w:rPr>
        <w:t>Estado de salud física y mental de la población</w:t>
      </w:r>
      <w:bookmarkEnd w:id="54"/>
      <w:bookmarkEnd w:id="55"/>
      <w:bookmarkEnd w:id="56"/>
    </w:p>
    <w:p w14:paraId="2D349B00" w14:textId="77777777" w:rsidR="00FA40F2" w:rsidRPr="00FA40F2" w:rsidRDefault="00FA40F2" w:rsidP="00FA40F2">
      <w:pPr>
        <w:pStyle w:val="SingleTxtG"/>
        <w:rPr>
          <w:lang w:val="es-ES_tradnl"/>
        </w:rPr>
      </w:pPr>
      <w:r w:rsidRPr="00FA40F2">
        <w:rPr>
          <w:lang w:val="es-ES_tradnl"/>
        </w:rPr>
        <w:t>215.</w:t>
      </w:r>
      <w:r w:rsidRPr="00FA40F2">
        <w:rPr>
          <w:lang w:val="es-ES_tradnl"/>
        </w:rPr>
        <w:tab/>
        <w:t>En 2017, el porcentaje de jóvenes era del 12,7</w:t>
      </w:r>
      <w:r w:rsidR="00E27276">
        <w:rPr>
          <w:lang w:val="es-ES_tradnl"/>
        </w:rPr>
        <w:t> %</w:t>
      </w:r>
      <w:r w:rsidRPr="00FA40F2">
        <w:rPr>
          <w:lang w:val="es-ES_tradnl"/>
        </w:rPr>
        <w:t xml:space="preserve"> de la población, y el de personas de edad, del 10,5</w:t>
      </w:r>
      <w:r w:rsidR="00E27276">
        <w:rPr>
          <w:lang w:val="es-ES_tradnl"/>
        </w:rPr>
        <w:t> %</w:t>
      </w:r>
      <w:r w:rsidRPr="00FA40F2">
        <w:rPr>
          <w:lang w:val="es-ES_tradnl"/>
        </w:rPr>
        <w:t>. Entre 2014 y 2017 la esperanza de vida media era de 80,3 años entre los varones y 86,4 años entre las mujeres.</w:t>
      </w:r>
    </w:p>
    <w:p w14:paraId="562B0E50" w14:textId="77777777" w:rsidR="00FA40F2" w:rsidRPr="00FA40F2" w:rsidRDefault="00FA40F2" w:rsidP="00FA40F2">
      <w:pPr>
        <w:pStyle w:val="SingleTxtG"/>
        <w:rPr>
          <w:lang w:val="es-ES_tradnl"/>
        </w:rPr>
      </w:pPr>
      <w:r w:rsidRPr="00FA40F2">
        <w:rPr>
          <w:lang w:val="es-ES_tradnl"/>
        </w:rPr>
        <w:t>216.</w:t>
      </w:r>
      <w:r w:rsidRPr="00FA40F2">
        <w:rPr>
          <w:lang w:val="es-ES_tradnl"/>
        </w:rPr>
        <w:tab/>
        <w:t>En 2018, las tres principales causas de fallecimiento fueron las neoplasias (737), las</w:t>
      </w:r>
      <w:r w:rsidR="006D7D82">
        <w:rPr>
          <w:lang w:val="es-ES_tradnl"/>
        </w:rPr>
        <w:t xml:space="preserve"> </w:t>
      </w:r>
      <w:r w:rsidRPr="00FA40F2">
        <w:rPr>
          <w:lang w:val="es-ES_tradnl"/>
        </w:rPr>
        <w:t xml:space="preserve">enfermedades del sistema circulatorio (524) y las enfermedades del sistema respiratorio </w:t>
      </w:r>
      <w:r w:rsidRPr="00FA40F2">
        <w:rPr>
          <w:lang w:val="es-ES_tradnl"/>
        </w:rPr>
        <w:lastRenderedPageBreak/>
        <w:t>(407). Se registraron 9.929 casos de enfermedades de declaración obligatoria, principalmente infecciones por enterovirus (3.398) y gripe (4.110).</w:t>
      </w:r>
    </w:p>
    <w:p w14:paraId="4CD0FF8F" w14:textId="77777777" w:rsidR="00FA40F2" w:rsidRPr="00FA40F2" w:rsidRDefault="00FA40F2" w:rsidP="00FA40F2">
      <w:pPr>
        <w:pStyle w:val="SingleTxtG"/>
        <w:rPr>
          <w:lang w:val="es-ES_tradnl"/>
        </w:rPr>
      </w:pPr>
      <w:bookmarkStart w:id="57" w:name="_Toc286998608"/>
      <w:r w:rsidRPr="00FA40F2">
        <w:rPr>
          <w:lang w:val="es-ES_tradnl"/>
        </w:rPr>
        <w:t>217.</w:t>
      </w:r>
      <w:r w:rsidRPr="00FA40F2">
        <w:rPr>
          <w:lang w:val="es-ES_tradnl"/>
        </w:rPr>
        <w:tab/>
        <w:t xml:space="preserve">En lo que respecta a la salud mental, el Departamento de Psiquiatría y el Centro Psiquiátrico en </w:t>
      </w:r>
      <w:proofErr w:type="spellStart"/>
      <w:r w:rsidRPr="00FA40F2">
        <w:rPr>
          <w:lang w:val="es-ES_tradnl"/>
        </w:rPr>
        <w:t>Taipa</w:t>
      </w:r>
      <w:proofErr w:type="spellEnd"/>
      <w:r w:rsidRPr="00FA40F2">
        <w:rPr>
          <w:lang w:val="es-ES_tradnl"/>
        </w:rPr>
        <w:t xml:space="preserve"> del Centro Hospitalario São </w:t>
      </w:r>
      <w:proofErr w:type="spellStart"/>
      <w:r w:rsidRPr="00FA40F2">
        <w:rPr>
          <w:lang w:val="es-ES_tradnl"/>
        </w:rPr>
        <w:t>Januário</w:t>
      </w:r>
      <w:proofErr w:type="spellEnd"/>
      <w:r w:rsidRPr="00FA40F2">
        <w:rPr>
          <w:lang w:val="es-ES_tradnl"/>
        </w:rPr>
        <w:t xml:space="preserve"> continúan prestando servicios psiquiátricos integrales. Siguiendo las directrices de la Organización Mundial de la Salud (OMS), la Oficina de Salud creó en 2015 un mecanismo conjunto, con un sistema de derivación en el que participan organizaciones comunitarias, centros de salud y el Departamento de Psiquiatría.</w:t>
      </w:r>
    </w:p>
    <w:p w14:paraId="08E8EB64" w14:textId="77777777" w:rsidR="00FA40F2" w:rsidRPr="00FA40F2" w:rsidRDefault="00FA40F2" w:rsidP="00FA40F2">
      <w:pPr>
        <w:pStyle w:val="SingleTxtG"/>
        <w:rPr>
          <w:lang w:val="es-ES_tradnl"/>
        </w:rPr>
      </w:pPr>
      <w:r w:rsidRPr="00FA40F2">
        <w:rPr>
          <w:lang w:val="es-ES_tradnl"/>
        </w:rPr>
        <w:t>218.</w:t>
      </w:r>
      <w:r w:rsidRPr="00FA40F2">
        <w:rPr>
          <w:lang w:val="es-ES_tradnl"/>
        </w:rPr>
        <w:tab/>
        <w:t>Además de la Comisión de Salud Mental y la Asociación Psiquiátrica de Macao, en</w:t>
      </w:r>
      <w:r w:rsidR="00DA2DDF">
        <w:rPr>
          <w:lang w:val="es-ES_tradnl"/>
        </w:rPr>
        <w:t> </w:t>
      </w:r>
      <w:r w:rsidRPr="00FA40F2">
        <w:rPr>
          <w:lang w:val="es-ES_tradnl"/>
        </w:rPr>
        <w:t>2016 se creó un Equipo de Servicios Psiquiátricos Comunitarios para ofrecer intervención, evaluación y tratamiento urgentes y esenciales a pacientes de salud mental de alto riesgo potencial. El Gobierno también subvenciona a ONG para que presten servicios gratuitos de asesoramiento psicológico.</w:t>
      </w:r>
    </w:p>
    <w:p w14:paraId="6A9B1805" w14:textId="77777777" w:rsidR="00FA40F2" w:rsidRPr="00FA40F2" w:rsidRDefault="00FA40F2" w:rsidP="00FA40F2">
      <w:pPr>
        <w:pStyle w:val="SingleTxtG"/>
        <w:rPr>
          <w:lang w:val="es-ES_tradnl"/>
        </w:rPr>
      </w:pPr>
      <w:r w:rsidRPr="00FA40F2">
        <w:rPr>
          <w:lang w:val="es-ES_tradnl"/>
        </w:rPr>
        <w:t>219.</w:t>
      </w:r>
      <w:r w:rsidRPr="00FA40F2">
        <w:rPr>
          <w:lang w:val="es-ES_tradnl"/>
        </w:rPr>
        <w:tab/>
        <w:t xml:space="preserve">A septiembre de 2018, el Departamento de Psiquiatría había registrado 1.329 nuevos pacientes y 27.701 pacientes estaban en seguimiento. Actualmente hay 22 personas en régimen de internamiento obligatorio en virtud del Decreto Ley </w:t>
      </w:r>
      <w:r w:rsidR="00E27276">
        <w:rPr>
          <w:lang w:val="es-ES_tradnl"/>
        </w:rPr>
        <w:t>núm. </w:t>
      </w:r>
      <w:r w:rsidRPr="00FA40F2">
        <w:rPr>
          <w:lang w:val="es-ES_tradnl"/>
        </w:rPr>
        <w:t>31/99/M.</w:t>
      </w:r>
    </w:p>
    <w:p w14:paraId="5AF55699" w14:textId="77777777" w:rsidR="00FA40F2" w:rsidRPr="00FA40F2" w:rsidRDefault="00FA40F2" w:rsidP="00FA40F2">
      <w:pPr>
        <w:pStyle w:val="SingleTxtG"/>
        <w:rPr>
          <w:lang w:val="es-ES_tradnl"/>
        </w:rPr>
      </w:pPr>
      <w:r w:rsidRPr="00FA40F2">
        <w:rPr>
          <w:lang w:val="es-ES_tradnl"/>
        </w:rPr>
        <w:t>220.</w:t>
      </w:r>
      <w:r w:rsidRPr="00FA40F2">
        <w:rPr>
          <w:lang w:val="es-ES_tradnl"/>
        </w:rPr>
        <w:tab/>
        <w:t>Los principales indicadores demográficos pueden consultarse en las páginas 46 a 61 del Anuario Estadístico de 2017.</w:t>
      </w:r>
    </w:p>
    <w:p w14:paraId="1108232C" w14:textId="77777777" w:rsidR="00FA40F2" w:rsidRPr="00FA40F2" w:rsidRDefault="00FA40F2" w:rsidP="005A1ED4">
      <w:pPr>
        <w:pStyle w:val="H23G"/>
        <w:rPr>
          <w:lang w:val="es-ES_tradnl"/>
        </w:rPr>
      </w:pPr>
      <w:r w:rsidRPr="00FA40F2">
        <w:rPr>
          <w:lang w:val="es-ES_tradnl"/>
        </w:rPr>
        <w:tab/>
      </w:r>
      <w:r w:rsidR="005A1ED4">
        <w:rPr>
          <w:lang w:val="es-ES_tradnl"/>
        </w:rPr>
        <w:tab/>
      </w:r>
      <w:r w:rsidRPr="00FA40F2">
        <w:rPr>
          <w:lang w:val="es-ES_tradnl"/>
        </w:rPr>
        <w:t xml:space="preserve">Sistema de salud, principales políticas y medidas adoptadas para garantizar </w:t>
      </w:r>
      <w:r w:rsidR="005A1ED4">
        <w:rPr>
          <w:lang w:val="es-ES_tradnl"/>
        </w:rPr>
        <w:br/>
      </w:r>
      <w:r w:rsidRPr="00FA40F2">
        <w:rPr>
          <w:lang w:val="es-ES_tradnl"/>
        </w:rPr>
        <w:t>el derecho a la salud</w:t>
      </w:r>
      <w:bookmarkEnd w:id="57"/>
    </w:p>
    <w:p w14:paraId="0039FE91" w14:textId="77777777" w:rsidR="00FA40F2" w:rsidRPr="00FA40F2" w:rsidRDefault="00FA40F2" w:rsidP="00FA40F2">
      <w:pPr>
        <w:pStyle w:val="SingleTxtG"/>
        <w:rPr>
          <w:lang w:val="es-ES_tradnl"/>
        </w:rPr>
      </w:pPr>
      <w:r w:rsidRPr="00FA40F2">
        <w:rPr>
          <w:lang w:val="es-ES_tradnl"/>
        </w:rPr>
        <w:t>221.</w:t>
      </w:r>
      <w:r w:rsidRPr="00FA40F2">
        <w:rPr>
          <w:lang w:val="es-ES_tradnl"/>
        </w:rPr>
        <w:tab/>
        <w:t xml:space="preserve">La información proporcionada en los informes anteriores sigue vigente en lo que respecta a la legislación básica sobre salud y el sistema de atención de la salud, que ofrece amplios servicios de prevención, cura y rehabilitación. Las instalaciones de salud pública comprenden un hospital (con un servicio de urgencias en </w:t>
      </w:r>
      <w:proofErr w:type="spellStart"/>
      <w:r w:rsidRPr="00FA40F2">
        <w:rPr>
          <w:lang w:val="es-ES_tradnl"/>
        </w:rPr>
        <w:t>Taipa</w:t>
      </w:r>
      <w:proofErr w:type="spellEnd"/>
      <w:r w:rsidRPr="00FA40F2">
        <w:rPr>
          <w:lang w:val="es-ES_tradnl"/>
        </w:rPr>
        <w:t>), 8 centros de salud y 3</w:t>
      </w:r>
      <w:r w:rsidR="00DA2DDF">
        <w:rPr>
          <w:lang w:val="es-ES_tradnl"/>
        </w:rPr>
        <w:t> </w:t>
      </w:r>
      <w:r w:rsidRPr="00FA40F2">
        <w:rPr>
          <w:lang w:val="es-ES_tradnl"/>
        </w:rPr>
        <w:t>puestos sanitarios.</w:t>
      </w:r>
    </w:p>
    <w:p w14:paraId="4BE7C143" w14:textId="77777777" w:rsidR="00FA40F2" w:rsidRPr="00FA40F2" w:rsidRDefault="00FA40F2" w:rsidP="00FA40F2">
      <w:pPr>
        <w:pStyle w:val="SingleTxtG"/>
        <w:rPr>
          <w:lang w:val="es-ES_tradnl"/>
        </w:rPr>
      </w:pPr>
      <w:r w:rsidRPr="00FA40F2">
        <w:rPr>
          <w:lang w:val="es-ES_tradnl"/>
        </w:rPr>
        <w:t>222.</w:t>
      </w:r>
      <w:r w:rsidRPr="00FA40F2">
        <w:rPr>
          <w:lang w:val="es-ES_tradnl"/>
        </w:rPr>
        <w:tab/>
        <w:t xml:space="preserve">Como novedad cabe citar la adopción de la Ley </w:t>
      </w:r>
      <w:r w:rsidR="00E27276">
        <w:rPr>
          <w:lang w:val="es-ES_tradnl"/>
        </w:rPr>
        <w:t>núm. </w:t>
      </w:r>
      <w:r w:rsidRPr="00FA40F2">
        <w:rPr>
          <w:lang w:val="es-ES_tradnl"/>
        </w:rPr>
        <w:t>5/2016, de Régimen Jurídico de la Mala Praxis Médica, con el objetivo de proteger los derechos e intereses de los usuarios de los servicios de salud y de quienes los prestan, tanto en el sector público como en el privado. En 2017 se crearon el Centro de Mediación de Litigios Médicos y la Comisión de Evaluación de la Mala Praxis Médica.</w:t>
      </w:r>
    </w:p>
    <w:p w14:paraId="14EE1736" w14:textId="77777777" w:rsidR="00FA40F2" w:rsidRPr="00FA40F2" w:rsidRDefault="00FA40F2" w:rsidP="00FA40F2">
      <w:pPr>
        <w:pStyle w:val="SingleTxtG"/>
        <w:rPr>
          <w:lang w:val="es-ES_tradnl"/>
        </w:rPr>
      </w:pPr>
      <w:r w:rsidRPr="00FA40F2">
        <w:rPr>
          <w:lang w:val="es-ES_tradnl"/>
        </w:rPr>
        <w:t>223.</w:t>
      </w:r>
      <w:r w:rsidRPr="00FA40F2">
        <w:rPr>
          <w:lang w:val="es-ES_tradnl"/>
        </w:rPr>
        <w:tab/>
        <w:t xml:space="preserve">Para avanzar hacia el objetivo de </w:t>
      </w:r>
      <w:r w:rsidR="00D353FA">
        <w:rPr>
          <w:lang w:val="es-ES_tradnl"/>
        </w:rPr>
        <w:t>“</w:t>
      </w:r>
      <w:r w:rsidRPr="00FA40F2">
        <w:rPr>
          <w:lang w:val="es-ES_tradnl"/>
        </w:rPr>
        <w:t>Salud para todos</w:t>
      </w:r>
      <w:r w:rsidR="00D353FA">
        <w:rPr>
          <w:lang w:val="es-ES_tradnl"/>
        </w:rPr>
        <w:t>”</w:t>
      </w:r>
      <w:r w:rsidRPr="00FA40F2">
        <w:rPr>
          <w:lang w:val="es-ES_tradnl"/>
        </w:rPr>
        <w:t xml:space="preserve"> propugnado por la OMS, la Oficina de Salud ha establecido una red de atención primaria de salud a través de los centros de salud, que prestan servicios de atención prenatal, planificación familiar, atención médica infantil, atención médica para adultos, atención médica bucal, atención médica para estudiantes, educación sanitaria y medicina tradicional china.</w:t>
      </w:r>
    </w:p>
    <w:p w14:paraId="0CFD3BC0" w14:textId="77777777" w:rsidR="00FA40F2" w:rsidRPr="00FA40F2" w:rsidRDefault="00FA40F2" w:rsidP="00FA40F2">
      <w:pPr>
        <w:pStyle w:val="SingleTxtG"/>
        <w:rPr>
          <w:lang w:val="es-ES_tradnl"/>
        </w:rPr>
      </w:pPr>
      <w:r w:rsidRPr="00FA40F2">
        <w:rPr>
          <w:lang w:val="es-ES_tradnl"/>
        </w:rPr>
        <w:t>224.</w:t>
      </w:r>
      <w:r w:rsidRPr="00FA40F2">
        <w:rPr>
          <w:lang w:val="es-ES_tradnl"/>
        </w:rPr>
        <w:tab/>
        <w:t>En 2017, había 678 establecimientos sanitarios privados que prestaban servicios de atención primaria, entre ellos policlínicas (346), establecimientos de medicina occidental (152) y de medicina tradicional china (118), clínicas dentales (58) y clínicas de terapias diversas (4).</w:t>
      </w:r>
    </w:p>
    <w:p w14:paraId="69E9F303" w14:textId="77777777" w:rsidR="00FA40F2" w:rsidRPr="00FA40F2" w:rsidRDefault="00FA40F2" w:rsidP="00FA40F2">
      <w:pPr>
        <w:pStyle w:val="SingleTxtG"/>
        <w:rPr>
          <w:lang w:val="es-ES_tradnl"/>
        </w:rPr>
      </w:pPr>
      <w:r w:rsidRPr="00FA40F2">
        <w:rPr>
          <w:lang w:val="es-ES_tradnl"/>
        </w:rPr>
        <w:t>225.</w:t>
      </w:r>
      <w:r w:rsidRPr="00FA40F2">
        <w:rPr>
          <w:lang w:val="es-ES_tradnl"/>
        </w:rPr>
        <w:tab/>
        <w:t xml:space="preserve">Los datos sobre gastos de atención sanitaria y de salud mencionados en el informe anterior no han variado, mientras que el subsidio a residentes en el marco del Plan de Subsidios de Atención Médica se incrementó a 600 patacas de Macao anuales por persona para gastos médicos en clínicas privadas (Reglamento Administrativo </w:t>
      </w:r>
      <w:r w:rsidR="00E27276">
        <w:rPr>
          <w:lang w:val="es-ES_tradnl"/>
        </w:rPr>
        <w:t>núm. </w:t>
      </w:r>
      <w:r w:rsidRPr="00FA40F2">
        <w:rPr>
          <w:lang w:val="es-ES_tradnl"/>
        </w:rPr>
        <w:t>6/2018).</w:t>
      </w:r>
    </w:p>
    <w:p w14:paraId="4F1CB81E" w14:textId="77777777" w:rsidR="00FA40F2" w:rsidRPr="00FA40F2" w:rsidRDefault="00FA40F2" w:rsidP="005A1ED4">
      <w:pPr>
        <w:pStyle w:val="H23G"/>
        <w:rPr>
          <w:lang w:val="es-ES_tradnl"/>
        </w:rPr>
      </w:pPr>
      <w:r w:rsidRPr="00FA40F2">
        <w:rPr>
          <w:lang w:val="es-ES_tradnl"/>
        </w:rPr>
        <w:tab/>
      </w:r>
      <w:r w:rsidR="005A1ED4">
        <w:rPr>
          <w:lang w:val="es-ES_tradnl"/>
        </w:rPr>
        <w:tab/>
      </w:r>
      <w:r w:rsidRPr="00FA40F2">
        <w:rPr>
          <w:lang w:val="es-ES_tradnl"/>
        </w:rPr>
        <w:t xml:space="preserve">Número de visitas al Centro Hospitalario São </w:t>
      </w:r>
      <w:proofErr w:type="spellStart"/>
      <w:r w:rsidRPr="00FA40F2">
        <w:rPr>
          <w:lang w:val="es-ES_tradnl"/>
        </w:rPr>
        <w:t>Januário</w:t>
      </w:r>
      <w:proofErr w:type="spellEnd"/>
      <w:r w:rsidRPr="00FA40F2">
        <w:rPr>
          <w:lang w:val="es-ES_tradnl"/>
        </w:rPr>
        <w:t xml:space="preserve"> y a los centros de salud</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851"/>
        <w:gridCol w:w="850"/>
        <w:gridCol w:w="759"/>
        <w:gridCol w:w="801"/>
        <w:gridCol w:w="850"/>
        <w:gridCol w:w="753"/>
        <w:gridCol w:w="756"/>
        <w:gridCol w:w="728"/>
        <w:gridCol w:w="740"/>
        <w:gridCol w:w="848"/>
      </w:tblGrid>
      <w:tr w:rsidR="004F3109" w:rsidRPr="00337444" w14:paraId="5C84E3A8" w14:textId="77777777" w:rsidTr="009F379F">
        <w:trPr>
          <w:cantSplit/>
          <w:trHeight w:val="240"/>
          <w:tblHeader/>
        </w:trPr>
        <w:tc>
          <w:tcPr>
            <w:tcW w:w="1701" w:type="dxa"/>
            <w:vMerge w:val="restart"/>
            <w:tcBorders>
              <w:top w:val="single" w:sz="4" w:space="0" w:color="auto"/>
              <w:bottom w:val="single" w:sz="12" w:space="0" w:color="auto"/>
            </w:tcBorders>
            <w:shd w:val="clear" w:color="auto" w:fill="auto"/>
            <w:vAlign w:val="bottom"/>
          </w:tcPr>
          <w:p w14:paraId="1BD044AC" w14:textId="77777777" w:rsidR="00FA40F2" w:rsidRPr="00337444" w:rsidRDefault="00FA40F2" w:rsidP="00337444">
            <w:pPr>
              <w:pStyle w:val="SingleTxtG"/>
              <w:spacing w:before="80" w:after="80" w:line="200" w:lineRule="exact"/>
              <w:ind w:left="0" w:right="0"/>
              <w:jc w:val="left"/>
              <w:rPr>
                <w:i/>
                <w:sz w:val="16"/>
                <w:lang w:val="es-ES_tradnl"/>
              </w:rPr>
            </w:pP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1FE731EF"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2014</w:t>
            </w:r>
          </w:p>
        </w:tc>
        <w:tc>
          <w:tcPr>
            <w:tcW w:w="15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736130"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2015</w:t>
            </w:r>
          </w:p>
        </w:tc>
        <w:tc>
          <w:tcPr>
            <w:tcW w:w="16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642D39"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2016</w:t>
            </w:r>
          </w:p>
        </w:tc>
        <w:tc>
          <w:tcPr>
            <w:tcW w:w="14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27EC27"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2017</w:t>
            </w:r>
          </w:p>
        </w:tc>
        <w:tc>
          <w:tcPr>
            <w:tcW w:w="1588" w:type="dxa"/>
            <w:gridSpan w:val="2"/>
            <w:tcBorders>
              <w:top w:val="single" w:sz="4" w:space="0" w:color="auto"/>
              <w:left w:val="single" w:sz="24" w:space="0" w:color="FFFFFF" w:themeColor="background1"/>
              <w:bottom w:val="single" w:sz="4" w:space="0" w:color="auto"/>
            </w:tcBorders>
            <w:shd w:val="clear" w:color="auto" w:fill="auto"/>
            <w:vAlign w:val="bottom"/>
          </w:tcPr>
          <w:p w14:paraId="589B652A" w14:textId="77777777" w:rsidR="00FA40F2" w:rsidRPr="00337444" w:rsidRDefault="00807EE4" w:rsidP="00337444">
            <w:pPr>
              <w:pStyle w:val="SingleTxtG"/>
              <w:spacing w:before="80" w:after="80" w:line="200" w:lineRule="exact"/>
              <w:ind w:left="113" w:right="0"/>
              <w:jc w:val="center"/>
              <w:rPr>
                <w:i/>
                <w:sz w:val="16"/>
                <w:lang w:val="es-ES_tradnl"/>
              </w:rPr>
            </w:pPr>
            <w:r>
              <w:rPr>
                <w:i/>
                <w:iCs/>
                <w:sz w:val="16"/>
                <w:lang w:val="es-ES_tradnl"/>
              </w:rPr>
              <w:t xml:space="preserve">Septiembre de </w:t>
            </w:r>
            <w:r w:rsidR="00FA40F2" w:rsidRPr="00337444">
              <w:rPr>
                <w:i/>
                <w:iCs/>
                <w:sz w:val="16"/>
                <w:lang w:val="es-ES_tradnl"/>
              </w:rPr>
              <w:t>2018</w:t>
            </w:r>
          </w:p>
        </w:tc>
      </w:tr>
      <w:tr w:rsidR="004F3109" w:rsidRPr="00337444" w14:paraId="74E23D76" w14:textId="77777777" w:rsidTr="009F379F">
        <w:trPr>
          <w:cantSplit/>
          <w:trHeight w:val="240"/>
          <w:tblHeader/>
        </w:trPr>
        <w:tc>
          <w:tcPr>
            <w:tcW w:w="1701" w:type="dxa"/>
            <w:vMerge/>
            <w:tcBorders>
              <w:top w:val="single" w:sz="12" w:space="0" w:color="auto"/>
              <w:bottom w:val="single" w:sz="12" w:space="0" w:color="auto"/>
            </w:tcBorders>
            <w:shd w:val="clear" w:color="auto" w:fill="auto"/>
            <w:vAlign w:val="bottom"/>
          </w:tcPr>
          <w:p w14:paraId="711E9758" w14:textId="77777777" w:rsidR="00FA40F2" w:rsidRPr="00337444" w:rsidRDefault="00FA40F2" w:rsidP="00337444">
            <w:pPr>
              <w:pStyle w:val="SingleTxtG"/>
              <w:spacing w:before="40" w:after="40" w:line="220" w:lineRule="exact"/>
              <w:ind w:left="0" w:right="0"/>
              <w:jc w:val="left"/>
              <w:rPr>
                <w:sz w:val="18"/>
                <w:lang w:val="es-ES_tradnl"/>
              </w:rPr>
            </w:pPr>
          </w:p>
        </w:tc>
        <w:tc>
          <w:tcPr>
            <w:tcW w:w="851" w:type="dxa"/>
            <w:tcBorders>
              <w:top w:val="single" w:sz="4" w:space="0" w:color="auto"/>
              <w:bottom w:val="single" w:sz="12" w:space="0" w:color="auto"/>
            </w:tcBorders>
            <w:shd w:val="clear" w:color="auto" w:fill="auto"/>
            <w:vAlign w:val="bottom"/>
          </w:tcPr>
          <w:p w14:paraId="3DA0F9B7"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398A6F0"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759" w:type="dxa"/>
            <w:tcBorders>
              <w:top w:val="single" w:sz="4" w:space="0" w:color="auto"/>
              <w:left w:val="single" w:sz="24" w:space="0" w:color="FFFFFF" w:themeColor="background1"/>
              <w:bottom w:val="single" w:sz="12" w:space="0" w:color="auto"/>
            </w:tcBorders>
            <w:shd w:val="clear" w:color="auto" w:fill="auto"/>
            <w:vAlign w:val="bottom"/>
          </w:tcPr>
          <w:p w14:paraId="72492DA3"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801" w:type="dxa"/>
            <w:tcBorders>
              <w:top w:val="single" w:sz="4" w:space="0" w:color="auto"/>
              <w:bottom w:val="single" w:sz="12" w:space="0" w:color="auto"/>
              <w:right w:val="single" w:sz="24" w:space="0" w:color="FFFFFF" w:themeColor="background1"/>
            </w:tcBorders>
            <w:shd w:val="clear" w:color="auto" w:fill="auto"/>
            <w:vAlign w:val="bottom"/>
          </w:tcPr>
          <w:p w14:paraId="7C68A7FE"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601BD20"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753" w:type="dxa"/>
            <w:tcBorders>
              <w:top w:val="single" w:sz="4" w:space="0" w:color="auto"/>
              <w:bottom w:val="single" w:sz="12" w:space="0" w:color="auto"/>
              <w:right w:val="single" w:sz="24" w:space="0" w:color="FFFFFF" w:themeColor="background1"/>
            </w:tcBorders>
            <w:shd w:val="clear" w:color="auto" w:fill="auto"/>
            <w:vAlign w:val="bottom"/>
          </w:tcPr>
          <w:p w14:paraId="1BC14639"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756" w:type="dxa"/>
            <w:tcBorders>
              <w:top w:val="single" w:sz="4" w:space="0" w:color="auto"/>
              <w:left w:val="single" w:sz="24" w:space="0" w:color="FFFFFF" w:themeColor="background1"/>
              <w:bottom w:val="single" w:sz="12" w:space="0" w:color="auto"/>
            </w:tcBorders>
            <w:shd w:val="clear" w:color="auto" w:fill="auto"/>
            <w:vAlign w:val="bottom"/>
          </w:tcPr>
          <w:p w14:paraId="60AFCB20"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53108355"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740" w:type="dxa"/>
            <w:tcBorders>
              <w:top w:val="single" w:sz="4" w:space="0" w:color="auto"/>
              <w:left w:val="single" w:sz="24" w:space="0" w:color="FFFFFF" w:themeColor="background1"/>
              <w:bottom w:val="single" w:sz="12" w:space="0" w:color="auto"/>
            </w:tcBorders>
            <w:shd w:val="clear" w:color="auto" w:fill="auto"/>
            <w:vAlign w:val="bottom"/>
          </w:tcPr>
          <w:p w14:paraId="3B8B459F"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848" w:type="dxa"/>
            <w:tcBorders>
              <w:top w:val="single" w:sz="4" w:space="0" w:color="auto"/>
              <w:bottom w:val="single" w:sz="12" w:space="0" w:color="auto"/>
            </w:tcBorders>
            <w:shd w:val="clear" w:color="auto" w:fill="auto"/>
            <w:vAlign w:val="bottom"/>
          </w:tcPr>
          <w:p w14:paraId="68FAB442"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r>
      <w:tr w:rsidR="004F3109" w:rsidRPr="00337444" w14:paraId="5E0F1E80" w14:textId="77777777" w:rsidTr="009F379F">
        <w:trPr>
          <w:cantSplit/>
          <w:trHeight w:val="240"/>
        </w:trPr>
        <w:tc>
          <w:tcPr>
            <w:tcW w:w="1701" w:type="dxa"/>
            <w:tcBorders>
              <w:top w:val="single" w:sz="12" w:space="0" w:color="auto"/>
            </w:tcBorders>
            <w:shd w:val="clear" w:color="auto" w:fill="auto"/>
          </w:tcPr>
          <w:p w14:paraId="265CD0E1" w14:textId="77777777" w:rsidR="00FA40F2" w:rsidRPr="004F3109" w:rsidRDefault="00FA40F2" w:rsidP="00337444">
            <w:pPr>
              <w:pStyle w:val="SingleTxtG"/>
              <w:spacing w:before="40" w:after="40" w:line="220" w:lineRule="exact"/>
              <w:ind w:left="0" w:right="0"/>
              <w:jc w:val="left"/>
              <w:rPr>
                <w:spacing w:val="-1"/>
                <w:sz w:val="18"/>
                <w:lang w:val="es-ES_tradnl"/>
              </w:rPr>
            </w:pPr>
            <w:r w:rsidRPr="004F3109">
              <w:rPr>
                <w:spacing w:val="-1"/>
                <w:sz w:val="18"/>
                <w:lang w:val="es-ES_tradnl"/>
              </w:rPr>
              <w:t xml:space="preserve">Pacientes externos de especialidades del Centro Hospitalario São </w:t>
            </w:r>
            <w:proofErr w:type="spellStart"/>
            <w:r w:rsidRPr="004F3109">
              <w:rPr>
                <w:spacing w:val="-1"/>
                <w:sz w:val="18"/>
                <w:lang w:val="es-ES_tradnl"/>
              </w:rPr>
              <w:t>Januário</w:t>
            </w:r>
            <w:proofErr w:type="spellEnd"/>
          </w:p>
        </w:tc>
        <w:tc>
          <w:tcPr>
            <w:tcW w:w="851" w:type="dxa"/>
            <w:tcBorders>
              <w:top w:val="single" w:sz="12" w:space="0" w:color="auto"/>
            </w:tcBorders>
            <w:shd w:val="clear" w:color="auto" w:fill="auto"/>
            <w:vAlign w:val="bottom"/>
          </w:tcPr>
          <w:p w14:paraId="51C608B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165 517</w:t>
            </w:r>
          </w:p>
        </w:tc>
        <w:tc>
          <w:tcPr>
            <w:tcW w:w="850" w:type="dxa"/>
            <w:tcBorders>
              <w:top w:val="single" w:sz="12" w:space="0" w:color="auto"/>
            </w:tcBorders>
            <w:shd w:val="clear" w:color="auto" w:fill="auto"/>
            <w:vAlign w:val="bottom"/>
          </w:tcPr>
          <w:p w14:paraId="3548A760"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202 487</w:t>
            </w:r>
          </w:p>
        </w:tc>
        <w:tc>
          <w:tcPr>
            <w:tcW w:w="759" w:type="dxa"/>
            <w:tcBorders>
              <w:top w:val="single" w:sz="12" w:space="0" w:color="auto"/>
            </w:tcBorders>
            <w:shd w:val="clear" w:color="auto" w:fill="auto"/>
            <w:vAlign w:val="bottom"/>
          </w:tcPr>
          <w:p w14:paraId="3F49DA6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170 155</w:t>
            </w:r>
          </w:p>
        </w:tc>
        <w:tc>
          <w:tcPr>
            <w:tcW w:w="801" w:type="dxa"/>
            <w:tcBorders>
              <w:top w:val="single" w:sz="12" w:space="0" w:color="auto"/>
            </w:tcBorders>
            <w:shd w:val="clear" w:color="auto" w:fill="auto"/>
            <w:vAlign w:val="bottom"/>
          </w:tcPr>
          <w:p w14:paraId="0F4B802D"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204 055</w:t>
            </w:r>
          </w:p>
        </w:tc>
        <w:tc>
          <w:tcPr>
            <w:tcW w:w="850" w:type="dxa"/>
            <w:tcBorders>
              <w:top w:val="single" w:sz="12" w:space="0" w:color="auto"/>
            </w:tcBorders>
            <w:shd w:val="clear" w:color="auto" w:fill="auto"/>
            <w:vAlign w:val="bottom"/>
          </w:tcPr>
          <w:p w14:paraId="5E80F60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179 915</w:t>
            </w:r>
          </w:p>
        </w:tc>
        <w:tc>
          <w:tcPr>
            <w:tcW w:w="753" w:type="dxa"/>
            <w:tcBorders>
              <w:top w:val="single" w:sz="12" w:space="0" w:color="auto"/>
            </w:tcBorders>
            <w:shd w:val="clear" w:color="auto" w:fill="auto"/>
            <w:vAlign w:val="bottom"/>
          </w:tcPr>
          <w:p w14:paraId="146AF61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212 516</w:t>
            </w:r>
          </w:p>
        </w:tc>
        <w:tc>
          <w:tcPr>
            <w:tcW w:w="756" w:type="dxa"/>
            <w:tcBorders>
              <w:top w:val="single" w:sz="12" w:space="0" w:color="auto"/>
            </w:tcBorders>
            <w:shd w:val="clear" w:color="auto" w:fill="auto"/>
            <w:vAlign w:val="bottom"/>
          </w:tcPr>
          <w:p w14:paraId="666F5C6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189 195</w:t>
            </w:r>
          </w:p>
        </w:tc>
        <w:tc>
          <w:tcPr>
            <w:tcW w:w="728" w:type="dxa"/>
            <w:tcBorders>
              <w:top w:val="single" w:sz="12" w:space="0" w:color="auto"/>
            </w:tcBorders>
            <w:shd w:val="clear" w:color="auto" w:fill="auto"/>
            <w:vAlign w:val="bottom"/>
          </w:tcPr>
          <w:p w14:paraId="5939581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221 279</w:t>
            </w:r>
          </w:p>
        </w:tc>
        <w:tc>
          <w:tcPr>
            <w:tcW w:w="740" w:type="dxa"/>
            <w:tcBorders>
              <w:top w:val="single" w:sz="12" w:space="0" w:color="auto"/>
            </w:tcBorders>
            <w:shd w:val="clear" w:color="auto" w:fill="auto"/>
            <w:vAlign w:val="bottom"/>
          </w:tcPr>
          <w:p w14:paraId="07F4BDA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182 190</w:t>
            </w:r>
          </w:p>
        </w:tc>
        <w:tc>
          <w:tcPr>
            <w:tcW w:w="848" w:type="dxa"/>
            <w:tcBorders>
              <w:top w:val="single" w:sz="12" w:space="0" w:color="auto"/>
            </w:tcBorders>
            <w:shd w:val="clear" w:color="auto" w:fill="auto"/>
            <w:vAlign w:val="bottom"/>
          </w:tcPr>
          <w:p w14:paraId="531B6C1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147 640</w:t>
            </w:r>
          </w:p>
        </w:tc>
      </w:tr>
      <w:tr w:rsidR="004F3109" w:rsidRPr="00337444" w14:paraId="53282ED3" w14:textId="77777777" w:rsidTr="004F3109">
        <w:trPr>
          <w:cantSplit/>
          <w:trHeight w:val="240"/>
        </w:trPr>
        <w:tc>
          <w:tcPr>
            <w:tcW w:w="1701" w:type="dxa"/>
            <w:shd w:val="clear" w:color="auto" w:fill="auto"/>
          </w:tcPr>
          <w:p w14:paraId="0511F46A" w14:textId="77777777" w:rsidR="00FA40F2" w:rsidRPr="00337444" w:rsidRDefault="00FA40F2" w:rsidP="00337444">
            <w:pPr>
              <w:pStyle w:val="SingleTxtG"/>
              <w:spacing w:before="40" w:after="40" w:line="220" w:lineRule="exact"/>
              <w:ind w:left="0" w:right="0"/>
              <w:jc w:val="left"/>
              <w:rPr>
                <w:sz w:val="18"/>
                <w:lang w:val="es-ES_tradnl"/>
              </w:rPr>
            </w:pPr>
            <w:r w:rsidRPr="00337444">
              <w:rPr>
                <w:sz w:val="18"/>
                <w:lang w:val="es-ES_tradnl"/>
              </w:rPr>
              <w:lastRenderedPageBreak/>
              <w:t xml:space="preserve">Accidentes y urgencias en el Centro Hospitalario São </w:t>
            </w:r>
            <w:proofErr w:type="spellStart"/>
            <w:r w:rsidRPr="00337444">
              <w:rPr>
                <w:sz w:val="18"/>
                <w:lang w:val="es-ES_tradnl"/>
              </w:rPr>
              <w:t>Januário</w:t>
            </w:r>
            <w:proofErr w:type="spellEnd"/>
          </w:p>
        </w:tc>
        <w:tc>
          <w:tcPr>
            <w:tcW w:w="851" w:type="dxa"/>
            <w:shd w:val="clear" w:color="auto" w:fill="auto"/>
            <w:vAlign w:val="bottom"/>
          </w:tcPr>
          <w:p w14:paraId="1CDA26CE"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136 089</w:t>
            </w:r>
          </w:p>
        </w:tc>
        <w:tc>
          <w:tcPr>
            <w:tcW w:w="850" w:type="dxa"/>
            <w:shd w:val="clear" w:color="auto" w:fill="auto"/>
            <w:vAlign w:val="bottom"/>
          </w:tcPr>
          <w:p w14:paraId="780F6B5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147 323</w:t>
            </w:r>
          </w:p>
        </w:tc>
        <w:tc>
          <w:tcPr>
            <w:tcW w:w="759" w:type="dxa"/>
            <w:shd w:val="clear" w:color="auto" w:fill="auto"/>
            <w:vAlign w:val="bottom"/>
          </w:tcPr>
          <w:p w14:paraId="02953BBA"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139 367</w:t>
            </w:r>
          </w:p>
        </w:tc>
        <w:tc>
          <w:tcPr>
            <w:tcW w:w="801" w:type="dxa"/>
            <w:shd w:val="clear" w:color="auto" w:fill="auto"/>
            <w:vAlign w:val="bottom"/>
          </w:tcPr>
          <w:p w14:paraId="322109B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152 970</w:t>
            </w:r>
          </w:p>
        </w:tc>
        <w:tc>
          <w:tcPr>
            <w:tcW w:w="850" w:type="dxa"/>
            <w:shd w:val="clear" w:color="auto" w:fill="auto"/>
            <w:vAlign w:val="bottom"/>
          </w:tcPr>
          <w:p w14:paraId="387D8AD8"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146 427</w:t>
            </w:r>
          </w:p>
        </w:tc>
        <w:tc>
          <w:tcPr>
            <w:tcW w:w="753" w:type="dxa"/>
            <w:shd w:val="clear" w:color="auto" w:fill="auto"/>
            <w:vAlign w:val="bottom"/>
          </w:tcPr>
          <w:p w14:paraId="43444C2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159 085</w:t>
            </w:r>
          </w:p>
        </w:tc>
        <w:tc>
          <w:tcPr>
            <w:tcW w:w="756" w:type="dxa"/>
            <w:shd w:val="clear" w:color="auto" w:fill="auto"/>
            <w:vAlign w:val="bottom"/>
          </w:tcPr>
          <w:p w14:paraId="2E2A12D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148 929</w:t>
            </w:r>
          </w:p>
        </w:tc>
        <w:tc>
          <w:tcPr>
            <w:tcW w:w="728" w:type="dxa"/>
            <w:shd w:val="clear" w:color="auto" w:fill="auto"/>
            <w:vAlign w:val="bottom"/>
          </w:tcPr>
          <w:p w14:paraId="1F209A9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162 816</w:t>
            </w:r>
          </w:p>
        </w:tc>
        <w:tc>
          <w:tcPr>
            <w:tcW w:w="740" w:type="dxa"/>
            <w:shd w:val="clear" w:color="auto" w:fill="auto"/>
            <w:vAlign w:val="bottom"/>
          </w:tcPr>
          <w:p w14:paraId="40D680D2"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109 202</w:t>
            </w:r>
          </w:p>
        </w:tc>
        <w:tc>
          <w:tcPr>
            <w:tcW w:w="848" w:type="dxa"/>
            <w:shd w:val="clear" w:color="auto" w:fill="auto"/>
            <w:vAlign w:val="bottom"/>
          </w:tcPr>
          <w:p w14:paraId="0018D17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119 780</w:t>
            </w:r>
          </w:p>
        </w:tc>
      </w:tr>
      <w:tr w:rsidR="004F3109" w:rsidRPr="00337444" w14:paraId="325F3E62" w14:textId="77777777" w:rsidTr="004F3109">
        <w:trPr>
          <w:cantSplit/>
          <w:trHeight w:val="240"/>
        </w:trPr>
        <w:tc>
          <w:tcPr>
            <w:tcW w:w="1701" w:type="dxa"/>
            <w:shd w:val="clear" w:color="auto" w:fill="auto"/>
          </w:tcPr>
          <w:p w14:paraId="47992CC5" w14:textId="77777777" w:rsidR="00FA40F2" w:rsidRPr="00337444" w:rsidRDefault="00FA40F2" w:rsidP="00337444">
            <w:pPr>
              <w:pStyle w:val="SingleTxtG"/>
              <w:spacing w:before="40" w:after="40" w:line="220" w:lineRule="exact"/>
              <w:ind w:left="0" w:right="0"/>
              <w:jc w:val="left"/>
              <w:rPr>
                <w:sz w:val="18"/>
                <w:lang w:val="es-ES_tradnl"/>
              </w:rPr>
            </w:pPr>
            <w:r w:rsidRPr="00337444">
              <w:rPr>
                <w:sz w:val="18"/>
                <w:lang w:val="es-ES_tradnl"/>
              </w:rPr>
              <w:t xml:space="preserve">Pacientes hospitalizados en el Centro Hospitalario São </w:t>
            </w:r>
            <w:proofErr w:type="spellStart"/>
            <w:r w:rsidRPr="00337444">
              <w:rPr>
                <w:sz w:val="18"/>
                <w:lang w:val="es-ES_tradnl"/>
              </w:rPr>
              <w:t>Januário</w:t>
            </w:r>
            <w:proofErr w:type="spellEnd"/>
          </w:p>
        </w:tc>
        <w:tc>
          <w:tcPr>
            <w:tcW w:w="851" w:type="dxa"/>
            <w:shd w:val="clear" w:color="auto" w:fill="auto"/>
            <w:vAlign w:val="bottom"/>
          </w:tcPr>
          <w:p w14:paraId="5A575A0E"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6 516</w:t>
            </w:r>
          </w:p>
        </w:tc>
        <w:tc>
          <w:tcPr>
            <w:tcW w:w="850" w:type="dxa"/>
            <w:shd w:val="clear" w:color="auto" w:fill="auto"/>
            <w:vAlign w:val="bottom"/>
          </w:tcPr>
          <w:p w14:paraId="6426B8C7"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11 491</w:t>
            </w:r>
          </w:p>
        </w:tc>
        <w:tc>
          <w:tcPr>
            <w:tcW w:w="759" w:type="dxa"/>
            <w:shd w:val="clear" w:color="auto" w:fill="auto"/>
            <w:vAlign w:val="bottom"/>
          </w:tcPr>
          <w:p w14:paraId="3C8BA780"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6 992</w:t>
            </w:r>
          </w:p>
        </w:tc>
        <w:tc>
          <w:tcPr>
            <w:tcW w:w="801" w:type="dxa"/>
            <w:shd w:val="clear" w:color="auto" w:fill="auto"/>
            <w:vAlign w:val="bottom"/>
          </w:tcPr>
          <w:p w14:paraId="54A5A0F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11 868</w:t>
            </w:r>
          </w:p>
        </w:tc>
        <w:tc>
          <w:tcPr>
            <w:tcW w:w="850" w:type="dxa"/>
            <w:shd w:val="clear" w:color="auto" w:fill="auto"/>
            <w:vAlign w:val="bottom"/>
          </w:tcPr>
          <w:p w14:paraId="711DA1F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8 175</w:t>
            </w:r>
          </w:p>
        </w:tc>
        <w:tc>
          <w:tcPr>
            <w:tcW w:w="753" w:type="dxa"/>
            <w:shd w:val="clear" w:color="auto" w:fill="auto"/>
            <w:vAlign w:val="bottom"/>
          </w:tcPr>
          <w:p w14:paraId="18DB3FF9"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13 099</w:t>
            </w:r>
          </w:p>
        </w:tc>
        <w:tc>
          <w:tcPr>
            <w:tcW w:w="756" w:type="dxa"/>
            <w:shd w:val="clear" w:color="auto" w:fill="auto"/>
            <w:vAlign w:val="bottom"/>
          </w:tcPr>
          <w:p w14:paraId="2E31F29F"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8 622</w:t>
            </w:r>
          </w:p>
        </w:tc>
        <w:tc>
          <w:tcPr>
            <w:tcW w:w="728" w:type="dxa"/>
            <w:shd w:val="clear" w:color="auto" w:fill="auto"/>
            <w:vAlign w:val="bottom"/>
          </w:tcPr>
          <w:p w14:paraId="4D359C52"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12 913</w:t>
            </w:r>
          </w:p>
        </w:tc>
        <w:tc>
          <w:tcPr>
            <w:tcW w:w="740" w:type="dxa"/>
            <w:shd w:val="clear" w:color="auto" w:fill="auto"/>
            <w:vAlign w:val="bottom"/>
          </w:tcPr>
          <w:p w14:paraId="1CBAD879"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7 070</w:t>
            </w:r>
          </w:p>
        </w:tc>
        <w:tc>
          <w:tcPr>
            <w:tcW w:w="848" w:type="dxa"/>
            <w:shd w:val="clear" w:color="auto" w:fill="auto"/>
            <w:vAlign w:val="bottom"/>
          </w:tcPr>
          <w:p w14:paraId="470F55E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9 580</w:t>
            </w:r>
          </w:p>
        </w:tc>
      </w:tr>
      <w:tr w:rsidR="004F3109" w:rsidRPr="00337444" w14:paraId="2245AC42" w14:textId="77777777" w:rsidTr="004F3109">
        <w:trPr>
          <w:cantSplit/>
          <w:trHeight w:val="240"/>
        </w:trPr>
        <w:tc>
          <w:tcPr>
            <w:tcW w:w="1701" w:type="dxa"/>
            <w:tcBorders>
              <w:bottom w:val="single" w:sz="12" w:space="0" w:color="auto"/>
            </w:tcBorders>
            <w:shd w:val="clear" w:color="auto" w:fill="auto"/>
          </w:tcPr>
          <w:p w14:paraId="0AE909AD" w14:textId="77777777" w:rsidR="00FA40F2" w:rsidRPr="00337444" w:rsidRDefault="00FA40F2" w:rsidP="00337444">
            <w:pPr>
              <w:pStyle w:val="SingleTxtG"/>
              <w:spacing w:before="40" w:after="40" w:line="220" w:lineRule="exact"/>
              <w:ind w:left="0" w:right="0"/>
              <w:jc w:val="left"/>
              <w:rPr>
                <w:sz w:val="18"/>
                <w:lang w:val="es-ES_tradnl"/>
              </w:rPr>
            </w:pPr>
            <w:r w:rsidRPr="00337444">
              <w:rPr>
                <w:sz w:val="18"/>
                <w:lang w:val="es-ES_tradnl"/>
              </w:rPr>
              <w:t>Pacientes ambulatorios en centros de salud</w:t>
            </w:r>
          </w:p>
        </w:tc>
        <w:tc>
          <w:tcPr>
            <w:tcW w:w="851" w:type="dxa"/>
            <w:tcBorders>
              <w:bottom w:val="single" w:sz="12" w:space="0" w:color="auto"/>
            </w:tcBorders>
            <w:shd w:val="clear" w:color="auto" w:fill="auto"/>
            <w:vAlign w:val="bottom"/>
          </w:tcPr>
          <w:p w14:paraId="2924DDAF"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224 391</w:t>
            </w:r>
          </w:p>
        </w:tc>
        <w:tc>
          <w:tcPr>
            <w:tcW w:w="850" w:type="dxa"/>
            <w:tcBorders>
              <w:bottom w:val="single" w:sz="12" w:space="0" w:color="auto"/>
            </w:tcBorders>
            <w:shd w:val="clear" w:color="auto" w:fill="auto"/>
            <w:vAlign w:val="bottom"/>
          </w:tcPr>
          <w:p w14:paraId="0659400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392 532</w:t>
            </w:r>
          </w:p>
        </w:tc>
        <w:tc>
          <w:tcPr>
            <w:tcW w:w="759" w:type="dxa"/>
            <w:tcBorders>
              <w:bottom w:val="single" w:sz="12" w:space="0" w:color="auto"/>
            </w:tcBorders>
            <w:shd w:val="clear" w:color="auto" w:fill="auto"/>
            <w:vAlign w:val="bottom"/>
          </w:tcPr>
          <w:p w14:paraId="28F9B132"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252 901</w:t>
            </w:r>
          </w:p>
        </w:tc>
        <w:tc>
          <w:tcPr>
            <w:tcW w:w="801" w:type="dxa"/>
            <w:tcBorders>
              <w:bottom w:val="single" w:sz="12" w:space="0" w:color="auto"/>
            </w:tcBorders>
            <w:shd w:val="clear" w:color="auto" w:fill="auto"/>
            <w:vAlign w:val="bottom"/>
          </w:tcPr>
          <w:p w14:paraId="0E0F998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429 799</w:t>
            </w:r>
          </w:p>
        </w:tc>
        <w:tc>
          <w:tcPr>
            <w:tcW w:w="850" w:type="dxa"/>
            <w:tcBorders>
              <w:bottom w:val="single" w:sz="12" w:space="0" w:color="auto"/>
            </w:tcBorders>
            <w:shd w:val="clear" w:color="auto" w:fill="auto"/>
            <w:vAlign w:val="bottom"/>
          </w:tcPr>
          <w:p w14:paraId="07821CD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289 406</w:t>
            </w:r>
          </w:p>
        </w:tc>
        <w:tc>
          <w:tcPr>
            <w:tcW w:w="753" w:type="dxa"/>
            <w:tcBorders>
              <w:bottom w:val="single" w:sz="12" w:space="0" w:color="auto"/>
            </w:tcBorders>
            <w:shd w:val="clear" w:color="auto" w:fill="auto"/>
            <w:vAlign w:val="bottom"/>
          </w:tcPr>
          <w:p w14:paraId="25988E64"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477 609</w:t>
            </w:r>
          </w:p>
        </w:tc>
        <w:tc>
          <w:tcPr>
            <w:tcW w:w="756" w:type="dxa"/>
            <w:tcBorders>
              <w:bottom w:val="single" w:sz="12" w:space="0" w:color="auto"/>
            </w:tcBorders>
            <w:shd w:val="clear" w:color="auto" w:fill="auto"/>
            <w:vAlign w:val="bottom"/>
          </w:tcPr>
          <w:p w14:paraId="689B4D98"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311 504</w:t>
            </w:r>
          </w:p>
        </w:tc>
        <w:tc>
          <w:tcPr>
            <w:tcW w:w="728" w:type="dxa"/>
            <w:tcBorders>
              <w:bottom w:val="single" w:sz="12" w:space="0" w:color="auto"/>
            </w:tcBorders>
            <w:shd w:val="clear" w:color="auto" w:fill="auto"/>
            <w:vAlign w:val="bottom"/>
          </w:tcPr>
          <w:p w14:paraId="28FCB40F"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501 033</w:t>
            </w:r>
          </w:p>
        </w:tc>
        <w:tc>
          <w:tcPr>
            <w:tcW w:w="740" w:type="dxa"/>
            <w:tcBorders>
              <w:bottom w:val="single" w:sz="12" w:space="0" w:color="auto"/>
            </w:tcBorders>
            <w:shd w:val="clear" w:color="auto" w:fill="auto"/>
            <w:vAlign w:val="bottom"/>
          </w:tcPr>
          <w:p w14:paraId="01947640"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249 825</w:t>
            </w:r>
          </w:p>
        </w:tc>
        <w:tc>
          <w:tcPr>
            <w:tcW w:w="848" w:type="dxa"/>
            <w:tcBorders>
              <w:bottom w:val="single" w:sz="12" w:space="0" w:color="auto"/>
            </w:tcBorders>
            <w:shd w:val="clear" w:color="auto" w:fill="auto"/>
            <w:vAlign w:val="bottom"/>
          </w:tcPr>
          <w:p w14:paraId="37891DB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398 669</w:t>
            </w:r>
          </w:p>
        </w:tc>
      </w:tr>
    </w:tbl>
    <w:p w14:paraId="65EE1673" w14:textId="77777777" w:rsidR="00FA40F2" w:rsidRPr="004F3109" w:rsidRDefault="00FA40F2" w:rsidP="004F3109">
      <w:pPr>
        <w:pStyle w:val="SingleTxtG"/>
        <w:spacing w:before="120" w:after="240"/>
        <w:ind w:left="0" w:firstLine="170"/>
        <w:rPr>
          <w:sz w:val="18"/>
          <w:szCs w:val="18"/>
          <w:lang w:val="es-ES_tradnl"/>
        </w:rPr>
      </w:pPr>
      <w:r w:rsidRPr="004F3109">
        <w:rPr>
          <w:i/>
          <w:iCs/>
          <w:sz w:val="18"/>
          <w:szCs w:val="18"/>
          <w:lang w:val="es-ES_tradnl"/>
        </w:rPr>
        <w:t>Fuente</w:t>
      </w:r>
      <w:r w:rsidRPr="0016237D">
        <w:rPr>
          <w:i/>
          <w:iCs/>
          <w:sz w:val="18"/>
          <w:szCs w:val="18"/>
          <w:lang w:val="es-ES_tradnl"/>
        </w:rPr>
        <w:t>:</w:t>
      </w:r>
      <w:r w:rsidRPr="004F3109">
        <w:rPr>
          <w:sz w:val="18"/>
          <w:szCs w:val="18"/>
          <w:lang w:val="es-ES_tradnl"/>
        </w:rPr>
        <w:t xml:space="preserve"> Oficina de Salud.</w:t>
      </w:r>
    </w:p>
    <w:p w14:paraId="79E015A3" w14:textId="77777777" w:rsidR="00FA40F2" w:rsidRPr="00FA40F2" w:rsidRDefault="00FA40F2" w:rsidP="00FA40F2">
      <w:pPr>
        <w:pStyle w:val="SingleTxtG"/>
        <w:rPr>
          <w:lang w:val="es-ES_tradnl"/>
        </w:rPr>
      </w:pPr>
      <w:r w:rsidRPr="00FA40F2">
        <w:rPr>
          <w:lang w:val="es-ES_tradnl"/>
        </w:rPr>
        <w:t>226.</w:t>
      </w:r>
      <w:r w:rsidRPr="00FA40F2">
        <w:rPr>
          <w:lang w:val="es-ES_tradnl"/>
        </w:rPr>
        <w:tab/>
        <w:t>Según la Oficina de Salud, entre 2014 y 2017 hubo 453.425 consultas ambulatorias en centros de salud a niños residentes y 84.751 a no residentes. Durante el mismo período, el número de asistencias en establecimientos sanitarios privados fue de 3.485.680, 3.267.422, 3.170.215 y 3.160.200, respectivamente.</w:t>
      </w:r>
    </w:p>
    <w:p w14:paraId="24AB0295" w14:textId="77777777" w:rsidR="00FA40F2" w:rsidRPr="00FA40F2" w:rsidRDefault="00FA40F2" w:rsidP="00FA40F2">
      <w:pPr>
        <w:pStyle w:val="SingleTxtG"/>
        <w:rPr>
          <w:lang w:val="es-ES_tradnl"/>
        </w:rPr>
      </w:pPr>
      <w:r w:rsidRPr="00FA40F2">
        <w:rPr>
          <w:lang w:val="es-ES_tradnl"/>
        </w:rPr>
        <w:t>227.</w:t>
      </w:r>
      <w:r w:rsidRPr="00FA40F2">
        <w:rPr>
          <w:lang w:val="es-ES_tradnl"/>
        </w:rPr>
        <w:tab/>
        <w:t>La medicina tradicional china desempeña un importante papel en el sistema de salud. En 2017, se prestaron servicios ambulatorios o de acupuntura en 65.397 visitas en centros de salud y 1.141.033 visitas en establecimientos privados.</w:t>
      </w:r>
    </w:p>
    <w:p w14:paraId="4F8EC50D" w14:textId="77777777" w:rsidR="00FA40F2" w:rsidRPr="00D32DE0" w:rsidRDefault="00FA40F2" w:rsidP="00FA40F2">
      <w:pPr>
        <w:pStyle w:val="SingleTxtG"/>
        <w:rPr>
          <w:spacing w:val="1"/>
          <w:lang w:val="es-ES_tradnl"/>
        </w:rPr>
      </w:pPr>
      <w:r w:rsidRPr="00D32DE0">
        <w:rPr>
          <w:spacing w:val="1"/>
          <w:lang w:val="es-ES_tradnl"/>
        </w:rPr>
        <w:t>228.</w:t>
      </w:r>
      <w:r w:rsidRPr="00D32DE0">
        <w:rPr>
          <w:spacing w:val="1"/>
          <w:lang w:val="es-ES_tradnl"/>
        </w:rPr>
        <w:tab/>
        <w:t>En 2014, había 2,5 médicos, 3,1 enfermeras y 0,4 médicos de medicina tradicional china por cada 1.000 personas y la tasa de ocupación de camas hospitalarias era del</w:t>
      </w:r>
      <w:r w:rsidR="00D32DE0">
        <w:rPr>
          <w:spacing w:val="1"/>
          <w:lang w:val="es-ES_tradnl"/>
        </w:rPr>
        <w:t> </w:t>
      </w:r>
      <w:r w:rsidRPr="00D32DE0">
        <w:rPr>
          <w:spacing w:val="1"/>
          <w:lang w:val="es-ES_tradnl"/>
        </w:rPr>
        <w:t>75,8</w:t>
      </w:r>
      <w:r w:rsidR="00E27276" w:rsidRPr="00D32DE0">
        <w:rPr>
          <w:spacing w:val="1"/>
          <w:lang w:val="es-ES_tradnl"/>
        </w:rPr>
        <w:t> %</w:t>
      </w:r>
      <w:r w:rsidRPr="00D32DE0">
        <w:rPr>
          <w:spacing w:val="1"/>
          <w:lang w:val="es-ES_tradnl"/>
        </w:rPr>
        <w:t>. En 2017, había 2,6 médicos, 3,7 enfermeras, 0,4 médicos de medicina tradicional china por cada 1.000 personas y la tasa de ocupación de camas hospitalarias era del 70,8</w:t>
      </w:r>
      <w:r w:rsidR="00E27276" w:rsidRPr="00D32DE0">
        <w:rPr>
          <w:spacing w:val="1"/>
          <w:lang w:val="es-ES_tradnl"/>
        </w:rPr>
        <w:t> %</w:t>
      </w:r>
      <w:r w:rsidRPr="00D32DE0">
        <w:rPr>
          <w:spacing w:val="1"/>
          <w:lang w:val="es-ES_tradnl"/>
        </w:rPr>
        <w:t>.</w:t>
      </w:r>
    </w:p>
    <w:p w14:paraId="332A6308" w14:textId="77777777" w:rsidR="00FA40F2" w:rsidRPr="00D32DE0" w:rsidRDefault="00FA40F2" w:rsidP="00FA40F2">
      <w:pPr>
        <w:pStyle w:val="SingleTxtG"/>
        <w:rPr>
          <w:spacing w:val="1"/>
          <w:lang w:val="es-ES_tradnl"/>
        </w:rPr>
      </w:pPr>
      <w:r w:rsidRPr="00D32DE0">
        <w:rPr>
          <w:spacing w:val="1"/>
          <w:lang w:val="es-ES_tradnl"/>
        </w:rPr>
        <w:t>229.</w:t>
      </w:r>
      <w:r w:rsidRPr="00D32DE0">
        <w:rPr>
          <w:spacing w:val="1"/>
          <w:lang w:val="es-ES_tradnl"/>
        </w:rPr>
        <w:tab/>
        <w:t xml:space="preserve">En cuanto a la atención de la salud de las personas de edad, la Oficina de Salud ha adoptado varias medidas, entre ellas la creación de un departamento especializado en geriatría con un servicio de atención ambulatoria, un centro para pacientes con demencia, un servicio de hospitalización y otro de rehabilitación comunitaria. Asimismo, se ha establecido un programa de cribado de cáncer colorrectal y se han introducido mejoras en el servicio de atención sanitaria a las personas de edad en </w:t>
      </w:r>
      <w:proofErr w:type="spellStart"/>
      <w:r w:rsidRPr="00D32DE0">
        <w:rPr>
          <w:spacing w:val="1"/>
          <w:lang w:val="es-ES_tradnl"/>
        </w:rPr>
        <w:t>Taipa</w:t>
      </w:r>
      <w:proofErr w:type="spellEnd"/>
      <w:r w:rsidRPr="00D32DE0">
        <w:rPr>
          <w:spacing w:val="1"/>
          <w:lang w:val="es-ES_tradnl"/>
        </w:rPr>
        <w:t xml:space="preserve">, se ha dado mayor prioridad a las personas de edad en las consultas y se ha creado una línea telefónica de apoyo médico y un servicio de asesoramiento de enfermería y en relación con el consumo de drogas. </w:t>
      </w:r>
    </w:p>
    <w:p w14:paraId="7C26058A" w14:textId="77777777" w:rsidR="00FA40F2" w:rsidRPr="00FA40F2" w:rsidRDefault="00FA40F2" w:rsidP="00FA40F2">
      <w:pPr>
        <w:pStyle w:val="SingleTxtG"/>
        <w:rPr>
          <w:lang w:val="es-ES_tradnl"/>
        </w:rPr>
      </w:pPr>
      <w:r w:rsidRPr="00FA40F2">
        <w:rPr>
          <w:lang w:val="es-ES_tradnl"/>
        </w:rPr>
        <w:t>230.</w:t>
      </w:r>
      <w:r w:rsidRPr="00FA40F2">
        <w:rPr>
          <w:lang w:val="es-ES_tradnl"/>
        </w:rPr>
        <w:tab/>
        <w:t xml:space="preserve">Con respecto a la maternidad y la atención infantil, se siguen ofreciendo servicios de salud específicos, incluidos programas de planificación familiar, servicios gratuitos de atención primaria de la salud, así como medicamentos y medios utilizados en la planificación familiar (por ejemplo, reconocimientos médicos periódicos, consultas ginecológicas, exámenes de Papanicolaou, diagnóstico neonatal, asesoramiento sobre cuestiones premaritales y genéticas, métodos de control de la natalidad, lactancia materna, tratamiento de la infertilidad y prevención de enfermedades genéticas y de transmisión sexual (ETS). Entre 2014 y septiembre de 2018, se registraron 15.807 partos en el Centro Hospitalario São </w:t>
      </w:r>
      <w:proofErr w:type="spellStart"/>
      <w:r w:rsidRPr="00FA40F2">
        <w:rPr>
          <w:lang w:val="es-ES_tradnl"/>
        </w:rPr>
        <w:t>Januário</w:t>
      </w:r>
      <w:proofErr w:type="spellEnd"/>
      <w:r w:rsidRPr="00FA40F2">
        <w:rPr>
          <w:lang w:val="es-ES_tradnl"/>
        </w:rPr>
        <w:t>.</w:t>
      </w:r>
    </w:p>
    <w:p w14:paraId="59AF84F4" w14:textId="77777777" w:rsidR="00FA40F2" w:rsidRDefault="00FA40F2" w:rsidP="00807EE4">
      <w:pPr>
        <w:pStyle w:val="H23G"/>
        <w:rPr>
          <w:lang w:val="es-ES_tradnl"/>
        </w:rPr>
      </w:pPr>
      <w:r w:rsidRPr="00FA40F2">
        <w:rPr>
          <w:lang w:val="es-ES_tradnl"/>
        </w:rPr>
        <w:tab/>
      </w:r>
      <w:r w:rsidR="0003154D">
        <w:rPr>
          <w:lang w:val="es-ES_tradnl"/>
        </w:rPr>
        <w:tab/>
      </w:r>
      <w:r w:rsidRPr="00FA40F2">
        <w:rPr>
          <w:lang w:val="es-ES_tradnl"/>
        </w:rPr>
        <w:t>Maternidad y atención de la salud infantil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39"/>
        <w:gridCol w:w="849"/>
      </w:tblGrid>
      <w:tr w:rsidR="00232124" w:rsidRPr="00232124" w14:paraId="45D4CB60" w14:textId="77777777" w:rsidTr="00807EE4">
        <w:tc>
          <w:tcPr>
            <w:tcW w:w="3402" w:type="dxa"/>
            <w:tcBorders>
              <w:top w:val="single" w:sz="4" w:space="0" w:color="auto"/>
              <w:bottom w:val="single" w:sz="12" w:space="0" w:color="auto"/>
            </w:tcBorders>
            <w:shd w:val="clear" w:color="auto" w:fill="auto"/>
            <w:vAlign w:val="bottom"/>
          </w:tcPr>
          <w:p w14:paraId="3D8C6E5D" w14:textId="77777777" w:rsidR="00232124" w:rsidRPr="00232124" w:rsidRDefault="00232124" w:rsidP="00807EE4">
            <w:pPr>
              <w:keepNext/>
              <w:keepLines/>
              <w:spacing w:before="80" w:after="80" w:line="200" w:lineRule="exact"/>
              <w:rPr>
                <w:i/>
                <w:sz w:val="16"/>
                <w:lang w:val="es-ES_tradnl"/>
              </w:rPr>
            </w:pPr>
          </w:p>
        </w:tc>
        <w:tc>
          <w:tcPr>
            <w:tcW w:w="793" w:type="dxa"/>
            <w:tcBorders>
              <w:top w:val="single" w:sz="4" w:space="0" w:color="auto"/>
              <w:bottom w:val="single" w:sz="12" w:space="0" w:color="auto"/>
            </w:tcBorders>
            <w:shd w:val="clear" w:color="auto" w:fill="auto"/>
            <w:vAlign w:val="bottom"/>
          </w:tcPr>
          <w:p w14:paraId="4F72CAF0"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2014</w:t>
            </w:r>
          </w:p>
        </w:tc>
        <w:tc>
          <w:tcPr>
            <w:tcW w:w="794" w:type="dxa"/>
            <w:tcBorders>
              <w:top w:val="single" w:sz="4" w:space="0" w:color="auto"/>
              <w:bottom w:val="single" w:sz="12" w:space="0" w:color="auto"/>
            </w:tcBorders>
            <w:shd w:val="clear" w:color="auto" w:fill="auto"/>
            <w:vAlign w:val="bottom"/>
          </w:tcPr>
          <w:p w14:paraId="01E03B46"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2015</w:t>
            </w:r>
          </w:p>
        </w:tc>
        <w:tc>
          <w:tcPr>
            <w:tcW w:w="793" w:type="dxa"/>
            <w:tcBorders>
              <w:top w:val="single" w:sz="4" w:space="0" w:color="auto"/>
              <w:bottom w:val="single" w:sz="12" w:space="0" w:color="auto"/>
            </w:tcBorders>
            <w:shd w:val="clear" w:color="auto" w:fill="auto"/>
            <w:vAlign w:val="bottom"/>
          </w:tcPr>
          <w:p w14:paraId="124E96FE"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2016</w:t>
            </w:r>
          </w:p>
        </w:tc>
        <w:tc>
          <w:tcPr>
            <w:tcW w:w="739" w:type="dxa"/>
            <w:tcBorders>
              <w:top w:val="single" w:sz="4" w:space="0" w:color="auto"/>
              <w:bottom w:val="single" w:sz="12" w:space="0" w:color="auto"/>
            </w:tcBorders>
            <w:shd w:val="clear" w:color="auto" w:fill="auto"/>
            <w:vAlign w:val="bottom"/>
          </w:tcPr>
          <w:p w14:paraId="6C034858"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2017</w:t>
            </w:r>
          </w:p>
        </w:tc>
        <w:tc>
          <w:tcPr>
            <w:tcW w:w="849" w:type="dxa"/>
            <w:tcBorders>
              <w:top w:val="single" w:sz="4" w:space="0" w:color="auto"/>
              <w:bottom w:val="single" w:sz="12" w:space="0" w:color="auto"/>
            </w:tcBorders>
            <w:shd w:val="clear" w:color="auto" w:fill="auto"/>
            <w:vAlign w:val="bottom"/>
          </w:tcPr>
          <w:p w14:paraId="54FB400B" w14:textId="77777777" w:rsidR="00232124" w:rsidRPr="00637565" w:rsidRDefault="00807EE4" w:rsidP="00807EE4">
            <w:pPr>
              <w:pStyle w:val="SingleTxtG"/>
              <w:keepNext/>
              <w:keepLines/>
              <w:spacing w:before="80" w:after="80" w:line="200" w:lineRule="exact"/>
              <w:ind w:left="113" w:right="11"/>
              <w:jc w:val="right"/>
              <w:rPr>
                <w:i/>
                <w:sz w:val="16"/>
                <w:lang w:val="es-ES_tradnl"/>
              </w:rPr>
            </w:pPr>
            <w:r>
              <w:rPr>
                <w:i/>
                <w:iCs/>
                <w:sz w:val="16"/>
                <w:lang w:val="es-ES_tradnl"/>
              </w:rPr>
              <w:t xml:space="preserve">Septiembre de </w:t>
            </w:r>
            <w:r w:rsidR="00232124" w:rsidRPr="00637565">
              <w:rPr>
                <w:i/>
                <w:iCs/>
                <w:sz w:val="16"/>
                <w:lang w:val="es-ES_tradnl"/>
              </w:rPr>
              <w:t>2018</w:t>
            </w:r>
          </w:p>
        </w:tc>
      </w:tr>
      <w:tr w:rsidR="00232124" w:rsidRPr="00232124" w14:paraId="1404FA1F" w14:textId="77777777" w:rsidTr="00807EE4">
        <w:tc>
          <w:tcPr>
            <w:tcW w:w="3402" w:type="dxa"/>
            <w:tcBorders>
              <w:top w:val="single" w:sz="12" w:space="0" w:color="auto"/>
            </w:tcBorders>
            <w:shd w:val="clear" w:color="auto" w:fill="auto"/>
          </w:tcPr>
          <w:p w14:paraId="0F8AF280" w14:textId="77777777" w:rsidR="00232124" w:rsidRPr="00637565" w:rsidRDefault="00232124" w:rsidP="00807EE4">
            <w:pPr>
              <w:pStyle w:val="SingleTxtG"/>
              <w:keepNext/>
              <w:keepLines/>
              <w:spacing w:before="40" w:after="40" w:line="220" w:lineRule="exact"/>
              <w:ind w:left="0" w:right="0"/>
              <w:jc w:val="left"/>
              <w:rPr>
                <w:sz w:val="18"/>
                <w:lang w:val="es-ES_tradnl"/>
              </w:rPr>
            </w:pPr>
            <w:r w:rsidRPr="00637565">
              <w:rPr>
                <w:sz w:val="18"/>
                <w:lang w:val="es-ES_tradnl"/>
              </w:rPr>
              <w:t>Visitas a los servicios de atención prenatal</w:t>
            </w:r>
          </w:p>
        </w:tc>
        <w:tc>
          <w:tcPr>
            <w:tcW w:w="793" w:type="dxa"/>
            <w:tcBorders>
              <w:top w:val="single" w:sz="12" w:space="0" w:color="auto"/>
            </w:tcBorders>
            <w:shd w:val="clear" w:color="auto" w:fill="auto"/>
            <w:vAlign w:val="bottom"/>
          </w:tcPr>
          <w:p w14:paraId="6085DD0F"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39 897</w:t>
            </w:r>
          </w:p>
        </w:tc>
        <w:tc>
          <w:tcPr>
            <w:tcW w:w="794" w:type="dxa"/>
            <w:tcBorders>
              <w:top w:val="single" w:sz="12" w:space="0" w:color="auto"/>
            </w:tcBorders>
            <w:shd w:val="clear" w:color="auto" w:fill="auto"/>
            <w:vAlign w:val="bottom"/>
          </w:tcPr>
          <w:p w14:paraId="0A7E6A02"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40 018</w:t>
            </w:r>
          </w:p>
        </w:tc>
        <w:tc>
          <w:tcPr>
            <w:tcW w:w="793" w:type="dxa"/>
            <w:tcBorders>
              <w:top w:val="single" w:sz="12" w:space="0" w:color="auto"/>
            </w:tcBorders>
            <w:shd w:val="clear" w:color="auto" w:fill="auto"/>
            <w:vAlign w:val="bottom"/>
          </w:tcPr>
          <w:p w14:paraId="2EB5953C"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43 108</w:t>
            </w:r>
          </w:p>
        </w:tc>
        <w:tc>
          <w:tcPr>
            <w:tcW w:w="739" w:type="dxa"/>
            <w:tcBorders>
              <w:top w:val="single" w:sz="12" w:space="0" w:color="auto"/>
            </w:tcBorders>
            <w:shd w:val="clear" w:color="auto" w:fill="auto"/>
            <w:vAlign w:val="bottom"/>
          </w:tcPr>
          <w:p w14:paraId="072AF5B8"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38 918</w:t>
            </w:r>
          </w:p>
        </w:tc>
        <w:tc>
          <w:tcPr>
            <w:tcW w:w="849" w:type="dxa"/>
            <w:tcBorders>
              <w:top w:val="single" w:sz="12" w:space="0" w:color="auto"/>
            </w:tcBorders>
            <w:shd w:val="clear" w:color="auto" w:fill="auto"/>
            <w:vAlign w:val="bottom"/>
          </w:tcPr>
          <w:p w14:paraId="16213BEF"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28 033</w:t>
            </w:r>
          </w:p>
        </w:tc>
      </w:tr>
      <w:tr w:rsidR="00232124" w:rsidRPr="00232124" w14:paraId="32CBADEE" w14:textId="77777777" w:rsidTr="00807EE4">
        <w:tc>
          <w:tcPr>
            <w:tcW w:w="3402" w:type="dxa"/>
            <w:shd w:val="clear" w:color="auto" w:fill="auto"/>
          </w:tcPr>
          <w:p w14:paraId="1DFC36E1" w14:textId="77777777" w:rsidR="00232124" w:rsidRPr="00637565" w:rsidRDefault="00232124" w:rsidP="00807EE4">
            <w:pPr>
              <w:pStyle w:val="SingleTxtG"/>
              <w:keepNext/>
              <w:keepLines/>
              <w:spacing w:before="40" w:after="40" w:line="220" w:lineRule="exact"/>
              <w:ind w:left="0" w:right="0"/>
              <w:jc w:val="left"/>
              <w:rPr>
                <w:sz w:val="18"/>
                <w:lang w:val="es-ES_tradnl"/>
              </w:rPr>
            </w:pPr>
            <w:r w:rsidRPr="00637565">
              <w:rPr>
                <w:sz w:val="18"/>
                <w:lang w:val="es-ES_tradnl"/>
              </w:rPr>
              <w:t>Visitas a los servicios de planificación familiar</w:t>
            </w:r>
          </w:p>
        </w:tc>
        <w:tc>
          <w:tcPr>
            <w:tcW w:w="793" w:type="dxa"/>
            <w:shd w:val="clear" w:color="auto" w:fill="auto"/>
            <w:vAlign w:val="bottom"/>
          </w:tcPr>
          <w:p w14:paraId="6FD21161"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38 874</w:t>
            </w:r>
          </w:p>
        </w:tc>
        <w:tc>
          <w:tcPr>
            <w:tcW w:w="794" w:type="dxa"/>
            <w:shd w:val="clear" w:color="auto" w:fill="auto"/>
            <w:vAlign w:val="bottom"/>
          </w:tcPr>
          <w:p w14:paraId="68F1A68E"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40 801</w:t>
            </w:r>
          </w:p>
        </w:tc>
        <w:tc>
          <w:tcPr>
            <w:tcW w:w="793" w:type="dxa"/>
            <w:shd w:val="clear" w:color="auto" w:fill="auto"/>
            <w:vAlign w:val="bottom"/>
          </w:tcPr>
          <w:p w14:paraId="198F7A38"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43 302</w:t>
            </w:r>
          </w:p>
        </w:tc>
        <w:tc>
          <w:tcPr>
            <w:tcW w:w="739" w:type="dxa"/>
            <w:shd w:val="clear" w:color="auto" w:fill="auto"/>
            <w:vAlign w:val="bottom"/>
          </w:tcPr>
          <w:p w14:paraId="305067A6"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45 149</w:t>
            </w:r>
          </w:p>
        </w:tc>
        <w:tc>
          <w:tcPr>
            <w:tcW w:w="849" w:type="dxa"/>
            <w:shd w:val="clear" w:color="auto" w:fill="auto"/>
            <w:vAlign w:val="bottom"/>
          </w:tcPr>
          <w:p w14:paraId="17A512B7"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35 179</w:t>
            </w:r>
          </w:p>
        </w:tc>
      </w:tr>
      <w:tr w:rsidR="00232124" w:rsidRPr="00232124" w14:paraId="2322D6A2" w14:textId="77777777" w:rsidTr="00807EE4">
        <w:tc>
          <w:tcPr>
            <w:tcW w:w="3402" w:type="dxa"/>
            <w:tcBorders>
              <w:bottom w:val="single" w:sz="12" w:space="0" w:color="auto"/>
            </w:tcBorders>
            <w:shd w:val="clear" w:color="auto" w:fill="auto"/>
          </w:tcPr>
          <w:p w14:paraId="4ADC46D2" w14:textId="77777777" w:rsidR="00232124" w:rsidRPr="00637565" w:rsidRDefault="00232124" w:rsidP="00807EE4">
            <w:pPr>
              <w:pStyle w:val="SingleTxtG"/>
              <w:keepNext/>
              <w:keepLines/>
              <w:spacing w:before="40" w:after="40" w:line="220" w:lineRule="exact"/>
              <w:ind w:left="0" w:right="0"/>
              <w:jc w:val="left"/>
              <w:rPr>
                <w:sz w:val="18"/>
                <w:lang w:val="es-ES_tradnl"/>
              </w:rPr>
            </w:pPr>
            <w:r w:rsidRPr="00637565">
              <w:rPr>
                <w:sz w:val="18"/>
                <w:lang w:val="es-ES_tradnl"/>
              </w:rPr>
              <w:t>Visitas a centros de salud infantil</w:t>
            </w:r>
          </w:p>
        </w:tc>
        <w:tc>
          <w:tcPr>
            <w:tcW w:w="793" w:type="dxa"/>
            <w:tcBorders>
              <w:bottom w:val="single" w:sz="12" w:space="0" w:color="auto"/>
            </w:tcBorders>
            <w:shd w:val="clear" w:color="auto" w:fill="auto"/>
            <w:vAlign w:val="bottom"/>
          </w:tcPr>
          <w:p w14:paraId="7F95CB70"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76 994</w:t>
            </w:r>
          </w:p>
        </w:tc>
        <w:tc>
          <w:tcPr>
            <w:tcW w:w="794" w:type="dxa"/>
            <w:tcBorders>
              <w:bottom w:val="single" w:sz="12" w:space="0" w:color="auto"/>
            </w:tcBorders>
            <w:shd w:val="clear" w:color="auto" w:fill="auto"/>
            <w:vAlign w:val="bottom"/>
          </w:tcPr>
          <w:p w14:paraId="30AA9022"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79 867</w:t>
            </w:r>
          </w:p>
        </w:tc>
        <w:tc>
          <w:tcPr>
            <w:tcW w:w="793" w:type="dxa"/>
            <w:tcBorders>
              <w:bottom w:val="single" w:sz="12" w:space="0" w:color="auto"/>
            </w:tcBorders>
            <w:shd w:val="clear" w:color="auto" w:fill="auto"/>
            <w:vAlign w:val="bottom"/>
          </w:tcPr>
          <w:p w14:paraId="1A68395A"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86 511</w:t>
            </w:r>
          </w:p>
        </w:tc>
        <w:tc>
          <w:tcPr>
            <w:tcW w:w="739" w:type="dxa"/>
            <w:tcBorders>
              <w:bottom w:val="single" w:sz="12" w:space="0" w:color="auto"/>
            </w:tcBorders>
            <w:shd w:val="clear" w:color="auto" w:fill="auto"/>
            <w:vAlign w:val="bottom"/>
          </w:tcPr>
          <w:p w14:paraId="2B6CF2BC"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84 689</w:t>
            </w:r>
          </w:p>
        </w:tc>
        <w:tc>
          <w:tcPr>
            <w:tcW w:w="849" w:type="dxa"/>
            <w:tcBorders>
              <w:bottom w:val="single" w:sz="12" w:space="0" w:color="auto"/>
            </w:tcBorders>
            <w:shd w:val="clear" w:color="auto" w:fill="auto"/>
            <w:vAlign w:val="bottom"/>
          </w:tcPr>
          <w:p w14:paraId="0DA8E340"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61 900</w:t>
            </w:r>
          </w:p>
        </w:tc>
      </w:tr>
    </w:tbl>
    <w:p w14:paraId="0A90CA2A" w14:textId="77777777" w:rsidR="00FA40F2" w:rsidRPr="00637565" w:rsidRDefault="00FA40F2" w:rsidP="00FE08AE">
      <w:pPr>
        <w:pStyle w:val="SingleTxtG"/>
        <w:spacing w:before="120"/>
        <w:ind w:firstLine="170"/>
        <w:rPr>
          <w:sz w:val="18"/>
          <w:szCs w:val="18"/>
          <w:lang w:val="es-ES_tradnl"/>
        </w:rPr>
      </w:pPr>
      <w:r w:rsidRPr="00637565">
        <w:rPr>
          <w:i/>
          <w:iCs/>
          <w:sz w:val="18"/>
          <w:szCs w:val="18"/>
          <w:lang w:val="es-ES_tradnl"/>
        </w:rPr>
        <w:t>Fuente</w:t>
      </w:r>
      <w:r w:rsidRPr="00870AAE">
        <w:rPr>
          <w:i/>
          <w:iCs/>
          <w:sz w:val="18"/>
          <w:szCs w:val="18"/>
          <w:lang w:val="es-ES_tradnl"/>
        </w:rPr>
        <w:t>:</w:t>
      </w:r>
      <w:r w:rsidRPr="00637565">
        <w:rPr>
          <w:sz w:val="18"/>
          <w:szCs w:val="18"/>
          <w:lang w:val="es-ES_tradnl"/>
        </w:rPr>
        <w:t xml:space="preserve"> Oficina de Salud.</w:t>
      </w:r>
    </w:p>
    <w:p w14:paraId="6FA86168" w14:textId="77777777" w:rsidR="00FA40F2" w:rsidRPr="00FA40F2" w:rsidRDefault="00FA40F2" w:rsidP="00637565">
      <w:pPr>
        <w:pStyle w:val="SingleTxtG"/>
        <w:spacing w:before="120"/>
        <w:rPr>
          <w:lang w:val="es-ES_tradnl"/>
        </w:rPr>
      </w:pPr>
      <w:r w:rsidRPr="00FA40F2">
        <w:rPr>
          <w:lang w:val="es-ES_tradnl"/>
        </w:rPr>
        <w:t>231.</w:t>
      </w:r>
      <w:r w:rsidRPr="00FA40F2">
        <w:rPr>
          <w:lang w:val="es-ES_tradnl"/>
        </w:rPr>
        <w:tab/>
        <w:t>Se incorporaron nuevas vacunas al programa de vacunación. Por ejemplo, en el año</w:t>
      </w:r>
      <w:r w:rsidR="00637565">
        <w:rPr>
          <w:lang w:val="es-ES_tradnl"/>
        </w:rPr>
        <w:t> </w:t>
      </w:r>
      <w:r w:rsidRPr="00FA40F2">
        <w:rPr>
          <w:lang w:val="es-ES_tradnl"/>
        </w:rPr>
        <w:t xml:space="preserve">2013, la del virus del papiloma humano. En 2018, la tasa de vacunación infantil era alta, </w:t>
      </w:r>
      <w:r w:rsidRPr="00FA40F2">
        <w:rPr>
          <w:lang w:val="es-ES_tradnl"/>
        </w:rPr>
        <w:lastRenderedPageBreak/>
        <w:t>ya que superaba el 95</w:t>
      </w:r>
      <w:r w:rsidR="00E27276">
        <w:rPr>
          <w:lang w:val="es-ES_tradnl"/>
        </w:rPr>
        <w:t> %</w:t>
      </w:r>
      <w:r w:rsidRPr="00FA40F2">
        <w:rPr>
          <w:lang w:val="es-ES_tradnl"/>
        </w:rPr>
        <w:t xml:space="preserve"> entre los niños de hasta 12 meses y el 90</w:t>
      </w:r>
      <w:r w:rsidR="00E27276">
        <w:rPr>
          <w:lang w:val="es-ES_tradnl"/>
        </w:rPr>
        <w:t> %</w:t>
      </w:r>
      <w:r w:rsidRPr="00FA40F2">
        <w:rPr>
          <w:lang w:val="es-ES_tradnl"/>
        </w:rPr>
        <w:t xml:space="preserve"> entre los niños de hasta 13 años. Pueden consultarse más datos sobre el programa de vacunación en el cuadro que figura en la página 147 del Anuario Estadístico de 2017.</w:t>
      </w:r>
    </w:p>
    <w:p w14:paraId="29ADBCCE" w14:textId="77777777" w:rsidR="00FA40F2" w:rsidRPr="00FA40F2" w:rsidRDefault="00FA40F2" w:rsidP="00FA40F2">
      <w:pPr>
        <w:pStyle w:val="SingleTxtG"/>
        <w:rPr>
          <w:lang w:val="es-ES_tradnl"/>
        </w:rPr>
      </w:pPr>
      <w:r w:rsidRPr="00FA40F2">
        <w:rPr>
          <w:lang w:val="es-ES_tradnl"/>
        </w:rPr>
        <w:t>232.</w:t>
      </w:r>
      <w:r w:rsidRPr="00FA40F2">
        <w:rPr>
          <w:lang w:val="es-ES_tradnl"/>
        </w:rPr>
        <w:tab/>
        <w:t>Una medida positiva que debe destacarse guarda relación con el considerable esfuerzo realizado por la Oficina de Salud acerca de la lactancia materna. Enfermeros y voluntarios realizan una labor divulgativa de información sanitaria dirigida a mujeres embarazadas, madres primerizas y sus familiares. Esa divulgación trata sobre lactancia materna e incluye intercambios de experiencias, y se realiza a través de charlas y actividades, aplicaciones móviles, llamadas telefónicas de seguimiento tras el parto relacionadas con la lactancia materna y una línea telefónica de apoyo a la lactancia materna.</w:t>
      </w:r>
    </w:p>
    <w:p w14:paraId="09310594" w14:textId="77777777" w:rsidR="00FA40F2" w:rsidRPr="00FA40F2" w:rsidRDefault="00FA40F2" w:rsidP="00FA40F2">
      <w:pPr>
        <w:pStyle w:val="SingleTxtG"/>
        <w:rPr>
          <w:lang w:val="es-ES_tradnl"/>
        </w:rPr>
      </w:pPr>
      <w:r w:rsidRPr="00FA40F2">
        <w:rPr>
          <w:lang w:val="es-ES_tradnl"/>
        </w:rPr>
        <w:t>233.</w:t>
      </w:r>
      <w:r w:rsidRPr="00FA40F2">
        <w:rPr>
          <w:lang w:val="es-ES_tradnl"/>
        </w:rPr>
        <w:tab/>
        <w:t xml:space="preserve">En 2016 y 2017 se organizaron 3.012 actividades en el marco de los programas de </w:t>
      </w:r>
      <w:r w:rsidR="00D353FA">
        <w:rPr>
          <w:lang w:val="es-ES_tradnl"/>
        </w:rPr>
        <w:t>“</w:t>
      </w:r>
      <w:r w:rsidRPr="00FA40F2">
        <w:rPr>
          <w:lang w:val="es-ES_tradnl"/>
        </w:rPr>
        <w:t>Apoyo Familiar para la Lactancia Materna</w:t>
      </w:r>
      <w:r w:rsidR="00D353FA">
        <w:rPr>
          <w:lang w:val="es-ES_tradnl"/>
        </w:rPr>
        <w:t>”</w:t>
      </w:r>
      <w:r w:rsidRPr="00FA40F2">
        <w:rPr>
          <w:lang w:val="es-ES_tradnl"/>
        </w:rPr>
        <w:t xml:space="preserve">, </w:t>
      </w:r>
      <w:r w:rsidR="00D353FA">
        <w:rPr>
          <w:lang w:val="es-ES_tradnl"/>
        </w:rPr>
        <w:t>“</w:t>
      </w:r>
      <w:r w:rsidRPr="00FA40F2">
        <w:rPr>
          <w:lang w:val="es-ES_tradnl"/>
        </w:rPr>
        <w:t>Preparación de la Lactancia Materna</w:t>
      </w:r>
      <w:r w:rsidR="00D353FA">
        <w:rPr>
          <w:lang w:val="es-ES_tradnl"/>
        </w:rPr>
        <w:t>”</w:t>
      </w:r>
      <w:r w:rsidRPr="00FA40F2">
        <w:rPr>
          <w:lang w:val="es-ES_tradnl"/>
        </w:rPr>
        <w:t xml:space="preserve"> y </w:t>
      </w:r>
      <w:r w:rsidR="00D353FA">
        <w:rPr>
          <w:lang w:val="es-ES_tradnl"/>
        </w:rPr>
        <w:t>“</w:t>
      </w:r>
      <w:r w:rsidRPr="00FA40F2">
        <w:rPr>
          <w:lang w:val="es-ES_tradnl"/>
        </w:rPr>
        <w:t>Habilidades para la Lactancia Materna</w:t>
      </w:r>
      <w:r w:rsidR="00D353FA">
        <w:rPr>
          <w:lang w:val="es-ES_tradnl"/>
        </w:rPr>
        <w:t>”</w:t>
      </w:r>
      <w:r w:rsidRPr="00FA40F2">
        <w:rPr>
          <w:lang w:val="es-ES_tradnl"/>
        </w:rPr>
        <w:t>, que contaron con 33.112 participantes. La tasa de lactancia materna aumentó del 87,3</w:t>
      </w:r>
      <w:r w:rsidR="00E27276">
        <w:rPr>
          <w:lang w:val="es-ES_tradnl"/>
        </w:rPr>
        <w:t> %</w:t>
      </w:r>
      <w:r w:rsidRPr="00FA40F2">
        <w:rPr>
          <w:lang w:val="es-ES_tradnl"/>
        </w:rPr>
        <w:t xml:space="preserve"> en 2014 al 92,6</w:t>
      </w:r>
      <w:r w:rsidR="00E27276">
        <w:rPr>
          <w:lang w:val="es-ES_tradnl"/>
        </w:rPr>
        <w:t> %</w:t>
      </w:r>
      <w:r w:rsidRPr="00FA40F2">
        <w:rPr>
          <w:lang w:val="es-ES_tradnl"/>
        </w:rPr>
        <w:t xml:space="preserve"> en 2017. Durante la Semana Mundial de la Lactancia Materna, la Oficina de Salud celebra una ceremonia en reconocimiento a las madres que han dado el pecho a sus hijos durante al menos seis meses de manera continua. </w:t>
      </w:r>
    </w:p>
    <w:p w14:paraId="38AFB0F8" w14:textId="77777777" w:rsidR="00FA40F2" w:rsidRPr="00FA40F2" w:rsidRDefault="00FA40F2" w:rsidP="00FA40F2">
      <w:pPr>
        <w:pStyle w:val="SingleTxtG"/>
        <w:rPr>
          <w:lang w:val="es-ES_tradnl"/>
        </w:rPr>
      </w:pPr>
      <w:r w:rsidRPr="00FA40F2">
        <w:rPr>
          <w:lang w:val="es-ES_tradnl"/>
        </w:rPr>
        <w:t>234.</w:t>
      </w:r>
      <w:r w:rsidRPr="00FA40F2">
        <w:rPr>
          <w:lang w:val="es-ES_tradnl"/>
        </w:rPr>
        <w:tab/>
        <w:t>Para fomentar la lactancia materna después de la licencia de maternidad, se han estado habilitando salas de lactancia en servicios públicos desde 2016. En la actualidad, hay</w:t>
      </w:r>
      <w:r w:rsidR="00637565">
        <w:rPr>
          <w:lang w:val="es-ES_tradnl"/>
        </w:rPr>
        <w:t> </w:t>
      </w:r>
      <w:r w:rsidRPr="00FA40F2">
        <w:rPr>
          <w:lang w:val="es-ES_tradnl"/>
        </w:rPr>
        <w:t>207 salas de lactancia, de las cuales 147 están en establecimientos del sector público y 60 del privado.</w:t>
      </w:r>
    </w:p>
    <w:p w14:paraId="4724E865" w14:textId="77777777" w:rsidR="00FA40F2" w:rsidRPr="00FA40F2" w:rsidRDefault="00FA40F2" w:rsidP="00FA40F2">
      <w:pPr>
        <w:pStyle w:val="SingleTxtG"/>
        <w:rPr>
          <w:lang w:val="es-ES_tradnl"/>
        </w:rPr>
      </w:pPr>
      <w:r w:rsidRPr="00FA40F2">
        <w:rPr>
          <w:lang w:val="es-ES_tradnl"/>
        </w:rPr>
        <w:t>235.</w:t>
      </w:r>
      <w:r w:rsidRPr="00FA40F2">
        <w:rPr>
          <w:lang w:val="es-ES_tradnl"/>
        </w:rPr>
        <w:tab/>
        <w:t>Como se ha señalado en informes anteriores, la educación sanitaria desempeña un papel fundamental en la política de salud del Gobierno. En 2016 se creó el Centro de Educación para una Vida Saludable, dependiente de la Oficina de Bienestar Social, para promover un estilo de vida sano y transmitir mensajes contra el consumo de drogas, especialmente a los niños, los jóvenes y los padres, a través de diferentes actividades culturales, deportivas y artísticas. De enero a septiembre de 2018, 16.129 niños de fin de preescolar y principio de primaria participaron en el Programa de Educación para una Vida Saludable.</w:t>
      </w:r>
    </w:p>
    <w:p w14:paraId="6DF43D69" w14:textId="77777777" w:rsidR="00FA40F2" w:rsidRPr="00FA40F2" w:rsidRDefault="00FA40F2" w:rsidP="00FA40F2">
      <w:pPr>
        <w:pStyle w:val="SingleTxtG"/>
        <w:rPr>
          <w:lang w:val="es-ES_tradnl"/>
        </w:rPr>
      </w:pPr>
      <w:r w:rsidRPr="00FA40F2">
        <w:rPr>
          <w:lang w:val="es-ES_tradnl"/>
        </w:rPr>
        <w:t>236.</w:t>
      </w:r>
      <w:r w:rsidRPr="00FA40F2">
        <w:rPr>
          <w:lang w:val="es-ES_tradnl"/>
        </w:rPr>
        <w:tab/>
        <w:t>En relación con el VIH, su prevalencia en la RAE de Macao sigue siendo baja. Las personas infectadas y sus familias reciben servicios de orientación y apoyo de la Oficina de</w:t>
      </w:r>
      <w:r w:rsidR="00637565">
        <w:rPr>
          <w:lang w:val="es-ES_tradnl"/>
        </w:rPr>
        <w:t> </w:t>
      </w:r>
      <w:r w:rsidRPr="00FA40F2">
        <w:rPr>
          <w:lang w:val="es-ES_tradnl"/>
        </w:rPr>
        <w:t>Bienestar Social. En cooperación con la Comisión de Lucha contra el VIH/sida, el Gobierno y las ONG adoptaron nuevas medidas para prevenir, controlar y suprimir el</w:t>
      </w:r>
      <w:r w:rsidR="00637565">
        <w:rPr>
          <w:lang w:val="es-ES_tradnl"/>
        </w:rPr>
        <w:t> </w:t>
      </w:r>
      <w:r w:rsidRPr="00FA40F2">
        <w:rPr>
          <w:lang w:val="es-ES_tradnl"/>
        </w:rPr>
        <w:t xml:space="preserve">VIH/sida. </w:t>
      </w:r>
    </w:p>
    <w:p w14:paraId="4DE4D35D" w14:textId="77777777" w:rsidR="00FA40F2" w:rsidRPr="00FA40F2" w:rsidRDefault="00FA40F2" w:rsidP="00FA40F2">
      <w:pPr>
        <w:pStyle w:val="SingleTxtG"/>
        <w:rPr>
          <w:lang w:val="es-ES_tradnl"/>
        </w:rPr>
      </w:pPr>
      <w:r w:rsidRPr="00FA40F2">
        <w:rPr>
          <w:lang w:val="es-ES_tradnl"/>
        </w:rPr>
        <w:t>237.</w:t>
      </w:r>
      <w:r w:rsidRPr="00FA40F2">
        <w:rPr>
          <w:lang w:val="es-ES_tradnl"/>
        </w:rPr>
        <w:tab/>
        <w:t xml:space="preserve">Desde 2015 se ha fomentado activamente la sistematización de los análisis serológicos para la detección del VIH durante las revisiones médicas en los establecimientos sanitarios (el número de personas a las que se realizaron esos análisis aumentó de 2.668 en 2015 a 8.375 en 2017). De 2014 a septiembre de 2018, se prestaron 1.373 servicios de orientación y se derivó a 64 personas seropositivas al Centro Hospitalario São </w:t>
      </w:r>
      <w:proofErr w:type="spellStart"/>
      <w:r w:rsidRPr="00FA40F2">
        <w:rPr>
          <w:lang w:val="es-ES_tradnl"/>
        </w:rPr>
        <w:t>Januário</w:t>
      </w:r>
      <w:proofErr w:type="spellEnd"/>
      <w:r w:rsidRPr="00FA40F2">
        <w:rPr>
          <w:lang w:val="es-ES_tradnl"/>
        </w:rPr>
        <w:t xml:space="preserve"> para su seguimiento. </w:t>
      </w:r>
    </w:p>
    <w:p w14:paraId="5E8D781E" w14:textId="77777777" w:rsidR="00FA40F2" w:rsidRPr="00FA40F2" w:rsidRDefault="00FA40F2" w:rsidP="00FA40F2">
      <w:pPr>
        <w:pStyle w:val="SingleTxtG"/>
        <w:rPr>
          <w:lang w:val="es-ES_tradnl"/>
        </w:rPr>
      </w:pPr>
      <w:r w:rsidRPr="00FA40F2">
        <w:rPr>
          <w:lang w:val="es-ES_tradnl"/>
        </w:rPr>
        <w:t>238.</w:t>
      </w:r>
      <w:r w:rsidRPr="00FA40F2">
        <w:rPr>
          <w:lang w:val="es-ES_tradnl"/>
        </w:rPr>
        <w:tab/>
        <w:t>En populares sitios web de citas se han anunciado análisis serológicos para la detección del VIH. En 2017 se pusieron en marcha una base de datos sobre el VIH/sida y un servicio de divulgación en línea para facilitar información y la posibilidad de concertar visitas a través de aplicaciones móviles.</w:t>
      </w:r>
    </w:p>
    <w:p w14:paraId="7445EEDD" w14:textId="77777777" w:rsidR="00FA40F2" w:rsidRPr="00FA40F2" w:rsidRDefault="00FA40F2" w:rsidP="00FA40F2">
      <w:pPr>
        <w:pStyle w:val="SingleTxtG"/>
        <w:rPr>
          <w:lang w:val="es-ES_tradnl"/>
        </w:rPr>
      </w:pPr>
      <w:r w:rsidRPr="00FA40F2">
        <w:rPr>
          <w:lang w:val="es-ES_tradnl"/>
        </w:rPr>
        <w:t>239.</w:t>
      </w:r>
      <w:r w:rsidRPr="00FA40F2">
        <w:rPr>
          <w:lang w:val="es-ES_tradnl"/>
        </w:rPr>
        <w:tab/>
        <w:t>Durante los controles prenatales, uno de los análisis de sangre requeridos guarda relación con la prueba del VIH. Durante el período que abarca el informe, se hizo ese tipo de prueba a 35.081 mujeres embarazadas. Cuatro de ellas estaban infectadas por el VIH y recibieron quimioprofilaxis para prevenir la transmisión vertical (a fin de salvaguardar la salud de su bebé), además de terapia y servicios conexos. No se ha constatado ningún caso de transmisión vertical (de la madre al hijo) del VIH.</w:t>
      </w:r>
    </w:p>
    <w:p w14:paraId="39E97791" w14:textId="77777777" w:rsidR="00FA40F2" w:rsidRPr="00FA40F2" w:rsidRDefault="00FA40F2" w:rsidP="00637565">
      <w:pPr>
        <w:pStyle w:val="H23G"/>
        <w:rPr>
          <w:lang w:val="es-ES_tradnl"/>
        </w:rPr>
      </w:pPr>
      <w:r w:rsidRPr="00FA40F2">
        <w:rPr>
          <w:lang w:val="es-ES_tradnl"/>
        </w:rPr>
        <w:tab/>
      </w:r>
      <w:r w:rsidR="00637565">
        <w:rPr>
          <w:lang w:val="es-ES_tradnl"/>
        </w:rPr>
        <w:tab/>
      </w:r>
      <w:r w:rsidRPr="00FA40F2">
        <w:rPr>
          <w:lang w:val="es-ES_tradnl"/>
        </w:rPr>
        <w:t>Muestras de VIH analizadas en grupos específicos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72"/>
        <w:gridCol w:w="788"/>
        <w:gridCol w:w="789"/>
        <w:gridCol w:w="788"/>
        <w:gridCol w:w="789"/>
        <w:gridCol w:w="844"/>
      </w:tblGrid>
      <w:tr w:rsidR="00FA40F2" w:rsidRPr="00870AAE" w14:paraId="3FE0D25E" w14:textId="77777777" w:rsidTr="00870AAE">
        <w:trPr>
          <w:cantSplit/>
          <w:trHeight w:val="240"/>
          <w:tblHeader/>
        </w:trPr>
        <w:tc>
          <w:tcPr>
            <w:tcW w:w="3402" w:type="dxa"/>
            <w:tcBorders>
              <w:top w:val="single" w:sz="4" w:space="0" w:color="auto"/>
              <w:bottom w:val="single" w:sz="12" w:space="0" w:color="auto"/>
            </w:tcBorders>
            <w:shd w:val="clear" w:color="auto" w:fill="auto"/>
            <w:vAlign w:val="bottom"/>
          </w:tcPr>
          <w:p w14:paraId="4C9CC314" w14:textId="77777777" w:rsidR="00FA40F2" w:rsidRPr="00870AAE" w:rsidRDefault="00FA40F2" w:rsidP="00870AAE">
            <w:pPr>
              <w:pStyle w:val="SingleTxtG"/>
              <w:spacing w:before="80" w:after="80" w:line="200" w:lineRule="exact"/>
              <w:ind w:left="0" w:right="0"/>
              <w:jc w:val="left"/>
              <w:rPr>
                <w:i/>
                <w:sz w:val="16"/>
                <w:lang w:val="es-ES_tradnl"/>
              </w:rPr>
            </w:pPr>
            <w:r w:rsidRPr="00870AAE">
              <w:rPr>
                <w:i/>
                <w:iCs/>
                <w:sz w:val="16"/>
                <w:lang w:val="es-ES_tradnl"/>
              </w:rPr>
              <w:t>Grupo/Año</w:t>
            </w:r>
          </w:p>
        </w:tc>
        <w:tc>
          <w:tcPr>
            <w:tcW w:w="793" w:type="dxa"/>
            <w:tcBorders>
              <w:top w:val="single" w:sz="4" w:space="0" w:color="auto"/>
              <w:bottom w:val="single" w:sz="12" w:space="0" w:color="auto"/>
            </w:tcBorders>
            <w:shd w:val="clear" w:color="auto" w:fill="auto"/>
            <w:vAlign w:val="bottom"/>
          </w:tcPr>
          <w:p w14:paraId="34F4A218"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2014</w:t>
            </w:r>
          </w:p>
        </w:tc>
        <w:tc>
          <w:tcPr>
            <w:tcW w:w="794" w:type="dxa"/>
            <w:tcBorders>
              <w:top w:val="single" w:sz="4" w:space="0" w:color="auto"/>
              <w:bottom w:val="single" w:sz="12" w:space="0" w:color="auto"/>
            </w:tcBorders>
            <w:shd w:val="clear" w:color="auto" w:fill="auto"/>
            <w:vAlign w:val="bottom"/>
          </w:tcPr>
          <w:p w14:paraId="27FB45AB"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2015</w:t>
            </w:r>
          </w:p>
        </w:tc>
        <w:tc>
          <w:tcPr>
            <w:tcW w:w="793" w:type="dxa"/>
            <w:tcBorders>
              <w:top w:val="single" w:sz="4" w:space="0" w:color="auto"/>
              <w:bottom w:val="single" w:sz="12" w:space="0" w:color="auto"/>
            </w:tcBorders>
            <w:shd w:val="clear" w:color="auto" w:fill="auto"/>
            <w:vAlign w:val="bottom"/>
          </w:tcPr>
          <w:p w14:paraId="6DAC6784"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2016</w:t>
            </w:r>
          </w:p>
        </w:tc>
        <w:tc>
          <w:tcPr>
            <w:tcW w:w="794" w:type="dxa"/>
            <w:tcBorders>
              <w:top w:val="single" w:sz="4" w:space="0" w:color="auto"/>
              <w:bottom w:val="single" w:sz="12" w:space="0" w:color="auto"/>
            </w:tcBorders>
            <w:shd w:val="clear" w:color="auto" w:fill="auto"/>
            <w:vAlign w:val="bottom"/>
          </w:tcPr>
          <w:p w14:paraId="0A0C2E37"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2017</w:t>
            </w:r>
          </w:p>
        </w:tc>
        <w:tc>
          <w:tcPr>
            <w:tcW w:w="794" w:type="dxa"/>
            <w:tcBorders>
              <w:top w:val="single" w:sz="4" w:space="0" w:color="auto"/>
              <w:bottom w:val="single" w:sz="12" w:space="0" w:color="auto"/>
            </w:tcBorders>
            <w:shd w:val="clear" w:color="auto" w:fill="auto"/>
            <w:vAlign w:val="bottom"/>
          </w:tcPr>
          <w:p w14:paraId="10559FD1" w14:textId="77777777" w:rsidR="00FA40F2" w:rsidRPr="00870AAE" w:rsidRDefault="00807EE4" w:rsidP="00FE08AE">
            <w:pPr>
              <w:pStyle w:val="SingleTxtG"/>
              <w:spacing w:before="80" w:after="80" w:line="200" w:lineRule="exact"/>
              <w:ind w:left="113" w:right="11"/>
              <w:jc w:val="right"/>
              <w:rPr>
                <w:i/>
                <w:sz w:val="16"/>
                <w:lang w:val="es-ES_tradnl"/>
              </w:rPr>
            </w:pPr>
            <w:r>
              <w:rPr>
                <w:i/>
                <w:iCs/>
                <w:sz w:val="16"/>
                <w:lang w:val="es-ES_tradnl"/>
              </w:rPr>
              <w:t>Septiembre de </w:t>
            </w:r>
            <w:r w:rsidR="00FA40F2" w:rsidRPr="00870AAE">
              <w:rPr>
                <w:i/>
                <w:iCs/>
                <w:sz w:val="16"/>
                <w:lang w:val="es-ES_tradnl"/>
              </w:rPr>
              <w:t>2018</w:t>
            </w:r>
          </w:p>
        </w:tc>
      </w:tr>
      <w:tr w:rsidR="00FA40F2" w:rsidRPr="00870AAE" w14:paraId="26DD3DA1" w14:textId="77777777" w:rsidTr="00870AAE">
        <w:trPr>
          <w:cantSplit/>
          <w:trHeight w:val="240"/>
        </w:trPr>
        <w:tc>
          <w:tcPr>
            <w:tcW w:w="3402" w:type="dxa"/>
            <w:tcBorders>
              <w:top w:val="single" w:sz="12" w:space="0" w:color="auto"/>
            </w:tcBorders>
            <w:shd w:val="clear" w:color="auto" w:fill="auto"/>
          </w:tcPr>
          <w:p w14:paraId="2EF337E4"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Hospitales y centros de salud</w:t>
            </w:r>
          </w:p>
        </w:tc>
        <w:tc>
          <w:tcPr>
            <w:tcW w:w="793" w:type="dxa"/>
            <w:tcBorders>
              <w:top w:val="single" w:sz="12" w:space="0" w:color="auto"/>
            </w:tcBorders>
            <w:shd w:val="clear" w:color="auto" w:fill="auto"/>
            <w:vAlign w:val="bottom"/>
          </w:tcPr>
          <w:p w14:paraId="43B3F43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2 650</w:t>
            </w:r>
          </w:p>
        </w:tc>
        <w:tc>
          <w:tcPr>
            <w:tcW w:w="794" w:type="dxa"/>
            <w:tcBorders>
              <w:top w:val="single" w:sz="12" w:space="0" w:color="auto"/>
            </w:tcBorders>
            <w:shd w:val="clear" w:color="auto" w:fill="auto"/>
            <w:vAlign w:val="bottom"/>
          </w:tcPr>
          <w:p w14:paraId="69AC489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2 476</w:t>
            </w:r>
          </w:p>
        </w:tc>
        <w:tc>
          <w:tcPr>
            <w:tcW w:w="793" w:type="dxa"/>
            <w:tcBorders>
              <w:top w:val="single" w:sz="12" w:space="0" w:color="auto"/>
            </w:tcBorders>
            <w:shd w:val="clear" w:color="auto" w:fill="auto"/>
            <w:vAlign w:val="bottom"/>
          </w:tcPr>
          <w:p w14:paraId="11693FDE"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8 821</w:t>
            </w:r>
          </w:p>
        </w:tc>
        <w:tc>
          <w:tcPr>
            <w:tcW w:w="794" w:type="dxa"/>
            <w:tcBorders>
              <w:top w:val="single" w:sz="12" w:space="0" w:color="auto"/>
            </w:tcBorders>
            <w:shd w:val="clear" w:color="auto" w:fill="auto"/>
            <w:vAlign w:val="bottom"/>
          </w:tcPr>
          <w:p w14:paraId="0DC3E2EC"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7 751</w:t>
            </w:r>
          </w:p>
        </w:tc>
        <w:tc>
          <w:tcPr>
            <w:tcW w:w="794" w:type="dxa"/>
            <w:tcBorders>
              <w:top w:val="single" w:sz="12" w:space="0" w:color="auto"/>
            </w:tcBorders>
            <w:shd w:val="clear" w:color="auto" w:fill="auto"/>
            <w:vAlign w:val="bottom"/>
          </w:tcPr>
          <w:p w14:paraId="2EE51ED9"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4 962</w:t>
            </w:r>
          </w:p>
        </w:tc>
      </w:tr>
      <w:tr w:rsidR="00FA40F2" w:rsidRPr="00870AAE" w14:paraId="248664BF" w14:textId="77777777" w:rsidTr="00870AAE">
        <w:trPr>
          <w:cantSplit/>
          <w:trHeight w:val="240"/>
        </w:trPr>
        <w:tc>
          <w:tcPr>
            <w:tcW w:w="3402" w:type="dxa"/>
            <w:shd w:val="clear" w:color="auto" w:fill="auto"/>
          </w:tcPr>
          <w:p w14:paraId="10921851"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lastRenderedPageBreak/>
              <w:t>Prenatal</w:t>
            </w:r>
          </w:p>
        </w:tc>
        <w:tc>
          <w:tcPr>
            <w:tcW w:w="793" w:type="dxa"/>
            <w:shd w:val="clear" w:color="auto" w:fill="auto"/>
            <w:vAlign w:val="bottom"/>
          </w:tcPr>
          <w:p w14:paraId="4FBB923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7 526</w:t>
            </w:r>
          </w:p>
        </w:tc>
        <w:tc>
          <w:tcPr>
            <w:tcW w:w="794" w:type="dxa"/>
            <w:shd w:val="clear" w:color="auto" w:fill="auto"/>
            <w:vAlign w:val="bottom"/>
          </w:tcPr>
          <w:p w14:paraId="69E47FE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7 378</w:t>
            </w:r>
          </w:p>
        </w:tc>
        <w:tc>
          <w:tcPr>
            <w:tcW w:w="793" w:type="dxa"/>
            <w:shd w:val="clear" w:color="auto" w:fill="auto"/>
            <w:vAlign w:val="bottom"/>
          </w:tcPr>
          <w:p w14:paraId="7E0B7E6E"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7 798</w:t>
            </w:r>
          </w:p>
        </w:tc>
        <w:tc>
          <w:tcPr>
            <w:tcW w:w="794" w:type="dxa"/>
            <w:shd w:val="clear" w:color="auto" w:fill="auto"/>
            <w:vAlign w:val="bottom"/>
          </w:tcPr>
          <w:p w14:paraId="19FE4709"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7 265</w:t>
            </w:r>
          </w:p>
        </w:tc>
        <w:tc>
          <w:tcPr>
            <w:tcW w:w="794" w:type="dxa"/>
            <w:shd w:val="clear" w:color="auto" w:fill="auto"/>
            <w:vAlign w:val="bottom"/>
          </w:tcPr>
          <w:p w14:paraId="4AF7EE8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5 114</w:t>
            </w:r>
          </w:p>
        </w:tc>
      </w:tr>
      <w:tr w:rsidR="00FA40F2" w:rsidRPr="00870AAE" w14:paraId="42AA7E16" w14:textId="77777777" w:rsidTr="00870AAE">
        <w:trPr>
          <w:cantSplit/>
          <w:trHeight w:val="240"/>
        </w:trPr>
        <w:tc>
          <w:tcPr>
            <w:tcW w:w="3402" w:type="dxa"/>
            <w:shd w:val="clear" w:color="auto" w:fill="auto"/>
          </w:tcPr>
          <w:p w14:paraId="52D3B399"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Consumidores de drogas intravenosas</w:t>
            </w:r>
          </w:p>
        </w:tc>
        <w:tc>
          <w:tcPr>
            <w:tcW w:w="793" w:type="dxa"/>
            <w:shd w:val="clear" w:color="auto" w:fill="auto"/>
            <w:vAlign w:val="bottom"/>
          </w:tcPr>
          <w:p w14:paraId="1E9DE7F9"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140</w:t>
            </w:r>
          </w:p>
        </w:tc>
        <w:tc>
          <w:tcPr>
            <w:tcW w:w="794" w:type="dxa"/>
            <w:shd w:val="clear" w:color="auto" w:fill="auto"/>
            <w:vAlign w:val="bottom"/>
          </w:tcPr>
          <w:p w14:paraId="2AD90ACF"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94</w:t>
            </w:r>
          </w:p>
        </w:tc>
        <w:tc>
          <w:tcPr>
            <w:tcW w:w="793" w:type="dxa"/>
            <w:shd w:val="clear" w:color="auto" w:fill="auto"/>
            <w:vAlign w:val="bottom"/>
          </w:tcPr>
          <w:p w14:paraId="6380686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165</w:t>
            </w:r>
          </w:p>
        </w:tc>
        <w:tc>
          <w:tcPr>
            <w:tcW w:w="794" w:type="dxa"/>
            <w:shd w:val="clear" w:color="auto" w:fill="auto"/>
            <w:vAlign w:val="bottom"/>
          </w:tcPr>
          <w:p w14:paraId="503178DA"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94</w:t>
            </w:r>
          </w:p>
        </w:tc>
        <w:tc>
          <w:tcPr>
            <w:tcW w:w="794" w:type="dxa"/>
            <w:shd w:val="clear" w:color="auto" w:fill="auto"/>
            <w:vAlign w:val="bottom"/>
          </w:tcPr>
          <w:p w14:paraId="14F629B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59</w:t>
            </w:r>
          </w:p>
        </w:tc>
      </w:tr>
      <w:tr w:rsidR="00FA40F2" w:rsidRPr="00870AAE" w14:paraId="09C752EC" w14:textId="77777777" w:rsidTr="00870AAE">
        <w:trPr>
          <w:cantSplit/>
          <w:trHeight w:val="240"/>
        </w:trPr>
        <w:tc>
          <w:tcPr>
            <w:tcW w:w="3402" w:type="dxa"/>
            <w:shd w:val="clear" w:color="auto" w:fill="auto"/>
          </w:tcPr>
          <w:p w14:paraId="21B3E577"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Presos</w:t>
            </w:r>
          </w:p>
        </w:tc>
        <w:tc>
          <w:tcPr>
            <w:tcW w:w="793" w:type="dxa"/>
            <w:shd w:val="clear" w:color="auto" w:fill="auto"/>
            <w:vAlign w:val="bottom"/>
          </w:tcPr>
          <w:p w14:paraId="0D76C70C"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1 033</w:t>
            </w:r>
          </w:p>
        </w:tc>
        <w:tc>
          <w:tcPr>
            <w:tcW w:w="794" w:type="dxa"/>
            <w:shd w:val="clear" w:color="auto" w:fill="auto"/>
            <w:vAlign w:val="bottom"/>
          </w:tcPr>
          <w:p w14:paraId="20BECF68"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1 158</w:t>
            </w:r>
          </w:p>
        </w:tc>
        <w:tc>
          <w:tcPr>
            <w:tcW w:w="793" w:type="dxa"/>
            <w:shd w:val="clear" w:color="auto" w:fill="auto"/>
            <w:vAlign w:val="bottom"/>
          </w:tcPr>
          <w:p w14:paraId="53279D8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1 084</w:t>
            </w:r>
          </w:p>
        </w:tc>
        <w:tc>
          <w:tcPr>
            <w:tcW w:w="794" w:type="dxa"/>
            <w:shd w:val="clear" w:color="auto" w:fill="auto"/>
            <w:vAlign w:val="bottom"/>
          </w:tcPr>
          <w:p w14:paraId="31D3083B"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1 011</w:t>
            </w:r>
          </w:p>
        </w:tc>
        <w:tc>
          <w:tcPr>
            <w:tcW w:w="794" w:type="dxa"/>
            <w:shd w:val="clear" w:color="auto" w:fill="auto"/>
            <w:vAlign w:val="bottom"/>
          </w:tcPr>
          <w:p w14:paraId="07EF7E27"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810</w:t>
            </w:r>
          </w:p>
        </w:tc>
      </w:tr>
      <w:tr w:rsidR="00FA40F2" w:rsidRPr="00870AAE" w14:paraId="650646C8" w14:textId="77777777" w:rsidTr="00870AAE">
        <w:trPr>
          <w:cantSplit/>
          <w:trHeight w:val="240"/>
        </w:trPr>
        <w:tc>
          <w:tcPr>
            <w:tcW w:w="3402" w:type="dxa"/>
            <w:shd w:val="clear" w:color="auto" w:fill="auto"/>
          </w:tcPr>
          <w:p w14:paraId="3EC4D66A"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 xml:space="preserve">Trabajadores no residentes en establecimientos como saunas, karaokes y clubes nocturnos </w:t>
            </w:r>
          </w:p>
        </w:tc>
        <w:tc>
          <w:tcPr>
            <w:tcW w:w="793" w:type="dxa"/>
            <w:shd w:val="clear" w:color="auto" w:fill="auto"/>
            <w:vAlign w:val="bottom"/>
          </w:tcPr>
          <w:p w14:paraId="20628091"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7 644</w:t>
            </w:r>
          </w:p>
        </w:tc>
        <w:tc>
          <w:tcPr>
            <w:tcW w:w="794" w:type="dxa"/>
            <w:shd w:val="clear" w:color="auto" w:fill="auto"/>
            <w:vAlign w:val="bottom"/>
          </w:tcPr>
          <w:p w14:paraId="7DEB0F4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7 654</w:t>
            </w:r>
          </w:p>
        </w:tc>
        <w:tc>
          <w:tcPr>
            <w:tcW w:w="793" w:type="dxa"/>
            <w:shd w:val="clear" w:color="auto" w:fill="auto"/>
            <w:vAlign w:val="bottom"/>
          </w:tcPr>
          <w:p w14:paraId="3DB5A6AE"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7 105</w:t>
            </w:r>
          </w:p>
        </w:tc>
        <w:tc>
          <w:tcPr>
            <w:tcW w:w="794" w:type="dxa"/>
            <w:shd w:val="clear" w:color="auto" w:fill="auto"/>
            <w:vAlign w:val="bottom"/>
          </w:tcPr>
          <w:p w14:paraId="7CC8282A"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6 828</w:t>
            </w:r>
          </w:p>
        </w:tc>
        <w:tc>
          <w:tcPr>
            <w:tcW w:w="794" w:type="dxa"/>
            <w:shd w:val="clear" w:color="auto" w:fill="auto"/>
            <w:vAlign w:val="bottom"/>
          </w:tcPr>
          <w:p w14:paraId="25B9D3FD"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5 506</w:t>
            </w:r>
          </w:p>
        </w:tc>
      </w:tr>
      <w:tr w:rsidR="00FA40F2" w:rsidRPr="00870AAE" w14:paraId="0109B3D0" w14:textId="77777777" w:rsidTr="00870AAE">
        <w:trPr>
          <w:cantSplit/>
          <w:trHeight w:val="240"/>
        </w:trPr>
        <w:tc>
          <w:tcPr>
            <w:tcW w:w="3402" w:type="dxa"/>
            <w:shd w:val="clear" w:color="auto" w:fill="auto"/>
          </w:tcPr>
          <w:p w14:paraId="3CD65780"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Posibles infectados con tuberculosis</w:t>
            </w:r>
          </w:p>
        </w:tc>
        <w:tc>
          <w:tcPr>
            <w:tcW w:w="793" w:type="dxa"/>
            <w:shd w:val="clear" w:color="auto" w:fill="auto"/>
            <w:vAlign w:val="bottom"/>
          </w:tcPr>
          <w:p w14:paraId="05E7921C"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976</w:t>
            </w:r>
          </w:p>
        </w:tc>
        <w:tc>
          <w:tcPr>
            <w:tcW w:w="794" w:type="dxa"/>
            <w:shd w:val="clear" w:color="auto" w:fill="auto"/>
            <w:vAlign w:val="bottom"/>
          </w:tcPr>
          <w:p w14:paraId="1FDCF00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914</w:t>
            </w:r>
          </w:p>
        </w:tc>
        <w:tc>
          <w:tcPr>
            <w:tcW w:w="793" w:type="dxa"/>
            <w:shd w:val="clear" w:color="auto" w:fill="auto"/>
            <w:vAlign w:val="bottom"/>
          </w:tcPr>
          <w:p w14:paraId="79F0E45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883</w:t>
            </w:r>
          </w:p>
        </w:tc>
        <w:tc>
          <w:tcPr>
            <w:tcW w:w="794" w:type="dxa"/>
            <w:shd w:val="clear" w:color="auto" w:fill="auto"/>
            <w:vAlign w:val="bottom"/>
          </w:tcPr>
          <w:p w14:paraId="297455AA"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764</w:t>
            </w:r>
          </w:p>
        </w:tc>
        <w:tc>
          <w:tcPr>
            <w:tcW w:w="794" w:type="dxa"/>
            <w:shd w:val="clear" w:color="auto" w:fill="auto"/>
            <w:vAlign w:val="bottom"/>
          </w:tcPr>
          <w:p w14:paraId="6F072B01"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570</w:t>
            </w:r>
          </w:p>
        </w:tc>
      </w:tr>
      <w:tr w:rsidR="00FA40F2" w:rsidRPr="00870AAE" w14:paraId="17547FFC" w14:textId="77777777" w:rsidTr="00870AAE">
        <w:trPr>
          <w:cantSplit/>
          <w:trHeight w:val="240"/>
        </w:trPr>
        <w:tc>
          <w:tcPr>
            <w:tcW w:w="3402" w:type="dxa"/>
            <w:shd w:val="clear" w:color="auto" w:fill="auto"/>
          </w:tcPr>
          <w:p w14:paraId="6C43DC25"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Pruebas anónimas</w:t>
            </w:r>
          </w:p>
        </w:tc>
        <w:tc>
          <w:tcPr>
            <w:tcW w:w="793" w:type="dxa"/>
            <w:shd w:val="clear" w:color="auto" w:fill="auto"/>
            <w:vAlign w:val="bottom"/>
          </w:tcPr>
          <w:p w14:paraId="02617062"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11 285</w:t>
            </w:r>
          </w:p>
        </w:tc>
        <w:tc>
          <w:tcPr>
            <w:tcW w:w="794" w:type="dxa"/>
            <w:shd w:val="clear" w:color="auto" w:fill="auto"/>
            <w:vAlign w:val="bottom"/>
          </w:tcPr>
          <w:p w14:paraId="6F20FEB2"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10 937</w:t>
            </w:r>
          </w:p>
        </w:tc>
        <w:tc>
          <w:tcPr>
            <w:tcW w:w="793" w:type="dxa"/>
            <w:shd w:val="clear" w:color="auto" w:fill="auto"/>
            <w:vAlign w:val="bottom"/>
          </w:tcPr>
          <w:p w14:paraId="5FD7DB1D"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7 043</w:t>
            </w:r>
          </w:p>
        </w:tc>
        <w:tc>
          <w:tcPr>
            <w:tcW w:w="794" w:type="dxa"/>
            <w:shd w:val="clear" w:color="auto" w:fill="auto"/>
            <w:vAlign w:val="bottom"/>
          </w:tcPr>
          <w:p w14:paraId="76FDE06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6 865</w:t>
            </w:r>
          </w:p>
        </w:tc>
        <w:tc>
          <w:tcPr>
            <w:tcW w:w="794" w:type="dxa"/>
            <w:shd w:val="clear" w:color="auto" w:fill="auto"/>
            <w:vAlign w:val="bottom"/>
          </w:tcPr>
          <w:p w14:paraId="04965C0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5 774</w:t>
            </w:r>
          </w:p>
        </w:tc>
      </w:tr>
      <w:tr w:rsidR="00FA40F2" w:rsidRPr="00870AAE" w14:paraId="27712D1D" w14:textId="77777777" w:rsidTr="00870AAE">
        <w:trPr>
          <w:cantSplit/>
          <w:trHeight w:val="240"/>
        </w:trPr>
        <w:tc>
          <w:tcPr>
            <w:tcW w:w="3402" w:type="dxa"/>
            <w:tcBorders>
              <w:bottom w:val="single" w:sz="12" w:space="0" w:color="auto"/>
            </w:tcBorders>
            <w:shd w:val="clear" w:color="auto" w:fill="auto"/>
          </w:tcPr>
          <w:p w14:paraId="1FBEB66C"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Pruebas voluntarias</w:t>
            </w:r>
          </w:p>
        </w:tc>
        <w:tc>
          <w:tcPr>
            <w:tcW w:w="793" w:type="dxa"/>
            <w:tcBorders>
              <w:bottom w:val="single" w:sz="12" w:space="0" w:color="auto"/>
            </w:tcBorders>
            <w:shd w:val="clear" w:color="auto" w:fill="auto"/>
            <w:vAlign w:val="bottom"/>
          </w:tcPr>
          <w:p w14:paraId="726918D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157</w:t>
            </w:r>
          </w:p>
        </w:tc>
        <w:tc>
          <w:tcPr>
            <w:tcW w:w="794" w:type="dxa"/>
            <w:tcBorders>
              <w:bottom w:val="single" w:sz="12" w:space="0" w:color="auto"/>
            </w:tcBorders>
            <w:shd w:val="clear" w:color="auto" w:fill="auto"/>
            <w:vAlign w:val="bottom"/>
          </w:tcPr>
          <w:p w14:paraId="44EAAE25"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168</w:t>
            </w:r>
          </w:p>
        </w:tc>
        <w:tc>
          <w:tcPr>
            <w:tcW w:w="793" w:type="dxa"/>
            <w:tcBorders>
              <w:bottom w:val="single" w:sz="12" w:space="0" w:color="auto"/>
            </w:tcBorders>
            <w:shd w:val="clear" w:color="auto" w:fill="auto"/>
            <w:vAlign w:val="bottom"/>
          </w:tcPr>
          <w:p w14:paraId="7A27AA90"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243</w:t>
            </w:r>
          </w:p>
        </w:tc>
        <w:tc>
          <w:tcPr>
            <w:tcW w:w="794" w:type="dxa"/>
            <w:tcBorders>
              <w:bottom w:val="single" w:sz="12" w:space="0" w:color="auto"/>
            </w:tcBorders>
            <w:shd w:val="clear" w:color="auto" w:fill="auto"/>
            <w:vAlign w:val="bottom"/>
          </w:tcPr>
          <w:p w14:paraId="5EC75072"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403</w:t>
            </w:r>
          </w:p>
        </w:tc>
        <w:tc>
          <w:tcPr>
            <w:tcW w:w="794" w:type="dxa"/>
            <w:tcBorders>
              <w:bottom w:val="single" w:sz="12" w:space="0" w:color="auto"/>
            </w:tcBorders>
            <w:shd w:val="clear" w:color="auto" w:fill="auto"/>
            <w:vAlign w:val="bottom"/>
          </w:tcPr>
          <w:p w14:paraId="1F660241"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294</w:t>
            </w:r>
          </w:p>
        </w:tc>
      </w:tr>
    </w:tbl>
    <w:p w14:paraId="3BDC7F89" w14:textId="77777777" w:rsidR="00FA40F2" w:rsidRPr="00870AAE" w:rsidRDefault="00FA40F2" w:rsidP="00FE08AE">
      <w:pPr>
        <w:pStyle w:val="SingleTxtG"/>
        <w:spacing w:before="120"/>
        <w:ind w:firstLine="170"/>
        <w:rPr>
          <w:sz w:val="18"/>
          <w:szCs w:val="18"/>
          <w:lang w:val="es-ES_tradnl"/>
        </w:rPr>
      </w:pPr>
      <w:r w:rsidRPr="00870AAE">
        <w:rPr>
          <w:i/>
          <w:iCs/>
          <w:sz w:val="18"/>
          <w:szCs w:val="18"/>
          <w:lang w:val="es-ES_tradnl"/>
        </w:rPr>
        <w:t>Fuente:</w:t>
      </w:r>
      <w:r w:rsidRPr="00870AAE">
        <w:rPr>
          <w:sz w:val="18"/>
          <w:szCs w:val="18"/>
          <w:lang w:val="es-ES_tradnl"/>
        </w:rPr>
        <w:t xml:space="preserve"> Oficina de Salud.</w:t>
      </w:r>
    </w:p>
    <w:p w14:paraId="151587FC" w14:textId="77777777" w:rsidR="00FA40F2" w:rsidRPr="00FA40F2" w:rsidRDefault="00FA40F2" w:rsidP="00FA40F2">
      <w:pPr>
        <w:pStyle w:val="SingleTxtG"/>
        <w:rPr>
          <w:lang w:val="es-ES_tradnl"/>
        </w:rPr>
      </w:pPr>
      <w:r w:rsidRPr="00FA40F2">
        <w:rPr>
          <w:lang w:val="es-ES_tradnl"/>
        </w:rPr>
        <w:t>240.</w:t>
      </w:r>
      <w:r w:rsidRPr="00FA40F2">
        <w:rPr>
          <w:lang w:val="es-ES_tradnl"/>
        </w:rPr>
        <w:tab/>
        <w:t>Se siguen ejecutando el Programa de Mantenimiento con Metadona para controlar la transmisión del VIH/sida en los grupos de alto riesgo, así como la Estrategia de Vigilancia del VIH, especialmente los servicios de divulgación dirigidos a profesionales del sexo, que proporcionan educación sanitaria, atención de enfermería, apoyo social, preservativos y lubricantes gratuitos, así como jeringuillas limpias gratuitas y cajas de reciclaje de jeringuillas usadas para toxicómanos.</w:t>
      </w:r>
    </w:p>
    <w:p w14:paraId="760E8085" w14:textId="77777777" w:rsidR="00FA40F2" w:rsidRPr="00FA40F2" w:rsidRDefault="00FA40F2" w:rsidP="00FA40F2">
      <w:pPr>
        <w:pStyle w:val="SingleTxtG"/>
        <w:rPr>
          <w:lang w:val="es-ES_tradnl"/>
        </w:rPr>
      </w:pPr>
      <w:r w:rsidRPr="00FA40F2">
        <w:rPr>
          <w:lang w:val="es-ES_tradnl"/>
        </w:rPr>
        <w:t>241.</w:t>
      </w:r>
      <w:r w:rsidRPr="00FA40F2">
        <w:rPr>
          <w:lang w:val="es-ES_tradnl"/>
        </w:rPr>
        <w:tab/>
        <w:t>De 2014 a septiembre de 2018, se distribuyeron 79.452 jeringuillas y se recogieron 62.052; durante las visitas informativas se contactó con 86.525 personas, entre ellas profesionales del sexo y otras personas sexualmente activas, de las cuales 1.760 se sometieron a pruebas rápidas gratuitas de VIH y sífilis.</w:t>
      </w:r>
    </w:p>
    <w:p w14:paraId="25657471" w14:textId="77777777" w:rsidR="00FA40F2" w:rsidRPr="00FA40F2" w:rsidRDefault="00FA40F2" w:rsidP="00FA40F2">
      <w:pPr>
        <w:pStyle w:val="SingleTxtG"/>
        <w:rPr>
          <w:lang w:val="es-ES_tradnl"/>
        </w:rPr>
      </w:pPr>
      <w:r w:rsidRPr="00FA40F2">
        <w:rPr>
          <w:lang w:val="es-ES_tradnl"/>
        </w:rPr>
        <w:t>242.</w:t>
      </w:r>
      <w:r w:rsidRPr="00FA40F2">
        <w:rPr>
          <w:lang w:val="es-ES_tradnl"/>
        </w:rPr>
        <w:tab/>
        <w:t>Se difundió información sobre la prevención del VIH/sida entre trabajadores no residentes, se llevaron a cabo programas educativos sobre la prevención de las enfermedades de transmisión sexual, incluido el VIH, y se realizaron ocasionalmente actividades de asesoramiento en materia de salud en hoteles y casinos. Se distribuyeron folletos y carteles promocionales y se ofrecieron pruebas rápidas gratuitas de VIH y sífilis. Entre 2014 y septiembre de 2018, se realizaron un total de 34.737 pruebas de VIH a trabajadores no residentes de saunas y clubes nocturnos.</w:t>
      </w:r>
    </w:p>
    <w:p w14:paraId="4030CBEC" w14:textId="77777777" w:rsidR="00FA40F2" w:rsidRPr="00FA40F2" w:rsidRDefault="00FA40F2" w:rsidP="00FA40F2">
      <w:pPr>
        <w:pStyle w:val="SingleTxtG"/>
        <w:rPr>
          <w:lang w:val="es-ES_tradnl"/>
        </w:rPr>
      </w:pPr>
      <w:r w:rsidRPr="00FA40F2">
        <w:rPr>
          <w:lang w:val="es-ES_tradnl"/>
        </w:rPr>
        <w:t>243.</w:t>
      </w:r>
      <w:r w:rsidRPr="00FA40F2">
        <w:rPr>
          <w:lang w:val="es-ES_tradnl"/>
        </w:rPr>
        <w:tab/>
        <w:t xml:space="preserve">Asimismo, continúan realizándose campañas de sensibilización sobre enfermedades infecciosas y de transmisión sexual, por ejemplo, el Día Mundial del Sida y el </w:t>
      </w:r>
      <w:r w:rsidR="00D353FA">
        <w:rPr>
          <w:lang w:val="es-ES_tradnl"/>
        </w:rPr>
        <w:t>“</w:t>
      </w:r>
      <w:r w:rsidRPr="00FA40F2">
        <w:rPr>
          <w:lang w:val="es-ES_tradnl"/>
        </w:rPr>
        <w:t>Programa de Financiación de Educación sobre el Sida-Acción Comunitaria Lazo Rojo</w:t>
      </w:r>
      <w:r w:rsidR="00D353FA">
        <w:rPr>
          <w:lang w:val="es-ES_tradnl"/>
        </w:rPr>
        <w:t>”</w:t>
      </w:r>
      <w:r w:rsidRPr="00FA40F2">
        <w:rPr>
          <w:lang w:val="es-ES_tradnl"/>
        </w:rPr>
        <w:t>. Entre 2014 y septiembre de 2018, se subvencionaron 77 programas y se celebraron 240 actividades de base comunitaria, que contaron con 18.295 participantes.</w:t>
      </w:r>
    </w:p>
    <w:p w14:paraId="2B0BF168" w14:textId="77777777" w:rsidR="00FA40F2" w:rsidRPr="00FA40F2" w:rsidRDefault="00FA40F2" w:rsidP="00FA40F2">
      <w:pPr>
        <w:pStyle w:val="SingleTxtG"/>
        <w:rPr>
          <w:lang w:val="es-ES_tradnl"/>
        </w:rPr>
      </w:pPr>
      <w:r w:rsidRPr="00FA40F2">
        <w:rPr>
          <w:lang w:val="es-ES_tradnl"/>
        </w:rPr>
        <w:t>244.</w:t>
      </w:r>
      <w:r w:rsidRPr="00FA40F2">
        <w:rPr>
          <w:lang w:val="es-ES_tradnl"/>
        </w:rPr>
        <w:tab/>
        <w:t xml:space="preserve">También se organizaron diferentes actividades en centros de educación terciaria (por ejemplo, la semana del VIH/sida, pruebas de detección del VIH, juegos de feria, espectáculos itinerantes y seminarios) y en los planes de estudios de educación primaria y secundaria se incluyó la asignatura de educación sexual. Por otra parte, se realizó una campaña de información preventiva sobre el VIH/sida y el consumo de drogas dirigida a adolescentes de alto riesgo que habían dejado los estudios. </w:t>
      </w:r>
    </w:p>
    <w:p w14:paraId="0438E000" w14:textId="77777777" w:rsidR="00FA40F2" w:rsidRPr="00FA40F2" w:rsidRDefault="00FA40F2" w:rsidP="00FA40F2">
      <w:pPr>
        <w:pStyle w:val="SingleTxtG"/>
        <w:rPr>
          <w:lang w:val="es-ES_tradnl"/>
        </w:rPr>
      </w:pPr>
      <w:r w:rsidRPr="00FA40F2">
        <w:rPr>
          <w:lang w:val="es-ES_tradnl"/>
        </w:rPr>
        <w:t>245.</w:t>
      </w:r>
      <w:r w:rsidRPr="00FA40F2">
        <w:rPr>
          <w:lang w:val="es-ES_tradnl"/>
        </w:rPr>
        <w:tab/>
        <w:t xml:space="preserve">En cuanto a la Ley </w:t>
      </w:r>
      <w:r w:rsidR="00E27276">
        <w:rPr>
          <w:lang w:val="es-ES_tradnl"/>
        </w:rPr>
        <w:t>núm. </w:t>
      </w:r>
      <w:r w:rsidRPr="00FA40F2">
        <w:rPr>
          <w:lang w:val="es-ES_tradnl"/>
        </w:rPr>
        <w:t xml:space="preserve">17/2009, relativa a la prohibición de la producción ilegal, el tráfico y el uso indebido de estupefacientes y sustancias psicotrópicas (modificada por la Ley </w:t>
      </w:r>
      <w:r w:rsidR="00E27276">
        <w:rPr>
          <w:lang w:val="es-ES_tradnl"/>
        </w:rPr>
        <w:t>núm. </w:t>
      </w:r>
      <w:r w:rsidRPr="00FA40F2">
        <w:rPr>
          <w:lang w:val="es-ES_tradnl"/>
        </w:rPr>
        <w:t xml:space="preserve">4/2014 y la Ley </w:t>
      </w:r>
      <w:r w:rsidR="00E27276">
        <w:rPr>
          <w:lang w:val="es-ES_tradnl"/>
        </w:rPr>
        <w:t>núm. </w:t>
      </w:r>
      <w:r w:rsidRPr="00FA40F2">
        <w:rPr>
          <w:lang w:val="es-ES_tradnl"/>
        </w:rPr>
        <w:t xml:space="preserve">10/2016), la lista se ha actualizado periódicamente. Como se explicó en el informe anterior, siguen vigentes las facultades de autorización y control de la Oficina de Salud con respecto a la importación de medicamentos. La Oficina de Salud también se ocupa de la destrucción regular de medicamentos que no cumplen los requisitos mínimos de calidad. </w:t>
      </w:r>
    </w:p>
    <w:p w14:paraId="14F622D7" w14:textId="77777777" w:rsidR="00FA40F2" w:rsidRPr="00FA40F2" w:rsidRDefault="00FA40F2" w:rsidP="00FA40F2">
      <w:pPr>
        <w:pStyle w:val="SingleTxtG"/>
        <w:rPr>
          <w:lang w:val="es-ES_tradnl"/>
        </w:rPr>
      </w:pPr>
      <w:r w:rsidRPr="00FA40F2">
        <w:rPr>
          <w:lang w:val="es-ES_tradnl"/>
        </w:rPr>
        <w:t>246.</w:t>
      </w:r>
      <w:r w:rsidRPr="00FA40F2">
        <w:rPr>
          <w:lang w:val="es-ES_tradnl"/>
        </w:rPr>
        <w:tab/>
        <w:t>Entre 2014 y septiembre de 2018, la Oficina de Salud registró, respectivamente, 28.026, 28.822, 29.825, 30.798 y 31.641 medicamentos occidentales y 6.015, 6.811, 7.445, 7.597 y 6.623 de medicina tradicional china.</w:t>
      </w:r>
    </w:p>
    <w:p w14:paraId="41A3467B" w14:textId="77777777" w:rsidR="00FA40F2" w:rsidRPr="00FA40F2" w:rsidRDefault="00FA40F2" w:rsidP="00FA40F2">
      <w:pPr>
        <w:pStyle w:val="SingleTxtG"/>
        <w:rPr>
          <w:lang w:val="es-ES_tradnl"/>
        </w:rPr>
      </w:pPr>
      <w:r w:rsidRPr="00FA40F2">
        <w:rPr>
          <w:lang w:val="es-ES_tradnl"/>
        </w:rPr>
        <w:t>247.</w:t>
      </w:r>
      <w:r w:rsidRPr="00FA40F2">
        <w:rPr>
          <w:lang w:val="es-ES_tradnl"/>
        </w:rPr>
        <w:tab/>
        <w:t xml:space="preserve">La Oficina de Salud también se encarga de la evaluación e inspección periódicas de los centros médicos y de la supervisión de los sistemas o equipos de diagnóstico (por ejemplo, </w:t>
      </w:r>
      <w:r w:rsidRPr="00FA40F2">
        <w:rPr>
          <w:lang w:val="es-ES_tradnl"/>
        </w:rPr>
        <w:lastRenderedPageBreak/>
        <w:t>equipos de resonancia magnética y rayos X y otros dispositivos sensibles o radiactivos), su instalación o eliminación.</w:t>
      </w:r>
    </w:p>
    <w:p w14:paraId="2FD3B540" w14:textId="77777777" w:rsidR="00FA40F2" w:rsidRPr="00FA40F2" w:rsidRDefault="00FA40F2" w:rsidP="00FA40F2">
      <w:pPr>
        <w:pStyle w:val="SingleTxtG"/>
        <w:rPr>
          <w:lang w:val="es-ES_tradnl"/>
        </w:rPr>
      </w:pPr>
      <w:r w:rsidRPr="00FA40F2">
        <w:rPr>
          <w:lang w:val="es-ES_tradnl"/>
        </w:rPr>
        <w:t>248.</w:t>
      </w:r>
      <w:r w:rsidRPr="00FA40F2">
        <w:rPr>
          <w:lang w:val="es-ES_tradnl"/>
        </w:rPr>
        <w:tab/>
        <w:t>A septiembre de 2018, había 565 empresas farmacéuticas operando en la RAE de</w:t>
      </w:r>
      <w:r w:rsidR="00FE08AE">
        <w:rPr>
          <w:lang w:val="es-ES_tradnl"/>
        </w:rPr>
        <w:t> </w:t>
      </w:r>
      <w:r w:rsidRPr="00FA40F2">
        <w:rPr>
          <w:lang w:val="es-ES_tradnl"/>
        </w:rPr>
        <w:t>Macao. Durante el período que abarca el informe, la Oficina de Salud llevó a cabo cada año 1.718, 1.955, 1.893, 1.973 y 1.353 inspecciones ordinarias a empresas farmacéuticas.</w:t>
      </w:r>
    </w:p>
    <w:p w14:paraId="67DD268C" w14:textId="77777777" w:rsidR="00FA40F2" w:rsidRPr="00FA40F2" w:rsidRDefault="00FA40F2" w:rsidP="00FA40F2">
      <w:pPr>
        <w:pStyle w:val="SingleTxtG"/>
        <w:rPr>
          <w:lang w:val="es-ES_tradnl"/>
        </w:rPr>
      </w:pPr>
      <w:r w:rsidRPr="00FA40F2">
        <w:rPr>
          <w:lang w:val="es-ES_tradnl"/>
        </w:rPr>
        <w:t>249.</w:t>
      </w:r>
      <w:r w:rsidRPr="00FA40F2">
        <w:rPr>
          <w:lang w:val="es-ES_tradnl"/>
        </w:rPr>
        <w:tab/>
        <w:t>El Gobierno, junto con la Comisión de Lucha contra las Drogas y las ONG, sigue combatiendo los problemas de drogas mediante la divulgación preventiva, medidas de reducción de riesgos y daños y tratamiento gratuito para toxicómanos, incluidas revisiones médicas (a fin de detectar enfermedades infecciosas tales como el VIH/sida, las hepatitis B y C o la tuberculosis) y otras pruebas bioquímicas, como análisis de sangre y orina, así como programas de orientación y rehabilitación a cargo de equipos de trabajo para la comunidad.</w:t>
      </w:r>
    </w:p>
    <w:p w14:paraId="2A1CC1F2" w14:textId="77777777" w:rsidR="00FA40F2" w:rsidRPr="00FA40F2" w:rsidRDefault="00FA40F2" w:rsidP="00FA40F2">
      <w:pPr>
        <w:pStyle w:val="SingleTxtG"/>
        <w:rPr>
          <w:lang w:val="es-ES_tradnl"/>
        </w:rPr>
      </w:pPr>
      <w:r w:rsidRPr="00FA40F2">
        <w:rPr>
          <w:lang w:val="es-ES_tradnl"/>
        </w:rPr>
        <w:t>250.</w:t>
      </w:r>
      <w:r w:rsidRPr="00FA40F2">
        <w:rPr>
          <w:lang w:val="es-ES_tradnl"/>
        </w:rPr>
        <w:tab/>
        <w:t xml:space="preserve">La Oficina de Bienestar Social mantiene un sistema central de registro de toxicómanos con el apoyo de otros departamentos y entidades gubernamentales. Entre 2014 y 2017, el número de toxicómanos registrados fue de 568, 617, 548 y 462, respectivamente. </w:t>
      </w:r>
    </w:p>
    <w:p w14:paraId="2C4928C6" w14:textId="77777777" w:rsidR="00FA40F2" w:rsidRPr="00FA40F2" w:rsidRDefault="00FA40F2" w:rsidP="00FA40F2">
      <w:pPr>
        <w:pStyle w:val="SingleTxtG"/>
        <w:rPr>
          <w:lang w:val="es-ES_tradnl"/>
        </w:rPr>
      </w:pPr>
      <w:r w:rsidRPr="00FA40F2">
        <w:rPr>
          <w:lang w:val="es-ES_tradnl"/>
        </w:rPr>
        <w:t>251.</w:t>
      </w:r>
      <w:r w:rsidRPr="00FA40F2">
        <w:rPr>
          <w:lang w:val="es-ES_tradnl"/>
        </w:rPr>
        <w:tab/>
        <w:t>En lo que se refiere al tratamiento de toxicomanías en el centro de atención ambulatoria, entre 2014 y 2017 se atendieron, respectivamente, 111, 92, 69 y 24 nuevos casos, y a diciembre de 2018, había 356 personas (301 hombres y 55 mujeres) que recibían tratamiento, de los cuales 26 eran nuevos casos. Las edades de los pacientes estaban comprendidas entre los 14 y los 60 años, si bien la mayoría tenían entre 45 y 59 años.</w:t>
      </w:r>
    </w:p>
    <w:p w14:paraId="0DADEED4" w14:textId="77777777" w:rsidR="00FA40F2" w:rsidRPr="00FA40F2" w:rsidRDefault="00FA40F2" w:rsidP="00FA40F2">
      <w:pPr>
        <w:pStyle w:val="SingleTxtG"/>
        <w:rPr>
          <w:lang w:val="es-ES_tradnl"/>
        </w:rPr>
      </w:pPr>
      <w:r w:rsidRPr="00FA40F2">
        <w:rPr>
          <w:lang w:val="es-ES_tradnl"/>
        </w:rPr>
        <w:t>252.</w:t>
      </w:r>
      <w:r w:rsidRPr="00FA40F2">
        <w:rPr>
          <w:lang w:val="es-ES_tradnl"/>
        </w:rPr>
        <w:tab/>
        <w:t xml:space="preserve">En cuanto al consumo de tabaco, la Ley </w:t>
      </w:r>
      <w:r w:rsidR="00E27276">
        <w:rPr>
          <w:lang w:val="es-ES_tradnl"/>
        </w:rPr>
        <w:t>núm. </w:t>
      </w:r>
      <w:r w:rsidRPr="00FA40F2">
        <w:rPr>
          <w:lang w:val="es-ES_tradnl"/>
        </w:rPr>
        <w:t xml:space="preserve">5/2011, sobre el Régimen de Prevención y Control del Tabaquismo, fue modificada por la Ley </w:t>
      </w:r>
      <w:r w:rsidR="00E27276">
        <w:rPr>
          <w:lang w:val="es-ES_tradnl"/>
        </w:rPr>
        <w:t>núm. </w:t>
      </w:r>
      <w:r w:rsidRPr="00FA40F2">
        <w:rPr>
          <w:lang w:val="es-ES_tradnl"/>
        </w:rPr>
        <w:t>9/2017, de conformidad con los criterios que establece la OMS, para reforzar las medidas restrictivas, tales como la prohibición de fumar en determinados lugares o de la publicidad del tabaco, así como restricciones al uso de cigarrillos electrónicos.</w:t>
      </w:r>
    </w:p>
    <w:p w14:paraId="64AFE5A6" w14:textId="77777777" w:rsidR="00FA40F2" w:rsidRPr="00FA40F2" w:rsidRDefault="00FA40F2" w:rsidP="00FA40F2">
      <w:pPr>
        <w:pStyle w:val="SingleTxtG"/>
        <w:rPr>
          <w:lang w:val="es-ES_tradnl"/>
        </w:rPr>
      </w:pPr>
      <w:r w:rsidRPr="00FA40F2">
        <w:rPr>
          <w:lang w:val="es-ES_tradnl"/>
        </w:rPr>
        <w:t>253.</w:t>
      </w:r>
      <w:r w:rsidRPr="00FA40F2">
        <w:rPr>
          <w:lang w:val="es-ES_tradnl"/>
        </w:rPr>
        <w:tab/>
        <w:t>El Gobierno fomenta proactivamente una cultura libre de humo mediante una serie de programas y medidas contra el consumo de tabaco. Entre 2014 y septiembre de 2018, la Oficina de Salud realizó 271.069, 289.300, 315.020, 326.977 y 259.445 inspecciones, respectivamente, para asegurar el cumplimiento de la legislación sobre el tabaco, y en el mismo período se produjeron 7.820, 6.992, 6.803, 6.757 y 4.148 demandas por infracciones de esa normativa.</w:t>
      </w:r>
    </w:p>
    <w:p w14:paraId="4B09F8B5" w14:textId="77777777" w:rsidR="00FA40F2" w:rsidRPr="00FA40F2" w:rsidRDefault="00FA40F2" w:rsidP="00FA40F2">
      <w:pPr>
        <w:pStyle w:val="SingleTxtG"/>
        <w:rPr>
          <w:lang w:val="es-ES_tradnl"/>
        </w:rPr>
      </w:pPr>
      <w:r w:rsidRPr="00FA40F2">
        <w:rPr>
          <w:lang w:val="es-ES_tradnl"/>
        </w:rPr>
        <w:t>254.</w:t>
      </w:r>
      <w:r w:rsidRPr="00FA40F2">
        <w:rPr>
          <w:lang w:val="es-ES_tradnl"/>
        </w:rPr>
        <w:tab/>
        <w:t>Se realizaron campañas de sensibilización a través de los medios de comunicación, vallas publicitarias, páginas web, aplicaciones móviles, accesorios educativos y juegos interactivos multimedia, así como otras actividades de promoción. También se subvencionó a ONG con objeto de fomentar un entorno libre de humo. La RAE de Macao celebra todos los años el Día Mundial sin Tabaco.</w:t>
      </w:r>
    </w:p>
    <w:p w14:paraId="589704B4" w14:textId="77777777" w:rsidR="00FA40F2" w:rsidRPr="00FA40F2" w:rsidRDefault="00FA40F2" w:rsidP="00FA40F2">
      <w:pPr>
        <w:pStyle w:val="SingleTxtG"/>
        <w:rPr>
          <w:lang w:val="es-ES_tradnl"/>
        </w:rPr>
      </w:pPr>
      <w:r w:rsidRPr="00FA40F2">
        <w:rPr>
          <w:lang w:val="es-ES_tradnl"/>
        </w:rPr>
        <w:t>255.</w:t>
      </w:r>
      <w:r w:rsidRPr="00FA40F2">
        <w:rPr>
          <w:lang w:val="es-ES_tradnl"/>
        </w:rPr>
        <w:tab/>
        <w:t>La tasa global de consumo de tabaco entre los residentes disminuyó gradualmente, desde el 16,9</w:t>
      </w:r>
      <w:r w:rsidR="00E27276">
        <w:rPr>
          <w:lang w:val="es-ES_tradnl"/>
        </w:rPr>
        <w:t> %</w:t>
      </w:r>
      <w:r w:rsidRPr="00FA40F2">
        <w:rPr>
          <w:lang w:val="es-ES_tradnl"/>
        </w:rPr>
        <w:t xml:space="preserve"> en 2011 hasta el 12,2</w:t>
      </w:r>
      <w:r w:rsidR="00E27276">
        <w:rPr>
          <w:lang w:val="es-ES_tradnl"/>
        </w:rPr>
        <w:t> %</w:t>
      </w:r>
      <w:r w:rsidRPr="00FA40F2">
        <w:rPr>
          <w:lang w:val="es-ES_tradnl"/>
        </w:rPr>
        <w:t xml:space="preserve"> en 2017. Según la Oficina de Salud, durante el período que abarca el informe, 8.186 personas, de las cuales 1.188 eran mujeres, asistieron a consultas para dejar de fumar.</w:t>
      </w:r>
    </w:p>
    <w:p w14:paraId="349C5C23" w14:textId="77777777" w:rsidR="00FA40F2" w:rsidRPr="00FA40F2" w:rsidRDefault="00FA40F2" w:rsidP="00FA40F2">
      <w:pPr>
        <w:pStyle w:val="SingleTxtG"/>
        <w:rPr>
          <w:lang w:val="es-ES_tradnl"/>
        </w:rPr>
      </w:pPr>
      <w:r w:rsidRPr="00FA40F2">
        <w:rPr>
          <w:lang w:val="es-ES_tradnl"/>
        </w:rPr>
        <w:t>256.</w:t>
      </w:r>
      <w:r w:rsidRPr="00FA40F2">
        <w:rPr>
          <w:lang w:val="es-ES_tradnl"/>
        </w:rPr>
        <w:tab/>
        <w:t>La Oficina de Salud también organiza seminarios en las escuelas sobre los peligros del tabaco, destinados a promover un estilo de vida saludable y sin tabaco. Entre 2015 y</w:t>
      </w:r>
      <w:r w:rsidR="00FE08AE">
        <w:rPr>
          <w:lang w:val="es-ES_tradnl"/>
        </w:rPr>
        <w:t> </w:t>
      </w:r>
      <w:r w:rsidRPr="00FA40F2">
        <w:rPr>
          <w:lang w:val="es-ES_tradnl"/>
        </w:rPr>
        <w:t>2017, la Oficina organizó 82 charlas, en que participaron más de 5.400 alumnos, y los grupos antitabaco celebraron 187 charlas, que atrajeron a más de 8.400 alumnos.</w:t>
      </w:r>
    </w:p>
    <w:p w14:paraId="6D877005" w14:textId="77777777" w:rsidR="00FA40F2" w:rsidRPr="00FA40F2" w:rsidRDefault="00FA40F2" w:rsidP="00FA40F2">
      <w:pPr>
        <w:pStyle w:val="SingleTxtG"/>
        <w:rPr>
          <w:lang w:val="es-ES_tradnl"/>
        </w:rPr>
      </w:pPr>
      <w:r w:rsidRPr="00FA40F2">
        <w:rPr>
          <w:lang w:val="es-ES_tradnl"/>
        </w:rPr>
        <w:t>257.</w:t>
      </w:r>
      <w:r w:rsidRPr="00FA40F2">
        <w:rPr>
          <w:lang w:val="es-ES_tradnl"/>
        </w:rPr>
        <w:tab/>
        <w:t xml:space="preserve">En lo que respecta a las enfermedades contagiosas, la información proporcionada en el informe anterior sigue siendo válida. La lista de enfermedades contagiosas elaborada en virtud de la Ley </w:t>
      </w:r>
      <w:r w:rsidR="00E27276">
        <w:rPr>
          <w:lang w:val="es-ES_tradnl"/>
        </w:rPr>
        <w:t>núm. </w:t>
      </w:r>
      <w:r w:rsidRPr="00FA40F2">
        <w:rPr>
          <w:lang w:val="es-ES_tradnl"/>
        </w:rPr>
        <w:t xml:space="preserve">2/2004, de Prevención, Control y Tratamiento de Enfermedades Contagiosas, fue actualizada por última vez por la Ley </w:t>
      </w:r>
      <w:r w:rsidR="00E27276">
        <w:rPr>
          <w:lang w:val="es-ES_tradnl"/>
        </w:rPr>
        <w:t>núm. </w:t>
      </w:r>
      <w:r w:rsidRPr="00FA40F2">
        <w:rPr>
          <w:lang w:val="es-ES_tradnl"/>
        </w:rPr>
        <w:t xml:space="preserve">1/2016. A fin de reducir la propagación de enfermedades, el Gobierno sigue promoviendo campañas de sensibilización, distribuyendo gratuitamente mascarillas de protección y desinfectante para las manos en los establecimientos sanitarios y realizando controles de la temperatura corporal en lugares públicos. </w:t>
      </w:r>
    </w:p>
    <w:p w14:paraId="7FE170B1" w14:textId="77777777" w:rsidR="00FA40F2" w:rsidRPr="00FA40F2" w:rsidRDefault="00FA40F2" w:rsidP="00FA40F2">
      <w:pPr>
        <w:pStyle w:val="SingleTxtG"/>
        <w:rPr>
          <w:lang w:val="es-ES_tradnl"/>
        </w:rPr>
      </w:pPr>
      <w:r w:rsidRPr="00FA40F2">
        <w:rPr>
          <w:lang w:val="es-ES_tradnl"/>
        </w:rPr>
        <w:t>258.</w:t>
      </w:r>
      <w:r w:rsidRPr="00FA40F2">
        <w:rPr>
          <w:lang w:val="es-ES_tradnl"/>
        </w:rPr>
        <w:tab/>
        <w:t>En 2014, el Gobierno destinó 5.103.300.000 patacas de Macao a la salud pública y en 2017, la cifra ascendió a 6.872.100.000 patacas, lo que representa, respectivamente, el</w:t>
      </w:r>
      <w:r w:rsidR="00FE08AE">
        <w:rPr>
          <w:lang w:val="es-ES_tradnl"/>
        </w:rPr>
        <w:t> </w:t>
      </w:r>
      <w:r w:rsidRPr="00FA40F2">
        <w:rPr>
          <w:lang w:val="es-ES_tradnl"/>
        </w:rPr>
        <w:t>7,61</w:t>
      </w:r>
      <w:r w:rsidR="00E27276">
        <w:rPr>
          <w:lang w:val="es-ES_tradnl"/>
        </w:rPr>
        <w:t> %</w:t>
      </w:r>
      <w:r w:rsidRPr="00FA40F2">
        <w:rPr>
          <w:lang w:val="es-ES_tradnl"/>
        </w:rPr>
        <w:t xml:space="preserve"> y el 8,45</w:t>
      </w:r>
      <w:r w:rsidR="00E27276">
        <w:rPr>
          <w:lang w:val="es-ES_tradnl"/>
        </w:rPr>
        <w:t> %</w:t>
      </w:r>
      <w:r w:rsidRPr="00FA40F2">
        <w:rPr>
          <w:lang w:val="es-ES_tradnl"/>
        </w:rPr>
        <w:t xml:space="preserve"> del gasto público total.</w:t>
      </w:r>
    </w:p>
    <w:p w14:paraId="06AD2054" w14:textId="77777777" w:rsidR="00FA40F2" w:rsidRPr="00FA40F2" w:rsidRDefault="00AA5513" w:rsidP="00AA5513">
      <w:pPr>
        <w:pStyle w:val="H23G"/>
        <w:rPr>
          <w:lang w:val="es-ES_tradnl"/>
        </w:rPr>
      </w:pPr>
      <w:r>
        <w:rPr>
          <w:lang w:val="es-ES_tradnl"/>
        </w:rPr>
        <w:lastRenderedPageBreak/>
        <w:tab/>
      </w:r>
      <w:r w:rsidR="00FA40F2" w:rsidRPr="00FA40F2">
        <w:rPr>
          <w:lang w:val="es-ES_tradnl"/>
        </w:rPr>
        <w:tab/>
        <w:t>Cooperación internacional</w:t>
      </w:r>
    </w:p>
    <w:p w14:paraId="3ABDEAE4" w14:textId="77777777" w:rsidR="00FA40F2" w:rsidRPr="00FA40F2" w:rsidRDefault="00FA40F2" w:rsidP="00FA40F2">
      <w:pPr>
        <w:pStyle w:val="SingleTxtG"/>
        <w:rPr>
          <w:lang w:val="es-ES_tradnl"/>
        </w:rPr>
      </w:pPr>
      <w:r w:rsidRPr="00FA40F2">
        <w:rPr>
          <w:lang w:val="es-ES_tradnl"/>
        </w:rPr>
        <w:t>259.</w:t>
      </w:r>
      <w:r w:rsidRPr="00FA40F2">
        <w:rPr>
          <w:lang w:val="es-ES_tradnl"/>
        </w:rPr>
        <w:tab/>
        <w:t>Durante el período que abarca el informe, el Gobierno intensificó la cooperación con otros países y regiones, como la RAE de Hong Kong, China continental, Singapur, Portugal y el Reino Unido, así como con organizaciones internacionales, como la OMS, en materia de servicios de salud, productos farmacéuticos, asistencia técnica, formación profesional e investigación académica.</w:t>
      </w:r>
    </w:p>
    <w:p w14:paraId="22E90565" w14:textId="77777777" w:rsidR="00FA40F2" w:rsidRPr="00FA40F2" w:rsidRDefault="00FA40F2" w:rsidP="00FA40F2">
      <w:pPr>
        <w:pStyle w:val="SingleTxtG"/>
        <w:rPr>
          <w:lang w:val="es-ES_tradnl"/>
        </w:rPr>
      </w:pPr>
      <w:r w:rsidRPr="00FA40F2">
        <w:rPr>
          <w:lang w:val="es-ES_tradnl"/>
        </w:rPr>
        <w:t>260.</w:t>
      </w:r>
      <w:r w:rsidRPr="00FA40F2">
        <w:rPr>
          <w:lang w:val="es-ES_tradnl"/>
        </w:rPr>
        <w:tab/>
        <w:t>Entre 2014 y septiembre de 2018, se impartieron 271 programas de capacitación, que abarcaban diferentes espectros, como la gestión de personal, la ayuda humanitaria y las técnicas y conocimientos médicos. Asistieron en total 13.008 alumnos.</w:t>
      </w:r>
    </w:p>
    <w:p w14:paraId="6080C1FD" w14:textId="77777777" w:rsidR="00FA40F2" w:rsidRPr="00FA40F2" w:rsidRDefault="00AA5513" w:rsidP="00AA5513">
      <w:pPr>
        <w:pStyle w:val="H1G"/>
        <w:rPr>
          <w:lang w:val="es-ES_tradnl"/>
        </w:rPr>
      </w:pPr>
      <w:r>
        <w:rPr>
          <w:lang w:val="es-ES_tradnl"/>
        </w:rPr>
        <w:tab/>
      </w:r>
      <w:r w:rsidR="00FA40F2" w:rsidRPr="00FA40F2">
        <w:rPr>
          <w:lang w:val="es-ES_tradnl"/>
        </w:rPr>
        <w:tab/>
        <w:t>Artículos 13 y 14</w:t>
      </w:r>
      <w:r w:rsidR="00FA40F2" w:rsidRPr="00FA40F2">
        <w:rPr>
          <w:lang w:val="es-ES_tradnl"/>
        </w:rPr>
        <w:br/>
        <w:t>Derecho a la educación</w:t>
      </w:r>
      <w:bookmarkStart w:id="58" w:name="_Toc194226872"/>
      <w:bookmarkStart w:id="59" w:name="_Toc194229838"/>
      <w:bookmarkStart w:id="60" w:name="_Toc286998610"/>
      <w:bookmarkEnd w:id="58"/>
      <w:bookmarkEnd w:id="59"/>
      <w:bookmarkEnd w:id="60"/>
    </w:p>
    <w:p w14:paraId="469EFFFF" w14:textId="77777777" w:rsidR="00FA40F2" w:rsidRPr="00FA40F2" w:rsidRDefault="00FA40F2" w:rsidP="00FA40F2">
      <w:pPr>
        <w:pStyle w:val="SingleTxtG"/>
        <w:rPr>
          <w:lang w:val="es-ES_tradnl"/>
        </w:rPr>
      </w:pPr>
      <w:r w:rsidRPr="00FA40F2">
        <w:rPr>
          <w:lang w:val="es-ES_tradnl"/>
        </w:rPr>
        <w:t>261.</w:t>
      </w:r>
      <w:r w:rsidRPr="00FA40F2">
        <w:rPr>
          <w:lang w:val="es-ES_tradnl"/>
        </w:rPr>
        <w:tab/>
        <w:t>El derecho a la educación sin discriminación, así como la autonomía y la libertad docente y académica de los centros de enseñanza están garantizados por los artículos 37 y</w:t>
      </w:r>
      <w:r w:rsidR="00FE08AE">
        <w:rPr>
          <w:lang w:val="es-ES_tradnl"/>
        </w:rPr>
        <w:t> </w:t>
      </w:r>
      <w:r w:rsidRPr="00FA40F2">
        <w:rPr>
          <w:lang w:val="es-ES_tradnl"/>
        </w:rPr>
        <w:t xml:space="preserve">121, párrafo 2, de la Ley Fundamental. En esencia, la información contenida en el informe anterior sigue siendo válida, especialmente la parte relativa a la educación no terciaria (Ley </w:t>
      </w:r>
      <w:r w:rsidR="00E27276">
        <w:rPr>
          <w:lang w:val="es-ES_tradnl"/>
        </w:rPr>
        <w:t>núm. </w:t>
      </w:r>
      <w:r w:rsidRPr="00FA40F2">
        <w:rPr>
          <w:lang w:val="es-ES_tradnl"/>
        </w:rPr>
        <w:t xml:space="preserve">9/2006). Se aprobó una nueva ley de educación terciaria (Ley </w:t>
      </w:r>
      <w:r w:rsidR="00E27276">
        <w:rPr>
          <w:lang w:val="es-ES_tradnl"/>
        </w:rPr>
        <w:t>núm. </w:t>
      </w:r>
      <w:r w:rsidRPr="00FA40F2">
        <w:rPr>
          <w:lang w:val="es-ES_tradnl"/>
        </w:rPr>
        <w:t xml:space="preserve">10/2017) que sustituye al Decreto Ley </w:t>
      </w:r>
      <w:r w:rsidR="00E27276">
        <w:rPr>
          <w:lang w:val="es-ES_tradnl"/>
        </w:rPr>
        <w:t>núm. </w:t>
      </w:r>
      <w:r w:rsidRPr="00FA40F2">
        <w:rPr>
          <w:lang w:val="es-ES_tradnl"/>
        </w:rPr>
        <w:t>11/91/M. Las dos normas constituyen actualmente el marco jurídico de la RAE de Macao en materia de educación.</w:t>
      </w:r>
    </w:p>
    <w:p w14:paraId="5CCFA17E" w14:textId="77777777" w:rsidR="00FA40F2" w:rsidRPr="00FA40F2" w:rsidRDefault="00FA40F2" w:rsidP="00FA40F2">
      <w:pPr>
        <w:pStyle w:val="SingleTxtG"/>
        <w:rPr>
          <w:lang w:val="es-ES_tradnl"/>
        </w:rPr>
      </w:pPr>
      <w:r w:rsidRPr="00FA40F2">
        <w:rPr>
          <w:lang w:val="es-ES_tradnl"/>
        </w:rPr>
        <w:t>262.</w:t>
      </w:r>
      <w:r w:rsidRPr="00FA40F2">
        <w:rPr>
          <w:lang w:val="es-ES_tradnl"/>
        </w:rPr>
        <w:tab/>
        <w:t xml:space="preserve">En relación con la educación no terciaria, hay que subrayar que se mantiene una política orientada a la educación obligatoria, universal y gratuita para todos (Decreto Ley </w:t>
      </w:r>
      <w:r w:rsidR="00E27276">
        <w:rPr>
          <w:lang w:val="es-ES_tradnl"/>
        </w:rPr>
        <w:t>núm. </w:t>
      </w:r>
      <w:r w:rsidRPr="00FA40F2">
        <w:rPr>
          <w:lang w:val="es-ES_tradnl"/>
        </w:rPr>
        <w:t xml:space="preserve">42/99/M y artículos 20 y 21 de la Ley </w:t>
      </w:r>
      <w:r w:rsidR="00E27276">
        <w:rPr>
          <w:lang w:val="es-ES_tradnl"/>
        </w:rPr>
        <w:t>núm. </w:t>
      </w:r>
      <w:r w:rsidRPr="00FA40F2">
        <w:rPr>
          <w:lang w:val="es-ES_tradnl"/>
        </w:rPr>
        <w:t>9/2006).</w:t>
      </w:r>
    </w:p>
    <w:p w14:paraId="24734008" w14:textId="77777777" w:rsidR="00FA40F2" w:rsidRPr="00FA40F2" w:rsidRDefault="00FA40F2" w:rsidP="00FA40F2">
      <w:pPr>
        <w:pStyle w:val="SingleTxtG"/>
        <w:rPr>
          <w:lang w:val="es-ES_tradnl"/>
        </w:rPr>
      </w:pPr>
      <w:r w:rsidRPr="00FA40F2">
        <w:rPr>
          <w:lang w:val="es-ES_tradnl"/>
        </w:rPr>
        <w:t>263.</w:t>
      </w:r>
      <w:r w:rsidRPr="00FA40F2">
        <w:rPr>
          <w:lang w:val="es-ES_tradnl"/>
        </w:rPr>
        <w:tab/>
        <w:t>Según la Dirección de Servicios de Educación y Juventud, el censo de 2011 y el censo complementario de 2016, la tasa de alfabetización en 2016 era del 96,5</w:t>
      </w:r>
      <w:r w:rsidR="00E27276">
        <w:rPr>
          <w:lang w:val="es-ES_tradnl"/>
        </w:rPr>
        <w:t> %</w:t>
      </w:r>
      <w:r w:rsidRPr="00FA40F2">
        <w:rPr>
          <w:lang w:val="es-ES_tradnl"/>
        </w:rPr>
        <w:t>, un 0,9</w:t>
      </w:r>
      <w:r w:rsidR="00E27276">
        <w:rPr>
          <w:lang w:val="es-ES_tradnl"/>
        </w:rPr>
        <w:t> %</w:t>
      </w:r>
      <w:r w:rsidRPr="00FA40F2">
        <w:rPr>
          <w:lang w:val="es-ES_tradnl"/>
        </w:rPr>
        <w:t xml:space="preserve"> más que en 2011. El presupuesto destinado a la educación pública en 2017 fue de 10.787.500.000 patacas de Macao (7.346.500.000 en educación no terciaria), y supuso el</w:t>
      </w:r>
      <w:r w:rsidR="003B2689">
        <w:rPr>
          <w:lang w:val="es-ES_tradnl"/>
        </w:rPr>
        <w:t> </w:t>
      </w:r>
      <w:r w:rsidRPr="00FA40F2">
        <w:rPr>
          <w:lang w:val="es-ES_tradnl"/>
        </w:rPr>
        <w:t>13,3</w:t>
      </w:r>
      <w:r w:rsidR="00E27276">
        <w:rPr>
          <w:lang w:val="es-ES_tradnl"/>
        </w:rPr>
        <w:t> %</w:t>
      </w:r>
      <w:r w:rsidRPr="00FA40F2">
        <w:rPr>
          <w:lang w:val="es-ES_tradnl"/>
        </w:rPr>
        <w:t xml:space="preserve"> del gasto público.</w:t>
      </w:r>
    </w:p>
    <w:p w14:paraId="746C43E7" w14:textId="77777777" w:rsidR="00FA40F2" w:rsidRPr="00FA40F2" w:rsidRDefault="00FA40F2" w:rsidP="00FA40F2">
      <w:pPr>
        <w:pStyle w:val="SingleTxtG"/>
        <w:rPr>
          <w:lang w:val="es-ES_tradnl"/>
        </w:rPr>
      </w:pPr>
      <w:r w:rsidRPr="00FA40F2">
        <w:rPr>
          <w:lang w:val="es-ES_tradnl"/>
        </w:rPr>
        <w:t>264.</w:t>
      </w:r>
      <w:r w:rsidRPr="00FA40F2">
        <w:rPr>
          <w:lang w:val="es-ES_tradnl"/>
        </w:rPr>
        <w:tab/>
        <w:t>Se ha puesto en marcha el Plan Decenal de Desarrollo de la Educación no Terciaria (2011 a 2020) con el fin de mejorar la calidad de la educación de manera amplia e inclusiva, desde el jardín de infancia hasta la enseñanza secundaria, así como en la educación especial, la educación continua y la formación profesional. El Plan se centra en un desarrollo saludable de los alumnos en los planos físico, psicológico y social.</w:t>
      </w:r>
    </w:p>
    <w:p w14:paraId="7875DC51" w14:textId="77777777" w:rsidR="00FA40F2" w:rsidRPr="00FA40F2" w:rsidRDefault="00FA40F2" w:rsidP="00FA40F2">
      <w:pPr>
        <w:pStyle w:val="SingleTxtG"/>
        <w:rPr>
          <w:lang w:val="es-ES_tradnl"/>
        </w:rPr>
      </w:pPr>
      <w:r w:rsidRPr="00FA40F2">
        <w:rPr>
          <w:lang w:val="es-ES_tradnl"/>
        </w:rPr>
        <w:t>265.</w:t>
      </w:r>
      <w:r w:rsidRPr="00FA40F2">
        <w:rPr>
          <w:lang w:val="es-ES_tradnl"/>
        </w:rPr>
        <w:tab/>
        <w:t>En la actualidad, en 74 escuelas se ofrece educación formal, que abarca la educación preescolar, primaria, secundaria y especial. De esas escuelas, 10 son públicas y 64 privadas (57 se encuentran dentro de la red de educación gratuita), mientras que el número total de</w:t>
      </w:r>
      <w:r w:rsidR="003B2689">
        <w:rPr>
          <w:lang w:val="es-ES_tradnl"/>
        </w:rPr>
        <w:t xml:space="preserve"> </w:t>
      </w:r>
      <w:r w:rsidRPr="00FA40F2">
        <w:rPr>
          <w:lang w:val="es-ES_tradnl"/>
        </w:rPr>
        <w:t>alumnos y personal docente es, respectivamente, de 76.346 (39.726 hombres y 36.620</w:t>
      </w:r>
      <w:r w:rsidR="003B2689">
        <w:rPr>
          <w:lang w:val="es-ES_tradnl"/>
        </w:rPr>
        <w:t> </w:t>
      </w:r>
      <w:r w:rsidRPr="00FA40F2">
        <w:rPr>
          <w:lang w:val="es-ES_tradnl"/>
        </w:rPr>
        <w:t>mujeres) y 6.784 (1.718 hombres y 5.066 mujeres).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851"/>
        <w:gridCol w:w="850"/>
        <w:gridCol w:w="993"/>
        <w:gridCol w:w="850"/>
        <w:gridCol w:w="921"/>
        <w:gridCol w:w="885"/>
        <w:gridCol w:w="886"/>
      </w:tblGrid>
      <w:tr w:rsidR="007465EE" w:rsidRPr="007465EE" w14:paraId="63B874DF" w14:textId="77777777" w:rsidTr="007465EE">
        <w:trPr>
          <w:cantSplit/>
          <w:trHeight w:val="240"/>
          <w:tblHeader/>
        </w:trPr>
        <w:tc>
          <w:tcPr>
            <w:tcW w:w="1134" w:type="dxa"/>
            <w:vMerge w:val="restart"/>
            <w:tcBorders>
              <w:top w:val="single" w:sz="4" w:space="0" w:color="auto"/>
              <w:bottom w:val="single" w:sz="12" w:space="0" w:color="auto"/>
            </w:tcBorders>
            <w:shd w:val="clear" w:color="auto" w:fill="auto"/>
            <w:vAlign w:val="bottom"/>
          </w:tcPr>
          <w:p w14:paraId="5C9202BD" w14:textId="77777777" w:rsidR="00FA40F2" w:rsidRPr="007465EE" w:rsidRDefault="00FA40F2" w:rsidP="00A86982">
            <w:pPr>
              <w:pStyle w:val="SingleTxtG"/>
              <w:keepNext/>
              <w:keepLines/>
              <w:spacing w:before="80" w:after="80" w:line="200" w:lineRule="exact"/>
              <w:ind w:left="0" w:right="0"/>
              <w:jc w:val="left"/>
              <w:rPr>
                <w:i/>
                <w:sz w:val="16"/>
                <w:lang w:val="es-ES_tradnl"/>
              </w:rPr>
            </w:pPr>
            <w:r w:rsidRPr="007465EE">
              <w:rPr>
                <w:i/>
                <w:iCs/>
                <w:sz w:val="16"/>
                <w:lang w:val="es-ES_tradnl"/>
              </w:rPr>
              <w:t>Curso académico</w:t>
            </w:r>
          </w:p>
        </w:tc>
        <w:tc>
          <w:tcPr>
            <w:tcW w:w="851" w:type="dxa"/>
            <w:vMerge w:val="restart"/>
            <w:tcBorders>
              <w:top w:val="single" w:sz="4" w:space="0" w:color="auto"/>
              <w:bottom w:val="single" w:sz="12" w:space="0" w:color="auto"/>
            </w:tcBorders>
            <w:shd w:val="clear" w:color="auto" w:fill="auto"/>
            <w:vAlign w:val="bottom"/>
          </w:tcPr>
          <w:p w14:paraId="687FFB7A" w14:textId="77777777" w:rsidR="00FA40F2" w:rsidRPr="007465EE" w:rsidRDefault="00FA40F2" w:rsidP="00A86982">
            <w:pPr>
              <w:pStyle w:val="SingleTxtG"/>
              <w:keepNext/>
              <w:keepLines/>
              <w:spacing w:before="80" w:after="80" w:line="200" w:lineRule="exact"/>
              <w:ind w:left="57" w:right="0"/>
              <w:jc w:val="left"/>
              <w:rPr>
                <w:i/>
                <w:sz w:val="16"/>
                <w:lang w:val="es-ES_tradnl"/>
              </w:rPr>
            </w:pPr>
            <w:r w:rsidRPr="007465EE">
              <w:rPr>
                <w:i/>
                <w:iCs/>
                <w:sz w:val="16"/>
                <w:lang w:val="es-ES_tradnl"/>
              </w:rPr>
              <w:t>Tipo de educación</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10DF69F7" w14:textId="77777777" w:rsidR="00FA40F2" w:rsidRPr="007465EE" w:rsidRDefault="00FA40F2" w:rsidP="00A86982">
            <w:pPr>
              <w:pStyle w:val="SingleTxtG"/>
              <w:keepNext/>
              <w:keepLines/>
              <w:spacing w:before="80" w:after="80" w:line="200" w:lineRule="exact"/>
              <w:ind w:left="113" w:right="0"/>
              <w:jc w:val="center"/>
              <w:rPr>
                <w:i/>
                <w:sz w:val="16"/>
                <w:lang w:val="es-ES_tradnl"/>
              </w:rPr>
            </w:pPr>
            <w:r w:rsidRPr="007465EE">
              <w:rPr>
                <w:i/>
                <w:iCs/>
                <w:sz w:val="16"/>
                <w:lang w:val="es-ES_tradnl"/>
              </w:rPr>
              <w:t>Escuela pública</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65F0D8C2" w14:textId="77777777" w:rsidR="00FA40F2" w:rsidRPr="007465EE" w:rsidRDefault="00FA40F2" w:rsidP="00A86982">
            <w:pPr>
              <w:pStyle w:val="SingleTxtG"/>
              <w:keepNext/>
              <w:keepLines/>
              <w:spacing w:before="80" w:after="80" w:line="200" w:lineRule="exact"/>
              <w:ind w:left="113" w:right="0"/>
              <w:jc w:val="center"/>
              <w:rPr>
                <w:i/>
                <w:sz w:val="16"/>
                <w:lang w:val="es-ES_tradnl"/>
              </w:rPr>
            </w:pPr>
            <w:r w:rsidRPr="007465EE">
              <w:rPr>
                <w:i/>
                <w:iCs/>
                <w:sz w:val="16"/>
                <w:lang w:val="es-ES_tradnl"/>
              </w:rPr>
              <w:t>Escuela privada</w:t>
            </w:r>
          </w:p>
        </w:tc>
      </w:tr>
      <w:tr w:rsidR="00FA40F2" w:rsidRPr="007465EE" w14:paraId="59121251" w14:textId="77777777" w:rsidTr="007465EE">
        <w:trPr>
          <w:cantSplit/>
          <w:trHeight w:val="240"/>
          <w:tblHeader/>
        </w:trPr>
        <w:tc>
          <w:tcPr>
            <w:tcW w:w="1134" w:type="dxa"/>
            <w:vMerge/>
            <w:tcBorders>
              <w:top w:val="nil"/>
              <w:bottom w:val="single" w:sz="12" w:space="0" w:color="auto"/>
            </w:tcBorders>
            <w:shd w:val="clear" w:color="auto" w:fill="auto"/>
            <w:vAlign w:val="bottom"/>
          </w:tcPr>
          <w:p w14:paraId="36688C84" w14:textId="77777777" w:rsidR="00FA40F2" w:rsidRPr="007465EE" w:rsidRDefault="00FA40F2" w:rsidP="00A86982">
            <w:pPr>
              <w:pStyle w:val="SingleTxtG"/>
              <w:keepNext/>
              <w:keepLines/>
              <w:spacing w:before="40" w:after="40" w:line="220" w:lineRule="exact"/>
              <w:ind w:left="0" w:right="0"/>
              <w:jc w:val="left"/>
              <w:rPr>
                <w:sz w:val="18"/>
                <w:lang w:val="es-ES_tradnl"/>
              </w:rPr>
            </w:pPr>
          </w:p>
        </w:tc>
        <w:tc>
          <w:tcPr>
            <w:tcW w:w="851" w:type="dxa"/>
            <w:vMerge/>
            <w:tcBorders>
              <w:top w:val="nil"/>
              <w:bottom w:val="single" w:sz="12" w:space="0" w:color="auto"/>
            </w:tcBorders>
            <w:shd w:val="clear" w:color="auto" w:fill="auto"/>
            <w:vAlign w:val="bottom"/>
          </w:tcPr>
          <w:p w14:paraId="63E3874E" w14:textId="77777777" w:rsidR="00FA40F2" w:rsidRPr="007465EE" w:rsidRDefault="00FA40F2" w:rsidP="00A86982">
            <w:pPr>
              <w:pStyle w:val="SingleTxtG"/>
              <w:keepNext/>
              <w:keepLines/>
              <w:spacing w:before="40" w:after="40" w:line="220" w:lineRule="exact"/>
              <w:ind w:left="57" w:right="0"/>
              <w:jc w:val="left"/>
              <w:rPr>
                <w:sz w:val="18"/>
                <w:lang w:val="es-ES_tradnl"/>
              </w:rPr>
            </w:pP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2ACAB5FF" w14:textId="77777777" w:rsidR="00FA40F2" w:rsidRPr="007465EE" w:rsidRDefault="00FA40F2" w:rsidP="00A86982">
            <w:pPr>
              <w:pStyle w:val="SingleTxtG"/>
              <w:keepNext/>
              <w:keepLines/>
              <w:spacing w:before="80" w:after="80" w:line="200" w:lineRule="exact"/>
              <w:ind w:left="113" w:right="0"/>
              <w:jc w:val="center"/>
              <w:rPr>
                <w:i/>
                <w:iCs/>
                <w:sz w:val="16"/>
                <w:lang w:val="es-ES_tradnl"/>
              </w:rPr>
            </w:pPr>
            <w:r w:rsidRPr="007465EE">
              <w:rPr>
                <w:i/>
                <w:iCs/>
                <w:sz w:val="16"/>
                <w:lang w:val="es-ES_tradnl"/>
              </w:rPr>
              <w:t>Idioma de instrucción</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3DB4B860" w14:textId="77777777" w:rsidR="00FA40F2" w:rsidRPr="007465EE" w:rsidRDefault="00FA40F2" w:rsidP="00A86982">
            <w:pPr>
              <w:pStyle w:val="SingleTxtG"/>
              <w:keepNext/>
              <w:keepLines/>
              <w:spacing w:before="80" w:after="80" w:line="200" w:lineRule="exact"/>
              <w:ind w:left="113" w:right="0"/>
              <w:jc w:val="center"/>
              <w:rPr>
                <w:i/>
                <w:iCs/>
                <w:sz w:val="16"/>
                <w:lang w:val="es-ES_tradnl"/>
              </w:rPr>
            </w:pPr>
            <w:r w:rsidRPr="007465EE">
              <w:rPr>
                <w:i/>
                <w:iCs/>
                <w:sz w:val="16"/>
                <w:lang w:val="es-ES_tradnl"/>
              </w:rPr>
              <w:t>Idioma de instrucción</w:t>
            </w:r>
          </w:p>
        </w:tc>
      </w:tr>
      <w:tr w:rsidR="00FA40F2" w:rsidRPr="007465EE" w14:paraId="1F836230" w14:textId="77777777" w:rsidTr="007465EE">
        <w:trPr>
          <w:cantSplit/>
          <w:trHeight w:val="240"/>
          <w:tblHeader/>
        </w:trPr>
        <w:tc>
          <w:tcPr>
            <w:tcW w:w="1134" w:type="dxa"/>
            <w:vMerge/>
            <w:tcBorders>
              <w:top w:val="nil"/>
              <w:bottom w:val="single" w:sz="12" w:space="0" w:color="auto"/>
            </w:tcBorders>
            <w:shd w:val="clear" w:color="auto" w:fill="auto"/>
            <w:vAlign w:val="bottom"/>
          </w:tcPr>
          <w:p w14:paraId="2555864B" w14:textId="77777777" w:rsidR="00FA40F2" w:rsidRPr="007465EE" w:rsidRDefault="00FA40F2" w:rsidP="00A86982">
            <w:pPr>
              <w:pStyle w:val="SingleTxtG"/>
              <w:keepNext/>
              <w:keepLines/>
              <w:spacing w:before="40" w:after="40" w:line="220" w:lineRule="exact"/>
              <w:ind w:left="0" w:right="0"/>
              <w:jc w:val="left"/>
              <w:rPr>
                <w:sz w:val="18"/>
                <w:lang w:val="es-ES_tradnl"/>
              </w:rPr>
            </w:pPr>
          </w:p>
        </w:tc>
        <w:tc>
          <w:tcPr>
            <w:tcW w:w="851" w:type="dxa"/>
            <w:vMerge/>
            <w:tcBorders>
              <w:top w:val="nil"/>
              <w:bottom w:val="single" w:sz="12" w:space="0" w:color="auto"/>
            </w:tcBorders>
            <w:shd w:val="clear" w:color="auto" w:fill="auto"/>
            <w:vAlign w:val="bottom"/>
          </w:tcPr>
          <w:p w14:paraId="5D0DAF0E" w14:textId="77777777" w:rsidR="00FA40F2" w:rsidRPr="007465EE" w:rsidRDefault="00FA40F2" w:rsidP="00A86982">
            <w:pPr>
              <w:pStyle w:val="SingleTxtG"/>
              <w:keepNext/>
              <w:keepLines/>
              <w:spacing w:before="40" w:after="40" w:line="220" w:lineRule="exact"/>
              <w:ind w:left="57" w:right="0"/>
              <w:jc w:val="left"/>
              <w:rPr>
                <w:sz w:val="18"/>
                <w:lang w:val="es-ES_tradnl"/>
              </w:rPr>
            </w:pPr>
          </w:p>
        </w:tc>
        <w:tc>
          <w:tcPr>
            <w:tcW w:w="850" w:type="dxa"/>
            <w:tcBorders>
              <w:top w:val="single" w:sz="4" w:space="0" w:color="auto"/>
              <w:bottom w:val="single" w:sz="12" w:space="0" w:color="auto"/>
            </w:tcBorders>
            <w:shd w:val="clear" w:color="auto" w:fill="auto"/>
            <w:vAlign w:val="bottom"/>
          </w:tcPr>
          <w:p w14:paraId="710194AF"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w:t>
            </w:r>
          </w:p>
        </w:tc>
        <w:tc>
          <w:tcPr>
            <w:tcW w:w="993" w:type="dxa"/>
            <w:tcBorders>
              <w:top w:val="single" w:sz="4" w:space="0" w:color="auto"/>
              <w:bottom w:val="single" w:sz="12" w:space="0" w:color="auto"/>
            </w:tcBorders>
            <w:shd w:val="clear" w:color="auto" w:fill="auto"/>
            <w:vAlign w:val="bottom"/>
          </w:tcPr>
          <w:p w14:paraId="64B1ED4A"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 y portugués</w:t>
            </w:r>
          </w:p>
        </w:tc>
        <w:tc>
          <w:tcPr>
            <w:tcW w:w="850" w:type="dxa"/>
            <w:tcBorders>
              <w:top w:val="single" w:sz="4" w:space="0" w:color="auto"/>
              <w:bottom w:val="single" w:sz="12" w:space="0" w:color="auto"/>
            </w:tcBorders>
            <w:shd w:val="clear" w:color="auto" w:fill="auto"/>
            <w:vAlign w:val="bottom"/>
          </w:tcPr>
          <w:p w14:paraId="18E9297E"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w:t>
            </w:r>
          </w:p>
        </w:tc>
        <w:tc>
          <w:tcPr>
            <w:tcW w:w="921" w:type="dxa"/>
            <w:tcBorders>
              <w:top w:val="single" w:sz="4" w:space="0" w:color="auto"/>
              <w:bottom w:val="single" w:sz="12" w:space="0" w:color="auto"/>
            </w:tcBorders>
            <w:shd w:val="clear" w:color="auto" w:fill="auto"/>
            <w:vAlign w:val="bottom"/>
          </w:tcPr>
          <w:p w14:paraId="43E9990B"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Portugués</w:t>
            </w:r>
          </w:p>
        </w:tc>
        <w:tc>
          <w:tcPr>
            <w:tcW w:w="885" w:type="dxa"/>
            <w:tcBorders>
              <w:top w:val="single" w:sz="4" w:space="0" w:color="auto"/>
              <w:bottom w:val="single" w:sz="12" w:space="0" w:color="auto"/>
            </w:tcBorders>
            <w:shd w:val="clear" w:color="auto" w:fill="auto"/>
            <w:vAlign w:val="bottom"/>
          </w:tcPr>
          <w:p w14:paraId="73A125C4"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Inglés</w:t>
            </w:r>
          </w:p>
        </w:tc>
        <w:tc>
          <w:tcPr>
            <w:tcW w:w="886" w:type="dxa"/>
            <w:tcBorders>
              <w:top w:val="single" w:sz="4" w:space="0" w:color="auto"/>
              <w:bottom w:val="single" w:sz="12" w:space="0" w:color="auto"/>
            </w:tcBorders>
            <w:shd w:val="clear" w:color="auto" w:fill="auto"/>
            <w:vAlign w:val="bottom"/>
          </w:tcPr>
          <w:p w14:paraId="0832CA31"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 e inglés</w:t>
            </w:r>
          </w:p>
        </w:tc>
      </w:tr>
      <w:tr w:rsidR="00FA40F2" w:rsidRPr="007465EE" w14:paraId="571F6E32" w14:textId="77777777" w:rsidTr="007465EE">
        <w:trPr>
          <w:cantSplit/>
          <w:trHeight w:val="240"/>
        </w:trPr>
        <w:tc>
          <w:tcPr>
            <w:tcW w:w="1134" w:type="dxa"/>
            <w:vMerge w:val="restart"/>
            <w:tcBorders>
              <w:top w:val="single" w:sz="12" w:space="0" w:color="auto"/>
            </w:tcBorders>
            <w:shd w:val="clear" w:color="auto" w:fill="auto"/>
          </w:tcPr>
          <w:p w14:paraId="0E5AA19C"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2014/15</w:t>
            </w:r>
          </w:p>
        </w:tc>
        <w:tc>
          <w:tcPr>
            <w:tcW w:w="851" w:type="dxa"/>
            <w:tcBorders>
              <w:top w:val="single" w:sz="12" w:space="0" w:color="auto"/>
            </w:tcBorders>
            <w:shd w:val="clear" w:color="auto" w:fill="auto"/>
            <w:vAlign w:val="bottom"/>
          </w:tcPr>
          <w:p w14:paraId="45F68CCD"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tcBorders>
              <w:top w:val="single" w:sz="12" w:space="0" w:color="auto"/>
            </w:tcBorders>
            <w:shd w:val="clear" w:color="auto" w:fill="auto"/>
            <w:vAlign w:val="bottom"/>
          </w:tcPr>
          <w:p w14:paraId="1E8477F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993" w:type="dxa"/>
            <w:tcBorders>
              <w:top w:val="single" w:sz="12" w:space="0" w:color="auto"/>
            </w:tcBorders>
            <w:shd w:val="clear" w:color="auto" w:fill="auto"/>
            <w:vAlign w:val="bottom"/>
          </w:tcPr>
          <w:p w14:paraId="5AFB940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50" w:type="dxa"/>
            <w:tcBorders>
              <w:top w:val="single" w:sz="12" w:space="0" w:color="auto"/>
            </w:tcBorders>
            <w:shd w:val="clear" w:color="auto" w:fill="auto"/>
            <w:vAlign w:val="bottom"/>
          </w:tcPr>
          <w:p w14:paraId="006B9596"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49</w:t>
            </w:r>
          </w:p>
        </w:tc>
        <w:tc>
          <w:tcPr>
            <w:tcW w:w="921" w:type="dxa"/>
            <w:tcBorders>
              <w:top w:val="single" w:sz="12" w:space="0" w:color="auto"/>
            </w:tcBorders>
            <w:shd w:val="clear" w:color="auto" w:fill="auto"/>
            <w:vAlign w:val="bottom"/>
          </w:tcPr>
          <w:p w14:paraId="3A564D5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tcBorders>
              <w:top w:val="single" w:sz="12" w:space="0" w:color="auto"/>
            </w:tcBorders>
            <w:shd w:val="clear" w:color="auto" w:fill="auto"/>
            <w:vAlign w:val="bottom"/>
          </w:tcPr>
          <w:p w14:paraId="1BE1149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tcBorders>
              <w:top w:val="single" w:sz="12" w:space="0" w:color="auto"/>
            </w:tcBorders>
            <w:shd w:val="clear" w:color="auto" w:fill="auto"/>
            <w:vAlign w:val="bottom"/>
          </w:tcPr>
          <w:p w14:paraId="24E0977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5</w:t>
            </w:r>
          </w:p>
        </w:tc>
      </w:tr>
      <w:tr w:rsidR="00FA40F2" w:rsidRPr="007465EE" w14:paraId="50750EC4" w14:textId="77777777" w:rsidTr="007465EE">
        <w:trPr>
          <w:cantSplit/>
          <w:trHeight w:val="240"/>
        </w:trPr>
        <w:tc>
          <w:tcPr>
            <w:tcW w:w="1134" w:type="dxa"/>
            <w:vMerge/>
            <w:shd w:val="clear" w:color="auto" w:fill="auto"/>
          </w:tcPr>
          <w:p w14:paraId="6BD35651"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25A35FAF"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Especial</w:t>
            </w:r>
          </w:p>
        </w:tc>
        <w:tc>
          <w:tcPr>
            <w:tcW w:w="850" w:type="dxa"/>
            <w:shd w:val="clear" w:color="auto" w:fill="auto"/>
            <w:vAlign w:val="bottom"/>
          </w:tcPr>
          <w:p w14:paraId="079A729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4B2B2FFF"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52DD305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0A953AC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19FB9ED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650A1FD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288E59DC" w14:textId="77777777" w:rsidTr="007465EE">
        <w:trPr>
          <w:cantSplit/>
          <w:trHeight w:val="240"/>
        </w:trPr>
        <w:tc>
          <w:tcPr>
            <w:tcW w:w="1134" w:type="dxa"/>
            <w:vMerge w:val="restart"/>
            <w:shd w:val="clear" w:color="auto" w:fill="auto"/>
          </w:tcPr>
          <w:p w14:paraId="35C458DC"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2015/16</w:t>
            </w:r>
          </w:p>
        </w:tc>
        <w:tc>
          <w:tcPr>
            <w:tcW w:w="851" w:type="dxa"/>
            <w:shd w:val="clear" w:color="auto" w:fill="auto"/>
            <w:vAlign w:val="bottom"/>
          </w:tcPr>
          <w:p w14:paraId="4891B9BA"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198EEB31"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993" w:type="dxa"/>
            <w:shd w:val="clear" w:color="auto" w:fill="auto"/>
            <w:vAlign w:val="bottom"/>
          </w:tcPr>
          <w:p w14:paraId="1AE16961"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50" w:type="dxa"/>
            <w:shd w:val="clear" w:color="auto" w:fill="auto"/>
            <w:vAlign w:val="bottom"/>
          </w:tcPr>
          <w:p w14:paraId="54947904"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49</w:t>
            </w:r>
          </w:p>
        </w:tc>
        <w:tc>
          <w:tcPr>
            <w:tcW w:w="921" w:type="dxa"/>
            <w:shd w:val="clear" w:color="auto" w:fill="auto"/>
            <w:vAlign w:val="bottom"/>
          </w:tcPr>
          <w:p w14:paraId="5EF372EE"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3C8D048E"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08F48B3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5</w:t>
            </w:r>
          </w:p>
        </w:tc>
      </w:tr>
      <w:tr w:rsidR="00FA40F2" w:rsidRPr="007465EE" w14:paraId="107D7173" w14:textId="77777777" w:rsidTr="007465EE">
        <w:trPr>
          <w:cantSplit/>
          <w:trHeight w:val="240"/>
        </w:trPr>
        <w:tc>
          <w:tcPr>
            <w:tcW w:w="1134" w:type="dxa"/>
            <w:vMerge/>
            <w:shd w:val="clear" w:color="auto" w:fill="auto"/>
          </w:tcPr>
          <w:p w14:paraId="781A1753"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1BFDB328"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shd w:val="clear" w:color="auto" w:fill="auto"/>
            <w:vAlign w:val="bottom"/>
          </w:tcPr>
          <w:p w14:paraId="6ECEBD8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0C48CBA4"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5FB91B0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5B4EF48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7F08754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028702A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0ADCF13A" w14:textId="77777777" w:rsidTr="007465EE">
        <w:trPr>
          <w:cantSplit/>
          <w:trHeight w:val="240"/>
        </w:trPr>
        <w:tc>
          <w:tcPr>
            <w:tcW w:w="1134" w:type="dxa"/>
            <w:vMerge w:val="restart"/>
            <w:shd w:val="clear" w:color="auto" w:fill="auto"/>
          </w:tcPr>
          <w:p w14:paraId="377605C6"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2016/17</w:t>
            </w:r>
          </w:p>
        </w:tc>
        <w:tc>
          <w:tcPr>
            <w:tcW w:w="851" w:type="dxa"/>
            <w:shd w:val="clear" w:color="auto" w:fill="auto"/>
            <w:vAlign w:val="bottom"/>
          </w:tcPr>
          <w:p w14:paraId="45C841DD"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2E93995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993" w:type="dxa"/>
            <w:shd w:val="clear" w:color="auto" w:fill="auto"/>
            <w:vAlign w:val="bottom"/>
          </w:tcPr>
          <w:p w14:paraId="6F6DB70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50" w:type="dxa"/>
            <w:shd w:val="clear" w:color="auto" w:fill="auto"/>
            <w:vAlign w:val="bottom"/>
          </w:tcPr>
          <w:p w14:paraId="5F146CE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49</w:t>
            </w:r>
          </w:p>
        </w:tc>
        <w:tc>
          <w:tcPr>
            <w:tcW w:w="921" w:type="dxa"/>
            <w:shd w:val="clear" w:color="auto" w:fill="auto"/>
            <w:vAlign w:val="bottom"/>
          </w:tcPr>
          <w:p w14:paraId="2DA1B0A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2F02EA5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1DE59049"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5</w:t>
            </w:r>
          </w:p>
        </w:tc>
      </w:tr>
      <w:tr w:rsidR="00FA40F2" w:rsidRPr="007465EE" w14:paraId="40543278" w14:textId="77777777" w:rsidTr="007465EE">
        <w:trPr>
          <w:cantSplit/>
          <w:trHeight w:val="240"/>
        </w:trPr>
        <w:tc>
          <w:tcPr>
            <w:tcW w:w="1134" w:type="dxa"/>
            <w:vMerge/>
            <w:shd w:val="clear" w:color="auto" w:fill="auto"/>
          </w:tcPr>
          <w:p w14:paraId="591EF418"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13871523"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shd w:val="clear" w:color="auto" w:fill="auto"/>
            <w:vAlign w:val="bottom"/>
          </w:tcPr>
          <w:p w14:paraId="4042A014"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5703FA3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4EA3708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6F21466E"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6A97E42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60192959"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5B1170E8" w14:textId="77777777" w:rsidTr="007465EE">
        <w:trPr>
          <w:cantSplit/>
          <w:trHeight w:val="240"/>
        </w:trPr>
        <w:tc>
          <w:tcPr>
            <w:tcW w:w="1134" w:type="dxa"/>
            <w:vMerge w:val="restart"/>
            <w:shd w:val="clear" w:color="auto" w:fill="auto"/>
          </w:tcPr>
          <w:p w14:paraId="7920F816"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2017/18</w:t>
            </w:r>
          </w:p>
        </w:tc>
        <w:tc>
          <w:tcPr>
            <w:tcW w:w="851" w:type="dxa"/>
            <w:shd w:val="clear" w:color="auto" w:fill="auto"/>
            <w:vAlign w:val="bottom"/>
          </w:tcPr>
          <w:p w14:paraId="00DA63AD"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552E84B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c>
          <w:tcPr>
            <w:tcW w:w="993" w:type="dxa"/>
            <w:shd w:val="clear" w:color="auto" w:fill="auto"/>
            <w:vAlign w:val="bottom"/>
          </w:tcPr>
          <w:p w14:paraId="74A73CE5"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850" w:type="dxa"/>
            <w:shd w:val="clear" w:color="auto" w:fill="auto"/>
            <w:vAlign w:val="bottom"/>
          </w:tcPr>
          <w:p w14:paraId="4ED81A9F"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47</w:t>
            </w:r>
          </w:p>
        </w:tc>
        <w:tc>
          <w:tcPr>
            <w:tcW w:w="921" w:type="dxa"/>
            <w:shd w:val="clear" w:color="auto" w:fill="auto"/>
            <w:vAlign w:val="bottom"/>
          </w:tcPr>
          <w:p w14:paraId="5382224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426AA3F6"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1020F2D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r>
      <w:tr w:rsidR="00FA40F2" w:rsidRPr="007465EE" w14:paraId="5C2FF661" w14:textId="77777777" w:rsidTr="007465EE">
        <w:trPr>
          <w:cantSplit/>
          <w:trHeight w:val="240"/>
        </w:trPr>
        <w:tc>
          <w:tcPr>
            <w:tcW w:w="1134" w:type="dxa"/>
            <w:vMerge/>
            <w:shd w:val="clear" w:color="auto" w:fill="auto"/>
          </w:tcPr>
          <w:p w14:paraId="47255AB5"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7F15B734"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shd w:val="clear" w:color="auto" w:fill="auto"/>
            <w:vAlign w:val="bottom"/>
          </w:tcPr>
          <w:p w14:paraId="7F2243D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60919C5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4D27C4F1"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09BB3DC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6F3CAD5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05D1C99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59F0BED8" w14:textId="77777777" w:rsidTr="007465EE">
        <w:trPr>
          <w:cantSplit/>
          <w:trHeight w:val="240"/>
        </w:trPr>
        <w:tc>
          <w:tcPr>
            <w:tcW w:w="1134" w:type="dxa"/>
            <w:vMerge w:val="restart"/>
            <w:shd w:val="clear" w:color="auto" w:fill="auto"/>
          </w:tcPr>
          <w:p w14:paraId="370BD47C"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2018/19</w:t>
            </w:r>
          </w:p>
        </w:tc>
        <w:tc>
          <w:tcPr>
            <w:tcW w:w="851" w:type="dxa"/>
            <w:shd w:val="clear" w:color="auto" w:fill="auto"/>
            <w:vAlign w:val="bottom"/>
          </w:tcPr>
          <w:p w14:paraId="5BE36C71"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3EC40B4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c>
          <w:tcPr>
            <w:tcW w:w="993" w:type="dxa"/>
            <w:shd w:val="clear" w:color="auto" w:fill="auto"/>
            <w:vAlign w:val="bottom"/>
          </w:tcPr>
          <w:p w14:paraId="01F0C583"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850" w:type="dxa"/>
            <w:shd w:val="clear" w:color="auto" w:fill="auto"/>
            <w:vAlign w:val="bottom"/>
          </w:tcPr>
          <w:p w14:paraId="0CD5E099"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47</w:t>
            </w:r>
          </w:p>
        </w:tc>
        <w:tc>
          <w:tcPr>
            <w:tcW w:w="921" w:type="dxa"/>
            <w:shd w:val="clear" w:color="auto" w:fill="auto"/>
            <w:vAlign w:val="bottom"/>
          </w:tcPr>
          <w:p w14:paraId="0416154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5E3BA23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30CA3F7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r>
      <w:tr w:rsidR="00FA40F2" w:rsidRPr="007465EE" w14:paraId="00B6B749" w14:textId="77777777" w:rsidTr="007465EE">
        <w:trPr>
          <w:cantSplit/>
          <w:trHeight w:val="240"/>
        </w:trPr>
        <w:tc>
          <w:tcPr>
            <w:tcW w:w="1134" w:type="dxa"/>
            <w:vMerge/>
            <w:tcBorders>
              <w:bottom w:val="single" w:sz="12" w:space="0" w:color="auto"/>
            </w:tcBorders>
            <w:shd w:val="clear" w:color="auto" w:fill="auto"/>
          </w:tcPr>
          <w:p w14:paraId="03D65AC9"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tcBorders>
              <w:bottom w:val="single" w:sz="12" w:space="0" w:color="auto"/>
            </w:tcBorders>
            <w:shd w:val="clear" w:color="auto" w:fill="auto"/>
            <w:vAlign w:val="bottom"/>
          </w:tcPr>
          <w:p w14:paraId="51657D3A"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tcBorders>
              <w:bottom w:val="single" w:sz="12" w:space="0" w:color="auto"/>
            </w:tcBorders>
            <w:shd w:val="clear" w:color="auto" w:fill="auto"/>
            <w:vAlign w:val="bottom"/>
          </w:tcPr>
          <w:p w14:paraId="3D81FA5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tcBorders>
              <w:bottom w:val="single" w:sz="12" w:space="0" w:color="auto"/>
            </w:tcBorders>
            <w:shd w:val="clear" w:color="auto" w:fill="auto"/>
            <w:vAlign w:val="bottom"/>
          </w:tcPr>
          <w:p w14:paraId="3E6E383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tcBorders>
              <w:bottom w:val="single" w:sz="12" w:space="0" w:color="auto"/>
            </w:tcBorders>
            <w:shd w:val="clear" w:color="auto" w:fill="auto"/>
            <w:vAlign w:val="bottom"/>
          </w:tcPr>
          <w:p w14:paraId="256EA66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tcBorders>
              <w:bottom w:val="single" w:sz="12" w:space="0" w:color="auto"/>
            </w:tcBorders>
            <w:shd w:val="clear" w:color="auto" w:fill="auto"/>
            <w:vAlign w:val="bottom"/>
          </w:tcPr>
          <w:p w14:paraId="20F2F89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tcBorders>
              <w:bottom w:val="single" w:sz="12" w:space="0" w:color="auto"/>
            </w:tcBorders>
            <w:shd w:val="clear" w:color="auto" w:fill="auto"/>
            <w:vAlign w:val="bottom"/>
          </w:tcPr>
          <w:p w14:paraId="243788A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tcBorders>
              <w:bottom w:val="single" w:sz="12" w:space="0" w:color="auto"/>
            </w:tcBorders>
            <w:shd w:val="clear" w:color="auto" w:fill="auto"/>
            <w:vAlign w:val="bottom"/>
          </w:tcPr>
          <w:p w14:paraId="018259A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bl>
    <w:p w14:paraId="7CA22DE7" w14:textId="77777777" w:rsidR="00FA40F2" w:rsidRPr="007465EE" w:rsidRDefault="00FA40F2" w:rsidP="007465EE">
      <w:pPr>
        <w:pStyle w:val="SingleTxtG"/>
        <w:spacing w:before="120" w:after="0"/>
        <w:ind w:firstLine="170"/>
        <w:rPr>
          <w:sz w:val="18"/>
          <w:szCs w:val="18"/>
          <w:lang w:val="es-ES_tradnl"/>
        </w:rPr>
      </w:pPr>
      <w:r w:rsidRPr="007465EE">
        <w:rPr>
          <w:i/>
          <w:iCs/>
          <w:sz w:val="18"/>
          <w:szCs w:val="18"/>
          <w:lang w:val="es-ES_tradnl"/>
        </w:rPr>
        <w:t>Fuente:</w:t>
      </w:r>
      <w:r w:rsidRPr="007465EE">
        <w:rPr>
          <w:sz w:val="18"/>
          <w:szCs w:val="18"/>
          <w:lang w:val="es-ES_tradnl"/>
        </w:rPr>
        <w:t xml:space="preserve"> Dirección de Servicios de Educación y Juventud.</w:t>
      </w:r>
    </w:p>
    <w:p w14:paraId="74C80012" w14:textId="77777777" w:rsidR="00FA40F2" w:rsidRPr="007465EE" w:rsidRDefault="00FA40F2" w:rsidP="00A86982">
      <w:pPr>
        <w:pStyle w:val="SingleTxtG"/>
        <w:spacing w:after="240"/>
        <w:ind w:firstLine="170"/>
        <w:rPr>
          <w:sz w:val="18"/>
          <w:szCs w:val="18"/>
          <w:lang w:val="es-ES_tradnl"/>
        </w:rPr>
      </w:pPr>
      <w:r w:rsidRPr="007465EE">
        <w:rPr>
          <w:i/>
          <w:iCs/>
          <w:sz w:val="18"/>
          <w:szCs w:val="18"/>
          <w:lang w:val="es-ES_tradnl"/>
        </w:rPr>
        <w:t xml:space="preserve">Nota: </w:t>
      </w:r>
      <w:r w:rsidRPr="007465EE">
        <w:rPr>
          <w:sz w:val="18"/>
          <w:szCs w:val="18"/>
          <w:lang w:val="es-ES_tradnl"/>
        </w:rPr>
        <w:t>Una escuela puede tener varias unidades escolares con diferentes idiomas de instrucción.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FA40F2" w:rsidRPr="00EB5C81" w14:paraId="5FF96FD3" w14:textId="77777777" w:rsidTr="00EB5C81">
        <w:trPr>
          <w:cantSplit/>
          <w:trHeight w:val="240"/>
          <w:tblHeader/>
        </w:trPr>
        <w:tc>
          <w:tcPr>
            <w:tcW w:w="2127" w:type="dxa"/>
            <w:tcBorders>
              <w:top w:val="single" w:sz="4" w:space="0" w:color="auto"/>
              <w:bottom w:val="single" w:sz="12" w:space="0" w:color="auto"/>
            </w:tcBorders>
            <w:shd w:val="clear" w:color="auto" w:fill="auto"/>
            <w:vAlign w:val="bottom"/>
          </w:tcPr>
          <w:p w14:paraId="37B79B84" w14:textId="77777777" w:rsidR="00FA40F2" w:rsidRPr="00EB5C81" w:rsidRDefault="00FA40F2" w:rsidP="00EB5C81">
            <w:pPr>
              <w:pStyle w:val="SingleTxtG"/>
              <w:spacing w:before="80" w:after="80" w:line="200" w:lineRule="exact"/>
              <w:ind w:left="0" w:right="0"/>
              <w:jc w:val="left"/>
              <w:rPr>
                <w:i/>
                <w:sz w:val="16"/>
                <w:lang w:val="es-ES_tradnl"/>
              </w:rPr>
            </w:pPr>
            <w:r w:rsidRPr="00EB5C81">
              <w:rPr>
                <w:i/>
                <w:iCs/>
                <w:sz w:val="16"/>
                <w:lang w:val="es-ES_tradnl"/>
              </w:rPr>
              <w:t xml:space="preserve">Tasa neta de matriculación </w:t>
            </w:r>
            <w:r w:rsidR="00A86982">
              <w:rPr>
                <w:i/>
                <w:iCs/>
                <w:sz w:val="16"/>
                <w:lang w:val="es-ES_tradnl"/>
              </w:rPr>
              <w:br/>
            </w:r>
            <w:r w:rsidRPr="00EB5C81">
              <w:rPr>
                <w:i/>
                <w:iCs/>
                <w:sz w:val="16"/>
                <w:lang w:val="es-ES_tradnl"/>
              </w:rPr>
              <w:t>(porcentaje)</w:t>
            </w:r>
          </w:p>
        </w:tc>
        <w:tc>
          <w:tcPr>
            <w:tcW w:w="1048" w:type="dxa"/>
            <w:tcBorders>
              <w:top w:val="single" w:sz="4" w:space="0" w:color="auto"/>
              <w:bottom w:val="single" w:sz="12" w:space="0" w:color="auto"/>
            </w:tcBorders>
            <w:shd w:val="clear" w:color="auto" w:fill="auto"/>
            <w:vAlign w:val="bottom"/>
          </w:tcPr>
          <w:p w14:paraId="19D5DCDD"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Sexo</w:t>
            </w:r>
          </w:p>
        </w:tc>
        <w:tc>
          <w:tcPr>
            <w:tcW w:w="1049" w:type="dxa"/>
            <w:tcBorders>
              <w:top w:val="single" w:sz="4" w:space="0" w:color="auto"/>
              <w:bottom w:val="single" w:sz="12" w:space="0" w:color="auto"/>
            </w:tcBorders>
            <w:shd w:val="clear" w:color="auto" w:fill="auto"/>
            <w:vAlign w:val="bottom"/>
          </w:tcPr>
          <w:p w14:paraId="3C86CFD2"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2014/15</w:t>
            </w:r>
          </w:p>
        </w:tc>
        <w:tc>
          <w:tcPr>
            <w:tcW w:w="1048" w:type="dxa"/>
            <w:tcBorders>
              <w:top w:val="single" w:sz="4" w:space="0" w:color="auto"/>
              <w:bottom w:val="single" w:sz="12" w:space="0" w:color="auto"/>
            </w:tcBorders>
            <w:shd w:val="clear" w:color="auto" w:fill="auto"/>
            <w:vAlign w:val="bottom"/>
          </w:tcPr>
          <w:p w14:paraId="1ADF7459"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2015/16</w:t>
            </w:r>
          </w:p>
        </w:tc>
        <w:tc>
          <w:tcPr>
            <w:tcW w:w="1049" w:type="dxa"/>
            <w:tcBorders>
              <w:top w:val="single" w:sz="4" w:space="0" w:color="auto"/>
              <w:bottom w:val="single" w:sz="12" w:space="0" w:color="auto"/>
            </w:tcBorders>
            <w:shd w:val="clear" w:color="auto" w:fill="auto"/>
            <w:vAlign w:val="bottom"/>
          </w:tcPr>
          <w:p w14:paraId="097F31A2"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2016/17</w:t>
            </w:r>
          </w:p>
        </w:tc>
        <w:tc>
          <w:tcPr>
            <w:tcW w:w="1049" w:type="dxa"/>
            <w:tcBorders>
              <w:top w:val="single" w:sz="4" w:space="0" w:color="auto"/>
              <w:bottom w:val="single" w:sz="12" w:space="0" w:color="auto"/>
            </w:tcBorders>
            <w:shd w:val="clear" w:color="auto" w:fill="auto"/>
            <w:vAlign w:val="bottom"/>
          </w:tcPr>
          <w:p w14:paraId="6F9FC946"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2017/18</w:t>
            </w:r>
          </w:p>
        </w:tc>
      </w:tr>
      <w:tr w:rsidR="00FA40F2" w:rsidRPr="00EB5C81" w14:paraId="709B05BB" w14:textId="77777777" w:rsidTr="00EB5C81">
        <w:trPr>
          <w:cantSplit/>
          <w:trHeight w:val="240"/>
        </w:trPr>
        <w:tc>
          <w:tcPr>
            <w:tcW w:w="2127" w:type="dxa"/>
            <w:vMerge w:val="restart"/>
            <w:tcBorders>
              <w:top w:val="single" w:sz="12" w:space="0" w:color="auto"/>
            </w:tcBorders>
            <w:shd w:val="clear" w:color="auto" w:fill="auto"/>
          </w:tcPr>
          <w:p w14:paraId="7F43D2FB" w14:textId="77777777" w:rsidR="00FA40F2" w:rsidRPr="00EB5C81" w:rsidRDefault="00FA40F2" w:rsidP="00EB5C81">
            <w:pPr>
              <w:pStyle w:val="SingleTxtG"/>
              <w:spacing w:before="40" w:after="40" w:line="220" w:lineRule="exact"/>
              <w:ind w:left="0" w:right="0"/>
              <w:jc w:val="left"/>
              <w:rPr>
                <w:sz w:val="18"/>
                <w:lang w:val="es-ES_tradnl"/>
              </w:rPr>
            </w:pPr>
            <w:r w:rsidRPr="00EB5C81">
              <w:rPr>
                <w:sz w:val="18"/>
                <w:lang w:val="es-ES_tradnl"/>
              </w:rPr>
              <w:t>Educación preescolar</w:t>
            </w:r>
          </w:p>
        </w:tc>
        <w:tc>
          <w:tcPr>
            <w:tcW w:w="1048" w:type="dxa"/>
            <w:tcBorders>
              <w:top w:val="single" w:sz="12" w:space="0" w:color="auto"/>
            </w:tcBorders>
            <w:shd w:val="clear" w:color="auto" w:fill="auto"/>
            <w:vAlign w:val="bottom"/>
          </w:tcPr>
          <w:p w14:paraId="6801E583"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w:t>
            </w:r>
          </w:p>
        </w:tc>
        <w:tc>
          <w:tcPr>
            <w:tcW w:w="1049" w:type="dxa"/>
            <w:tcBorders>
              <w:top w:val="single" w:sz="12" w:space="0" w:color="auto"/>
            </w:tcBorders>
            <w:shd w:val="clear" w:color="auto" w:fill="auto"/>
            <w:vAlign w:val="bottom"/>
          </w:tcPr>
          <w:p w14:paraId="2BCEB60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99,4</w:t>
            </w:r>
          </w:p>
        </w:tc>
        <w:tc>
          <w:tcPr>
            <w:tcW w:w="1048" w:type="dxa"/>
            <w:tcBorders>
              <w:top w:val="single" w:sz="12" w:space="0" w:color="auto"/>
            </w:tcBorders>
            <w:shd w:val="clear" w:color="auto" w:fill="auto"/>
            <w:vAlign w:val="bottom"/>
          </w:tcPr>
          <w:p w14:paraId="3429B91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94,4</w:t>
            </w:r>
          </w:p>
        </w:tc>
        <w:tc>
          <w:tcPr>
            <w:tcW w:w="1049" w:type="dxa"/>
            <w:tcBorders>
              <w:top w:val="single" w:sz="12" w:space="0" w:color="auto"/>
            </w:tcBorders>
            <w:shd w:val="clear" w:color="auto" w:fill="auto"/>
            <w:vAlign w:val="bottom"/>
          </w:tcPr>
          <w:p w14:paraId="3FAE173F"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89,4</w:t>
            </w:r>
          </w:p>
        </w:tc>
        <w:tc>
          <w:tcPr>
            <w:tcW w:w="1049" w:type="dxa"/>
            <w:tcBorders>
              <w:top w:val="single" w:sz="12" w:space="0" w:color="auto"/>
            </w:tcBorders>
            <w:shd w:val="clear" w:color="auto" w:fill="auto"/>
            <w:vAlign w:val="bottom"/>
          </w:tcPr>
          <w:p w14:paraId="14BEA3B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86,7</w:t>
            </w:r>
          </w:p>
        </w:tc>
      </w:tr>
      <w:tr w:rsidR="00FA40F2" w:rsidRPr="00EB5C81" w14:paraId="787037BF" w14:textId="77777777" w:rsidTr="00EB5C81">
        <w:trPr>
          <w:cantSplit/>
          <w:trHeight w:val="240"/>
        </w:trPr>
        <w:tc>
          <w:tcPr>
            <w:tcW w:w="2127" w:type="dxa"/>
            <w:vMerge/>
            <w:shd w:val="clear" w:color="auto" w:fill="auto"/>
          </w:tcPr>
          <w:p w14:paraId="0637D2DE"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26A152E9"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Mujeres</w:t>
            </w:r>
          </w:p>
        </w:tc>
        <w:tc>
          <w:tcPr>
            <w:tcW w:w="1049" w:type="dxa"/>
            <w:shd w:val="clear" w:color="auto" w:fill="auto"/>
            <w:vAlign w:val="bottom"/>
          </w:tcPr>
          <w:p w14:paraId="15F67A5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8" w:type="dxa"/>
            <w:shd w:val="clear" w:color="auto" w:fill="auto"/>
            <w:vAlign w:val="bottom"/>
          </w:tcPr>
          <w:p w14:paraId="2BBFBF8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96,8</w:t>
            </w:r>
          </w:p>
        </w:tc>
        <w:tc>
          <w:tcPr>
            <w:tcW w:w="1049" w:type="dxa"/>
            <w:shd w:val="clear" w:color="auto" w:fill="auto"/>
            <w:vAlign w:val="bottom"/>
          </w:tcPr>
          <w:p w14:paraId="7622B3A4"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92,3</w:t>
            </w:r>
          </w:p>
        </w:tc>
        <w:tc>
          <w:tcPr>
            <w:tcW w:w="1049" w:type="dxa"/>
            <w:shd w:val="clear" w:color="auto" w:fill="auto"/>
            <w:vAlign w:val="bottom"/>
          </w:tcPr>
          <w:p w14:paraId="2C529D7B"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89,2</w:t>
            </w:r>
          </w:p>
        </w:tc>
      </w:tr>
      <w:tr w:rsidR="00FA40F2" w:rsidRPr="00EB5C81" w14:paraId="3F51C98E" w14:textId="77777777" w:rsidTr="00EB5C81">
        <w:trPr>
          <w:cantSplit/>
          <w:trHeight w:val="240"/>
        </w:trPr>
        <w:tc>
          <w:tcPr>
            <w:tcW w:w="2127" w:type="dxa"/>
            <w:vMerge/>
            <w:shd w:val="clear" w:color="auto" w:fill="auto"/>
          </w:tcPr>
          <w:p w14:paraId="04177FD8"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149032D9"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 y mujeres</w:t>
            </w:r>
          </w:p>
        </w:tc>
        <w:tc>
          <w:tcPr>
            <w:tcW w:w="1049" w:type="dxa"/>
            <w:shd w:val="clear" w:color="auto" w:fill="auto"/>
            <w:vAlign w:val="bottom"/>
          </w:tcPr>
          <w:p w14:paraId="7AFB7D34"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8" w:type="dxa"/>
            <w:shd w:val="clear" w:color="auto" w:fill="auto"/>
            <w:vAlign w:val="bottom"/>
          </w:tcPr>
          <w:p w14:paraId="1CFF33F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95,5</w:t>
            </w:r>
          </w:p>
        </w:tc>
        <w:tc>
          <w:tcPr>
            <w:tcW w:w="1049" w:type="dxa"/>
            <w:shd w:val="clear" w:color="auto" w:fill="auto"/>
            <w:vAlign w:val="bottom"/>
          </w:tcPr>
          <w:p w14:paraId="05788EB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90,8</w:t>
            </w:r>
          </w:p>
        </w:tc>
        <w:tc>
          <w:tcPr>
            <w:tcW w:w="1049" w:type="dxa"/>
            <w:shd w:val="clear" w:color="auto" w:fill="auto"/>
            <w:vAlign w:val="bottom"/>
          </w:tcPr>
          <w:p w14:paraId="7D0837C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87,9</w:t>
            </w:r>
          </w:p>
        </w:tc>
      </w:tr>
      <w:tr w:rsidR="00FA40F2" w:rsidRPr="00EB5C81" w14:paraId="668C4B4C" w14:textId="77777777" w:rsidTr="00EB5C81">
        <w:trPr>
          <w:cantSplit/>
          <w:trHeight w:val="240"/>
        </w:trPr>
        <w:tc>
          <w:tcPr>
            <w:tcW w:w="2127" w:type="dxa"/>
            <w:vMerge w:val="restart"/>
            <w:shd w:val="clear" w:color="auto" w:fill="auto"/>
          </w:tcPr>
          <w:p w14:paraId="3FAE1FD5" w14:textId="77777777" w:rsidR="00FA40F2" w:rsidRPr="00EB5C81" w:rsidRDefault="00FA40F2" w:rsidP="00EB5C81">
            <w:pPr>
              <w:pStyle w:val="SingleTxtG"/>
              <w:spacing w:before="40" w:after="40" w:line="220" w:lineRule="exact"/>
              <w:ind w:left="0" w:right="0"/>
              <w:jc w:val="left"/>
              <w:rPr>
                <w:sz w:val="18"/>
                <w:lang w:val="es-ES_tradnl"/>
              </w:rPr>
            </w:pPr>
            <w:r w:rsidRPr="00EB5C81">
              <w:rPr>
                <w:sz w:val="18"/>
                <w:lang w:val="es-ES_tradnl"/>
              </w:rPr>
              <w:t>Educación primaria</w:t>
            </w:r>
          </w:p>
        </w:tc>
        <w:tc>
          <w:tcPr>
            <w:tcW w:w="1048" w:type="dxa"/>
            <w:shd w:val="clear" w:color="auto" w:fill="auto"/>
            <w:vAlign w:val="bottom"/>
          </w:tcPr>
          <w:p w14:paraId="160800A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w:t>
            </w:r>
          </w:p>
        </w:tc>
        <w:tc>
          <w:tcPr>
            <w:tcW w:w="1049" w:type="dxa"/>
            <w:shd w:val="clear" w:color="auto" w:fill="auto"/>
            <w:vAlign w:val="bottom"/>
          </w:tcPr>
          <w:p w14:paraId="4C0DCB14"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91,9</w:t>
            </w:r>
          </w:p>
        </w:tc>
        <w:tc>
          <w:tcPr>
            <w:tcW w:w="1048" w:type="dxa"/>
            <w:shd w:val="clear" w:color="auto" w:fill="auto"/>
            <w:vAlign w:val="bottom"/>
          </w:tcPr>
          <w:p w14:paraId="483491E3"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94,9</w:t>
            </w:r>
          </w:p>
        </w:tc>
        <w:tc>
          <w:tcPr>
            <w:tcW w:w="1049" w:type="dxa"/>
            <w:shd w:val="clear" w:color="auto" w:fill="auto"/>
            <w:vAlign w:val="bottom"/>
          </w:tcPr>
          <w:p w14:paraId="23CD803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98,0</w:t>
            </w:r>
          </w:p>
        </w:tc>
        <w:tc>
          <w:tcPr>
            <w:tcW w:w="1049" w:type="dxa"/>
            <w:shd w:val="clear" w:color="auto" w:fill="auto"/>
            <w:vAlign w:val="bottom"/>
          </w:tcPr>
          <w:p w14:paraId="1DBC942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99,1</w:t>
            </w:r>
          </w:p>
        </w:tc>
      </w:tr>
      <w:tr w:rsidR="00FA40F2" w:rsidRPr="00EB5C81" w14:paraId="4DF9737A" w14:textId="77777777" w:rsidTr="00EB5C81">
        <w:trPr>
          <w:cantSplit/>
          <w:trHeight w:val="240"/>
        </w:trPr>
        <w:tc>
          <w:tcPr>
            <w:tcW w:w="2127" w:type="dxa"/>
            <w:vMerge/>
            <w:shd w:val="clear" w:color="auto" w:fill="auto"/>
          </w:tcPr>
          <w:p w14:paraId="2F31861E"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19F2E8C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Mujeres</w:t>
            </w:r>
          </w:p>
        </w:tc>
        <w:tc>
          <w:tcPr>
            <w:tcW w:w="1049" w:type="dxa"/>
            <w:shd w:val="clear" w:color="auto" w:fill="auto"/>
            <w:vAlign w:val="bottom"/>
          </w:tcPr>
          <w:p w14:paraId="16D88611"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97,3</w:t>
            </w:r>
          </w:p>
        </w:tc>
        <w:tc>
          <w:tcPr>
            <w:tcW w:w="1048" w:type="dxa"/>
            <w:shd w:val="clear" w:color="auto" w:fill="auto"/>
            <w:vAlign w:val="bottom"/>
          </w:tcPr>
          <w:p w14:paraId="0B9BEC0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98,3</w:t>
            </w:r>
          </w:p>
        </w:tc>
        <w:tc>
          <w:tcPr>
            <w:tcW w:w="1049" w:type="dxa"/>
            <w:shd w:val="clear" w:color="auto" w:fill="auto"/>
            <w:vAlign w:val="bottom"/>
          </w:tcPr>
          <w:p w14:paraId="77B9B42F"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9" w:type="dxa"/>
            <w:shd w:val="clear" w:color="auto" w:fill="auto"/>
            <w:vAlign w:val="bottom"/>
          </w:tcPr>
          <w:p w14:paraId="2A42566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r>
      <w:tr w:rsidR="00FA40F2" w:rsidRPr="00EB5C81" w14:paraId="119C277E" w14:textId="77777777" w:rsidTr="00EB5C81">
        <w:trPr>
          <w:cantSplit/>
          <w:trHeight w:val="240"/>
        </w:trPr>
        <w:tc>
          <w:tcPr>
            <w:tcW w:w="2127" w:type="dxa"/>
            <w:vMerge/>
            <w:shd w:val="clear" w:color="auto" w:fill="auto"/>
          </w:tcPr>
          <w:p w14:paraId="75CFE2CA"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433C468F"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 y mujeres</w:t>
            </w:r>
          </w:p>
        </w:tc>
        <w:tc>
          <w:tcPr>
            <w:tcW w:w="1049" w:type="dxa"/>
            <w:shd w:val="clear" w:color="auto" w:fill="auto"/>
            <w:vAlign w:val="bottom"/>
          </w:tcPr>
          <w:p w14:paraId="7A6BBA6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94,5</w:t>
            </w:r>
          </w:p>
        </w:tc>
        <w:tc>
          <w:tcPr>
            <w:tcW w:w="1048" w:type="dxa"/>
            <w:shd w:val="clear" w:color="auto" w:fill="auto"/>
            <w:vAlign w:val="bottom"/>
          </w:tcPr>
          <w:p w14:paraId="11DC100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96,5</w:t>
            </w:r>
          </w:p>
        </w:tc>
        <w:tc>
          <w:tcPr>
            <w:tcW w:w="1049" w:type="dxa"/>
            <w:shd w:val="clear" w:color="auto" w:fill="auto"/>
            <w:vAlign w:val="bottom"/>
          </w:tcPr>
          <w:p w14:paraId="42600FB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9" w:type="dxa"/>
            <w:shd w:val="clear" w:color="auto" w:fill="auto"/>
            <w:vAlign w:val="bottom"/>
          </w:tcPr>
          <w:p w14:paraId="7A47051D"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r>
      <w:tr w:rsidR="00FA40F2" w:rsidRPr="00EB5C81" w14:paraId="2BEC3D27" w14:textId="77777777" w:rsidTr="00EB5C81">
        <w:trPr>
          <w:cantSplit/>
          <w:trHeight w:val="240"/>
        </w:trPr>
        <w:tc>
          <w:tcPr>
            <w:tcW w:w="2127" w:type="dxa"/>
            <w:vMerge w:val="restart"/>
            <w:shd w:val="clear" w:color="auto" w:fill="auto"/>
          </w:tcPr>
          <w:p w14:paraId="2EA3CD4A" w14:textId="77777777" w:rsidR="00FA40F2" w:rsidRPr="00EB5C81" w:rsidRDefault="00FA40F2" w:rsidP="00EB5C81">
            <w:pPr>
              <w:pStyle w:val="SingleTxtG"/>
              <w:spacing w:before="40" w:after="40" w:line="220" w:lineRule="exact"/>
              <w:ind w:left="0" w:right="0"/>
              <w:jc w:val="left"/>
              <w:rPr>
                <w:sz w:val="18"/>
                <w:lang w:val="es-ES_tradnl"/>
              </w:rPr>
            </w:pPr>
            <w:r w:rsidRPr="00EB5C81">
              <w:rPr>
                <w:sz w:val="18"/>
                <w:lang w:val="es-ES_tradnl"/>
              </w:rPr>
              <w:t>Educación secundaria</w:t>
            </w:r>
          </w:p>
        </w:tc>
        <w:tc>
          <w:tcPr>
            <w:tcW w:w="1048" w:type="dxa"/>
            <w:shd w:val="clear" w:color="auto" w:fill="auto"/>
            <w:vAlign w:val="bottom"/>
          </w:tcPr>
          <w:p w14:paraId="5D07526B"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w:t>
            </w:r>
          </w:p>
        </w:tc>
        <w:tc>
          <w:tcPr>
            <w:tcW w:w="1049" w:type="dxa"/>
            <w:shd w:val="clear" w:color="auto" w:fill="auto"/>
            <w:vAlign w:val="bottom"/>
          </w:tcPr>
          <w:p w14:paraId="7CF1B819"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80,2</w:t>
            </w:r>
          </w:p>
        </w:tc>
        <w:tc>
          <w:tcPr>
            <w:tcW w:w="1048" w:type="dxa"/>
            <w:shd w:val="clear" w:color="auto" w:fill="auto"/>
            <w:vAlign w:val="bottom"/>
          </w:tcPr>
          <w:p w14:paraId="60308021"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78,4</w:t>
            </w:r>
          </w:p>
        </w:tc>
        <w:tc>
          <w:tcPr>
            <w:tcW w:w="1049" w:type="dxa"/>
            <w:shd w:val="clear" w:color="auto" w:fill="auto"/>
            <w:vAlign w:val="bottom"/>
          </w:tcPr>
          <w:p w14:paraId="3FB0654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79,7</w:t>
            </w:r>
          </w:p>
        </w:tc>
        <w:tc>
          <w:tcPr>
            <w:tcW w:w="1049" w:type="dxa"/>
            <w:shd w:val="clear" w:color="auto" w:fill="auto"/>
            <w:vAlign w:val="bottom"/>
          </w:tcPr>
          <w:p w14:paraId="6D2B29B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81,0</w:t>
            </w:r>
          </w:p>
        </w:tc>
      </w:tr>
      <w:tr w:rsidR="00FA40F2" w:rsidRPr="00EB5C81" w14:paraId="64586CDB" w14:textId="77777777" w:rsidTr="00EB5C81">
        <w:trPr>
          <w:cantSplit/>
          <w:trHeight w:val="240"/>
        </w:trPr>
        <w:tc>
          <w:tcPr>
            <w:tcW w:w="2127" w:type="dxa"/>
            <w:vMerge/>
            <w:shd w:val="clear" w:color="auto" w:fill="auto"/>
          </w:tcPr>
          <w:p w14:paraId="20F2DBC2"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1FE56C1C"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Mujeres</w:t>
            </w:r>
          </w:p>
        </w:tc>
        <w:tc>
          <w:tcPr>
            <w:tcW w:w="1049" w:type="dxa"/>
            <w:shd w:val="clear" w:color="auto" w:fill="auto"/>
            <w:vAlign w:val="bottom"/>
          </w:tcPr>
          <w:p w14:paraId="3F711E5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86,1</w:t>
            </w:r>
          </w:p>
        </w:tc>
        <w:tc>
          <w:tcPr>
            <w:tcW w:w="1048" w:type="dxa"/>
            <w:shd w:val="clear" w:color="auto" w:fill="auto"/>
            <w:vAlign w:val="bottom"/>
          </w:tcPr>
          <w:p w14:paraId="71A634A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87,1</w:t>
            </w:r>
          </w:p>
        </w:tc>
        <w:tc>
          <w:tcPr>
            <w:tcW w:w="1049" w:type="dxa"/>
            <w:shd w:val="clear" w:color="auto" w:fill="auto"/>
            <w:vAlign w:val="bottom"/>
          </w:tcPr>
          <w:p w14:paraId="103F5306"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84,9</w:t>
            </w:r>
          </w:p>
        </w:tc>
        <w:tc>
          <w:tcPr>
            <w:tcW w:w="1049" w:type="dxa"/>
            <w:shd w:val="clear" w:color="auto" w:fill="auto"/>
            <w:vAlign w:val="bottom"/>
          </w:tcPr>
          <w:p w14:paraId="6860CAF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87,3</w:t>
            </w:r>
          </w:p>
        </w:tc>
      </w:tr>
      <w:tr w:rsidR="00FA40F2" w:rsidRPr="00EB5C81" w14:paraId="2BA6CA4B" w14:textId="77777777" w:rsidTr="00EB5C81">
        <w:trPr>
          <w:cantSplit/>
          <w:trHeight w:val="240"/>
        </w:trPr>
        <w:tc>
          <w:tcPr>
            <w:tcW w:w="2127" w:type="dxa"/>
            <w:vMerge/>
            <w:tcBorders>
              <w:bottom w:val="single" w:sz="12" w:space="0" w:color="auto"/>
            </w:tcBorders>
            <w:shd w:val="clear" w:color="auto" w:fill="auto"/>
          </w:tcPr>
          <w:p w14:paraId="2F54EDB1"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tcBorders>
              <w:bottom w:val="single" w:sz="12" w:space="0" w:color="auto"/>
            </w:tcBorders>
            <w:shd w:val="clear" w:color="auto" w:fill="auto"/>
            <w:vAlign w:val="bottom"/>
          </w:tcPr>
          <w:p w14:paraId="682F7ADC"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 y mujeres</w:t>
            </w:r>
          </w:p>
        </w:tc>
        <w:tc>
          <w:tcPr>
            <w:tcW w:w="1049" w:type="dxa"/>
            <w:tcBorders>
              <w:bottom w:val="single" w:sz="12" w:space="0" w:color="auto"/>
            </w:tcBorders>
            <w:shd w:val="clear" w:color="auto" w:fill="auto"/>
            <w:vAlign w:val="bottom"/>
          </w:tcPr>
          <w:p w14:paraId="008948C8"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83,0</w:t>
            </w:r>
          </w:p>
        </w:tc>
        <w:tc>
          <w:tcPr>
            <w:tcW w:w="1048" w:type="dxa"/>
            <w:tcBorders>
              <w:bottom w:val="single" w:sz="12" w:space="0" w:color="auto"/>
            </w:tcBorders>
            <w:shd w:val="clear" w:color="auto" w:fill="auto"/>
            <w:vAlign w:val="bottom"/>
          </w:tcPr>
          <w:p w14:paraId="2DB9C1A0"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82,5</w:t>
            </w:r>
          </w:p>
        </w:tc>
        <w:tc>
          <w:tcPr>
            <w:tcW w:w="1049" w:type="dxa"/>
            <w:tcBorders>
              <w:bottom w:val="single" w:sz="12" w:space="0" w:color="auto"/>
            </w:tcBorders>
            <w:shd w:val="clear" w:color="auto" w:fill="auto"/>
            <w:vAlign w:val="bottom"/>
          </w:tcPr>
          <w:p w14:paraId="4A45EDF8"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82,2</w:t>
            </w:r>
          </w:p>
        </w:tc>
        <w:tc>
          <w:tcPr>
            <w:tcW w:w="1049" w:type="dxa"/>
            <w:tcBorders>
              <w:bottom w:val="single" w:sz="12" w:space="0" w:color="auto"/>
            </w:tcBorders>
            <w:shd w:val="clear" w:color="auto" w:fill="auto"/>
            <w:vAlign w:val="bottom"/>
          </w:tcPr>
          <w:p w14:paraId="77C71613"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84,0</w:t>
            </w:r>
          </w:p>
        </w:tc>
      </w:tr>
    </w:tbl>
    <w:p w14:paraId="38AB6E99" w14:textId="77777777" w:rsidR="00FA40F2" w:rsidRPr="00EB5C81" w:rsidRDefault="00FA40F2" w:rsidP="00EB5C81">
      <w:pPr>
        <w:pStyle w:val="SingleTxtG"/>
        <w:spacing w:before="120"/>
        <w:ind w:firstLine="170"/>
        <w:rPr>
          <w:sz w:val="18"/>
          <w:szCs w:val="18"/>
          <w:lang w:val="es-ES_tradnl"/>
        </w:rPr>
      </w:pPr>
      <w:r w:rsidRPr="00EB5C81">
        <w:rPr>
          <w:i/>
          <w:iCs/>
          <w:sz w:val="18"/>
          <w:szCs w:val="18"/>
          <w:lang w:val="es-ES_tradnl"/>
        </w:rPr>
        <w:t>Fuente:</w:t>
      </w:r>
      <w:r w:rsidRPr="00EB5C81">
        <w:rPr>
          <w:sz w:val="18"/>
          <w:szCs w:val="18"/>
          <w:lang w:val="es-ES_tradnl"/>
        </w:rPr>
        <w:t xml:space="preserve"> Dirección de Servicios de Educación y Juventud.</w:t>
      </w:r>
    </w:p>
    <w:p w14:paraId="23BEA4C6" w14:textId="77777777" w:rsidR="00FA40F2" w:rsidRPr="00FA40F2" w:rsidRDefault="00FA40F2" w:rsidP="00FA40F2">
      <w:pPr>
        <w:pStyle w:val="SingleTxtG"/>
        <w:rPr>
          <w:lang w:val="es-ES_tradnl"/>
        </w:rPr>
      </w:pPr>
      <w:r w:rsidRPr="00FA40F2">
        <w:rPr>
          <w:lang w:val="es-ES_tradnl"/>
        </w:rPr>
        <w:t>266.</w:t>
      </w:r>
      <w:r w:rsidRPr="00FA40F2">
        <w:rPr>
          <w:lang w:val="es-ES_tradnl"/>
        </w:rPr>
        <w:tab/>
        <w:t xml:space="preserve">Como resultado de la puesta en marcha de un mecanismo de notificación del abandono escolar y otros servicios de apoyo, como los servicios de consulta y asignación de plazas escolares y el </w:t>
      </w:r>
      <w:r w:rsidR="00D353FA">
        <w:rPr>
          <w:lang w:val="es-ES_tradnl"/>
        </w:rPr>
        <w:t>“</w:t>
      </w:r>
      <w:r w:rsidRPr="00FA40F2">
        <w:rPr>
          <w:lang w:val="es-ES_tradnl"/>
        </w:rPr>
        <w:t>Programa de Aprendizaje para la Adaptación</w:t>
      </w:r>
      <w:r w:rsidR="00D353FA">
        <w:rPr>
          <w:lang w:val="es-ES_tradnl"/>
        </w:rPr>
        <w:t>”</w:t>
      </w:r>
      <w:r w:rsidRPr="00FA40F2">
        <w:rPr>
          <w:lang w:val="es-ES_tradnl"/>
        </w:rPr>
        <w:t xml:space="preserve"> proporcionados por la Dirección de Servicios de Educación y Juventud, las tasas de abandono escolar se redujeron en diferentes fases educativas.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346"/>
        <w:gridCol w:w="1346"/>
        <w:gridCol w:w="1346"/>
        <w:gridCol w:w="1347"/>
      </w:tblGrid>
      <w:tr w:rsidR="00FA40F2" w:rsidRPr="001D109A" w14:paraId="5D159EBC" w14:textId="77777777" w:rsidTr="001D109A">
        <w:trPr>
          <w:cantSplit/>
          <w:trHeight w:val="240"/>
          <w:tblHeader/>
        </w:trPr>
        <w:tc>
          <w:tcPr>
            <w:tcW w:w="1985" w:type="dxa"/>
            <w:tcBorders>
              <w:top w:val="single" w:sz="4" w:space="0" w:color="auto"/>
              <w:bottom w:val="single" w:sz="12" w:space="0" w:color="auto"/>
            </w:tcBorders>
            <w:shd w:val="clear" w:color="auto" w:fill="auto"/>
            <w:vAlign w:val="bottom"/>
          </w:tcPr>
          <w:p w14:paraId="63C3F474" w14:textId="77777777" w:rsidR="00FA40F2" w:rsidRPr="001D109A" w:rsidRDefault="00FA40F2" w:rsidP="001D109A">
            <w:pPr>
              <w:pStyle w:val="SingleTxtG"/>
              <w:spacing w:before="80" w:after="80" w:line="200" w:lineRule="exact"/>
              <w:ind w:left="0" w:right="0"/>
              <w:jc w:val="left"/>
              <w:rPr>
                <w:i/>
                <w:sz w:val="16"/>
                <w:lang w:val="es-ES_tradnl"/>
              </w:rPr>
            </w:pPr>
            <w:r w:rsidRPr="001D109A">
              <w:rPr>
                <w:i/>
                <w:iCs/>
                <w:sz w:val="16"/>
                <w:lang w:val="es-ES_tradnl"/>
              </w:rPr>
              <w:t xml:space="preserve">Tasa de abandono escolar </w:t>
            </w:r>
            <w:r w:rsidR="00A86982">
              <w:rPr>
                <w:i/>
                <w:iCs/>
                <w:sz w:val="16"/>
                <w:lang w:val="es-ES_tradnl"/>
              </w:rPr>
              <w:br/>
            </w:r>
            <w:r w:rsidRPr="001D109A">
              <w:rPr>
                <w:i/>
                <w:iCs/>
                <w:sz w:val="16"/>
                <w:lang w:val="es-ES_tradnl"/>
              </w:rPr>
              <w:t>(porcentaje)</w:t>
            </w:r>
          </w:p>
        </w:tc>
        <w:tc>
          <w:tcPr>
            <w:tcW w:w="1346" w:type="dxa"/>
            <w:tcBorders>
              <w:top w:val="single" w:sz="4" w:space="0" w:color="auto"/>
              <w:bottom w:val="single" w:sz="12" w:space="0" w:color="auto"/>
            </w:tcBorders>
            <w:shd w:val="clear" w:color="auto" w:fill="auto"/>
            <w:vAlign w:val="bottom"/>
          </w:tcPr>
          <w:p w14:paraId="6F85ECA4" w14:textId="77777777" w:rsidR="00FA40F2" w:rsidRPr="001D109A" w:rsidRDefault="00FA40F2" w:rsidP="00A86982">
            <w:pPr>
              <w:pStyle w:val="SingleTxtG"/>
              <w:spacing w:before="80" w:after="80" w:line="200" w:lineRule="exact"/>
              <w:ind w:left="57" w:right="11"/>
              <w:jc w:val="left"/>
              <w:rPr>
                <w:i/>
                <w:sz w:val="16"/>
                <w:lang w:val="es-ES_tradnl"/>
              </w:rPr>
            </w:pPr>
            <w:r w:rsidRPr="001D109A">
              <w:rPr>
                <w:i/>
                <w:sz w:val="16"/>
                <w:lang w:val="es-ES_tradnl"/>
              </w:rPr>
              <w:t>Sexo</w:t>
            </w:r>
          </w:p>
        </w:tc>
        <w:tc>
          <w:tcPr>
            <w:tcW w:w="1346" w:type="dxa"/>
            <w:tcBorders>
              <w:top w:val="single" w:sz="4" w:space="0" w:color="auto"/>
              <w:bottom w:val="single" w:sz="12" w:space="0" w:color="auto"/>
            </w:tcBorders>
            <w:shd w:val="clear" w:color="auto" w:fill="auto"/>
            <w:vAlign w:val="bottom"/>
          </w:tcPr>
          <w:p w14:paraId="7FD43BFF" w14:textId="77777777" w:rsidR="00FA40F2" w:rsidRPr="001D109A" w:rsidRDefault="00FA40F2" w:rsidP="00A86982">
            <w:pPr>
              <w:pStyle w:val="SingleTxtG"/>
              <w:spacing w:before="80" w:after="80" w:line="200" w:lineRule="exact"/>
              <w:ind w:left="113" w:right="11"/>
              <w:jc w:val="right"/>
              <w:rPr>
                <w:i/>
                <w:sz w:val="16"/>
                <w:lang w:val="es-ES_tradnl"/>
              </w:rPr>
            </w:pPr>
            <w:r w:rsidRPr="001D109A">
              <w:rPr>
                <w:i/>
                <w:sz w:val="16"/>
                <w:lang w:val="es-ES_tradnl"/>
              </w:rPr>
              <w:t>2014/15</w:t>
            </w:r>
          </w:p>
        </w:tc>
        <w:tc>
          <w:tcPr>
            <w:tcW w:w="1346" w:type="dxa"/>
            <w:tcBorders>
              <w:top w:val="single" w:sz="4" w:space="0" w:color="auto"/>
              <w:bottom w:val="single" w:sz="12" w:space="0" w:color="auto"/>
            </w:tcBorders>
            <w:shd w:val="clear" w:color="auto" w:fill="auto"/>
            <w:vAlign w:val="bottom"/>
          </w:tcPr>
          <w:p w14:paraId="0C0E9F8C" w14:textId="77777777" w:rsidR="00FA40F2" w:rsidRPr="001D109A" w:rsidRDefault="00FA40F2" w:rsidP="00A86982">
            <w:pPr>
              <w:pStyle w:val="SingleTxtG"/>
              <w:spacing w:before="80" w:after="80" w:line="200" w:lineRule="exact"/>
              <w:ind w:left="113" w:right="11"/>
              <w:jc w:val="right"/>
              <w:rPr>
                <w:i/>
                <w:sz w:val="16"/>
                <w:lang w:val="es-ES_tradnl"/>
              </w:rPr>
            </w:pPr>
            <w:r w:rsidRPr="001D109A">
              <w:rPr>
                <w:i/>
                <w:sz w:val="16"/>
                <w:lang w:val="es-ES_tradnl"/>
              </w:rPr>
              <w:t>2015/16</w:t>
            </w:r>
          </w:p>
        </w:tc>
        <w:tc>
          <w:tcPr>
            <w:tcW w:w="1347" w:type="dxa"/>
            <w:tcBorders>
              <w:top w:val="single" w:sz="4" w:space="0" w:color="auto"/>
              <w:bottom w:val="single" w:sz="12" w:space="0" w:color="auto"/>
            </w:tcBorders>
            <w:shd w:val="clear" w:color="auto" w:fill="auto"/>
            <w:vAlign w:val="bottom"/>
          </w:tcPr>
          <w:p w14:paraId="280B85B8" w14:textId="77777777" w:rsidR="00FA40F2" w:rsidRPr="001D109A" w:rsidRDefault="00FA40F2" w:rsidP="00A86982">
            <w:pPr>
              <w:pStyle w:val="SingleTxtG"/>
              <w:spacing w:before="80" w:after="80" w:line="200" w:lineRule="exact"/>
              <w:ind w:left="113" w:right="11"/>
              <w:jc w:val="right"/>
              <w:rPr>
                <w:i/>
                <w:sz w:val="16"/>
                <w:lang w:val="es-ES_tradnl"/>
              </w:rPr>
            </w:pPr>
            <w:r w:rsidRPr="001D109A">
              <w:rPr>
                <w:i/>
                <w:sz w:val="16"/>
                <w:lang w:val="es-ES_tradnl"/>
              </w:rPr>
              <w:t>2016/17</w:t>
            </w:r>
          </w:p>
        </w:tc>
      </w:tr>
      <w:tr w:rsidR="00FA40F2" w:rsidRPr="001D109A" w14:paraId="5FF436D7" w14:textId="77777777" w:rsidTr="001D109A">
        <w:trPr>
          <w:cantSplit/>
          <w:trHeight w:val="240"/>
        </w:trPr>
        <w:tc>
          <w:tcPr>
            <w:tcW w:w="1985" w:type="dxa"/>
            <w:vMerge w:val="restart"/>
            <w:tcBorders>
              <w:top w:val="single" w:sz="12" w:space="0" w:color="auto"/>
            </w:tcBorders>
            <w:shd w:val="clear" w:color="auto" w:fill="auto"/>
          </w:tcPr>
          <w:p w14:paraId="217789A9" w14:textId="77777777" w:rsidR="00FA40F2" w:rsidRPr="001D109A" w:rsidRDefault="00FA40F2" w:rsidP="001D109A">
            <w:pPr>
              <w:pStyle w:val="SingleTxtG"/>
              <w:spacing w:before="40" w:after="40" w:line="220" w:lineRule="exact"/>
              <w:ind w:left="0" w:right="0"/>
              <w:jc w:val="left"/>
              <w:rPr>
                <w:sz w:val="18"/>
                <w:lang w:val="es-ES_tradnl"/>
              </w:rPr>
            </w:pPr>
            <w:r w:rsidRPr="001D109A">
              <w:rPr>
                <w:sz w:val="18"/>
                <w:lang w:val="es-ES_tradnl"/>
              </w:rPr>
              <w:t>Educación preescolar</w:t>
            </w:r>
          </w:p>
        </w:tc>
        <w:tc>
          <w:tcPr>
            <w:tcW w:w="1346" w:type="dxa"/>
            <w:tcBorders>
              <w:top w:val="single" w:sz="12" w:space="0" w:color="auto"/>
            </w:tcBorders>
            <w:shd w:val="clear" w:color="auto" w:fill="auto"/>
            <w:vAlign w:val="bottom"/>
          </w:tcPr>
          <w:p w14:paraId="01E8D970"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w:t>
            </w:r>
          </w:p>
        </w:tc>
        <w:tc>
          <w:tcPr>
            <w:tcW w:w="1346" w:type="dxa"/>
            <w:tcBorders>
              <w:top w:val="single" w:sz="12" w:space="0" w:color="auto"/>
            </w:tcBorders>
            <w:shd w:val="clear" w:color="auto" w:fill="auto"/>
            <w:vAlign w:val="bottom"/>
          </w:tcPr>
          <w:p w14:paraId="5CEA4446"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1,4</w:t>
            </w:r>
          </w:p>
        </w:tc>
        <w:tc>
          <w:tcPr>
            <w:tcW w:w="1346" w:type="dxa"/>
            <w:tcBorders>
              <w:top w:val="single" w:sz="12" w:space="0" w:color="auto"/>
            </w:tcBorders>
            <w:shd w:val="clear" w:color="auto" w:fill="auto"/>
            <w:vAlign w:val="bottom"/>
          </w:tcPr>
          <w:p w14:paraId="224A202E"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7" w:type="dxa"/>
            <w:tcBorders>
              <w:top w:val="single" w:sz="12" w:space="0" w:color="auto"/>
            </w:tcBorders>
            <w:shd w:val="clear" w:color="auto" w:fill="auto"/>
            <w:vAlign w:val="bottom"/>
          </w:tcPr>
          <w:p w14:paraId="10C13AAA"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1,1</w:t>
            </w:r>
          </w:p>
        </w:tc>
      </w:tr>
      <w:tr w:rsidR="00FA40F2" w:rsidRPr="001D109A" w14:paraId="4F25E3F4" w14:textId="77777777" w:rsidTr="001D109A">
        <w:trPr>
          <w:cantSplit/>
          <w:trHeight w:val="240"/>
        </w:trPr>
        <w:tc>
          <w:tcPr>
            <w:tcW w:w="1985" w:type="dxa"/>
            <w:vMerge/>
            <w:shd w:val="clear" w:color="auto" w:fill="auto"/>
          </w:tcPr>
          <w:p w14:paraId="36E8C0F4"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1A3F2B3B"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Mujeres</w:t>
            </w:r>
          </w:p>
        </w:tc>
        <w:tc>
          <w:tcPr>
            <w:tcW w:w="1346" w:type="dxa"/>
            <w:shd w:val="clear" w:color="auto" w:fill="auto"/>
            <w:vAlign w:val="bottom"/>
          </w:tcPr>
          <w:p w14:paraId="046A4111"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6" w:type="dxa"/>
            <w:shd w:val="clear" w:color="auto" w:fill="auto"/>
            <w:vAlign w:val="bottom"/>
          </w:tcPr>
          <w:p w14:paraId="7B4ED95A"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7" w:type="dxa"/>
            <w:shd w:val="clear" w:color="auto" w:fill="auto"/>
            <w:vAlign w:val="bottom"/>
          </w:tcPr>
          <w:p w14:paraId="1AF54A08"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1,0</w:t>
            </w:r>
          </w:p>
        </w:tc>
      </w:tr>
      <w:tr w:rsidR="00FA40F2" w:rsidRPr="001D109A" w14:paraId="3D5DC2DC" w14:textId="77777777" w:rsidTr="001D109A">
        <w:trPr>
          <w:cantSplit/>
          <w:trHeight w:val="240"/>
        </w:trPr>
        <w:tc>
          <w:tcPr>
            <w:tcW w:w="1985" w:type="dxa"/>
            <w:vMerge/>
            <w:shd w:val="clear" w:color="auto" w:fill="auto"/>
          </w:tcPr>
          <w:p w14:paraId="7BA6F9AE"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4FC57395"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 y mujeres</w:t>
            </w:r>
          </w:p>
        </w:tc>
        <w:tc>
          <w:tcPr>
            <w:tcW w:w="1346" w:type="dxa"/>
            <w:shd w:val="clear" w:color="auto" w:fill="auto"/>
            <w:vAlign w:val="bottom"/>
          </w:tcPr>
          <w:p w14:paraId="64F00035"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6" w:type="dxa"/>
            <w:shd w:val="clear" w:color="auto" w:fill="auto"/>
            <w:vAlign w:val="bottom"/>
          </w:tcPr>
          <w:p w14:paraId="6644CC5D"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7" w:type="dxa"/>
            <w:shd w:val="clear" w:color="auto" w:fill="auto"/>
            <w:vAlign w:val="bottom"/>
          </w:tcPr>
          <w:p w14:paraId="78610730"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1,0</w:t>
            </w:r>
          </w:p>
        </w:tc>
      </w:tr>
      <w:tr w:rsidR="00FA40F2" w:rsidRPr="001D109A" w14:paraId="6B40F0C8" w14:textId="77777777" w:rsidTr="001D109A">
        <w:trPr>
          <w:cantSplit/>
          <w:trHeight w:val="240"/>
        </w:trPr>
        <w:tc>
          <w:tcPr>
            <w:tcW w:w="1985" w:type="dxa"/>
            <w:vMerge w:val="restart"/>
            <w:shd w:val="clear" w:color="auto" w:fill="auto"/>
          </w:tcPr>
          <w:p w14:paraId="510946AA" w14:textId="77777777" w:rsidR="00FA40F2" w:rsidRPr="001D109A" w:rsidRDefault="00FA40F2" w:rsidP="001D109A">
            <w:pPr>
              <w:pStyle w:val="SingleTxtG"/>
              <w:spacing w:before="40" w:after="40" w:line="220" w:lineRule="exact"/>
              <w:ind w:left="0" w:right="0"/>
              <w:jc w:val="left"/>
              <w:rPr>
                <w:sz w:val="18"/>
                <w:lang w:val="es-ES_tradnl"/>
              </w:rPr>
            </w:pPr>
            <w:r w:rsidRPr="001D109A">
              <w:rPr>
                <w:sz w:val="18"/>
                <w:lang w:val="es-ES_tradnl"/>
              </w:rPr>
              <w:t>Educación primaria</w:t>
            </w:r>
          </w:p>
        </w:tc>
        <w:tc>
          <w:tcPr>
            <w:tcW w:w="1346" w:type="dxa"/>
            <w:shd w:val="clear" w:color="auto" w:fill="auto"/>
            <w:vAlign w:val="bottom"/>
          </w:tcPr>
          <w:p w14:paraId="6BE8D24E"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w:t>
            </w:r>
          </w:p>
        </w:tc>
        <w:tc>
          <w:tcPr>
            <w:tcW w:w="1346" w:type="dxa"/>
            <w:shd w:val="clear" w:color="auto" w:fill="auto"/>
            <w:vAlign w:val="bottom"/>
          </w:tcPr>
          <w:p w14:paraId="5DD8DF6A"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6" w:type="dxa"/>
            <w:shd w:val="clear" w:color="auto" w:fill="auto"/>
            <w:vAlign w:val="bottom"/>
          </w:tcPr>
          <w:p w14:paraId="63FFC0B2"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7" w:type="dxa"/>
            <w:shd w:val="clear" w:color="auto" w:fill="auto"/>
            <w:vAlign w:val="bottom"/>
          </w:tcPr>
          <w:p w14:paraId="659048AD"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r>
      <w:tr w:rsidR="00FA40F2" w:rsidRPr="001D109A" w14:paraId="2C1018DD" w14:textId="77777777" w:rsidTr="001D109A">
        <w:trPr>
          <w:cantSplit/>
          <w:trHeight w:val="240"/>
        </w:trPr>
        <w:tc>
          <w:tcPr>
            <w:tcW w:w="1985" w:type="dxa"/>
            <w:vMerge/>
            <w:shd w:val="clear" w:color="auto" w:fill="auto"/>
          </w:tcPr>
          <w:p w14:paraId="356223FD"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110B7A27"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Mujeres</w:t>
            </w:r>
          </w:p>
        </w:tc>
        <w:tc>
          <w:tcPr>
            <w:tcW w:w="1346" w:type="dxa"/>
            <w:shd w:val="clear" w:color="auto" w:fill="auto"/>
            <w:vAlign w:val="bottom"/>
          </w:tcPr>
          <w:p w14:paraId="0059EA76"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1,2</w:t>
            </w:r>
          </w:p>
        </w:tc>
        <w:tc>
          <w:tcPr>
            <w:tcW w:w="1346" w:type="dxa"/>
            <w:shd w:val="clear" w:color="auto" w:fill="auto"/>
            <w:vAlign w:val="bottom"/>
          </w:tcPr>
          <w:p w14:paraId="14845E80"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1,4</w:t>
            </w:r>
          </w:p>
        </w:tc>
        <w:tc>
          <w:tcPr>
            <w:tcW w:w="1347" w:type="dxa"/>
            <w:shd w:val="clear" w:color="auto" w:fill="auto"/>
            <w:vAlign w:val="bottom"/>
          </w:tcPr>
          <w:p w14:paraId="352A1FBB"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0,8</w:t>
            </w:r>
          </w:p>
        </w:tc>
      </w:tr>
      <w:tr w:rsidR="00FA40F2" w:rsidRPr="001D109A" w14:paraId="4A5F1823" w14:textId="77777777" w:rsidTr="001D109A">
        <w:trPr>
          <w:cantSplit/>
          <w:trHeight w:val="240"/>
        </w:trPr>
        <w:tc>
          <w:tcPr>
            <w:tcW w:w="1985" w:type="dxa"/>
            <w:vMerge/>
            <w:shd w:val="clear" w:color="auto" w:fill="auto"/>
          </w:tcPr>
          <w:p w14:paraId="0096B0BA"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30068C43"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 y mujeres</w:t>
            </w:r>
          </w:p>
        </w:tc>
        <w:tc>
          <w:tcPr>
            <w:tcW w:w="1346" w:type="dxa"/>
            <w:shd w:val="clear" w:color="auto" w:fill="auto"/>
            <w:vAlign w:val="bottom"/>
          </w:tcPr>
          <w:p w14:paraId="063FC521"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1,4</w:t>
            </w:r>
          </w:p>
        </w:tc>
        <w:tc>
          <w:tcPr>
            <w:tcW w:w="1346" w:type="dxa"/>
            <w:shd w:val="clear" w:color="auto" w:fill="auto"/>
            <w:vAlign w:val="bottom"/>
          </w:tcPr>
          <w:p w14:paraId="577A3959"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7" w:type="dxa"/>
            <w:shd w:val="clear" w:color="auto" w:fill="auto"/>
            <w:vAlign w:val="bottom"/>
          </w:tcPr>
          <w:p w14:paraId="06F6EFED"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1,1</w:t>
            </w:r>
          </w:p>
        </w:tc>
      </w:tr>
      <w:tr w:rsidR="00FA40F2" w:rsidRPr="001D109A" w14:paraId="4FBD5C8F" w14:textId="77777777" w:rsidTr="001D109A">
        <w:trPr>
          <w:cantSplit/>
          <w:trHeight w:val="240"/>
        </w:trPr>
        <w:tc>
          <w:tcPr>
            <w:tcW w:w="1985" w:type="dxa"/>
            <w:vMerge w:val="restart"/>
            <w:shd w:val="clear" w:color="auto" w:fill="auto"/>
          </w:tcPr>
          <w:p w14:paraId="3D2DC3AB" w14:textId="77777777" w:rsidR="00FA40F2" w:rsidRPr="001D109A" w:rsidRDefault="00FA40F2" w:rsidP="00807EE4">
            <w:pPr>
              <w:pStyle w:val="SingleTxtG"/>
              <w:keepNext/>
              <w:spacing w:before="40" w:after="40" w:line="220" w:lineRule="exact"/>
              <w:ind w:left="0" w:right="0"/>
              <w:jc w:val="left"/>
              <w:rPr>
                <w:sz w:val="18"/>
                <w:lang w:val="es-ES_tradnl"/>
              </w:rPr>
            </w:pPr>
            <w:r w:rsidRPr="001D109A">
              <w:rPr>
                <w:sz w:val="18"/>
                <w:lang w:val="es-ES_tradnl"/>
              </w:rPr>
              <w:t>Educación secundaria</w:t>
            </w:r>
          </w:p>
        </w:tc>
        <w:tc>
          <w:tcPr>
            <w:tcW w:w="1346" w:type="dxa"/>
            <w:shd w:val="clear" w:color="auto" w:fill="auto"/>
            <w:vAlign w:val="bottom"/>
          </w:tcPr>
          <w:p w14:paraId="1FB83F81" w14:textId="77777777" w:rsidR="00FA40F2" w:rsidRPr="001D109A" w:rsidRDefault="00FA40F2" w:rsidP="00807EE4">
            <w:pPr>
              <w:pStyle w:val="SingleTxtG"/>
              <w:keepNext/>
              <w:spacing w:before="40" w:after="40" w:line="220" w:lineRule="exact"/>
              <w:ind w:left="57" w:right="11"/>
              <w:jc w:val="left"/>
              <w:rPr>
                <w:sz w:val="18"/>
                <w:lang w:val="es-ES_tradnl"/>
              </w:rPr>
            </w:pPr>
            <w:r w:rsidRPr="001D109A">
              <w:rPr>
                <w:iCs/>
                <w:sz w:val="18"/>
                <w:lang w:val="es-ES_tradnl"/>
              </w:rPr>
              <w:t>Hombres</w:t>
            </w:r>
          </w:p>
        </w:tc>
        <w:tc>
          <w:tcPr>
            <w:tcW w:w="1346" w:type="dxa"/>
            <w:shd w:val="clear" w:color="auto" w:fill="auto"/>
            <w:vAlign w:val="bottom"/>
          </w:tcPr>
          <w:p w14:paraId="7A68FD2B" w14:textId="77777777" w:rsidR="00FA40F2" w:rsidRPr="001D109A" w:rsidRDefault="00FA40F2" w:rsidP="00807EE4">
            <w:pPr>
              <w:pStyle w:val="SingleTxtG"/>
              <w:keepNext/>
              <w:spacing w:before="40" w:after="40" w:line="220" w:lineRule="exact"/>
              <w:ind w:left="113" w:right="11"/>
              <w:jc w:val="right"/>
              <w:rPr>
                <w:sz w:val="18"/>
                <w:lang w:val="es-ES_tradnl"/>
              </w:rPr>
            </w:pPr>
            <w:r w:rsidRPr="001D109A">
              <w:rPr>
                <w:sz w:val="18"/>
                <w:lang w:val="es-ES_tradnl"/>
              </w:rPr>
              <w:t>4,2</w:t>
            </w:r>
          </w:p>
        </w:tc>
        <w:tc>
          <w:tcPr>
            <w:tcW w:w="1346" w:type="dxa"/>
            <w:shd w:val="clear" w:color="auto" w:fill="auto"/>
            <w:vAlign w:val="bottom"/>
          </w:tcPr>
          <w:p w14:paraId="28C55B80" w14:textId="77777777" w:rsidR="00FA40F2" w:rsidRPr="001D109A" w:rsidRDefault="00FA40F2" w:rsidP="00807EE4">
            <w:pPr>
              <w:pStyle w:val="SingleTxtG"/>
              <w:keepNext/>
              <w:spacing w:before="40" w:after="40" w:line="220" w:lineRule="exact"/>
              <w:ind w:left="113" w:right="11"/>
              <w:jc w:val="right"/>
              <w:rPr>
                <w:sz w:val="18"/>
                <w:lang w:val="es-ES_tradnl"/>
              </w:rPr>
            </w:pPr>
            <w:r w:rsidRPr="001D109A">
              <w:rPr>
                <w:sz w:val="18"/>
                <w:lang w:val="es-ES_tradnl"/>
              </w:rPr>
              <w:t>3,7</w:t>
            </w:r>
          </w:p>
        </w:tc>
        <w:tc>
          <w:tcPr>
            <w:tcW w:w="1347" w:type="dxa"/>
            <w:shd w:val="clear" w:color="auto" w:fill="auto"/>
            <w:vAlign w:val="bottom"/>
          </w:tcPr>
          <w:p w14:paraId="36540129" w14:textId="77777777" w:rsidR="00FA40F2" w:rsidRPr="001D109A" w:rsidRDefault="00FA40F2" w:rsidP="00807EE4">
            <w:pPr>
              <w:pStyle w:val="SingleTxtG"/>
              <w:keepNext/>
              <w:spacing w:before="40" w:after="40" w:line="220" w:lineRule="exact"/>
              <w:ind w:left="113" w:right="11"/>
              <w:jc w:val="right"/>
              <w:rPr>
                <w:sz w:val="18"/>
                <w:lang w:val="es-ES_tradnl"/>
              </w:rPr>
            </w:pPr>
            <w:r w:rsidRPr="001D109A">
              <w:rPr>
                <w:sz w:val="18"/>
                <w:lang w:val="es-ES_tradnl"/>
              </w:rPr>
              <w:t>3,8</w:t>
            </w:r>
          </w:p>
        </w:tc>
      </w:tr>
      <w:tr w:rsidR="00FA40F2" w:rsidRPr="001D109A" w14:paraId="1269FF4F" w14:textId="77777777" w:rsidTr="001D109A">
        <w:trPr>
          <w:cantSplit/>
          <w:trHeight w:val="240"/>
        </w:trPr>
        <w:tc>
          <w:tcPr>
            <w:tcW w:w="1985" w:type="dxa"/>
            <w:vMerge/>
            <w:shd w:val="clear" w:color="auto" w:fill="auto"/>
          </w:tcPr>
          <w:p w14:paraId="2E94AB8C"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1885EC49"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Mujeres</w:t>
            </w:r>
          </w:p>
        </w:tc>
        <w:tc>
          <w:tcPr>
            <w:tcW w:w="1346" w:type="dxa"/>
            <w:shd w:val="clear" w:color="auto" w:fill="auto"/>
            <w:vAlign w:val="bottom"/>
          </w:tcPr>
          <w:p w14:paraId="64C65880"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3,1</w:t>
            </w:r>
          </w:p>
        </w:tc>
        <w:tc>
          <w:tcPr>
            <w:tcW w:w="1346" w:type="dxa"/>
            <w:shd w:val="clear" w:color="auto" w:fill="auto"/>
            <w:vAlign w:val="bottom"/>
          </w:tcPr>
          <w:p w14:paraId="283E183E"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2,7</w:t>
            </w:r>
          </w:p>
        </w:tc>
        <w:tc>
          <w:tcPr>
            <w:tcW w:w="1347" w:type="dxa"/>
            <w:shd w:val="clear" w:color="auto" w:fill="auto"/>
            <w:vAlign w:val="bottom"/>
          </w:tcPr>
          <w:p w14:paraId="7134D205"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2,3</w:t>
            </w:r>
          </w:p>
        </w:tc>
      </w:tr>
      <w:tr w:rsidR="00FA40F2" w:rsidRPr="001D109A" w14:paraId="1053BCA6" w14:textId="77777777" w:rsidTr="001D109A">
        <w:trPr>
          <w:cantSplit/>
          <w:trHeight w:val="240"/>
        </w:trPr>
        <w:tc>
          <w:tcPr>
            <w:tcW w:w="1985" w:type="dxa"/>
            <w:vMerge/>
            <w:tcBorders>
              <w:bottom w:val="single" w:sz="12" w:space="0" w:color="auto"/>
            </w:tcBorders>
            <w:shd w:val="clear" w:color="auto" w:fill="auto"/>
          </w:tcPr>
          <w:p w14:paraId="077425FC"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tcBorders>
              <w:bottom w:val="single" w:sz="12" w:space="0" w:color="auto"/>
            </w:tcBorders>
            <w:shd w:val="clear" w:color="auto" w:fill="auto"/>
            <w:vAlign w:val="bottom"/>
          </w:tcPr>
          <w:p w14:paraId="0DE1F570"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 y mujeres</w:t>
            </w:r>
          </w:p>
        </w:tc>
        <w:tc>
          <w:tcPr>
            <w:tcW w:w="1346" w:type="dxa"/>
            <w:tcBorders>
              <w:bottom w:val="single" w:sz="12" w:space="0" w:color="auto"/>
            </w:tcBorders>
            <w:shd w:val="clear" w:color="auto" w:fill="auto"/>
            <w:vAlign w:val="bottom"/>
          </w:tcPr>
          <w:p w14:paraId="309188B4"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3,6</w:t>
            </w:r>
          </w:p>
        </w:tc>
        <w:tc>
          <w:tcPr>
            <w:tcW w:w="1346" w:type="dxa"/>
            <w:tcBorders>
              <w:bottom w:val="single" w:sz="12" w:space="0" w:color="auto"/>
            </w:tcBorders>
            <w:shd w:val="clear" w:color="auto" w:fill="auto"/>
            <w:vAlign w:val="bottom"/>
          </w:tcPr>
          <w:p w14:paraId="5A363203"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3,2</w:t>
            </w:r>
          </w:p>
        </w:tc>
        <w:tc>
          <w:tcPr>
            <w:tcW w:w="1347" w:type="dxa"/>
            <w:tcBorders>
              <w:bottom w:val="single" w:sz="12" w:space="0" w:color="auto"/>
            </w:tcBorders>
            <w:shd w:val="clear" w:color="auto" w:fill="auto"/>
            <w:vAlign w:val="bottom"/>
          </w:tcPr>
          <w:p w14:paraId="6C298803"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3,1</w:t>
            </w:r>
          </w:p>
        </w:tc>
      </w:tr>
    </w:tbl>
    <w:p w14:paraId="7778F2F6" w14:textId="77777777" w:rsidR="00FA40F2" w:rsidRPr="001D109A" w:rsidRDefault="00FA40F2" w:rsidP="001D109A">
      <w:pPr>
        <w:pStyle w:val="SingleTxtG"/>
        <w:spacing w:before="120"/>
        <w:ind w:firstLine="170"/>
        <w:rPr>
          <w:sz w:val="18"/>
          <w:szCs w:val="18"/>
          <w:lang w:val="es-ES_tradnl"/>
        </w:rPr>
      </w:pPr>
      <w:r w:rsidRPr="001D109A">
        <w:rPr>
          <w:i/>
          <w:iCs/>
          <w:sz w:val="18"/>
          <w:szCs w:val="18"/>
          <w:lang w:val="es-ES_tradnl"/>
        </w:rPr>
        <w:t>Fuente:</w:t>
      </w:r>
      <w:r w:rsidRPr="001D109A">
        <w:rPr>
          <w:sz w:val="18"/>
          <w:szCs w:val="18"/>
          <w:lang w:val="es-ES_tradnl"/>
        </w:rPr>
        <w:t xml:space="preserve"> Dirección de Servicios de Educación y Juventud.</w:t>
      </w:r>
    </w:p>
    <w:p w14:paraId="760DAC38" w14:textId="77777777" w:rsidR="00FA40F2" w:rsidRPr="00FA40F2" w:rsidRDefault="00FA40F2" w:rsidP="00FA40F2">
      <w:pPr>
        <w:pStyle w:val="SingleTxtG"/>
        <w:rPr>
          <w:lang w:val="es-ES_tradnl"/>
        </w:rPr>
      </w:pPr>
      <w:r w:rsidRPr="00FA40F2">
        <w:rPr>
          <w:lang w:val="es-ES_tradnl"/>
        </w:rPr>
        <w:t>267.</w:t>
      </w:r>
      <w:r w:rsidRPr="00FA40F2">
        <w:rPr>
          <w:lang w:val="es-ES_tradnl"/>
        </w:rPr>
        <w:tab/>
        <w:t xml:space="preserve">Como se mencionó en informes anteriores, el Gobierno de la RAE de Macao ha establecido una red de educación gratuita, integrada por escuelas públicas y privadas subvencionadas. Se ha aumentado la cuantía del subsidio de educación gratuita (Reglamento Administrativo </w:t>
      </w:r>
      <w:r w:rsidR="00E27276">
        <w:rPr>
          <w:lang w:val="es-ES_tradnl"/>
        </w:rPr>
        <w:t>núm. </w:t>
      </w:r>
      <w:r w:rsidRPr="00FA40F2">
        <w:rPr>
          <w:lang w:val="es-ES_tradnl"/>
        </w:rPr>
        <w:t xml:space="preserve">19/2006, modificado) que se concede a las escuelas privadas subvencionadas (Orden </w:t>
      </w:r>
      <w:r w:rsidR="00E27276">
        <w:rPr>
          <w:lang w:val="es-ES_tradnl"/>
        </w:rPr>
        <w:t>núm. </w:t>
      </w:r>
      <w:r w:rsidRPr="00FA40F2">
        <w:rPr>
          <w:lang w:val="es-ES_tradnl"/>
        </w:rPr>
        <w:t xml:space="preserve">162/2017 del </w:t>
      </w:r>
      <w:proofErr w:type="gramStart"/>
      <w:r w:rsidRPr="00FA40F2">
        <w:rPr>
          <w:lang w:val="es-ES_tradnl"/>
        </w:rPr>
        <w:t>Jefe</w:t>
      </w:r>
      <w:proofErr w:type="gramEnd"/>
      <w:r w:rsidRPr="00FA40F2">
        <w:rPr>
          <w:lang w:val="es-ES_tradnl"/>
        </w:rPr>
        <w:t xml:space="preserve"> del Ejecutivo). Entre los cursos académicos </w:t>
      </w:r>
      <w:r w:rsidRPr="00FA40F2">
        <w:rPr>
          <w:lang w:val="es-ES_tradnl"/>
        </w:rPr>
        <w:lastRenderedPageBreak/>
        <w:t>2014/15 y 2017/18, 243.565 estudiantes (126.319 hombres y 117.246 mujeres) se beneficiaron del subsidio, por un total de 8.416.233.917 patacas de Macao.</w:t>
      </w:r>
    </w:p>
    <w:p w14:paraId="0594CD12" w14:textId="77777777" w:rsidR="00FA40F2" w:rsidRPr="00FA40F2" w:rsidRDefault="00FA40F2" w:rsidP="00292F3E">
      <w:pPr>
        <w:pStyle w:val="SingleTxtG"/>
        <w:rPr>
          <w:lang w:val="es-ES_tradnl"/>
        </w:rPr>
      </w:pPr>
      <w:r w:rsidRPr="00FA40F2">
        <w:rPr>
          <w:lang w:val="es-ES_tradnl"/>
        </w:rPr>
        <w:t>268.</w:t>
      </w:r>
      <w:r w:rsidRPr="00FA40F2">
        <w:rPr>
          <w:lang w:val="es-ES_tradnl"/>
        </w:rPr>
        <w:tab/>
        <w:t xml:space="preserve">Los estudiantes de la red de educación no gratuita (Reglamento Administrativo </w:t>
      </w:r>
      <w:r w:rsidR="00E27276">
        <w:rPr>
          <w:lang w:val="es-ES_tradnl"/>
        </w:rPr>
        <w:t>núm. </w:t>
      </w:r>
      <w:r w:rsidRPr="00FA40F2">
        <w:rPr>
          <w:lang w:val="es-ES_tradnl"/>
        </w:rPr>
        <w:t>20/2006, modificado) siguen recibiendo subsidios para gastos de matrícula. El</w:t>
      </w:r>
      <w:r w:rsidR="00292F3E">
        <w:rPr>
          <w:lang w:val="es-ES_tradnl"/>
        </w:rPr>
        <w:t> </w:t>
      </w:r>
      <w:r w:rsidRPr="00FA40F2">
        <w:rPr>
          <w:lang w:val="es-ES_tradnl"/>
        </w:rPr>
        <w:t xml:space="preserve">importe de estas ayudas se ha incrementado (Orden </w:t>
      </w:r>
      <w:r w:rsidR="00E27276">
        <w:rPr>
          <w:lang w:val="es-ES_tradnl"/>
        </w:rPr>
        <w:t>núm. </w:t>
      </w:r>
      <w:r w:rsidRPr="00FA40F2">
        <w:rPr>
          <w:lang w:val="es-ES_tradnl"/>
        </w:rPr>
        <w:t xml:space="preserve">163/2017 del </w:t>
      </w:r>
      <w:proofErr w:type="gramStart"/>
      <w:r w:rsidRPr="00FA40F2">
        <w:rPr>
          <w:lang w:val="es-ES_tradnl"/>
        </w:rPr>
        <w:t>Jefe</w:t>
      </w:r>
      <w:proofErr w:type="gramEnd"/>
      <w:r w:rsidRPr="00FA40F2">
        <w:rPr>
          <w:lang w:val="es-ES_tradnl"/>
        </w:rPr>
        <w:t xml:space="preserve"> del Ejecutivo). Entre los cursos 2014/15 y 2017/18, el total de beneficiarios ascendió a 38.860 (20.164 hombres y 18.696 mujeres), que en conjunto recibieron 773.314.585 patacas de Macao.</w:t>
      </w:r>
    </w:p>
    <w:p w14:paraId="388BCE3B" w14:textId="77777777" w:rsidR="00FA40F2" w:rsidRPr="00FA40F2" w:rsidRDefault="00FA40F2" w:rsidP="00FA40F2">
      <w:pPr>
        <w:pStyle w:val="SingleTxtG"/>
        <w:rPr>
          <w:lang w:val="es-ES_tradnl"/>
        </w:rPr>
      </w:pPr>
      <w:r w:rsidRPr="00FA40F2">
        <w:rPr>
          <w:lang w:val="es-ES_tradnl"/>
        </w:rPr>
        <w:t>269.</w:t>
      </w:r>
      <w:r w:rsidRPr="00FA40F2">
        <w:rPr>
          <w:lang w:val="es-ES_tradnl"/>
        </w:rPr>
        <w:tab/>
        <w:t xml:space="preserve">Los estudiantes de familias económicamente desfavorecidas siguen teniendo la posibilidad de recibir subsidios de matrícula, subsidios para comidas y subsidios para material de papelería (Orden </w:t>
      </w:r>
      <w:r w:rsidR="00E27276">
        <w:rPr>
          <w:lang w:val="es-ES_tradnl"/>
        </w:rPr>
        <w:t>núm. </w:t>
      </w:r>
      <w:r w:rsidRPr="00FA40F2">
        <w:rPr>
          <w:lang w:val="es-ES_tradnl"/>
        </w:rPr>
        <w:t>134/2010 de la Secretaría de Asuntos Sociales y Cultura, modificada). Entre los cursos 2014/15 y 2017/18, se concedieron subsidios de matrícula a</w:t>
      </w:r>
      <w:r w:rsidR="00D270A8">
        <w:rPr>
          <w:lang w:val="es-ES_tradnl"/>
        </w:rPr>
        <w:t> </w:t>
      </w:r>
      <w:r w:rsidRPr="00FA40F2">
        <w:rPr>
          <w:lang w:val="es-ES_tradnl"/>
        </w:rPr>
        <w:t>262 estudiantes (144 hombres y 118 mujeres), por un importe total de 1.408.200 patacas de</w:t>
      </w:r>
      <w:r w:rsidR="00D270A8">
        <w:rPr>
          <w:lang w:val="es-ES_tradnl"/>
        </w:rPr>
        <w:t> </w:t>
      </w:r>
      <w:r w:rsidRPr="00FA40F2">
        <w:rPr>
          <w:lang w:val="es-ES_tradnl"/>
        </w:rPr>
        <w:t>Macao; se concedieron subsidios para material escolar a 12.334 estudiantes (6.148</w:t>
      </w:r>
      <w:r w:rsidR="00D270A8">
        <w:rPr>
          <w:lang w:val="es-ES_tradnl"/>
        </w:rPr>
        <w:t> </w:t>
      </w:r>
      <w:r w:rsidRPr="00FA40F2">
        <w:rPr>
          <w:lang w:val="es-ES_tradnl"/>
        </w:rPr>
        <w:t>hombres y 6.186 mujeres), por un total de 29.895.800 patacas de Macao, y 11.793</w:t>
      </w:r>
      <w:r w:rsidR="00D270A8">
        <w:rPr>
          <w:lang w:val="es-ES_tradnl"/>
        </w:rPr>
        <w:t> </w:t>
      </w:r>
      <w:r w:rsidRPr="00FA40F2">
        <w:rPr>
          <w:lang w:val="es-ES_tradnl"/>
        </w:rPr>
        <w:t>estudiantes (5.811 hombres y 5.982 mujeres) recibieron subsidios para comidas, por un total de 38.453.200 patacas de Macao. En lo que respecta a los subsidios para libros de texto y artículos de papelería, se concedieron a 292.019 estudiantes (151.985 hombres y 140.034 mujeres), por una cuantía total de 753.379.800 patacas de Macao.</w:t>
      </w:r>
    </w:p>
    <w:p w14:paraId="66738B18" w14:textId="77777777" w:rsidR="00FA40F2" w:rsidRPr="00FA40F2" w:rsidRDefault="00FA40F2" w:rsidP="001D109A">
      <w:pPr>
        <w:pStyle w:val="H23G"/>
        <w:rPr>
          <w:lang w:val="es-ES_tradnl"/>
        </w:rPr>
      </w:pPr>
      <w:r w:rsidRPr="00FA40F2">
        <w:rPr>
          <w:lang w:val="es-ES_tradnl"/>
        </w:rPr>
        <w:tab/>
      </w:r>
      <w:r w:rsidR="001D109A">
        <w:rPr>
          <w:lang w:val="es-ES_tradnl"/>
        </w:rPr>
        <w:tab/>
      </w:r>
      <w:r w:rsidRPr="00FA40F2">
        <w:rPr>
          <w:lang w:val="es-ES_tradnl"/>
        </w:rPr>
        <w:t>Educación especial</w:t>
      </w:r>
    </w:p>
    <w:p w14:paraId="79ABF381" w14:textId="77777777" w:rsidR="00FA40F2" w:rsidRPr="00FA40F2" w:rsidRDefault="00FA40F2" w:rsidP="00FA40F2">
      <w:pPr>
        <w:pStyle w:val="SingleTxtG"/>
        <w:rPr>
          <w:lang w:val="es-ES_tradnl"/>
        </w:rPr>
      </w:pPr>
      <w:r w:rsidRPr="00FA40F2">
        <w:rPr>
          <w:lang w:val="es-ES_tradnl"/>
        </w:rPr>
        <w:t>270.</w:t>
      </w:r>
      <w:r w:rsidRPr="00FA40F2">
        <w:rPr>
          <w:lang w:val="es-ES_tradnl"/>
        </w:rPr>
        <w:tab/>
        <w:t xml:space="preserve">Cabe reiterar que la educación inclusiva es la principal opción del Gobierno en lo que se refiere a la educación especial (Decreto Ley </w:t>
      </w:r>
      <w:r w:rsidR="00E27276">
        <w:rPr>
          <w:lang w:val="es-ES_tradnl"/>
        </w:rPr>
        <w:t>núm. </w:t>
      </w:r>
      <w:r w:rsidRPr="00FA40F2">
        <w:rPr>
          <w:lang w:val="es-ES_tradnl"/>
        </w:rPr>
        <w:t xml:space="preserve">33/96/M). </w:t>
      </w:r>
    </w:p>
    <w:p w14:paraId="54A98942" w14:textId="77777777" w:rsidR="00FA40F2" w:rsidRPr="00FA40F2" w:rsidRDefault="00FA40F2" w:rsidP="00FA40F2">
      <w:pPr>
        <w:pStyle w:val="SingleTxtG"/>
        <w:rPr>
          <w:lang w:val="es-ES_tradnl"/>
        </w:rPr>
      </w:pPr>
      <w:r w:rsidRPr="00FA40F2">
        <w:rPr>
          <w:lang w:val="es-ES_tradnl"/>
        </w:rPr>
        <w:t>271.</w:t>
      </w:r>
      <w:r w:rsidRPr="00FA40F2">
        <w:rPr>
          <w:lang w:val="es-ES_tradnl"/>
        </w:rPr>
        <w:tab/>
        <w:t xml:space="preserve">En el curso 2018/19, hay 2.301 estudiantes (1.650 hombres y 651 mujeres) con necesidades educativas especiales. Entre los cursos 2014/15 y 2018/19, el número de alumnos que recibieron educación inclusiva no terciaria aumentó, al pasar de 806 a 1.480, en aulas pequeñas de soporte a la educación especial pasó de 153 a 215, y en clases de educación especial, de 471 a 606. </w:t>
      </w:r>
    </w:p>
    <w:tbl>
      <w:tblPr>
        <w:tblW w:w="8504" w:type="dxa"/>
        <w:tblInd w:w="1134" w:type="dxa"/>
        <w:tblBorders>
          <w:top w:val="single" w:sz="4" w:space="0" w:color="auto"/>
        </w:tblBorders>
        <w:tblCellMar>
          <w:left w:w="0" w:type="dxa"/>
          <w:right w:w="0" w:type="dxa"/>
        </w:tblCellMar>
        <w:tblLook w:val="01E0" w:firstRow="1" w:lastRow="1" w:firstColumn="1" w:lastColumn="1" w:noHBand="0" w:noVBand="0"/>
      </w:tblPr>
      <w:tblGrid>
        <w:gridCol w:w="1545"/>
        <w:gridCol w:w="711"/>
        <w:gridCol w:w="681"/>
        <w:gridCol w:w="711"/>
        <w:gridCol w:w="681"/>
        <w:gridCol w:w="711"/>
        <w:gridCol w:w="682"/>
        <w:gridCol w:w="711"/>
        <w:gridCol w:w="682"/>
        <w:gridCol w:w="711"/>
        <w:gridCol w:w="678"/>
      </w:tblGrid>
      <w:tr w:rsidR="00C005AF" w:rsidRPr="00434E1A" w14:paraId="4C24AE1A" w14:textId="77777777" w:rsidTr="004E761B">
        <w:trPr>
          <w:cantSplit/>
          <w:trHeight w:val="240"/>
          <w:tblHeader/>
        </w:trPr>
        <w:tc>
          <w:tcPr>
            <w:tcW w:w="917" w:type="pct"/>
            <w:tcBorders>
              <w:top w:val="single" w:sz="4" w:space="0" w:color="auto"/>
              <w:bottom w:val="single" w:sz="4" w:space="0" w:color="auto"/>
            </w:tcBorders>
            <w:shd w:val="clear" w:color="auto" w:fill="auto"/>
            <w:vAlign w:val="bottom"/>
          </w:tcPr>
          <w:p w14:paraId="07038A50" w14:textId="77777777" w:rsidR="00FA40F2" w:rsidRPr="00434E1A" w:rsidRDefault="00FA40F2" w:rsidP="00434E1A">
            <w:pPr>
              <w:pStyle w:val="SingleTxtG"/>
              <w:spacing w:before="80" w:after="80" w:line="200" w:lineRule="exact"/>
              <w:ind w:left="0" w:right="0"/>
              <w:jc w:val="left"/>
              <w:rPr>
                <w:i/>
                <w:sz w:val="16"/>
                <w:lang w:val="es-ES_tradnl"/>
              </w:rPr>
            </w:pPr>
            <w:r w:rsidRPr="00434E1A">
              <w:rPr>
                <w:i/>
                <w:iCs/>
                <w:sz w:val="16"/>
                <w:lang w:val="es-ES_tradnl"/>
              </w:rPr>
              <w:t>Curso académico</w:t>
            </w:r>
          </w:p>
        </w:tc>
        <w:tc>
          <w:tcPr>
            <w:tcW w:w="817" w:type="pct"/>
            <w:gridSpan w:val="2"/>
            <w:tcBorders>
              <w:top w:val="single" w:sz="4" w:space="0" w:color="auto"/>
              <w:bottom w:val="single" w:sz="4" w:space="0" w:color="auto"/>
            </w:tcBorders>
            <w:shd w:val="clear" w:color="auto" w:fill="auto"/>
            <w:vAlign w:val="bottom"/>
          </w:tcPr>
          <w:p w14:paraId="2DDDD0AB"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2014/15</w:t>
            </w:r>
          </w:p>
        </w:tc>
        <w:tc>
          <w:tcPr>
            <w:tcW w:w="817" w:type="pct"/>
            <w:gridSpan w:val="2"/>
            <w:tcBorders>
              <w:top w:val="single" w:sz="4" w:space="0" w:color="auto"/>
              <w:bottom w:val="single" w:sz="4" w:space="0" w:color="auto"/>
            </w:tcBorders>
            <w:shd w:val="clear" w:color="auto" w:fill="auto"/>
            <w:vAlign w:val="bottom"/>
          </w:tcPr>
          <w:p w14:paraId="319AED0A"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2015/16</w:t>
            </w:r>
          </w:p>
        </w:tc>
        <w:tc>
          <w:tcPr>
            <w:tcW w:w="817" w:type="pct"/>
            <w:gridSpan w:val="2"/>
            <w:tcBorders>
              <w:top w:val="single" w:sz="4" w:space="0" w:color="auto"/>
              <w:bottom w:val="single" w:sz="4" w:space="0" w:color="auto"/>
            </w:tcBorders>
            <w:shd w:val="clear" w:color="auto" w:fill="auto"/>
            <w:vAlign w:val="bottom"/>
          </w:tcPr>
          <w:p w14:paraId="1F8465F6"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2016/17</w:t>
            </w:r>
          </w:p>
        </w:tc>
        <w:tc>
          <w:tcPr>
            <w:tcW w:w="817" w:type="pct"/>
            <w:gridSpan w:val="2"/>
            <w:tcBorders>
              <w:top w:val="single" w:sz="4" w:space="0" w:color="auto"/>
              <w:bottom w:val="single" w:sz="4" w:space="0" w:color="auto"/>
            </w:tcBorders>
            <w:shd w:val="clear" w:color="auto" w:fill="auto"/>
            <w:vAlign w:val="bottom"/>
          </w:tcPr>
          <w:p w14:paraId="3548533A"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2017/18</w:t>
            </w:r>
          </w:p>
        </w:tc>
        <w:tc>
          <w:tcPr>
            <w:tcW w:w="817" w:type="pct"/>
            <w:gridSpan w:val="2"/>
            <w:tcBorders>
              <w:top w:val="single" w:sz="4" w:space="0" w:color="auto"/>
              <w:bottom w:val="single" w:sz="4" w:space="0" w:color="auto"/>
            </w:tcBorders>
            <w:shd w:val="clear" w:color="auto" w:fill="auto"/>
            <w:vAlign w:val="bottom"/>
          </w:tcPr>
          <w:p w14:paraId="32ADAF23"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2018/19</w:t>
            </w:r>
          </w:p>
        </w:tc>
      </w:tr>
      <w:tr w:rsidR="00434E1A" w:rsidRPr="00434E1A" w14:paraId="01E5C5F4" w14:textId="77777777" w:rsidTr="004E761B">
        <w:trPr>
          <w:cantSplit/>
          <w:trHeight w:val="240"/>
        </w:trPr>
        <w:tc>
          <w:tcPr>
            <w:tcW w:w="917" w:type="pct"/>
            <w:tcBorders>
              <w:top w:val="single" w:sz="4" w:space="0" w:color="auto"/>
              <w:bottom w:val="single" w:sz="12" w:space="0" w:color="auto"/>
            </w:tcBorders>
            <w:shd w:val="clear" w:color="auto" w:fill="auto"/>
          </w:tcPr>
          <w:p w14:paraId="3637F3DD" w14:textId="77777777" w:rsidR="00FA40F2" w:rsidRPr="00434E1A" w:rsidRDefault="00FA40F2" w:rsidP="00434E1A">
            <w:pPr>
              <w:pStyle w:val="SingleTxtG"/>
              <w:spacing w:before="80" w:after="80" w:line="200" w:lineRule="exact"/>
              <w:ind w:left="0" w:right="0"/>
              <w:jc w:val="left"/>
              <w:rPr>
                <w:i/>
                <w:iCs/>
                <w:sz w:val="16"/>
                <w:lang w:val="es-ES_tradnl"/>
              </w:rPr>
            </w:pPr>
            <w:r w:rsidRPr="00434E1A">
              <w:rPr>
                <w:i/>
                <w:iCs/>
                <w:sz w:val="16"/>
                <w:lang w:val="es-ES_tradnl"/>
              </w:rPr>
              <w:t>Sexo/Grupo de edad</w:t>
            </w:r>
          </w:p>
        </w:tc>
        <w:tc>
          <w:tcPr>
            <w:tcW w:w="408" w:type="pct"/>
            <w:tcBorders>
              <w:top w:val="single" w:sz="4" w:space="0" w:color="auto"/>
              <w:bottom w:val="single" w:sz="12" w:space="0" w:color="auto"/>
            </w:tcBorders>
            <w:shd w:val="clear" w:color="auto" w:fill="auto"/>
            <w:vAlign w:val="bottom"/>
          </w:tcPr>
          <w:p w14:paraId="1B9325A7"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77182C44"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75671A2C"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0F63F25D"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08558E50"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55415333"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4621B7F3"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169AB8C0"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48AE5E90"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7" w:type="pct"/>
            <w:tcBorders>
              <w:top w:val="single" w:sz="4" w:space="0" w:color="auto"/>
              <w:bottom w:val="single" w:sz="12" w:space="0" w:color="auto"/>
            </w:tcBorders>
            <w:shd w:val="clear" w:color="auto" w:fill="auto"/>
            <w:vAlign w:val="bottom"/>
          </w:tcPr>
          <w:p w14:paraId="646E98B8"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r>
      <w:tr w:rsidR="00434E1A" w:rsidRPr="00434E1A" w14:paraId="34220FF0" w14:textId="77777777" w:rsidTr="004E761B">
        <w:trPr>
          <w:cantSplit/>
          <w:trHeight w:val="240"/>
        </w:trPr>
        <w:tc>
          <w:tcPr>
            <w:tcW w:w="917" w:type="pct"/>
            <w:tcBorders>
              <w:top w:val="single" w:sz="12" w:space="0" w:color="auto"/>
            </w:tcBorders>
            <w:shd w:val="clear" w:color="auto" w:fill="auto"/>
          </w:tcPr>
          <w:p w14:paraId="66E7E5D3" w14:textId="77777777" w:rsidR="00FA40F2" w:rsidRPr="00434E1A" w:rsidRDefault="00434E1A" w:rsidP="00434E1A">
            <w:pPr>
              <w:pStyle w:val="SingleTxtG"/>
              <w:spacing w:before="40" w:after="40" w:line="220" w:lineRule="exact"/>
              <w:ind w:left="0" w:right="0"/>
              <w:jc w:val="left"/>
              <w:rPr>
                <w:sz w:val="18"/>
                <w:lang w:val="es-ES_tradnl"/>
              </w:rPr>
            </w:pPr>
            <w:r>
              <w:rPr>
                <w:sz w:val="18"/>
                <w:lang w:val="es-ES_tradnl"/>
              </w:rPr>
              <w:t xml:space="preserve">De </w:t>
            </w:r>
            <w:r w:rsidR="00FA40F2" w:rsidRPr="00434E1A">
              <w:rPr>
                <w:sz w:val="18"/>
                <w:lang w:val="es-ES_tradnl"/>
              </w:rPr>
              <w:t>3 a 5</w:t>
            </w:r>
            <w:r>
              <w:rPr>
                <w:sz w:val="18"/>
                <w:lang w:val="es-ES_tradnl"/>
              </w:rPr>
              <w:t> </w:t>
            </w:r>
            <w:r w:rsidR="00FA40F2" w:rsidRPr="00434E1A">
              <w:rPr>
                <w:sz w:val="18"/>
                <w:lang w:val="es-ES_tradnl"/>
              </w:rPr>
              <w:t>años</w:t>
            </w:r>
          </w:p>
        </w:tc>
        <w:tc>
          <w:tcPr>
            <w:tcW w:w="408" w:type="pct"/>
            <w:tcBorders>
              <w:top w:val="single" w:sz="12" w:space="0" w:color="auto"/>
            </w:tcBorders>
            <w:shd w:val="clear" w:color="auto" w:fill="auto"/>
            <w:vAlign w:val="bottom"/>
          </w:tcPr>
          <w:p w14:paraId="6968B4B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169</w:t>
            </w:r>
          </w:p>
        </w:tc>
        <w:tc>
          <w:tcPr>
            <w:tcW w:w="409" w:type="pct"/>
            <w:tcBorders>
              <w:top w:val="single" w:sz="12" w:space="0" w:color="auto"/>
            </w:tcBorders>
            <w:shd w:val="clear" w:color="auto" w:fill="auto"/>
            <w:vAlign w:val="bottom"/>
          </w:tcPr>
          <w:p w14:paraId="70EA5C0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49</w:t>
            </w:r>
          </w:p>
        </w:tc>
        <w:tc>
          <w:tcPr>
            <w:tcW w:w="408" w:type="pct"/>
            <w:tcBorders>
              <w:top w:val="single" w:sz="12" w:space="0" w:color="auto"/>
            </w:tcBorders>
            <w:shd w:val="clear" w:color="auto" w:fill="auto"/>
            <w:vAlign w:val="bottom"/>
          </w:tcPr>
          <w:p w14:paraId="69DA2AB3"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194</w:t>
            </w:r>
          </w:p>
        </w:tc>
        <w:tc>
          <w:tcPr>
            <w:tcW w:w="409" w:type="pct"/>
            <w:tcBorders>
              <w:top w:val="single" w:sz="12" w:space="0" w:color="auto"/>
            </w:tcBorders>
            <w:shd w:val="clear" w:color="auto" w:fill="auto"/>
            <w:vAlign w:val="bottom"/>
          </w:tcPr>
          <w:p w14:paraId="71A4F60F"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54</w:t>
            </w:r>
          </w:p>
        </w:tc>
        <w:tc>
          <w:tcPr>
            <w:tcW w:w="408" w:type="pct"/>
            <w:tcBorders>
              <w:top w:val="single" w:sz="12" w:space="0" w:color="auto"/>
            </w:tcBorders>
            <w:shd w:val="clear" w:color="auto" w:fill="auto"/>
            <w:vAlign w:val="bottom"/>
          </w:tcPr>
          <w:p w14:paraId="60807FE7"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239</w:t>
            </w:r>
          </w:p>
        </w:tc>
        <w:tc>
          <w:tcPr>
            <w:tcW w:w="409" w:type="pct"/>
            <w:tcBorders>
              <w:top w:val="single" w:sz="12" w:space="0" w:color="auto"/>
            </w:tcBorders>
            <w:shd w:val="clear" w:color="auto" w:fill="auto"/>
            <w:vAlign w:val="bottom"/>
          </w:tcPr>
          <w:p w14:paraId="3CB7B4D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68</w:t>
            </w:r>
          </w:p>
        </w:tc>
        <w:tc>
          <w:tcPr>
            <w:tcW w:w="408" w:type="pct"/>
            <w:tcBorders>
              <w:top w:val="single" w:sz="12" w:space="0" w:color="auto"/>
            </w:tcBorders>
            <w:shd w:val="clear" w:color="auto" w:fill="auto"/>
            <w:vAlign w:val="bottom"/>
          </w:tcPr>
          <w:p w14:paraId="6EA1292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290</w:t>
            </w:r>
          </w:p>
        </w:tc>
        <w:tc>
          <w:tcPr>
            <w:tcW w:w="409" w:type="pct"/>
            <w:tcBorders>
              <w:top w:val="single" w:sz="12" w:space="0" w:color="auto"/>
            </w:tcBorders>
            <w:shd w:val="clear" w:color="auto" w:fill="auto"/>
            <w:vAlign w:val="bottom"/>
          </w:tcPr>
          <w:p w14:paraId="37B43B2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95</w:t>
            </w:r>
          </w:p>
        </w:tc>
        <w:tc>
          <w:tcPr>
            <w:tcW w:w="408" w:type="pct"/>
            <w:tcBorders>
              <w:top w:val="single" w:sz="12" w:space="0" w:color="auto"/>
            </w:tcBorders>
            <w:shd w:val="clear" w:color="auto" w:fill="auto"/>
            <w:vAlign w:val="bottom"/>
          </w:tcPr>
          <w:p w14:paraId="184DD808"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273</w:t>
            </w:r>
          </w:p>
        </w:tc>
        <w:tc>
          <w:tcPr>
            <w:tcW w:w="407" w:type="pct"/>
            <w:tcBorders>
              <w:top w:val="single" w:sz="12" w:space="0" w:color="auto"/>
            </w:tcBorders>
            <w:shd w:val="clear" w:color="auto" w:fill="auto"/>
            <w:vAlign w:val="bottom"/>
          </w:tcPr>
          <w:p w14:paraId="7D65595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95</w:t>
            </w:r>
          </w:p>
        </w:tc>
      </w:tr>
      <w:tr w:rsidR="00434E1A" w:rsidRPr="00434E1A" w14:paraId="0A3E3A7D" w14:textId="77777777" w:rsidTr="004E761B">
        <w:trPr>
          <w:cantSplit/>
          <w:trHeight w:val="240"/>
        </w:trPr>
        <w:tc>
          <w:tcPr>
            <w:tcW w:w="917" w:type="pct"/>
            <w:shd w:val="clear" w:color="auto" w:fill="auto"/>
          </w:tcPr>
          <w:p w14:paraId="19CA4B39" w14:textId="77777777" w:rsidR="00FA40F2" w:rsidRPr="00434E1A" w:rsidRDefault="00FA40F2" w:rsidP="00434E1A">
            <w:pPr>
              <w:pStyle w:val="SingleTxtG"/>
              <w:spacing w:before="40" w:after="40" w:line="220" w:lineRule="exact"/>
              <w:ind w:left="0" w:right="0"/>
              <w:jc w:val="left"/>
              <w:rPr>
                <w:sz w:val="18"/>
                <w:lang w:val="es-ES_tradnl"/>
              </w:rPr>
            </w:pPr>
            <w:r w:rsidRPr="00434E1A">
              <w:rPr>
                <w:sz w:val="18"/>
                <w:lang w:val="es-ES_tradnl"/>
              </w:rPr>
              <w:t>De 6 a 11</w:t>
            </w:r>
            <w:r w:rsidR="00434E1A">
              <w:rPr>
                <w:sz w:val="18"/>
                <w:lang w:val="es-ES_tradnl"/>
              </w:rPr>
              <w:t> </w:t>
            </w:r>
            <w:r w:rsidRPr="00434E1A">
              <w:rPr>
                <w:sz w:val="18"/>
                <w:lang w:val="es-ES_tradnl"/>
              </w:rPr>
              <w:t>años</w:t>
            </w:r>
          </w:p>
        </w:tc>
        <w:tc>
          <w:tcPr>
            <w:tcW w:w="408" w:type="pct"/>
            <w:shd w:val="clear" w:color="auto" w:fill="auto"/>
            <w:vAlign w:val="bottom"/>
          </w:tcPr>
          <w:p w14:paraId="00B485CE"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374</w:t>
            </w:r>
          </w:p>
        </w:tc>
        <w:tc>
          <w:tcPr>
            <w:tcW w:w="409" w:type="pct"/>
            <w:shd w:val="clear" w:color="auto" w:fill="auto"/>
            <w:vAlign w:val="bottom"/>
          </w:tcPr>
          <w:p w14:paraId="287DD6E0"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158</w:t>
            </w:r>
          </w:p>
        </w:tc>
        <w:tc>
          <w:tcPr>
            <w:tcW w:w="408" w:type="pct"/>
            <w:shd w:val="clear" w:color="auto" w:fill="auto"/>
            <w:vAlign w:val="bottom"/>
          </w:tcPr>
          <w:p w14:paraId="7EA91B33"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463</w:t>
            </w:r>
          </w:p>
        </w:tc>
        <w:tc>
          <w:tcPr>
            <w:tcW w:w="409" w:type="pct"/>
            <w:shd w:val="clear" w:color="auto" w:fill="auto"/>
            <w:vAlign w:val="bottom"/>
          </w:tcPr>
          <w:p w14:paraId="38857857"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183</w:t>
            </w:r>
          </w:p>
        </w:tc>
        <w:tc>
          <w:tcPr>
            <w:tcW w:w="408" w:type="pct"/>
            <w:shd w:val="clear" w:color="auto" w:fill="auto"/>
            <w:vAlign w:val="bottom"/>
          </w:tcPr>
          <w:p w14:paraId="736666C3"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587</w:t>
            </w:r>
          </w:p>
        </w:tc>
        <w:tc>
          <w:tcPr>
            <w:tcW w:w="409" w:type="pct"/>
            <w:shd w:val="clear" w:color="auto" w:fill="auto"/>
            <w:vAlign w:val="bottom"/>
          </w:tcPr>
          <w:p w14:paraId="3A8139C8"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222</w:t>
            </w:r>
          </w:p>
        </w:tc>
        <w:tc>
          <w:tcPr>
            <w:tcW w:w="408" w:type="pct"/>
            <w:shd w:val="clear" w:color="auto" w:fill="auto"/>
            <w:vAlign w:val="bottom"/>
          </w:tcPr>
          <w:p w14:paraId="0A9279B6"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715</w:t>
            </w:r>
          </w:p>
        </w:tc>
        <w:tc>
          <w:tcPr>
            <w:tcW w:w="409" w:type="pct"/>
            <w:shd w:val="clear" w:color="auto" w:fill="auto"/>
            <w:vAlign w:val="bottom"/>
          </w:tcPr>
          <w:p w14:paraId="3053FC9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248</w:t>
            </w:r>
          </w:p>
        </w:tc>
        <w:tc>
          <w:tcPr>
            <w:tcW w:w="408" w:type="pct"/>
            <w:shd w:val="clear" w:color="auto" w:fill="auto"/>
            <w:vAlign w:val="bottom"/>
          </w:tcPr>
          <w:p w14:paraId="210E96B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816</w:t>
            </w:r>
          </w:p>
        </w:tc>
        <w:tc>
          <w:tcPr>
            <w:tcW w:w="407" w:type="pct"/>
            <w:shd w:val="clear" w:color="auto" w:fill="auto"/>
            <w:vAlign w:val="bottom"/>
          </w:tcPr>
          <w:p w14:paraId="47B873C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292</w:t>
            </w:r>
          </w:p>
        </w:tc>
      </w:tr>
      <w:tr w:rsidR="00434E1A" w:rsidRPr="00434E1A" w14:paraId="222EC7FD" w14:textId="77777777" w:rsidTr="004E761B">
        <w:trPr>
          <w:cantSplit/>
          <w:trHeight w:val="240"/>
        </w:trPr>
        <w:tc>
          <w:tcPr>
            <w:tcW w:w="917" w:type="pct"/>
            <w:shd w:val="clear" w:color="auto" w:fill="auto"/>
          </w:tcPr>
          <w:p w14:paraId="105692CC" w14:textId="77777777" w:rsidR="00FA40F2" w:rsidRPr="00434E1A" w:rsidRDefault="00FA40F2" w:rsidP="00434E1A">
            <w:pPr>
              <w:pStyle w:val="SingleTxtG"/>
              <w:spacing w:before="40" w:after="40" w:line="220" w:lineRule="exact"/>
              <w:ind w:left="0" w:right="0"/>
              <w:jc w:val="left"/>
              <w:rPr>
                <w:sz w:val="18"/>
                <w:lang w:val="es-ES_tradnl"/>
              </w:rPr>
            </w:pPr>
            <w:r w:rsidRPr="00434E1A">
              <w:rPr>
                <w:sz w:val="18"/>
                <w:lang w:val="es-ES_tradnl"/>
              </w:rPr>
              <w:t>De 12 a 17</w:t>
            </w:r>
            <w:r w:rsidR="00434E1A">
              <w:rPr>
                <w:sz w:val="18"/>
                <w:lang w:val="es-ES_tradnl"/>
              </w:rPr>
              <w:t> </w:t>
            </w:r>
            <w:r w:rsidRPr="00434E1A">
              <w:rPr>
                <w:sz w:val="18"/>
                <w:lang w:val="es-ES_tradnl"/>
              </w:rPr>
              <w:t>años</w:t>
            </w:r>
          </w:p>
        </w:tc>
        <w:tc>
          <w:tcPr>
            <w:tcW w:w="408" w:type="pct"/>
            <w:shd w:val="clear" w:color="auto" w:fill="auto"/>
            <w:vAlign w:val="bottom"/>
          </w:tcPr>
          <w:p w14:paraId="644A573A"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341</w:t>
            </w:r>
          </w:p>
        </w:tc>
        <w:tc>
          <w:tcPr>
            <w:tcW w:w="409" w:type="pct"/>
            <w:shd w:val="clear" w:color="auto" w:fill="auto"/>
            <w:vAlign w:val="bottom"/>
          </w:tcPr>
          <w:p w14:paraId="130131FA"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155</w:t>
            </w:r>
          </w:p>
        </w:tc>
        <w:tc>
          <w:tcPr>
            <w:tcW w:w="408" w:type="pct"/>
            <w:shd w:val="clear" w:color="auto" w:fill="auto"/>
            <w:vAlign w:val="bottom"/>
          </w:tcPr>
          <w:p w14:paraId="2FE6F87F"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334</w:t>
            </w:r>
          </w:p>
        </w:tc>
        <w:tc>
          <w:tcPr>
            <w:tcW w:w="409" w:type="pct"/>
            <w:shd w:val="clear" w:color="auto" w:fill="auto"/>
            <w:vAlign w:val="bottom"/>
          </w:tcPr>
          <w:p w14:paraId="4AD7EE36"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155</w:t>
            </w:r>
          </w:p>
        </w:tc>
        <w:tc>
          <w:tcPr>
            <w:tcW w:w="408" w:type="pct"/>
            <w:shd w:val="clear" w:color="auto" w:fill="auto"/>
            <w:vAlign w:val="bottom"/>
          </w:tcPr>
          <w:p w14:paraId="58DA71C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349</w:t>
            </w:r>
          </w:p>
        </w:tc>
        <w:tc>
          <w:tcPr>
            <w:tcW w:w="409" w:type="pct"/>
            <w:shd w:val="clear" w:color="auto" w:fill="auto"/>
            <w:vAlign w:val="bottom"/>
          </w:tcPr>
          <w:p w14:paraId="4F4C735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170</w:t>
            </w:r>
          </w:p>
        </w:tc>
        <w:tc>
          <w:tcPr>
            <w:tcW w:w="408" w:type="pct"/>
            <w:shd w:val="clear" w:color="auto" w:fill="auto"/>
            <w:vAlign w:val="bottom"/>
          </w:tcPr>
          <w:p w14:paraId="42F13DA6"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388</w:t>
            </w:r>
          </w:p>
        </w:tc>
        <w:tc>
          <w:tcPr>
            <w:tcW w:w="409" w:type="pct"/>
            <w:shd w:val="clear" w:color="auto" w:fill="auto"/>
            <w:vAlign w:val="bottom"/>
          </w:tcPr>
          <w:p w14:paraId="3BD6E4DE"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184</w:t>
            </w:r>
          </w:p>
        </w:tc>
        <w:tc>
          <w:tcPr>
            <w:tcW w:w="408" w:type="pct"/>
            <w:shd w:val="clear" w:color="auto" w:fill="auto"/>
            <w:vAlign w:val="bottom"/>
          </w:tcPr>
          <w:p w14:paraId="3E16F12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441</w:t>
            </w:r>
          </w:p>
        </w:tc>
        <w:tc>
          <w:tcPr>
            <w:tcW w:w="407" w:type="pct"/>
            <w:shd w:val="clear" w:color="auto" w:fill="auto"/>
            <w:vAlign w:val="bottom"/>
          </w:tcPr>
          <w:p w14:paraId="112DB96A"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206</w:t>
            </w:r>
          </w:p>
        </w:tc>
      </w:tr>
      <w:tr w:rsidR="00C005AF" w:rsidRPr="00434E1A" w14:paraId="0315BE6C" w14:textId="77777777" w:rsidTr="004E761B">
        <w:trPr>
          <w:cantSplit/>
          <w:trHeight w:val="240"/>
        </w:trPr>
        <w:tc>
          <w:tcPr>
            <w:tcW w:w="917" w:type="pct"/>
            <w:tcBorders>
              <w:bottom w:val="single" w:sz="4" w:space="0" w:color="auto"/>
            </w:tcBorders>
            <w:shd w:val="clear" w:color="auto" w:fill="auto"/>
          </w:tcPr>
          <w:p w14:paraId="77BAFC64" w14:textId="77777777" w:rsidR="00FA40F2" w:rsidRPr="00434E1A" w:rsidRDefault="00FA40F2" w:rsidP="00434E1A">
            <w:pPr>
              <w:pStyle w:val="SingleTxtG"/>
              <w:spacing w:before="40" w:after="40" w:line="220" w:lineRule="exact"/>
              <w:ind w:left="0" w:right="0"/>
              <w:jc w:val="left"/>
              <w:rPr>
                <w:sz w:val="18"/>
                <w:lang w:val="es-ES_tradnl"/>
              </w:rPr>
            </w:pPr>
            <w:r w:rsidRPr="00434E1A">
              <w:rPr>
                <w:sz w:val="18"/>
                <w:lang w:val="es-ES_tradnl"/>
              </w:rPr>
              <w:t>De 18 a 24</w:t>
            </w:r>
            <w:r w:rsidR="00434E1A">
              <w:rPr>
                <w:sz w:val="18"/>
                <w:lang w:val="es-ES_tradnl"/>
              </w:rPr>
              <w:t> </w:t>
            </w:r>
            <w:r w:rsidRPr="00434E1A">
              <w:rPr>
                <w:sz w:val="18"/>
                <w:lang w:val="es-ES_tradnl"/>
              </w:rPr>
              <w:t>años</w:t>
            </w:r>
          </w:p>
        </w:tc>
        <w:tc>
          <w:tcPr>
            <w:tcW w:w="408" w:type="pct"/>
            <w:tcBorders>
              <w:bottom w:val="single" w:sz="4" w:space="0" w:color="auto"/>
            </w:tcBorders>
            <w:shd w:val="clear" w:color="auto" w:fill="auto"/>
            <w:vAlign w:val="bottom"/>
          </w:tcPr>
          <w:p w14:paraId="5B716D1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116</w:t>
            </w:r>
          </w:p>
        </w:tc>
        <w:tc>
          <w:tcPr>
            <w:tcW w:w="409" w:type="pct"/>
            <w:tcBorders>
              <w:bottom w:val="single" w:sz="4" w:space="0" w:color="auto"/>
            </w:tcBorders>
            <w:shd w:val="clear" w:color="auto" w:fill="auto"/>
            <w:vAlign w:val="bottom"/>
          </w:tcPr>
          <w:p w14:paraId="29738A7D"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68</w:t>
            </w:r>
          </w:p>
        </w:tc>
        <w:tc>
          <w:tcPr>
            <w:tcW w:w="408" w:type="pct"/>
            <w:tcBorders>
              <w:bottom w:val="single" w:sz="4" w:space="0" w:color="auto"/>
            </w:tcBorders>
            <w:shd w:val="clear" w:color="auto" w:fill="auto"/>
            <w:vAlign w:val="bottom"/>
          </w:tcPr>
          <w:p w14:paraId="5094A38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129</w:t>
            </w:r>
          </w:p>
        </w:tc>
        <w:tc>
          <w:tcPr>
            <w:tcW w:w="409" w:type="pct"/>
            <w:tcBorders>
              <w:bottom w:val="single" w:sz="4" w:space="0" w:color="auto"/>
            </w:tcBorders>
            <w:shd w:val="clear" w:color="auto" w:fill="auto"/>
            <w:vAlign w:val="bottom"/>
          </w:tcPr>
          <w:p w14:paraId="7152E5EF"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80</w:t>
            </w:r>
          </w:p>
        </w:tc>
        <w:tc>
          <w:tcPr>
            <w:tcW w:w="408" w:type="pct"/>
            <w:tcBorders>
              <w:bottom w:val="single" w:sz="4" w:space="0" w:color="auto"/>
            </w:tcBorders>
            <w:shd w:val="clear" w:color="auto" w:fill="auto"/>
            <w:vAlign w:val="bottom"/>
          </w:tcPr>
          <w:p w14:paraId="144BE4E2"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130</w:t>
            </w:r>
          </w:p>
        </w:tc>
        <w:tc>
          <w:tcPr>
            <w:tcW w:w="409" w:type="pct"/>
            <w:tcBorders>
              <w:bottom w:val="single" w:sz="4" w:space="0" w:color="auto"/>
            </w:tcBorders>
            <w:shd w:val="clear" w:color="auto" w:fill="auto"/>
            <w:vAlign w:val="bottom"/>
          </w:tcPr>
          <w:p w14:paraId="3E986AA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76</w:t>
            </w:r>
          </w:p>
        </w:tc>
        <w:tc>
          <w:tcPr>
            <w:tcW w:w="408" w:type="pct"/>
            <w:tcBorders>
              <w:bottom w:val="single" w:sz="4" w:space="0" w:color="auto"/>
            </w:tcBorders>
            <w:shd w:val="clear" w:color="auto" w:fill="auto"/>
            <w:vAlign w:val="bottom"/>
          </w:tcPr>
          <w:p w14:paraId="784127A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132</w:t>
            </w:r>
          </w:p>
        </w:tc>
        <w:tc>
          <w:tcPr>
            <w:tcW w:w="409" w:type="pct"/>
            <w:tcBorders>
              <w:bottom w:val="single" w:sz="4" w:space="0" w:color="auto"/>
            </w:tcBorders>
            <w:shd w:val="clear" w:color="auto" w:fill="auto"/>
            <w:vAlign w:val="bottom"/>
          </w:tcPr>
          <w:p w14:paraId="769AB2A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64</w:t>
            </w:r>
          </w:p>
        </w:tc>
        <w:tc>
          <w:tcPr>
            <w:tcW w:w="408" w:type="pct"/>
            <w:tcBorders>
              <w:bottom w:val="single" w:sz="4" w:space="0" w:color="auto"/>
            </w:tcBorders>
            <w:shd w:val="clear" w:color="auto" w:fill="auto"/>
            <w:vAlign w:val="bottom"/>
          </w:tcPr>
          <w:p w14:paraId="27C4255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120</w:t>
            </w:r>
          </w:p>
        </w:tc>
        <w:tc>
          <w:tcPr>
            <w:tcW w:w="407" w:type="pct"/>
            <w:tcBorders>
              <w:bottom w:val="single" w:sz="4" w:space="0" w:color="auto"/>
            </w:tcBorders>
            <w:shd w:val="clear" w:color="auto" w:fill="auto"/>
            <w:vAlign w:val="bottom"/>
          </w:tcPr>
          <w:p w14:paraId="2AD9DD91"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58</w:t>
            </w:r>
          </w:p>
        </w:tc>
      </w:tr>
      <w:tr w:rsidR="00434E1A" w:rsidRPr="00434E1A" w14:paraId="738871BE" w14:textId="77777777" w:rsidTr="004E761B">
        <w:trPr>
          <w:cantSplit/>
          <w:trHeight w:val="240"/>
        </w:trPr>
        <w:tc>
          <w:tcPr>
            <w:tcW w:w="917" w:type="pct"/>
            <w:tcBorders>
              <w:top w:val="single" w:sz="4" w:space="0" w:color="auto"/>
              <w:bottom w:val="single" w:sz="12" w:space="0" w:color="auto"/>
            </w:tcBorders>
            <w:shd w:val="clear" w:color="auto" w:fill="auto"/>
          </w:tcPr>
          <w:p w14:paraId="7436F84B" w14:textId="77777777" w:rsidR="00FA40F2" w:rsidRPr="00434E1A" w:rsidRDefault="00FA40F2" w:rsidP="00434E1A">
            <w:pPr>
              <w:pStyle w:val="SingleTxtG"/>
              <w:spacing w:before="80" w:after="80" w:line="220" w:lineRule="exact"/>
              <w:ind w:left="283" w:right="0"/>
              <w:jc w:val="left"/>
              <w:rPr>
                <w:b/>
                <w:sz w:val="18"/>
                <w:lang w:val="es-ES_tradnl"/>
              </w:rPr>
            </w:pPr>
            <w:r w:rsidRPr="00434E1A">
              <w:rPr>
                <w:b/>
                <w:bCs/>
                <w:sz w:val="18"/>
                <w:lang w:val="es-ES_tradnl"/>
              </w:rPr>
              <w:t>Total</w:t>
            </w:r>
          </w:p>
        </w:tc>
        <w:tc>
          <w:tcPr>
            <w:tcW w:w="408" w:type="pct"/>
            <w:tcBorders>
              <w:top w:val="single" w:sz="4" w:space="0" w:color="auto"/>
              <w:bottom w:val="single" w:sz="12" w:space="0" w:color="auto"/>
            </w:tcBorders>
            <w:shd w:val="clear" w:color="auto" w:fill="auto"/>
            <w:vAlign w:val="bottom"/>
          </w:tcPr>
          <w:p w14:paraId="7BE044E3"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1 000</w:t>
            </w:r>
          </w:p>
        </w:tc>
        <w:tc>
          <w:tcPr>
            <w:tcW w:w="409" w:type="pct"/>
            <w:tcBorders>
              <w:top w:val="single" w:sz="4" w:space="0" w:color="auto"/>
              <w:bottom w:val="single" w:sz="12" w:space="0" w:color="auto"/>
            </w:tcBorders>
            <w:shd w:val="clear" w:color="auto" w:fill="auto"/>
            <w:vAlign w:val="bottom"/>
          </w:tcPr>
          <w:p w14:paraId="65BFC21B"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430</w:t>
            </w:r>
          </w:p>
        </w:tc>
        <w:tc>
          <w:tcPr>
            <w:tcW w:w="408" w:type="pct"/>
            <w:tcBorders>
              <w:top w:val="single" w:sz="4" w:space="0" w:color="auto"/>
              <w:bottom w:val="single" w:sz="12" w:space="0" w:color="auto"/>
            </w:tcBorders>
            <w:shd w:val="clear" w:color="auto" w:fill="auto"/>
            <w:vAlign w:val="bottom"/>
          </w:tcPr>
          <w:p w14:paraId="08867994"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1 120</w:t>
            </w:r>
          </w:p>
        </w:tc>
        <w:tc>
          <w:tcPr>
            <w:tcW w:w="409" w:type="pct"/>
            <w:tcBorders>
              <w:top w:val="single" w:sz="4" w:space="0" w:color="auto"/>
              <w:bottom w:val="single" w:sz="12" w:space="0" w:color="auto"/>
            </w:tcBorders>
            <w:shd w:val="clear" w:color="auto" w:fill="auto"/>
            <w:vAlign w:val="bottom"/>
          </w:tcPr>
          <w:p w14:paraId="29F2C83B"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472</w:t>
            </w:r>
          </w:p>
        </w:tc>
        <w:tc>
          <w:tcPr>
            <w:tcW w:w="408" w:type="pct"/>
            <w:tcBorders>
              <w:top w:val="single" w:sz="4" w:space="0" w:color="auto"/>
              <w:bottom w:val="single" w:sz="12" w:space="0" w:color="auto"/>
            </w:tcBorders>
            <w:shd w:val="clear" w:color="auto" w:fill="auto"/>
            <w:vAlign w:val="bottom"/>
          </w:tcPr>
          <w:p w14:paraId="61F85261"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1 305</w:t>
            </w:r>
          </w:p>
        </w:tc>
        <w:tc>
          <w:tcPr>
            <w:tcW w:w="409" w:type="pct"/>
            <w:tcBorders>
              <w:top w:val="single" w:sz="4" w:space="0" w:color="auto"/>
              <w:bottom w:val="single" w:sz="12" w:space="0" w:color="auto"/>
            </w:tcBorders>
            <w:shd w:val="clear" w:color="auto" w:fill="auto"/>
            <w:vAlign w:val="bottom"/>
          </w:tcPr>
          <w:p w14:paraId="0E7D3001"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536</w:t>
            </w:r>
          </w:p>
        </w:tc>
        <w:tc>
          <w:tcPr>
            <w:tcW w:w="408" w:type="pct"/>
            <w:tcBorders>
              <w:top w:val="single" w:sz="4" w:space="0" w:color="auto"/>
              <w:bottom w:val="single" w:sz="12" w:space="0" w:color="auto"/>
            </w:tcBorders>
            <w:shd w:val="clear" w:color="auto" w:fill="auto"/>
            <w:vAlign w:val="bottom"/>
          </w:tcPr>
          <w:p w14:paraId="73A744E4"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1525</w:t>
            </w:r>
          </w:p>
        </w:tc>
        <w:tc>
          <w:tcPr>
            <w:tcW w:w="409" w:type="pct"/>
            <w:tcBorders>
              <w:top w:val="single" w:sz="4" w:space="0" w:color="auto"/>
              <w:bottom w:val="single" w:sz="12" w:space="0" w:color="auto"/>
            </w:tcBorders>
            <w:shd w:val="clear" w:color="auto" w:fill="auto"/>
            <w:vAlign w:val="bottom"/>
          </w:tcPr>
          <w:p w14:paraId="730AD74F"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591</w:t>
            </w:r>
          </w:p>
        </w:tc>
        <w:tc>
          <w:tcPr>
            <w:tcW w:w="408" w:type="pct"/>
            <w:tcBorders>
              <w:top w:val="single" w:sz="4" w:space="0" w:color="auto"/>
              <w:bottom w:val="single" w:sz="12" w:space="0" w:color="auto"/>
            </w:tcBorders>
            <w:shd w:val="clear" w:color="auto" w:fill="auto"/>
            <w:vAlign w:val="bottom"/>
          </w:tcPr>
          <w:p w14:paraId="01F2F4E7"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1 650</w:t>
            </w:r>
          </w:p>
        </w:tc>
        <w:tc>
          <w:tcPr>
            <w:tcW w:w="407" w:type="pct"/>
            <w:tcBorders>
              <w:top w:val="single" w:sz="4" w:space="0" w:color="auto"/>
              <w:bottom w:val="single" w:sz="12" w:space="0" w:color="auto"/>
            </w:tcBorders>
            <w:shd w:val="clear" w:color="auto" w:fill="auto"/>
            <w:vAlign w:val="bottom"/>
          </w:tcPr>
          <w:p w14:paraId="60A9F77D"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651</w:t>
            </w:r>
          </w:p>
        </w:tc>
      </w:tr>
    </w:tbl>
    <w:p w14:paraId="5480761D" w14:textId="77777777" w:rsidR="00FA40F2" w:rsidRPr="00434E1A" w:rsidRDefault="00FA40F2" w:rsidP="00434E1A">
      <w:pPr>
        <w:pStyle w:val="SingleTxtG"/>
        <w:spacing w:before="120"/>
        <w:ind w:firstLine="170"/>
        <w:rPr>
          <w:sz w:val="18"/>
          <w:szCs w:val="18"/>
          <w:lang w:val="es-ES_tradnl"/>
        </w:rPr>
      </w:pPr>
      <w:r w:rsidRPr="00434E1A">
        <w:rPr>
          <w:i/>
          <w:iCs/>
          <w:sz w:val="18"/>
          <w:szCs w:val="18"/>
          <w:lang w:val="es-ES_tradnl"/>
        </w:rPr>
        <w:t>Fuente</w:t>
      </w:r>
      <w:r w:rsidRPr="000B4CD2">
        <w:rPr>
          <w:i/>
          <w:iCs/>
          <w:sz w:val="18"/>
          <w:szCs w:val="18"/>
          <w:lang w:val="es-ES_tradnl"/>
        </w:rPr>
        <w:t>:</w:t>
      </w:r>
      <w:r w:rsidRPr="00434E1A">
        <w:rPr>
          <w:sz w:val="18"/>
          <w:szCs w:val="18"/>
          <w:lang w:val="es-ES_tradnl"/>
        </w:rPr>
        <w:t xml:space="preserve"> Dirección de Servicios de Educación y Juventud.</w:t>
      </w:r>
    </w:p>
    <w:p w14:paraId="5F402C8C" w14:textId="77777777" w:rsidR="00FA40F2" w:rsidRPr="00FA40F2" w:rsidRDefault="00FA40F2" w:rsidP="00FA40F2">
      <w:pPr>
        <w:pStyle w:val="SingleTxtG"/>
        <w:rPr>
          <w:lang w:val="es-ES_tradnl"/>
        </w:rPr>
      </w:pPr>
      <w:r w:rsidRPr="00FA40F2">
        <w:rPr>
          <w:lang w:val="es-ES_tradnl"/>
        </w:rPr>
        <w:t>272.</w:t>
      </w:r>
      <w:r w:rsidRPr="00FA40F2">
        <w:rPr>
          <w:lang w:val="es-ES_tradnl"/>
        </w:rPr>
        <w:tab/>
        <w:t>En los últimos años, el Gobierno ha apoyado el desarrollo de la educación especial a través de diversos mecanismos de financiación para optimizar la relación entre el número de profesores y alumnos, contratar personal de apoyo en las aulas, establecer equipos de educación especial y proporcionar en las escuelas un desayuno y un almuerzo saludables, además de servicios de recogida y entrega de alumnos.</w:t>
      </w:r>
    </w:p>
    <w:p w14:paraId="3BF9D3EC" w14:textId="77777777" w:rsidR="00FA40F2" w:rsidRPr="00FA40F2" w:rsidRDefault="00FA40F2" w:rsidP="00FA40F2">
      <w:pPr>
        <w:pStyle w:val="SingleTxtG"/>
        <w:rPr>
          <w:lang w:val="es-ES_tradnl"/>
        </w:rPr>
      </w:pPr>
      <w:r w:rsidRPr="00FA40F2">
        <w:rPr>
          <w:lang w:val="es-ES_tradnl"/>
        </w:rPr>
        <w:t>273.</w:t>
      </w:r>
      <w:r w:rsidRPr="00FA40F2">
        <w:rPr>
          <w:lang w:val="es-ES_tradnl"/>
        </w:rPr>
        <w:tab/>
        <w:t xml:space="preserve">Entre los cursos 2014/15 y 2018/19, los subsidios para la educación especial sumaron, respectivamente, de 38.402.156, 50.496.644, 57.263.177, 64.468.836 y 74.029.405 millones de patacas de Macao. </w:t>
      </w:r>
    </w:p>
    <w:p w14:paraId="7A43CF23" w14:textId="77777777" w:rsidR="00FA40F2" w:rsidRPr="00FA40F2" w:rsidRDefault="00FA40F2" w:rsidP="00FA40F2">
      <w:pPr>
        <w:pStyle w:val="SingleTxtG"/>
        <w:rPr>
          <w:lang w:val="es-ES_tradnl"/>
        </w:rPr>
      </w:pPr>
      <w:r w:rsidRPr="00FA40F2">
        <w:rPr>
          <w:lang w:val="es-ES_tradnl"/>
        </w:rPr>
        <w:t>274.</w:t>
      </w:r>
      <w:r w:rsidRPr="00FA40F2">
        <w:rPr>
          <w:lang w:val="es-ES_tradnl"/>
        </w:rPr>
        <w:tab/>
        <w:t>Durante el mismo período, también se asignaron recursos a las escuelas privadas que ofrecen educación inclusiva, por un total de 50.065.200, 63.840.900, 80.167.650, 96.785.450 y 109.263.700 (solo el primer semestre) patacas de Macao, respectivamente.</w:t>
      </w:r>
    </w:p>
    <w:p w14:paraId="166E59B8" w14:textId="77777777" w:rsidR="00FA40F2" w:rsidRPr="00FA40F2" w:rsidRDefault="00FA40F2" w:rsidP="00FA40F2">
      <w:pPr>
        <w:pStyle w:val="SingleTxtG"/>
        <w:rPr>
          <w:lang w:val="es-ES_tradnl"/>
        </w:rPr>
      </w:pPr>
      <w:r w:rsidRPr="00FA40F2">
        <w:rPr>
          <w:lang w:val="es-ES_tradnl"/>
        </w:rPr>
        <w:t>275.</w:t>
      </w:r>
      <w:r w:rsidRPr="00FA40F2">
        <w:rPr>
          <w:lang w:val="es-ES_tradnl"/>
        </w:rPr>
        <w:tab/>
        <w:t>En relación con el párrafo 60 de las observaciones finales, cabe reiterar que uno de</w:t>
      </w:r>
      <w:r w:rsidR="00D941BF">
        <w:rPr>
          <w:lang w:val="es-ES_tradnl"/>
        </w:rPr>
        <w:t> </w:t>
      </w:r>
      <w:r w:rsidRPr="00FA40F2">
        <w:rPr>
          <w:lang w:val="es-ES_tradnl"/>
        </w:rPr>
        <w:t>los principios generales del sistema educativo de la RAE de Macao es el acceso a la</w:t>
      </w:r>
      <w:r w:rsidR="00D941BF">
        <w:rPr>
          <w:lang w:val="es-ES_tradnl"/>
        </w:rPr>
        <w:t> </w:t>
      </w:r>
      <w:r w:rsidRPr="00FA40F2">
        <w:rPr>
          <w:lang w:val="es-ES_tradnl"/>
        </w:rPr>
        <w:t>educación sin discriminación. Asimismo, el Gobierno tiene la obligación de promover la</w:t>
      </w:r>
      <w:r w:rsidR="00D941BF">
        <w:rPr>
          <w:lang w:val="es-ES_tradnl"/>
        </w:rPr>
        <w:t> </w:t>
      </w:r>
      <w:r w:rsidRPr="00FA40F2">
        <w:rPr>
          <w:lang w:val="es-ES_tradnl"/>
        </w:rPr>
        <w:t>igualdad de oportunidades (</w:t>
      </w:r>
      <w:r w:rsidR="00722610">
        <w:rPr>
          <w:lang w:val="es-ES_tradnl"/>
        </w:rPr>
        <w:t>artículo </w:t>
      </w:r>
      <w:r w:rsidRPr="00FA40F2">
        <w:rPr>
          <w:lang w:val="es-ES_tradnl"/>
        </w:rPr>
        <w:t xml:space="preserve">3, párrafo 1, de la Ley </w:t>
      </w:r>
      <w:r w:rsidR="00E27276">
        <w:rPr>
          <w:lang w:val="es-ES_tradnl"/>
        </w:rPr>
        <w:t>núm. </w:t>
      </w:r>
      <w:r w:rsidRPr="00FA40F2">
        <w:rPr>
          <w:lang w:val="es-ES_tradnl"/>
        </w:rPr>
        <w:t xml:space="preserve">9/2006), independientemente de que sean </w:t>
      </w:r>
      <w:r w:rsidRPr="00FA40F2">
        <w:rPr>
          <w:lang w:val="es-ES_tradnl"/>
        </w:rPr>
        <w:lastRenderedPageBreak/>
        <w:t>hijos de residentes o de trabajadores migratorios, y de velar por que el derecho a la educación no se vea menoscabado por dificultades financieras.</w:t>
      </w:r>
    </w:p>
    <w:p w14:paraId="22749FD1" w14:textId="77777777" w:rsidR="00FA40F2" w:rsidRPr="00FA40F2" w:rsidRDefault="00FA40F2" w:rsidP="00FA40F2">
      <w:pPr>
        <w:pStyle w:val="SingleTxtG"/>
        <w:rPr>
          <w:lang w:val="es-ES_tradnl"/>
        </w:rPr>
      </w:pPr>
      <w:r w:rsidRPr="00FA40F2">
        <w:rPr>
          <w:lang w:val="es-ES_tradnl"/>
        </w:rPr>
        <w:t>276.</w:t>
      </w:r>
      <w:r w:rsidRPr="00FA40F2">
        <w:rPr>
          <w:lang w:val="es-ES_tradnl"/>
        </w:rPr>
        <w:tab/>
        <w:t>Entre los cursos 2014/15 y 2018/19, recibieron educación formal un total de</w:t>
      </w:r>
      <w:r w:rsidR="00C50B29">
        <w:rPr>
          <w:lang w:val="es-ES_tradnl"/>
        </w:rPr>
        <w:t> </w:t>
      </w:r>
      <w:r w:rsidRPr="00FA40F2">
        <w:rPr>
          <w:lang w:val="es-ES_tradnl"/>
        </w:rPr>
        <w:t>997, 1.086, 1.037, 1.090 y 1.108 alumnos no residentes, respectivamente.</w:t>
      </w:r>
    </w:p>
    <w:p w14:paraId="6F23E2B3" w14:textId="77777777" w:rsidR="00FA40F2" w:rsidRPr="00FA40F2" w:rsidRDefault="00FA40F2" w:rsidP="00FA40F2">
      <w:pPr>
        <w:pStyle w:val="SingleTxtG"/>
        <w:rPr>
          <w:lang w:val="es-ES_tradnl"/>
        </w:rPr>
      </w:pPr>
      <w:r w:rsidRPr="00FA40F2">
        <w:rPr>
          <w:lang w:val="es-ES_tradnl"/>
        </w:rPr>
        <w:t>277.</w:t>
      </w:r>
      <w:r w:rsidRPr="00FA40F2">
        <w:rPr>
          <w:lang w:val="es-ES_tradnl"/>
        </w:rPr>
        <w:tab/>
        <w:t>En el caso de los alumnos que son nuevos inmigrantes, no residentes o pertenecientes a minorías, la Dirección de Servicios de Educación y Juventud ofrece clases de tutoría para facilitarles el aprendizaje y ayudarles a adaptarse a la vida escolar. Entre los cursos 2014/15 y 2018/19, 684 alumnos (352 chicos y 332 chicas) asistieron a esas clases.</w:t>
      </w:r>
    </w:p>
    <w:p w14:paraId="4EBCDBB2" w14:textId="77777777" w:rsidR="00FA40F2" w:rsidRPr="00FA40F2" w:rsidRDefault="00FA40F2" w:rsidP="00FA40F2">
      <w:pPr>
        <w:pStyle w:val="SingleTxtG"/>
        <w:rPr>
          <w:lang w:val="es-ES_tradnl"/>
        </w:rPr>
      </w:pPr>
      <w:r w:rsidRPr="00FA40F2">
        <w:rPr>
          <w:lang w:val="es-ES_tradnl"/>
        </w:rPr>
        <w:t>278.</w:t>
      </w:r>
      <w:r w:rsidRPr="00FA40F2">
        <w:rPr>
          <w:lang w:val="es-ES_tradnl"/>
        </w:rPr>
        <w:tab/>
        <w:t xml:space="preserve">En cuanto a la educación continua, actualmente hay 2 escuelas públicas y 6 privadas. El Gobierno ayudó a la educación </w:t>
      </w:r>
      <w:proofErr w:type="gramStart"/>
      <w:r w:rsidRPr="00FA40F2">
        <w:rPr>
          <w:lang w:val="es-ES_tradnl"/>
        </w:rPr>
        <w:t>continua</w:t>
      </w:r>
      <w:proofErr w:type="gramEnd"/>
      <w:r w:rsidRPr="00FA40F2">
        <w:rPr>
          <w:lang w:val="es-ES_tradnl"/>
        </w:rPr>
        <w:t xml:space="preserve"> subvencionando entre los cursos 2014/15 y</w:t>
      </w:r>
      <w:r w:rsidR="00C50B29">
        <w:rPr>
          <w:lang w:val="es-ES_tradnl"/>
        </w:rPr>
        <w:t> </w:t>
      </w:r>
      <w:r w:rsidRPr="00FA40F2">
        <w:rPr>
          <w:lang w:val="es-ES_tradnl"/>
        </w:rPr>
        <w:t xml:space="preserve">2017/18 a 4.451 estudiantes varones y 2.980 mujeres. </w:t>
      </w:r>
    </w:p>
    <w:p w14:paraId="3E452071" w14:textId="77777777" w:rsidR="00FA40F2" w:rsidRPr="00FA40F2" w:rsidRDefault="00FA40F2" w:rsidP="00FA40F2">
      <w:pPr>
        <w:pStyle w:val="SingleTxtG"/>
        <w:rPr>
          <w:lang w:val="es-ES_tradnl"/>
        </w:rPr>
      </w:pPr>
      <w:r w:rsidRPr="00FA40F2">
        <w:rPr>
          <w:lang w:val="es-ES_tradnl"/>
        </w:rPr>
        <w:t>279.</w:t>
      </w:r>
      <w:r w:rsidRPr="00FA40F2">
        <w:rPr>
          <w:lang w:val="es-ES_tradnl"/>
        </w:rPr>
        <w:tab/>
        <w:t>Para facilitar la reinserción social de los jóvenes infractores y los convictos, la Dirección de Servicios Penitenciarios colabora con la Dirección de Servicios de Educación y Juventud y las organizaciones educativas locales para proporcionarles educación continua y diferentes tipos de cursos de formación profesional.</w:t>
      </w:r>
    </w:p>
    <w:p w14:paraId="7CFA74A6" w14:textId="77777777" w:rsidR="00FA40F2" w:rsidRPr="00FA40F2" w:rsidRDefault="00FA40F2" w:rsidP="00FA40F2">
      <w:pPr>
        <w:pStyle w:val="SingleTxtG"/>
        <w:rPr>
          <w:lang w:val="es-ES_tradnl"/>
        </w:rPr>
      </w:pPr>
      <w:r w:rsidRPr="00FA40F2">
        <w:rPr>
          <w:lang w:val="es-ES_tradnl"/>
        </w:rPr>
        <w:t>280.</w:t>
      </w:r>
      <w:r w:rsidRPr="00FA40F2">
        <w:rPr>
          <w:lang w:val="es-ES_tradnl"/>
        </w:rPr>
        <w:tab/>
        <w:t xml:space="preserve">En cuanto a la educación terciaria, la nueva Ley </w:t>
      </w:r>
      <w:r w:rsidR="00E27276">
        <w:rPr>
          <w:lang w:val="es-ES_tradnl"/>
        </w:rPr>
        <w:t>núm. </w:t>
      </w:r>
      <w:r w:rsidRPr="00FA40F2">
        <w:rPr>
          <w:lang w:val="es-ES_tradnl"/>
        </w:rPr>
        <w:t>10/2017, que establece normas generales sobre las actividades, la organización y el funcionamiento de las instituciones de educación terciaria públicas y privadas de la RAE de Macao, así como</w:t>
      </w:r>
      <w:r w:rsidR="00C50B29">
        <w:rPr>
          <w:lang w:val="es-ES_tradnl"/>
        </w:rPr>
        <w:t> </w:t>
      </w:r>
      <w:r w:rsidRPr="00FA40F2">
        <w:rPr>
          <w:lang w:val="es-ES_tradnl"/>
        </w:rPr>
        <w:t>sobre las actividades de las instituciones de educación terciaria cuya sede no se encuentre en la RAE de Macao, consagra los principios de autonomía científica y autonomía pedagógica, haciendo hincapié en los principios de igualdad y no discriminación (artículos</w:t>
      </w:r>
      <w:r w:rsidR="00C50B29">
        <w:rPr>
          <w:lang w:val="es-ES_tradnl"/>
        </w:rPr>
        <w:t> </w:t>
      </w:r>
      <w:r w:rsidRPr="00FA40F2">
        <w:rPr>
          <w:lang w:val="es-ES_tradnl"/>
        </w:rPr>
        <w:t>4, 7 y 8).</w:t>
      </w:r>
    </w:p>
    <w:p w14:paraId="2F5A1032" w14:textId="77777777" w:rsidR="00FA40F2" w:rsidRPr="00FA40F2" w:rsidRDefault="00FA40F2" w:rsidP="00FA40F2">
      <w:pPr>
        <w:pStyle w:val="SingleTxtG"/>
        <w:rPr>
          <w:lang w:val="es-ES_tradnl"/>
        </w:rPr>
      </w:pPr>
      <w:r w:rsidRPr="00FA40F2">
        <w:rPr>
          <w:lang w:val="es-ES_tradnl"/>
        </w:rPr>
        <w:t>281.</w:t>
      </w:r>
      <w:r w:rsidRPr="00FA40F2">
        <w:rPr>
          <w:lang w:val="es-ES_tradnl"/>
        </w:rPr>
        <w:tab/>
        <w:t xml:space="preserve">Se aprobaron los Reglamentos Administrativos </w:t>
      </w:r>
      <w:r w:rsidR="00E27276">
        <w:rPr>
          <w:lang w:val="es-ES_tradnl"/>
        </w:rPr>
        <w:t>núm. </w:t>
      </w:r>
      <w:r w:rsidRPr="00FA40F2">
        <w:rPr>
          <w:lang w:val="es-ES_tradnl"/>
        </w:rPr>
        <w:t xml:space="preserve">18/2018, relativo a la educación terciaria, y </w:t>
      </w:r>
      <w:r w:rsidR="00E27276">
        <w:rPr>
          <w:lang w:val="es-ES_tradnl"/>
        </w:rPr>
        <w:t>núm. </w:t>
      </w:r>
      <w:r w:rsidRPr="00FA40F2">
        <w:rPr>
          <w:lang w:val="es-ES_tradnl"/>
        </w:rPr>
        <w:t xml:space="preserve">19/2018, relativo al sistema de créditos en la educación terciaria, y se fundó el Consejo de Educación Terciaria para promover la comunicación y la coordinación entre el Gobierno y las instituciones de educación terciaria, así como entre estas, con objeto de fomentar el desarrollo de la educación terciaria (Reglamento Administrativo </w:t>
      </w:r>
      <w:r w:rsidR="00E27276">
        <w:rPr>
          <w:lang w:val="es-ES_tradnl"/>
        </w:rPr>
        <w:t>núm. </w:t>
      </w:r>
      <w:r w:rsidRPr="00FA40F2">
        <w:rPr>
          <w:lang w:val="es-ES_tradnl"/>
        </w:rPr>
        <w:t xml:space="preserve">15/2018, </w:t>
      </w:r>
      <w:r w:rsidR="00722610">
        <w:rPr>
          <w:lang w:val="es-ES_tradnl"/>
        </w:rPr>
        <w:t>artículo </w:t>
      </w:r>
      <w:r w:rsidRPr="00FA40F2">
        <w:rPr>
          <w:lang w:val="es-ES_tradnl"/>
        </w:rPr>
        <w:t>2).</w:t>
      </w:r>
    </w:p>
    <w:p w14:paraId="2D2C2CCD" w14:textId="77777777" w:rsidR="00FA40F2" w:rsidRPr="00FA40F2" w:rsidRDefault="00FA40F2" w:rsidP="00FA40F2">
      <w:pPr>
        <w:pStyle w:val="SingleTxtG"/>
        <w:rPr>
          <w:lang w:val="es-ES_tradnl"/>
        </w:rPr>
      </w:pPr>
      <w:r w:rsidRPr="00FA40F2">
        <w:rPr>
          <w:lang w:val="es-ES_tradnl"/>
        </w:rPr>
        <w:t>282.</w:t>
      </w:r>
      <w:r w:rsidRPr="00FA40F2">
        <w:rPr>
          <w:lang w:val="es-ES_tradnl"/>
        </w:rPr>
        <w:tab/>
        <w:t xml:space="preserve">Se estableció el Fondo para la Educación Terciaria con el objetivo de desarrollar las instituciones de educación terciaria y mejorar la calidad de la educación, y se adoptó el Régimen de Evaluación de la Calidad de la Educación Terciaria (Reglamento Administrativo </w:t>
      </w:r>
      <w:r w:rsidR="00E27276">
        <w:rPr>
          <w:lang w:val="es-ES_tradnl"/>
        </w:rPr>
        <w:t>núm. </w:t>
      </w:r>
      <w:r w:rsidRPr="00FA40F2">
        <w:rPr>
          <w:lang w:val="es-ES_tradnl"/>
        </w:rPr>
        <w:t>17/2018).</w:t>
      </w:r>
    </w:p>
    <w:p w14:paraId="12BF77C3" w14:textId="77777777" w:rsidR="00FA40F2" w:rsidRPr="00FA40F2" w:rsidRDefault="00FA40F2" w:rsidP="00FA40F2">
      <w:pPr>
        <w:pStyle w:val="SingleTxtG"/>
        <w:rPr>
          <w:lang w:val="es-ES_tradnl"/>
        </w:rPr>
      </w:pPr>
      <w:r w:rsidRPr="00FA40F2">
        <w:rPr>
          <w:lang w:val="es-ES_tradnl"/>
        </w:rPr>
        <w:t>283.</w:t>
      </w:r>
      <w:r w:rsidRPr="00FA40F2">
        <w:rPr>
          <w:lang w:val="es-ES_tradnl"/>
        </w:rPr>
        <w:tab/>
        <w:t xml:space="preserve">Con el fin de apoyar a los estudiantes con dificultades económicas y alentar a los estudiantes destacados a continuar la educación terciaria, el Plan de Becas para la Educación Terciaria ofrece préstamos, becas, subsidios de alojamiento y subsidios de viaje. </w:t>
      </w:r>
    </w:p>
    <w:p w14:paraId="56622BA9" w14:textId="77777777" w:rsidR="00FA40F2" w:rsidRPr="00FA40F2" w:rsidRDefault="00FA40F2" w:rsidP="00FA40F2">
      <w:pPr>
        <w:pStyle w:val="SingleTxtG"/>
        <w:rPr>
          <w:lang w:val="es-ES_tradnl"/>
        </w:rPr>
      </w:pPr>
      <w:r w:rsidRPr="00FA40F2">
        <w:rPr>
          <w:lang w:val="es-ES_tradnl"/>
        </w:rPr>
        <w:t>284.</w:t>
      </w:r>
      <w:r w:rsidRPr="00FA40F2">
        <w:rPr>
          <w:lang w:val="es-ES_tradnl"/>
        </w:rPr>
        <w:tab/>
        <w:t>Entre los cursos 2014/15 y 2017/18, 25.719 estudiantes (10.747 varones y</w:t>
      </w:r>
      <w:r w:rsidR="00C50B29">
        <w:rPr>
          <w:lang w:val="es-ES_tradnl"/>
        </w:rPr>
        <w:t> </w:t>
      </w:r>
      <w:r w:rsidRPr="00FA40F2">
        <w:rPr>
          <w:lang w:val="es-ES_tradnl"/>
        </w:rPr>
        <w:t>14.972 mujeres) recibieron ayudas por un total de 1.132.244.036 patacas de Macao. Además, durante el mismo período, 4.051 estudiantes (2.103 hombres y 1.948 mujeres) recibieron financiación en el marco del Plan de Préstamos con Intereses Subsidiados, por un total de 22.269.987 patacas de Macao, mientras que, en el marco del Plan de Subsidio a Estudiantes Destacados para Cursar Programas de Educación, se concedieron subsidios a</w:t>
      </w:r>
      <w:r w:rsidR="00C50B29">
        <w:rPr>
          <w:lang w:val="es-ES_tradnl"/>
        </w:rPr>
        <w:t> </w:t>
      </w:r>
      <w:r w:rsidRPr="00FA40F2">
        <w:rPr>
          <w:lang w:val="es-ES_tradnl"/>
        </w:rPr>
        <w:t xml:space="preserve">524 estudiantes (200 hombres y 324 mujeres), por un total de 91.613.000 patacas de Macao. </w:t>
      </w:r>
    </w:p>
    <w:p w14:paraId="0F31D89A" w14:textId="77777777" w:rsidR="00FA40F2" w:rsidRPr="00FA40F2" w:rsidRDefault="00FA40F2" w:rsidP="00FA40F2">
      <w:pPr>
        <w:pStyle w:val="SingleTxtG"/>
        <w:rPr>
          <w:lang w:val="es-ES_tradnl"/>
        </w:rPr>
      </w:pPr>
      <w:r w:rsidRPr="00FA40F2">
        <w:rPr>
          <w:lang w:val="es-ES_tradnl"/>
        </w:rPr>
        <w:t>285.</w:t>
      </w:r>
      <w:r w:rsidRPr="00FA40F2">
        <w:rPr>
          <w:lang w:val="es-ES_tradnl"/>
        </w:rPr>
        <w:tab/>
        <w:t xml:space="preserve">Como ayuda para aliviar la carga económica, el Gobierno ha estado proporcionando subsidios para material de papelería a los estudiantes de la RAE de Macao que cursan estudios en el territorio o en el extranjero, a razón de 3.000 patacas de Macao por estudiante. Entre los cursos 2014/15 y 2017/18, el número de beneficiarios fue de 132.528, y el importe total ascendió a 397.584.000 patacas de Macao. </w:t>
      </w:r>
    </w:p>
    <w:p w14:paraId="064F3622" w14:textId="77777777" w:rsidR="00FA40F2" w:rsidRPr="00FA40F2" w:rsidRDefault="00FA40F2" w:rsidP="00FA40F2">
      <w:pPr>
        <w:pStyle w:val="SingleTxtG"/>
        <w:rPr>
          <w:lang w:val="es-ES_tradnl"/>
        </w:rPr>
      </w:pPr>
      <w:r w:rsidRPr="00FA40F2">
        <w:rPr>
          <w:lang w:val="es-ES_tradnl"/>
        </w:rPr>
        <w:t>286.</w:t>
      </w:r>
      <w:r w:rsidRPr="00FA40F2">
        <w:rPr>
          <w:lang w:val="es-ES_tradnl"/>
        </w:rPr>
        <w:tab/>
        <w:t>Según la Dirección de Servicios de Educación Superior, en la RAE de Macao hay</w:t>
      </w:r>
      <w:r w:rsidR="00B73C77">
        <w:rPr>
          <w:lang w:val="es-ES_tradnl"/>
        </w:rPr>
        <w:t> </w:t>
      </w:r>
      <w:r w:rsidRPr="00FA40F2">
        <w:rPr>
          <w:lang w:val="es-ES_tradnl"/>
        </w:rPr>
        <w:t>diez instituciones de estudios postsecundarios. En el curso 2017/18, contaban con 2.303 docentes, de los cuales 861 eran mujeres.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0"/>
        <w:gridCol w:w="969"/>
        <w:gridCol w:w="969"/>
        <w:gridCol w:w="968"/>
        <w:gridCol w:w="968"/>
        <w:gridCol w:w="968"/>
        <w:gridCol w:w="968"/>
      </w:tblGrid>
      <w:tr w:rsidR="00FA40F2" w:rsidRPr="00B16B9D" w14:paraId="4F58CA3A" w14:textId="77777777" w:rsidTr="00B16B9D">
        <w:trPr>
          <w:cantSplit/>
          <w:trHeight w:val="240"/>
          <w:tblHeader/>
        </w:trPr>
        <w:tc>
          <w:tcPr>
            <w:tcW w:w="5000" w:type="pct"/>
            <w:gridSpan w:val="7"/>
            <w:tcBorders>
              <w:top w:val="single" w:sz="4" w:space="0" w:color="auto"/>
              <w:bottom w:val="single" w:sz="4" w:space="0" w:color="auto"/>
            </w:tcBorders>
            <w:shd w:val="clear" w:color="auto" w:fill="auto"/>
            <w:vAlign w:val="bottom"/>
          </w:tcPr>
          <w:p w14:paraId="27DC73F2" w14:textId="77777777" w:rsidR="00FA40F2" w:rsidRPr="00B16B9D" w:rsidRDefault="00FA40F2" w:rsidP="00B73C77">
            <w:pPr>
              <w:pStyle w:val="SingleTxtG"/>
              <w:spacing w:before="80" w:after="80" w:line="200" w:lineRule="exact"/>
              <w:ind w:left="0" w:right="0"/>
              <w:jc w:val="center"/>
              <w:rPr>
                <w:i/>
                <w:sz w:val="16"/>
                <w:lang w:val="es-ES_tradnl"/>
              </w:rPr>
            </w:pPr>
            <w:r w:rsidRPr="00B16B9D">
              <w:rPr>
                <w:i/>
                <w:iCs/>
                <w:sz w:val="16"/>
                <w:lang w:val="es-ES_tradnl"/>
              </w:rPr>
              <w:lastRenderedPageBreak/>
              <w:t>Curso académico (número y porcentaje)</w:t>
            </w:r>
          </w:p>
        </w:tc>
      </w:tr>
      <w:tr w:rsidR="00FA40F2" w:rsidRPr="00B16B9D" w14:paraId="0B9B953F" w14:textId="77777777" w:rsidTr="00B73C77">
        <w:trPr>
          <w:cantSplit/>
          <w:trHeight w:val="240"/>
          <w:tblHeader/>
        </w:trPr>
        <w:tc>
          <w:tcPr>
            <w:tcW w:w="1058" w:type="pct"/>
            <w:tcBorders>
              <w:top w:val="single" w:sz="4" w:space="0" w:color="auto"/>
              <w:bottom w:val="single" w:sz="12" w:space="0" w:color="auto"/>
            </w:tcBorders>
            <w:shd w:val="clear" w:color="auto" w:fill="auto"/>
          </w:tcPr>
          <w:p w14:paraId="1C52FF92" w14:textId="77777777" w:rsidR="00FA40F2" w:rsidRPr="00B16B9D" w:rsidRDefault="00FA40F2" w:rsidP="00B16B9D">
            <w:pPr>
              <w:pStyle w:val="SingleTxtG"/>
              <w:spacing w:before="80" w:after="80" w:line="200" w:lineRule="exact"/>
              <w:ind w:left="0" w:right="0"/>
              <w:jc w:val="left"/>
              <w:rPr>
                <w:i/>
                <w:iCs/>
                <w:sz w:val="16"/>
                <w:lang w:val="es-ES_tradnl"/>
              </w:rPr>
            </w:pPr>
            <w:r w:rsidRPr="00B16B9D">
              <w:rPr>
                <w:i/>
                <w:iCs/>
                <w:sz w:val="16"/>
                <w:lang w:val="es-ES_tradnl"/>
              </w:rPr>
              <w:t>Tasa neta de matriculación</w:t>
            </w:r>
          </w:p>
        </w:tc>
        <w:tc>
          <w:tcPr>
            <w:tcW w:w="657" w:type="pct"/>
            <w:tcBorders>
              <w:top w:val="single" w:sz="4" w:space="0" w:color="auto"/>
              <w:bottom w:val="single" w:sz="12" w:space="0" w:color="auto"/>
            </w:tcBorders>
            <w:shd w:val="clear" w:color="auto" w:fill="auto"/>
            <w:vAlign w:val="bottom"/>
          </w:tcPr>
          <w:p w14:paraId="3723381D" w14:textId="77777777" w:rsidR="00FA40F2" w:rsidRPr="00B16B9D" w:rsidRDefault="00FA40F2" w:rsidP="00B16B9D">
            <w:pPr>
              <w:pStyle w:val="SingleTxtG"/>
              <w:spacing w:before="80" w:after="80" w:line="200" w:lineRule="exact"/>
              <w:ind w:left="0" w:right="0"/>
              <w:jc w:val="left"/>
              <w:rPr>
                <w:i/>
                <w:iCs/>
                <w:sz w:val="16"/>
                <w:lang w:val="es-ES_tradnl"/>
              </w:rPr>
            </w:pPr>
            <w:r w:rsidRPr="00B16B9D">
              <w:rPr>
                <w:i/>
                <w:iCs/>
                <w:sz w:val="16"/>
                <w:lang w:val="es-ES_tradnl"/>
              </w:rPr>
              <w:t>Sexo</w:t>
            </w:r>
          </w:p>
        </w:tc>
        <w:tc>
          <w:tcPr>
            <w:tcW w:w="657" w:type="pct"/>
            <w:tcBorders>
              <w:top w:val="single" w:sz="4" w:space="0" w:color="auto"/>
              <w:bottom w:val="single" w:sz="12" w:space="0" w:color="auto"/>
            </w:tcBorders>
            <w:shd w:val="clear" w:color="auto" w:fill="auto"/>
          </w:tcPr>
          <w:p w14:paraId="5D2C9397" w14:textId="77777777" w:rsidR="00FA40F2" w:rsidRPr="00B16B9D" w:rsidRDefault="00FA40F2" w:rsidP="00B16B9D">
            <w:pPr>
              <w:pStyle w:val="SingleTxtG"/>
              <w:spacing w:before="80" w:after="80" w:line="200" w:lineRule="exact"/>
              <w:ind w:left="0" w:right="0"/>
              <w:jc w:val="left"/>
              <w:rPr>
                <w:i/>
                <w:iCs/>
                <w:sz w:val="16"/>
                <w:lang w:val="es-ES_tradnl"/>
              </w:rPr>
            </w:pPr>
            <w:r w:rsidRPr="00B16B9D">
              <w:rPr>
                <w:i/>
                <w:iCs/>
                <w:sz w:val="16"/>
                <w:lang w:val="es-ES_tradnl"/>
              </w:rPr>
              <w:t>Número y porcentaje</w:t>
            </w:r>
          </w:p>
        </w:tc>
        <w:tc>
          <w:tcPr>
            <w:tcW w:w="657" w:type="pct"/>
            <w:tcBorders>
              <w:top w:val="single" w:sz="4" w:space="0" w:color="auto"/>
              <w:bottom w:val="single" w:sz="12" w:space="0" w:color="auto"/>
            </w:tcBorders>
            <w:shd w:val="clear" w:color="auto" w:fill="auto"/>
            <w:vAlign w:val="bottom"/>
          </w:tcPr>
          <w:p w14:paraId="1226E6A5"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2014/15</w:t>
            </w:r>
          </w:p>
        </w:tc>
        <w:tc>
          <w:tcPr>
            <w:tcW w:w="657" w:type="pct"/>
            <w:tcBorders>
              <w:top w:val="single" w:sz="4" w:space="0" w:color="auto"/>
              <w:bottom w:val="single" w:sz="12" w:space="0" w:color="auto"/>
            </w:tcBorders>
            <w:shd w:val="clear" w:color="auto" w:fill="auto"/>
            <w:vAlign w:val="bottom"/>
          </w:tcPr>
          <w:p w14:paraId="796AF2CC"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2015/16</w:t>
            </w:r>
          </w:p>
        </w:tc>
        <w:tc>
          <w:tcPr>
            <w:tcW w:w="657" w:type="pct"/>
            <w:tcBorders>
              <w:top w:val="single" w:sz="4" w:space="0" w:color="auto"/>
              <w:bottom w:val="single" w:sz="12" w:space="0" w:color="auto"/>
            </w:tcBorders>
            <w:shd w:val="clear" w:color="auto" w:fill="auto"/>
            <w:vAlign w:val="bottom"/>
          </w:tcPr>
          <w:p w14:paraId="16F1786B"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2016/17</w:t>
            </w:r>
          </w:p>
        </w:tc>
        <w:tc>
          <w:tcPr>
            <w:tcW w:w="657" w:type="pct"/>
            <w:tcBorders>
              <w:top w:val="single" w:sz="4" w:space="0" w:color="auto"/>
              <w:bottom w:val="single" w:sz="12" w:space="0" w:color="auto"/>
            </w:tcBorders>
            <w:shd w:val="clear" w:color="auto" w:fill="auto"/>
            <w:vAlign w:val="bottom"/>
          </w:tcPr>
          <w:p w14:paraId="48A56189"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2017/18</w:t>
            </w:r>
          </w:p>
        </w:tc>
      </w:tr>
      <w:tr w:rsidR="00FA40F2" w:rsidRPr="00B16B9D" w14:paraId="2B9CEFCF" w14:textId="77777777" w:rsidTr="00B16B9D">
        <w:trPr>
          <w:cantSplit/>
          <w:trHeight w:val="240"/>
        </w:trPr>
        <w:tc>
          <w:tcPr>
            <w:tcW w:w="1058" w:type="pct"/>
            <w:vMerge w:val="restart"/>
            <w:tcBorders>
              <w:top w:val="single" w:sz="12" w:space="0" w:color="auto"/>
            </w:tcBorders>
            <w:shd w:val="clear" w:color="auto" w:fill="auto"/>
          </w:tcPr>
          <w:p w14:paraId="6AB94882"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Educación terciaria</w:t>
            </w:r>
          </w:p>
        </w:tc>
        <w:tc>
          <w:tcPr>
            <w:tcW w:w="657" w:type="pct"/>
            <w:vMerge w:val="restart"/>
            <w:tcBorders>
              <w:top w:val="single" w:sz="12" w:space="0" w:color="auto"/>
            </w:tcBorders>
            <w:shd w:val="clear" w:color="auto" w:fill="auto"/>
          </w:tcPr>
          <w:p w14:paraId="611F8D06" w14:textId="77777777" w:rsidR="00FA40F2" w:rsidRPr="00B16B9D" w:rsidRDefault="00FA40F2" w:rsidP="00B16B9D">
            <w:pPr>
              <w:pStyle w:val="SingleTxtG"/>
              <w:spacing w:before="40" w:after="40" w:line="220" w:lineRule="exact"/>
              <w:ind w:left="0" w:right="0"/>
              <w:jc w:val="left"/>
              <w:rPr>
                <w:sz w:val="18"/>
                <w:lang w:val="es-ES_tradnl"/>
              </w:rPr>
            </w:pPr>
            <w:r w:rsidRPr="00B16B9D">
              <w:rPr>
                <w:iCs/>
                <w:sz w:val="18"/>
                <w:lang w:val="es-ES_tradnl"/>
              </w:rPr>
              <w:t>Hombres</w:t>
            </w:r>
          </w:p>
        </w:tc>
        <w:tc>
          <w:tcPr>
            <w:tcW w:w="657" w:type="pct"/>
            <w:tcBorders>
              <w:top w:val="single" w:sz="12" w:space="0" w:color="auto"/>
            </w:tcBorders>
            <w:shd w:val="clear" w:color="auto" w:fill="auto"/>
          </w:tcPr>
          <w:p w14:paraId="12720B4E"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Número</w:t>
            </w:r>
          </w:p>
        </w:tc>
        <w:tc>
          <w:tcPr>
            <w:tcW w:w="657" w:type="pct"/>
            <w:tcBorders>
              <w:top w:val="single" w:sz="12" w:space="0" w:color="auto"/>
            </w:tcBorders>
            <w:shd w:val="clear" w:color="auto" w:fill="auto"/>
          </w:tcPr>
          <w:p w14:paraId="3C2866EF"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8 021</w:t>
            </w:r>
          </w:p>
        </w:tc>
        <w:tc>
          <w:tcPr>
            <w:tcW w:w="657" w:type="pct"/>
            <w:tcBorders>
              <w:top w:val="single" w:sz="12" w:space="0" w:color="auto"/>
            </w:tcBorders>
            <w:shd w:val="clear" w:color="auto" w:fill="auto"/>
          </w:tcPr>
          <w:p w14:paraId="7501B01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8 384</w:t>
            </w:r>
          </w:p>
        </w:tc>
        <w:tc>
          <w:tcPr>
            <w:tcW w:w="657" w:type="pct"/>
            <w:tcBorders>
              <w:top w:val="single" w:sz="12" w:space="0" w:color="auto"/>
            </w:tcBorders>
            <w:shd w:val="clear" w:color="auto" w:fill="auto"/>
          </w:tcPr>
          <w:p w14:paraId="5CCE722C"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8 604</w:t>
            </w:r>
          </w:p>
        </w:tc>
        <w:tc>
          <w:tcPr>
            <w:tcW w:w="657" w:type="pct"/>
            <w:tcBorders>
              <w:top w:val="single" w:sz="12" w:space="0" w:color="auto"/>
            </w:tcBorders>
            <w:shd w:val="clear" w:color="auto" w:fill="auto"/>
          </w:tcPr>
          <w:p w14:paraId="76FEE4D0"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8 598</w:t>
            </w:r>
          </w:p>
        </w:tc>
      </w:tr>
      <w:tr w:rsidR="00FA40F2" w:rsidRPr="00B16B9D" w14:paraId="4B92E557" w14:textId="77777777" w:rsidTr="00B16B9D">
        <w:trPr>
          <w:cantSplit/>
          <w:trHeight w:val="240"/>
        </w:trPr>
        <w:tc>
          <w:tcPr>
            <w:tcW w:w="1058" w:type="pct"/>
            <w:vMerge/>
            <w:shd w:val="clear" w:color="auto" w:fill="auto"/>
          </w:tcPr>
          <w:p w14:paraId="3EA88F92"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shd w:val="clear" w:color="auto" w:fill="auto"/>
          </w:tcPr>
          <w:p w14:paraId="6398B6CB"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shd w:val="clear" w:color="auto" w:fill="auto"/>
          </w:tcPr>
          <w:p w14:paraId="74A97304"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Porcentaje</w:t>
            </w:r>
          </w:p>
        </w:tc>
        <w:tc>
          <w:tcPr>
            <w:tcW w:w="657" w:type="pct"/>
            <w:shd w:val="clear" w:color="auto" w:fill="auto"/>
          </w:tcPr>
          <w:p w14:paraId="23AE6886"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38,94</w:t>
            </w:r>
          </w:p>
        </w:tc>
        <w:tc>
          <w:tcPr>
            <w:tcW w:w="657" w:type="pct"/>
            <w:shd w:val="clear" w:color="auto" w:fill="auto"/>
          </w:tcPr>
          <w:p w14:paraId="74ECB11F"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41,50</w:t>
            </w:r>
          </w:p>
        </w:tc>
        <w:tc>
          <w:tcPr>
            <w:tcW w:w="657" w:type="pct"/>
            <w:shd w:val="clear" w:color="auto" w:fill="auto"/>
          </w:tcPr>
          <w:p w14:paraId="3753E74D"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42,81</w:t>
            </w:r>
          </w:p>
        </w:tc>
        <w:tc>
          <w:tcPr>
            <w:tcW w:w="657" w:type="pct"/>
            <w:shd w:val="clear" w:color="auto" w:fill="auto"/>
          </w:tcPr>
          <w:p w14:paraId="28DD4453"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42,35</w:t>
            </w:r>
          </w:p>
        </w:tc>
      </w:tr>
      <w:tr w:rsidR="00FA40F2" w:rsidRPr="00B16B9D" w14:paraId="440E2143" w14:textId="77777777" w:rsidTr="00B16B9D">
        <w:trPr>
          <w:cantSplit/>
          <w:trHeight w:val="240"/>
        </w:trPr>
        <w:tc>
          <w:tcPr>
            <w:tcW w:w="1058" w:type="pct"/>
            <w:vMerge/>
            <w:shd w:val="clear" w:color="auto" w:fill="auto"/>
          </w:tcPr>
          <w:p w14:paraId="5D75157E"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val="restart"/>
            <w:shd w:val="clear" w:color="auto" w:fill="auto"/>
          </w:tcPr>
          <w:p w14:paraId="6FC66946" w14:textId="77777777" w:rsidR="00FA40F2" w:rsidRPr="00B16B9D" w:rsidRDefault="00FA40F2" w:rsidP="00B16B9D">
            <w:pPr>
              <w:pStyle w:val="SingleTxtG"/>
              <w:spacing w:before="40" w:after="40" w:line="220" w:lineRule="exact"/>
              <w:ind w:left="0" w:right="0"/>
              <w:jc w:val="left"/>
              <w:rPr>
                <w:sz w:val="18"/>
                <w:lang w:val="es-ES_tradnl"/>
              </w:rPr>
            </w:pPr>
            <w:r w:rsidRPr="00B16B9D">
              <w:rPr>
                <w:iCs/>
                <w:sz w:val="18"/>
                <w:lang w:val="es-ES_tradnl"/>
              </w:rPr>
              <w:t>Mujeres</w:t>
            </w:r>
          </w:p>
        </w:tc>
        <w:tc>
          <w:tcPr>
            <w:tcW w:w="657" w:type="pct"/>
            <w:shd w:val="clear" w:color="auto" w:fill="auto"/>
          </w:tcPr>
          <w:p w14:paraId="29C18EDA"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Número</w:t>
            </w:r>
          </w:p>
        </w:tc>
        <w:tc>
          <w:tcPr>
            <w:tcW w:w="657" w:type="pct"/>
            <w:shd w:val="clear" w:color="auto" w:fill="auto"/>
          </w:tcPr>
          <w:p w14:paraId="019214BF"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11 461</w:t>
            </w:r>
          </w:p>
        </w:tc>
        <w:tc>
          <w:tcPr>
            <w:tcW w:w="657" w:type="pct"/>
            <w:shd w:val="clear" w:color="auto" w:fill="auto"/>
          </w:tcPr>
          <w:p w14:paraId="5C3284C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11 816</w:t>
            </w:r>
          </w:p>
        </w:tc>
        <w:tc>
          <w:tcPr>
            <w:tcW w:w="657" w:type="pct"/>
            <w:shd w:val="clear" w:color="auto" w:fill="auto"/>
          </w:tcPr>
          <w:p w14:paraId="191DAD21"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11 905</w:t>
            </w:r>
          </w:p>
        </w:tc>
        <w:tc>
          <w:tcPr>
            <w:tcW w:w="657" w:type="pct"/>
            <w:shd w:val="clear" w:color="auto" w:fill="auto"/>
          </w:tcPr>
          <w:p w14:paraId="22878536"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12 111</w:t>
            </w:r>
          </w:p>
        </w:tc>
      </w:tr>
      <w:tr w:rsidR="00FA40F2" w:rsidRPr="00B16B9D" w14:paraId="5F138F45" w14:textId="77777777" w:rsidTr="00B16B9D">
        <w:trPr>
          <w:cantSplit/>
          <w:trHeight w:val="240"/>
        </w:trPr>
        <w:tc>
          <w:tcPr>
            <w:tcW w:w="1058" w:type="pct"/>
            <w:vMerge/>
            <w:shd w:val="clear" w:color="auto" w:fill="auto"/>
          </w:tcPr>
          <w:p w14:paraId="6D1EED77"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shd w:val="clear" w:color="auto" w:fill="auto"/>
          </w:tcPr>
          <w:p w14:paraId="5688DE2C"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shd w:val="clear" w:color="auto" w:fill="auto"/>
          </w:tcPr>
          <w:p w14:paraId="5BC02635"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Porcentaje</w:t>
            </w:r>
          </w:p>
        </w:tc>
        <w:tc>
          <w:tcPr>
            <w:tcW w:w="657" w:type="pct"/>
            <w:shd w:val="clear" w:color="auto" w:fill="auto"/>
          </w:tcPr>
          <w:p w14:paraId="7586B27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57,88</w:t>
            </w:r>
          </w:p>
        </w:tc>
        <w:tc>
          <w:tcPr>
            <w:tcW w:w="657" w:type="pct"/>
            <w:shd w:val="clear" w:color="auto" w:fill="auto"/>
          </w:tcPr>
          <w:p w14:paraId="4B7A738C"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59,68</w:t>
            </w:r>
          </w:p>
        </w:tc>
        <w:tc>
          <w:tcPr>
            <w:tcW w:w="657" w:type="pct"/>
            <w:shd w:val="clear" w:color="auto" w:fill="auto"/>
          </w:tcPr>
          <w:p w14:paraId="33AFB1BA"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58,94</w:t>
            </w:r>
          </w:p>
        </w:tc>
        <w:tc>
          <w:tcPr>
            <w:tcW w:w="657" w:type="pct"/>
            <w:shd w:val="clear" w:color="auto" w:fill="auto"/>
          </w:tcPr>
          <w:p w14:paraId="76420DAD"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58,51</w:t>
            </w:r>
          </w:p>
        </w:tc>
      </w:tr>
      <w:tr w:rsidR="00FA40F2" w:rsidRPr="00B16B9D" w14:paraId="77C4F4FB" w14:textId="77777777" w:rsidTr="00B16B9D">
        <w:trPr>
          <w:cantSplit/>
          <w:trHeight w:val="240"/>
        </w:trPr>
        <w:tc>
          <w:tcPr>
            <w:tcW w:w="1058" w:type="pct"/>
            <w:vMerge/>
            <w:shd w:val="clear" w:color="auto" w:fill="auto"/>
          </w:tcPr>
          <w:p w14:paraId="0C6C39CA"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val="restart"/>
            <w:shd w:val="clear" w:color="auto" w:fill="auto"/>
          </w:tcPr>
          <w:p w14:paraId="2EF1A731" w14:textId="77777777" w:rsidR="00FA40F2" w:rsidRPr="00B16B9D" w:rsidRDefault="00FA40F2" w:rsidP="00B16B9D">
            <w:pPr>
              <w:pStyle w:val="SingleTxtG"/>
              <w:spacing w:before="40" w:after="40" w:line="220" w:lineRule="exact"/>
              <w:ind w:left="0" w:right="0"/>
              <w:jc w:val="left"/>
              <w:rPr>
                <w:sz w:val="18"/>
                <w:lang w:val="es-ES_tradnl"/>
              </w:rPr>
            </w:pPr>
            <w:r w:rsidRPr="00B16B9D">
              <w:rPr>
                <w:iCs/>
                <w:sz w:val="18"/>
                <w:lang w:val="es-ES_tradnl"/>
              </w:rPr>
              <w:t>Hombres y mujeres</w:t>
            </w:r>
          </w:p>
        </w:tc>
        <w:tc>
          <w:tcPr>
            <w:tcW w:w="657" w:type="pct"/>
            <w:shd w:val="clear" w:color="auto" w:fill="auto"/>
          </w:tcPr>
          <w:p w14:paraId="07A7CE1C"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Número</w:t>
            </w:r>
          </w:p>
        </w:tc>
        <w:tc>
          <w:tcPr>
            <w:tcW w:w="657" w:type="pct"/>
            <w:shd w:val="clear" w:color="auto" w:fill="auto"/>
          </w:tcPr>
          <w:p w14:paraId="4B9AAA57"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19 482</w:t>
            </w:r>
          </w:p>
        </w:tc>
        <w:tc>
          <w:tcPr>
            <w:tcW w:w="657" w:type="pct"/>
            <w:shd w:val="clear" w:color="auto" w:fill="auto"/>
          </w:tcPr>
          <w:p w14:paraId="07859EDB"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20 200</w:t>
            </w:r>
          </w:p>
        </w:tc>
        <w:tc>
          <w:tcPr>
            <w:tcW w:w="657" w:type="pct"/>
            <w:shd w:val="clear" w:color="auto" w:fill="auto"/>
          </w:tcPr>
          <w:p w14:paraId="2C2BE378"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20 509</w:t>
            </w:r>
          </w:p>
        </w:tc>
        <w:tc>
          <w:tcPr>
            <w:tcW w:w="657" w:type="pct"/>
            <w:shd w:val="clear" w:color="auto" w:fill="auto"/>
          </w:tcPr>
          <w:p w14:paraId="2AC23701"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20 709</w:t>
            </w:r>
          </w:p>
        </w:tc>
      </w:tr>
      <w:tr w:rsidR="00FA40F2" w:rsidRPr="00B16B9D" w14:paraId="3B78DE01" w14:textId="77777777" w:rsidTr="00B16B9D">
        <w:trPr>
          <w:cantSplit/>
          <w:trHeight w:val="240"/>
        </w:trPr>
        <w:tc>
          <w:tcPr>
            <w:tcW w:w="1058" w:type="pct"/>
            <w:vMerge/>
            <w:tcBorders>
              <w:bottom w:val="single" w:sz="12" w:space="0" w:color="auto"/>
            </w:tcBorders>
            <w:shd w:val="clear" w:color="auto" w:fill="auto"/>
          </w:tcPr>
          <w:p w14:paraId="59F7364C"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tcBorders>
              <w:bottom w:val="single" w:sz="12" w:space="0" w:color="auto"/>
            </w:tcBorders>
            <w:shd w:val="clear" w:color="auto" w:fill="auto"/>
          </w:tcPr>
          <w:p w14:paraId="7BEAD7D9"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tcBorders>
              <w:bottom w:val="single" w:sz="12" w:space="0" w:color="auto"/>
            </w:tcBorders>
            <w:shd w:val="clear" w:color="auto" w:fill="auto"/>
          </w:tcPr>
          <w:p w14:paraId="7B67A2A7"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Porcentaje</w:t>
            </w:r>
          </w:p>
        </w:tc>
        <w:tc>
          <w:tcPr>
            <w:tcW w:w="657" w:type="pct"/>
            <w:tcBorders>
              <w:bottom w:val="single" w:sz="12" w:space="0" w:color="auto"/>
            </w:tcBorders>
            <w:shd w:val="clear" w:color="auto" w:fill="auto"/>
          </w:tcPr>
          <w:p w14:paraId="51D7E690"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48,22</w:t>
            </w:r>
          </w:p>
        </w:tc>
        <w:tc>
          <w:tcPr>
            <w:tcW w:w="657" w:type="pct"/>
            <w:tcBorders>
              <w:bottom w:val="single" w:sz="12" w:space="0" w:color="auto"/>
            </w:tcBorders>
            <w:shd w:val="clear" w:color="auto" w:fill="auto"/>
          </w:tcPr>
          <w:p w14:paraId="62B512E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50,50</w:t>
            </w:r>
          </w:p>
        </w:tc>
        <w:tc>
          <w:tcPr>
            <w:tcW w:w="657" w:type="pct"/>
            <w:tcBorders>
              <w:bottom w:val="single" w:sz="12" w:space="0" w:color="auto"/>
            </w:tcBorders>
            <w:shd w:val="clear" w:color="auto" w:fill="auto"/>
          </w:tcPr>
          <w:p w14:paraId="57A40E86"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50,89</w:t>
            </w:r>
          </w:p>
        </w:tc>
        <w:tc>
          <w:tcPr>
            <w:tcW w:w="657" w:type="pct"/>
            <w:tcBorders>
              <w:bottom w:val="single" w:sz="12" w:space="0" w:color="auto"/>
            </w:tcBorders>
            <w:shd w:val="clear" w:color="auto" w:fill="auto"/>
          </w:tcPr>
          <w:p w14:paraId="4BCE1142"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50,51</w:t>
            </w:r>
          </w:p>
        </w:tc>
      </w:tr>
    </w:tbl>
    <w:p w14:paraId="26E99BB7" w14:textId="77777777" w:rsidR="00FA40F2" w:rsidRPr="00B16B9D" w:rsidRDefault="00FA40F2" w:rsidP="00B16B9D">
      <w:pPr>
        <w:pStyle w:val="SingleTxtG"/>
        <w:spacing w:before="120"/>
        <w:ind w:firstLine="170"/>
        <w:rPr>
          <w:sz w:val="18"/>
          <w:szCs w:val="18"/>
          <w:lang w:val="es-ES_tradnl"/>
        </w:rPr>
      </w:pPr>
      <w:r w:rsidRPr="00B16B9D">
        <w:rPr>
          <w:i/>
          <w:iCs/>
          <w:sz w:val="18"/>
          <w:szCs w:val="18"/>
          <w:lang w:val="es-ES_tradnl"/>
        </w:rPr>
        <w:t>Fuente</w:t>
      </w:r>
      <w:r w:rsidRPr="00457886">
        <w:rPr>
          <w:i/>
          <w:iCs/>
          <w:sz w:val="18"/>
          <w:szCs w:val="18"/>
          <w:lang w:val="es-ES_tradnl"/>
        </w:rPr>
        <w:t>:</w:t>
      </w:r>
      <w:r w:rsidRPr="00B16B9D">
        <w:rPr>
          <w:sz w:val="18"/>
          <w:szCs w:val="18"/>
          <w:lang w:val="es-ES_tradnl"/>
        </w:rPr>
        <w:t xml:space="preserve"> Dirección de Servicios de Educación Terciaria.</w:t>
      </w:r>
    </w:p>
    <w:p w14:paraId="6B077CAA" w14:textId="77777777" w:rsidR="00FA40F2" w:rsidRPr="00FA40F2" w:rsidRDefault="00FA40F2" w:rsidP="00FA40F2">
      <w:pPr>
        <w:pStyle w:val="SingleTxtG"/>
        <w:rPr>
          <w:lang w:val="es-ES_tradnl"/>
        </w:rPr>
      </w:pPr>
      <w:r w:rsidRPr="00FA40F2">
        <w:rPr>
          <w:lang w:val="es-ES_tradnl"/>
        </w:rPr>
        <w:t>287.</w:t>
      </w:r>
      <w:r w:rsidRPr="00FA40F2">
        <w:rPr>
          <w:lang w:val="es-ES_tradnl"/>
        </w:rPr>
        <w:tab/>
        <w:t>Entre los cursos 2014/15 y 2017/18, el número de estudiantes con discapacidad en</w:t>
      </w:r>
      <w:r w:rsidR="00457886">
        <w:rPr>
          <w:lang w:val="es-ES_tradnl"/>
        </w:rPr>
        <w:t> </w:t>
      </w:r>
      <w:r w:rsidRPr="00FA40F2">
        <w:rPr>
          <w:lang w:val="es-ES_tradnl"/>
        </w:rPr>
        <w:t>centros de educación terciaria era, respectivamente, de 19 (16 hombres y 3 mujeres), 22</w:t>
      </w:r>
      <w:r w:rsidR="00457886">
        <w:rPr>
          <w:lang w:val="es-ES_tradnl"/>
        </w:rPr>
        <w:t> </w:t>
      </w:r>
      <w:r w:rsidRPr="00FA40F2">
        <w:rPr>
          <w:lang w:val="es-ES_tradnl"/>
        </w:rPr>
        <w:t xml:space="preserve">(17 hombres y 5 mujeres), 19 (13 hombres y 6 mujeres) y 22 (14 hombres y 8 mujeres). </w:t>
      </w:r>
    </w:p>
    <w:p w14:paraId="19468703" w14:textId="77777777" w:rsidR="00FA40F2" w:rsidRPr="00FA40F2" w:rsidRDefault="00FA40F2" w:rsidP="00FA40F2">
      <w:pPr>
        <w:pStyle w:val="SingleTxtG"/>
        <w:rPr>
          <w:lang w:val="es-ES_tradnl"/>
        </w:rPr>
      </w:pPr>
      <w:r w:rsidRPr="00FA40F2">
        <w:rPr>
          <w:lang w:val="es-ES_tradnl"/>
        </w:rPr>
        <w:t>288.</w:t>
      </w:r>
      <w:r w:rsidRPr="00FA40F2">
        <w:rPr>
          <w:lang w:val="es-ES_tradnl"/>
        </w:rPr>
        <w:tab/>
        <w:t xml:space="preserve">Para promover el aprendizaje permanente, el Gobierno de la RAE de Macao ha estado financiando desde julio de 2011 el </w:t>
      </w:r>
      <w:r w:rsidR="00D353FA">
        <w:rPr>
          <w:lang w:val="es-ES_tradnl"/>
        </w:rPr>
        <w:t>“</w:t>
      </w:r>
      <w:r w:rsidRPr="00FA40F2">
        <w:rPr>
          <w:lang w:val="es-ES_tradnl"/>
        </w:rPr>
        <w:t>Plan de Educación Continua</w:t>
      </w:r>
      <w:r w:rsidR="00D353FA">
        <w:rPr>
          <w:lang w:val="es-ES_tradnl"/>
        </w:rPr>
        <w:t>”</w:t>
      </w:r>
      <w:r w:rsidRPr="00FA40F2">
        <w:rPr>
          <w:lang w:val="es-ES_tradnl"/>
        </w:rPr>
        <w:t xml:space="preserve">, que ha prorrogado hasta 2019 (Reglamentos Administrativos </w:t>
      </w:r>
      <w:r w:rsidR="00E27276">
        <w:rPr>
          <w:lang w:val="es-ES_tradnl"/>
        </w:rPr>
        <w:t>núm. </w:t>
      </w:r>
      <w:r w:rsidRPr="00FA40F2">
        <w:rPr>
          <w:lang w:val="es-ES_tradnl"/>
        </w:rPr>
        <w:t xml:space="preserve">16/2011, </w:t>
      </w:r>
      <w:r w:rsidR="00E27276">
        <w:rPr>
          <w:lang w:val="es-ES_tradnl"/>
        </w:rPr>
        <w:t>núm. </w:t>
      </w:r>
      <w:r w:rsidRPr="00FA40F2">
        <w:rPr>
          <w:lang w:val="es-ES_tradnl"/>
        </w:rPr>
        <w:t xml:space="preserve">10/2014 y </w:t>
      </w:r>
      <w:r w:rsidR="00E27276">
        <w:rPr>
          <w:lang w:val="es-ES_tradnl"/>
        </w:rPr>
        <w:t>núm. </w:t>
      </w:r>
      <w:r w:rsidRPr="00FA40F2">
        <w:rPr>
          <w:lang w:val="es-ES_tradnl"/>
        </w:rPr>
        <w:t>10/2017). Durante el período que abarca el informe, se pusieron en marcha tres planes de subsidios. Entre 2011 y 2013, más de 145.000 residentes recibieron ayudas por un valor total superior a 520 millones de patacas de Macao; entre 2014 y 2016, más de 167.000 residentes recibieron ayudas por un total aproximado de 740 millones patacas de Macao, y entre 2017 y 2019, más de 120.000 residentes recibieron ayudas por un valor total superior a 480 millones de patacas de Macao.</w:t>
      </w:r>
    </w:p>
    <w:p w14:paraId="41B63E4E" w14:textId="77777777" w:rsidR="00FA40F2" w:rsidRPr="00FA40F2" w:rsidRDefault="00B16B9D" w:rsidP="00B16B9D">
      <w:pPr>
        <w:pStyle w:val="H1G"/>
        <w:rPr>
          <w:lang w:val="es-ES_tradnl"/>
        </w:rPr>
      </w:pPr>
      <w:bookmarkStart w:id="61" w:name="_Toc194226896"/>
      <w:bookmarkStart w:id="62" w:name="_Toc194229893"/>
      <w:bookmarkStart w:id="63" w:name="_Toc286998612"/>
      <w:bookmarkStart w:id="64" w:name="_Toc33444610"/>
      <w:bookmarkStart w:id="65" w:name="_Toc41219233"/>
      <w:r>
        <w:rPr>
          <w:lang w:val="es-ES_tradnl"/>
        </w:rPr>
        <w:tab/>
      </w:r>
      <w:r w:rsidR="00FA40F2" w:rsidRPr="00FA40F2">
        <w:rPr>
          <w:lang w:val="es-ES_tradnl"/>
        </w:rPr>
        <w:tab/>
      </w:r>
      <w:r w:rsidR="00722610">
        <w:rPr>
          <w:lang w:val="es-ES_tradnl"/>
        </w:rPr>
        <w:t>Artículo </w:t>
      </w:r>
      <w:r w:rsidR="00FA40F2" w:rsidRPr="00FA40F2">
        <w:rPr>
          <w:lang w:val="es-ES_tradnl"/>
        </w:rPr>
        <w:t>15</w:t>
      </w:r>
      <w:r w:rsidR="00FA40F2" w:rsidRPr="00FA40F2">
        <w:rPr>
          <w:lang w:val="es-ES_tradnl"/>
        </w:rPr>
        <w:br/>
        <w:t>Derecho a la vida cultural y al progreso científico</w:t>
      </w:r>
      <w:bookmarkEnd w:id="61"/>
      <w:bookmarkEnd w:id="62"/>
      <w:bookmarkEnd w:id="63"/>
    </w:p>
    <w:p w14:paraId="0781035E" w14:textId="77777777" w:rsidR="00FA40F2" w:rsidRPr="00FA40F2" w:rsidRDefault="00FA40F2" w:rsidP="00B16B9D">
      <w:pPr>
        <w:pStyle w:val="H23G"/>
        <w:rPr>
          <w:lang w:val="es-ES_tradnl"/>
        </w:rPr>
      </w:pPr>
      <w:r w:rsidRPr="00FA40F2">
        <w:rPr>
          <w:lang w:val="es-ES_tradnl"/>
        </w:rPr>
        <w:tab/>
      </w:r>
      <w:r w:rsidR="00B16B9D">
        <w:rPr>
          <w:lang w:val="es-ES_tradnl"/>
        </w:rPr>
        <w:tab/>
      </w:r>
      <w:r w:rsidRPr="00FA40F2">
        <w:rPr>
          <w:lang w:val="es-ES_tradnl"/>
        </w:rPr>
        <w:t>Derecho a la vida cultural</w:t>
      </w:r>
    </w:p>
    <w:p w14:paraId="7B6AD622" w14:textId="77777777" w:rsidR="00FA40F2" w:rsidRPr="00FA40F2" w:rsidRDefault="00FA40F2" w:rsidP="00FA40F2">
      <w:pPr>
        <w:pStyle w:val="SingleTxtG"/>
        <w:rPr>
          <w:lang w:val="es-ES_tradnl"/>
        </w:rPr>
      </w:pPr>
      <w:r w:rsidRPr="00FA40F2">
        <w:rPr>
          <w:lang w:val="es-ES_tradnl"/>
        </w:rPr>
        <w:t>289.</w:t>
      </w:r>
      <w:r w:rsidRPr="00FA40F2">
        <w:rPr>
          <w:lang w:val="es-ES_tradnl"/>
        </w:rPr>
        <w:tab/>
        <w:t xml:space="preserve">La aprobación de la Ley </w:t>
      </w:r>
      <w:r w:rsidR="00E27276">
        <w:rPr>
          <w:lang w:val="es-ES_tradnl"/>
        </w:rPr>
        <w:t>núm. </w:t>
      </w:r>
      <w:r w:rsidRPr="00FA40F2">
        <w:rPr>
          <w:lang w:val="es-ES_tradnl"/>
        </w:rPr>
        <w:t xml:space="preserve">11/2013, de Protección del Patrimonio Cultural, en consonancia con las convenciones de la Organización de las Naciones Unidas para la Educación, la Ciencia y la Cultura (UNESCO) sobre la protección del patrimonio mundial, cultural y natural, la salvaguardia del patrimonio cultural inmaterial y la protección y promoción de la diversidad de las expresiones culturales (todas ellas de aplicación en la RAE de Macao), contribuyó a la consolidación de la política de la RAE de Macao con respecto al patrimonio cultural. </w:t>
      </w:r>
    </w:p>
    <w:p w14:paraId="4CA5BDE7" w14:textId="77777777" w:rsidR="00FA40F2" w:rsidRPr="00FA40F2" w:rsidRDefault="00FA40F2" w:rsidP="00FA40F2">
      <w:pPr>
        <w:pStyle w:val="SingleTxtG"/>
        <w:rPr>
          <w:lang w:val="es-ES_tradnl"/>
        </w:rPr>
      </w:pPr>
      <w:r w:rsidRPr="00FA40F2">
        <w:rPr>
          <w:lang w:val="es-ES_tradnl"/>
        </w:rPr>
        <w:t>290.</w:t>
      </w:r>
      <w:r w:rsidRPr="00FA40F2">
        <w:rPr>
          <w:lang w:val="es-ES_tradnl"/>
        </w:rPr>
        <w:tab/>
        <w:t xml:space="preserve">La Ley protege el patrimonio cultural material e inmaterial, incluido el patrimonio natural, definiendo el marco jurídico, institucional y práctico para salvaguardar el patrimonio natural, artístico y cultural, así como los procedimientos para la clasificación del patrimonio cultural de la RAE de Macao y la intervención de la comunidad. En virtud del Reglamento Administrativo </w:t>
      </w:r>
      <w:r w:rsidR="00E27276">
        <w:rPr>
          <w:lang w:val="es-ES_tradnl"/>
        </w:rPr>
        <w:t>núm. </w:t>
      </w:r>
      <w:r w:rsidRPr="00FA40F2">
        <w:rPr>
          <w:lang w:val="es-ES_tradnl"/>
        </w:rPr>
        <w:t>4/2014, se creó el Consejo del Patrimonio Cultural.</w:t>
      </w:r>
    </w:p>
    <w:p w14:paraId="0D7321F6" w14:textId="77777777" w:rsidR="00FA40F2" w:rsidRPr="00FA40F2" w:rsidRDefault="00FA40F2" w:rsidP="00FA40F2">
      <w:pPr>
        <w:pStyle w:val="SingleTxtG"/>
        <w:rPr>
          <w:lang w:val="es-ES_tradnl"/>
        </w:rPr>
      </w:pPr>
      <w:r w:rsidRPr="00FA40F2">
        <w:rPr>
          <w:lang w:val="es-ES_tradnl"/>
        </w:rPr>
        <w:t>291.</w:t>
      </w:r>
      <w:r w:rsidRPr="00FA40F2">
        <w:rPr>
          <w:lang w:val="es-ES_tradnl"/>
        </w:rPr>
        <w:tab/>
        <w:t xml:space="preserve">En relación con el patrimonio cultural material, 59 monumentos, 46 edificios de interés arquitectónico, 22 espacios y 11 conjuntos de edificaciones forman parte actualmente del inventario de la RAE de Macao (Reglamento Administrativo </w:t>
      </w:r>
      <w:r w:rsidR="00E27276">
        <w:rPr>
          <w:lang w:val="es-ES_tradnl"/>
        </w:rPr>
        <w:t>núm. </w:t>
      </w:r>
      <w:r w:rsidRPr="00FA40F2">
        <w:rPr>
          <w:lang w:val="es-ES_tradnl"/>
        </w:rPr>
        <w:t xml:space="preserve">1/2017 y Reglamento Administrativo </w:t>
      </w:r>
      <w:r w:rsidR="00E27276">
        <w:rPr>
          <w:lang w:val="es-ES_tradnl"/>
        </w:rPr>
        <w:t>núm. </w:t>
      </w:r>
      <w:r w:rsidRPr="00FA40F2">
        <w:rPr>
          <w:lang w:val="es-ES_tradnl"/>
        </w:rPr>
        <w:t xml:space="preserve">31/2018). En el inventario del patrimonio cultural inmaterial de la RAE de Macao figuran 15 elementos, en reconocimiento de las aportaciones culturales de China, Portugal y Macao: la Ópera </w:t>
      </w:r>
      <w:proofErr w:type="spellStart"/>
      <w:r w:rsidRPr="00FA40F2">
        <w:rPr>
          <w:lang w:val="es-ES_tradnl"/>
        </w:rPr>
        <w:t>Yueju</w:t>
      </w:r>
      <w:proofErr w:type="spellEnd"/>
      <w:r w:rsidRPr="00FA40F2">
        <w:rPr>
          <w:lang w:val="es-ES_tradnl"/>
        </w:rPr>
        <w:t xml:space="preserve"> (ópera cantonesa), la preparación de infusiones de hierbas, el tallado de figuras religiosas en madera, la música ritual taoísta, el </w:t>
      </w:r>
      <w:proofErr w:type="spellStart"/>
      <w:r w:rsidRPr="00FA40F2">
        <w:rPr>
          <w:lang w:val="es-ES_tradnl"/>
        </w:rPr>
        <w:t>Naamyam</w:t>
      </w:r>
      <w:proofErr w:type="spellEnd"/>
      <w:r w:rsidRPr="00FA40F2">
        <w:rPr>
          <w:lang w:val="es-ES_tradnl"/>
        </w:rPr>
        <w:t xml:space="preserve"> cantonés (canciones narrativas), el Festival del Dragón Borracho, las creencias y costumbres de A-Ma, las creencias y costumbres de </w:t>
      </w:r>
      <w:proofErr w:type="spellStart"/>
      <w:r w:rsidRPr="00FA40F2">
        <w:rPr>
          <w:lang w:val="es-ES_tradnl"/>
        </w:rPr>
        <w:t>Na</w:t>
      </w:r>
      <w:proofErr w:type="spellEnd"/>
      <w:r w:rsidRPr="00FA40F2">
        <w:rPr>
          <w:lang w:val="es-ES_tradnl"/>
        </w:rPr>
        <w:t xml:space="preserve"> </w:t>
      </w:r>
      <w:proofErr w:type="spellStart"/>
      <w:r w:rsidRPr="00FA40F2">
        <w:rPr>
          <w:lang w:val="es-ES_tradnl"/>
        </w:rPr>
        <w:t>Tcha</w:t>
      </w:r>
      <w:proofErr w:type="spellEnd"/>
      <w:r w:rsidRPr="00FA40F2">
        <w:rPr>
          <w:lang w:val="es-ES_tradnl"/>
        </w:rPr>
        <w:t xml:space="preserve">, la gastronomía macaense, el teatro en dialecto </w:t>
      </w:r>
      <w:proofErr w:type="spellStart"/>
      <w:r w:rsidRPr="00FA40F2">
        <w:rPr>
          <w:lang w:val="es-ES_tradnl"/>
        </w:rPr>
        <w:t>patuá</w:t>
      </w:r>
      <w:proofErr w:type="spellEnd"/>
      <w:r w:rsidRPr="00FA40F2">
        <w:rPr>
          <w:lang w:val="es-ES_tradnl"/>
        </w:rPr>
        <w:t xml:space="preserve">, las creencias y costumbres de </w:t>
      </w:r>
      <w:proofErr w:type="spellStart"/>
      <w:r w:rsidRPr="00FA40F2">
        <w:rPr>
          <w:lang w:val="es-ES_tradnl"/>
        </w:rPr>
        <w:t>Tou</w:t>
      </w:r>
      <w:proofErr w:type="spellEnd"/>
      <w:r w:rsidRPr="00FA40F2">
        <w:rPr>
          <w:lang w:val="es-ES_tradnl"/>
        </w:rPr>
        <w:t xml:space="preserve"> </w:t>
      </w:r>
      <w:proofErr w:type="spellStart"/>
      <w:r w:rsidRPr="00FA40F2">
        <w:rPr>
          <w:lang w:val="es-ES_tradnl"/>
        </w:rPr>
        <w:t>Tei</w:t>
      </w:r>
      <w:proofErr w:type="spellEnd"/>
      <w:r w:rsidRPr="00FA40F2">
        <w:rPr>
          <w:lang w:val="es-ES_tradnl"/>
        </w:rPr>
        <w:t xml:space="preserve">, las creencias y costumbres de Chu </w:t>
      </w:r>
      <w:proofErr w:type="spellStart"/>
      <w:r w:rsidRPr="00FA40F2">
        <w:rPr>
          <w:lang w:val="es-ES_tradnl"/>
        </w:rPr>
        <w:t>Tai</w:t>
      </w:r>
      <w:proofErr w:type="spellEnd"/>
      <w:r w:rsidRPr="00FA40F2">
        <w:rPr>
          <w:lang w:val="es-ES_tradnl"/>
        </w:rPr>
        <w:t xml:space="preserve"> Sin, la construcción de andamios de bambú, la Procesión de Nuestro Señor Buen Jesús dos </w:t>
      </w:r>
      <w:proofErr w:type="spellStart"/>
      <w:r w:rsidRPr="00FA40F2">
        <w:rPr>
          <w:lang w:val="es-ES_tradnl"/>
        </w:rPr>
        <w:t>Passos</w:t>
      </w:r>
      <w:proofErr w:type="spellEnd"/>
      <w:r w:rsidRPr="00FA40F2">
        <w:rPr>
          <w:lang w:val="es-ES_tradnl"/>
        </w:rPr>
        <w:t xml:space="preserve"> y la Procesión de Nuestra Señora de Fátima.</w:t>
      </w:r>
    </w:p>
    <w:p w14:paraId="14EA8215" w14:textId="77777777" w:rsidR="00FA40F2" w:rsidRPr="00FA40F2" w:rsidRDefault="00FA40F2" w:rsidP="00FA40F2">
      <w:pPr>
        <w:pStyle w:val="SingleTxtG"/>
        <w:rPr>
          <w:lang w:val="es-ES_tradnl"/>
        </w:rPr>
      </w:pPr>
      <w:r w:rsidRPr="00FA40F2">
        <w:rPr>
          <w:lang w:val="es-ES_tradnl"/>
        </w:rPr>
        <w:lastRenderedPageBreak/>
        <w:t>292.</w:t>
      </w:r>
      <w:r w:rsidRPr="00FA40F2">
        <w:rPr>
          <w:lang w:val="es-ES_tradnl"/>
        </w:rPr>
        <w:tab/>
        <w:t>El Centro Histórico de Macao, inscrito en la Lista del Patrimonio Mundial de la</w:t>
      </w:r>
      <w:r w:rsidR="00DD0AFC">
        <w:rPr>
          <w:lang w:val="es-ES_tradnl"/>
        </w:rPr>
        <w:t> </w:t>
      </w:r>
      <w:r w:rsidRPr="00FA40F2">
        <w:rPr>
          <w:lang w:val="es-ES_tradnl"/>
        </w:rPr>
        <w:t>UNESCO, es un hito de los 500 años de diversidad intercultural de la RAE de Macao. El Gobierno da gran importancia al reconocimiento de este patrimonio y se esfuerza por preservarlo, promoverlo y difundirlo.</w:t>
      </w:r>
    </w:p>
    <w:p w14:paraId="038D1D73" w14:textId="77777777" w:rsidR="00FA40F2" w:rsidRPr="00FA40F2" w:rsidRDefault="00FA40F2" w:rsidP="00FA40F2">
      <w:pPr>
        <w:pStyle w:val="SingleTxtG"/>
        <w:rPr>
          <w:lang w:val="es-ES_tradnl"/>
        </w:rPr>
      </w:pPr>
      <w:r w:rsidRPr="00FA40F2">
        <w:rPr>
          <w:lang w:val="es-ES_tradnl"/>
        </w:rPr>
        <w:t>293.</w:t>
      </w:r>
      <w:r w:rsidRPr="00FA40F2">
        <w:rPr>
          <w:lang w:val="es-ES_tradnl"/>
        </w:rPr>
        <w:tab/>
        <w:t xml:space="preserve">La Dirección de Asuntos Culturales se encarga de la aplicación de las políticas y estrategias en materia de cultura, así como de la promoción de esta y de la vida cultural y la diversidad (Reglamento Administrativo </w:t>
      </w:r>
      <w:r w:rsidR="00E27276">
        <w:rPr>
          <w:lang w:val="es-ES_tradnl"/>
        </w:rPr>
        <w:t>núm. </w:t>
      </w:r>
      <w:r w:rsidRPr="00FA40F2">
        <w:rPr>
          <w:lang w:val="es-ES_tradnl"/>
        </w:rPr>
        <w:t>20/2015), trabajando en estrecha colaboración con otros departamentos gubernamentales (por ejemplo, el Instituto de Asuntos Cívicos y Municipales, la Dirección de Servicios de Educación y Juventud, la Oficina de Turismo del Gobierno de Macao), entidades (por ejemplo, la Fundación Macao) y ONG.</w:t>
      </w:r>
    </w:p>
    <w:p w14:paraId="57AF72A2" w14:textId="77777777" w:rsidR="00FA40F2" w:rsidRPr="00FA40F2" w:rsidRDefault="00FA40F2" w:rsidP="00FA40F2">
      <w:pPr>
        <w:pStyle w:val="SingleTxtG"/>
        <w:rPr>
          <w:lang w:val="es-ES_tradnl"/>
        </w:rPr>
      </w:pPr>
      <w:r w:rsidRPr="00FA40F2">
        <w:rPr>
          <w:lang w:val="es-ES_tradnl"/>
        </w:rPr>
        <w:t>294.</w:t>
      </w:r>
      <w:r w:rsidRPr="00FA40F2">
        <w:rPr>
          <w:lang w:val="es-ES_tradnl"/>
        </w:rPr>
        <w:tab/>
        <w:t>Entre 2014 y 2017 el presupuesto público de la RAE de Macao para asuntos culturales fue de 865 millones, 902 millones, 1.207.300.000 y 1.281.800.000 patacas de Macao, respectivamente.</w:t>
      </w:r>
    </w:p>
    <w:p w14:paraId="00CD90FD" w14:textId="77777777" w:rsidR="00FA40F2" w:rsidRPr="00FA40F2" w:rsidRDefault="00FA40F2" w:rsidP="00FA40F2">
      <w:pPr>
        <w:pStyle w:val="SingleTxtG"/>
        <w:rPr>
          <w:lang w:val="es-ES_tradnl"/>
        </w:rPr>
      </w:pPr>
      <w:r w:rsidRPr="00FA40F2">
        <w:rPr>
          <w:lang w:val="es-ES_tradnl"/>
        </w:rPr>
        <w:t>295.</w:t>
      </w:r>
      <w:r w:rsidRPr="00FA40F2">
        <w:rPr>
          <w:lang w:val="es-ES_tradnl"/>
        </w:rPr>
        <w:tab/>
        <w:t>A septiembre de 2018, había 780 asociaciones culturales registradas en la Dirección de Servicios de Identificación (entre 2014 y 2018 se habían registrado 112, 136, 168, 180 y 184 nuevas asociaciones respectivamente).</w:t>
      </w:r>
    </w:p>
    <w:p w14:paraId="693FEF1B" w14:textId="77777777" w:rsidR="00FA40F2" w:rsidRPr="00FA40F2" w:rsidRDefault="00FA40F2" w:rsidP="00FA40F2">
      <w:pPr>
        <w:pStyle w:val="SingleTxtG"/>
        <w:rPr>
          <w:lang w:val="es-ES_tradnl"/>
        </w:rPr>
      </w:pPr>
      <w:r w:rsidRPr="00FA40F2">
        <w:rPr>
          <w:lang w:val="es-ES_tradnl"/>
        </w:rPr>
        <w:t>296.</w:t>
      </w:r>
      <w:r w:rsidRPr="00FA40F2">
        <w:rPr>
          <w:lang w:val="es-ES_tradnl"/>
        </w:rPr>
        <w:tab/>
        <w:t>Entre 2014 y 2018, el número de instalaciones e infraestructuras se amplió. Concretamente, de 24 a 27 museos, de 5 a 6 cines, y de 66 a 76 bibliotecas y salas de lectura. Hay 7 teatros y un archivo histórico.</w:t>
      </w:r>
    </w:p>
    <w:p w14:paraId="54C4DDAA" w14:textId="77777777" w:rsidR="00FA40F2" w:rsidRPr="00FA40F2" w:rsidRDefault="00FA40F2" w:rsidP="00FA40F2">
      <w:pPr>
        <w:pStyle w:val="SingleTxtG"/>
        <w:rPr>
          <w:lang w:val="es-ES_tradnl"/>
        </w:rPr>
      </w:pPr>
      <w:r w:rsidRPr="00FA40F2">
        <w:rPr>
          <w:lang w:val="es-ES_tradnl"/>
        </w:rPr>
        <w:t>297.</w:t>
      </w:r>
      <w:r w:rsidRPr="00FA40F2">
        <w:rPr>
          <w:lang w:val="es-ES_tradnl"/>
        </w:rPr>
        <w:tab/>
        <w:t>Se mejoraron los servicios de la red de bibliotecas, al incrementarse la oferta de libros y periódicos, recursos electrónicos (por ejemplo, libros y revistas electrónicos y bases de datos (https://</w:t>
      </w:r>
      <w:proofErr w:type="spellStart"/>
      <w:r w:rsidRPr="00FA40F2">
        <w:rPr>
          <w:lang w:val="es-ES_tradnl"/>
        </w:rPr>
        <w:t>www.library.gov.mo</w:t>
      </w:r>
      <w:proofErr w:type="spellEnd"/>
      <w:r w:rsidRPr="00FA40F2">
        <w:rPr>
          <w:lang w:val="es-ES_tradnl"/>
        </w:rPr>
        <w:t>/en/</w:t>
      </w:r>
      <w:proofErr w:type="spellStart"/>
      <w:r w:rsidRPr="00FA40F2">
        <w:rPr>
          <w:lang w:val="es-ES_tradnl"/>
        </w:rPr>
        <w:t>library-collections</w:t>
      </w:r>
      <w:proofErr w:type="spellEnd"/>
      <w:r w:rsidRPr="00FA40F2">
        <w:rPr>
          <w:lang w:val="es-ES_tradnl"/>
        </w:rPr>
        <w:t>/e-</w:t>
      </w:r>
      <w:proofErr w:type="spellStart"/>
      <w:r w:rsidRPr="00FA40F2">
        <w:rPr>
          <w:lang w:val="es-ES_tradnl"/>
        </w:rPr>
        <w:t>resources</w:t>
      </w:r>
      <w:proofErr w:type="spellEnd"/>
      <w:r w:rsidRPr="00FA40F2">
        <w:rPr>
          <w:lang w:val="es-ES_tradnl"/>
        </w:rPr>
        <w:t>)) y materiales multimedia (discos Blu-ray/DVD/</w:t>
      </w:r>
      <w:proofErr w:type="spellStart"/>
      <w:r w:rsidRPr="00FA40F2">
        <w:rPr>
          <w:lang w:val="es-ES_tradnl"/>
        </w:rPr>
        <w:t>VCD</w:t>
      </w:r>
      <w:proofErr w:type="spellEnd"/>
      <w:r w:rsidRPr="00FA40F2">
        <w:rPr>
          <w:lang w:val="es-ES_tradnl"/>
        </w:rPr>
        <w:t xml:space="preserve"> y CD). Las 16 bibliotecas, que reciben más de 2.650.000 visitas al año, cuentan en la actualidad con una colección de aproximadamente 831.646 volúmenes. Desde 2014 hasta septiembre de 2018, se realizaron más de 3.500</w:t>
      </w:r>
      <w:r w:rsidR="002661E1">
        <w:rPr>
          <w:lang w:val="es-ES_tradnl"/>
        </w:rPr>
        <w:t> </w:t>
      </w:r>
      <w:r w:rsidRPr="00FA40F2">
        <w:rPr>
          <w:lang w:val="es-ES_tradnl"/>
        </w:rPr>
        <w:t>actividades, entre ellas charlas temáticas, exposiciones, talleres de lectura y narraciones para niños y padres.</w:t>
      </w:r>
    </w:p>
    <w:p w14:paraId="1F78958E" w14:textId="77777777" w:rsidR="00FA40F2" w:rsidRPr="00FA40F2" w:rsidRDefault="00FA40F2" w:rsidP="00FA40F2">
      <w:pPr>
        <w:pStyle w:val="SingleTxtG"/>
        <w:rPr>
          <w:lang w:val="es-ES_tradnl"/>
        </w:rPr>
      </w:pPr>
      <w:r w:rsidRPr="00FA40F2">
        <w:rPr>
          <w:lang w:val="es-ES_tradnl"/>
        </w:rPr>
        <w:t>298.</w:t>
      </w:r>
      <w:r w:rsidRPr="00FA40F2">
        <w:rPr>
          <w:lang w:val="es-ES_tradnl"/>
        </w:rPr>
        <w:tab/>
        <w:t>Actualmente hay 13 periódicos en chino (uno de ellos es gratuito y se fundó en</w:t>
      </w:r>
      <w:r w:rsidR="002661E1">
        <w:rPr>
          <w:lang w:val="es-ES_tradnl"/>
        </w:rPr>
        <w:t> </w:t>
      </w:r>
      <w:r w:rsidRPr="00FA40F2">
        <w:rPr>
          <w:lang w:val="es-ES_tradnl"/>
        </w:rPr>
        <w:t>2011), 3 en portugués y 3 en inglés. En 2014 se lanzó un semanario bilingüe chino-portugués, y un semanario portugués pasó a ser trilingüe (chino, portugués e inglés). Hay 11 emisoras de radio y televisión.</w:t>
      </w:r>
    </w:p>
    <w:p w14:paraId="700E3768" w14:textId="77777777" w:rsidR="00FA40F2" w:rsidRPr="00FA40F2" w:rsidRDefault="00FA40F2" w:rsidP="00FA40F2">
      <w:pPr>
        <w:pStyle w:val="SingleTxtG"/>
        <w:rPr>
          <w:lang w:val="es-ES_tradnl"/>
        </w:rPr>
      </w:pPr>
      <w:r w:rsidRPr="00FA40F2">
        <w:rPr>
          <w:lang w:val="es-ES_tradnl"/>
        </w:rPr>
        <w:t>299.</w:t>
      </w:r>
      <w:r w:rsidRPr="00FA40F2">
        <w:rPr>
          <w:lang w:val="es-ES_tradnl"/>
        </w:rPr>
        <w:tab/>
        <w:t xml:space="preserve">Los órganos y servicios de la Dirección de Asuntos Culturales incluyen un conservatorio, un archivo, las comisiones de clasificación de espectáculos, bibliotecas, instalaciones culturales (31), entre otras, el Centro Cultural de Macao, el Museo de Arte de Macao y los recién añadidos centros de arte Astillero Naval </w:t>
      </w:r>
      <w:r w:rsidR="00E27276">
        <w:rPr>
          <w:lang w:val="es-ES_tradnl"/>
        </w:rPr>
        <w:t>núm. </w:t>
      </w:r>
      <w:r w:rsidRPr="00FA40F2">
        <w:rPr>
          <w:lang w:val="es-ES_tradnl"/>
        </w:rPr>
        <w:t xml:space="preserve">1 (2016) y </w:t>
      </w:r>
      <w:r w:rsidR="00E27276">
        <w:rPr>
          <w:lang w:val="es-ES_tradnl"/>
        </w:rPr>
        <w:t>núm. </w:t>
      </w:r>
      <w:r w:rsidRPr="00FA40F2">
        <w:rPr>
          <w:lang w:val="es-ES_tradnl"/>
        </w:rPr>
        <w:t xml:space="preserve">2 (2018) (espacio multifuncional) y la Cinemateca </w:t>
      </w:r>
      <w:proofErr w:type="spellStart"/>
      <w:r w:rsidRPr="00FA40F2">
        <w:rPr>
          <w:lang w:val="es-ES_tradnl"/>
        </w:rPr>
        <w:t>Paixão</w:t>
      </w:r>
      <w:proofErr w:type="spellEnd"/>
      <w:r w:rsidRPr="00FA40F2">
        <w:rPr>
          <w:lang w:val="es-ES_tradnl"/>
        </w:rPr>
        <w:t xml:space="preserve"> (2017). </w:t>
      </w:r>
    </w:p>
    <w:p w14:paraId="6C709447" w14:textId="77777777" w:rsidR="00FA40F2" w:rsidRPr="00FA40F2" w:rsidRDefault="00FA40F2" w:rsidP="00FA40F2">
      <w:pPr>
        <w:pStyle w:val="SingleTxtG"/>
        <w:rPr>
          <w:lang w:val="es-ES_tradnl"/>
        </w:rPr>
      </w:pPr>
      <w:r w:rsidRPr="00FA40F2">
        <w:rPr>
          <w:lang w:val="es-ES_tradnl"/>
        </w:rPr>
        <w:t>300.</w:t>
      </w:r>
      <w:r w:rsidRPr="00FA40F2">
        <w:rPr>
          <w:lang w:val="es-ES_tradnl"/>
        </w:rPr>
        <w:tab/>
        <w:t>Los precios de visita de monumentos e instalaciones siguen siendo económicos. En la mayoría de ellos el acceso es gratuito los domingos o una vez al mes y se ofrecen descuentos o exenciones del pago de la entrada, especialmente a niños, estudiantes, personas de edad, personas con discapacidad y otros grupos vulnerables.</w:t>
      </w:r>
    </w:p>
    <w:p w14:paraId="35F55F9B" w14:textId="77777777" w:rsidR="00FA40F2" w:rsidRPr="00FA40F2" w:rsidRDefault="00FA40F2" w:rsidP="00FA40F2">
      <w:pPr>
        <w:pStyle w:val="SingleTxtG"/>
        <w:rPr>
          <w:lang w:val="es-ES_tradnl"/>
        </w:rPr>
      </w:pPr>
      <w:r w:rsidRPr="00FA40F2">
        <w:rPr>
          <w:lang w:val="es-ES_tradnl"/>
        </w:rPr>
        <w:t>301.</w:t>
      </w:r>
      <w:r w:rsidRPr="00FA40F2">
        <w:rPr>
          <w:lang w:val="es-ES_tradnl"/>
        </w:rPr>
        <w:tab/>
        <w:t>Se siguen adoptando medidas para garantizar la plena participación de todas las personas en la vida cultural, lo que supone, entre otras cosas, eliminar cualquier barrera física, social o de comunicación y promover la participación comunitaria y la creatividad.</w:t>
      </w:r>
    </w:p>
    <w:p w14:paraId="216181DF" w14:textId="77777777" w:rsidR="00FA40F2" w:rsidRPr="00FA40F2" w:rsidRDefault="00FA40F2" w:rsidP="00FA40F2">
      <w:pPr>
        <w:pStyle w:val="SingleTxtG"/>
        <w:rPr>
          <w:lang w:val="es-ES_tradnl"/>
        </w:rPr>
      </w:pPr>
      <w:r w:rsidRPr="00FA40F2">
        <w:rPr>
          <w:lang w:val="es-ES_tradnl"/>
        </w:rPr>
        <w:t>302.</w:t>
      </w:r>
      <w:r w:rsidRPr="00FA40F2">
        <w:rPr>
          <w:lang w:val="es-ES_tradnl"/>
        </w:rPr>
        <w:tab/>
        <w:t>Entre 2014 y septiembre de 2018, en el marco de su plan de expansión de audiencias, el Centro Cultural de Macao organizó 169 eventos, que contaron con un total de</w:t>
      </w:r>
      <w:r w:rsidR="00957EEB">
        <w:rPr>
          <w:lang w:val="es-ES_tradnl"/>
        </w:rPr>
        <w:t> </w:t>
      </w:r>
      <w:r w:rsidRPr="00FA40F2">
        <w:rPr>
          <w:lang w:val="es-ES_tradnl"/>
        </w:rPr>
        <w:t>5.245 participantes. En el mismo período, se realizaron 356 visitas de divulgación a escuelas y ONG, en que participaron 16.709 personas.</w:t>
      </w:r>
    </w:p>
    <w:p w14:paraId="34C00335" w14:textId="77777777" w:rsidR="00FA40F2" w:rsidRPr="00FA40F2" w:rsidRDefault="00FA40F2" w:rsidP="00FA40F2">
      <w:pPr>
        <w:pStyle w:val="SingleTxtG"/>
        <w:rPr>
          <w:lang w:val="es-ES_tradnl"/>
        </w:rPr>
      </w:pPr>
      <w:r w:rsidRPr="00FA40F2">
        <w:rPr>
          <w:lang w:val="es-ES_tradnl"/>
        </w:rPr>
        <w:t>303.</w:t>
      </w:r>
      <w:r w:rsidRPr="00FA40F2">
        <w:rPr>
          <w:lang w:val="es-ES_tradnl"/>
        </w:rPr>
        <w:tab/>
        <w:t xml:space="preserve">La RAE de Macao sigue ofreciendo una gran variedad de exposiciones artísticas y actividades de gran categoría, entre las que se incluyen recitales, festivales de músicas del mundo, conciertos de jazz, </w:t>
      </w:r>
      <w:proofErr w:type="gramStart"/>
      <w:r w:rsidRPr="00FA40F2">
        <w:rPr>
          <w:lang w:val="es-ES_tradnl"/>
        </w:rPr>
        <w:t>ballet</w:t>
      </w:r>
      <w:proofErr w:type="gramEnd"/>
      <w:r w:rsidRPr="00FA40F2">
        <w:rPr>
          <w:lang w:val="es-ES_tradnl"/>
        </w:rPr>
        <w:t>, danza contemporánea, musicales, teatro, cine, talleres, concursos literarios y espectáculos multimedia. Para más información sobre espectáculos y exposiciones, véase el cuadro de la página 127 del Anuario Estadístico de 2017.</w:t>
      </w:r>
    </w:p>
    <w:p w14:paraId="4547CEC3" w14:textId="77777777" w:rsidR="00FA40F2" w:rsidRPr="00FA40F2" w:rsidRDefault="00FA40F2" w:rsidP="00FA40F2">
      <w:pPr>
        <w:pStyle w:val="SingleTxtG"/>
        <w:rPr>
          <w:lang w:val="es-ES_tradnl"/>
        </w:rPr>
      </w:pPr>
      <w:r w:rsidRPr="00FA40F2">
        <w:rPr>
          <w:lang w:val="es-ES_tradnl"/>
        </w:rPr>
        <w:lastRenderedPageBreak/>
        <w:t>304.</w:t>
      </w:r>
      <w:r w:rsidRPr="00FA40F2">
        <w:rPr>
          <w:lang w:val="es-ES_tradnl"/>
        </w:rPr>
        <w:tab/>
        <w:t xml:space="preserve">Entre las actividades culturales más destacadas de la RAE de Macao figuran las siguientes: el 29º Festival de Arte de Macao, el 32º Festival Internacional de Música de Macao, el 18º </w:t>
      </w:r>
      <w:r w:rsidRPr="00FA40F2">
        <w:rPr>
          <w:i/>
          <w:iCs/>
          <w:lang w:val="es-ES_tradnl"/>
        </w:rPr>
        <w:t xml:space="preserve">Festival </w:t>
      </w:r>
      <w:proofErr w:type="spellStart"/>
      <w:r w:rsidRPr="00FA40F2">
        <w:rPr>
          <w:i/>
          <w:iCs/>
          <w:lang w:val="es-ES_tradnl"/>
        </w:rPr>
        <w:t>Fringe</w:t>
      </w:r>
      <w:proofErr w:type="spellEnd"/>
      <w:r w:rsidRPr="00FA40F2">
        <w:rPr>
          <w:lang w:val="es-ES_tradnl"/>
        </w:rPr>
        <w:t xml:space="preserve"> de la Ciudad de Macao, los conciertos de la Orquesta de Macao (35º aniversario) y de la Orquesta China (31º aniversario), y el 36º Concurso de Jóvenes Músicos de Macao.</w:t>
      </w:r>
    </w:p>
    <w:p w14:paraId="6ED3E5C1" w14:textId="77777777" w:rsidR="00FA40F2" w:rsidRPr="00FA40F2" w:rsidRDefault="00FA40F2" w:rsidP="00FA40F2">
      <w:pPr>
        <w:pStyle w:val="SingleTxtG"/>
        <w:rPr>
          <w:lang w:val="es-ES_tradnl"/>
        </w:rPr>
      </w:pPr>
      <w:r w:rsidRPr="00FA40F2">
        <w:rPr>
          <w:lang w:val="es-ES_tradnl"/>
        </w:rPr>
        <w:t>305.</w:t>
      </w:r>
      <w:r w:rsidRPr="00FA40F2">
        <w:rPr>
          <w:lang w:val="es-ES_tradnl"/>
        </w:rPr>
        <w:tab/>
        <w:t xml:space="preserve">El Tercer Festival Internacional de Cine, otro de los focos de atención, organizado por la Oficina de Turismo del Gobierno de Macao, tiene como objetivo desarrollar una nueva plataforma para los cineastas de Asia y el sector cinematográfico, promover las artes visuales entre la población y alentar a los cineastas locales. </w:t>
      </w:r>
    </w:p>
    <w:p w14:paraId="522211ED" w14:textId="77777777" w:rsidR="00FA40F2" w:rsidRPr="00FA40F2" w:rsidRDefault="00FA40F2" w:rsidP="00FA40F2">
      <w:pPr>
        <w:pStyle w:val="SingleTxtG"/>
        <w:rPr>
          <w:lang w:val="es-ES_tradnl"/>
        </w:rPr>
      </w:pPr>
      <w:r w:rsidRPr="00FA40F2">
        <w:rPr>
          <w:lang w:val="es-ES_tradnl"/>
        </w:rPr>
        <w:t>306.</w:t>
      </w:r>
      <w:r w:rsidRPr="00FA40F2">
        <w:rPr>
          <w:lang w:val="es-ES_tradnl"/>
        </w:rPr>
        <w:tab/>
        <w:t xml:space="preserve">Otra de las actividades destacadas es la </w:t>
      </w:r>
      <w:r w:rsidR="00D353FA">
        <w:rPr>
          <w:lang w:val="es-ES_tradnl"/>
        </w:rPr>
        <w:t>“</w:t>
      </w:r>
      <w:r w:rsidRPr="00FA40F2">
        <w:rPr>
          <w:lang w:val="es-ES_tradnl"/>
        </w:rPr>
        <w:t>Mujeres Artistas: Primera Bienal Internacional de Macao</w:t>
      </w:r>
      <w:r w:rsidR="00D353FA">
        <w:rPr>
          <w:lang w:val="es-ES_tradnl"/>
        </w:rPr>
        <w:t>”</w:t>
      </w:r>
      <w:r w:rsidRPr="00FA40F2">
        <w:rPr>
          <w:lang w:val="es-ES_tradnl"/>
        </w:rPr>
        <w:t>, celebrada en 2018, que se centró en la condición de la mujer en el mundo del arte contemporáneo, y en la que participaron 100 mujeres de la comunidad de artistas locales, así como de Angola, Australia, el Brasil, Cabo Verde, China continental, Corea del Sur, España, los Estados Unidos de América, Georgia, Guinea-Bissau, la India, el Irán, el Japón, Mozambique, Portugal, la RAE de Hong Kong, Rusia, Santo Tomé y Príncipe, Taiwán y Timor-Leste.</w:t>
      </w:r>
    </w:p>
    <w:p w14:paraId="001691D6" w14:textId="77777777" w:rsidR="00FA40F2" w:rsidRPr="00FA40F2" w:rsidRDefault="00FA40F2" w:rsidP="00FA40F2">
      <w:pPr>
        <w:pStyle w:val="SingleTxtG"/>
        <w:rPr>
          <w:lang w:val="es-ES_tradnl"/>
        </w:rPr>
      </w:pPr>
      <w:r w:rsidRPr="00FA40F2">
        <w:rPr>
          <w:lang w:val="es-ES_tradnl"/>
        </w:rPr>
        <w:t>307.</w:t>
      </w:r>
      <w:r w:rsidRPr="00FA40F2">
        <w:rPr>
          <w:lang w:val="es-ES_tradnl"/>
        </w:rPr>
        <w:tab/>
        <w:t xml:space="preserve">También cabe destacar las series de conciertos </w:t>
      </w:r>
      <w:r w:rsidR="00D353FA">
        <w:rPr>
          <w:lang w:val="es-ES_tradnl"/>
        </w:rPr>
        <w:t>“</w:t>
      </w:r>
      <w:r w:rsidRPr="00FA40F2">
        <w:rPr>
          <w:lang w:val="es-ES_tradnl"/>
        </w:rPr>
        <w:t>Amar a la Comunidad, Caminar Juntos</w:t>
      </w:r>
      <w:r w:rsidR="00D353FA">
        <w:rPr>
          <w:lang w:val="es-ES_tradnl"/>
        </w:rPr>
        <w:t>”</w:t>
      </w:r>
      <w:r w:rsidRPr="00FA40F2">
        <w:rPr>
          <w:lang w:val="es-ES_tradnl"/>
        </w:rPr>
        <w:t xml:space="preserve"> y </w:t>
      </w:r>
      <w:r w:rsidR="00D353FA">
        <w:rPr>
          <w:lang w:val="es-ES_tradnl"/>
        </w:rPr>
        <w:t>“</w:t>
      </w:r>
      <w:r w:rsidRPr="00FA40F2">
        <w:rPr>
          <w:lang w:val="es-ES_tradnl"/>
        </w:rPr>
        <w:t>Herencia Musical</w:t>
      </w:r>
      <w:r w:rsidR="00D353FA">
        <w:rPr>
          <w:lang w:val="es-ES_tradnl"/>
        </w:rPr>
        <w:t>”</w:t>
      </w:r>
      <w:r w:rsidRPr="00FA40F2">
        <w:rPr>
          <w:lang w:val="es-ES_tradnl"/>
        </w:rPr>
        <w:t>, que se celebran desde 2014 en escuelas de educación especial, prisiones y residencias de personas mayores. Entre 2014 y 2018, se realizaron 35</w:t>
      </w:r>
      <w:r w:rsidR="00CA6833">
        <w:rPr>
          <w:lang w:val="es-ES_tradnl"/>
        </w:rPr>
        <w:t> </w:t>
      </w:r>
      <w:r w:rsidRPr="00FA40F2">
        <w:rPr>
          <w:lang w:val="es-ES_tradnl"/>
        </w:rPr>
        <w:t>espectáculos a l</w:t>
      </w:r>
      <w:r w:rsidR="00CA6833">
        <w:rPr>
          <w:lang w:val="es-ES_tradnl"/>
        </w:rPr>
        <w:t>o</w:t>
      </w:r>
      <w:r w:rsidRPr="00FA40F2">
        <w:rPr>
          <w:lang w:val="es-ES_tradnl"/>
        </w:rPr>
        <w:t>s que asistieron 2.772 personas.</w:t>
      </w:r>
    </w:p>
    <w:p w14:paraId="7CE55EF5" w14:textId="77777777" w:rsidR="00FA40F2" w:rsidRPr="00FA40F2" w:rsidRDefault="00FA40F2" w:rsidP="00FA40F2">
      <w:pPr>
        <w:pStyle w:val="SingleTxtG"/>
        <w:rPr>
          <w:lang w:val="es-ES_tradnl"/>
        </w:rPr>
      </w:pPr>
      <w:r w:rsidRPr="00FA40F2">
        <w:rPr>
          <w:lang w:val="es-ES_tradnl"/>
        </w:rPr>
        <w:t>308.</w:t>
      </w:r>
      <w:r w:rsidRPr="00FA40F2">
        <w:rPr>
          <w:lang w:val="es-ES_tradnl"/>
        </w:rPr>
        <w:tab/>
        <w:t xml:space="preserve">El Gobierno sigue apoyando a los artistas locales de distintos orígenes étnicos y culturales (por ejemplo, de China continental, Rusia, Australia, Singapur y Portugal) en todo tipo de artes escénicas mediante una serie de proyectos, entre los que figuran </w:t>
      </w:r>
      <w:r w:rsidR="00D353FA">
        <w:rPr>
          <w:lang w:val="es-ES_tradnl"/>
        </w:rPr>
        <w:t>“</w:t>
      </w:r>
      <w:r w:rsidRPr="00FA40F2">
        <w:rPr>
          <w:lang w:val="es-ES_tradnl"/>
        </w:rPr>
        <w:t>Artista Residente</w:t>
      </w:r>
      <w:r w:rsidR="00D353FA">
        <w:rPr>
          <w:lang w:val="es-ES_tradnl"/>
        </w:rPr>
        <w:t>”</w:t>
      </w:r>
      <w:r w:rsidRPr="00FA40F2">
        <w:rPr>
          <w:lang w:val="es-ES_tradnl"/>
        </w:rPr>
        <w:t xml:space="preserve">, </w:t>
      </w:r>
      <w:r w:rsidR="00D353FA">
        <w:rPr>
          <w:lang w:val="es-ES_tradnl"/>
        </w:rPr>
        <w:t>“</w:t>
      </w:r>
      <w:r w:rsidRPr="00FA40F2">
        <w:rPr>
          <w:lang w:val="es-ES_tradnl"/>
        </w:rPr>
        <w:t>Serie Macao</w:t>
      </w:r>
      <w:r w:rsidR="00D353FA">
        <w:rPr>
          <w:lang w:val="es-ES_tradnl"/>
        </w:rPr>
        <w:t>”</w:t>
      </w:r>
      <w:r w:rsidRPr="00FA40F2">
        <w:rPr>
          <w:lang w:val="es-ES_tradnl"/>
        </w:rPr>
        <w:t xml:space="preserve"> y </w:t>
      </w:r>
      <w:r w:rsidR="00D353FA">
        <w:rPr>
          <w:lang w:val="es-ES_tradnl"/>
        </w:rPr>
        <w:t>“</w:t>
      </w:r>
      <w:r w:rsidRPr="00FA40F2">
        <w:rPr>
          <w:lang w:val="es-ES_tradnl"/>
        </w:rPr>
        <w:t>Proyecto Danza</w:t>
      </w:r>
      <w:r w:rsidR="00D353FA">
        <w:rPr>
          <w:lang w:val="es-ES_tradnl"/>
        </w:rPr>
        <w:t>”</w:t>
      </w:r>
      <w:r w:rsidRPr="00FA40F2">
        <w:rPr>
          <w:lang w:val="es-ES_tradnl"/>
        </w:rPr>
        <w:t>. Entre 2014 y septiembre de 2018, se realizaron 84 producciones, a las que se destinaron un total de 10.634.650 patacas de Macao.</w:t>
      </w:r>
    </w:p>
    <w:p w14:paraId="0678E142" w14:textId="77777777" w:rsidR="00FA40F2" w:rsidRPr="00FA40F2" w:rsidRDefault="00FA40F2" w:rsidP="00FA40F2">
      <w:pPr>
        <w:pStyle w:val="SingleTxtG"/>
        <w:rPr>
          <w:lang w:val="es-ES_tradnl"/>
        </w:rPr>
      </w:pPr>
      <w:r w:rsidRPr="00FA40F2">
        <w:rPr>
          <w:lang w:val="es-ES_tradnl"/>
        </w:rPr>
        <w:t>309.</w:t>
      </w:r>
      <w:r w:rsidRPr="00FA40F2">
        <w:rPr>
          <w:lang w:val="es-ES_tradnl"/>
        </w:rPr>
        <w:tab/>
        <w:t>La Dirección de Asuntos Culturales subvenciona proyectos relacionados con las industrias cultural y creativa, entre los que figuran exposiciones, talleres, cursos, producciones relacionadas con las artes visuales, diseño, cine y vídeo, música popular, publicaciones, moda, animación y cómic, participación en exposiciones de obras de creación, ferias profesionales y mercados de obras de creación. Durante el período que abarca el informe, se financiaron 134, 134, 122, 116 y 122 proyectos con 13.352.032, 13.601.269, 10.500.754, 7.953.140 y 7.987.900 patacas de Macao, respectivamente.</w:t>
      </w:r>
    </w:p>
    <w:p w14:paraId="666652A7" w14:textId="77777777" w:rsidR="00FA40F2" w:rsidRPr="00FA40F2" w:rsidRDefault="00FA40F2" w:rsidP="00FA40F2">
      <w:pPr>
        <w:pStyle w:val="SingleTxtG"/>
        <w:rPr>
          <w:lang w:val="es-ES_tradnl"/>
        </w:rPr>
      </w:pPr>
      <w:r w:rsidRPr="00FA40F2">
        <w:rPr>
          <w:lang w:val="es-ES_tradnl"/>
        </w:rPr>
        <w:t>310.</w:t>
      </w:r>
      <w:r w:rsidRPr="00FA40F2">
        <w:rPr>
          <w:lang w:val="es-ES_tradnl"/>
        </w:rPr>
        <w:tab/>
        <w:t>Se está financiando a varios artistas de Macao para que viajen al extranjero y se unan a grupos artísticos internacionales, a la vez que se invita a artistas de prestigio internacional y regional a actuar, enseñar u organizar espectáculos en Macao con sus homólogos.</w:t>
      </w:r>
    </w:p>
    <w:p w14:paraId="7E7DBAEA" w14:textId="77777777" w:rsidR="00FA40F2" w:rsidRPr="00FA40F2" w:rsidRDefault="00FA40F2" w:rsidP="00FA40F2">
      <w:pPr>
        <w:pStyle w:val="SingleTxtG"/>
        <w:rPr>
          <w:lang w:val="es-ES_tradnl"/>
        </w:rPr>
      </w:pPr>
      <w:r w:rsidRPr="00FA40F2">
        <w:rPr>
          <w:lang w:val="es-ES_tradnl"/>
        </w:rPr>
        <w:t>311.</w:t>
      </w:r>
      <w:r w:rsidRPr="00FA40F2">
        <w:rPr>
          <w:lang w:val="es-ES_tradnl"/>
        </w:rPr>
        <w:tab/>
        <w:t>Entre 2014 y 2018 se realizaron unas 70 actividades, que incluían talleres, espectáculos y conferencias en sitios del patrimonio cultural durante festividades y vacaciones, con el fin de enriquecer la experiencia cultural del público. De esas actividades, 32 iban dirigidas a los niños. La Dirección de Servicios de Educación y Juventud trabaja en estrecha colaboración en esa esfera con la Dirección de Asuntos Culturales y el Instituto de Asuntos Cívicos y Municipales.</w:t>
      </w:r>
    </w:p>
    <w:p w14:paraId="38789294" w14:textId="77777777" w:rsidR="00FA40F2" w:rsidRPr="00FA40F2" w:rsidRDefault="00FA40F2" w:rsidP="00FA40F2">
      <w:pPr>
        <w:pStyle w:val="SingleTxtG"/>
        <w:rPr>
          <w:lang w:val="es-ES_tradnl"/>
        </w:rPr>
      </w:pPr>
      <w:r w:rsidRPr="00FA40F2">
        <w:rPr>
          <w:lang w:val="es-ES_tradnl"/>
        </w:rPr>
        <w:t>312.</w:t>
      </w:r>
      <w:r w:rsidRPr="00FA40F2">
        <w:rPr>
          <w:lang w:val="es-ES_tradnl"/>
        </w:rPr>
        <w:tab/>
        <w:t xml:space="preserve">Una muestra de la diversidad cultural de Macao son las festividades tradicionales de las comunidades locales, entre ellas, la celebración del Año Nuevo, el Cumpleaños de Buda, la Fiesta del Dragón Borracho, el Festival Ching Ming, el Festival Chung </w:t>
      </w:r>
      <w:proofErr w:type="spellStart"/>
      <w:r w:rsidRPr="00FA40F2">
        <w:rPr>
          <w:lang w:val="es-ES_tradnl"/>
        </w:rPr>
        <w:t>Yeung</w:t>
      </w:r>
      <w:proofErr w:type="spellEnd"/>
      <w:r w:rsidRPr="00FA40F2">
        <w:rPr>
          <w:lang w:val="es-ES_tradnl"/>
        </w:rPr>
        <w:t xml:space="preserve">, el Festival de Mediados de Otoño y el Festival Tung Ng, el Festival de la </w:t>
      </w:r>
      <w:proofErr w:type="spellStart"/>
      <w:r w:rsidRPr="00FA40F2">
        <w:rPr>
          <w:lang w:val="es-ES_tradnl"/>
        </w:rPr>
        <w:t>Lusofonía</w:t>
      </w:r>
      <w:proofErr w:type="spellEnd"/>
      <w:r w:rsidRPr="00FA40F2">
        <w:rPr>
          <w:lang w:val="es-ES_tradnl"/>
        </w:rPr>
        <w:t xml:space="preserve">, el Festival del </w:t>
      </w:r>
      <w:proofErr w:type="spellStart"/>
      <w:r w:rsidRPr="00FA40F2">
        <w:rPr>
          <w:lang w:val="es-ES_tradnl"/>
        </w:rPr>
        <w:t>Sinulog</w:t>
      </w:r>
      <w:proofErr w:type="spellEnd"/>
      <w:r w:rsidRPr="00FA40F2">
        <w:rPr>
          <w:lang w:val="es-ES_tradnl"/>
        </w:rPr>
        <w:t xml:space="preserve"> </w:t>
      </w:r>
      <w:proofErr w:type="gramStart"/>
      <w:r w:rsidRPr="00FA40F2">
        <w:rPr>
          <w:lang w:val="es-ES_tradnl"/>
        </w:rPr>
        <w:t>Filipino</w:t>
      </w:r>
      <w:proofErr w:type="gramEnd"/>
      <w:r w:rsidRPr="00FA40F2">
        <w:rPr>
          <w:lang w:val="es-ES_tradnl"/>
        </w:rPr>
        <w:t xml:space="preserve"> y el Festival Cultural Tailandés.</w:t>
      </w:r>
    </w:p>
    <w:p w14:paraId="049BFD14" w14:textId="77777777" w:rsidR="00FA40F2" w:rsidRPr="00FA40F2" w:rsidRDefault="00FA40F2" w:rsidP="00FA40F2">
      <w:pPr>
        <w:pStyle w:val="SingleTxtG"/>
        <w:rPr>
          <w:lang w:val="es-ES_tradnl"/>
        </w:rPr>
      </w:pPr>
      <w:r w:rsidRPr="00FA40F2">
        <w:rPr>
          <w:lang w:val="es-ES_tradnl"/>
        </w:rPr>
        <w:t>313.</w:t>
      </w:r>
      <w:r w:rsidRPr="00FA40F2">
        <w:rPr>
          <w:lang w:val="es-ES_tradnl"/>
        </w:rPr>
        <w:tab/>
        <w:t xml:space="preserve">Otro acontecimiento destacado es el </w:t>
      </w:r>
      <w:r w:rsidR="00D353FA">
        <w:rPr>
          <w:lang w:val="es-ES_tradnl"/>
        </w:rPr>
        <w:t>“</w:t>
      </w:r>
      <w:r w:rsidRPr="00FA40F2">
        <w:rPr>
          <w:lang w:val="es-ES_tradnl"/>
        </w:rPr>
        <w:t>Desfile Internacional de Macao</w:t>
      </w:r>
      <w:r w:rsidR="00D353FA">
        <w:rPr>
          <w:lang w:val="es-ES_tradnl"/>
        </w:rPr>
        <w:t>”</w:t>
      </w:r>
      <w:r w:rsidRPr="00FA40F2">
        <w:rPr>
          <w:lang w:val="es-ES_tradnl"/>
        </w:rPr>
        <w:t>, que empezó a celebrarse en 2011 y reúne a diferentes asociaciones de minorías étnicas de la RAE de Macao, como la Asociación de Chinos de Myanmar, la Asociación Cultural India de Macao, la Asociación Filipina del Santo Niño de Cebú en Macao, la Asociación Cultural y Deportiva de Capoeira de Macao y la Asociación de Amistad Macao-Cabo Verde. El Desfile es una plataforma para la interacción intercultural y en él participan cada año alrededor de 1.500 grupos y artistas locales y extranjeros. Se transmite en directo a nivel local e internacional.</w:t>
      </w:r>
    </w:p>
    <w:p w14:paraId="6F489C6A" w14:textId="77777777" w:rsidR="00FA40F2" w:rsidRPr="00FA40F2" w:rsidRDefault="00FA40F2" w:rsidP="00FA40F2">
      <w:pPr>
        <w:pStyle w:val="SingleTxtG"/>
        <w:rPr>
          <w:lang w:val="es-ES_tradnl"/>
        </w:rPr>
      </w:pPr>
      <w:r w:rsidRPr="00FA40F2">
        <w:rPr>
          <w:lang w:val="es-ES_tradnl"/>
        </w:rPr>
        <w:lastRenderedPageBreak/>
        <w:t>314.</w:t>
      </w:r>
      <w:r w:rsidRPr="00FA40F2">
        <w:rPr>
          <w:lang w:val="es-ES_tradnl"/>
        </w:rPr>
        <w:tab/>
        <w:t xml:space="preserve">La cultura macaense también es muy apreciada, como muestran la participación del grupo de teatro en lengua </w:t>
      </w:r>
      <w:proofErr w:type="spellStart"/>
      <w:r w:rsidRPr="00FA40F2">
        <w:rPr>
          <w:lang w:val="es-ES_tradnl"/>
        </w:rPr>
        <w:t>patuá</w:t>
      </w:r>
      <w:proofErr w:type="spellEnd"/>
      <w:r w:rsidRPr="00FA40F2">
        <w:rPr>
          <w:lang w:val="es-ES_tradnl"/>
        </w:rPr>
        <w:t xml:space="preserve"> en el Festival de las Artes de Macao desde 2011, la publicación de libros de cocina y la difusión de la gastronomía macaense.</w:t>
      </w:r>
    </w:p>
    <w:p w14:paraId="4FA57888" w14:textId="77777777" w:rsidR="00FA40F2" w:rsidRPr="00FA40F2" w:rsidRDefault="00B16B9D" w:rsidP="00B16B9D">
      <w:pPr>
        <w:pStyle w:val="H23G"/>
        <w:rPr>
          <w:lang w:val="es-ES_tradnl"/>
        </w:rPr>
      </w:pPr>
      <w:bookmarkStart w:id="66" w:name="_Toc33444622"/>
      <w:bookmarkStart w:id="67" w:name="_Toc41219237"/>
      <w:bookmarkEnd w:id="64"/>
      <w:bookmarkEnd w:id="65"/>
      <w:r>
        <w:rPr>
          <w:lang w:val="es-ES_tradnl"/>
        </w:rPr>
        <w:tab/>
      </w:r>
      <w:r w:rsidR="00FA40F2" w:rsidRPr="00FA40F2">
        <w:rPr>
          <w:lang w:val="es-ES_tradnl"/>
        </w:rPr>
        <w:tab/>
        <w:t>Derecho a beneficiarse del progreso científico</w:t>
      </w:r>
    </w:p>
    <w:p w14:paraId="1A0DD426" w14:textId="77777777" w:rsidR="00FA40F2" w:rsidRPr="00FA40F2" w:rsidRDefault="00FA40F2" w:rsidP="00FA40F2">
      <w:pPr>
        <w:pStyle w:val="SingleTxtG"/>
        <w:rPr>
          <w:lang w:val="es-ES_tradnl"/>
        </w:rPr>
      </w:pPr>
      <w:r w:rsidRPr="00FA40F2">
        <w:rPr>
          <w:lang w:val="es-ES_tradnl"/>
        </w:rPr>
        <w:t>315.</w:t>
      </w:r>
      <w:r w:rsidRPr="00FA40F2">
        <w:rPr>
          <w:lang w:val="es-ES_tradnl"/>
        </w:rPr>
        <w:tab/>
        <w:t xml:space="preserve">Como se ha señalado en informes anteriores, la RAE de Macao ampara la libertad de creación y el derecho de toda persona a buscar el conocimiento y el progreso científico, sin discriminación (artículos 37 y 124 de la Ley Fundamental y Ley 9/2000). La ciencia y la tecnología forman parte de los planes de estudios y las actividades escolares. </w:t>
      </w:r>
    </w:p>
    <w:p w14:paraId="1F906802" w14:textId="77777777" w:rsidR="00FA40F2" w:rsidRPr="00FA40F2" w:rsidRDefault="00FA40F2" w:rsidP="00FA40F2">
      <w:pPr>
        <w:pStyle w:val="SingleTxtG"/>
        <w:rPr>
          <w:lang w:val="es-ES_tradnl"/>
        </w:rPr>
      </w:pPr>
      <w:r w:rsidRPr="00FA40F2">
        <w:rPr>
          <w:lang w:val="es-ES_tradnl"/>
        </w:rPr>
        <w:t>316.</w:t>
      </w:r>
      <w:r w:rsidRPr="00FA40F2">
        <w:rPr>
          <w:lang w:val="es-ES_tradnl"/>
        </w:rPr>
        <w:tab/>
        <w:t xml:space="preserve">La investigación científica y tecnológica sigue contando con el apoyo del Gobierno y de instituciones privadas, en forma de seminarios, becas, publicaciones y participación en foros internacionales, entre otros medios. A través del Fondo de Desarrollo de la Ciencia y la Tecnología (Reglamento Administrativo </w:t>
      </w:r>
      <w:r w:rsidR="00E27276">
        <w:rPr>
          <w:lang w:val="es-ES_tradnl"/>
        </w:rPr>
        <w:t>núm. </w:t>
      </w:r>
      <w:r w:rsidRPr="00FA40F2">
        <w:rPr>
          <w:lang w:val="es-ES_tradnl"/>
        </w:rPr>
        <w:t xml:space="preserve">14/2004 y Orden </w:t>
      </w:r>
      <w:r w:rsidR="00E27276">
        <w:rPr>
          <w:lang w:val="es-ES_tradnl"/>
        </w:rPr>
        <w:t>núm. </w:t>
      </w:r>
      <w:r w:rsidRPr="00FA40F2">
        <w:rPr>
          <w:lang w:val="es-ES_tradnl"/>
        </w:rPr>
        <w:t xml:space="preserve">235/2018 del </w:t>
      </w:r>
      <w:proofErr w:type="gramStart"/>
      <w:r w:rsidRPr="00FA40F2">
        <w:rPr>
          <w:lang w:val="es-ES_tradnl"/>
        </w:rPr>
        <w:t>Jefe</w:t>
      </w:r>
      <w:proofErr w:type="gramEnd"/>
      <w:r w:rsidRPr="00FA40F2">
        <w:rPr>
          <w:lang w:val="es-ES_tradnl"/>
        </w:rPr>
        <w:t xml:space="preserve"> del Ejecutivo) se sigue apoyando económicamente la enseñanza, investigación y ejecución de proyectos, también en el ámbito de la protección del medio ambiente y la medicina tradicional china. Las ayudas concedidas durante el tercer trimestre de 2018 ascendieron a 72.886.566 patacas de Macao.</w:t>
      </w:r>
    </w:p>
    <w:p w14:paraId="01F2E308" w14:textId="77777777" w:rsidR="00FA40F2" w:rsidRPr="00FA40F2" w:rsidRDefault="00FA40F2" w:rsidP="00FA40F2">
      <w:pPr>
        <w:pStyle w:val="SingleTxtG"/>
        <w:rPr>
          <w:lang w:val="es-ES_tradnl"/>
        </w:rPr>
      </w:pPr>
      <w:r w:rsidRPr="00FA40F2">
        <w:rPr>
          <w:lang w:val="es-ES_tradnl"/>
        </w:rPr>
        <w:t>317.</w:t>
      </w:r>
      <w:r w:rsidRPr="00FA40F2">
        <w:rPr>
          <w:lang w:val="es-ES_tradnl"/>
        </w:rPr>
        <w:tab/>
        <w:t>En los ámbitos de la cultura, las artes y el progreso científico y tecnológico se financiaron diversos proyectos, como el Segundo Simposio sobre Cooperación e Innovación en el Servicio de Información Científica y Tecnológica entre China Continental, Taiwán, Hong Kong y Macao y la Conferencia Internacional de Turismo 2018 de Una Franja, Una Ruta.</w:t>
      </w:r>
    </w:p>
    <w:p w14:paraId="5DFC5643" w14:textId="77777777" w:rsidR="00FA40F2" w:rsidRPr="00FA40F2" w:rsidRDefault="00FA40F2" w:rsidP="00FA40F2">
      <w:pPr>
        <w:pStyle w:val="SingleTxtG"/>
        <w:rPr>
          <w:lang w:val="es-ES_tradnl"/>
        </w:rPr>
      </w:pPr>
      <w:r w:rsidRPr="00FA40F2">
        <w:rPr>
          <w:lang w:val="es-ES_tradnl"/>
        </w:rPr>
        <w:t>318.</w:t>
      </w:r>
      <w:r w:rsidRPr="00FA40F2">
        <w:rPr>
          <w:lang w:val="es-ES_tradnl"/>
        </w:rPr>
        <w:tab/>
        <w:t xml:space="preserve">Asimismo, se patrocinó a estudiantes y asociaciones estudiantiles en distintas disciplinas. Por ejemplo, dos estudiantes de Macao que cursaban estudios en el Reino Unido recibieron una ayuda económica para participar con el equipo de su universidad en el concurso </w:t>
      </w:r>
      <w:proofErr w:type="spellStart"/>
      <w:r w:rsidRPr="00FA40F2">
        <w:rPr>
          <w:lang w:val="es-ES_tradnl"/>
        </w:rPr>
        <w:t>Hyperloop</w:t>
      </w:r>
      <w:proofErr w:type="spellEnd"/>
      <w:r w:rsidRPr="00FA40F2">
        <w:rPr>
          <w:lang w:val="es-ES_tradnl"/>
        </w:rPr>
        <w:t xml:space="preserve"> </w:t>
      </w:r>
      <w:proofErr w:type="spellStart"/>
      <w:r w:rsidRPr="00FA40F2">
        <w:rPr>
          <w:lang w:val="es-ES_tradnl"/>
        </w:rPr>
        <w:t>Pod</w:t>
      </w:r>
      <w:proofErr w:type="spellEnd"/>
      <w:r w:rsidRPr="00FA40F2">
        <w:rPr>
          <w:lang w:val="es-ES_tradnl"/>
        </w:rPr>
        <w:t xml:space="preserve">, que se celebró en los Estados Unidos, mientras que otro recibió una beca para participar en el concurso sobre biología sintética del </w:t>
      </w:r>
      <w:proofErr w:type="spellStart"/>
      <w:r w:rsidRPr="00FA40F2">
        <w:rPr>
          <w:lang w:val="es-ES_tradnl"/>
        </w:rPr>
        <w:t>iGEM</w:t>
      </w:r>
      <w:proofErr w:type="spellEnd"/>
      <w:r w:rsidRPr="00FA40F2">
        <w:rPr>
          <w:lang w:val="es-ES_tradnl"/>
        </w:rPr>
        <w:t xml:space="preserve"> (International </w:t>
      </w:r>
      <w:proofErr w:type="spellStart"/>
      <w:r w:rsidRPr="00FA40F2">
        <w:rPr>
          <w:lang w:val="es-ES_tradnl"/>
        </w:rPr>
        <w:t>Genetically</w:t>
      </w:r>
      <w:proofErr w:type="spellEnd"/>
      <w:r w:rsidRPr="00FA40F2">
        <w:rPr>
          <w:lang w:val="es-ES_tradnl"/>
        </w:rPr>
        <w:t xml:space="preserve"> </w:t>
      </w:r>
      <w:proofErr w:type="spellStart"/>
      <w:r w:rsidRPr="00FA40F2">
        <w:rPr>
          <w:lang w:val="es-ES_tradnl"/>
        </w:rPr>
        <w:t>Engineered</w:t>
      </w:r>
      <w:proofErr w:type="spellEnd"/>
      <w:r w:rsidRPr="00FA40F2">
        <w:rPr>
          <w:lang w:val="es-ES_tradnl"/>
        </w:rPr>
        <w:t xml:space="preserve"> Machine), celebrado también en los Estados Unidos.</w:t>
      </w:r>
    </w:p>
    <w:p w14:paraId="34863690" w14:textId="77777777" w:rsidR="00FA40F2" w:rsidRPr="00FA40F2" w:rsidRDefault="00FA40F2" w:rsidP="00FA40F2">
      <w:pPr>
        <w:pStyle w:val="SingleTxtG"/>
        <w:rPr>
          <w:lang w:val="es-ES_tradnl"/>
        </w:rPr>
      </w:pPr>
      <w:r w:rsidRPr="00FA40F2">
        <w:rPr>
          <w:lang w:val="es-ES_tradnl"/>
        </w:rPr>
        <w:t>319.</w:t>
      </w:r>
      <w:r w:rsidRPr="00FA40F2">
        <w:rPr>
          <w:lang w:val="es-ES_tradnl"/>
        </w:rPr>
        <w:tab/>
        <w:t>Entre 2014 y 2018, la Dirección de Servicios de Educación Superior patrocinó, respectivamente 10, 9, 12, 13 y 11 proyectos universitarios por un total de 16.109.931, 10.022.500, 21.601.412, 57.808.309 (debido al tifón Hato) y 14.851.428 patacas de Macao.</w:t>
      </w:r>
    </w:p>
    <w:p w14:paraId="1BE80436" w14:textId="77777777" w:rsidR="00FA40F2" w:rsidRPr="00FA40F2" w:rsidRDefault="00FA40F2" w:rsidP="00FA40F2">
      <w:pPr>
        <w:pStyle w:val="SingleTxtG"/>
        <w:rPr>
          <w:lang w:val="es-ES_tradnl"/>
        </w:rPr>
      </w:pPr>
      <w:r w:rsidRPr="00FA40F2">
        <w:rPr>
          <w:lang w:val="es-ES_tradnl"/>
        </w:rPr>
        <w:t>320.</w:t>
      </w:r>
      <w:r w:rsidRPr="00FA40F2">
        <w:rPr>
          <w:lang w:val="es-ES_tradnl"/>
        </w:rPr>
        <w:tab/>
        <w:t>Como se indicó en informes anteriores, el Centro de Ciencias de Macao es una referencia en materia de ciencia y tecnología, y tiene el cometido específico de estimular y cultivar el interés de los estudiantes por la ciencia y ampliar los conocimientos del público en general en este ámbito mediante exposiciones y programas interactivos.</w:t>
      </w:r>
    </w:p>
    <w:p w14:paraId="2EF6538D" w14:textId="77777777" w:rsidR="00FA40F2" w:rsidRPr="00FA40F2" w:rsidRDefault="00FA40F2" w:rsidP="00FA40F2">
      <w:pPr>
        <w:pStyle w:val="SingleTxtG"/>
        <w:rPr>
          <w:lang w:val="es-ES_tradnl"/>
        </w:rPr>
      </w:pPr>
      <w:r w:rsidRPr="00FA40F2">
        <w:rPr>
          <w:lang w:val="es-ES_tradnl"/>
        </w:rPr>
        <w:t>321.</w:t>
      </w:r>
      <w:r w:rsidRPr="00FA40F2">
        <w:rPr>
          <w:lang w:val="es-ES_tradnl"/>
        </w:rPr>
        <w:tab/>
        <w:t>La Fundación Macao sigue prestando asistencia financiera para el desarrollo de proyectos e investigaciones en relación con actividades culturales, educativas, científicas, académicas y filantrópicas. En el tercer trimestre de 2018, las subvenciones ascendieron en conjunto a 320.139.295 patacas de Macao.</w:t>
      </w:r>
    </w:p>
    <w:p w14:paraId="3AF00A16" w14:textId="77777777" w:rsidR="00FA40F2" w:rsidRPr="00FA40F2" w:rsidRDefault="00FA40F2" w:rsidP="00FA40F2">
      <w:pPr>
        <w:pStyle w:val="SingleTxtG"/>
        <w:rPr>
          <w:lang w:val="es-ES_tradnl"/>
        </w:rPr>
      </w:pPr>
      <w:r w:rsidRPr="00FA40F2">
        <w:rPr>
          <w:lang w:val="es-ES_tradnl"/>
        </w:rPr>
        <w:t>322.</w:t>
      </w:r>
      <w:r w:rsidRPr="00FA40F2">
        <w:rPr>
          <w:lang w:val="es-ES_tradnl"/>
        </w:rPr>
        <w:tab/>
        <w:t xml:space="preserve">El Fondo para la Industria Cultural, destinado a apoyar proyectos relacionados con el sector de la cultura, promueve la diversificación de la economía y patrocina proyectos y empresas de nueva creación atendiendo principalmente a los criterios de innovación y creatividad (Reglamento Administrativo </w:t>
      </w:r>
      <w:r w:rsidR="00E27276">
        <w:rPr>
          <w:lang w:val="es-ES_tradnl"/>
        </w:rPr>
        <w:t>núm. </w:t>
      </w:r>
      <w:r w:rsidRPr="00FA40F2">
        <w:rPr>
          <w:lang w:val="es-ES_tradnl"/>
        </w:rPr>
        <w:t xml:space="preserve">26/2013). </w:t>
      </w:r>
    </w:p>
    <w:p w14:paraId="25BFBADF" w14:textId="77777777" w:rsidR="00FA40F2" w:rsidRPr="00FA40F2" w:rsidRDefault="00FA40F2" w:rsidP="00FA40F2">
      <w:pPr>
        <w:pStyle w:val="SingleTxtG"/>
        <w:rPr>
          <w:lang w:val="es-ES_tradnl"/>
        </w:rPr>
      </w:pPr>
      <w:r w:rsidRPr="00FA40F2">
        <w:rPr>
          <w:lang w:val="es-ES_tradnl"/>
        </w:rPr>
        <w:t>323.</w:t>
      </w:r>
      <w:r w:rsidRPr="00FA40F2">
        <w:rPr>
          <w:lang w:val="es-ES_tradnl"/>
        </w:rPr>
        <w:tab/>
        <w:t xml:space="preserve">De enero a septiembre de 2018, el Fondo destinó 124 millones de patacas de Macao a ayudas económicas, 76 millones a proyectos y 47 millones a préstamos sin intereses. Las ayudas se distribuyen en cinco categorías: diseño creativo, exposiciones y representaciones culturales, colecciones de obras de arte, medios digitales y otras actividades. </w:t>
      </w:r>
    </w:p>
    <w:p w14:paraId="4770BE6D" w14:textId="77777777" w:rsidR="00FA40F2" w:rsidRPr="00FA40F2" w:rsidRDefault="00FA40F2" w:rsidP="00FA40F2">
      <w:pPr>
        <w:pStyle w:val="SingleTxtG"/>
        <w:rPr>
          <w:lang w:val="es-ES_tradnl"/>
        </w:rPr>
      </w:pPr>
      <w:r w:rsidRPr="00FA40F2">
        <w:rPr>
          <w:lang w:val="es-ES_tradnl"/>
        </w:rPr>
        <w:t>324.</w:t>
      </w:r>
      <w:r w:rsidRPr="00FA40F2">
        <w:rPr>
          <w:lang w:val="es-ES_tradnl"/>
        </w:rPr>
        <w:tab/>
        <w:t xml:space="preserve">Además de los proyectos individuales, el Fondo para la Industria Cultural también patrocina proyectos de programas específicos, como </w:t>
      </w:r>
      <w:r w:rsidR="00D353FA">
        <w:rPr>
          <w:lang w:val="es-ES_tradnl"/>
        </w:rPr>
        <w:t>“</w:t>
      </w:r>
      <w:r w:rsidRPr="00FA40F2">
        <w:rPr>
          <w:lang w:val="es-ES_tradnl"/>
        </w:rPr>
        <w:t>Creación de Marcas</w:t>
      </w:r>
      <w:r w:rsidR="00D353FA">
        <w:rPr>
          <w:lang w:val="es-ES_tradnl"/>
        </w:rPr>
        <w:t>”</w:t>
      </w:r>
      <w:r w:rsidRPr="00FA40F2">
        <w:rPr>
          <w:lang w:val="es-ES_tradnl"/>
        </w:rPr>
        <w:t xml:space="preserve"> (cada proyecto con hasta 5.000.000 de patacas de Macao) y </w:t>
      </w:r>
      <w:r w:rsidR="00D353FA">
        <w:rPr>
          <w:lang w:val="es-ES_tradnl"/>
        </w:rPr>
        <w:t>“</w:t>
      </w:r>
      <w:r w:rsidRPr="00FA40F2">
        <w:rPr>
          <w:lang w:val="es-ES_tradnl"/>
        </w:rPr>
        <w:t>Creatividad Cultural en la Comunidad</w:t>
      </w:r>
      <w:r w:rsidR="00D353FA">
        <w:rPr>
          <w:lang w:val="es-ES_tradnl"/>
        </w:rPr>
        <w:t>”</w:t>
      </w:r>
      <w:r w:rsidRPr="00FA40F2">
        <w:rPr>
          <w:lang w:val="es-ES_tradnl"/>
        </w:rPr>
        <w:t xml:space="preserve"> (30</w:t>
      </w:r>
      <w:r w:rsidR="00F2199D">
        <w:rPr>
          <w:lang w:val="es-ES_tradnl"/>
        </w:rPr>
        <w:t> </w:t>
      </w:r>
      <w:r w:rsidRPr="00FA40F2">
        <w:rPr>
          <w:lang w:val="es-ES_tradnl"/>
        </w:rPr>
        <w:t>proyectos, cada uno con hasta 200.000 patacas de Macao) (2018).</w:t>
      </w:r>
    </w:p>
    <w:p w14:paraId="4B462507" w14:textId="77777777" w:rsidR="00FA40F2" w:rsidRPr="00FA40F2" w:rsidRDefault="00FA40F2" w:rsidP="00FA40F2">
      <w:pPr>
        <w:pStyle w:val="SingleTxtG"/>
        <w:rPr>
          <w:lang w:val="es-ES_tradnl"/>
        </w:rPr>
      </w:pPr>
      <w:r w:rsidRPr="00FA40F2">
        <w:rPr>
          <w:lang w:val="es-ES_tradnl"/>
        </w:rPr>
        <w:t>325.</w:t>
      </w:r>
      <w:r w:rsidRPr="00FA40F2">
        <w:rPr>
          <w:lang w:val="es-ES_tradnl"/>
        </w:rPr>
        <w:tab/>
        <w:t xml:space="preserve">Cabe destacar el espacio </w:t>
      </w:r>
      <w:proofErr w:type="spellStart"/>
      <w:r w:rsidRPr="00FA40F2">
        <w:rPr>
          <w:lang w:val="es-ES_tradnl"/>
        </w:rPr>
        <w:t>Creative</w:t>
      </w:r>
      <w:proofErr w:type="spellEnd"/>
      <w:r w:rsidRPr="00FA40F2">
        <w:rPr>
          <w:lang w:val="es-ES_tradnl"/>
        </w:rPr>
        <w:t xml:space="preserve"> </w:t>
      </w:r>
      <w:proofErr w:type="spellStart"/>
      <w:r w:rsidRPr="00FA40F2">
        <w:rPr>
          <w:lang w:val="es-ES_tradnl"/>
        </w:rPr>
        <w:t>Macau</w:t>
      </w:r>
      <w:proofErr w:type="spellEnd"/>
      <w:r w:rsidRPr="00FA40F2">
        <w:rPr>
          <w:lang w:val="es-ES_tradnl"/>
        </w:rPr>
        <w:t xml:space="preserve"> como referencia para las industrias creativas locales. Proporciona una plataforma para las actividades artísticas y representa un escaparate de diversas industrias creativas: publicidad, arquitectura, artesanía, diseño, moda, cine y </w:t>
      </w:r>
      <w:r w:rsidRPr="00FA40F2">
        <w:rPr>
          <w:lang w:val="es-ES_tradnl"/>
        </w:rPr>
        <w:lastRenderedPageBreak/>
        <w:t xml:space="preserve">vídeo, software de ocio interactivo, música, artes escénicas, edición, desarrollo de software e informática y artes visuales. Los talleres del Festival Internacional </w:t>
      </w:r>
      <w:proofErr w:type="spellStart"/>
      <w:r w:rsidRPr="00FA40F2">
        <w:rPr>
          <w:i/>
          <w:iCs/>
          <w:lang w:val="es-ES_tradnl"/>
        </w:rPr>
        <w:t>Sound</w:t>
      </w:r>
      <w:proofErr w:type="spellEnd"/>
      <w:r w:rsidRPr="00FA40F2">
        <w:rPr>
          <w:i/>
          <w:iCs/>
          <w:lang w:val="es-ES_tradnl"/>
        </w:rPr>
        <w:t xml:space="preserve"> &amp; </w:t>
      </w:r>
      <w:proofErr w:type="spellStart"/>
      <w:r w:rsidRPr="00FA40F2">
        <w:rPr>
          <w:i/>
          <w:iCs/>
          <w:lang w:val="es-ES_tradnl"/>
        </w:rPr>
        <w:t>Image</w:t>
      </w:r>
      <w:proofErr w:type="spellEnd"/>
      <w:r w:rsidRPr="00FA40F2">
        <w:rPr>
          <w:i/>
          <w:iCs/>
          <w:lang w:val="es-ES_tradnl"/>
        </w:rPr>
        <w:t xml:space="preserve"> </w:t>
      </w:r>
      <w:proofErr w:type="spellStart"/>
      <w:r w:rsidRPr="00FA40F2">
        <w:rPr>
          <w:i/>
          <w:iCs/>
          <w:lang w:val="es-ES_tradnl"/>
        </w:rPr>
        <w:t>Challenge</w:t>
      </w:r>
      <w:proofErr w:type="spellEnd"/>
      <w:r w:rsidRPr="00FA40F2">
        <w:rPr>
          <w:lang w:val="es-ES_tradnl"/>
        </w:rPr>
        <w:t xml:space="preserve"> son uno de sus hitos (en 2018 se celebró la novena edición).</w:t>
      </w:r>
    </w:p>
    <w:p w14:paraId="5D0757AE" w14:textId="77777777" w:rsidR="00FA40F2" w:rsidRPr="00FA40F2" w:rsidRDefault="00B16B9D" w:rsidP="00B16B9D">
      <w:pPr>
        <w:pStyle w:val="H23G"/>
        <w:rPr>
          <w:lang w:val="es-ES_tradnl"/>
        </w:rPr>
      </w:pPr>
      <w:r>
        <w:rPr>
          <w:lang w:val="es-ES_tradnl"/>
        </w:rPr>
        <w:tab/>
      </w:r>
      <w:r w:rsidR="00FA40F2" w:rsidRPr="00FA40F2">
        <w:rPr>
          <w:lang w:val="es-ES_tradnl"/>
        </w:rPr>
        <w:tab/>
        <w:t>Derecho al deporte y al ocio</w:t>
      </w:r>
    </w:p>
    <w:p w14:paraId="7DBB9BC1" w14:textId="77777777" w:rsidR="00FA40F2" w:rsidRPr="00FA40F2" w:rsidRDefault="00FA40F2" w:rsidP="00FA40F2">
      <w:pPr>
        <w:pStyle w:val="SingleTxtG"/>
        <w:rPr>
          <w:lang w:val="es-ES_tradnl"/>
        </w:rPr>
      </w:pPr>
      <w:r w:rsidRPr="00FA40F2">
        <w:rPr>
          <w:lang w:val="es-ES_tradnl"/>
        </w:rPr>
        <w:t>326.</w:t>
      </w:r>
      <w:r w:rsidRPr="00FA40F2">
        <w:rPr>
          <w:lang w:val="es-ES_tradnl"/>
        </w:rPr>
        <w:tab/>
        <w:t xml:space="preserve">La estrategia </w:t>
      </w:r>
      <w:r w:rsidR="00D353FA">
        <w:rPr>
          <w:lang w:val="es-ES_tradnl"/>
        </w:rPr>
        <w:t>“</w:t>
      </w:r>
      <w:r w:rsidRPr="00FA40F2">
        <w:rPr>
          <w:lang w:val="es-ES_tradnl"/>
        </w:rPr>
        <w:t>Deportes para Todos</w:t>
      </w:r>
      <w:r w:rsidR="00D353FA">
        <w:rPr>
          <w:lang w:val="es-ES_tradnl"/>
        </w:rPr>
        <w:t>”</w:t>
      </w:r>
      <w:r w:rsidRPr="00FA40F2">
        <w:rPr>
          <w:lang w:val="es-ES_tradnl"/>
        </w:rPr>
        <w:t xml:space="preserve"> se inscribe en una política de largo plazo que en la que se considera una prioridad el desarrollo de la educación física, el ocio y los deportes para todos, sin discriminación, así como la promoción de estilos de vida saludables. Todos los años se ofrece una amplia gama de actividades deportivas en respuesta a las necesidades de la población, entre ellas actividades dirigidas a las mujeres, los ancianos, las personas con discapacidad y los niños.</w:t>
      </w:r>
    </w:p>
    <w:p w14:paraId="21532A62" w14:textId="77777777" w:rsidR="00FA40F2" w:rsidRPr="00FA40F2" w:rsidRDefault="00FA40F2" w:rsidP="00FA40F2">
      <w:pPr>
        <w:pStyle w:val="SingleTxtG"/>
        <w:rPr>
          <w:lang w:val="es-ES_tradnl"/>
        </w:rPr>
      </w:pPr>
      <w:r w:rsidRPr="00FA40F2">
        <w:rPr>
          <w:lang w:val="es-ES_tradnl"/>
        </w:rPr>
        <w:t>327.</w:t>
      </w:r>
      <w:r w:rsidRPr="00FA40F2">
        <w:rPr>
          <w:lang w:val="es-ES_tradnl"/>
        </w:rPr>
        <w:tab/>
        <w:t>La Oficina de Deportes es el departamento encargado de implementar esa estrategia, para lo que trabaja individualmente o en cooperación con otros departamentos, entidades y</w:t>
      </w:r>
      <w:r w:rsidR="00F2199D">
        <w:rPr>
          <w:lang w:val="es-ES_tradnl"/>
        </w:rPr>
        <w:t> </w:t>
      </w:r>
      <w:r w:rsidRPr="00FA40F2">
        <w:rPr>
          <w:lang w:val="es-ES_tradnl"/>
        </w:rPr>
        <w:t>ONG.</w:t>
      </w:r>
    </w:p>
    <w:p w14:paraId="0E8DC167" w14:textId="77777777" w:rsidR="00FA40F2" w:rsidRPr="00FA40F2" w:rsidRDefault="00FA40F2" w:rsidP="00FA40F2">
      <w:pPr>
        <w:pStyle w:val="SingleTxtG"/>
        <w:rPr>
          <w:lang w:val="es-ES_tradnl"/>
        </w:rPr>
      </w:pPr>
      <w:r w:rsidRPr="00FA40F2">
        <w:rPr>
          <w:lang w:val="es-ES_tradnl"/>
        </w:rPr>
        <w:t>328.</w:t>
      </w:r>
      <w:r w:rsidRPr="00FA40F2">
        <w:rPr>
          <w:lang w:val="es-ES_tradnl"/>
        </w:rPr>
        <w:tab/>
        <w:t>Entre 2014 y 2018, bajo el epígrafe de actividades deportivas y de ocio se destinaron en total 76.927.502 patacas de Macao a subsidios fijos, 395.566.294 a subsidios especiales y 214.400.967 a grandes citas deportivas.</w:t>
      </w:r>
    </w:p>
    <w:p w14:paraId="6F41510D" w14:textId="77777777" w:rsidR="00FA40F2" w:rsidRPr="00FA40F2" w:rsidRDefault="00FA40F2" w:rsidP="00FA40F2">
      <w:pPr>
        <w:pStyle w:val="SingleTxtG"/>
        <w:rPr>
          <w:lang w:val="es-ES_tradnl"/>
        </w:rPr>
      </w:pPr>
      <w:r w:rsidRPr="00FA40F2">
        <w:rPr>
          <w:lang w:val="es-ES_tradnl"/>
        </w:rPr>
        <w:t>329.</w:t>
      </w:r>
      <w:r w:rsidRPr="00FA40F2">
        <w:rPr>
          <w:lang w:val="es-ES_tradnl"/>
        </w:rPr>
        <w:tab/>
        <w:t>A septiembre de 2018 había 400 asociaciones deportivas registradas (entre 2014 y</w:t>
      </w:r>
      <w:r w:rsidR="00F2199D">
        <w:rPr>
          <w:lang w:val="es-ES_tradnl"/>
        </w:rPr>
        <w:t> </w:t>
      </w:r>
      <w:r w:rsidRPr="00FA40F2">
        <w:rPr>
          <w:lang w:val="es-ES_tradnl"/>
        </w:rPr>
        <w:t xml:space="preserve">2018 se añadieron 89, 77, 84, 86 y 64, respectivamente). </w:t>
      </w:r>
    </w:p>
    <w:p w14:paraId="37CF4840" w14:textId="77777777" w:rsidR="00FA40F2" w:rsidRPr="00FA40F2" w:rsidRDefault="00FA40F2" w:rsidP="00FA40F2">
      <w:pPr>
        <w:pStyle w:val="SingleTxtG"/>
        <w:rPr>
          <w:lang w:val="es-ES_tradnl"/>
        </w:rPr>
      </w:pPr>
      <w:r w:rsidRPr="00FA40F2">
        <w:rPr>
          <w:lang w:val="es-ES_tradnl"/>
        </w:rPr>
        <w:t>330.</w:t>
      </w:r>
      <w:r w:rsidRPr="00FA40F2">
        <w:rPr>
          <w:lang w:val="es-ES_tradnl"/>
        </w:rPr>
        <w:tab/>
        <w:t>El número de miembros inscritos ha aumentado considerablemente, de 69.764 en</w:t>
      </w:r>
      <w:r w:rsidR="00B16B9D">
        <w:rPr>
          <w:lang w:val="es-ES_tradnl"/>
        </w:rPr>
        <w:t> </w:t>
      </w:r>
      <w:r w:rsidRPr="00FA40F2">
        <w:rPr>
          <w:lang w:val="es-ES_tradnl"/>
        </w:rPr>
        <w:t xml:space="preserve">2014 a 85.593 en 2018, en el marco del programa de afiliación </w:t>
      </w:r>
      <w:r w:rsidR="00D353FA">
        <w:rPr>
          <w:lang w:val="es-ES_tradnl"/>
        </w:rPr>
        <w:t>“</w:t>
      </w:r>
      <w:proofErr w:type="spellStart"/>
      <w:r w:rsidRPr="00FA40F2">
        <w:rPr>
          <w:lang w:val="es-ES_tradnl"/>
        </w:rPr>
        <w:t>Sports</w:t>
      </w:r>
      <w:proofErr w:type="spellEnd"/>
      <w:r w:rsidRPr="00FA40F2">
        <w:rPr>
          <w:lang w:val="es-ES_tradnl"/>
        </w:rPr>
        <w:t xml:space="preserve"> Easy</w:t>
      </w:r>
      <w:r w:rsidR="00D353FA">
        <w:rPr>
          <w:lang w:val="es-ES_tradnl"/>
        </w:rPr>
        <w:t>”</w:t>
      </w:r>
      <w:r w:rsidRPr="00FA40F2">
        <w:rPr>
          <w:lang w:val="es-ES_tradnl"/>
        </w:rPr>
        <w:t xml:space="preserve">. </w:t>
      </w:r>
    </w:p>
    <w:p w14:paraId="261381B7" w14:textId="77777777" w:rsidR="00FA40F2" w:rsidRPr="00FA40F2" w:rsidRDefault="00FA40F2" w:rsidP="00FA40F2">
      <w:pPr>
        <w:pStyle w:val="SingleTxtG"/>
        <w:rPr>
          <w:lang w:val="es-ES_tradnl"/>
        </w:rPr>
      </w:pPr>
      <w:r w:rsidRPr="00FA40F2">
        <w:rPr>
          <w:lang w:val="es-ES_tradnl"/>
        </w:rPr>
        <w:t>331.</w:t>
      </w:r>
      <w:r w:rsidRPr="00FA40F2">
        <w:rPr>
          <w:lang w:val="es-ES_tradnl"/>
        </w:rPr>
        <w:tab/>
        <w:t>De 2014 a septiembre de 2018, la Oficina de Deportes concedió subsidios a asociaciones deportivas para la organización o participación en 683 entrenamientos, 303</w:t>
      </w:r>
      <w:r w:rsidR="00F2199D">
        <w:rPr>
          <w:lang w:val="es-ES_tradnl"/>
        </w:rPr>
        <w:t> </w:t>
      </w:r>
      <w:r w:rsidRPr="00FA40F2">
        <w:rPr>
          <w:lang w:val="es-ES_tradnl"/>
        </w:rPr>
        <w:t>encuentros y 1.949 competiciones, que contaron con 13.914, 2.020 y 36.054 participantes, respectivamente.</w:t>
      </w:r>
    </w:p>
    <w:p w14:paraId="55640160" w14:textId="77777777" w:rsidR="00FA40F2" w:rsidRPr="00FA40F2" w:rsidRDefault="00FA40F2" w:rsidP="00FA40F2">
      <w:pPr>
        <w:pStyle w:val="SingleTxtG"/>
        <w:rPr>
          <w:lang w:val="es-ES_tradnl"/>
        </w:rPr>
      </w:pPr>
      <w:r w:rsidRPr="00FA40F2">
        <w:rPr>
          <w:lang w:val="es-ES_tradnl"/>
        </w:rPr>
        <w:t>332.</w:t>
      </w:r>
      <w:r w:rsidRPr="00FA40F2">
        <w:rPr>
          <w:lang w:val="es-ES_tradnl"/>
        </w:rPr>
        <w:tab/>
        <w:t>Durante el período que abarca el informe, se celebraron 95 eventos deportivos, que reunieron a 1.900.669 participantes. Asimismo, entre 2014 y septiembre de 2018, se realizaron 12.869 actividades deportivas en equipo, con un total acumulado de 311.505 participantes.</w:t>
      </w:r>
    </w:p>
    <w:p w14:paraId="7895AD0B" w14:textId="77777777" w:rsidR="00FA40F2" w:rsidRPr="00FA40F2" w:rsidRDefault="00FA40F2" w:rsidP="00FA40F2">
      <w:pPr>
        <w:pStyle w:val="SingleTxtG"/>
        <w:rPr>
          <w:lang w:val="es-ES_tradnl"/>
        </w:rPr>
      </w:pPr>
      <w:r w:rsidRPr="00FA40F2">
        <w:rPr>
          <w:lang w:val="es-ES_tradnl"/>
        </w:rPr>
        <w:t>333.</w:t>
      </w:r>
      <w:r w:rsidRPr="00FA40F2">
        <w:rPr>
          <w:lang w:val="es-ES_tradnl"/>
        </w:rPr>
        <w:tab/>
        <w:t xml:space="preserve">Todos los años se llevan a cabo actividades deportivas específicas, como el Festival del Deporte Femenino, el Día del Deporte para las Personas con Discapacidad, el Día del Deporte para las Personas de Edad, el Día del Deporte Familiar y las Actividades Deportivas para el </w:t>
      </w:r>
      <w:proofErr w:type="gramStart"/>
      <w:r w:rsidRPr="00FA40F2">
        <w:rPr>
          <w:lang w:val="es-ES_tradnl"/>
        </w:rPr>
        <w:t>Verano</w:t>
      </w:r>
      <w:proofErr w:type="gramEnd"/>
      <w:r w:rsidRPr="00FA40F2">
        <w:rPr>
          <w:lang w:val="es-ES_tradnl"/>
        </w:rPr>
        <w:t>. Entre 2014 y septiembre de 2018, un total de 19.560, 10.485 y 13.070 personas participaron en el Día del Deporte Familiar, el Día del Deporte para las Personas de Edad y el Día del Deporte para las Personas con Discapacidad, respectivamente. Durante el mismo período, en el Festival del Deporte Femenino se observó una participación creciente de mujeres: 8.035, 8.025, 8.530, 8.730 y 8.737, respectivamente.</w:t>
      </w:r>
    </w:p>
    <w:p w14:paraId="211C71CA" w14:textId="77777777" w:rsidR="00FA40F2" w:rsidRPr="00FA40F2" w:rsidRDefault="00FA40F2" w:rsidP="00FA40F2">
      <w:pPr>
        <w:pStyle w:val="SingleTxtG"/>
        <w:rPr>
          <w:lang w:val="es-ES_tradnl"/>
        </w:rPr>
      </w:pPr>
      <w:r w:rsidRPr="00FA40F2">
        <w:rPr>
          <w:lang w:val="es-ES_tradnl"/>
        </w:rPr>
        <w:t>334.</w:t>
      </w:r>
      <w:r w:rsidRPr="00FA40F2">
        <w:rPr>
          <w:lang w:val="es-ES_tradnl"/>
        </w:rPr>
        <w:tab/>
        <w:t>Además, se siguen impartiendo clases deportivas y recreativas gratuitas, especialmente para personas de edad, personas con discapacidad, mujeres y niños, así como actividades para padres e hijos. En ese período, la Oficina de Deportes subvencionó 16</w:t>
      </w:r>
      <w:r w:rsidR="00F2199D">
        <w:rPr>
          <w:lang w:val="es-ES_tradnl"/>
        </w:rPr>
        <w:t> </w:t>
      </w:r>
      <w:r w:rsidRPr="00FA40F2">
        <w:rPr>
          <w:lang w:val="es-ES_tradnl"/>
        </w:rPr>
        <w:t>entrenamientos y 16 competiciones para personas de edad (en que participaron 980 y 2.959 personas, respectivamente), y 46 entrenamientos, 28 encuentros y 94 competiciones para atletas con discapacidad (702, 86 y 1.346 atletas, respectivamente).</w:t>
      </w:r>
    </w:p>
    <w:p w14:paraId="5B461059" w14:textId="77777777" w:rsidR="00FA40F2" w:rsidRPr="00FA40F2" w:rsidRDefault="00FA40F2" w:rsidP="00FA40F2">
      <w:pPr>
        <w:pStyle w:val="SingleTxtG"/>
        <w:rPr>
          <w:lang w:val="es-ES_tradnl"/>
        </w:rPr>
      </w:pPr>
      <w:r w:rsidRPr="00FA40F2">
        <w:rPr>
          <w:lang w:val="es-ES_tradnl"/>
        </w:rPr>
        <w:t>335.</w:t>
      </w:r>
      <w:r w:rsidRPr="00FA40F2">
        <w:rPr>
          <w:lang w:val="es-ES_tradnl"/>
        </w:rPr>
        <w:tab/>
        <w:t xml:space="preserve">En la actualidad, hay 45 instalaciones deportivas públicas repartidas por todo el territorio (24 en Macao, 10 en </w:t>
      </w:r>
      <w:proofErr w:type="spellStart"/>
      <w:r w:rsidRPr="00FA40F2">
        <w:rPr>
          <w:lang w:val="es-ES_tradnl"/>
        </w:rPr>
        <w:t>Taipa</w:t>
      </w:r>
      <w:proofErr w:type="spellEnd"/>
      <w:r w:rsidRPr="00FA40F2">
        <w:rPr>
          <w:lang w:val="es-ES_tradnl"/>
        </w:rPr>
        <w:t xml:space="preserve"> y 11 en </w:t>
      </w:r>
      <w:proofErr w:type="spellStart"/>
      <w:r w:rsidRPr="00FA40F2">
        <w:rPr>
          <w:lang w:val="es-ES_tradnl"/>
        </w:rPr>
        <w:t>Cotai</w:t>
      </w:r>
      <w:proofErr w:type="spellEnd"/>
      <w:r w:rsidRPr="00FA40F2">
        <w:rPr>
          <w:lang w:val="es-ES_tradnl"/>
        </w:rPr>
        <w:t>), que se caracterizan por la eliminación de barreras y por un acceso gratuito o muy económico.</w:t>
      </w:r>
    </w:p>
    <w:p w14:paraId="29EE087D" w14:textId="77777777" w:rsidR="00FA40F2" w:rsidRPr="00FA40F2" w:rsidRDefault="00FA40F2" w:rsidP="00FA40F2">
      <w:pPr>
        <w:pStyle w:val="SingleTxtG"/>
        <w:rPr>
          <w:lang w:val="es-ES_tradnl"/>
        </w:rPr>
      </w:pPr>
      <w:r w:rsidRPr="00FA40F2">
        <w:rPr>
          <w:lang w:val="es-ES_tradnl"/>
        </w:rPr>
        <w:t>336.</w:t>
      </w:r>
      <w:r w:rsidRPr="00FA40F2">
        <w:rPr>
          <w:lang w:val="es-ES_tradnl"/>
        </w:rPr>
        <w:tab/>
        <w:t xml:space="preserve">Entre 2014 y septiembre de 2018, las instalaciones deportivas públicas se utilizaron, respectivamente, en 5.934.545, 5.979.489, 6.577.028, 6.351.503 y 5.068.116 ocasiones. </w:t>
      </w:r>
    </w:p>
    <w:p w14:paraId="2BC87B4D" w14:textId="77777777" w:rsidR="00FA40F2" w:rsidRPr="00FA40F2" w:rsidRDefault="00FA40F2" w:rsidP="00FA40F2">
      <w:pPr>
        <w:pStyle w:val="SingleTxtG"/>
        <w:rPr>
          <w:lang w:val="es-ES_tradnl"/>
        </w:rPr>
      </w:pPr>
      <w:r w:rsidRPr="00FA40F2">
        <w:rPr>
          <w:lang w:val="es-ES_tradnl"/>
        </w:rPr>
        <w:t>337.</w:t>
      </w:r>
      <w:r w:rsidRPr="00FA40F2">
        <w:rPr>
          <w:lang w:val="es-ES_tradnl"/>
        </w:rPr>
        <w:tab/>
        <w:t xml:space="preserve">La Oficina de Deportes ha estado apoyando a atletas para que participen en competiciones y entrenamientos, financiando asociaciones deportivas, contratando entrenadores y enviando representantes a encuentros. Se seleccionó a atletas de alto nivel para que representaran a Macao en competiciones deportivas internacionales, incluidos los Juegos Asiáticos, los Juegos Paralímpicos Asiáticos, los Juegos de la </w:t>
      </w:r>
      <w:proofErr w:type="spellStart"/>
      <w:r w:rsidRPr="00FA40F2">
        <w:rPr>
          <w:lang w:val="es-ES_tradnl"/>
        </w:rPr>
        <w:t>Lusofonía</w:t>
      </w:r>
      <w:proofErr w:type="spellEnd"/>
      <w:r w:rsidRPr="00FA40F2">
        <w:rPr>
          <w:lang w:val="es-ES_tradnl"/>
        </w:rPr>
        <w:t xml:space="preserve">, los Juegos </w:t>
      </w:r>
      <w:r w:rsidRPr="00FA40F2">
        <w:rPr>
          <w:lang w:val="es-ES_tradnl"/>
        </w:rPr>
        <w:lastRenderedPageBreak/>
        <w:t>Internacionales Infantiles, los Juegos Asiáticos de Playa, los Juegos Nacionales de la Juventud, los Juegos Olímpicos Especiales de Verano, los Juegos Nacionales de Invierno, los Juegos Paralímpicos de Verano, los Juegos Asiáticos de Invierno, la Universidad de Verano, los Juegos Nacionales de la República Popular China, los Juegos Deportivos Estudiantiles de la República Popular China y los Juegos Asiáticos de Interior y Artes Marciales.</w:t>
      </w:r>
    </w:p>
    <w:p w14:paraId="452F1549" w14:textId="77777777" w:rsidR="00FA40F2" w:rsidRPr="00FA40F2" w:rsidRDefault="00FA40F2" w:rsidP="00FA40F2">
      <w:pPr>
        <w:pStyle w:val="SingleTxtG"/>
        <w:rPr>
          <w:lang w:val="es-ES_tradnl"/>
        </w:rPr>
      </w:pPr>
      <w:r w:rsidRPr="00FA40F2">
        <w:rPr>
          <w:lang w:val="es-ES_tradnl"/>
        </w:rPr>
        <w:t>338.</w:t>
      </w:r>
      <w:r w:rsidRPr="00FA40F2">
        <w:rPr>
          <w:lang w:val="es-ES_tradnl"/>
        </w:rPr>
        <w:tab/>
        <w:t>Entre 2014 y 2018, se premió a un total de 1.741 atletas (967 hombres y 774</w:t>
      </w:r>
      <w:r w:rsidR="00E27DAE">
        <w:rPr>
          <w:lang w:val="es-ES_tradnl"/>
        </w:rPr>
        <w:t> </w:t>
      </w:r>
      <w:r w:rsidRPr="00FA40F2">
        <w:rPr>
          <w:lang w:val="es-ES_tradnl"/>
        </w:rPr>
        <w:t>mujeres) en 143 competiciones. En cuanto a las ayudas económicas concedidas a deportistas de élite, ascendieron a 7.982.500, 8.333.000, 8.074.500, 7.562.629 y 5.927.500 patacas de Macao, respectivamente.</w:t>
      </w:r>
    </w:p>
    <w:p w14:paraId="3A5062F8" w14:textId="77777777" w:rsidR="00FA40F2" w:rsidRPr="00FA40F2" w:rsidRDefault="00FA40F2" w:rsidP="00E27DAE">
      <w:pPr>
        <w:pStyle w:val="SingleTxtG"/>
        <w:rPr>
          <w:lang w:val="es-ES_tradnl"/>
        </w:rPr>
      </w:pPr>
      <w:r w:rsidRPr="00FA40F2">
        <w:rPr>
          <w:lang w:val="es-ES_tradnl"/>
        </w:rPr>
        <w:t>339.</w:t>
      </w:r>
      <w:r w:rsidRPr="00FA40F2">
        <w:rPr>
          <w:lang w:val="es-ES_tradnl"/>
        </w:rPr>
        <w:tab/>
        <w:t>De los principales eventos deportivos internacionales organizados por la Oficina de Deportes en los últimos años, cabe destacar los siguientes: el Maratón Internacional de</w:t>
      </w:r>
      <w:r w:rsidR="00E27DAE">
        <w:t> </w:t>
      </w:r>
      <w:r w:rsidRPr="00FA40F2">
        <w:rPr>
          <w:lang w:val="es-ES_tradnl"/>
        </w:rPr>
        <w:t>Macao, que contó con 22.291 participantes (2016-2017); El Gran Premio de Macao, con</w:t>
      </w:r>
      <w:r w:rsidR="00E27DAE">
        <w:rPr>
          <w:lang w:val="es-ES_tradnl"/>
        </w:rPr>
        <w:t> </w:t>
      </w:r>
      <w:r w:rsidRPr="00FA40F2">
        <w:rPr>
          <w:lang w:val="es-ES_tradnl"/>
        </w:rPr>
        <w:t xml:space="preserve">161.312 participantes (2016-2017); el Campeonato Asiático de Barcos Dragón, con 87.810 participantes (2016-2018); el Gran Premio Mundial de Voleibol de Macao y la Liga de Naciones de Voleibol Femenino, ambos de la </w:t>
      </w:r>
      <w:proofErr w:type="spellStart"/>
      <w:r w:rsidRPr="00FA40F2">
        <w:rPr>
          <w:lang w:val="es-ES_tradnl"/>
        </w:rPr>
        <w:t>FIVB</w:t>
      </w:r>
      <w:proofErr w:type="spellEnd"/>
      <w:r w:rsidRPr="00FA40F2">
        <w:rPr>
          <w:lang w:val="es-ES_tradnl"/>
        </w:rPr>
        <w:t xml:space="preserve">, con 43.049 y 21.000 participantes, respectivamente (2016-2018); el Encuentro de Maestros de </w:t>
      </w:r>
      <w:proofErr w:type="spellStart"/>
      <w:r w:rsidRPr="00FA40F2">
        <w:rPr>
          <w:lang w:val="es-ES_tradnl"/>
        </w:rPr>
        <w:t>Wushu</w:t>
      </w:r>
      <w:proofErr w:type="spellEnd"/>
      <w:r w:rsidRPr="00FA40F2">
        <w:rPr>
          <w:lang w:val="es-ES_tradnl"/>
        </w:rPr>
        <w:t>, con 251.871 participantes (2016-2018); el Abierto de Golf de Macao, con 9.505 participantes (2016</w:t>
      </w:r>
      <w:r w:rsidR="00E27DAE">
        <w:rPr>
          <w:lang w:val="es-ES_tradnl"/>
        </w:rPr>
        <w:noBreakHyphen/>
      </w:r>
      <w:r w:rsidRPr="00FA40F2">
        <w:rPr>
          <w:lang w:val="es-ES_tradnl"/>
        </w:rPr>
        <w:t xml:space="preserve">2017) y la Liga Asiática, </w:t>
      </w:r>
      <w:r w:rsidRPr="00E27DAE">
        <w:rPr>
          <w:lang w:val="es-ES_tradnl"/>
        </w:rPr>
        <w:t xml:space="preserve">Super 8 y </w:t>
      </w:r>
      <w:proofErr w:type="spellStart"/>
      <w:r w:rsidRPr="00E27DAE">
        <w:rPr>
          <w:lang w:val="es-ES_tradnl"/>
        </w:rPr>
        <w:t>Terrific</w:t>
      </w:r>
      <w:proofErr w:type="spellEnd"/>
      <w:r w:rsidRPr="00E27DAE">
        <w:rPr>
          <w:lang w:val="es-ES_tradnl"/>
        </w:rPr>
        <w:t xml:space="preserve"> 12</w:t>
      </w:r>
      <w:r w:rsidRPr="00FA40F2">
        <w:rPr>
          <w:lang w:val="es-ES_tradnl"/>
        </w:rPr>
        <w:t>, con 12.000 y 25.000 participantes respectivamente (2018).</w:t>
      </w:r>
    </w:p>
    <w:p w14:paraId="38F18894" w14:textId="77777777" w:rsidR="00FA40F2" w:rsidRPr="00FA40F2" w:rsidRDefault="00FA40F2" w:rsidP="00FA40F2">
      <w:pPr>
        <w:pStyle w:val="SingleTxtG"/>
        <w:rPr>
          <w:lang w:val="es-ES_tradnl"/>
        </w:rPr>
      </w:pPr>
      <w:r w:rsidRPr="00FA40F2">
        <w:rPr>
          <w:lang w:val="es-ES_tradnl"/>
        </w:rPr>
        <w:t>340.</w:t>
      </w:r>
      <w:r w:rsidRPr="00FA40F2">
        <w:rPr>
          <w:lang w:val="es-ES_tradnl"/>
        </w:rPr>
        <w:tab/>
        <w:t>Como se mencionó en informes anteriores, la Oficina de Deportes es miembro activo del Consejo Internacional para la Ciencia del Deporte y la Educación Física, la Federación Asiática de Medicina Deportiva y la Asociación Internacional de Deporte para Todos. Asimismo, coopera con distintas organizaciones internacionales y organiza anualmente varios eventos deportivos internacionales.</w:t>
      </w:r>
    </w:p>
    <w:p w14:paraId="2511705B" w14:textId="77777777" w:rsidR="00FA40F2" w:rsidRPr="00FA40F2" w:rsidRDefault="00FA40F2" w:rsidP="00FA40F2">
      <w:pPr>
        <w:pStyle w:val="SingleTxtG"/>
        <w:rPr>
          <w:lang w:val="es-ES_tradnl"/>
        </w:rPr>
      </w:pPr>
      <w:r w:rsidRPr="00FA40F2">
        <w:rPr>
          <w:lang w:val="es-ES_tradnl"/>
        </w:rPr>
        <w:t>341.</w:t>
      </w:r>
      <w:r w:rsidRPr="00FA40F2">
        <w:rPr>
          <w:lang w:val="es-ES_tradnl"/>
        </w:rPr>
        <w:tab/>
        <w:t>Además, la RAE de Macao ha firmado nuevos acuerdos con la provincia de Fujian y Pekín a fin de mejorar los intercambios y las relaciones en todos los niveles deportivos, tanto en las competiciones como en los entrenamientos y las visitas.</w:t>
      </w:r>
    </w:p>
    <w:p w14:paraId="29101DB0" w14:textId="77777777" w:rsidR="00FA40F2" w:rsidRPr="00FA40F2" w:rsidRDefault="00FA40F2" w:rsidP="002913A6">
      <w:pPr>
        <w:pStyle w:val="H23G"/>
        <w:rPr>
          <w:lang w:val="es-ES_tradnl"/>
        </w:rPr>
      </w:pPr>
      <w:bookmarkStart w:id="68" w:name="_Toc286998613"/>
      <w:bookmarkEnd w:id="66"/>
      <w:bookmarkEnd w:id="67"/>
      <w:r w:rsidRPr="00FA40F2">
        <w:rPr>
          <w:lang w:val="es-ES_tradnl"/>
        </w:rPr>
        <w:tab/>
      </w:r>
      <w:r w:rsidR="002913A6">
        <w:rPr>
          <w:lang w:val="es-ES_tradnl"/>
        </w:rPr>
        <w:tab/>
      </w:r>
      <w:r w:rsidRPr="00FA40F2">
        <w:rPr>
          <w:lang w:val="es-ES_tradnl"/>
        </w:rPr>
        <w:t>Protección de la propiedad intelectual</w:t>
      </w:r>
      <w:bookmarkEnd w:id="68"/>
    </w:p>
    <w:p w14:paraId="6A4FBF7A" w14:textId="77777777" w:rsidR="00FA40F2" w:rsidRPr="00FA40F2" w:rsidRDefault="00FA40F2" w:rsidP="00FA40F2">
      <w:pPr>
        <w:pStyle w:val="SingleTxtG"/>
        <w:rPr>
          <w:lang w:val="es-ES_tradnl"/>
        </w:rPr>
      </w:pPr>
      <w:r w:rsidRPr="00FA40F2">
        <w:rPr>
          <w:lang w:val="es-ES_tradnl"/>
        </w:rPr>
        <w:t>342.</w:t>
      </w:r>
      <w:r w:rsidRPr="00FA40F2">
        <w:rPr>
          <w:lang w:val="es-ES_tradnl"/>
        </w:rPr>
        <w:tab/>
        <w:t>La propiedad intelectual está plenamente protegida en la RAE de Macao, como se ha explicado en informes anteriores (</w:t>
      </w:r>
      <w:r w:rsidR="00722610">
        <w:rPr>
          <w:lang w:val="es-ES_tradnl"/>
        </w:rPr>
        <w:t>artículo </w:t>
      </w:r>
      <w:r w:rsidRPr="00FA40F2">
        <w:rPr>
          <w:lang w:val="es-ES_tradnl"/>
        </w:rPr>
        <w:t xml:space="preserve">125, párrafo 2, de la Ley Fundamental, Decreto Ley </w:t>
      </w:r>
      <w:r w:rsidR="00E27276">
        <w:rPr>
          <w:lang w:val="es-ES_tradnl"/>
        </w:rPr>
        <w:t>núm. </w:t>
      </w:r>
      <w:r w:rsidRPr="00FA40F2">
        <w:rPr>
          <w:lang w:val="es-ES_tradnl"/>
        </w:rPr>
        <w:t xml:space="preserve">43/99/M (Régimen del Derecho de Autor y los Derechos Conexos, modificado por la Ley </w:t>
      </w:r>
      <w:r w:rsidR="00E27276">
        <w:rPr>
          <w:lang w:val="es-ES_tradnl"/>
        </w:rPr>
        <w:t>núm. </w:t>
      </w:r>
      <w:r w:rsidRPr="00FA40F2">
        <w:rPr>
          <w:lang w:val="es-ES_tradnl"/>
        </w:rPr>
        <w:t xml:space="preserve">5/2012) y el Decreto Ley </w:t>
      </w:r>
      <w:r w:rsidR="00E27276">
        <w:rPr>
          <w:lang w:val="es-ES_tradnl"/>
        </w:rPr>
        <w:t>núm. </w:t>
      </w:r>
      <w:r w:rsidRPr="00FA40F2">
        <w:rPr>
          <w:lang w:val="es-ES_tradnl"/>
        </w:rPr>
        <w:t>97/99/M (Código de la Propiedad Industrial).</w:t>
      </w:r>
    </w:p>
    <w:p w14:paraId="1071A3A9" w14:textId="77777777" w:rsidR="00FA40F2" w:rsidRPr="00FA40F2" w:rsidRDefault="00FA40F2" w:rsidP="00FA40F2">
      <w:pPr>
        <w:pStyle w:val="SingleTxtG"/>
        <w:rPr>
          <w:lang w:val="es-ES_tradnl"/>
        </w:rPr>
      </w:pPr>
      <w:r w:rsidRPr="00FA40F2">
        <w:rPr>
          <w:lang w:val="es-ES_tradnl"/>
        </w:rPr>
        <w:t>343.</w:t>
      </w:r>
      <w:r w:rsidRPr="00FA40F2">
        <w:rPr>
          <w:lang w:val="es-ES_tradnl"/>
        </w:rPr>
        <w:tab/>
        <w:t>Las nuevas modificaciones del régimen de derecho de autor tienen por objeto proteger los derechos de autor en la sociedad tecnológica y de la información, así como los derechos de los artistas intérpretes o ejecutantes y los productores de fonogramas en la era digital, de conformidad con el Tratado de la OMPI sobre Derecho de Autor y el Tratado de la OMPI sobre Interpretación o Ejecución y Fonogramas, ambos de aplicación en la RAE de Macao desde 2013.</w:t>
      </w:r>
    </w:p>
    <w:p w14:paraId="72A032EE" w14:textId="77777777" w:rsidR="00FA40F2" w:rsidRPr="00FA40F2" w:rsidRDefault="00FA40F2" w:rsidP="00FA40F2">
      <w:pPr>
        <w:pStyle w:val="SingleTxtG"/>
        <w:rPr>
          <w:lang w:val="es-ES_tradnl"/>
        </w:rPr>
      </w:pPr>
      <w:r w:rsidRPr="00FA40F2">
        <w:rPr>
          <w:lang w:val="es-ES_tradnl"/>
        </w:rPr>
        <w:t>344.</w:t>
      </w:r>
      <w:r w:rsidRPr="00FA40F2">
        <w:rPr>
          <w:lang w:val="es-ES_tradnl"/>
        </w:rPr>
        <w:tab/>
        <w:t xml:space="preserve">En lo que respecta a la protección de la propiedad intelectual, la Oficina Económica de Macao es la entidad responsable del registro de marcas y patentes. </w:t>
      </w:r>
    </w:p>
    <w:p w14:paraId="06CEB892" w14:textId="77777777" w:rsidR="00FA40F2" w:rsidRPr="00FA40F2" w:rsidRDefault="00FA40F2" w:rsidP="002913A6">
      <w:pPr>
        <w:pStyle w:val="H23G"/>
        <w:rPr>
          <w:lang w:val="es-ES_tradnl"/>
        </w:rPr>
      </w:pPr>
      <w:r w:rsidRPr="00FA40F2">
        <w:rPr>
          <w:lang w:val="es-ES_tradnl"/>
        </w:rPr>
        <w:tab/>
      </w:r>
      <w:r w:rsidR="002913A6">
        <w:rPr>
          <w:lang w:val="es-ES_tradnl"/>
        </w:rPr>
        <w:tab/>
      </w:r>
      <w:r w:rsidRPr="00FA40F2">
        <w:rPr>
          <w:lang w:val="es-ES_tradnl"/>
        </w:rPr>
        <w:t>Solicitudes de derechos de propiedad industrial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709"/>
        <w:gridCol w:w="850"/>
        <w:gridCol w:w="1560"/>
        <w:gridCol w:w="850"/>
        <w:gridCol w:w="1276"/>
        <w:gridCol w:w="1416"/>
      </w:tblGrid>
      <w:tr w:rsidR="00C44444" w:rsidRPr="00C44444" w14:paraId="0E935528" w14:textId="77777777" w:rsidTr="00A12327">
        <w:trPr>
          <w:cantSplit/>
          <w:trHeight w:val="240"/>
          <w:tblHeader/>
        </w:trPr>
        <w:tc>
          <w:tcPr>
            <w:tcW w:w="709" w:type="dxa"/>
            <w:tcBorders>
              <w:top w:val="single" w:sz="4" w:space="0" w:color="auto"/>
              <w:bottom w:val="single" w:sz="12" w:space="0" w:color="auto"/>
            </w:tcBorders>
            <w:shd w:val="clear" w:color="auto" w:fill="auto"/>
            <w:vAlign w:val="bottom"/>
          </w:tcPr>
          <w:p w14:paraId="438B5FED" w14:textId="77777777" w:rsidR="00FA40F2" w:rsidRPr="00C44444" w:rsidRDefault="00FA40F2" w:rsidP="00C44444">
            <w:pPr>
              <w:pStyle w:val="SingleTxtG"/>
              <w:spacing w:before="80" w:after="80" w:line="200" w:lineRule="exact"/>
              <w:ind w:left="0" w:right="0"/>
              <w:jc w:val="left"/>
              <w:rPr>
                <w:i/>
                <w:sz w:val="16"/>
                <w:lang w:val="es-ES_tradnl"/>
              </w:rPr>
            </w:pPr>
            <w:r w:rsidRPr="00C44444">
              <w:rPr>
                <w:i/>
                <w:iCs/>
                <w:sz w:val="16"/>
                <w:lang w:val="es-ES_tradnl"/>
              </w:rPr>
              <w:t>Año</w:t>
            </w:r>
          </w:p>
        </w:tc>
        <w:tc>
          <w:tcPr>
            <w:tcW w:w="709" w:type="dxa"/>
            <w:tcBorders>
              <w:top w:val="single" w:sz="4" w:space="0" w:color="auto"/>
              <w:bottom w:val="single" w:sz="12" w:space="0" w:color="auto"/>
            </w:tcBorders>
            <w:shd w:val="clear" w:color="auto" w:fill="auto"/>
            <w:vAlign w:val="bottom"/>
          </w:tcPr>
          <w:p w14:paraId="54EBEB5A"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Marca</w:t>
            </w:r>
          </w:p>
        </w:tc>
        <w:tc>
          <w:tcPr>
            <w:tcW w:w="850" w:type="dxa"/>
            <w:tcBorders>
              <w:top w:val="single" w:sz="4" w:space="0" w:color="auto"/>
              <w:bottom w:val="single" w:sz="12" w:space="0" w:color="auto"/>
            </w:tcBorders>
            <w:shd w:val="clear" w:color="auto" w:fill="auto"/>
            <w:vAlign w:val="bottom"/>
          </w:tcPr>
          <w:p w14:paraId="79B0B6E1"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invención</w:t>
            </w:r>
          </w:p>
        </w:tc>
        <w:tc>
          <w:tcPr>
            <w:tcW w:w="1560" w:type="dxa"/>
            <w:tcBorders>
              <w:top w:val="single" w:sz="4" w:space="0" w:color="auto"/>
              <w:bottom w:val="single" w:sz="12" w:space="0" w:color="auto"/>
            </w:tcBorders>
            <w:shd w:val="clear" w:color="auto" w:fill="auto"/>
            <w:vAlign w:val="bottom"/>
          </w:tcPr>
          <w:p w14:paraId="0B64D81E"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Prórroga de la patente de invención</w:t>
            </w:r>
          </w:p>
        </w:tc>
        <w:tc>
          <w:tcPr>
            <w:tcW w:w="850" w:type="dxa"/>
            <w:tcBorders>
              <w:top w:val="single" w:sz="4" w:space="0" w:color="auto"/>
              <w:bottom w:val="single" w:sz="12" w:space="0" w:color="auto"/>
            </w:tcBorders>
            <w:shd w:val="clear" w:color="auto" w:fill="auto"/>
            <w:vAlign w:val="bottom"/>
          </w:tcPr>
          <w:p w14:paraId="36C3AC79"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utilidad</w:t>
            </w:r>
          </w:p>
        </w:tc>
        <w:tc>
          <w:tcPr>
            <w:tcW w:w="1276" w:type="dxa"/>
            <w:tcBorders>
              <w:top w:val="single" w:sz="4" w:space="0" w:color="auto"/>
              <w:bottom w:val="single" w:sz="12" w:space="0" w:color="auto"/>
            </w:tcBorders>
            <w:shd w:val="clear" w:color="auto" w:fill="auto"/>
            <w:vAlign w:val="bottom"/>
          </w:tcPr>
          <w:p w14:paraId="0BBC72EE"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Diseño industrial y modelo</w:t>
            </w:r>
          </w:p>
        </w:tc>
        <w:tc>
          <w:tcPr>
            <w:tcW w:w="1416" w:type="dxa"/>
            <w:tcBorders>
              <w:top w:val="single" w:sz="4" w:space="0" w:color="auto"/>
              <w:bottom w:val="single" w:sz="12" w:space="0" w:color="auto"/>
            </w:tcBorders>
            <w:shd w:val="clear" w:color="auto" w:fill="auto"/>
            <w:vAlign w:val="bottom"/>
          </w:tcPr>
          <w:p w14:paraId="5791C730"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Nombre y emblema del establecimiento</w:t>
            </w:r>
          </w:p>
        </w:tc>
      </w:tr>
      <w:tr w:rsidR="00C44444" w:rsidRPr="00C44444" w14:paraId="0206C1F3" w14:textId="77777777" w:rsidTr="00A12327">
        <w:trPr>
          <w:cantSplit/>
          <w:trHeight w:val="240"/>
        </w:trPr>
        <w:tc>
          <w:tcPr>
            <w:tcW w:w="709" w:type="dxa"/>
            <w:tcBorders>
              <w:top w:val="single" w:sz="12" w:space="0" w:color="auto"/>
            </w:tcBorders>
            <w:shd w:val="clear" w:color="auto" w:fill="auto"/>
          </w:tcPr>
          <w:p w14:paraId="45369568"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2014</w:t>
            </w:r>
          </w:p>
        </w:tc>
        <w:tc>
          <w:tcPr>
            <w:tcW w:w="709" w:type="dxa"/>
            <w:tcBorders>
              <w:top w:val="single" w:sz="12" w:space="0" w:color="auto"/>
            </w:tcBorders>
            <w:shd w:val="clear" w:color="auto" w:fill="auto"/>
            <w:vAlign w:val="bottom"/>
          </w:tcPr>
          <w:p w14:paraId="5A0E814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12 287</w:t>
            </w:r>
          </w:p>
        </w:tc>
        <w:tc>
          <w:tcPr>
            <w:tcW w:w="850" w:type="dxa"/>
            <w:tcBorders>
              <w:top w:val="single" w:sz="12" w:space="0" w:color="auto"/>
            </w:tcBorders>
            <w:shd w:val="clear" w:color="auto" w:fill="auto"/>
            <w:vAlign w:val="bottom"/>
          </w:tcPr>
          <w:p w14:paraId="7981AFF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106</w:t>
            </w:r>
          </w:p>
        </w:tc>
        <w:tc>
          <w:tcPr>
            <w:tcW w:w="1560" w:type="dxa"/>
            <w:tcBorders>
              <w:top w:val="single" w:sz="12" w:space="0" w:color="auto"/>
            </w:tcBorders>
            <w:shd w:val="clear" w:color="auto" w:fill="auto"/>
            <w:vAlign w:val="bottom"/>
          </w:tcPr>
          <w:p w14:paraId="7F47B120"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310</w:t>
            </w:r>
          </w:p>
        </w:tc>
        <w:tc>
          <w:tcPr>
            <w:tcW w:w="850" w:type="dxa"/>
            <w:tcBorders>
              <w:top w:val="single" w:sz="12" w:space="0" w:color="auto"/>
            </w:tcBorders>
            <w:shd w:val="clear" w:color="auto" w:fill="auto"/>
            <w:vAlign w:val="bottom"/>
          </w:tcPr>
          <w:p w14:paraId="7C630D23"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28</w:t>
            </w:r>
          </w:p>
        </w:tc>
        <w:tc>
          <w:tcPr>
            <w:tcW w:w="1276" w:type="dxa"/>
            <w:tcBorders>
              <w:top w:val="single" w:sz="12" w:space="0" w:color="auto"/>
            </w:tcBorders>
            <w:shd w:val="clear" w:color="auto" w:fill="auto"/>
            <w:vAlign w:val="bottom"/>
          </w:tcPr>
          <w:p w14:paraId="7EFBE2E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132</w:t>
            </w:r>
          </w:p>
        </w:tc>
        <w:tc>
          <w:tcPr>
            <w:tcW w:w="1416" w:type="dxa"/>
            <w:tcBorders>
              <w:top w:val="single" w:sz="12" w:space="0" w:color="auto"/>
            </w:tcBorders>
            <w:shd w:val="clear" w:color="auto" w:fill="auto"/>
            <w:vAlign w:val="bottom"/>
          </w:tcPr>
          <w:p w14:paraId="203DE85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15</w:t>
            </w:r>
          </w:p>
        </w:tc>
      </w:tr>
      <w:tr w:rsidR="00C44444" w:rsidRPr="00C44444" w14:paraId="04224077" w14:textId="77777777" w:rsidTr="00A12327">
        <w:trPr>
          <w:cantSplit/>
          <w:trHeight w:val="240"/>
        </w:trPr>
        <w:tc>
          <w:tcPr>
            <w:tcW w:w="709" w:type="dxa"/>
            <w:shd w:val="clear" w:color="auto" w:fill="auto"/>
          </w:tcPr>
          <w:p w14:paraId="584B3C2D"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2015</w:t>
            </w:r>
          </w:p>
        </w:tc>
        <w:tc>
          <w:tcPr>
            <w:tcW w:w="709" w:type="dxa"/>
            <w:shd w:val="clear" w:color="auto" w:fill="auto"/>
            <w:vAlign w:val="bottom"/>
          </w:tcPr>
          <w:p w14:paraId="59506D5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13 140</w:t>
            </w:r>
          </w:p>
        </w:tc>
        <w:tc>
          <w:tcPr>
            <w:tcW w:w="850" w:type="dxa"/>
            <w:shd w:val="clear" w:color="auto" w:fill="auto"/>
            <w:vAlign w:val="bottom"/>
          </w:tcPr>
          <w:p w14:paraId="7D7F1E5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65</w:t>
            </w:r>
          </w:p>
        </w:tc>
        <w:tc>
          <w:tcPr>
            <w:tcW w:w="1560" w:type="dxa"/>
            <w:shd w:val="clear" w:color="auto" w:fill="auto"/>
            <w:vAlign w:val="bottom"/>
          </w:tcPr>
          <w:p w14:paraId="10BB9586"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382</w:t>
            </w:r>
          </w:p>
        </w:tc>
        <w:tc>
          <w:tcPr>
            <w:tcW w:w="850" w:type="dxa"/>
            <w:shd w:val="clear" w:color="auto" w:fill="auto"/>
            <w:vAlign w:val="bottom"/>
          </w:tcPr>
          <w:p w14:paraId="0763E5D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20</w:t>
            </w:r>
          </w:p>
        </w:tc>
        <w:tc>
          <w:tcPr>
            <w:tcW w:w="1276" w:type="dxa"/>
            <w:shd w:val="clear" w:color="auto" w:fill="auto"/>
            <w:vAlign w:val="bottom"/>
          </w:tcPr>
          <w:p w14:paraId="1E75FAE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250</w:t>
            </w:r>
          </w:p>
        </w:tc>
        <w:tc>
          <w:tcPr>
            <w:tcW w:w="1416" w:type="dxa"/>
            <w:shd w:val="clear" w:color="auto" w:fill="auto"/>
            <w:vAlign w:val="bottom"/>
          </w:tcPr>
          <w:p w14:paraId="2F26F218"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30</w:t>
            </w:r>
          </w:p>
        </w:tc>
      </w:tr>
      <w:tr w:rsidR="00C44444" w:rsidRPr="00C44444" w14:paraId="5462042C" w14:textId="77777777" w:rsidTr="00A12327">
        <w:trPr>
          <w:cantSplit/>
          <w:trHeight w:val="240"/>
        </w:trPr>
        <w:tc>
          <w:tcPr>
            <w:tcW w:w="709" w:type="dxa"/>
            <w:shd w:val="clear" w:color="auto" w:fill="auto"/>
          </w:tcPr>
          <w:p w14:paraId="310FBC1F"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2016</w:t>
            </w:r>
          </w:p>
        </w:tc>
        <w:tc>
          <w:tcPr>
            <w:tcW w:w="709" w:type="dxa"/>
            <w:shd w:val="clear" w:color="auto" w:fill="auto"/>
            <w:vAlign w:val="bottom"/>
          </w:tcPr>
          <w:p w14:paraId="43B0AF27"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11 507</w:t>
            </w:r>
          </w:p>
        </w:tc>
        <w:tc>
          <w:tcPr>
            <w:tcW w:w="850" w:type="dxa"/>
            <w:shd w:val="clear" w:color="auto" w:fill="auto"/>
            <w:vAlign w:val="bottom"/>
          </w:tcPr>
          <w:p w14:paraId="6C3C465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51</w:t>
            </w:r>
          </w:p>
        </w:tc>
        <w:tc>
          <w:tcPr>
            <w:tcW w:w="1560" w:type="dxa"/>
            <w:shd w:val="clear" w:color="auto" w:fill="auto"/>
            <w:vAlign w:val="bottom"/>
          </w:tcPr>
          <w:p w14:paraId="5F63ED1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452</w:t>
            </w:r>
          </w:p>
        </w:tc>
        <w:tc>
          <w:tcPr>
            <w:tcW w:w="850" w:type="dxa"/>
            <w:shd w:val="clear" w:color="auto" w:fill="auto"/>
            <w:vAlign w:val="bottom"/>
          </w:tcPr>
          <w:p w14:paraId="178AA77B"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15</w:t>
            </w:r>
          </w:p>
        </w:tc>
        <w:tc>
          <w:tcPr>
            <w:tcW w:w="1276" w:type="dxa"/>
            <w:shd w:val="clear" w:color="auto" w:fill="auto"/>
            <w:vAlign w:val="bottom"/>
          </w:tcPr>
          <w:p w14:paraId="3D47C84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218</w:t>
            </w:r>
          </w:p>
        </w:tc>
        <w:tc>
          <w:tcPr>
            <w:tcW w:w="1416" w:type="dxa"/>
            <w:shd w:val="clear" w:color="auto" w:fill="auto"/>
            <w:vAlign w:val="bottom"/>
          </w:tcPr>
          <w:p w14:paraId="05DB97F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23</w:t>
            </w:r>
          </w:p>
        </w:tc>
      </w:tr>
      <w:tr w:rsidR="00C44444" w:rsidRPr="00C44444" w14:paraId="5A7CD5C5" w14:textId="77777777" w:rsidTr="00A12327">
        <w:trPr>
          <w:cantSplit/>
          <w:trHeight w:val="240"/>
        </w:trPr>
        <w:tc>
          <w:tcPr>
            <w:tcW w:w="709" w:type="dxa"/>
            <w:shd w:val="clear" w:color="auto" w:fill="auto"/>
          </w:tcPr>
          <w:p w14:paraId="4F46E838"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2017</w:t>
            </w:r>
          </w:p>
        </w:tc>
        <w:tc>
          <w:tcPr>
            <w:tcW w:w="709" w:type="dxa"/>
            <w:shd w:val="clear" w:color="auto" w:fill="auto"/>
            <w:vAlign w:val="bottom"/>
          </w:tcPr>
          <w:p w14:paraId="6E479D2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13 135</w:t>
            </w:r>
          </w:p>
        </w:tc>
        <w:tc>
          <w:tcPr>
            <w:tcW w:w="850" w:type="dxa"/>
            <w:shd w:val="clear" w:color="auto" w:fill="auto"/>
            <w:vAlign w:val="bottom"/>
          </w:tcPr>
          <w:p w14:paraId="4C66030B"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68</w:t>
            </w:r>
          </w:p>
        </w:tc>
        <w:tc>
          <w:tcPr>
            <w:tcW w:w="1560" w:type="dxa"/>
            <w:shd w:val="clear" w:color="auto" w:fill="auto"/>
            <w:vAlign w:val="bottom"/>
          </w:tcPr>
          <w:p w14:paraId="008F974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441</w:t>
            </w:r>
          </w:p>
        </w:tc>
        <w:tc>
          <w:tcPr>
            <w:tcW w:w="850" w:type="dxa"/>
            <w:shd w:val="clear" w:color="auto" w:fill="auto"/>
            <w:vAlign w:val="bottom"/>
          </w:tcPr>
          <w:p w14:paraId="1FABA0A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18</w:t>
            </w:r>
          </w:p>
        </w:tc>
        <w:tc>
          <w:tcPr>
            <w:tcW w:w="1276" w:type="dxa"/>
            <w:shd w:val="clear" w:color="auto" w:fill="auto"/>
            <w:vAlign w:val="bottom"/>
          </w:tcPr>
          <w:p w14:paraId="163E743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193</w:t>
            </w:r>
          </w:p>
        </w:tc>
        <w:tc>
          <w:tcPr>
            <w:tcW w:w="1416" w:type="dxa"/>
            <w:shd w:val="clear" w:color="auto" w:fill="auto"/>
            <w:vAlign w:val="bottom"/>
          </w:tcPr>
          <w:p w14:paraId="74FE4A7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7</w:t>
            </w:r>
          </w:p>
        </w:tc>
      </w:tr>
      <w:tr w:rsidR="00C44444" w:rsidRPr="00C44444" w14:paraId="416FEF4D" w14:textId="77777777" w:rsidTr="00A12327">
        <w:trPr>
          <w:cantSplit/>
          <w:trHeight w:val="240"/>
        </w:trPr>
        <w:tc>
          <w:tcPr>
            <w:tcW w:w="709" w:type="dxa"/>
            <w:tcBorders>
              <w:bottom w:val="single" w:sz="12" w:space="0" w:color="auto"/>
            </w:tcBorders>
            <w:shd w:val="clear" w:color="auto" w:fill="auto"/>
          </w:tcPr>
          <w:p w14:paraId="0221D0E5" w14:textId="77777777" w:rsidR="00FA40F2" w:rsidRPr="00C44444" w:rsidRDefault="00807EE4" w:rsidP="00C44444">
            <w:pPr>
              <w:pStyle w:val="SingleTxtG"/>
              <w:spacing w:before="40" w:after="40" w:line="220" w:lineRule="exact"/>
              <w:ind w:left="0" w:right="0"/>
              <w:jc w:val="left"/>
              <w:rPr>
                <w:sz w:val="18"/>
                <w:lang w:val="es-ES_tradnl"/>
              </w:rPr>
            </w:pPr>
            <w:r>
              <w:rPr>
                <w:sz w:val="18"/>
                <w:lang w:val="es-ES_tradnl"/>
              </w:rPr>
              <w:t xml:space="preserve">sep. </w:t>
            </w:r>
            <w:r w:rsidR="00FA40F2" w:rsidRPr="00C44444">
              <w:rPr>
                <w:sz w:val="18"/>
                <w:lang w:val="es-ES_tradnl"/>
              </w:rPr>
              <w:t>2018</w:t>
            </w:r>
          </w:p>
        </w:tc>
        <w:tc>
          <w:tcPr>
            <w:tcW w:w="709" w:type="dxa"/>
            <w:tcBorders>
              <w:bottom w:val="single" w:sz="12" w:space="0" w:color="auto"/>
            </w:tcBorders>
            <w:shd w:val="clear" w:color="auto" w:fill="auto"/>
            <w:vAlign w:val="bottom"/>
          </w:tcPr>
          <w:p w14:paraId="66578B00"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12 398</w:t>
            </w:r>
          </w:p>
        </w:tc>
        <w:tc>
          <w:tcPr>
            <w:tcW w:w="850" w:type="dxa"/>
            <w:tcBorders>
              <w:bottom w:val="single" w:sz="12" w:space="0" w:color="auto"/>
            </w:tcBorders>
            <w:shd w:val="clear" w:color="auto" w:fill="auto"/>
            <w:vAlign w:val="bottom"/>
          </w:tcPr>
          <w:p w14:paraId="477C667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42</w:t>
            </w:r>
          </w:p>
        </w:tc>
        <w:tc>
          <w:tcPr>
            <w:tcW w:w="1560" w:type="dxa"/>
            <w:tcBorders>
              <w:bottom w:val="single" w:sz="12" w:space="0" w:color="auto"/>
            </w:tcBorders>
            <w:shd w:val="clear" w:color="auto" w:fill="auto"/>
            <w:vAlign w:val="bottom"/>
          </w:tcPr>
          <w:p w14:paraId="0A74413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504</w:t>
            </w:r>
          </w:p>
        </w:tc>
        <w:tc>
          <w:tcPr>
            <w:tcW w:w="850" w:type="dxa"/>
            <w:tcBorders>
              <w:bottom w:val="single" w:sz="12" w:space="0" w:color="auto"/>
            </w:tcBorders>
            <w:shd w:val="clear" w:color="auto" w:fill="auto"/>
            <w:vAlign w:val="bottom"/>
          </w:tcPr>
          <w:p w14:paraId="28F7C91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22</w:t>
            </w:r>
          </w:p>
        </w:tc>
        <w:tc>
          <w:tcPr>
            <w:tcW w:w="1276" w:type="dxa"/>
            <w:tcBorders>
              <w:bottom w:val="single" w:sz="12" w:space="0" w:color="auto"/>
            </w:tcBorders>
            <w:shd w:val="clear" w:color="auto" w:fill="auto"/>
            <w:vAlign w:val="bottom"/>
          </w:tcPr>
          <w:p w14:paraId="44E9F123"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165</w:t>
            </w:r>
          </w:p>
        </w:tc>
        <w:tc>
          <w:tcPr>
            <w:tcW w:w="1416" w:type="dxa"/>
            <w:tcBorders>
              <w:bottom w:val="single" w:sz="12" w:space="0" w:color="auto"/>
            </w:tcBorders>
            <w:shd w:val="clear" w:color="auto" w:fill="auto"/>
            <w:vAlign w:val="bottom"/>
          </w:tcPr>
          <w:p w14:paraId="5DD4A2A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6</w:t>
            </w:r>
          </w:p>
        </w:tc>
      </w:tr>
    </w:tbl>
    <w:p w14:paraId="7E3C3DA0" w14:textId="77777777" w:rsidR="00FA40F2" w:rsidRPr="00C44444" w:rsidRDefault="00FA40F2" w:rsidP="00C44444">
      <w:pPr>
        <w:pStyle w:val="SingleTxtG"/>
        <w:spacing w:before="120"/>
        <w:ind w:firstLine="170"/>
        <w:rPr>
          <w:sz w:val="18"/>
          <w:szCs w:val="18"/>
          <w:lang w:val="es-ES_tradnl"/>
        </w:rPr>
      </w:pPr>
      <w:r w:rsidRPr="00C44444">
        <w:rPr>
          <w:i/>
          <w:iCs/>
          <w:sz w:val="18"/>
          <w:szCs w:val="18"/>
          <w:lang w:val="es-ES_tradnl"/>
        </w:rPr>
        <w:t>Fuente</w:t>
      </w:r>
      <w:r w:rsidRPr="00E27DAE">
        <w:rPr>
          <w:i/>
          <w:iCs/>
          <w:sz w:val="18"/>
          <w:szCs w:val="18"/>
          <w:lang w:val="es-ES_tradnl"/>
        </w:rPr>
        <w:t>:</w:t>
      </w:r>
      <w:r w:rsidRPr="00C44444">
        <w:rPr>
          <w:sz w:val="18"/>
          <w:szCs w:val="18"/>
          <w:lang w:val="es-ES_tradnl"/>
        </w:rPr>
        <w:t xml:space="preserve"> Oficina Económica de Macao.</w:t>
      </w:r>
    </w:p>
    <w:p w14:paraId="68152F77" w14:textId="77777777" w:rsidR="00FA40F2" w:rsidRPr="00FA40F2" w:rsidRDefault="00C44444" w:rsidP="00C44444">
      <w:pPr>
        <w:pStyle w:val="H23G"/>
        <w:rPr>
          <w:lang w:val="es-ES_tradnl"/>
        </w:rPr>
      </w:pPr>
      <w:r>
        <w:rPr>
          <w:lang w:val="es-ES_tradnl"/>
        </w:rPr>
        <w:lastRenderedPageBreak/>
        <w:tab/>
      </w:r>
      <w:r w:rsidR="00FA40F2" w:rsidRPr="00FA40F2">
        <w:rPr>
          <w:lang w:val="es-ES_tradnl"/>
        </w:rPr>
        <w:tab/>
        <w:t>Registros de propiedad industrial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09"/>
        <w:gridCol w:w="709"/>
        <w:gridCol w:w="850"/>
        <w:gridCol w:w="1560"/>
        <w:gridCol w:w="850"/>
        <w:gridCol w:w="1276"/>
        <w:gridCol w:w="1416"/>
      </w:tblGrid>
      <w:tr w:rsidR="00FC74D2" w:rsidRPr="00C44444" w14:paraId="6D24DBBC" w14:textId="77777777" w:rsidTr="00FC74D2">
        <w:trPr>
          <w:cantSplit/>
          <w:trHeight w:val="240"/>
          <w:tblHeader/>
        </w:trPr>
        <w:tc>
          <w:tcPr>
            <w:tcW w:w="709" w:type="dxa"/>
            <w:tcBorders>
              <w:top w:val="single" w:sz="4" w:space="0" w:color="auto"/>
              <w:bottom w:val="single" w:sz="12" w:space="0" w:color="auto"/>
            </w:tcBorders>
            <w:shd w:val="clear" w:color="auto" w:fill="auto"/>
            <w:vAlign w:val="bottom"/>
          </w:tcPr>
          <w:p w14:paraId="0FCACA51" w14:textId="77777777" w:rsidR="00FA40F2" w:rsidRPr="00C44444" w:rsidRDefault="00FA40F2" w:rsidP="00C44444">
            <w:pPr>
              <w:pStyle w:val="SingleTxtG"/>
              <w:spacing w:before="80" w:after="80" w:line="200" w:lineRule="exact"/>
              <w:ind w:left="0" w:right="0"/>
              <w:jc w:val="left"/>
              <w:rPr>
                <w:i/>
                <w:sz w:val="16"/>
                <w:lang w:val="es-ES_tradnl"/>
              </w:rPr>
            </w:pPr>
            <w:r w:rsidRPr="00C44444">
              <w:rPr>
                <w:i/>
                <w:iCs/>
                <w:sz w:val="16"/>
                <w:lang w:val="es-ES_tradnl"/>
              </w:rPr>
              <w:t>Año</w:t>
            </w:r>
          </w:p>
        </w:tc>
        <w:tc>
          <w:tcPr>
            <w:tcW w:w="709" w:type="dxa"/>
            <w:tcBorders>
              <w:top w:val="single" w:sz="4" w:space="0" w:color="auto"/>
              <w:bottom w:val="single" w:sz="12" w:space="0" w:color="auto"/>
            </w:tcBorders>
            <w:shd w:val="clear" w:color="auto" w:fill="auto"/>
            <w:vAlign w:val="bottom"/>
          </w:tcPr>
          <w:p w14:paraId="71C02FFB"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Marca</w:t>
            </w:r>
          </w:p>
        </w:tc>
        <w:tc>
          <w:tcPr>
            <w:tcW w:w="850" w:type="dxa"/>
            <w:tcBorders>
              <w:top w:val="single" w:sz="4" w:space="0" w:color="auto"/>
              <w:bottom w:val="single" w:sz="12" w:space="0" w:color="auto"/>
            </w:tcBorders>
            <w:shd w:val="clear" w:color="auto" w:fill="auto"/>
            <w:vAlign w:val="bottom"/>
          </w:tcPr>
          <w:p w14:paraId="74FDB6FA"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invención</w:t>
            </w:r>
          </w:p>
        </w:tc>
        <w:tc>
          <w:tcPr>
            <w:tcW w:w="1560" w:type="dxa"/>
            <w:tcBorders>
              <w:top w:val="single" w:sz="4" w:space="0" w:color="auto"/>
              <w:bottom w:val="single" w:sz="12" w:space="0" w:color="auto"/>
            </w:tcBorders>
            <w:shd w:val="clear" w:color="auto" w:fill="auto"/>
            <w:vAlign w:val="bottom"/>
          </w:tcPr>
          <w:p w14:paraId="44618C55"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Prórroga de la patente de invención</w:t>
            </w:r>
          </w:p>
        </w:tc>
        <w:tc>
          <w:tcPr>
            <w:tcW w:w="850" w:type="dxa"/>
            <w:tcBorders>
              <w:top w:val="single" w:sz="4" w:space="0" w:color="auto"/>
              <w:bottom w:val="single" w:sz="12" w:space="0" w:color="auto"/>
            </w:tcBorders>
            <w:shd w:val="clear" w:color="auto" w:fill="auto"/>
            <w:vAlign w:val="bottom"/>
          </w:tcPr>
          <w:p w14:paraId="6D5167ED"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utilidad</w:t>
            </w:r>
          </w:p>
        </w:tc>
        <w:tc>
          <w:tcPr>
            <w:tcW w:w="1276" w:type="dxa"/>
            <w:tcBorders>
              <w:top w:val="single" w:sz="4" w:space="0" w:color="auto"/>
              <w:bottom w:val="single" w:sz="12" w:space="0" w:color="auto"/>
            </w:tcBorders>
            <w:shd w:val="clear" w:color="auto" w:fill="auto"/>
            <w:vAlign w:val="bottom"/>
          </w:tcPr>
          <w:p w14:paraId="670CE123"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Diseño industrial y modelo</w:t>
            </w:r>
          </w:p>
        </w:tc>
        <w:tc>
          <w:tcPr>
            <w:tcW w:w="1416" w:type="dxa"/>
            <w:tcBorders>
              <w:top w:val="single" w:sz="4" w:space="0" w:color="auto"/>
              <w:bottom w:val="single" w:sz="12" w:space="0" w:color="auto"/>
            </w:tcBorders>
            <w:shd w:val="clear" w:color="auto" w:fill="auto"/>
            <w:vAlign w:val="bottom"/>
          </w:tcPr>
          <w:p w14:paraId="7425E73C"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Nombre y emblema del establecimiento</w:t>
            </w:r>
          </w:p>
        </w:tc>
      </w:tr>
      <w:tr w:rsidR="00FC74D2" w:rsidRPr="00C44444" w14:paraId="741ED569" w14:textId="77777777" w:rsidTr="00FC74D2">
        <w:trPr>
          <w:cantSplit/>
          <w:trHeight w:val="240"/>
        </w:trPr>
        <w:tc>
          <w:tcPr>
            <w:tcW w:w="709" w:type="dxa"/>
            <w:tcBorders>
              <w:top w:val="single" w:sz="12" w:space="0" w:color="auto"/>
            </w:tcBorders>
            <w:shd w:val="clear" w:color="auto" w:fill="auto"/>
          </w:tcPr>
          <w:p w14:paraId="3A0EADB7"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2014</w:t>
            </w:r>
          </w:p>
        </w:tc>
        <w:tc>
          <w:tcPr>
            <w:tcW w:w="709" w:type="dxa"/>
            <w:tcBorders>
              <w:top w:val="single" w:sz="12" w:space="0" w:color="auto"/>
            </w:tcBorders>
            <w:shd w:val="clear" w:color="auto" w:fill="auto"/>
            <w:vAlign w:val="bottom"/>
          </w:tcPr>
          <w:p w14:paraId="602B070B"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12 764</w:t>
            </w:r>
          </w:p>
        </w:tc>
        <w:tc>
          <w:tcPr>
            <w:tcW w:w="850" w:type="dxa"/>
            <w:tcBorders>
              <w:top w:val="single" w:sz="12" w:space="0" w:color="auto"/>
            </w:tcBorders>
            <w:shd w:val="clear" w:color="auto" w:fill="auto"/>
            <w:vAlign w:val="bottom"/>
          </w:tcPr>
          <w:p w14:paraId="6DBA085C"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16</w:t>
            </w:r>
          </w:p>
        </w:tc>
        <w:tc>
          <w:tcPr>
            <w:tcW w:w="1560" w:type="dxa"/>
            <w:tcBorders>
              <w:top w:val="single" w:sz="12" w:space="0" w:color="auto"/>
            </w:tcBorders>
            <w:shd w:val="clear" w:color="auto" w:fill="auto"/>
            <w:vAlign w:val="bottom"/>
          </w:tcPr>
          <w:p w14:paraId="14DFA9A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254</w:t>
            </w:r>
          </w:p>
        </w:tc>
        <w:tc>
          <w:tcPr>
            <w:tcW w:w="850" w:type="dxa"/>
            <w:tcBorders>
              <w:top w:val="single" w:sz="12" w:space="0" w:color="auto"/>
            </w:tcBorders>
            <w:shd w:val="clear" w:color="auto" w:fill="auto"/>
            <w:vAlign w:val="bottom"/>
          </w:tcPr>
          <w:p w14:paraId="637D669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w:t>
            </w:r>
          </w:p>
        </w:tc>
        <w:tc>
          <w:tcPr>
            <w:tcW w:w="1276" w:type="dxa"/>
            <w:tcBorders>
              <w:top w:val="single" w:sz="12" w:space="0" w:color="auto"/>
            </w:tcBorders>
            <w:shd w:val="clear" w:color="auto" w:fill="auto"/>
            <w:vAlign w:val="bottom"/>
          </w:tcPr>
          <w:p w14:paraId="5CD52AF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117</w:t>
            </w:r>
          </w:p>
        </w:tc>
        <w:tc>
          <w:tcPr>
            <w:tcW w:w="1416" w:type="dxa"/>
            <w:tcBorders>
              <w:top w:val="single" w:sz="12" w:space="0" w:color="auto"/>
            </w:tcBorders>
            <w:shd w:val="clear" w:color="auto" w:fill="auto"/>
            <w:vAlign w:val="bottom"/>
          </w:tcPr>
          <w:p w14:paraId="78DDE81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19</w:t>
            </w:r>
          </w:p>
        </w:tc>
      </w:tr>
      <w:tr w:rsidR="00FC74D2" w:rsidRPr="00C44444" w14:paraId="09F45909" w14:textId="77777777" w:rsidTr="00FC74D2">
        <w:trPr>
          <w:cantSplit/>
          <w:trHeight w:val="240"/>
        </w:trPr>
        <w:tc>
          <w:tcPr>
            <w:tcW w:w="709" w:type="dxa"/>
            <w:shd w:val="clear" w:color="auto" w:fill="auto"/>
          </w:tcPr>
          <w:p w14:paraId="5DEE0990"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2015</w:t>
            </w:r>
          </w:p>
        </w:tc>
        <w:tc>
          <w:tcPr>
            <w:tcW w:w="709" w:type="dxa"/>
            <w:shd w:val="clear" w:color="auto" w:fill="auto"/>
            <w:vAlign w:val="bottom"/>
          </w:tcPr>
          <w:p w14:paraId="0FF1D339"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12 094</w:t>
            </w:r>
          </w:p>
        </w:tc>
        <w:tc>
          <w:tcPr>
            <w:tcW w:w="850" w:type="dxa"/>
            <w:shd w:val="clear" w:color="auto" w:fill="auto"/>
            <w:vAlign w:val="bottom"/>
          </w:tcPr>
          <w:p w14:paraId="4B40F97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37</w:t>
            </w:r>
          </w:p>
        </w:tc>
        <w:tc>
          <w:tcPr>
            <w:tcW w:w="1560" w:type="dxa"/>
            <w:shd w:val="clear" w:color="auto" w:fill="auto"/>
            <w:vAlign w:val="bottom"/>
          </w:tcPr>
          <w:p w14:paraId="16B00AB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321</w:t>
            </w:r>
          </w:p>
        </w:tc>
        <w:tc>
          <w:tcPr>
            <w:tcW w:w="850" w:type="dxa"/>
            <w:shd w:val="clear" w:color="auto" w:fill="auto"/>
            <w:vAlign w:val="bottom"/>
          </w:tcPr>
          <w:p w14:paraId="7A974A2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15</w:t>
            </w:r>
          </w:p>
        </w:tc>
        <w:tc>
          <w:tcPr>
            <w:tcW w:w="1276" w:type="dxa"/>
            <w:shd w:val="clear" w:color="auto" w:fill="auto"/>
            <w:vAlign w:val="bottom"/>
          </w:tcPr>
          <w:p w14:paraId="19045478"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177</w:t>
            </w:r>
          </w:p>
        </w:tc>
        <w:tc>
          <w:tcPr>
            <w:tcW w:w="1416" w:type="dxa"/>
            <w:shd w:val="clear" w:color="auto" w:fill="auto"/>
            <w:vAlign w:val="bottom"/>
          </w:tcPr>
          <w:p w14:paraId="5629502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24</w:t>
            </w:r>
          </w:p>
        </w:tc>
      </w:tr>
      <w:tr w:rsidR="00FC74D2" w:rsidRPr="00C44444" w14:paraId="10F6DCED" w14:textId="77777777" w:rsidTr="00FC74D2">
        <w:trPr>
          <w:cantSplit/>
          <w:trHeight w:val="240"/>
        </w:trPr>
        <w:tc>
          <w:tcPr>
            <w:tcW w:w="709" w:type="dxa"/>
            <w:shd w:val="clear" w:color="auto" w:fill="auto"/>
          </w:tcPr>
          <w:p w14:paraId="7E086D95"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2016</w:t>
            </w:r>
          </w:p>
        </w:tc>
        <w:tc>
          <w:tcPr>
            <w:tcW w:w="709" w:type="dxa"/>
            <w:shd w:val="clear" w:color="auto" w:fill="auto"/>
            <w:vAlign w:val="bottom"/>
          </w:tcPr>
          <w:p w14:paraId="2460D9A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11 530</w:t>
            </w:r>
          </w:p>
        </w:tc>
        <w:tc>
          <w:tcPr>
            <w:tcW w:w="850" w:type="dxa"/>
            <w:shd w:val="clear" w:color="auto" w:fill="auto"/>
            <w:vAlign w:val="bottom"/>
          </w:tcPr>
          <w:p w14:paraId="3289A99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58</w:t>
            </w:r>
          </w:p>
        </w:tc>
        <w:tc>
          <w:tcPr>
            <w:tcW w:w="1560" w:type="dxa"/>
            <w:shd w:val="clear" w:color="auto" w:fill="auto"/>
            <w:vAlign w:val="bottom"/>
          </w:tcPr>
          <w:p w14:paraId="663ADC5E"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471</w:t>
            </w:r>
          </w:p>
        </w:tc>
        <w:tc>
          <w:tcPr>
            <w:tcW w:w="850" w:type="dxa"/>
            <w:shd w:val="clear" w:color="auto" w:fill="auto"/>
            <w:vAlign w:val="bottom"/>
          </w:tcPr>
          <w:p w14:paraId="7B24E0EE"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w:t>
            </w:r>
          </w:p>
        </w:tc>
        <w:tc>
          <w:tcPr>
            <w:tcW w:w="1276" w:type="dxa"/>
            <w:shd w:val="clear" w:color="auto" w:fill="auto"/>
            <w:vAlign w:val="bottom"/>
          </w:tcPr>
          <w:p w14:paraId="50D6020C"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79</w:t>
            </w:r>
          </w:p>
        </w:tc>
        <w:tc>
          <w:tcPr>
            <w:tcW w:w="1416" w:type="dxa"/>
            <w:shd w:val="clear" w:color="auto" w:fill="auto"/>
            <w:vAlign w:val="bottom"/>
          </w:tcPr>
          <w:p w14:paraId="3D195C4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22</w:t>
            </w:r>
          </w:p>
        </w:tc>
      </w:tr>
      <w:tr w:rsidR="00FC74D2" w:rsidRPr="00C44444" w14:paraId="6F6C0CDB" w14:textId="77777777" w:rsidTr="00FC74D2">
        <w:trPr>
          <w:cantSplit/>
          <w:trHeight w:val="240"/>
        </w:trPr>
        <w:tc>
          <w:tcPr>
            <w:tcW w:w="709" w:type="dxa"/>
            <w:shd w:val="clear" w:color="auto" w:fill="auto"/>
          </w:tcPr>
          <w:p w14:paraId="6986399A"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2017</w:t>
            </w:r>
          </w:p>
        </w:tc>
        <w:tc>
          <w:tcPr>
            <w:tcW w:w="709" w:type="dxa"/>
            <w:shd w:val="clear" w:color="auto" w:fill="auto"/>
            <w:vAlign w:val="bottom"/>
          </w:tcPr>
          <w:p w14:paraId="5D5CAA0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11 076</w:t>
            </w:r>
          </w:p>
        </w:tc>
        <w:tc>
          <w:tcPr>
            <w:tcW w:w="850" w:type="dxa"/>
            <w:shd w:val="clear" w:color="auto" w:fill="auto"/>
            <w:vAlign w:val="bottom"/>
          </w:tcPr>
          <w:p w14:paraId="46F49E26"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21</w:t>
            </w:r>
          </w:p>
        </w:tc>
        <w:tc>
          <w:tcPr>
            <w:tcW w:w="1560" w:type="dxa"/>
            <w:shd w:val="clear" w:color="auto" w:fill="auto"/>
            <w:vAlign w:val="bottom"/>
          </w:tcPr>
          <w:p w14:paraId="3163E116"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416</w:t>
            </w:r>
          </w:p>
        </w:tc>
        <w:tc>
          <w:tcPr>
            <w:tcW w:w="850" w:type="dxa"/>
            <w:shd w:val="clear" w:color="auto" w:fill="auto"/>
            <w:vAlign w:val="bottom"/>
          </w:tcPr>
          <w:p w14:paraId="5FBED53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7</w:t>
            </w:r>
          </w:p>
        </w:tc>
        <w:tc>
          <w:tcPr>
            <w:tcW w:w="1276" w:type="dxa"/>
            <w:shd w:val="clear" w:color="auto" w:fill="auto"/>
            <w:vAlign w:val="bottom"/>
          </w:tcPr>
          <w:p w14:paraId="3705AE97"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249</w:t>
            </w:r>
          </w:p>
        </w:tc>
        <w:tc>
          <w:tcPr>
            <w:tcW w:w="1416" w:type="dxa"/>
            <w:shd w:val="clear" w:color="auto" w:fill="auto"/>
            <w:vAlign w:val="bottom"/>
          </w:tcPr>
          <w:p w14:paraId="70079F0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w:t>
            </w:r>
          </w:p>
        </w:tc>
      </w:tr>
      <w:tr w:rsidR="00FC74D2" w:rsidRPr="00C44444" w14:paraId="41C49422" w14:textId="77777777" w:rsidTr="00FC74D2">
        <w:trPr>
          <w:cantSplit/>
          <w:trHeight w:val="240"/>
        </w:trPr>
        <w:tc>
          <w:tcPr>
            <w:tcW w:w="709" w:type="dxa"/>
            <w:tcBorders>
              <w:bottom w:val="single" w:sz="12" w:space="0" w:color="auto"/>
            </w:tcBorders>
            <w:shd w:val="clear" w:color="auto" w:fill="auto"/>
          </w:tcPr>
          <w:p w14:paraId="1F361496" w14:textId="77777777" w:rsidR="00FA40F2" w:rsidRPr="00C44444" w:rsidRDefault="00807EE4" w:rsidP="00C44444">
            <w:pPr>
              <w:pStyle w:val="SingleTxtG"/>
              <w:spacing w:before="40" w:after="40" w:line="220" w:lineRule="exact"/>
              <w:ind w:left="0" w:right="0"/>
              <w:jc w:val="left"/>
              <w:rPr>
                <w:sz w:val="18"/>
                <w:lang w:val="es-ES_tradnl"/>
              </w:rPr>
            </w:pPr>
            <w:r>
              <w:rPr>
                <w:sz w:val="18"/>
                <w:lang w:val="es-ES_tradnl"/>
              </w:rPr>
              <w:t xml:space="preserve">sep. </w:t>
            </w:r>
            <w:r w:rsidR="00FA40F2" w:rsidRPr="00C44444">
              <w:rPr>
                <w:sz w:val="18"/>
                <w:lang w:val="es-ES_tradnl"/>
              </w:rPr>
              <w:t xml:space="preserve">2018 </w:t>
            </w:r>
          </w:p>
        </w:tc>
        <w:tc>
          <w:tcPr>
            <w:tcW w:w="709" w:type="dxa"/>
            <w:tcBorders>
              <w:bottom w:val="single" w:sz="12" w:space="0" w:color="auto"/>
            </w:tcBorders>
            <w:shd w:val="clear" w:color="auto" w:fill="auto"/>
            <w:vAlign w:val="bottom"/>
          </w:tcPr>
          <w:p w14:paraId="78C08F09"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10 217</w:t>
            </w:r>
          </w:p>
        </w:tc>
        <w:tc>
          <w:tcPr>
            <w:tcW w:w="850" w:type="dxa"/>
            <w:tcBorders>
              <w:bottom w:val="single" w:sz="12" w:space="0" w:color="auto"/>
            </w:tcBorders>
            <w:shd w:val="clear" w:color="auto" w:fill="auto"/>
            <w:vAlign w:val="bottom"/>
          </w:tcPr>
          <w:p w14:paraId="0E3C5697"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21</w:t>
            </w:r>
          </w:p>
        </w:tc>
        <w:tc>
          <w:tcPr>
            <w:tcW w:w="1560" w:type="dxa"/>
            <w:tcBorders>
              <w:bottom w:val="single" w:sz="12" w:space="0" w:color="auto"/>
            </w:tcBorders>
            <w:shd w:val="clear" w:color="auto" w:fill="auto"/>
            <w:vAlign w:val="bottom"/>
          </w:tcPr>
          <w:p w14:paraId="3BD29E5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346</w:t>
            </w:r>
          </w:p>
        </w:tc>
        <w:tc>
          <w:tcPr>
            <w:tcW w:w="850" w:type="dxa"/>
            <w:tcBorders>
              <w:bottom w:val="single" w:sz="12" w:space="0" w:color="auto"/>
            </w:tcBorders>
            <w:shd w:val="clear" w:color="auto" w:fill="auto"/>
            <w:vAlign w:val="bottom"/>
          </w:tcPr>
          <w:p w14:paraId="1A1083DC"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w:t>
            </w:r>
          </w:p>
        </w:tc>
        <w:tc>
          <w:tcPr>
            <w:tcW w:w="1276" w:type="dxa"/>
            <w:tcBorders>
              <w:bottom w:val="single" w:sz="12" w:space="0" w:color="auto"/>
            </w:tcBorders>
            <w:shd w:val="clear" w:color="auto" w:fill="auto"/>
            <w:vAlign w:val="bottom"/>
          </w:tcPr>
          <w:p w14:paraId="069F611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209</w:t>
            </w:r>
          </w:p>
        </w:tc>
        <w:tc>
          <w:tcPr>
            <w:tcW w:w="1416" w:type="dxa"/>
            <w:tcBorders>
              <w:bottom w:val="single" w:sz="12" w:space="0" w:color="auto"/>
            </w:tcBorders>
            <w:shd w:val="clear" w:color="auto" w:fill="auto"/>
            <w:vAlign w:val="bottom"/>
          </w:tcPr>
          <w:p w14:paraId="2B5D9FB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10</w:t>
            </w:r>
          </w:p>
        </w:tc>
      </w:tr>
    </w:tbl>
    <w:p w14:paraId="2D73AABA" w14:textId="77777777" w:rsidR="00FA40F2" w:rsidRPr="00C44444" w:rsidRDefault="00FA40F2" w:rsidP="00C44444">
      <w:pPr>
        <w:pStyle w:val="SingleTxtG"/>
        <w:spacing w:before="120"/>
        <w:ind w:firstLine="170"/>
        <w:rPr>
          <w:sz w:val="18"/>
          <w:szCs w:val="18"/>
          <w:lang w:val="es-ES_tradnl"/>
        </w:rPr>
      </w:pPr>
      <w:r w:rsidRPr="00C44444">
        <w:rPr>
          <w:i/>
          <w:iCs/>
          <w:sz w:val="18"/>
          <w:szCs w:val="18"/>
          <w:lang w:val="es-ES_tradnl"/>
        </w:rPr>
        <w:t>Fuente</w:t>
      </w:r>
      <w:r w:rsidRPr="00E27DAE">
        <w:rPr>
          <w:i/>
          <w:iCs/>
          <w:sz w:val="18"/>
          <w:szCs w:val="18"/>
          <w:lang w:val="es-ES_tradnl"/>
        </w:rPr>
        <w:t>:</w:t>
      </w:r>
      <w:r w:rsidRPr="00C44444">
        <w:rPr>
          <w:sz w:val="18"/>
          <w:szCs w:val="18"/>
          <w:lang w:val="es-ES_tradnl"/>
        </w:rPr>
        <w:t xml:space="preserve"> Oficina Económica de Macao.</w:t>
      </w:r>
    </w:p>
    <w:p w14:paraId="49697B42" w14:textId="77777777" w:rsidR="00FA40F2" w:rsidRPr="00FA40F2" w:rsidRDefault="00FA40F2" w:rsidP="00FA40F2">
      <w:pPr>
        <w:pStyle w:val="SingleTxtG"/>
        <w:rPr>
          <w:lang w:val="es-ES_tradnl"/>
        </w:rPr>
      </w:pPr>
      <w:r w:rsidRPr="00FA40F2">
        <w:rPr>
          <w:lang w:val="es-ES_tradnl"/>
        </w:rPr>
        <w:t>345.</w:t>
      </w:r>
      <w:r w:rsidRPr="00FA40F2">
        <w:rPr>
          <w:lang w:val="es-ES_tradnl"/>
        </w:rPr>
        <w:tab/>
        <w:t>En cuanto a la cooperación externa, sigue vigente el acuerdo de cooperación con la Administración Nacional de la Propiedad Intelectual. Hasta septiembre de 2018, la Oficina Económica de Macao había entregado a la Administración Nacional 1.030 solicitudes de patentes de invención y 153 solicitudes de patentes de utilidad para un examen sustantivo. Asimismo, se estableció un mecanismo adicional de cooperación para mantener actualizada la información y documentación sobre patentes.</w:t>
      </w:r>
    </w:p>
    <w:p w14:paraId="6EAA7D13" w14:textId="77777777" w:rsidR="00FA40F2" w:rsidRDefault="00FA40F2" w:rsidP="00FA40F2">
      <w:pPr>
        <w:pStyle w:val="SingleTxtG"/>
        <w:rPr>
          <w:lang w:val="es-ES_tradnl"/>
        </w:rPr>
      </w:pPr>
      <w:r w:rsidRPr="00BE6BC6">
        <w:rPr>
          <w:lang w:val="es-ES_tradnl"/>
        </w:rPr>
        <w:t>346.</w:t>
      </w:r>
      <w:r w:rsidRPr="00BE6BC6">
        <w:rPr>
          <w:lang w:val="es-ES_tradnl"/>
        </w:rPr>
        <w:tab/>
        <w:t>Cabe destacar la labor en esta esfera del Instituto de Estudios Europeos de Macao, como promotor de la Escuela de Derecho de la Propiedad Intelectual (en 2018 se celebró la</w:t>
      </w:r>
      <w:r w:rsidR="003F00B8">
        <w:rPr>
          <w:lang w:val="es-ES_tradnl"/>
        </w:rPr>
        <w:t> </w:t>
      </w:r>
      <w:r w:rsidRPr="00BE6BC6">
        <w:rPr>
          <w:lang w:val="es-ES_tradnl"/>
        </w:rPr>
        <w:t>15ª edición) y del Seminario sobre Propiedad Intelectual (en 2018 se celebró la 18ª</w:t>
      </w:r>
      <w:r w:rsidR="003F00B8">
        <w:rPr>
          <w:lang w:val="es-ES_tradnl"/>
        </w:rPr>
        <w:t> </w:t>
      </w:r>
      <w:r w:rsidRPr="00BE6BC6">
        <w:rPr>
          <w:lang w:val="es-ES_tradnl"/>
        </w:rPr>
        <w:t>edición), así como de la Academia del Delta del Río de las Perlas de Derecho Mercantil Internacional y Derecho Internacional de las Inversiones (PRAIA) (en 2018 se celebró la cuarta edición).</w:t>
      </w:r>
    </w:p>
    <w:p w14:paraId="1D8D2389" w14:textId="77777777" w:rsidR="00FA40F2" w:rsidRPr="00FA40F2" w:rsidRDefault="00FA40F2" w:rsidP="00FA40F2">
      <w:pPr>
        <w:pStyle w:val="SingleTxtG"/>
        <w:suppressAutoHyphens/>
        <w:spacing w:before="240" w:after="0"/>
        <w:jc w:val="center"/>
        <w:rPr>
          <w:u w:val="single"/>
        </w:rPr>
      </w:pPr>
      <w:r>
        <w:rPr>
          <w:u w:val="single"/>
        </w:rPr>
        <w:tab/>
      </w:r>
      <w:r>
        <w:rPr>
          <w:u w:val="single"/>
        </w:rPr>
        <w:tab/>
      </w:r>
      <w:r>
        <w:rPr>
          <w:u w:val="single"/>
        </w:rPr>
        <w:tab/>
      </w:r>
    </w:p>
    <w:sectPr w:rsidR="00FA40F2" w:rsidRPr="00FA40F2" w:rsidSect="00FA40F2">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472A4D" w14:textId="77777777" w:rsidR="00A87771" w:rsidRPr="00093664" w:rsidRDefault="00A87771" w:rsidP="00093664">
      <w:pPr>
        <w:pStyle w:val="Piedepgina"/>
      </w:pPr>
    </w:p>
  </w:endnote>
  <w:endnote w:type="continuationSeparator" w:id="0">
    <w:p w14:paraId="667E818F" w14:textId="77777777" w:rsidR="00A87771" w:rsidRPr="00093664" w:rsidRDefault="00A8777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36F05" w14:textId="77777777" w:rsidR="00A87771" w:rsidRPr="00F5461C" w:rsidRDefault="00A87771" w:rsidP="00F5461C">
    <w:pPr>
      <w:pStyle w:val="Piedepgina"/>
      <w:tabs>
        <w:tab w:val="right" w:pos="9638"/>
      </w:tabs>
    </w:pPr>
    <w:r w:rsidRPr="00F5461C">
      <w:rPr>
        <w:b/>
        <w:sz w:val="18"/>
      </w:rPr>
      <w:fldChar w:fldCharType="begin"/>
    </w:r>
    <w:r w:rsidRPr="00F5461C">
      <w:rPr>
        <w:b/>
        <w:sz w:val="18"/>
      </w:rPr>
      <w:instrText xml:space="preserve"> PAGE  \* MERGEFORMAT </w:instrText>
    </w:r>
    <w:r w:rsidRPr="00F5461C">
      <w:rPr>
        <w:b/>
        <w:sz w:val="18"/>
      </w:rPr>
      <w:fldChar w:fldCharType="separate"/>
    </w:r>
    <w:r w:rsidRPr="00F5461C">
      <w:rPr>
        <w:b/>
        <w:noProof/>
        <w:sz w:val="18"/>
      </w:rPr>
      <w:t>2</w:t>
    </w:r>
    <w:r w:rsidRPr="00F5461C">
      <w:rPr>
        <w:b/>
        <w:sz w:val="18"/>
      </w:rPr>
      <w:fldChar w:fldCharType="end"/>
    </w:r>
    <w:r>
      <w:rPr>
        <w:b/>
        <w:sz w:val="18"/>
      </w:rPr>
      <w:tab/>
    </w:r>
    <w:proofErr w:type="spellStart"/>
    <w:r>
      <w:t>GE.20</w:t>
    </w:r>
    <w:proofErr w:type="spellEnd"/>
    <w:r>
      <w:t>-10569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80D87" w14:textId="77777777" w:rsidR="00A87771" w:rsidRPr="00F5461C" w:rsidRDefault="00A87771" w:rsidP="00F5461C">
    <w:pPr>
      <w:pStyle w:val="Piedepgina"/>
      <w:tabs>
        <w:tab w:val="right" w:pos="9638"/>
      </w:tabs>
      <w:rPr>
        <w:b/>
        <w:sz w:val="18"/>
      </w:rPr>
    </w:pPr>
    <w:proofErr w:type="spellStart"/>
    <w:r>
      <w:t>GE.20</w:t>
    </w:r>
    <w:proofErr w:type="spellEnd"/>
    <w:r>
      <w:t>-10569</w:t>
    </w:r>
    <w:r>
      <w:tab/>
    </w:r>
    <w:r w:rsidRPr="00F5461C">
      <w:rPr>
        <w:b/>
        <w:sz w:val="18"/>
      </w:rPr>
      <w:fldChar w:fldCharType="begin"/>
    </w:r>
    <w:r w:rsidRPr="00F5461C">
      <w:rPr>
        <w:b/>
        <w:sz w:val="18"/>
      </w:rPr>
      <w:instrText xml:space="preserve"> PAGE  \* MERGEFORMAT </w:instrText>
    </w:r>
    <w:r w:rsidRPr="00F5461C">
      <w:rPr>
        <w:b/>
        <w:sz w:val="18"/>
      </w:rPr>
      <w:fldChar w:fldCharType="separate"/>
    </w:r>
    <w:r w:rsidRPr="00F5461C">
      <w:rPr>
        <w:b/>
        <w:noProof/>
        <w:sz w:val="18"/>
      </w:rPr>
      <w:t>3</w:t>
    </w:r>
    <w:r w:rsidRPr="00F546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3FB32" w14:textId="696BBC0D" w:rsidR="00A87771" w:rsidRPr="00F5461C" w:rsidRDefault="00A87771" w:rsidP="00F5461C">
    <w:pPr>
      <w:pStyle w:val="Piedepgina"/>
      <w:spacing w:before="120" w:line="240" w:lineRule="auto"/>
      <w:rPr>
        <w:sz w:val="20"/>
      </w:rPr>
    </w:pPr>
    <w:proofErr w:type="spellStart"/>
    <w:r>
      <w:rPr>
        <w:sz w:val="20"/>
      </w:rPr>
      <w:t>GE.</w:t>
    </w:r>
    <w:r>
      <w:rPr>
        <w:noProof/>
      </w:rPr>
      <w:drawing>
        <wp:anchor distT="0" distB="0" distL="114300" distR="114300" simplePos="0" relativeHeight="251653120" behindDoc="0" locked="1" layoutInCell="1" allowOverlap="1" wp14:anchorId="4D16FA1D" wp14:editId="0586054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10569  (</w:t>
    </w:r>
    <w:proofErr w:type="gramEnd"/>
    <w:r>
      <w:rPr>
        <w:sz w:val="20"/>
      </w:rPr>
      <w:t xml:space="preserve">S)    </w:t>
    </w:r>
    <w:r w:rsidR="001423BD">
      <w:rPr>
        <w:sz w:val="20"/>
      </w:rPr>
      <w:t>010721</w:t>
    </w:r>
    <w:r>
      <w:rPr>
        <w:sz w:val="20"/>
      </w:rPr>
      <w:t xml:space="preserve">    </w:t>
    </w:r>
    <w:r w:rsidR="00985589">
      <w:rPr>
        <w:sz w:val="20"/>
      </w:rPr>
      <w:t>010721</w:t>
    </w:r>
    <w:r>
      <w:rPr>
        <w:sz w:val="20"/>
      </w:rPr>
      <w:br/>
    </w:r>
    <w:r w:rsidRPr="00F5461C">
      <w:rPr>
        <w:rFonts w:ascii="C39T30Lfz" w:hAnsi="C39T30Lfz"/>
        <w:sz w:val="56"/>
      </w:rPr>
      <w:t>*2010569*</w:t>
    </w:r>
    <w:r>
      <w:rPr>
        <w:noProof/>
        <w:sz w:val="20"/>
      </w:rPr>
      <w:drawing>
        <wp:anchor distT="0" distB="0" distL="114300" distR="114300" simplePos="0" relativeHeight="251649024" behindDoc="0" locked="0" layoutInCell="1" allowOverlap="1" wp14:anchorId="01852700" wp14:editId="6C35D2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EBBDF" w14:textId="77777777" w:rsidR="00A87771" w:rsidRPr="00293F1F" w:rsidRDefault="00A87771" w:rsidP="00293F1F">
    <w:pPr>
      <w:pStyle w:val="Piedepgina"/>
    </w:pPr>
    <w:r>
      <w:rPr>
        <w:noProof/>
      </w:rPr>
      <mc:AlternateContent>
        <mc:Choice Requires="wps">
          <w:drawing>
            <wp:anchor distT="0" distB="0" distL="114300" distR="114300" simplePos="0" relativeHeight="251669504" behindDoc="0" locked="0" layoutInCell="1" allowOverlap="1" wp14:anchorId="39EC8396" wp14:editId="4180D959">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1999952" w14:textId="77777777" w:rsidR="00A87771" w:rsidRPr="00F5461C" w:rsidRDefault="00A87771" w:rsidP="00293F1F">
                          <w:pPr>
                            <w:pStyle w:val="Piedepgina"/>
                            <w:tabs>
                              <w:tab w:val="right" w:pos="9638"/>
                            </w:tabs>
                          </w:pP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34</w:t>
                          </w:r>
                          <w:r w:rsidRPr="00F5461C">
                            <w:rPr>
                              <w:b/>
                              <w:sz w:val="18"/>
                            </w:rPr>
                            <w:fldChar w:fldCharType="end"/>
                          </w:r>
                          <w:r>
                            <w:rPr>
                              <w:b/>
                              <w:sz w:val="18"/>
                            </w:rPr>
                            <w:tab/>
                          </w:r>
                          <w:r>
                            <w:t>GE.20-10569</w:t>
                          </w:r>
                        </w:p>
                        <w:p w14:paraId="2C9BCD03"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9EC8396"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950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71999952" w14:textId="77777777" w:rsidR="00A87771" w:rsidRPr="00F5461C" w:rsidRDefault="00A87771" w:rsidP="00293F1F">
                    <w:pPr>
                      <w:pStyle w:val="Piedepgina"/>
                      <w:tabs>
                        <w:tab w:val="right" w:pos="9638"/>
                      </w:tabs>
                    </w:pP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34</w:t>
                    </w:r>
                    <w:r w:rsidRPr="00F5461C">
                      <w:rPr>
                        <w:b/>
                        <w:sz w:val="18"/>
                      </w:rPr>
                      <w:fldChar w:fldCharType="end"/>
                    </w:r>
                    <w:r>
                      <w:rPr>
                        <w:b/>
                        <w:sz w:val="18"/>
                      </w:rPr>
                      <w:tab/>
                    </w:r>
                    <w:r>
                      <w:t>GE.20-10569</w:t>
                    </w:r>
                  </w:p>
                  <w:p w14:paraId="2C9BCD03" w14:textId="77777777" w:rsidR="00A87771" w:rsidRDefault="00A8777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CE9F3" w14:textId="77777777" w:rsidR="00A87771" w:rsidRPr="00293F1F" w:rsidRDefault="00A87771" w:rsidP="00293F1F">
    <w:pPr>
      <w:pStyle w:val="Piedepgina"/>
    </w:pPr>
    <w:r>
      <w:rPr>
        <w:noProof/>
      </w:rPr>
      <mc:AlternateContent>
        <mc:Choice Requires="wps">
          <w:drawing>
            <wp:anchor distT="0" distB="0" distL="114300" distR="114300" simplePos="0" relativeHeight="251661312" behindDoc="0" locked="0" layoutInCell="1" allowOverlap="1" wp14:anchorId="071F0C98" wp14:editId="4D32CDDA">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359C26A" w14:textId="77777777" w:rsidR="00A87771" w:rsidRPr="00F5461C" w:rsidRDefault="00A87771" w:rsidP="00293F1F">
                          <w:pPr>
                            <w:pStyle w:val="Piedepgina"/>
                            <w:tabs>
                              <w:tab w:val="right" w:pos="9638"/>
                            </w:tabs>
                            <w:rPr>
                              <w:b/>
                              <w:sz w:val="18"/>
                            </w:rPr>
                          </w:pPr>
                          <w:r>
                            <w:t>GE.20-10569</w:t>
                          </w:r>
                          <w:r>
                            <w:tab/>
                          </w: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33</w:t>
                          </w:r>
                          <w:r w:rsidRPr="00F5461C">
                            <w:rPr>
                              <w:b/>
                              <w:sz w:val="18"/>
                            </w:rPr>
                            <w:fldChar w:fldCharType="end"/>
                          </w:r>
                        </w:p>
                        <w:p w14:paraId="05843FF1"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1F0C98"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6359C26A" w14:textId="77777777" w:rsidR="00A87771" w:rsidRPr="00F5461C" w:rsidRDefault="00A87771" w:rsidP="00293F1F">
                    <w:pPr>
                      <w:pStyle w:val="Piedepgina"/>
                      <w:tabs>
                        <w:tab w:val="right" w:pos="9638"/>
                      </w:tabs>
                      <w:rPr>
                        <w:b/>
                        <w:sz w:val="18"/>
                      </w:rPr>
                    </w:pPr>
                    <w:r>
                      <w:t>GE.20-10569</w:t>
                    </w:r>
                    <w:r>
                      <w:tab/>
                    </w: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33</w:t>
                    </w:r>
                    <w:r w:rsidRPr="00F5461C">
                      <w:rPr>
                        <w:b/>
                        <w:sz w:val="18"/>
                      </w:rPr>
                      <w:fldChar w:fldCharType="end"/>
                    </w:r>
                  </w:p>
                  <w:p w14:paraId="05843FF1" w14:textId="77777777" w:rsidR="00A87771" w:rsidRDefault="00A8777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5F4E6" w14:textId="77777777" w:rsidR="00A87771" w:rsidRPr="00FA40F2" w:rsidRDefault="00A87771" w:rsidP="00FA40F2">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34</w:t>
    </w:r>
    <w:r>
      <w:rPr>
        <w:b/>
        <w:sz w:val="18"/>
      </w:rPr>
      <w:fldChar w:fldCharType="end"/>
    </w:r>
    <w:r>
      <w:rPr>
        <w:b/>
        <w:sz w:val="18"/>
      </w:rPr>
      <w:tab/>
    </w:r>
    <w:proofErr w:type="spellStart"/>
    <w:r w:rsidRPr="00FA40F2">
      <w:t>GE.20</w:t>
    </w:r>
    <w:proofErr w:type="spellEnd"/>
    <w:r w:rsidRPr="00FA40F2">
      <w:t>-10569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68BC8" w14:textId="77777777" w:rsidR="00A87771" w:rsidRPr="00FA40F2" w:rsidRDefault="00A87771" w:rsidP="00FA40F2">
    <w:pPr>
      <w:pStyle w:val="Piedepgina"/>
      <w:tabs>
        <w:tab w:val="right" w:pos="9638"/>
      </w:tabs>
      <w:rPr>
        <w:b/>
        <w:sz w:val="18"/>
      </w:rPr>
    </w:pPr>
    <w:proofErr w:type="spellStart"/>
    <w:r>
      <w:t>GE.</w:t>
    </w:r>
    <w:r w:rsidRPr="00FA40F2">
      <w:t>20</w:t>
    </w:r>
    <w:proofErr w:type="spellEnd"/>
    <w:r>
      <w:t>-</w:t>
    </w:r>
    <w:r w:rsidRPr="00FA40F2">
      <w:t>10569</w:t>
    </w:r>
    <w:r>
      <w:tab/>
    </w:r>
    <w:r>
      <w:rPr>
        <w:b/>
        <w:sz w:val="18"/>
      </w:rPr>
      <w:fldChar w:fldCharType="begin"/>
    </w:r>
    <w:r>
      <w:rPr>
        <w:b/>
        <w:sz w:val="18"/>
      </w:rPr>
      <w:instrText xml:space="preserve"> PAGE  \* MERGEFORMAT </w:instrText>
    </w:r>
    <w:r>
      <w:rPr>
        <w:b/>
        <w:sz w:val="18"/>
      </w:rPr>
      <w:fldChar w:fldCharType="separate"/>
    </w:r>
    <w:r>
      <w:rPr>
        <w:b/>
        <w:noProof/>
        <w:sz w:val="18"/>
      </w:rPr>
      <w:t>33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2B32F" w14:textId="77777777" w:rsidR="00A87771" w:rsidRPr="001075E9" w:rsidRDefault="00A87771" w:rsidP="001075E9">
      <w:pPr>
        <w:tabs>
          <w:tab w:val="right" w:pos="2155"/>
        </w:tabs>
        <w:spacing w:after="80" w:line="240" w:lineRule="auto"/>
        <w:ind w:left="680"/>
        <w:rPr>
          <w:u w:val="single"/>
        </w:rPr>
      </w:pPr>
      <w:r>
        <w:rPr>
          <w:u w:val="single"/>
        </w:rPr>
        <w:tab/>
      </w:r>
    </w:p>
  </w:footnote>
  <w:footnote w:type="continuationSeparator" w:id="0">
    <w:p w14:paraId="1532BCEA" w14:textId="77777777" w:rsidR="00A87771" w:rsidRDefault="00A87771" w:rsidP="00093664">
      <w:pPr>
        <w:tabs>
          <w:tab w:val="right" w:pos="2155"/>
        </w:tabs>
        <w:spacing w:after="80" w:line="240" w:lineRule="auto"/>
        <w:ind w:left="680"/>
        <w:rPr>
          <w:u w:val="single"/>
        </w:rPr>
      </w:pPr>
      <w:r>
        <w:rPr>
          <w:u w:val="single"/>
        </w:rPr>
        <w:tab/>
      </w:r>
    </w:p>
  </w:footnote>
  <w:footnote w:id="1">
    <w:p w14:paraId="3AA89C74" w14:textId="77777777" w:rsidR="00985589" w:rsidRPr="00F5461C" w:rsidRDefault="00985589" w:rsidP="00985589">
      <w:pPr>
        <w:pStyle w:val="Textonotapie"/>
        <w:rPr>
          <w:sz w:val="20"/>
        </w:rPr>
      </w:pPr>
      <w:r>
        <w:tab/>
      </w:r>
      <w:r w:rsidRPr="00F5461C">
        <w:rPr>
          <w:rStyle w:val="Refdenotaalpie"/>
          <w:sz w:val="20"/>
          <w:vertAlign w:val="baseline"/>
        </w:rPr>
        <w:t>*</w:t>
      </w:r>
      <w:r w:rsidRPr="00F5461C">
        <w:rPr>
          <w:rStyle w:val="Refdenotaalpie"/>
          <w:vertAlign w:val="baseline"/>
        </w:rPr>
        <w:tab/>
      </w:r>
      <w:r w:rsidRPr="00985589">
        <w:t>Publicado nuevamente por razones técnicas el 1 de julio de 2021.</w:t>
      </w:r>
    </w:p>
  </w:footnote>
  <w:footnote w:id="2">
    <w:p w14:paraId="4F99B988" w14:textId="74EADC17" w:rsidR="00A87771" w:rsidRPr="00F5461C" w:rsidRDefault="00A87771" w:rsidP="00F5461C">
      <w:pPr>
        <w:pStyle w:val="Textonotapie"/>
        <w:rPr>
          <w:sz w:val="20"/>
        </w:rPr>
      </w:pPr>
      <w:r>
        <w:tab/>
      </w:r>
      <w:r w:rsidRPr="00F5461C">
        <w:rPr>
          <w:rStyle w:val="Refdenotaalpie"/>
          <w:sz w:val="20"/>
          <w:vertAlign w:val="baseline"/>
        </w:rPr>
        <w:t>**</w:t>
      </w:r>
      <w:r w:rsidRPr="00F5461C">
        <w:rPr>
          <w:rStyle w:val="Refdenotaalpie"/>
          <w:vertAlign w:val="baseline"/>
        </w:rPr>
        <w:tab/>
      </w:r>
      <w:r w:rsidR="00985589" w:rsidRPr="00F5461C">
        <w:t>La versión original del presente documento no fue objeto de revisión editorial oficial.</w:t>
      </w:r>
    </w:p>
  </w:footnote>
  <w:footnote w:id="3">
    <w:p w14:paraId="03F66BE9" w14:textId="7FAD53B7" w:rsidR="00985589" w:rsidRPr="00985589" w:rsidRDefault="00985589">
      <w:pPr>
        <w:pStyle w:val="Textonotapie"/>
        <w:rPr>
          <w:sz w:val="20"/>
        </w:rPr>
      </w:pPr>
      <w:r>
        <w:tab/>
      </w:r>
      <w:r w:rsidRPr="00985589">
        <w:rPr>
          <w:rStyle w:val="Refdenotaalpie"/>
          <w:sz w:val="20"/>
          <w:vertAlign w:val="baseline"/>
        </w:rPr>
        <w:t>***</w:t>
      </w:r>
      <w:r w:rsidRPr="00985589">
        <w:rPr>
          <w:rStyle w:val="Refdenotaalpie"/>
          <w:vertAlign w:val="baseline"/>
        </w:rPr>
        <w:tab/>
      </w:r>
      <w:r w:rsidRPr="00F5461C">
        <w:t>El presente documento forma parte del informe presentado por China (E/C.12/CHN/3), que también incluye el informe de Hong Kong, China (E/C.12/CHN-HKG/4).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BC8B6" w14:textId="28ADB92B" w:rsidR="00A87771" w:rsidRPr="00F5461C" w:rsidRDefault="004A5481">
    <w:pPr>
      <w:pStyle w:val="Encabezado"/>
    </w:pPr>
    <w:r>
      <w:fldChar w:fldCharType="begin"/>
    </w:r>
    <w:r>
      <w:instrText xml:space="preserve"> TITLE  \* MERGEFORMAT </w:instrText>
    </w:r>
    <w:r>
      <w:fldChar w:fldCharType="separate"/>
    </w:r>
    <w:r w:rsidR="00F51818">
      <w:t>E/</w:t>
    </w:r>
    <w:proofErr w:type="spellStart"/>
    <w:r w:rsidR="00F51818">
      <w:t>C.12</w:t>
    </w:r>
    <w:proofErr w:type="spellEnd"/>
    <w:r w:rsidR="00F51818">
      <w:t>/</w:t>
    </w:r>
    <w:proofErr w:type="spellStart"/>
    <w:r w:rsidR="00F51818">
      <w:t>CHN</w:t>
    </w:r>
    <w:proofErr w:type="spellEnd"/>
    <w:r w:rsidR="00F51818">
      <w:t>-MAC/3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877B91" w14:textId="05E7EFEF" w:rsidR="00A87771" w:rsidRPr="00F5461C" w:rsidRDefault="004A5481" w:rsidP="00F5461C">
    <w:pPr>
      <w:pStyle w:val="Encabezado"/>
      <w:jc w:val="right"/>
    </w:pPr>
    <w:r>
      <w:fldChar w:fldCharType="begin"/>
    </w:r>
    <w:r>
      <w:instrText xml:space="preserve"> TITLE  \* MERGEFORMAT </w:instrText>
    </w:r>
    <w:r>
      <w:fldChar w:fldCharType="separate"/>
    </w:r>
    <w:r w:rsidR="00F51818">
      <w:t>E/</w:t>
    </w:r>
    <w:proofErr w:type="spellStart"/>
    <w:r w:rsidR="00F51818">
      <w:t>C.12</w:t>
    </w:r>
    <w:proofErr w:type="spellEnd"/>
    <w:r w:rsidR="00F51818">
      <w:t>/</w:t>
    </w:r>
    <w:proofErr w:type="spellStart"/>
    <w:r w:rsidR="00F51818">
      <w:t>CHN</w:t>
    </w:r>
    <w:proofErr w:type="spellEnd"/>
    <w:r w:rsidR="00F51818">
      <w:t>-MAC/3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3B64E" w14:textId="77777777" w:rsidR="00A87771" w:rsidRPr="00293F1F" w:rsidRDefault="00A87771" w:rsidP="00293F1F">
    <w:r>
      <w:rPr>
        <w:noProof/>
      </w:rPr>
      <mc:AlternateContent>
        <mc:Choice Requires="wps">
          <w:drawing>
            <wp:anchor distT="0" distB="0" distL="114300" distR="114300" simplePos="0" relativeHeight="251665408" behindDoc="0" locked="0" layoutInCell="1" allowOverlap="1" wp14:anchorId="67EA13E8" wp14:editId="1A0AA50B">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C53EE79" w14:textId="3DDEBF63" w:rsidR="00A87771" w:rsidRPr="00F5461C" w:rsidRDefault="00E02B47" w:rsidP="00293F1F">
                          <w:pPr>
                            <w:pStyle w:val="Encabezado"/>
                          </w:pPr>
                          <w:fldSimple w:instr=" TITLE  \* MERGEFORMAT ">
                            <w:r w:rsidR="00F51818">
                              <w:t>E/C.12/CHN-MAC/3</w:t>
                            </w:r>
                          </w:fldSimple>
                        </w:p>
                        <w:p w14:paraId="6AF098D5"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7EA13E8"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6C53EE79" w14:textId="3DDEBF63" w:rsidR="00A87771" w:rsidRPr="00F5461C" w:rsidRDefault="00E02B47" w:rsidP="00293F1F">
                    <w:pPr>
                      <w:pStyle w:val="Encabezado"/>
                    </w:pPr>
                    <w:fldSimple w:instr=" TITLE  \* MERGEFORMAT ">
                      <w:r w:rsidR="00F51818">
                        <w:t>E/C.12/CHN-MAC/3</w:t>
                      </w:r>
                    </w:fldSimple>
                  </w:p>
                  <w:p w14:paraId="6AF098D5" w14:textId="77777777" w:rsidR="00A87771" w:rsidRDefault="00A8777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8F868" w14:textId="77777777" w:rsidR="00A87771" w:rsidRPr="00293F1F" w:rsidRDefault="00A87771" w:rsidP="00293F1F">
    <w:r>
      <w:rPr>
        <w:noProof/>
      </w:rPr>
      <mc:AlternateContent>
        <mc:Choice Requires="wps">
          <w:drawing>
            <wp:anchor distT="0" distB="0" distL="114300" distR="114300" simplePos="0" relativeHeight="251657216" behindDoc="0" locked="0" layoutInCell="1" allowOverlap="1" wp14:anchorId="256A50D8" wp14:editId="7AAC2AA2">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230329" w14:textId="1729C560" w:rsidR="00A87771" w:rsidRPr="00F5461C" w:rsidRDefault="00E02B47" w:rsidP="00293F1F">
                          <w:pPr>
                            <w:pStyle w:val="Encabezado"/>
                            <w:jc w:val="right"/>
                          </w:pPr>
                          <w:fldSimple w:instr=" TITLE  \* MERGEFORMAT ">
                            <w:r w:rsidR="00F51818">
                              <w:t>E/C.12/CHN-MAC/3</w:t>
                            </w:r>
                          </w:fldSimple>
                        </w:p>
                        <w:p w14:paraId="573CEE18"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6A50D8"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21230329" w14:textId="1729C560" w:rsidR="00A87771" w:rsidRPr="00F5461C" w:rsidRDefault="00E02B47" w:rsidP="00293F1F">
                    <w:pPr>
                      <w:pStyle w:val="Encabezado"/>
                      <w:jc w:val="right"/>
                    </w:pPr>
                    <w:fldSimple w:instr=" TITLE  \* MERGEFORMAT ">
                      <w:r w:rsidR="00F51818">
                        <w:t>E/C.12/CHN-MAC/3</w:t>
                      </w:r>
                    </w:fldSimple>
                  </w:p>
                  <w:p w14:paraId="573CEE18" w14:textId="77777777" w:rsidR="00A87771" w:rsidRDefault="00A8777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DD555" w14:textId="5D8DA5C6" w:rsidR="00A87771" w:rsidRPr="00FA40F2" w:rsidRDefault="004A5481" w:rsidP="00FA40F2">
    <w:pPr>
      <w:pStyle w:val="Encabezado"/>
    </w:pPr>
    <w:r>
      <w:fldChar w:fldCharType="begin"/>
    </w:r>
    <w:r>
      <w:instrText xml:space="preserve"> TITLE  \* MERGEFORMAT </w:instrText>
    </w:r>
    <w:r>
      <w:fldChar w:fldCharType="separate"/>
    </w:r>
    <w:r w:rsidR="00F51818">
      <w:t>E/</w:t>
    </w:r>
    <w:proofErr w:type="spellStart"/>
    <w:r w:rsidR="00F51818">
      <w:t>C.12</w:t>
    </w:r>
    <w:proofErr w:type="spellEnd"/>
    <w:r w:rsidR="00F51818">
      <w:t>/</w:t>
    </w:r>
    <w:proofErr w:type="spellStart"/>
    <w:r w:rsidR="00F51818">
      <w:t>CHN</w:t>
    </w:r>
    <w:proofErr w:type="spellEnd"/>
    <w:r w:rsidR="00F51818">
      <w:t>-MAC/3</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7C539" w14:textId="6E957061" w:rsidR="00A87771" w:rsidRPr="00FA40F2" w:rsidRDefault="004A5481" w:rsidP="00FA40F2">
    <w:pPr>
      <w:pStyle w:val="Encabezado"/>
      <w:jc w:val="right"/>
    </w:pPr>
    <w:r>
      <w:fldChar w:fldCharType="begin"/>
    </w:r>
    <w:r>
      <w:instrText xml:space="preserve"> TITLE  \* MERGEFORMAT </w:instrText>
    </w:r>
    <w:r>
      <w:fldChar w:fldCharType="separate"/>
    </w:r>
    <w:r w:rsidR="00F51818">
      <w:t>E/</w:t>
    </w:r>
    <w:proofErr w:type="spellStart"/>
    <w:r w:rsidR="00F51818">
      <w:t>C.12</w:t>
    </w:r>
    <w:proofErr w:type="spellEnd"/>
    <w:r w:rsidR="00F51818">
      <w:t>/</w:t>
    </w:r>
    <w:proofErr w:type="spellStart"/>
    <w:r w:rsidR="00F51818">
      <w:t>CHN</w:t>
    </w:r>
    <w:proofErr w:type="spellEnd"/>
    <w:r w:rsidR="00F51818">
      <w:t>-MAC/3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65B"/>
    <w:rsid w:val="0000117B"/>
    <w:rsid w:val="00010F3B"/>
    <w:rsid w:val="000125BE"/>
    <w:rsid w:val="00015FB5"/>
    <w:rsid w:val="00027F3E"/>
    <w:rsid w:val="0003154D"/>
    <w:rsid w:val="00032D03"/>
    <w:rsid w:val="000462BE"/>
    <w:rsid w:val="000567BD"/>
    <w:rsid w:val="00060246"/>
    <w:rsid w:val="00064DE3"/>
    <w:rsid w:val="00076059"/>
    <w:rsid w:val="00085670"/>
    <w:rsid w:val="0008650D"/>
    <w:rsid w:val="00093664"/>
    <w:rsid w:val="000A57BC"/>
    <w:rsid w:val="000A6373"/>
    <w:rsid w:val="000B4CD2"/>
    <w:rsid w:val="000B57E7"/>
    <w:rsid w:val="000D359E"/>
    <w:rsid w:val="000E0862"/>
    <w:rsid w:val="000F09DF"/>
    <w:rsid w:val="000F2D36"/>
    <w:rsid w:val="000F61B2"/>
    <w:rsid w:val="001075E9"/>
    <w:rsid w:val="001109B7"/>
    <w:rsid w:val="001423BD"/>
    <w:rsid w:val="00143FE5"/>
    <w:rsid w:val="00146AB4"/>
    <w:rsid w:val="001501C8"/>
    <w:rsid w:val="0016237D"/>
    <w:rsid w:val="00165BC8"/>
    <w:rsid w:val="00167C78"/>
    <w:rsid w:val="00175367"/>
    <w:rsid w:val="00180183"/>
    <w:rsid w:val="00184E0C"/>
    <w:rsid w:val="00191DE1"/>
    <w:rsid w:val="00196389"/>
    <w:rsid w:val="001C7A89"/>
    <w:rsid w:val="001D109A"/>
    <w:rsid w:val="001F3EC3"/>
    <w:rsid w:val="00205748"/>
    <w:rsid w:val="002118A4"/>
    <w:rsid w:val="00223321"/>
    <w:rsid w:val="00232124"/>
    <w:rsid w:val="002661E1"/>
    <w:rsid w:val="00283D1B"/>
    <w:rsid w:val="002913A6"/>
    <w:rsid w:val="00292F3E"/>
    <w:rsid w:val="00293F1F"/>
    <w:rsid w:val="002967E3"/>
    <w:rsid w:val="002A2EFC"/>
    <w:rsid w:val="002D16F0"/>
    <w:rsid w:val="002D5AAC"/>
    <w:rsid w:val="002E3A7E"/>
    <w:rsid w:val="002F4DE8"/>
    <w:rsid w:val="00301299"/>
    <w:rsid w:val="00313431"/>
    <w:rsid w:val="0032134A"/>
    <w:rsid w:val="00322004"/>
    <w:rsid w:val="0032798F"/>
    <w:rsid w:val="003300D6"/>
    <w:rsid w:val="00336F2F"/>
    <w:rsid w:val="00337444"/>
    <w:rsid w:val="003402C2"/>
    <w:rsid w:val="003538EB"/>
    <w:rsid w:val="0035511D"/>
    <w:rsid w:val="00355413"/>
    <w:rsid w:val="00381C24"/>
    <w:rsid w:val="00390E39"/>
    <w:rsid w:val="003958D0"/>
    <w:rsid w:val="003B2689"/>
    <w:rsid w:val="003C50CB"/>
    <w:rsid w:val="003D064D"/>
    <w:rsid w:val="003D41E5"/>
    <w:rsid w:val="003F00B8"/>
    <w:rsid w:val="0041031F"/>
    <w:rsid w:val="00434E1A"/>
    <w:rsid w:val="00454E07"/>
    <w:rsid w:val="00457886"/>
    <w:rsid w:val="004920D5"/>
    <w:rsid w:val="004A04F9"/>
    <w:rsid w:val="004A5481"/>
    <w:rsid w:val="004B19F2"/>
    <w:rsid w:val="004C528E"/>
    <w:rsid w:val="004E761B"/>
    <w:rsid w:val="004F3109"/>
    <w:rsid w:val="0050108D"/>
    <w:rsid w:val="005016AF"/>
    <w:rsid w:val="00505CB1"/>
    <w:rsid w:val="005076AF"/>
    <w:rsid w:val="0052159C"/>
    <w:rsid w:val="00562673"/>
    <w:rsid w:val="00572E19"/>
    <w:rsid w:val="005826D9"/>
    <w:rsid w:val="00592BB2"/>
    <w:rsid w:val="005A1ED4"/>
    <w:rsid w:val="005B6D39"/>
    <w:rsid w:val="005D4220"/>
    <w:rsid w:val="005F0B42"/>
    <w:rsid w:val="005F61D4"/>
    <w:rsid w:val="00607429"/>
    <w:rsid w:val="0061565B"/>
    <w:rsid w:val="006228F4"/>
    <w:rsid w:val="00623DB1"/>
    <w:rsid w:val="00636933"/>
    <w:rsid w:val="00637565"/>
    <w:rsid w:val="006400FD"/>
    <w:rsid w:val="0064421C"/>
    <w:rsid w:val="00645660"/>
    <w:rsid w:val="006626AF"/>
    <w:rsid w:val="0067517D"/>
    <w:rsid w:val="006A33C1"/>
    <w:rsid w:val="006D543E"/>
    <w:rsid w:val="006D7D82"/>
    <w:rsid w:val="006E1E18"/>
    <w:rsid w:val="006E27AD"/>
    <w:rsid w:val="006F35EE"/>
    <w:rsid w:val="00710CF8"/>
    <w:rsid w:val="00716C6F"/>
    <w:rsid w:val="00722610"/>
    <w:rsid w:val="007464CC"/>
    <w:rsid w:val="007465EE"/>
    <w:rsid w:val="0078739B"/>
    <w:rsid w:val="007A1DE3"/>
    <w:rsid w:val="007A6F09"/>
    <w:rsid w:val="007D3692"/>
    <w:rsid w:val="007D6339"/>
    <w:rsid w:val="007F2B52"/>
    <w:rsid w:val="00801459"/>
    <w:rsid w:val="00802199"/>
    <w:rsid w:val="00807EE4"/>
    <w:rsid w:val="00813C73"/>
    <w:rsid w:val="00814380"/>
    <w:rsid w:val="00817F1F"/>
    <w:rsid w:val="00820737"/>
    <w:rsid w:val="00830923"/>
    <w:rsid w:val="0083304B"/>
    <w:rsid w:val="00834B71"/>
    <w:rsid w:val="008603C8"/>
    <w:rsid w:val="0086445C"/>
    <w:rsid w:val="00866E43"/>
    <w:rsid w:val="00870AAE"/>
    <w:rsid w:val="00873716"/>
    <w:rsid w:val="008979B5"/>
    <w:rsid w:val="008A08D7"/>
    <w:rsid w:val="00906890"/>
    <w:rsid w:val="009179A3"/>
    <w:rsid w:val="00951972"/>
    <w:rsid w:val="00957EEB"/>
    <w:rsid w:val="00985589"/>
    <w:rsid w:val="00987051"/>
    <w:rsid w:val="009A4752"/>
    <w:rsid w:val="009B789A"/>
    <w:rsid w:val="009C7073"/>
    <w:rsid w:val="009D19E6"/>
    <w:rsid w:val="009E75BB"/>
    <w:rsid w:val="009E78C4"/>
    <w:rsid w:val="009F379F"/>
    <w:rsid w:val="00A00CB2"/>
    <w:rsid w:val="00A12327"/>
    <w:rsid w:val="00A30C12"/>
    <w:rsid w:val="00A500CE"/>
    <w:rsid w:val="00A568F6"/>
    <w:rsid w:val="00A645FF"/>
    <w:rsid w:val="00A86982"/>
    <w:rsid w:val="00A87771"/>
    <w:rsid w:val="00A917B3"/>
    <w:rsid w:val="00AA5513"/>
    <w:rsid w:val="00AB20A1"/>
    <w:rsid w:val="00AB4B51"/>
    <w:rsid w:val="00AB4EB2"/>
    <w:rsid w:val="00AC2200"/>
    <w:rsid w:val="00AC58DC"/>
    <w:rsid w:val="00AE2F52"/>
    <w:rsid w:val="00AE55C2"/>
    <w:rsid w:val="00AF0918"/>
    <w:rsid w:val="00B05775"/>
    <w:rsid w:val="00B10CC7"/>
    <w:rsid w:val="00B13173"/>
    <w:rsid w:val="00B16B9D"/>
    <w:rsid w:val="00B30E6D"/>
    <w:rsid w:val="00B62458"/>
    <w:rsid w:val="00B6350A"/>
    <w:rsid w:val="00B73C77"/>
    <w:rsid w:val="00B771DD"/>
    <w:rsid w:val="00B97CE9"/>
    <w:rsid w:val="00BB18F5"/>
    <w:rsid w:val="00BC161C"/>
    <w:rsid w:val="00BD33EE"/>
    <w:rsid w:val="00BD4EC5"/>
    <w:rsid w:val="00C005AF"/>
    <w:rsid w:val="00C03DD4"/>
    <w:rsid w:val="00C14200"/>
    <w:rsid w:val="00C30D95"/>
    <w:rsid w:val="00C36F77"/>
    <w:rsid w:val="00C377E3"/>
    <w:rsid w:val="00C44444"/>
    <w:rsid w:val="00C50B29"/>
    <w:rsid w:val="00C51DD5"/>
    <w:rsid w:val="00C56425"/>
    <w:rsid w:val="00C60F0C"/>
    <w:rsid w:val="00C805C9"/>
    <w:rsid w:val="00CA1679"/>
    <w:rsid w:val="00CA6833"/>
    <w:rsid w:val="00CD5DAA"/>
    <w:rsid w:val="00CE34F5"/>
    <w:rsid w:val="00D270A8"/>
    <w:rsid w:val="00D32DE0"/>
    <w:rsid w:val="00D353FA"/>
    <w:rsid w:val="00D5361F"/>
    <w:rsid w:val="00D5624F"/>
    <w:rsid w:val="00D738F9"/>
    <w:rsid w:val="00D759B3"/>
    <w:rsid w:val="00D90138"/>
    <w:rsid w:val="00D941BF"/>
    <w:rsid w:val="00D95F52"/>
    <w:rsid w:val="00D97076"/>
    <w:rsid w:val="00DA2DDF"/>
    <w:rsid w:val="00DB0705"/>
    <w:rsid w:val="00DC1D76"/>
    <w:rsid w:val="00DC6544"/>
    <w:rsid w:val="00DD05AA"/>
    <w:rsid w:val="00DD0AFC"/>
    <w:rsid w:val="00DD371E"/>
    <w:rsid w:val="00DF727C"/>
    <w:rsid w:val="00E02B47"/>
    <w:rsid w:val="00E0390E"/>
    <w:rsid w:val="00E1697D"/>
    <w:rsid w:val="00E27276"/>
    <w:rsid w:val="00E27DAE"/>
    <w:rsid w:val="00E3587C"/>
    <w:rsid w:val="00E7317F"/>
    <w:rsid w:val="00E73F76"/>
    <w:rsid w:val="00E83A01"/>
    <w:rsid w:val="00EA119B"/>
    <w:rsid w:val="00EB5C81"/>
    <w:rsid w:val="00EC7C2D"/>
    <w:rsid w:val="00ED1E37"/>
    <w:rsid w:val="00EF1360"/>
    <w:rsid w:val="00EF3220"/>
    <w:rsid w:val="00F17903"/>
    <w:rsid w:val="00F17A47"/>
    <w:rsid w:val="00F21905"/>
    <w:rsid w:val="00F2199D"/>
    <w:rsid w:val="00F33585"/>
    <w:rsid w:val="00F51818"/>
    <w:rsid w:val="00F54240"/>
    <w:rsid w:val="00F5461C"/>
    <w:rsid w:val="00FA40F2"/>
    <w:rsid w:val="00FB15AB"/>
    <w:rsid w:val="00FB29E2"/>
    <w:rsid w:val="00FB6CD8"/>
    <w:rsid w:val="00FC74D2"/>
    <w:rsid w:val="00FD2EF7"/>
    <w:rsid w:val="00FE08AE"/>
    <w:rsid w:val="00FF71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32E2B96"/>
  <w15:docId w15:val="{1A8F6C66-1FAA-44B5-896E-FBE8B465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F5461C"/>
    <w:rPr>
      <w:b/>
      <w:bCs/>
      <w:i/>
      <w:iCs/>
      <w:color w:val="4F81BD"/>
    </w:rPr>
  </w:style>
  <w:style w:type="paragraph" w:styleId="Citadestacada">
    <w:name w:val="Intense Quote"/>
    <w:basedOn w:val="Normal"/>
    <w:next w:val="Normal"/>
    <w:link w:val="CitadestacadaCar"/>
    <w:uiPriority w:val="30"/>
    <w:semiHidden/>
    <w:rsid w:val="00F5461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5461C"/>
    <w:rPr>
      <w:b/>
      <w:bCs/>
      <w:i/>
      <w:iCs/>
      <w:color w:val="4F81BD"/>
      <w:lang w:val="es-ES" w:eastAsia="es-ES"/>
    </w:rPr>
  </w:style>
  <w:style w:type="character" w:customStyle="1" w:styleId="Ttulo1Car">
    <w:name w:val="Título 1 Car"/>
    <w:aliases w:val="Table_G Car,Cuadro_G Car"/>
    <w:basedOn w:val="Fuentedeprrafopredeter"/>
    <w:link w:val="Ttulo1"/>
    <w:rsid w:val="00F5461C"/>
    <w:rPr>
      <w:rFonts w:cs="Arial"/>
      <w:bCs/>
      <w:szCs w:val="32"/>
      <w:lang w:val="es-ES" w:eastAsia="es-ES"/>
    </w:rPr>
  </w:style>
  <w:style w:type="character" w:customStyle="1" w:styleId="EncabezadoCar">
    <w:name w:val="Encabezado Car"/>
    <w:aliases w:val="6_G Car"/>
    <w:basedOn w:val="Fuentedeprrafopredeter"/>
    <w:link w:val="Encabezado"/>
    <w:rsid w:val="00F5461C"/>
    <w:rPr>
      <w:b/>
      <w:sz w:val="18"/>
      <w:lang w:val="es-ES" w:eastAsia="es-ES"/>
    </w:rPr>
  </w:style>
  <w:style w:type="character" w:customStyle="1" w:styleId="PiedepginaCar">
    <w:name w:val="Pie de página Car"/>
    <w:aliases w:val="3_G Car"/>
    <w:basedOn w:val="Fuentedeprrafopredeter"/>
    <w:link w:val="Piedepgina"/>
    <w:rsid w:val="00F5461C"/>
    <w:rPr>
      <w:sz w:val="16"/>
      <w:lang w:val="es-ES" w:eastAsia="es-ES"/>
    </w:rPr>
  </w:style>
  <w:style w:type="character" w:customStyle="1" w:styleId="CierreCar">
    <w:name w:val="Cierre Car"/>
    <w:basedOn w:val="Fuentedeprrafopredeter"/>
    <w:link w:val="Cierre"/>
    <w:semiHidden/>
    <w:rsid w:val="00F5461C"/>
    <w:rPr>
      <w:lang w:val="es-ES" w:eastAsia="es-ES"/>
    </w:rPr>
  </w:style>
  <w:style w:type="character" w:customStyle="1" w:styleId="TextonotapieCar">
    <w:name w:val="Texto nota pie Car"/>
    <w:aliases w:val="5_G Car"/>
    <w:basedOn w:val="Fuentedeprrafopredeter"/>
    <w:link w:val="Textonotapie"/>
    <w:rsid w:val="00F5461C"/>
    <w:rPr>
      <w:sz w:val="18"/>
      <w:lang w:val="es-ES" w:eastAsia="es-ES"/>
    </w:rPr>
  </w:style>
  <w:style w:type="character" w:customStyle="1" w:styleId="TextonotaalfinalCar">
    <w:name w:val="Texto nota al final Car"/>
    <w:aliases w:val="2_G Car"/>
    <w:basedOn w:val="Fuentedeprrafopredeter"/>
    <w:link w:val="Textonotaalfinal"/>
    <w:rsid w:val="00F5461C"/>
    <w:rPr>
      <w:sz w:val="18"/>
      <w:lang w:val="es-ES" w:eastAsia="es-ES"/>
    </w:rPr>
  </w:style>
  <w:style w:type="character" w:customStyle="1" w:styleId="Ttulo2Car">
    <w:name w:val="Título 2 Car"/>
    <w:basedOn w:val="Fuentedeprrafopredeter"/>
    <w:link w:val="Ttulo2"/>
    <w:semiHidden/>
    <w:rsid w:val="00F5461C"/>
    <w:rPr>
      <w:rFonts w:cs="Arial"/>
      <w:bCs/>
      <w:iCs/>
      <w:szCs w:val="28"/>
      <w:lang w:val="es-ES" w:eastAsia="es-ES"/>
    </w:rPr>
  </w:style>
  <w:style w:type="character" w:customStyle="1" w:styleId="Ttulo3Car">
    <w:name w:val="Título 3 Car"/>
    <w:basedOn w:val="Fuentedeprrafopredeter"/>
    <w:link w:val="Ttulo3"/>
    <w:semiHidden/>
    <w:rsid w:val="00F5461C"/>
    <w:rPr>
      <w:rFonts w:ascii="Arial" w:hAnsi="Arial" w:cs="Arial"/>
      <w:b/>
      <w:bCs/>
      <w:sz w:val="26"/>
      <w:szCs w:val="26"/>
      <w:lang w:val="es-ES" w:eastAsia="es-ES"/>
    </w:rPr>
  </w:style>
  <w:style w:type="character" w:customStyle="1" w:styleId="Ttulo4Car">
    <w:name w:val="Título 4 Car"/>
    <w:basedOn w:val="Fuentedeprrafopredeter"/>
    <w:link w:val="Ttulo4"/>
    <w:semiHidden/>
    <w:rsid w:val="00F5461C"/>
    <w:rPr>
      <w:b/>
      <w:bCs/>
      <w:sz w:val="28"/>
      <w:szCs w:val="28"/>
      <w:lang w:val="es-ES" w:eastAsia="es-ES"/>
    </w:rPr>
  </w:style>
  <w:style w:type="character" w:customStyle="1" w:styleId="Ttulo5Car">
    <w:name w:val="Título 5 Car"/>
    <w:basedOn w:val="Fuentedeprrafopredeter"/>
    <w:link w:val="Ttulo5"/>
    <w:semiHidden/>
    <w:rsid w:val="00F5461C"/>
    <w:rPr>
      <w:b/>
      <w:bCs/>
      <w:i/>
      <w:iCs/>
      <w:sz w:val="26"/>
      <w:szCs w:val="26"/>
      <w:lang w:val="es-ES" w:eastAsia="es-ES"/>
    </w:rPr>
  </w:style>
  <w:style w:type="character" w:customStyle="1" w:styleId="Ttulo6Car">
    <w:name w:val="Título 6 Car"/>
    <w:basedOn w:val="Fuentedeprrafopredeter"/>
    <w:link w:val="Ttulo6"/>
    <w:semiHidden/>
    <w:rsid w:val="00F5461C"/>
    <w:rPr>
      <w:b/>
      <w:bCs/>
      <w:sz w:val="22"/>
      <w:szCs w:val="22"/>
      <w:lang w:val="es-ES" w:eastAsia="es-ES"/>
    </w:rPr>
  </w:style>
  <w:style w:type="character" w:customStyle="1" w:styleId="Ttulo7Car">
    <w:name w:val="Título 7 Car"/>
    <w:basedOn w:val="Fuentedeprrafopredeter"/>
    <w:link w:val="Ttulo7"/>
    <w:semiHidden/>
    <w:rsid w:val="00F5461C"/>
    <w:rPr>
      <w:sz w:val="24"/>
      <w:szCs w:val="24"/>
      <w:lang w:val="es-ES" w:eastAsia="es-ES"/>
    </w:rPr>
  </w:style>
  <w:style w:type="character" w:customStyle="1" w:styleId="Ttulo8Car">
    <w:name w:val="Título 8 Car"/>
    <w:basedOn w:val="Fuentedeprrafopredeter"/>
    <w:link w:val="Ttulo8"/>
    <w:semiHidden/>
    <w:rsid w:val="00F5461C"/>
    <w:rPr>
      <w:i/>
      <w:iCs/>
      <w:sz w:val="24"/>
      <w:szCs w:val="24"/>
      <w:lang w:val="es-ES" w:eastAsia="es-ES"/>
    </w:rPr>
  </w:style>
  <w:style w:type="character" w:customStyle="1" w:styleId="Ttulo9Car">
    <w:name w:val="Título 9 Car"/>
    <w:basedOn w:val="Fuentedeprrafopredeter"/>
    <w:link w:val="Ttulo9"/>
    <w:semiHidden/>
    <w:rsid w:val="00F5461C"/>
    <w:rPr>
      <w:rFonts w:ascii="Arial" w:hAnsi="Arial" w:cs="Arial"/>
      <w:sz w:val="22"/>
      <w:szCs w:val="22"/>
      <w:lang w:val="es-ES" w:eastAsia="es-ES"/>
    </w:rPr>
  </w:style>
  <w:style w:type="character" w:styleId="Ttulodellibro">
    <w:name w:val="Book Title"/>
    <w:basedOn w:val="Fuentedeprrafopredeter"/>
    <w:uiPriority w:val="33"/>
    <w:semiHidden/>
    <w:rsid w:val="00F5461C"/>
    <w:rPr>
      <w:b/>
      <w:bCs/>
      <w:smallCaps/>
      <w:spacing w:val="5"/>
    </w:rPr>
  </w:style>
  <w:style w:type="character" w:customStyle="1" w:styleId="DireccinHTMLCar">
    <w:name w:val="Dirección HTML Car"/>
    <w:basedOn w:val="Fuentedeprrafopredeter"/>
    <w:link w:val="DireccinHTML"/>
    <w:semiHidden/>
    <w:rsid w:val="00F5461C"/>
    <w:rPr>
      <w:i/>
      <w:iCs/>
      <w:lang w:val="es-ES" w:eastAsia="es-ES"/>
    </w:rPr>
  </w:style>
  <w:style w:type="character" w:styleId="Refdecomentario">
    <w:name w:val="annotation reference"/>
    <w:basedOn w:val="Fuentedeprrafopredeter"/>
    <w:uiPriority w:val="99"/>
    <w:semiHidden/>
    <w:unhideWhenUsed/>
    <w:rsid w:val="00F5461C"/>
    <w:rPr>
      <w:sz w:val="16"/>
      <w:szCs w:val="16"/>
    </w:rPr>
  </w:style>
  <w:style w:type="paragraph" w:styleId="Textocomentario">
    <w:name w:val="annotation text"/>
    <w:basedOn w:val="Normal"/>
    <w:link w:val="TextocomentarioCar"/>
    <w:uiPriority w:val="99"/>
    <w:semiHidden/>
    <w:unhideWhenUsed/>
    <w:rsid w:val="00F5461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5461C"/>
    <w:rPr>
      <w:lang w:val="en-GB" w:eastAsia="en-US"/>
    </w:rPr>
  </w:style>
  <w:style w:type="paragraph" w:styleId="Asuntodelcomentario">
    <w:name w:val="annotation subject"/>
    <w:basedOn w:val="Textocomentario"/>
    <w:next w:val="Textocomentario"/>
    <w:link w:val="AsuntodelcomentarioCar"/>
    <w:uiPriority w:val="99"/>
    <w:semiHidden/>
    <w:unhideWhenUsed/>
    <w:rsid w:val="00F5461C"/>
    <w:rPr>
      <w:b/>
      <w:bCs/>
    </w:rPr>
  </w:style>
  <w:style w:type="character" w:customStyle="1" w:styleId="AsuntodelcomentarioCar">
    <w:name w:val="Asunto del comentario Car"/>
    <w:basedOn w:val="TextocomentarioCar"/>
    <w:link w:val="Asuntodelcomentario"/>
    <w:uiPriority w:val="99"/>
    <w:semiHidden/>
    <w:rsid w:val="00F5461C"/>
    <w:rPr>
      <w:b/>
      <w:bCs/>
      <w:lang w:val="en-GB" w:eastAsia="en-US"/>
    </w:rPr>
  </w:style>
  <w:style w:type="paragraph" w:styleId="Prrafodelista">
    <w:name w:val="List Paragraph"/>
    <w:basedOn w:val="Normal"/>
    <w:uiPriority w:val="34"/>
    <w:rsid w:val="00F5461C"/>
    <w:pPr>
      <w:suppressAutoHyphens/>
      <w:ind w:left="720"/>
      <w:contextualSpacing/>
    </w:pPr>
    <w:rPr>
      <w:lang w:val="en-GB" w:eastAsia="en-US"/>
    </w:rPr>
  </w:style>
  <w:style w:type="character" w:customStyle="1" w:styleId="EncabezadodemensajeCar">
    <w:name w:val="Encabezado de mensaje Car"/>
    <w:basedOn w:val="Fuentedeprrafopredeter"/>
    <w:link w:val="Encabezadodemensaje"/>
    <w:semiHidden/>
    <w:rsid w:val="00F5461C"/>
    <w:rPr>
      <w:rFonts w:ascii="Arial" w:hAnsi="Arial" w:cs="Arial"/>
      <w:sz w:val="24"/>
      <w:szCs w:val="24"/>
      <w:shd w:val="pct20" w:color="auto" w:fill="auto"/>
      <w:lang w:val="es-ES" w:eastAsia="es-ES"/>
    </w:rPr>
  </w:style>
  <w:style w:type="paragraph" w:styleId="Revisin">
    <w:name w:val="Revision"/>
    <w:hidden/>
    <w:uiPriority w:val="99"/>
    <w:semiHidden/>
    <w:rsid w:val="00F5461C"/>
    <w:rPr>
      <w:lang w:val="en-GB" w:eastAsia="en-US"/>
    </w:rPr>
  </w:style>
  <w:style w:type="character" w:customStyle="1" w:styleId="EncabezadodenotaCar">
    <w:name w:val="Encabezado de nota Car"/>
    <w:basedOn w:val="Fuentedeprrafopredeter"/>
    <w:link w:val="Encabezadodenota"/>
    <w:semiHidden/>
    <w:rsid w:val="00F5461C"/>
    <w:rPr>
      <w:lang w:val="es-ES" w:eastAsia="es-ES"/>
    </w:rPr>
  </w:style>
  <w:style w:type="character" w:customStyle="1" w:styleId="FechaCar">
    <w:name w:val="Fecha Car"/>
    <w:basedOn w:val="Fuentedeprrafopredeter"/>
    <w:link w:val="Fecha"/>
    <w:semiHidden/>
    <w:rsid w:val="00F5461C"/>
    <w:rPr>
      <w:lang w:val="es-ES" w:eastAsia="es-ES"/>
    </w:rPr>
  </w:style>
  <w:style w:type="character" w:customStyle="1" w:styleId="FirmaCar">
    <w:name w:val="Firma Car"/>
    <w:basedOn w:val="Fuentedeprrafopredeter"/>
    <w:link w:val="Firma"/>
    <w:semiHidden/>
    <w:rsid w:val="00F5461C"/>
    <w:rPr>
      <w:lang w:val="es-ES" w:eastAsia="es-ES"/>
    </w:rPr>
  </w:style>
  <w:style w:type="character" w:customStyle="1" w:styleId="FirmadecorreoelectrnicoCar">
    <w:name w:val="Firma de correo electrónico Car"/>
    <w:basedOn w:val="Fuentedeprrafopredeter"/>
    <w:link w:val="Firmadecorreoelectrnico"/>
    <w:semiHidden/>
    <w:rsid w:val="00F5461C"/>
    <w:rPr>
      <w:lang w:val="es-ES" w:eastAsia="es-ES"/>
    </w:rPr>
  </w:style>
  <w:style w:type="character" w:customStyle="1" w:styleId="HTMLconformatoprevioCar">
    <w:name w:val="HTML con formato previo Car"/>
    <w:basedOn w:val="Fuentedeprrafopredeter"/>
    <w:link w:val="HTMLconformatoprevio"/>
    <w:semiHidden/>
    <w:rsid w:val="00F5461C"/>
    <w:rPr>
      <w:rFonts w:ascii="Courier New" w:hAnsi="Courier New" w:cs="Courier New"/>
      <w:lang w:val="es-ES" w:eastAsia="es-ES"/>
    </w:rPr>
  </w:style>
  <w:style w:type="character" w:customStyle="1" w:styleId="SaludoCar">
    <w:name w:val="Saludo Car"/>
    <w:basedOn w:val="Fuentedeprrafopredeter"/>
    <w:link w:val="Saludo"/>
    <w:semiHidden/>
    <w:rsid w:val="00F5461C"/>
    <w:rPr>
      <w:lang w:val="es-ES" w:eastAsia="es-ES"/>
    </w:rPr>
  </w:style>
  <w:style w:type="character" w:customStyle="1" w:styleId="Sangra2detindependienteCar">
    <w:name w:val="Sangría 2 de t. independiente Car"/>
    <w:basedOn w:val="Fuentedeprrafopredeter"/>
    <w:link w:val="Sangra2detindependiente"/>
    <w:semiHidden/>
    <w:rsid w:val="00F5461C"/>
    <w:rPr>
      <w:lang w:val="es-ES" w:eastAsia="es-ES"/>
    </w:rPr>
  </w:style>
  <w:style w:type="character" w:customStyle="1" w:styleId="Sangra3detindependienteCar">
    <w:name w:val="Sangría 3 de t. independiente Car"/>
    <w:basedOn w:val="Fuentedeprrafopredeter"/>
    <w:link w:val="Sangra3detindependiente"/>
    <w:semiHidden/>
    <w:rsid w:val="00F5461C"/>
    <w:rPr>
      <w:sz w:val="16"/>
      <w:szCs w:val="16"/>
      <w:lang w:val="es-ES" w:eastAsia="es-ES"/>
    </w:rPr>
  </w:style>
  <w:style w:type="character" w:customStyle="1" w:styleId="SangradetextonormalCar">
    <w:name w:val="Sangría de texto normal Car"/>
    <w:basedOn w:val="Fuentedeprrafopredeter"/>
    <w:link w:val="Sangradetextonormal"/>
    <w:semiHidden/>
    <w:rsid w:val="00F5461C"/>
    <w:rPr>
      <w:lang w:val="es-ES" w:eastAsia="es-ES"/>
    </w:rPr>
  </w:style>
  <w:style w:type="character" w:customStyle="1" w:styleId="SubttuloCar">
    <w:name w:val="Subtítulo Car"/>
    <w:basedOn w:val="Fuentedeprrafopredeter"/>
    <w:link w:val="Subttulo"/>
    <w:semiHidden/>
    <w:rsid w:val="00F5461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5461C"/>
    <w:rPr>
      <w:lang w:val="es-ES" w:eastAsia="es-ES"/>
    </w:rPr>
  </w:style>
  <w:style w:type="character" w:customStyle="1" w:styleId="Textoindependiente2Car">
    <w:name w:val="Texto independiente 2 Car"/>
    <w:basedOn w:val="Fuentedeprrafopredeter"/>
    <w:link w:val="Textoindependiente2"/>
    <w:semiHidden/>
    <w:rsid w:val="00F5461C"/>
    <w:rPr>
      <w:lang w:val="es-ES" w:eastAsia="es-ES"/>
    </w:rPr>
  </w:style>
  <w:style w:type="character" w:customStyle="1" w:styleId="Textoindependiente3Car">
    <w:name w:val="Texto independiente 3 Car"/>
    <w:basedOn w:val="Fuentedeprrafopredeter"/>
    <w:link w:val="Textoindependiente3"/>
    <w:semiHidden/>
    <w:rsid w:val="00F5461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5461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5461C"/>
    <w:rPr>
      <w:lang w:val="es-ES" w:eastAsia="es-ES"/>
    </w:rPr>
  </w:style>
  <w:style w:type="character" w:customStyle="1" w:styleId="TextosinformatoCar">
    <w:name w:val="Texto sin formato Car"/>
    <w:basedOn w:val="Fuentedeprrafopredeter"/>
    <w:link w:val="Textosinformato"/>
    <w:semiHidden/>
    <w:rsid w:val="00F5461C"/>
    <w:rPr>
      <w:rFonts w:ascii="Courier New" w:hAnsi="Courier New" w:cs="Courier New"/>
      <w:lang w:val="es-ES" w:eastAsia="es-ES"/>
    </w:rPr>
  </w:style>
  <w:style w:type="character" w:customStyle="1" w:styleId="TtuloCar">
    <w:name w:val="Título Car"/>
    <w:basedOn w:val="Fuentedeprrafopredeter"/>
    <w:link w:val="Ttulo"/>
    <w:semiHidden/>
    <w:rsid w:val="00F5461C"/>
    <w:rPr>
      <w:rFonts w:ascii="Arial" w:hAnsi="Arial" w:cs="Arial"/>
      <w:b/>
      <w:bCs/>
      <w:kern w:val="28"/>
      <w:sz w:val="32"/>
      <w:szCs w:val="32"/>
      <w:lang w:val="es-ES" w:eastAsia="es-ES"/>
    </w:rPr>
  </w:style>
  <w:style w:type="character" w:customStyle="1" w:styleId="SingleTxtGChar">
    <w:name w:val="_ Single Txt_G Char"/>
    <w:link w:val="SingleTxtG"/>
    <w:rsid w:val="00F5461C"/>
    <w:rPr>
      <w:lang w:val="es-ES" w:eastAsia="es-ES"/>
    </w:rPr>
  </w:style>
  <w:style w:type="character" w:customStyle="1" w:styleId="SingleTxtGCar">
    <w:name w:val="_ Single Txt_G Car"/>
    <w:basedOn w:val="Fuentedeprrafopredeter"/>
    <w:rsid w:val="007A6F09"/>
    <w:rPr>
      <w:lang w:val="es-ES" w:eastAsia="es-ES" w:bidi="ar-SA"/>
    </w:rPr>
  </w:style>
  <w:style w:type="character" w:styleId="Mencinsinresolver">
    <w:name w:val="Unresolved Mention"/>
    <w:basedOn w:val="Fuentedeprrafopredeter"/>
    <w:uiPriority w:val="99"/>
    <w:semiHidden/>
    <w:unhideWhenUsed/>
    <w:rsid w:val="00ED1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macaolaw.gov.mo"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dsaj.gov.mo/ContentFrame_en.aspx?ModuleName=Content/en/%20dadidir/hrreport_en.ascx" TargetMode="External"/><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49</Pages>
  <Words>26630</Words>
  <Characters>146466</Characters>
  <Application>Microsoft Office Word</Application>
  <DocSecurity>0</DocSecurity>
  <Lines>1220</Lines>
  <Paragraphs>345</Paragraphs>
  <ScaleCrop>false</ScaleCrop>
  <HeadingPairs>
    <vt:vector size="2" baseType="variant">
      <vt:variant>
        <vt:lpstr>Título</vt:lpstr>
      </vt:variant>
      <vt:variant>
        <vt:i4>1</vt:i4>
      </vt:variant>
    </vt:vector>
  </HeadingPairs>
  <TitlesOfParts>
    <vt:vector size="1" baseType="lpstr">
      <vt:lpstr>E/C.12/CHN-MAC/3</vt:lpstr>
    </vt:vector>
  </TitlesOfParts>
  <Company/>
  <LinksUpToDate>false</LinksUpToDate>
  <CharactersWithSpaces>172751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
  <dc:creator>Marcel GONZALEZ-PEREZ</dc:creator>
  <cp:keywords/>
  <cp:lastModifiedBy>Maria DE-LA-PLAZA</cp:lastModifiedBy>
  <cp:revision>3</cp:revision>
  <cp:lastPrinted>2021-07-01T14:09:00Z</cp:lastPrinted>
  <dcterms:created xsi:type="dcterms:W3CDTF">2021-07-01T14:08:00Z</dcterms:created>
  <dcterms:modified xsi:type="dcterms:W3CDTF">2021-07-01T14:10:00Z</dcterms:modified>
</cp:coreProperties>
</file>