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7BC4869" w14:textId="77777777" w:rsidTr="00BC3629">
        <w:trPr>
          <w:trHeight w:hRule="exact" w:val="851"/>
        </w:trPr>
        <w:tc>
          <w:tcPr>
            <w:tcW w:w="142" w:type="dxa"/>
            <w:tcBorders>
              <w:bottom w:val="single" w:sz="4" w:space="0" w:color="auto"/>
            </w:tcBorders>
          </w:tcPr>
          <w:p w14:paraId="15C78E39" w14:textId="77777777" w:rsidR="002D5AAC" w:rsidRDefault="002D5AAC" w:rsidP="0036334B">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23A7EA5D"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7BD6BA76" w14:textId="7F3EB0B6" w:rsidR="002D5AAC" w:rsidRDefault="0036334B" w:rsidP="0036334B">
            <w:pPr>
              <w:jc w:val="right"/>
            </w:pPr>
            <w:r w:rsidRPr="0036334B">
              <w:rPr>
                <w:sz w:val="40"/>
              </w:rPr>
              <w:t>CCPR</w:t>
            </w:r>
            <w:r>
              <w:t>/C/137/2/Add.4</w:t>
            </w:r>
          </w:p>
        </w:tc>
      </w:tr>
      <w:tr w:rsidR="002D5AAC" w14:paraId="7598D8A5" w14:textId="77777777" w:rsidTr="00BC3629">
        <w:trPr>
          <w:trHeight w:hRule="exact" w:val="2835"/>
        </w:trPr>
        <w:tc>
          <w:tcPr>
            <w:tcW w:w="1280" w:type="dxa"/>
            <w:gridSpan w:val="2"/>
            <w:tcBorders>
              <w:top w:val="single" w:sz="4" w:space="0" w:color="auto"/>
              <w:bottom w:val="single" w:sz="12" w:space="0" w:color="auto"/>
            </w:tcBorders>
          </w:tcPr>
          <w:p w14:paraId="0D32D49E" w14:textId="77777777" w:rsidR="002D5AAC" w:rsidRDefault="002E5067" w:rsidP="00BC3629">
            <w:pPr>
              <w:spacing w:before="120"/>
              <w:jc w:val="center"/>
            </w:pPr>
            <w:r>
              <w:rPr>
                <w:noProof/>
                <w:lang w:val="fr-CH" w:eastAsia="fr-CH"/>
              </w:rPr>
              <w:drawing>
                <wp:inline distT="0" distB="0" distL="0" distR="0" wp14:anchorId="65698C5C" wp14:editId="1D3A912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213573C"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7C28B9C5" w14:textId="77777777" w:rsidR="002D5AAC" w:rsidRDefault="0036334B" w:rsidP="00BC3629">
            <w:pPr>
              <w:spacing w:before="240"/>
            </w:pPr>
            <w:r>
              <w:t>Distr.: General</w:t>
            </w:r>
          </w:p>
          <w:p w14:paraId="75E712AC" w14:textId="77777777" w:rsidR="0036334B" w:rsidRDefault="0036334B" w:rsidP="0036334B">
            <w:pPr>
              <w:spacing w:line="240" w:lineRule="exact"/>
            </w:pPr>
            <w:r>
              <w:t>1 May 2023</w:t>
            </w:r>
          </w:p>
          <w:p w14:paraId="424FE327" w14:textId="77777777" w:rsidR="0036334B" w:rsidRDefault="0036334B" w:rsidP="0036334B">
            <w:pPr>
              <w:spacing w:line="240" w:lineRule="exact"/>
            </w:pPr>
            <w:r>
              <w:t>Russian</w:t>
            </w:r>
          </w:p>
          <w:p w14:paraId="6B068E95" w14:textId="1D1B9FDA" w:rsidR="0036334B" w:rsidRPr="00375F01" w:rsidRDefault="0036334B" w:rsidP="0036334B">
            <w:pPr>
              <w:spacing w:line="240" w:lineRule="exact"/>
            </w:pPr>
            <w:r>
              <w:t>Original: English</w:t>
            </w:r>
          </w:p>
        </w:tc>
      </w:tr>
    </w:tbl>
    <w:p w14:paraId="325BEC0B" w14:textId="77777777" w:rsidR="001E1C15" w:rsidRPr="00B42DD0" w:rsidRDefault="001E1C15" w:rsidP="001E1C15">
      <w:pPr>
        <w:spacing w:before="120"/>
        <w:jc w:val="both"/>
        <w:rPr>
          <w:b/>
          <w:bCs/>
          <w:sz w:val="24"/>
          <w:szCs w:val="24"/>
        </w:rPr>
      </w:pPr>
      <w:r w:rsidRPr="00B42DD0">
        <w:rPr>
          <w:b/>
          <w:bCs/>
          <w:sz w:val="24"/>
          <w:szCs w:val="24"/>
        </w:rPr>
        <w:t>Комитет по правам человека</w:t>
      </w:r>
    </w:p>
    <w:p w14:paraId="0B7B426F" w14:textId="3B6E1BE9" w:rsidR="001E1C15" w:rsidRPr="00F97695" w:rsidRDefault="001E1C15" w:rsidP="001E1C15">
      <w:pPr>
        <w:pStyle w:val="HChG"/>
      </w:pPr>
      <w:r>
        <w:tab/>
      </w:r>
      <w:r>
        <w:tab/>
      </w:r>
      <w:r>
        <w:rPr>
          <w:bCs/>
        </w:rPr>
        <w:t>Доклад о последующей деятельности в связи с</w:t>
      </w:r>
      <w:r w:rsidR="00B42DD0">
        <w:rPr>
          <w:bCs/>
        </w:rPr>
        <w:t> </w:t>
      </w:r>
      <w:r>
        <w:rPr>
          <w:bCs/>
        </w:rPr>
        <w:t>заключительными замечаниями Комитета по правам человека</w:t>
      </w:r>
      <w:r w:rsidRPr="00F9261D">
        <w:rPr>
          <w:b w:val="0"/>
          <w:bCs/>
          <w:sz w:val="20"/>
        </w:rPr>
        <w:footnoteReference w:customMarkFollows="1" w:id="1"/>
        <w:t>*</w:t>
      </w:r>
      <w:bookmarkStart w:id="0" w:name="_Toc506807534"/>
      <w:bookmarkEnd w:id="0"/>
    </w:p>
    <w:p w14:paraId="12B04709" w14:textId="77777777" w:rsidR="001E1C15" w:rsidRPr="00F97695" w:rsidRDefault="001E1C15" w:rsidP="001E1C15">
      <w:pPr>
        <w:pStyle w:val="H23G"/>
        <w:rPr>
          <w:rFonts w:eastAsia="SimSun"/>
        </w:rPr>
      </w:pPr>
      <w:r>
        <w:tab/>
      </w:r>
      <w:r>
        <w:tab/>
      </w:r>
      <w:r>
        <w:rPr>
          <w:bCs/>
        </w:rPr>
        <w:t>Добавление</w:t>
      </w:r>
    </w:p>
    <w:p w14:paraId="1999AA6C" w14:textId="1F23ED93" w:rsidR="00A05E54" w:rsidRPr="00A05E54" w:rsidRDefault="001E1C15" w:rsidP="00A05E54">
      <w:pPr>
        <w:pStyle w:val="HChG"/>
        <w:rPr>
          <w:bCs/>
        </w:rPr>
      </w:pPr>
      <w:r>
        <w:tab/>
      </w:r>
      <w:r>
        <w:tab/>
      </w:r>
      <w:r>
        <w:rPr>
          <w:bCs/>
        </w:rPr>
        <w:t>Оценка информации о последующей деятельности в</w:t>
      </w:r>
      <w:r w:rsidR="004765D3">
        <w:rPr>
          <w:bCs/>
        </w:rPr>
        <w:t> </w:t>
      </w:r>
      <w:r>
        <w:rPr>
          <w:bCs/>
        </w:rPr>
        <w:t>связи с заключительными замечаниями по</w:t>
      </w:r>
      <w:r w:rsidR="004765D3">
        <w:rPr>
          <w:bCs/>
        </w:rPr>
        <w:t> </w:t>
      </w:r>
      <w:r>
        <w:rPr>
          <w:bCs/>
        </w:rPr>
        <w:t>Таджикистану</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A05E54" w:rsidRPr="0064331C" w14:paraId="2D6E8005" w14:textId="77777777" w:rsidTr="00247B71">
        <w:tc>
          <w:tcPr>
            <w:tcW w:w="2936" w:type="dxa"/>
            <w:hideMark/>
          </w:tcPr>
          <w:p w14:paraId="372BBD36" w14:textId="64C7D9E2" w:rsidR="00A05E54" w:rsidRPr="0064331C" w:rsidRDefault="00A05E54">
            <w:pPr>
              <w:spacing w:after="120"/>
              <w:ind w:left="35"/>
              <w:rPr>
                <w:i/>
                <w:spacing w:val="4"/>
                <w:w w:val="103"/>
                <w:kern w:val="14"/>
              </w:rPr>
            </w:pPr>
            <w:r w:rsidRPr="00A05E54">
              <w:rPr>
                <w:i/>
                <w:iCs/>
              </w:rPr>
              <w:t>Заключительные замечания</w:t>
            </w:r>
            <w:r>
              <w:rPr>
                <w:i/>
                <w:iCs/>
              </w:rPr>
              <w:br/>
            </w:r>
            <w:r w:rsidRPr="00A05E54">
              <w:rPr>
                <w:i/>
                <w:iCs/>
              </w:rPr>
              <w:t>(сто двадцать шестая сессия):</w:t>
            </w:r>
          </w:p>
        </w:tc>
        <w:tc>
          <w:tcPr>
            <w:tcW w:w="3874" w:type="dxa"/>
          </w:tcPr>
          <w:p w14:paraId="2406A180" w14:textId="6CF59679" w:rsidR="00A05E54" w:rsidRPr="0064331C" w:rsidRDefault="009F10AA">
            <w:pPr>
              <w:spacing w:after="120"/>
            </w:pPr>
            <w:hyperlink r:id="rId9" w:history="1">
              <w:r>
                <w:rPr>
                  <w:rStyle w:val="af1"/>
                </w:rPr>
                <w:t>CCPR/C/TJK/CO/3</w:t>
              </w:r>
            </w:hyperlink>
            <w:r w:rsidR="00A05E54" w:rsidRPr="00A05E54">
              <w:t>, 18 июля 2019 года</w:t>
            </w:r>
          </w:p>
        </w:tc>
      </w:tr>
      <w:tr w:rsidR="00A05E54" w:rsidRPr="0064331C" w14:paraId="220C8FE8" w14:textId="77777777" w:rsidTr="00247B71">
        <w:tc>
          <w:tcPr>
            <w:tcW w:w="2936" w:type="dxa"/>
            <w:hideMark/>
          </w:tcPr>
          <w:p w14:paraId="03321577" w14:textId="4F7B95CD" w:rsidR="00A05E54" w:rsidRPr="0064331C" w:rsidRDefault="00A05E54">
            <w:pPr>
              <w:spacing w:after="120"/>
              <w:ind w:left="35"/>
              <w:rPr>
                <w:i/>
              </w:rPr>
            </w:pPr>
            <w:r w:rsidRPr="00A05E54">
              <w:rPr>
                <w:i/>
                <w:iCs/>
              </w:rPr>
              <w:t>Пункты, предусматривающие последующую деятельность:</w:t>
            </w:r>
          </w:p>
        </w:tc>
        <w:tc>
          <w:tcPr>
            <w:tcW w:w="3874" w:type="dxa"/>
          </w:tcPr>
          <w:p w14:paraId="336E1AF2" w14:textId="0AE91FFF" w:rsidR="00A05E54" w:rsidRPr="0064331C" w:rsidRDefault="00776FC6">
            <w:pPr>
              <w:spacing w:after="120"/>
            </w:pPr>
            <w:r w:rsidRPr="00776FC6">
              <w:t>42, 48 и 55</w:t>
            </w:r>
          </w:p>
        </w:tc>
      </w:tr>
      <w:tr w:rsidR="00A05E54" w:rsidRPr="0064331C" w14:paraId="1DD76F36" w14:textId="77777777" w:rsidTr="00247B71">
        <w:tc>
          <w:tcPr>
            <w:tcW w:w="2936" w:type="dxa"/>
            <w:hideMark/>
          </w:tcPr>
          <w:p w14:paraId="56F98787" w14:textId="419C12EE" w:rsidR="00A05E54" w:rsidRPr="0064331C" w:rsidRDefault="00776FC6">
            <w:pPr>
              <w:spacing w:after="120"/>
              <w:ind w:left="35"/>
              <w:rPr>
                <w:i/>
              </w:rPr>
            </w:pPr>
            <w:r w:rsidRPr="00776FC6">
              <w:rPr>
                <w:i/>
                <w:iCs/>
              </w:rPr>
              <w:t>Информация, полученная от государства-участника:</w:t>
            </w:r>
          </w:p>
        </w:tc>
        <w:tc>
          <w:tcPr>
            <w:tcW w:w="3874" w:type="dxa"/>
          </w:tcPr>
          <w:p w14:paraId="3DD1347D" w14:textId="1C6697F5" w:rsidR="00A05E54" w:rsidRPr="0064331C" w:rsidRDefault="009F10AA">
            <w:pPr>
              <w:spacing w:after="120"/>
            </w:pPr>
            <w:hyperlink r:id="rId10" w:history="1">
              <w:r>
                <w:rPr>
                  <w:rStyle w:val="af1"/>
                </w:rPr>
                <w:t>CCPR/C/TJK/FCO/3</w:t>
              </w:r>
            </w:hyperlink>
            <w:r w:rsidR="00776FC6" w:rsidRPr="00776FC6">
              <w:t>, 20 июля 2021 года</w:t>
            </w:r>
          </w:p>
        </w:tc>
      </w:tr>
      <w:tr w:rsidR="00A05E54" w:rsidRPr="0064331C" w14:paraId="77EA9EC0" w14:textId="77777777" w:rsidTr="00247B71">
        <w:tc>
          <w:tcPr>
            <w:tcW w:w="2936" w:type="dxa"/>
            <w:hideMark/>
          </w:tcPr>
          <w:p w14:paraId="6CD22F40" w14:textId="0B49AF9B" w:rsidR="00A05E54" w:rsidRPr="0064331C" w:rsidRDefault="00776FC6">
            <w:pPr>
              <w:spacing w:after="120"/>
              <w:ind w:left="35"/>
              <w:rPr>
                <w:i/>
              </w:rPr>
            </w:pPr>
            <w:r w:rsidRPr="00776FC6">
              <w:rPr>
                <w:i/>
                <w:iCs/>
              </w:rPr>
              <w:t>Оценка Комитета:</w:t>
            </w:r>
          </w:p>
        </w:tc>
        <w:tc>
          <w:tcPr>
            <w:tcW w:w="3874" w:type="dxa"/>
          </w:tcPr>
          <w:p w14:paraId="566B92C6" w14:textId="58555608" w:rsidR="00A05E54" w:rsidRPr="0064331C" w:rsidRDefault="00776FC6">
            <w:pPr>
              <w:spacing w:after="120"/>
            </w:pPr>
            <w:r w:rsidRPr="00776FC6">
              <w:t>42 [C], 48 [E][C] и 55 [E][C]</w:t>
            </w:r>
          </w:p>
        </w:tc>
      </w:tr>
    </w:tbl>
    <w:p w14:paraId="50E69131" w14:textId="52971022" w:rsidR="001E1C15" w:rsidRPr="00F97695" w:rsidRDefault="001E1C15" w:rsidP="001E1C15">
      <w:pPr>
        <w:pStyle w:val="H1G"/>
        <w:jc w:val="both"/>
      </w:pPr>
      <w:r>
        <w:tab/>
      </w:r>
      <w:r>
        <w:tab/>
      </w:r>
      <w:r>
        <w:rPr>
          <w:bCs/>
        </w:rPr>
        <w:t>Пункт 42: Слежка и перехват личных сообщений</w:t>
      </w:r>
      <w:r w:rsidR="009F10AA" w:rsidRPr="00FA4A3F">
        <w:rPr>
          <w:rStyle w:val="aa"/>
          <w:b w:val="0"/>
        </w:rPr>
        <w:footnoteReference w:id="2"/>
      </w:r>
    </w:p>
    <w:p w14:paraId="385CF438" w14:textId="77777777" w:rsidR="001E1C15" w:rsidRPr="00F97695" w:rsidRDefault="001E1C15" w:rsidP="001E1C15">
      <w:pPr>
        <w:pStyle w:val="H23G"/>
        <w:rPr>
          <w:rFonts w:eastAsiaTheme="minorEastAsia"/>
        </w:rPr>
      </w:pPr>
      <w:r>
        <w:tab/>
      </w:r>
      <w:r>
        <w:tab/>
      </w:r>
      <w:r>
        <w:tab/>
      </w:r>
      <w:r>
        <w:rPr>
          <w:bCs/>
        </w:rPr>
        <w:t>Резюме информации, полученной от государства-участника</w:t>
      </w:r>
    </w:p>
    <w:p w14:paraId="6111E601" w14:textId="7A818A79" w:rsidR="001E1C15" w:rsidRPr="00F97695" w:rsidRDefault="00FA4A3F" w:rsidP="001E1C15">
      <w:pPr>
        <w:pStyle w:val="SingleTxtG"/>
      </w:pPr>
      <w:r>
        <w:tab/>
      </w:r>
      <w:r w:rsidR="001E1C15">
        <w:t>a)</w:t>
      </w:r>
      <w:r w:rsidR="001E1C15">
        <w:tab/>
        <w:t>Статья 23 Конституции гарантирует право на тайну переписки, телефонных переговоров, телеграфных и иных личных сообщений, за исключением случаев, предусмотренных законом. Сбор, хранение, использование и распространение информации о частной жизни лица без его согласия не допускаются. Правовые и организационные основы сбора, обработки и защиты персональных данных регулируются Законом «О защите персональных данных». Закон применим не ко всем ситуациям.</w:t>
      </w:r>
    </w:p>
    <w:p w14:paraId="06B19027" w14:textId="56AA4C1A" w:rsidR="001E1C15" w:rsidRPr="00F97695" w:rsidRDefault="00FA4A3F" w:rsidP="001E1C15">
      <w:pPr>
        <w:pStyle w:val="SingleTxtG"/>
      </w:pPr>
      <w:r>
        <w:tab/>
      </w:r>
      <w:r w:rsidR="001E1C15">
        <w:t>b)</w:t>
      </w:r>
      <w:r w:rsidR="001E1C15">
        <w:tab/>
        <w:t xml:space="preserve">В соответствии с указом Президента Республики Таджикистан от 16 мая 2020 года № 1537 Служба связи при Правительстве Республики Таджикистан определена уполномоченным органом по защите персональных данных. Служба подготавливает проекты соответствующих законов и постановлений, утверждаемых Президентом, осуществляет государственную политику в области защиты персональных данных, утверждает виды персональных данных, признанных необходимыми и достаточными, и порядок реализации мер по их защите, </w:t>
      </w:r>
      <w:r w:rsidR="001E1C15">
        <w:lastRenderedPageBreak/>
        <w:t>рассматривает представления по вопросам защиты персональных данных и привлекает к ответственности лиц, ответственных за их соблюдение. Сбор и обработка персональных данных осуществляются при наличии сертификата соответствия, выданного уполномоченным государственным органом, и при условии принятия мер по защите от нарушений. Несанкционированный доступ к персональным данным не допускается.</w:t>
      </w:r>
    </w:p>
    <w:p w14:paraId="64F3EF33" w14:textId="5E365CEE" w:rsidR="001E1C15" w:rsidRPr="00F97695" w:rsidRDefault="00FA4A3F" w:rsidP="001E1C15">
      <w:pPr>
        <w:pStyle w:val="SingleTxtG"/>
      </w:pPr>
      <w:r>
        <w:tab/>
      </w:r>
      <w:r w:rsidR="001E1C15">
        <w:t>c)</w:t>
      </w:r>
      <w:r w:rsidR="001E1C15">
        <w:tab/>
        <w:t>В ходе производства предварительного следствия обеспечивается защита прав и интересов потерпевших в соответствии со статьей 42 Уголовно-процессуального кодекса, принимаются все предусмотренные Кодексом меры по возмещению материального ущерба.</w:t>
      </w:r>
    </w:p>
    <w:p w14:paraId="7D2C58DB" w14:textId="51574D10" w:rsidR="001E1C15" w:rsidRPr="00F97695" w:rsidRDefault="001E1C15" w:rsidP="001E1C15">
      <w:pPr>
        <w:pStyle w:val="H23G"/>
        <w:rPr>
          <w:rFonts w:eastAsiaTheme="minorEastAsia"/>
        </w:rPr>
      </w:pPr>
      <w:r>
        <w:tab/>
      </w:r>
      <w:r>
        <w:tab/>
      </w:r>
      <w:r>
        <w:rPr>
          <w:bCs/>
        </w:rPr>
        <w:t>Оценка Комитета</w:t>
      </w:r>
    </w:p>
    <w:p w14:paraId="2959C7E4" w14:textId="77777777" w:rsidR="001E1C15" w:rsidRPr="00F97695" w:rsidRDefault="001E1C15" w:rsidP="001E1C15">
      <w:pPr>
        <w:pStyle w:val="SingleTxtG"/>
        <w:rPr>
          <w:bCs/>
        </w:rPr>
      </w:pPr>
      <w:r>
        <w:t>[C]</w:t>
      </w:r>
    </w:p>
    <w:p w14:paraId="745632E4" w14:textId="2046F03B" w:rsidR="001E1C15" w:rsidRPr="00F97695" w:rsidRDefault="00AE256B" w:rsidP="001E1C15">
      <w:pPr>
        <w:pStyle w:val="SingleTxtG"/>
      </w:pPr>
      <w:r>
        <w:tab/>
      </w:r>
      <w:r w:rsidR="001E1C15">
        <w:t>Принимая к сведению предоставленную информацию о действующей законодательной базе в области защиты данных, Комитет сожалеет об отсутствии информации о мерах, принятых для обеспечения полного соответствия всего законодательства Пакту. Он повторяет свою рекомендацию и просит предоставить конкретную информацию о действиях, предпринятых с этой целью после принятия заключительных замечаний.</w:t>
      </w:r>
    </w:p>
    <w:p w14:paraId="29EB5675" w14:textId="5356CFA3" w:rsidR="001E1C15" w:rsidRPr="00F97695" w:rsidRDefault="00AE256B" w:rsidP="001E1C15">
      <w:pPr>
        <w:pStyle w:val="SingleTxtG"/>
      </w:pPr>
      <w:r>
        <w:tab/>
      </w:r>
      <w:r w:rsidR="001E1C15">
        <w:t>Комитет принимает к сведению информацию о назначении в 2020 году Службы связи при Правительстве Таджикистана уполномоченным органом по защите персональных данных и требование о наличии сертификата соответствия для сбора и обработки персональных данных. Тем не менее он сожалеет, что вся информация и сообщения продолжают проходить через единый коммутационный центр, контролируемый правительственной Службой связи и что не было принято никаких мер для обеспечения того, чтобы слежка и перехват проводились при наличии судебного разрешения и эффективного и независимого надзора. Он повторяет свою рекомендацию.</w:t>
      </w:r>
    </w:p>
    <w:p w14:paraId="44608345" w14:textId="6768C566" w:rsidR="001E1C15" w:rsidRPr="00F97695" w:rsidRDefault="00AE256B" w:rsidP="001E1C15">
      <w:pPr>
        <w:pStyle w:val="SingleTxtG"/>
      </w:pPr>
      <w:r>
        <w:tab/>
      </w:r>
      <w:r w:rsidR="001E1C15">
        <w:t>Комитет принимает к сведению информацию, касающуюся статьи 42 Уголовно-процессуального кодекса и возмещения, предусмотренного за признанный материальный ущерб. Тем не менее он сожалеет об отсутствии информации о конкретных шагах, предпринятых после принятия заключительных замечаний для обеспечения того, чтобы потерпевшие лица имели надлежащий доступ к эффективным средствам правовой защиты в случаях нарушения их прав. Он повторяет свои рекомендации и просит предоставить статистическую информацию о количестве случаев нарушений прав и примененных средствах правовой защиты.</w:t>
      </w:r>
    </w:p>
    <w:p w14:paraId="4598D3D2" w14:textId="77777777" w:rsidR="001E1C15" w:rsidRPr="00F97695" w:rsidRDefault="001E1C15" w:rsidP="001E1C15">
      <w:pPr>
        <w:pStyle w:val="H1G"/>
      </w:pPr>
      <w:r>
        <w:tab/>
      </w:r>
      <w:r>
        <w:tab/>
      </w:r>
      <w:r>
        <w:rPr>
          <w:bCs/>
        </w:rPr>
        <w:t>Пункт 48: Свобода выражения мнений</w:t>
      </w:r>
    </w:p>
    <w:p w14:paraId="1302EC65" w14:textId="77777777" w:rsidR="001E1C15" w:rsidRPr="00F97695" w:rsidRDefault="001E1C15" w:rsidP="001E1C15">
      <w:pPr>
        <w:pStyle w:val="H23G"/>
        <w:rPr>
          <w:rFonts w:eastAsiaTheme="minorEastAsia"/>
        </w:rPr>
      </w:pPr>
      <w:r>
        <w:tab/>
      </w:r>
      <w:r>
        <w:tab/>
      </w:r>
      <w:r>
        <w:rPr>
          <w:bCs/>
        </w:rPr>
        <w:t>Резюме информации, полученной от государства-участника</w:t>
      </w:r>
    </w:p>
    <w:p w14:paraId="72338EA5" w14:textId="6ACE288C" w:rsidR="001E1C15" w:rsidRPr="00F97695" w:rsidRDefault="00AE256B" w:rsidP="001E1C15">
      <w:pPr>
        <w:pStyle w:val="SingleTxtG"/>
      </w:pPr>
      <w:r>
        <w:tab/>
      </w:r>
      <w:r w:rsidR="001E1C15">
        <w:t>Закон «О периодической печати и других средствах массовой информации» обеспечивает государственные гарантии свободы и независимости СМИ. Он также предусматривает ответственность за воспрепятствование доступу к информации. Правительственные учреждения и организации обязаны предоставлять СМИ необходимую информацию и отвечать на критические замечания в течение трех рабочих дней. Срочная информация, представляющая общественный интерес, должна предоставляться незамедлительно, если только она не относится к информации, содержащей государственную тайну, или информации, защищенной законом.</w:t>
      </w:r>
    </w:p>
    <w:p w14:paraId="3EF4335F" w14:textId="01F66120" w:rsidR="001E1C15" w:rsidRPr="00F97695" w:rsidRDefault="00AE256B" w:rsidP="001E1C15">
      <w:pPr>
        <w:pStyle w:val="SingleTxtG"/>
      </w:pPr>
      <w:r>
        <w:tab/>
      </w:r>
      <w:r w:rsidR="001E1C15">
        <w:t>Ограничение СМИ предусмотрено только в целях сохранения общественного порядка или национальной безопасности, защиты прав и свобод других лиц или сохранения чести, достоинства и репутации отдельных лиц.</w:t>
      </w:r>
    </w:p>
    <w:p w14:paraId="39639EDA" w14:textId="431549D8" w:rsidR="001E1C15" w:rsidRPr="00F97695" w:rsidRDefault="00AE256B" w:rsidP="001E1C15">
      <w:pPr>
        <w:pStyle w:val="SingleTxtG"/>
      </w:pPr>
      <w:r>
        <w:tab/>
      </w:r>
      <w:r w:rsidR="001E1C15">
        <w:t>Информация предоставляется органам СМИ своевременно, и случаев воспрепятствования доступу к информации о правах человека, имеющейся в распоряжении государственных органов, не зафиксировано. В официальных</w:t>
      </w:r>
      <w:r>
        <w:br/>
      </w:r>
      <w:r w:rsidR="001E1C15">
        <w:lastRenderedPageBreak/>
        <w:t>интернет-сайтах содержится информация о деятельности государственных органов и защите прав и законных интересов граждан.</w:t>
      </w:r>
    </w:p>
    <w:p w14:paraId="3DD1D4C8" w14:textId="22BEBD4F" w:rsidR="001E1C15" w:rsidRPr="00F97695" w:rsidRDefault="00AE256B" w:rsidP="001E1C15">
      <w:pPr>
        <w:pStyle w:val="SingleTxtG"/>
      </w:pPr>
      <w:r>
        <w:tab/>
      </w:r>
      <w:r w:rsidR="001E1C15">
        <w:t>В соответствии с новой стратегией на 2021–2025 годы Уполномоченный по правам человека проводит мониторинг деятельности на сайтах государственных учреждений, содействует доступу к информации и рассматривает индивидуальные обращения, связанные с правом на доступ к информации.</w:t>
      </w:r>
    </w:p>
    <w:p w14:paraId="35DCD05A" w14:textId="0A715160" w:rsidR="001E1C15" w:rsidRPr="00F97695" w:rsidRDefault="00AE256B" w:rsidP="001E1C15">
      <w:pPr>
        <w:pStyle w:val="SingleTxtG"/>
      </w:pPr>
      <w:r>
        <w:tab/>
      </w:r>
      <w:r w:rsidR="001E1C15">
        <w:t>Кроме того, каждые полгода государственные органы проводят хорошо посещаемые пресс-конференции с представителями СМИ, которые сообщают о деятельности правительства и мерах, принимаемых для предотвращения нарушений прав и свобод граждан. Кроме того, с целью анализа действующего законодательства периодически проводятся круглые столы и пресс-конференции с представителями СМИ.</w:t>
      </w:r>
    </w:p>
    <w:p w14:paraId="7331E269" w14:textId="384B82E7" w:rsidR="001E1C15" w:rsidRPr="00F97695" w:rsidRDefault="00AE256B" w:rsidP="001E1C15">
      <w:pPr>
        <w:pStyle w:val="SingleTxtG"/>
      </w:pPr>
      <w:r>
        <w:tab/>
      </w:r>
      <w:r w:rsidR="001E1C15">
        <w:t>Статья 30 Конституции Республики Таджикистан гарантирует каждому свободу слова, печати, право на пользование средствами информации. Каждый человек имеет право искать, получать и распространять информацию и идеи, что также закреплено в законах «Об информации», «О защите информации», «О периодической печати и других средствах массовой информации», «Об издательском деле» и других отраслевых законах. Действующие законы полностью соответствуют международным обязательствам государства.</w:t>
      </w:r>
    </w:p>
    <w:p w14:paraId="5BC7CE8E" w14:textId="43E9A625" w:rsidR="001E1C15" w:rsidRPr="00F97695" w:rsidRDefault="00AE256B" w:rsidP="001E1C15">
      <w:pPr>
        <w:pStyle w:val="SingleTxtG"/>
      </w:pPr>
      <w:r>
        <w:tab/>
      </w:r>
      <w:r w:rsidR="001E1C15">
        <w:t>Государство обеспечивает соблюдение прав и законных интересов средств массовой информации. Государственная поддержка средств массовой информации осуществляется путем целевого выделения средств, финансовой помощи и в других видах государственной поддержки в порядке, установленном законодательством.</w:t>
      </w:r>
    </w:p>
    <w:p w14:paraId="1B4BF388" w14:textId="7597A531" w:rsidR="001E1C15" w:rsidRPr="00F97695" w:rsidRDefault="00AE256B" w:rsidP="001E1C15">
      <w:pPr>
        <w:pStyle w:val="SingleTxtG"/>
      </w:pPr>
      <w:r>
        <w:tab/>
      </w:r>
      <w:r w:rsidR="001E1C15">
        <w:t>Телеканал «Сафина» и местные телеканалы в Горно-Бадахшанской автономной области и Согдийской и Хатлонской областях, а также радиостанции транслируют аналитико-критические передачи о недостатках в различных сферах, включая социальную защиту и права человека. Таким образом, были выпущены программы на различные темы, организованы и проведены дискуссии, беседы и круглые столы с участием экспертов отрасли.</w:t>
      </w:r>
    </w:p>
    <w:p w14:paraId="4BCA68FE" w14:textId="522D8F05" w:rsidR="001E1C15" w:rsidRPr="00F97695" w:rsidRDefault="001E1C15" w:rsidP="001E1C15">
      <w:pPr>
        <w:pStyle w:val="H23G"/>
      </w:pPr>
      <w:r>
        <w:tab/>
      </w:r>
      <w:r>
        <w:tab/>
      </w:r>
      <w:r>
        <w:rPr>
          <w:bCs/>
        </w:rPr>
        <w:t>Оценка Комитета</w:t>
      </w:r>
    </w:p>
    <w:p w14:paraId="2F2AC825" w14:textId="77777777" w:rsidR="001E1C15" w:rsidRPr="00F97695" w:rsidRDefault="001E1C15" w:rsidP="001E1C15">
      <w:pPr>
        <w:pStyle w:val="SingleTxtG"/>
      </w:pPr>
      <w:r>
        <w:t>[Е]: a), b), c), e) и g)</w:t>
      </w:r>
    </w:p>
    <w:p w14:paraId="174CEE30" w14:textId="55A93B24" w:rsidR="001E1C15" w:rsidRPr="00F97695" w:rsidRDefault="00AE256B" w:rsidP="001E1C15">
      <w:pPr>
        <w:pStyle w:val="SingleTxtG"/>
      </w:pPr>
      <w:r>
        <w:tab/>
      </w:r>
      <w:r w:rsidR="001E1C15">
        <w:t>Комитет сожалеет об отсутствии информации о шагах, предпринятых для декриминализации оскорбления или клеветы в отношении президента/лидера нации и оскорбления других государственных должностных лиц. Он также сожалеет, что согласно информации, полученной Комитетом, отдельные лица были лишены свободы по ряду подобных обвинений, в том числе за оскорбление государственных должностных лиц. Он повторяет свою рекомендацию.</w:t>
      </w:r>
    </w:p>
    <w:p w14:paraId="7D5A6A7F" w14:textId="584EB51C" w:rsidR="001E1C15" w:rsidRPr="00F97695" w:rsidRDefault="00AE256B" w:rsidP="001E1C15">
      <w:pPr>
        <w:pStyle w:val="SingleTxtG"/>
      </w:pPr>
      <w:r>
        <w:tab/>
      </w:r>
      <w:r w:rsidR="001E1C15">
        <w:t>Принимая к сведению информацию о действующем законодательстве, обеспечивающем государственные гарантии свободы и независимости СМИ, Комитет сожалеет о том, что, по сообщениям, независимых СМИ по-прежнему мало и что средства массовой информации были заблокированы или вынуждены прекратить освещение протестов в Горно-Бадахшанской автономной области после получения угроз о закрытии от Генеральной прокуратуры. Он также сожалеет, что государственные СМИ, по сообщениям, все чаще участвуют в государственной пропаганде. Он повторяет свою рекомендацию.</w:t>
      </w:r>
    </w:p>
    <w:p w14:paraId="10B479C8" w14:textId="75BE4EE3" w:rsidR="001E1C15" w:rsidRPr="00F97695" w:rsidRDefault="00AE256B" w:rsidP="001E1C15">
      <w:pPr>
        <w:pStyle w:val="SingleTxtG"/>
      </w:pPr>
      <w:r>
        <w:tab/>
      </w:r>
      <w:r w:rsidR="001E1C15">
        <w:t>Комитет принимает к сведению заявление государства-участника о том, что действующие законы полностью соответствуют его международным обязательствам. Тем не менее Комитет сожалеет, что за отчетный период не было предпринято никаких шагов по отмене или изменению законов и постановлений, предусматривающих ограничения, упомянутые Комитетом в его заключительных замечаниях, с целью приведения их в полное соответствие с Пактом и что государство-участник не проявило намерения сделать это. Он повторяет свою рекомендацию.</w:t>
      </w:r>
    </w:p>
    <w:p w14:paraId="76B0BA01" w14:textId="20E54CA8" w:rsidR="001E1C15" w:rsidRPr="00F97695" w:rsidRDefault="00AE256B" w:rsidP="001E1C15">
      <w:pPr>
        <w:pStyle w:val="SingleTxtG"/>
      </w:pPr>
      <w:r>
        <w:lastRenderedPageBreak/>
        <w:tab/>
      </w:r>
      <w:r w:rsidR="001E1C15">
        <w:t>Принимая к сведению принятые меры по обеспечению доступа к информации, Комитет сожалеет, что, по сообщениям, журналистам стало сложнее получать информацию от государственных органов, часто приходится ждать от двух до трех месяцев, чтобы получить ответ на свои обращения к властям о предоставлении информации, и что 37 из 58 письменных запросов о предоставлении информации, поданных в июле и августе 2021 года, остаются без ответа. Он особенно обеспокоен сообщениями о постоянном отключении Интернета и блокировании веб-сайтов в период с августа 2021 года по апрель 2022 года, включая кратковременное блокирование новостных агентств «Азия Плюс» и «Радио Озоди», а также «Фейсбук», и сообщениями о том, что Интернет и сеть мобильной связи были отключены в Горно-Бадахшанской автономной области до конца июня 2022 года после насильственного разгона протестующих в Хороге в мае 2022 года, в результате которого один человек погиб и несколько получили ранения. Он повторяет свою рекомендацию.</w:t>
      </w:r>
    </w:p>
    <w:p w14:paraId="74DCBC16" w14:textId="3A80017B" w:rsidR="001E1C15" w:rsidRPr="00F97695" w:rsidRDefault="00F12DF3" w:rsidP="001E1C15">
      <w:pPr>
        <w:pStyle w:val="SingleTxtG"/>
      </w:pPr>
      <w:r>
        <w:tab/>
      </w:r>
      <w:r w:rsidR="001E1C15">
        <w:t>Комитет сожалеет об отсутствии информации о мерах, принятых государством-участником для обеспечения эффективной защиты журналистов и работников СМИ от запугивания. Кроме того, он выражает особое сожаление по поводу того, что после протестов в Горно-Бадахшанской автономной области в мае 2022 года ряд независимых журналистов и блогеров были арестованы по обвинению в экстремизме или терроризме и обвинены в связях с запрещенными оппозиционными партиями. Он</w:t>
      </w:r>
      <w:r>
        <w:t> </w:t>
      </w:r>
      <w:r w:rsidR="001E1C15">
        <w:t>также выражает особое сожаление по поводу того, что никто, как сообщается, не был привлечен к ответственности за жестокое нападение неизвестных людей в штатском на четырех журналистов в мае 2022 года после того, как они взяли интервью у другого журналиста, а все их оборудование с записанными интервью было конфисковано. Комитет повторяет свою рекомендацию и просит предоставить информацию о конкретных мерах, принятых для проведения расследования и привлечения к ответственности лиц, виновных в любом запугивании независимых журналистов и работников СМИ, угрозах или насилии в их отношении, включая вышеупомянутое нападение в мае 2022 года.</w:t>
      </w:r>
    </w:p>
    <w:p w14:paraId="53287E6B" w14:textId="77777777" w:rsidR="001E1C15" w:rsidRPr="00F97695" w:rsidRDefault="001E1C15" w:rsidP="001E1C15">
      <w:pPr>
        <w:pStyle w:val="SingleTxtG"/>
        <w:keepNext/>
        <w:keepLines/>
      </w:pPr>
      <w:r>
        <w:t>[C]: d) и f)</w:t>
      </w:r>
    </w:p>
    <w:p w14:paraId="5386B466" w14:textId="41627932" w:rsidR="001E1C15" w:rsidRPr="00F97695" w:rsidRDefault="00F12DF3" w:rsidP="001E1C15">
      <w:pPr>
        <w:pStyle w:val="SingleTxtG"/>
        <w:keepNext/>
        <w:keepLines/>
      </w:pPr>
      <w:r>
        <w:tab/>
      </w:r>
      <w:r w:rsidR="001E1C15">
        <w:t>Комитет также принимает к сведению информацию о том, что деятельность СМИ ограничивается исключительно в целях сохранения общественного порядка, государственной безопасности, защиты прав и свобод других граждан и сохранения чести, достоинства и деловой репутации отдельных лиц. Тем не менее он сожалеет об отсутствии информации о шагах, предпринятых государством-участником для снятия необоснованных ограничений на осуществление свободы выражения мнений.</w:t>
      </w:r>
      <w:r w:rsidR="005E0B35">
        <w:br/>
      </w:r>
      <w:r w:rsidR="001E1C15">
        <w:t>Он также сожалеет о том, что, согласно полученной Комитетом информации, свобода выражения мнений по-прежнему серьезно ограничивается как в Интернете, так и вне его, и повторяет свою рекомендацию.</w:t>
      </w:r>
    </w:p>
    <w:p w14:paraId="71C38B9D" w14:textId="5B03489F" w:rsidR="001E1C15" w:rsidRPr="00F97695" w:rsidRDefault="00F12DF3" w:rsidP="001E1C15">
      <w:pPr>
        <w:pStyle w:val="SingleTxtG"/>
      </w:pPr>
      <w:r>
        <w:tab/>
      </w:r>
      <w:r w:rsidR="001E1C15">
        <w:t xml:space="preserve">Принимая к сведению информацию о том, что в соответствии со статьей 30 Конституции каждый имеет право на свободу слова, свободу печати и право пользоваться средствами информации, Комитет сожалеет об отсутствии информации о мерах, принятых для обеспечения независимости органа по вещанию и лицензированию. Он также сожалеет, что, согласно информации, полученной Комитетом, власти продолжают оказывать давление на иностранные СМИ, отказывая журналистам в аккредитации, отзывая или ограничивая ее. Он далее сожалеет, что, хотя согласно статье 14 </w:t>
      </w:r>
      <w:r w:rsidR="005E0B35">
        <w:t>з</w:t>
      </w:r>
      <w:r w:rsidR="001E1C15">
        <w:t>акона «О телевидении и радиовещании» как государственные, так и независимые вещатели обязаны иметь лицензию на вещание, на практике, согласно сообщениям, лицензию обязаны получать только частные, негосударственные СМИ. Он повторяет свою рекомендацию.</w:t>
      </w:r>
    </w:p>
    <w:p w14:paraId="75CFE8B6" w14:textId="05E5AF1C" w:rsidR="001E1C15" w:rsidRPr="00F97695" w:rsidRDefault="001E1C15" w:rsidP="001E1C15">
      <w:pPr>
        <w:pStyle w:val="H1G"/>
      </w:pPr>
      <w:r>
        <w:tab/>
      </w:r>
      <w:r>
        <w:tab/>
      </w:r>
      <w:r>
        <w:rPr>
          <w:bCs/>
        </w:rPr>
        <w:t>Пункт 5</w:t>
      </w:r>
      <w:r w:rsidR="0015326B">
        <w:rPr>
          <w:bCs/>
        </w:rPr>
        <w:t>5</w:t>
      </w:r>
      <w:r>
        <w:rPr>
          <w:bCs/>
        </w:rPr>
        <w:t>: Участие в ведении государственных дел</w:t>
      </w:r>
    </w:p>
    <w:p w14:paraId="441F96DD" w14:textId="77777777" w:rsidR="001E1C15" w:rsidRPr="00F97695" w:rsidRDefault="001E1C15" w:rsidP="001E1C15">
      <w:pPr>
        <w:pStyle w:val="H23G"/>
        <w:rPr>
          <w:rFonts w:eastAsiaTheme="minorEastAsia"/>
        </w:rPr>
      </w:pPr>
      <w:r>
        <w:tab/>
      </w:r>
      <w:r>
        <w:tab/>
      </w:r>
      <w:r>
        <w:rPr>
          <w:bCs/>
        </w:rPr>
        <w:t>Резюме информации, полученной от государства-участника</w:t>
      </w:r>
    </w:p>
    <w:p w14:paraId="0AEB62CC" w14:textId="702FA31B" w:rsidR="001E1C15" w:rsidRPr="00F97695" w:rsidRDefault="00F12DF3" w:rsidP="001E1C15">
      <w:pPr>
        <w:pStyle w:val="SingleTxtG"/>
      </w:pPr>
      <w:r>
        <w:tab/>
      </w:r>
      <w:r w:rsidR="001E1C15">
        <w:t xml:space="preserve">Анализ законодательства показал, что оно полностью соответствует требованиям Пакта, включая ограничения на право быть избранным, установленные в Конституции, принятой на общенациональном референдуме, и в конституционных </w:t>
      </w:r>
      <w:r w:rsidR="001E1C15">
        <w:lastRenderedPageBreak/>
        <w:t>законах «О выборах Президента Республики Таджикистан» и «О выборах Маджлиси Оли Республики Таджикистан (Верховный Совет)». Согласно Конституции и законодательству о выборах граждане имеют полное право участвовать в политической жизни и управлении государством. Последние выборы в Верховный Совет и президентские выборы, состоявшиеся в марте и октябре 2020 года, продемонстрировали реальное осуществление избирательных прав граждан. Центральная комиссия по выборам и референдумам (ЦКВР) постоянно публиковала статьи в газетах и журналах с целью разъяснения содержания избирательного законодательства. Для выборов в Верховный Совет были подготовлены агитационные видеоролики и информационные материалы на таджикском, русском и узбекском языках, которые транслировались по телеканалам и «Радио Таджикистан», а также были опубликованы в местных газетах. Было разработано и предоставлено мобильное приложение «Выборы народных депутатов — 2020», проведены семинары для молодежи, лиц с ограниченными возможностями, женщин и Общественного совета Таджикистана.</w:t>
      </w:r>
    </w:p>
    <w:p w14:paraId="0339DCAB" w14:textId="2E33461A" w:rsidR="001E1C15" w:rsidRPr="00F97695" w:rsidRDefault="00F12DF3" w:rsidP="001E1C15">
      <w:pPr>
        <w:pStyle w:val="SingleTxtG"/>
      </w:pPr>
      <w:r>
        <w:tab/>
      </w:r>
      <w:r w:rsidR="001E1C15">
        <w:t>В целях мобилизации электората для участия в президентских выборах 2020</w:t>
      </w:r>
      <w:r>
        <w:t> </w:t>
      </w:r>
      <w:r w:rsidR="001E1C15">
        <w:t>года были подготовлены и распространены статьи, теле- и радиопередачи и информационные материалы через СМИ, сайт Центральной комиссии по выборам и референдумам и страницу в «Фейсбуке», созданную для проведения выборов. Для</w:t>
      </w:r>
      <w:r>
        <w:t> </w:t>
      </w:r>
      <w:r w:rsidR="001E1C15">
        <w:t>обмена информацией была налажена прямая электронная связь с окружными избирательными комиссиями. Для широкой общественности были проведены мероприятия по повышению осведомленности о законах о выборах, а среди избирателей было распространено 170 000 информационных листовок и буклетов.</w:t>
      </w:r>
    </w:p>
    <w:p w14:paraId="5DD33435" w14:textId="786AABA3" w:rsidR="001E1C15" w:rsidRPr="00F97695" w:rsidRDefault="00F12DF3" w:rsidP="001E1C15">
      <w:pPr>
        <w:pStyle w:val="SingleTxtG"/>
      </w:pPr>
      <w:r>
        <w:tab/>
      </w:r>
      <w:r w:rsidR="001E1C15">
        <w:t>Касательно пересмотра законодательства о безоговорочном лишении всех осужденных прав</w:t>
      </w:r>
      <w:r w:rsidR="0015326B">
        <w:t>а</w:t>
      </w:r>
      <w:r w:rsidR="001E1C15">
        <w:t xml:space="preserve"> голоса государство-участник отмечает, что некоторые осужденные не лишены права голоса. Согласно Конституции, граждане, признанные судом недееспособными либо содержащиеся в местах лишения свободы по приговору суда, лишены избирательных прав.</w:t>
      </w:r>
    </w:p>
    <w:p w14:paraId="0A86B5EB" w14:textId="2F478BD2" w:rsidR="001E1C15" w:rsidRPr="00F97695" w:rsidRDefault="00F12DF3" w:rsidP="001E1C15">
      <w:pPr>
        <w:pStyle w:val="SingleTxtG"/>
      </w:pPr>
      <w:r>
        <w:tab/>
      </w:r>
      <w:r w:rsidR="001E1C15">
        <w:t>Законодательством Республики Таджикистан предусмотрены равные условия проведения избирательной кампании для всех кандидатов. Оно предусматривает, что все кандидаты с момента их регистрации Центральной комиссией должны участвовать в избирательных кампаниях на равных основаниях и имеют равные права на использование возможностей СМИ, в том числе на радио и телевидении. В</w:t>
      </w:r>
      <w:r>
        <w:t> </w:t>
      </w:r>
      <w:r w:rsidR="001E1C15">
        <w:t>соответствии с законодательством о выборах во время предвыборной агитации политические партии представили избирателям свои предвыборные платформы и агитационные видеоролики, используя от 32 до 40 минут бесплатного эфирного времени. Кроме того, кандидаты на выборах в Палату представителей (Маджлиси намояндагон), одобренные политическими партиями, и самовыдвиженцы по одномандатным округам использовали бесплатное эфирное время для представления своих предвыборных платформ. Все кандидаты по одномандатным округам имеют право выступать по государственному телевидению и радио до 20 минут, а политические партии — до 40 минут бесплатного эфирного времени. На</w:t>
      </w:r>
      <w:r>
        <w:t> </w:t>
      </w:r>
      <w:r w:rsidR="001E1C15">
        <w:t>президентских выборах для создания равных условий для всех зарегистрированных кандидатов Центральная комиссия утвердила и оперативно внедрила порядок проведения агитации, а также единые информационные плакаты с фотографиями и биографическими данными кандидатов. Более 75 000 экземпляров были распространены в 68 округах и на 3375 избирательных участках.</w:t>
      </w:r>
    </w:p>
    <w:p w14:paraId="6CFDA89F" w14:textId="7E746402" w:rsidR="001E1C15" w:rsidRPr="00F97695" w:rsidRDefault="001E1C15" w:rsidP="001E1C15">
      <w:pPr>
        <w:pStyle w:val="H23G"/>
      </w:pPr>
      <w:r>
        <w:tab/>
      </w:r>
      <w:r>
        <w:tab/>
      </w:r>
      <w:r>
        <w:rPr>
          <w:bCs/>
        </w:rPr>
        <w:t>Оценка Комитета</w:t>
      </w:r>
    </w:p>
    <w:p w14:paraId="5A3ADB10" w14:textId="77777777" w:rsidR="001E1C15" w:rsidRPr="00F97695" w:rsidRDefault="001E1C15" w:rsidP="001E1C15">
      <w:pPr>
        <w:pStyle w:val="SingleTxtG"/>
      </w:pPr>
      <w:r>
        <w:t>[E]: a) и b)</w:t>
      </w:r>
    </w:p>
    <w:p w14:paraId="1EF2E608" w14:textId="55610E11" w:rsidR="001E1C15" w:rsidRPr="00F97695" w:rsidRDefault="00F12DF3" w:rsidP="001E1C15">
      <w:pPr>
        <w:pStyle w:val="SingleTxtG"/>
      </w:pPr>
      <w:r>
        <w:tab/>
      </w:r>
      <w:r w:rsidR="001E1C15">
        <w:t xml:space="preserve">Принимая к сведению представленную информацию о том, что в соответствии с Конституцией и законами о выборах граждане имеют полное право принимать участие в политической жизни и управлении государством, Комитет сожалеет, что выборы в марте 2020 года, как сообщается, прошли в обстановке жесткого контроля, не оставив места для плюралистических политических дебатов, и что не была представлена подлинная политическая оппозиция. Кроме того, он сожалеет, что оппозиционные партии и движения, по сообщениям, по-прежнему причисляются к </w:t>
      </w:r>
      <w:r w:rsidR="001E1C15">
        <w:lastRenderedPageBreak/>
        <w:t>экстремистским и террористическим организациям и что им было запрещено участвовать в выборах в марте 2020 года. Он повторяет свою рекомендацию.</w:t>
      </w:r>
    </w:p>
    <w:p w14:paraId="676F85FD" w14:textId="3B937C46" w:rsidR="001E1C15" w:rsidRPr="00F97695" w:rsidRDefault="003E161E" w:rsidP="001E1C15">
      <w:pPr>
        <w:pStyle w:val="SingleTxtG"/>
      </w:pPr>
      <w:r>
        <w:tab/>
      </w:r>
      <w:r w:rsidR="001E1C15">
        <w:t>Комитет выражает сожаление об отсутствии в представленной государством-участником информации сведений о преследованиях членов оппозиции и недопущении их к реальному участию в общественной жизни и избирательных процессах, а также о расследовании предполагаемого насильственного исчезновения Эхсона Одинаева. Он также сожалеет о том, что, согласно информации, полученной Комитетом, продолжаются преследования и заключение под стражу правозащитников, противников правительства и членов их семей за поддержку запрещенных оппозиционных партий. Комитет повторяет свою рекомендацию и просит предоставить конкретную информацию о ходе расследования предполагаемого насильственного исчезновения Эхсона Одинаева и о любых результатах или осуждении виновных.</w:t>
      </w:r>
    </w:p>
    <w:p w14:paraId="3C7426E2" w14:textId="77777777" w:rsidR="001E1C15" w:rsidRPr="00F97695" w:rsidRDefault="001E1C15" w:rsidP="001E1C15">
      <w:pPr>
        <w:pStyle w:val="SingleTxtG"/>
      </w:pPr>
      <w:r>
        <w:t>[C]: c), d), e) и f)</w:t>
      </w:r>
    </w:p>
    <w:p w14:paraId="4F047C20" w14:textId="241352A3" w:rsidR="001E1C15" w:rsidRPr="00F97695" w:rsidRDefault="003E161E" w:rsidP="001E1C15">
      <w:pPr>
        <w:pStyle w:val="SingleTxtG"/>
      </w:pPr>
      <w:r>
        <w:tab/>
      </w:r>
      <w:r w:rsidR="001E1C15">
        <w:t>Принимая к сведению полученную информацию о действующих законах о выборах и заявление государства-участника о том, что они совместимы с Пактом, Комитет сожалеет об отсутствии информации о конкретных шагах, предпринятых после принятия заключительных замечаний для пересмотра ограничений на право быть избранным. Он также сожалеет, что ограничительные требования для участия в выборах, включая требования, связанные с местом жительства, языком и образованием, как сообщается, не были пересмотрены. Он повторяет свою рекомендацию.</w:t>
      </w:r>
    </w:p>
    <w:p w14:paraId="7A1AB129" w14:textId="1455FC74" w:rsidR="001E1C15" w:rsidRPr="00F97695" w:rsidRDefault="003E161E" w:rsidP="001E1C15">
      <w:pPr>
        <w:pStyle w:val="SingleTxtG"/>
      </w:pPr>
      <w:r>
        <w:tab/>
      </w:r>
      <w:r w:rsidR="001E1C15">
        <w:t>Принимая к сведению представленную информацию о том, что некоторые осужденные не лишены права голоса, Комитет сожалеет, что не было принято никаких мер по пересмотру законодательства, которое предусматривает полный отказ в праве голоса для всех осужденных заключенных и любых лиц, признанных судом недееспособными. Он повторяет свою рекомендацию.</w:t>
      </w:r>
    </w:p>
    <w:p w14:paraId="6D0B746B" w14:textId="41C29B53" w:rsidR="001E1C15" w:rsidRPr="00F97695" w:rsidRDefault="003E161E" w:rsidP="001E1C15">
      <w:pPr>
        <w:pStyle w:val="SingleTxtG"/>
      </w:pPr>
      <w:r>
        <w:tab/>
      </w:r>
      <w:r w:rsidR="001E1C15">
        <w:t>Принимая к сведению информацию о деятельности Центральной комиссии по выборам и референдумам и распространении информации о ее работе, Комитет сожалеет об отсутствии в представленной государством-участником информации сведений об усилиях, приложенных для обеспечения полной независимости Комиссии. Он также сожалеет, что, согласно информации, полученной Комитетом, Комиссия не добилась прозрачности, учитывая, что информация о важных решениях, дезагрегированные данные о регистрации избирателей и кандидатов, а также данные о распределении бюллетеней и подробные результаты голосования не были опубликованы. Кроме того, Комитет сожалеет, что члены Комиссии, как сообщается, были выдвинуты Президентом и утверждены парламентом без обсуждения и что процесс назначения не был прозрачным, в частности в том, что не были обнародованы критерии назначения. Он повторяет свою рекомендацию.</w:t>
      </w:r>
    </w:p>
    <w:p w14:paraId="6B7E16E4" w14:textId="61CD86EF" w:rsidR="001E1C15" w:rsidRPr="00871D9E" w:rsidRDefault="003E161E" w:rsidP="001E1C15">
      <w:pPr>
        <w:pStyle w:val="SingleTxtG"/>
      </w:pPr>
      <w:r>
        <w:tab/>
      </w:r>
      <w:r w:rsidR="001E1C15">
        <w:t>Приветствуя представленную информацию о доступе политических партий и кандидатов к бесплатному общественному вещанию и соответствующем эфирном времени, предоставленном различным политическим партиям, Комитет обеспокоен тем, что соответствующими государственными органами или независимыми наблюдателями не было представлено никаких доказательств того, что конкуренты на выборах использовали эфирное время или печатную площадь в СМИ, гарантированные законами о выборах. Он сожалеет о том, что, согласно информации, полученной Комитетом, в Душанбе плакаты президентской Народно-демократической партии Таджикистана, видимые общественности, превышали по количеству плакаты других партий, участвовавших в выборах. Он повторяет свою рекомендацию.</w:t>
      </w:r>
    </w:p>
    <w:p w14:paraId="5F4129EE" w14:textId="77777777" w:rsidR="001E1C15" w:rsidRPr="00F97695" w:rsidRDefault="001E1C15" w:rsidP="001E1C15">
      <w:pPr>
        <w:pStyle w:val="SingleTxtG"/>
      </w:pPr>
      <w:r w:rsidRPr="00F97695">
        <w:rPr>
          <w:b/>
          <w:bCs/>
        </w:rPr>
        <w:t>Рекомендуемые действия</w:t>
      </w:r>
      <w:r>
        <w:t>: следует направить письмо, извещающее государство-участник о прекращении процедуры последующей деятельности. Запрашиваемая информация должна быть включена в следующий периодический доклад государства-участника.</w:t>
      </w:r>
    </w:p>
    <w:p w14:paraId="61F26819" w14:textId="77777777" w:rsidR="001E1C15" w:rsidRPr="00F97695" w:rsidRDefault="001E1C15" w:rsidP="001E1C15">
      <w:pPr>
        <w:pStyle w:val="SingleTxtG"/>
      </w:pPr>
      <w:r>
        <w:rPr>
          <w:b/>
          <w:bCs/>
        </w:rPr>
        <w:lastRenderedPageBreak/>
        <w:t>Сроки представления следующего периодического доклада</w:t>
      </w:r>
      <w:r>
        <w:t>: 2028 год (страновой обзор в 2029 году в соответствии с планируемым циклом обзора).</w:t>
      </w:r>
    </w:p>
    <w:p w14:paraId="2B9082B7" w14:textId="77777777" w:rsidR="001E1C15" w:rsidRPr="00F97695" w:rsidRDefault="001E1C15" w:rsidP="001E1C15">
      <w:pPr>
        <w:spacing w:before="240"/>
        <w:jc w:val="center"/>
      </w:pPr>
      <w:r w:rsidRPr="00F97695">
        <w:rPr>
          <w:u w:val="single"/>
        </w:rPr>
        <w:tab/>
      </w:r>
      <w:r w:rsidRPr="00F97695">
        <w:rPr>
          <w:u w:val="single"/>
        </w:rPr>
        <w:tab/>
      </w:r>
      <w:r w:rsidRPr="00F97695">
        <w:rPr>
          <w:u w:val="single"/>
        </w:rPr>
        <w:tab/>
      </w:r>
    </w:p>
    <w:p w14:paraId="604F5C60" w14:textId="77777777" w:rsidR="00381C24" w:rsidRPr="00BC18B2" w:rsidRDefault="00381C24" w:rsidP="0075523D"/>
    <w:sectPr w:rsidR="00381C24" w:rsidRPr="00BC18B2" w:rsidSect="0036334B">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B70AB" w14:textId="77777777" w:rsidR="000814B5" w:rsidRPr="00A312BC" w:rsidRDefault="000814B5" w:rsidP="00A312BC"/>
  </w:endnote>
  <w:endnote w:type="continuationSeparator" w:id="0">
    <w:p w14:paraId="3D24BB86" w14:textId="77777777" w:rsidR="000814B5" w:rsidRPr="00A312BC" w:rsidRDefault="000814B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06DDD" w14:textId="52556F43" w:rsidR="0036334B" w:rsidRPr="0036334B" w:rsidRDefault="0036334B">
    <w:pPr>
      <w:pStyle w:val="a8"/>
    </w:pPr>
    <w:r w:rsidRPr="0036334B">
      <w:rPr>
        <w:b/>
        <w:sz w:val="18"/>
      </w:rPr>
      <w:fldChar w:fldCharType="begin"/>
    </w:r>
    <w:r w:rsidRPr="0036334B">
      <w:rPr>
        <w:b/>
        <w:sz w:val="18"/>
      </w:rPr>
      <w:instrText xml:space="preserve"> PAGE  \* MERGEFORMAT </w:instrText>
    </w:r>
    <w:r w:rsidRPr="0036334B">
      <w:rPr>
        <w:b/>
        <w:sz w:val="18"/>
      </w:rPr>
      <w:fldChar w:fldCharType="separate"/>
    </w:r>
    <w:r w:rsidRPr="0036334B">
      <w:rPr>
        <w:b/>
        <w:noProof/>
        <w:sz w:val="18"/>
      </w:rPr>
      <w:t>2</w:t>
    </w:r>
    <w:r w:rsidRPr="0036334B">
      <w:rPr>
        <w:b/>
        <w:sz w:val="18"/>
      </w:rPr>
      <w:fldChar w:fldCharType="end"/>
    </w:r>
    <w:r>
      <w:rPr>
        <w:b/>
        <w:sz w:val="18"/>
      </w:rPr>
      <w:tab/>
    </w:r>
    <w:r>
      <w:t>GE.23-06040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C1E5C" w14:textId="77D6087B" w:rsidR="0036334B" w:rsidRPr="0036334B" w:rsidRDefault="0036334B" w:rsidP="0036334B">
    <w:pPr>
      <w:pStyle w:val="a8"/>
      <w:tabs>
        <w:tab w:val="clear" w:pos="9639"/>
        <w:tab w:val="right" w:pos="9638"/>
      </w:tabs>
      <w:rPr>
        <w:b/>
        <w:sz w:val="18"/>
      </w:rPr>
    </w:pPr>
    <w:r>
      <w:t>GE.23-06040</w:t>
    </w:r>
    <w:r>
      <w:tab/>
    </w:r>
    <w:r w:rsidRPr="0036334B">
      <w:rPr>
        <w:b/>
        <w:sz w:val="18"/>
      </w:rPr>
      <w:fldChar w:fldCharType="begin"/>
    </w:r>
    <w:r w:rsidRPr="0036334B">
      <w:rPr>
        <w:b/>
        <w:sz w:val="18"/>
      </w:rPr>
      <w:instrText xml:space="preserve"> PAGE  \* MERGEFORMAT </w:instrText>
    </w:r>
    <w:r w:rsidRPr="0036334B">
      <w:rPr>
        <w:b/>
        <w:sz w:val="18"/>
      </w:rPr>
      <w:fldChar w:fldCharType="separate"/>
    </w:r>
    <w:r w:rsidRPr="0036334B">
      <w:rPr>
        <w:b/>
        <w:noProof/>
        <w:sz w:val="18"/>
      </w:rPr>
      <w:t>3</w:t>
    </w:r>
    <w:r w:rsidRPr="0036334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605E2" w14:textId="302BC3B6" w:rsidR="00042B72" w:rsidRPr="00F0435B" w:rsidRDefault="0036334B" w:rsidP="0036334B">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EBABC01" wp14:editId="244FC72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23-06040  (R)</w:t>
    </w:r>
    <w:r>
      <w:rPr>
        <w:noProof/>
      </w:rPr>
      <w:drawing>
        <wp:anchor distT="0" distB="0" distL="114300" distR="114300" simplePos="0" relativeHeight="251659264" behindDoc="0" locked="0" layoutInCell="1" allowOverlap="1" wp14:anchorId="0F4F8B21" wp14:editId="7B39E811">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0435B">
      <w:rPr>
        <w:lang w:val="en-US"/>
      </w:rPr>
      <w:t xml:space="preserve">  270623  </w:t>
    </w:r>
    <w:r w:rsidR="00697C4E">
      <w:rPr>
        <w:lang w:val="en-US"/>
      </w:rPr>
      <w:t>060923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0001A" w14:textId="77777777" w:rsidR="000814B5" w:rsidRPr="001075E9" w:rsidRDefault="000814B5" w:rsidP="001075E9">
      <w:pPr>
        <w:tabs>
          <w:tab w:val="right" w:pos="2155"/>
        </w:tabs>
        <w:spacing w:after="80" w:line="240" w:lineRule="auto"/>
        <w:ind w:left="680"/>
        <w:rPr>
          <w:u w:val="single"/>
        </w:rPr>
      </w:pPr>
      <w:r>
        <w:rPr>
          <w:u w:val="single"/>
        </w:rPr>
        <w:tab/>
      </w:r>
    </w:p>
  </w:footnote>
  <w:footnote w:type="continuationSeparator" w:id="0">
    <w:p w14:paraId="3835F05F" w14:textId="77777777" w:rsidR="000814B5" w:rsidRDefault="000814B5" w:rsidP="00407B78">
      <w:pPr>
        <w:tabs>
          <w:tab w:val="right" w:pos="2155"/>
        </w:tabs>
        <w:spacing w:after="80"/>
        <w:ind w:left="680"/>
        <w:rPr>
          <w:u w:val="single"/>
        </w:rPr>
      </w:pPr>
      <w:r>
        <w:rPr>
          <w:u w:val="single"/>
        </w:rPr>
        <w:tab/>
      </w:r>
    </w:p>
  </w:footnote>
  <w:footnote w:id="1">
    <w:p w14:paraId="61F37514" w14:textId="2D2E4E1A" w:rsidR="001E1C15" w:rsidRPr="00F97695" w:rsidRDefault="001E1C15" w:rsidP="001E1C15">
      <w:pPr>
        <w:pStyle w:val="ad"/>
      </w:pPr>
      <w:r>
        <w:tab/>
        <w:t>*</w:t>
      </w:r>
      <w:r>
        <w:tab/>
        <w:t xml:space="preserve">Принят Комитетом на его сто тридцать седьмой сессии (27 февраля </w:t>
      </w:r>
      <w:r w:rsidR="009F10AA">
        <w:t>—</w:t>
      </w:r>
      <w:r>
        <w:t xml:space="preserve"> 24 марта 2023 года).</w:t>
      </w:r>
    </w:p>
  </w:footnote>
  <w:footnote w:id="2">
    <w:p w14:paraId="0852C770" w14:textId="3C950CE6" w:rsidR="009F10AA" w:rsidRDefault="009F10AA">
      <w:pPr>
        <w:pStyle w:val="ad"/>
      </w:pPr>
      <w:r>
        <w:tab/>
      </w:r>
      <w:r>
        <w:rPr>
          <w:rStyle w:val="aa"/>
        </w:rPr>
        <w:footnoteRef/>
      </w:r>
      <w:r>
        <w:tab/>
      </w:r>
      <w:r w:rsidRPr="009F10AA">
        <w:t>Пункты, содержащие рекомендации Комитета, в настоящем документе не воспроизводятся в</w:t>
      </w:r>
      <w:r w:rsidR="00FA4A3F">
        <w:t> </w:t>
      </w:r>
      <w:r w:rsidRPr="009F10AA">
        <w:t xml:space="preserve">связи с ограничением объема, установленным в резолюции </w:t>
      </w:r>
      <w:hyperlink r:id="rId1" w:history="1">
        <w:r w:rsidR="00BE733F">
          <w:rPr>
            <w:rStyle w:val="af1"/>
          </w:rPr>
          <w:t>68/268</w:t>
        </w:r>
      </w:hyperlink>
      <w:r w:rsidRPr="009F10AA">
        <w:t xml:space="preserve"> Генеральной Ассамблеи, п.</w:t>
      </w:r>
      <w:r>
        <w:t> </w:t>
      </w:r>
      <w:r w:rsidRPr="009F10AA">
        <w:t>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DC7A4" w14:textId="4899220E" w:rsidR="0036334B" w:rsidRPr="0036334B" w:rsidRDefault="0036334B">
    <w:pPr>
      <w:pStyle w:val="a5"/>
    </w:pPr>
    <w:fldSimple w:instr=" TITLE  \* MERGEFORMAT ">
      <w:r w:rsidR="00086D55">
        <w:t>CCPR/C/137/2/Add.4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F9E43" w14:textId="16D3EFC2" w:rsidR="0036334B" w:rsidRPr="0036334B" w:rsidRDefault="0036334B" w:rsidP="0036334B">
    <w:pPr>
      <w:pStyle w:val="a5"/>
      <w:jc w:val="right"/>
    </w:pPr>
    <w:fldSimple w:instr=" TITLE  \* MERGEFORMAT ">
      <w:r w:rsidR="00086D55">
        <w:t>CCPR/C/137/2/Add.4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4B5"/>
    <w:rsid w:val="00033EE1"/>
    <w:rsid w:val="000358F2"/>
    <w:rsid w:val="00042B72"/>
    <w:rsid w:val="000558BD"/>
    <w:rsid w:val="000674B7"/>
    <w:rsid w:val="000814B5"/>
    <w:rsid w:val="00086D55"/>
    <w:rsid w:val="000B57E7"/>
    <w:rsid w:val="000B6373"/>
    <w:rsid w:val="000F09DF"/>
    <w:rsid w:val="000F14F6"/>
    <w:rsid w:val="000F61B2"/>
    <w:rsid w:val="001075E9"/>
    <w:rsid w:val="0015326B"/>
    <w:rsid w:val="00180183"/>
    <w:rsid w:val="0018024D"/>
    <w:rsid w:val="0018649F"/>
    <w:rsid w:val="00196389"/>
    <w:rsid w:val="001A3A54"/>
    <w:rsid w:val="001B3EF6"/>
    <w:rsid w:val="001C7A89"/>
    <w:rsid w:val="001E1C15"/>
    <w:rsid w:val="00247B71"/>
    <w:rsid w:val="00254812"/>
    <w:rsid w:val="002A2EFC"/>
    <w:rsid w:val="002C0E18"/>
    <w:rsid w:val="002D5AAC"/>
    <w:rsid w:val="002E00F0"/>
    <w:rsid w:val="002E5067"/>
    <w:rsid w:val="002F405F"/>
    <w:rsid w:val="002F7EEC"/>
    <w:rsid w:val="00301299"/>
    <w:rsid w:val="00305C08"/>
    <w:rsid w:val="00307FB6"/>
    <w:rsid w:val="00317339"/>
    <w:rsid w:val="00322004"/>
    <w:rsid w:val="0032326A"/>
    <w:rsid w:val="003402C2"/>
    <w:rsid w:val="0036334B"/>
    <w:rsid w:val="00375F01"/>
    <w:rsid w:val="00381C24"/>
    <w:rsid w:val="003958D0"/>
    <w:rsid w:val="003B00E5"/>
    <w:rsid w:val="003E161E"/>
    <w:rsid w:val="00407B78"/>
    <w:rsid w:val="00424203"/>
    <w:rsid w:val="00452493"/>
    <w:rsid w:val="00454E07"/>
    <w:rsid w:val="00472C5C"/>
    <w:rsid w:val="004765D3"/>
    <w:rsid w:val="004969B2"/>
    <w:rsid w:val="0050108D"/>
    <w:rsid w:val="00513081"/>
    <w:rsid w:val="00517901"/>
    <w:rsid w:val="00526683"/>
    <w:rsid w:val="005513F3"/>
    <w:rsid w:val="005709E0"/>
    <w:rsid w:val="00572E19"/>
    <w:rsid w:val="005961C8"/>
    <w:rsid w:val="005D7914"/>
    <w:rsid w:val="005E0B35"/>
    <w:rsid w:val="005E2B41"/>
    <w:rsid w:val="005F0B42"/>
    <w:rsid w:val="00666B97"/>
    <w:rsid w:val="00681A10"/>
    <w:rsid w:val="00697C4E"/>
    <w:rsid w:val="006A1ED8"/>
    <w:rsid w:val="006C2031"/>
    <w:rsid w:val="006D461A"/>
    <w:rsid w:val="006F35EE"/>
    <w:rsid w:val="007021FF"/>
    <w:rsid w:val="00712895"/>
    <w:rsid w:val="0075523D"/>
    <w:rsid w:val="00757357"/>
    <w:rsid w:val="00776FC6"/>
    <w:rsid w:val="00787D3A"/>
    <w:rsid w:val="00791B9D"/>
    <w:rsid w:val="00822605"/>
    <w:rsid w:val="00825F8D"/>
    <w:rsid w:val="00831DC1"/>
    <w:rsid w:val="00834B71"/>
    <w:rsid w:val="0086445C"/>
    <w:rsid w:val="00894693"/>
    <w:rsid w:val="008A08D7"/>
    <w:rsid w:val="008B6909"/>
    <w:rsid w:val="00906890"/>
    <w:rsid w:val="00911BE4"/>
    <w:rsid w:val="00931A71"/>
    <w:rsid w:val="00951972"/>
    <w:rsid w:val="009608F3"/>
    <w:rsid w:val="009918E2"/>
    <w:rsid w:val="009A24AC"/>
    <w:rsid w:val="009D21FD"/>
    <w:rsid w:val="009F10AA"/>
    <w:rsid w:val="00A05E54"/>
    <w:rsid w:val="00A14DA8"/>
    <w:rsid w:val="00A312BC"/>
    <w:rsid w:val="00A34D07"/>
    <w:rsid w:val="00A5117D"/>
    <w:rsid w:val="00A84021"/>
    <w:rsid w:val="00A84D35"/>
    <w:rsid w:val="00A917B3"/>
    <w:rsid w:val="00AB4B51"/>
    <w:rsid w:val="00AD6F87"/>
    <w:rsid w:val="00AE256B"/>
    <w:rsid w:val="00B10CC7"/>
    <w:rsid w:val="00B136DB"/>
    <w:rsid w:val="00B42DD0"/>
    <w:rsid w:val="00B539E7"/>
    <w:rsid w:val="00B62458"/>
    <w:rsid w:val="00BC18B2"/>
    <w:rsid w:val="00BC3629"/>
    <w:rsid w:val="00BD33EE"/>
    <w:rsid w:val="00BE733F"/>
    <w:rsid w:val="00BF1A04"/>
    <w:rsid w:val="00C0177C"/>
    <w:rsid w:val="00C106D6"/>
    <w:rsid w:val="00C45DBE"/>
    <w:rsid w:val="00C46D5A"/>
    <w:rsid w:val="00C60F0C"/>
    <w:rsid w:val="00C805C9"/>
    <w:rsid w:val="00C92939"/>
    <w:rsid w:val="00CA1679"/>
    <w:rsid w:val="00CB151C"/>
    <w:rsid w:val="00CE5A1A"/>
    <w:rsid w:val="00CF55F6"/>
    <w:rsid w:val="00D33D63"/>
    <w:rsid w:val="00D663A7"/>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0435B"/>
    <w:rsid w:val="00F12DF3"/>
    <w:rsid w:val="00F43903"/>
    <w:rsid w:val="00F94155"/>
    <w:rsid w:val="00F9783F"/>
    <w:rsid w:val="00FA4A3F"/>
    <w:rsid w:val="00FC636C"/>
    <w:rsid w:val="00FD2EF7"/>
    <w:rsid w:val="00FE447E"/>
    <w:rsid w:val="00FF7175"/>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B971D7"/>
  <w15:docId w15:val="{DBF5725B-C872-4E03-8F00-645BFBCED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styleId="af3">
    <w:name w:val="Unresolved Mention"/>
    <w:basedOn w:val="a0"/>
    <w:uiPriority w:val="99"/>
    <w:semiHidden/>
    <w:unhideWhenUsed/>
    <w:rsid w:val="009F10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ru/CCPR/C/TJK/FCO/3" TargetMode="External"/><Relationship Id="rId4" Type="http://schemas.openxmlformats.org/officeDocument/2006/relationships/settings" Target="settings.xml"/><Relationship Id="rId9" Type="http://schemas.openxmlformats.org/officeDocument/2006/relationships/hyperlink" Target="http://undocs.org/ru/CCPR/C/TJK/CO/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ru/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D161D-9513-45AA-9B8A-4EA2961A3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7</Pages>
  <Words>2517</Words>
  <Characters>17756</Characters>
  <Application>Microsoft Office Word</Application>
  <DocSecurity>0</DocSecurity>
  <Lines>1972</Lines>
  <Paragraphs>519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CCPR/C/137/2/Add.4</vt:lpstr>
      <vt:lpstr>A/</vt:lpstr>
      <vt:lpstr>A/</vt:lpstr>
    </vt:vector>
  </TitlesOfParts>
  <Company>DCM</Company>
  <LinksUpToDate>false</LinksUpToDate>
  <CharactersWithSpaces>19754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CCPR/C/137/2/Add.4</dc:title>
  <dc:subject/>
  <dc:creator>Uliana ANTIPOVA</dc:creator>
  <cp:keywords/>
  <cp:lastModifiedBy>Uliana Antipova</cp:lastModifiedBy>
  <cp:revision>3</cp:revision>
  <cp:lastPrinted>2023-09-06T07:24:00Z</cp:lastPrinted>
  <dcterms:created xsi:type="dcterms:W3CDTF">2023-09-06T07:24:00Z</dcterms:created>
  <dcterms:modified xsi:type="dcterms:W3CDTF">2023-09-06T07:25:00Z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