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C91908" w14:textId="77777777" w:rsidTr="00213632">
        <w:trPr>
          <w:trHeight w:hRule="exact" w:val="851"/>
        </w:trPr>
        <w:tc>
          <w:tcPr>
            <w:tcW w:w="1276" w:type="dxa"/>
            <w:tcBorders>
              <w:bottom w:val="single" w:sz="4" w:space="0" w:color="auto"/>
            </w:tcBorders>
          </w:tcPr>
          <w:p w14:paraId="45A0735B" w14:textId="77777777" w:rsidR="002D5AAC" w:rsidRDefault="002D5AAC" w:rsidP="0078182C">
            <w:pPr>
              <w:kinsoku w:val="0"/>
              <w:overflowPunct w:val="0"/>
              <w:autoSpaceDE w:val="0"/>
              <w:autoSpaceDN w:val="0"/>
              <w:adjustRightInd w:val="0"/>
              <w:snapToGrid w:val="0"/>
            </w:pPr>
          </w:p>
        </w:tc>
        <w:tc>
          <w:tcPr>
            <w:tcW w:w="2268" w:type="dxa"/>
            <w:tcBorders>
              <w:bottom w:val="single" w:sz="4" w:space="0" w:color="auto"/>
            </w:tcBorders>
            <w:vAlign w:val="bottom"/>
          </w:tcPr>
          <w:p w14:paraId="37763B48"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CD0F19" w14:textId="68CFC2E4" w:rsidR="002D5AAC" w:rsidRDefault="0078182C" w:rsidP="0078182C">
            <w:pPr>
              <w:jc w:val="right"/>
            </w:pPr>
            <w:r w:rsidRPr="0078182C">
              <w:rPr>
                <w:sz w:val="40"/>
              </w:rPr>
              <w:t>CERD</w:t>
            </w:r>
            <w:r>
              <w:t>/C/SMR/FCO/1</w:t>
            </w:r>
          </w:p>
        </w:tc>
      </w:tr>
      <w:tr w:rsidR="002D5AAC" w14:paraId="71B637F2" w14:textId="77777777" w:rsidTr="00213632">
        <w:trPr>
          <w:trHeight w:hRule="exact" w:val="2835"/>
        </w:trPr>
        <w:tc>
          <w:tcPr>
            <w:tcW w:w="1276" w:type="dxa"/>
            <w:tcBorders>
              <w:top w:val="single" w:sz="4" w:space="0" w:color="auto"/>
              <w:bottom w:val="single" w:sz="12" w:space="0" w:color="auto"/>
            </w:tcBorders>
          </w:tcPr>
          <w:p w14:paraId="13D237C7" w14:textId="77777777" w:rsidR="002D5AAC" w:rsidRDefault="00CC15A3" w:rsidP="00213632">
            <w:pPr>
              <w:spacing w:before="120"/>
              <w:jc w:val="center"/>
            </w:pPr>
            <w:r>
              <w:rPr>
                <w:noProof/>
              </w:rPr>
              <w:drawing>
                <wp:inline distT="0" distB="0" distL="0" distR="0" wp14:anchorId="1F62C59F" wp14:editId="2B442D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2880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FA41385" w14:textId="77777777" w:rsidR="002D5AAC" w:rsidRDefault="0078182C" w:rsidP="00213632">
            <w:pPr>
              <w:spacing w:before="240"/>
            </w:pPr>
            <w:r>
              <w:t>Distr. general</w:t>
            </w:r>
          </w:p>
          <w:p w14:paraId="3991D8E6" w14:textId="77777777" w:rsidR="0078182C" w:rsidRDefault="0078182C" w:rsidP="0078182C">
            <w:pPr>
              <w:spacing w:line="240" w:lineRule="exact"/>
            </w:pPr>
            <w:r>
              <w:t>5 de mayo de 2025</w:t>
            </w:r>
          </w:p>
          <w:p w14:paraId="576CC52C" w14:textId="77777777" w:rsidR="0078182C" w:rsidRDefault="0078182C" w:rsidP="0078182C">
            <w:pPr>
              <w:spacing w:line="240" w:lineRule="exact"/>
            </w:pPr>
            <w:r>
              <w:t>Español</w:t>
            </w:r>
          </w:p>
          <w:p w14:paraId="02933349" w14:textId="77777777" w:rsidR="0078182C" w:rsidRDefault="0078182C" w:rsidP="0078182C">
            <w:pPr>
              <w:spacing w:line="240" w:lineRule="exact"/>
            </w:pPr>
            <w:r>
              <w:t>Original: inglés</w:t>
            </w:r>
          </w:p>
          <w:p w14:paraId="1619AAB2" w14:textId="10B18751" w:rsidR="0078182C" w:rsidRDefault="0078182C" w:rsidP="0078182C">
            <w:pPr>
              <w:spacing w:line="240" w:lineRule="exact"/>
            </w:pPr>
            <w:r>
              <w:t>Español, francés e inglés únicamente</w:t>
            </w:r>
          </w:p>
        </w:tc>
      </w:tr>
    </w:tbl>
    <w:p w14:paraId="214009AE" w14:textId="77777777" w:rsidR="0078182C" w:rsidRPr="0078182C" w:rsidRDefault="0078182C" w:rsidP="0078182C">
      <w:pPr>
        <w:spacing w:before="120" w:line="240" w:lineRule="auto"/>
        <w:rPr>
          <w:b/>
          <w:bCs/>
          <w:sz w:val="24"/>
          <w:szCs w:val="24"/>
        </w:rPr>
      </w:pPr>
      <w:r w:rsidRPr="0078182C">
        <w:rPr>
          <w:b/>
          <w:bCs/>
          <w:sz w:val="24"/>
          <w:szCs w:val="24"/>
        </w:rPr>
        <w:t>Comité para la Eliminación de la Discriminación Racial</w:t>
      </w:r>
    </w:p>
    <w:p w14:paraId="30C01521" w14:textId="77777777" w:rsidR="0078182C" w:rsidRPr="0078182C" w:rsidRDefault="0078182C" w:rsidP="0078182C">
      <w:pPr>
        <w:spacing w:line="240" w:lineRule="auto"/>
        <w:rPr>
          <w:b/>
        </w:rPr>
      </w:pPr>
      <w:r w:rsidRPr="0078182C">
        <w:rPr>
          <w:b/>
          <w:bCs/>
        </w:rPr>
        <w:t>116º período de sesiones</w:t>
      </w:r>
    </w:p>
    <w:p w14:paraId="53F76050" w14:textId="77777777" w:rsidR="0078182C" w:rsidRPr="0078182C" w:rsidRDefault="0078182C" w:rsidP="0078182C">
      <w:pPr>
        <w:spacing w:line="240" w:lineRule="auto"/>
        <w:rPr>
          <w:bCs/>
        </w:rPr>
      </w:pPr>
      <w:r w:rsidRPr="0078182C">
        <w:t>Ginebra, 11 a 29 de agosto de 2025</w:t>
      </w:r>
    </w:p>
    <w:p w14:paraId="6AF2E3D3" w14:textId="77777777" w:rsidR="0078182C" w:rsidRDefault="0078182C" w:rsidP="0078182C">
      <w:pPr>
        <w:spacing w:line="240" w:lineRule="auto"/>
        <w:rPr>
          <w:b/>
          <w:bCs/>
        </w:rPr>
      </w:pPr>
      <w:r w:rsidRPr="0078182C">
        <w:rPr>
          <w:b/>
          <w:bCs/>
        </w:rPr>
        <w:t xml:space="preserve">Examen de los informes, las observaciones y la información </w:t>
      </w:r>
    </w:p>
    <w:p w14:paraId="3EB84009" w14:textId="77777777" w:rsidR="0078182C" w:rsidRDefault="0078182C" w:rsidP="0078182C">
      <w:pPr>
        <w:spacing w:line="240" w:lineRule="auto"/>
        <w:rPr>
          <w:b/>
          <w:bCs/>
        </w:rPr>
      </w:pPr>
      <w:r w:rsidRPr="0078182C">
        <w:rPr>
          <w:b/>
          <w:bCs/>
        </w:rPr>
        <w:t xml:space="preserve">presentados por los Estados partes en virtud del artículo 9 </w:t>
      </w:r>
    </w:p>
    <w:p w14:paraId="5436C849" w14:textId="031B05C0" w:rsidR="0078182C" w:rsidRPr="0078182C" w:rsidRDefault="0078182C" w:rsidP="0078182C">
      <w:pPr>
        <w:spacing w:line="240" w:lineRule="auto"/>
        <w:rPr>
          <w:b/>
        </w:rPr>
      </w:pPr>
      <w:r w:rsidRPr="0078182C">
        <w:rPr>
          <w:b/>
          <w:bCs/>
        </w:rPr>
        <w:t>de la Convención</w:t>
      </w:r>
    </w:p>
    <w:p w14:paraId="54AE6F96" w14:textId="56EFF897" w:rsidR="0078182C" w:rsidRPr="0078182C" w:rsidRDefault="0078182C" w:rsidP="0078182C">
      <w:pPr>
        <w:pStyle w:val="HChG"/>
      </w:pPr>
      <w:r>
        <w:tab/>
      </w:r>
      <w:r w:rsidRPr="0078182C">
        <w:tab/>
        <w:t>Información recibida de San Marino relativa al seguimiento de las observaciones finales sobre su informe inicial</w:t>
      </w:r>
      <w:r w:rsidRPr="0078182C">
        <w:rPr>
          <w:rStyle w:val="Refdenotaalpie"/>
          <w:b w:val="0"/>
          <w:bCs/>
          <w:sz w:val="20"/>
          <w:vertAlign w:val="baseline"/>
        </w:rPr>
        <w:footnoteReference w:customMarkFollows="1" w:id="1"/>
        <w:t>*</w:t>
      </w:r>
    </w:p>
    <w:p w14:paraId="42FBA9E1" w14:textId="77777777" w:rsidR="0078182C" w:rsidRPr="0078182C" w:rsidRDefault="0078182C" w:rsidP="0078182C">
      <w:pPr>
        <w:pStyle w:val="SingleTxtG"/>
        <w:jc w:val="right"/>
      </w:pPr>
      <w:r w:rsidRPr="0078182C">
        <w:t>[Fecha de recepción: 24 de abril de 2025]</w:t>
      </w:r>
    </w:p>
    <w:p w14:paraId="4BB0F527" w14:textId="77777777" w:rsidR="0078182C" w:rsidRPr="0078182C" w:rsidRDefault="0078182C" w:rsidP="0078182C">
      <w:pPr>
        <w:spacing w:line="240" w:lineRule="auto"/>
      </w:pPr>
      <w:r w:rsidRPr="0078182C">
        <w:br w:type="page"/>
      </w:r>
    </w:p>
    <w:p w14:paraId="5EB9BFE5" w14:textId="6952DED1" w:rsidR="0078182C" w:rsidRPr="0078182C" w:rsidRDefault="0078182C" w:rsidP="0078182C">
      <w:pPr>
        <w:pStyle w:val="HChG"/>
      </w:pPr>
      <w:r>
        <w:lastRenderedPageBreak/>
        <w:tab/>
      </w:r>
      <w:r w:rsidRPr="0078182C">
        <w:tab/>
        <w:t>Información recibida en relación con el seguimiento de</w:t>
      </w:r>
      <w:r>
        <w:t> </w:t>
      </w:r>
      <w:r w:rsidRPr="0078182C">
        <w:t>las</w:t>
      </w:r>
      <w:r>
        <w:t> </w:t>
      </w:r>
      <w:r w:rsidRPr="0078182C">
        <w:t>observaciones finales (CERD/C/SMR/CO/1)</w:t>
      </w:r>
    </w:p>
    <w:p w14:paraId="17038F28" w14:textId="77777777" w:rsidR="0078182C" w:rsidRPr="0078182C" w:rsidRDefault="0078182C" w:rsidP="0078182C">
      <w:pPr>
        <w:pStyle w:val="H1G"/>
      </w:pPr>
      <w:r w:rsidRPr="0078182C">
        <w:tab/>
        <w:t>A.</w:t>
      </w:r>
      <w:r w:rsidRPr="0078182C">
        <w:tab/>
        <w:t>Información relativa al párrafo 12</w:t>
      </w:r>
      <w:bookmarkStart w:id="0" w:name="_Hlk179441565"/>
    </w:p>
    <w:p w14:paraId="7E97B8A2" w14:textId="77777777" w:rsidR="0078182C" w:rsidRPr="0078182C" w:rsidRDefault="0078182C" w:rsidP="0078182C">
      <w:pPr>
        <w:pStyle w:val="SingleTxtG"/>
      </w:pPr>
      <w:r w:rsidRPr="0078182C">
        <w:t>1.</w:t>
      </w:r>
      <w:r w:rsidRPr="0078182C">
        <w:tab/>
        <w:t>Está previsto que a finales de 2025 se apruebe una medida regulatoria para establecer la figura del Defensor del Pueblo, de conformidad con los Principios de París. Se espera que la institución del Defensor del Pueblo empiece a funcionar a plena capacidad en 2026.</w:t>
      </w:r>
    </w:p>
    <w:p w14:paraId="1D932D84" w14:textId="77777777" w:rsidR="0078182C" w:rsidRPr="0078182C" w:rsidRDefault="0078182C" w:rsidP="0078182C">
      <w:pPr>
        <w:pStyle w:val="H1G"/>
      </w:pPr>
      <w:r w:rsidRPr="0078182C">
        <w:tab/>
        <w:t>B.</w:t>
      </w:r>
      <w:r w:rsidRPr="0078182C">
        <w:tab/>
        <w:t>Información relativa al párrafo 24 e)</w:t>
      </w:r>
    </w:p>
    <w:p w14:paraId="3245F4CD" w14:textId="77777777" w:rsidR="0078182C" w:rsidRPr="0078182C" w:rsidRDefault="0078182C" w:rsidP="0078182C">
      <w:pPr>
        <w:pStyle w:val="SingleTxtG"/>
      </w:pPr>
      <w:r w:rsidRPr="0078182C">
        <w:t>2.</w:t>
      </w:r>
      <w:r w:rsidRPr="0078182C">
        <w:tab/>
        <w:t>Las autoridades de San Marino están elaborando una estrategia nacional contra la trata de personas y un protocolo operacional asociado para la atención de las víctimas de trata y de explotación grave. El objetivo es dotar a la República de San Marino de un documento exhaustivo y actualizado, que permita regir, mediante un único texto, los procedimientos y la red de apoyo existente para las víctimas de la trata, así como aumentar las actividades de sensibilización y capacitación sobre este asunto. La estrategia y el protocolo están siendo examinados por las entidades institucionales competentes; a continuación se consultará a las entidades de la sociedad civil pertinentes, en función de sus competencias, y, por último, el Gobierno de San Marino aprobará ambos documentos.</w:t>
      </w:r>
    </w:p>
    <w:p w14:paraId="40CD19C4" w14:textId="77777777" w:rsidR="0078182C" w:rsidRPr="0078182C" w:rsidRDefault="0078182C" w:rsidP="0078182C">
      <w:pPr>
        <w:pStyle w:val="SingleTxtG"/>
        <w:rPr>
          <w:u w:val="single"/>
        </w:rPr>
      </w:pPr>
      <w:r w:rsidRPr="0078182C">
        <w:t>3.</w:t>
      </w:r>
      <w:r w:rsidRPr="0078182C">
        <w:tab/>
        <w:t>Sin embargo, cabe reiterar que, hasta la fecha, no se ha detectado ningún caso de trata o explotación grave en San Marino y, en consecuencia, no se ha abierto ningún expediente ni proceso ante el Tribunal de San Marino por los delitos correspondientes.</w:t>
      </w:r>
      <w:bookmarkEnd w:id="0"/>
    </w:p>
    <w:p w14:paraId="58B98D13" w14:textId="5F94A6AD" w:rsidR="00381C24" w:rsidRPr="0078182C" w:rsidRDefault="0078182C" w:rsidP="0078182C">
      <w:pPr>
        <w:pStyle w:val="SingleTxtG"/>
        <w:suppressAutoHyphens/>
        <w:spacing w:before="240" w:after="0"/>
        <w:jc w:val="center"/>
        <w:rPr>
          <w:u w:val="single"/>
        </w:rPr>
      </w:pPr>
      <w:r>
        <w:rPr>
          <w:u w:val="single"/>
        </w:rPr>
        <w:tab/>
      </w:r>
      <w:r>
        <w:rPr>
          <w:u w:val="single"/>
        </w:rPr>
        <w:tab/>
      </w:r>
      <w:r>
        <w:rPr>
          <w:u w:val="single"/>
        </w:rPr>
        <w:tab/>
      </w:r>
    </w:p>
    <w:sectPr w:rsidR="00381C24" w:rsidRPr="0078182C" w:rsidSect="007818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072E3" w14:textId="77777777" w:rsidR="00E510D1" w:rsidRPr="00D43FF0" w:rsidRDefault="00E510D1" w:rsidP="00D43FF0">
      <w:pPr>
        <w:pStyle w:val="Piedepgina"/>
      </w:pPr>
    </w:p>
  </w:endnote>
  <w:endnote w:type="continuationSeparator" w:id="0">
    <w:p w14:paraId="196F4379" w14:textId="77777777" w:rsidR="00E510D1" w:rsidRPr="00D43FF0" w:rsidRDefault="00E510D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C3DA" w14:textId="6BB78936" w:rsidR="0078182C" w:rsidRPr="0078182C" w:rsidRDefault="0078182C" w:rsidP="0078182C">
    <w:pPr>
      <w:pStyle w:val="Piedepgina"/>
      <w:tabs>
        <w:tab w:val="right" w:pos="9638"/>
      </w:tabs>
    </w:pPr>
    <w:r w:rsidRPr="0078182C">
      <w:rPr>
        <w:b/>
        <w:sz w:val="18"/>
      </w:rPr>
      <w:fldChar w:fldCharType="begin"/>
    </w:r>
    <w:r w:rsidRPr="0078182C">
      <w:rPr>
        <w:b/>
        <w:sz w:val="18"/>
      </w:rPr>
      <w:instrText xml:space="preserve"> PAGE  \* MERGEFORMAT </w:instrText>
    </w:r>
    <w:r w:rsidRPr="0078182C">
      <w:rPr>
        <w:b/>
        <w:sz w:val="18"/>
      </w:rPr>
      <w:fldChar w:fldCharType="separate"/>
    </w:r>
    <w:r w:rsidRPr="0078182C">
      <w:rPr>
        <w:b/>
        <w:noProof/>
        <w:sz w:val="18"/>
      </w:rPr>
      <w:t>2</w:t>
    </w:r>
    <w:r w:rsidRPr="0078182C">
      <w:rPr>
        <w:b/>
        <w:sz w:val="18"/>
      </w:rPr>
      <w:fldChar w:fldCharType="end"/>
    </w:r>
    <w:r>
      <w:rPr>
        <w:b/>
        <w:sz w:val="18"/>
      </w:rPr>
      <w:tab/>
    </w:r>
    <w:r>
      <w:t>GE.25-06925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E9D8F" w14:textId="1B472EEE" w:rsidR="0078182C" w:rsidRPr="0078182C" w:rsidRDefault="0078182C" w:rsidP="0078182C">
    <w:pPr>
      <w:pStyle w:val="Piedepgina"/>
      <w:tabs>
        <w:tab w:val="right" w:pos="9638"/>
      </w:tabs>
      <w:rPr>
        <w:b/>
        <w:sz w:val="18"/>
      </w:rPr>
    </w:pPr>
    <w:r>
      <w:t>GE.25-06925</w:t>
    </w:r>
    <w:r>
      <w:tab/>
    </w:r>
    <w:r w:rsidRPr="0078182C">
      <w:rPr>
        <w:b/>
        <w:sz w:val="18"/>
      </w:rPr>
      <w:fldChar w:fldCharType="begin"/>
    </w:r>
    <w:r w:rsidRPr="0078182C">
      <w:rPr>
        <w:b/>
        <w:sz w:val="18"/>
      </w:rPr>
      <w:instrText xml:space="preserve"> PAGE  \* MERGEFORMAT </w:instrText>
    </w:r>
    <w:r w:rsidRPr="0078182C">
      <w:rPr>
        <w:b/>
        <w:sz w:val="18"/>
      </w:rPr>
      <w:fldChar w:fldCharType="separate"/>
    </w:r>
    <w:r w:rsidRPr="0078182C">
      <w:rPr>
        <w:b/>
        <w:noProof/>
        <w:sz w:val="18"/>
      </w:rPr>
      <w:t>3</w:t>
    </w:r>
    <w:r w:rsidRPr="007818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F18D" w14:textId="26FD03DB" w:rsidR="00C63C2A" w:rsidRPr="0078182C" w:rsidRDefault="0078182C" w:rsidP="0078182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56B25E3" wp14:editId="63B7B51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25-06925  (S)</w:t>
    </w:r>
    <w:r>
      <w:rPr>
        <w:noProof/>
        <w:sz w:val="20"/>
      </w:rPr>
      <w:drawing>
        <wp:anchor distT="0" distB="0" distL="114300" distR="114300" simplePos="0" relativeHeight="251658752" behindDoc="0" locked="0" layoutInCell="1" allowOverlap="1" wp14:anchorId="5CAE4A82" wp14:editId="68BDBB02">
          <wp:simplePos x="0" y="0"/>
          <wp:positionH relativeFrom="margin">
            <wp:posOffset>5489575</wp:posOffset>
          </wp:positionH>
          <wp:positionV relativeFrom="margin">
            <wp:posOffset>8891905</wp:posOffset>
          </wp:positionV>
          <wp:extent cx="628650" cy="628650"/>
          <wp:effectExtent l="0" t="0" r="0" b="0"/>
          <wp:wrapNone/>
          <wp:docPr id="1074540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130525    140525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ABE47" w14:textId="77777777" w:rsidR="00E510D1" w:rsidRPr="001075E9" w:rsidRDefault="00E510D1" w:rsidP="001075E9">
      <w:pPr>
        <w:tabs>
          <w:tab w:val="right" w:pos="2155"/>
        </w:tabs>
        <w:spacing w:after="80" w:line="240" w:lineRule="auto"/>
        <w:ind w:left="680"/>
        <w:rPr>
          <w:u w:val="single"/>
        </w:rPr>
      </w:pPr>
      <w:r>
        <w:rPr>
          <w:u w:val="single"/>
        </w:rPr>
        <w:tab/>
      </w:r>
    </w:p>
  </w:footnote>
  <w:footnote w:type="continuationSeparator" w:id="0">
    <w:p w14:paraId="2BC1CDA4" w14:textId="77777777" w:rsidR="00E510D1" w:rsidRDefault="00E510D1" w:rsidP="00D43FF0">
      <w:pPr>
        <w:tabs>
          <w:tab w:val="right" w:pos="2155"/>
        </w:tabs>
        <w:spacing w:after="80" w:line="240" w:lineRule="auto"/>
        <w:ind w:left="680"/>
        <w:rPr>
          <w:u w:val="single"/>
        </w:rPr>
      </w:pPr>
      <w:r>
        <w:rPr>
          <w:u w:val="single"/>
        </w:rPr>
        <w:tab/>
      </w:r>
    </w:p>
  </w:footnote>
  <w:footnote w:id="1">
    <w:p w14:paraId="3279DB74" w14:textId="18E635F3" w:rsidR="0078182C" w:rsidRPr="0078182C" w:rsidRDefault="0078182C" w:rsidP="0078182C">
      <w:pPr>
        <w:pStyle w:val="Textonotapie"/>
        <w:rPr>
          <w:sz w:val="20"/>
        </w:rPr>
      </w:pPr>
      <w:r>
        <w:tab/>
      </w:r>
      <w:r w:rsidRPr="0078182C">
        <w:rPr>
          <w:rStyle w:val="Refdenotaalpie"/>
          <w:sz w:val="20"/>
          <w:vertAlign w:val="baseline"/>
        </w:rPr>
        <w:t>*</w:t>
      </w:r>
      <w:r w:rsidRPr="0078182C">
        <w:rPr>
          <w:rStyle w:val="Refdenotaalpie"/>
          <w:vertAlign w:val="baseline"/>
        </w:rPr>
        <w:tab/>
      </w:r>
      <w:r w:rsidRPr="0078182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561D9" w14:textId="593E7D55" w:rsidR="0078182C" w:rsidRPr="0078182C" w:rsidRDefault="0078182C">
    <w:pPr>
      <w:pStyle w:val="Encabezado"/>
    </w:pPr>
    <w:fldSimple w:instr=" TITLE  \* MERGEFORMAT ">
      <w:r w:rsidR="00C8483A">
        <w:t>CERD/C/SMR/FCO/1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292E" w14:textId="3B2D182F" w:rsidR="0078182C" w:rsidRPr="0078182C" w:rsidRDefault="0078182C" w:rsidP="0078182C">
    <w:pPr>
      <w:pStyle w:val="Encabezado"/>
      <w:jc w:val="right"/>
    </w:pPr>
    <w:fldSimple w:instr=" TITLE  \* MERGEFORMAT ">
      <w:r w:rsidR="00C8483A">
        <w:t>CERD/C/SMR/FCO/1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9206463">
    <w:abstractNumId w:val="14"/>
  </w:num>
  <w:num w:numId="2" w16cid:durableId="1967082648">
    <w:abstractNumId w:val="11"/>
  </w:num>
  <w:num w:numId="3" w16cid:durableId="1047141305">
    <w:abstractNumId w:val="16"/>
  </w:num>
  <w:num w:numId="4" w16cid:durableId="176046443">
    <w:abstractNumId w:val="15"/>
  </w:num>
  <w:num w:numId="5" w16cid:durableId="1654943031">
    <w:abstractNumId w:val="13"/>
  </w:num>
  <w:num w:numId="6" w16cid:durableId="928005220">
    <w:abstractNumId w:val="8"/>
  </w:num>
  <w:num w:numId="7" w16cid:durableId="845436739">
    <w:abstractNumId w:val="3"/>
  </w:num>
  <w:num w:numId="8" w16cid:durableId="23478694">
    <w:abstractNumId w:val="2"/>
  </w:num>
  <w:num w:numId="9" w16cid:durableId="352607731">
    <w:abstractNumId w:val="1"/>
  </w:num>
  <w:num w:numId="10" w16cid:durableId="1173030072">
    <w:abstractNumId w:val="0"/>
  </w:num>
  <w:num w:numId="11" w16cid:durableId="107699303">
    <w:abstractNumId w:val="9"/>
  </w:num>
  <w:num w:numId="12" w16cid:durableId="1744139741">
    <w:abstractNumId w:val="7"/>
  </w:num>
  <w:num w:numId="13" w16cid:durableId="812258753">
    <w:abstractNumId w:val="6"/>
  </w:num>
  <w:num w:numId="14" w16cid:durableId="1440761231">
    <w:abstractNumId w:val="5"/>
  </w:num>
  <w:num w:numId="15" w16cid:durableId="110783708">
    <w:abstractNumId w:val="4"/>
  </w:num>
  <w:num w:numId="16" w16cid:durableId="464662150">
    <w:abstractNumId w:val="10"/>
  </w:num>
  <w:num w:numId="17" w16cid:durableId="69667860">
    <w:abstractNumId w:val="14"/>
  </w:num>
  <w:num w:numId="18" w16cid:durableId="686638246">
    <w:abstractNumId w:val="11"/>
  </w:num>
  <w:num w:numId="19" w16cid:durableId="1758362215">
    <w:abstractNumId w:val="10"/>
  </w:num>
  <w:num w:numId="20" w16cid:durableId="1184443715">
    <w:abstractNumId w:val="16"/>
  </w:num>
  <w:num w:numId="21" w16cid:durableId="1631518871">
    <w:abstractNumId w:val="15"/>
  </w:num>
  <w:num w:numId="22" w16cid:durableId="1694188343">
    <w:abstractNumId w:val="12"/>
  </w:num>
  <w:num w:numId="23" w16cid:durableId="21247951">
    <w:abstractNumId w:val="12"/>
  </w:num>
  <w:num w:numId="24" w16cid:durableId="1224021831">
    <w:abstractNumId w:val="13"/>
  </w:num>
  <w:num w:numId="25" w16cid:durableId="1484202949">
    <w:abstractNumId w:val="9"/>
  </w:num>
  <w:num w:numId="26" w16cid:durableId="1789201700">
    <w:abstractNumId w:val="7"/>
  </w:num>
  <w:num w:numId="27" w16cid:durableId="551502832">
    <w:abstractNumId w:val="6"/>
  </w:num>
  <w:num w:numId="28" w16cid:durableId="1008097186">
    <w:abstractNumId w:val="5"/>
  </w:num>
  <w:num w:numId="29" w16cid:durableId="1958684274">
    <w:abstractNumId w:val="4"/>
  </w:num>
  <w:num w:numId="30" w16cid:durableId="1521772002">
    <w:abstractNumId w:val="8"/>
  </w:num>
  <w:num w:numId="31" w16cid:durableId="1148088355">
    <w:abstractNumId w:val="3"/>
  </w:num>
  <w:num w:numId="32" w16cid:durableId="1637954443">
    <w:abstractNumId w:val="2"/>
  </w:num>
  <w:num w:numId="33" w16cid:durableId="946350410">
    <w:abstractNumId w:val="1"/>
  </w:num>
  <w:num w:numId="34" w16cid:durableId="13270484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0D1"/>
    <w:rsid w:val="00006BB9"/>
    <w:rsid w:val="000107A1"/>
    <w:rsid w:val="000178D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25FA9"/>
    <w:rsid w:val="0078182C"/>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917B3"/>
    <w:rsid w:val="00AA78E7"/>
    <w:rsid w:val="00AB4B51"/>
    <w:rsid w:val="00B066FC"/>
    <w:rsid w:val="00B10CC7"/>
    <w:rsid w:val="00B62458"/>
    <w:rsid w:val="00B778C8"/>
    <w:rsid w:val="00B91AF5"/>
    <w:rsid w:val="00BA3587"/>
    <w:rsid w:val="00BB36EA"/>
    <w:rsid w:val="00BD33EE"/>
    <w:rsid w:val="00C60F0C"/>
    <w:rsid w:val="00C63C2A"/>
    <w:rsid w:val="00C805C9"/>
    <w:rsid w:val="00C8483A"/>
    <w:rsid w:val="00C907F0"/>
    <w:rsid w:val="00CA1679"/>
    <w:rsid w:val="00CC15A3"/>
    <w:rsid w:val="00D05347"/>
    <w:rsid w:val="00D43FF0"/>
    <w:rsid w:val="00D90138"/>
    <w:rsid w:val="00DA26B8"/>
    <w:rsid w:val="00DD4E25"/>
    <w:rsid w:val="00E05C6B"/>
    <w:rsid w:val="00E2656E"/>
    <w:rsid w:val="00E510D1"/>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FB82D"/>
  <w15:docId w15:val="{8C1EA297-27C4-4AD2-BAAA-15B14022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12</TotalTime>
  <Pages>2</Pages>
  <Words>278</Words>
  <Characters>1853</Characters>
  <Application>Microsoft Office Word</Application>
  <DocSecurity>0</DocSecurity>
  <Lines>168</Lines>
  <Paragraphs>45</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CERD/C/SMR/FCO/1</dc:title>
  <dc:subject/>
  <dc:creator>Luz Maria URQUIZU MARROQUIN</dc:creator>
  <cp:keywords/>
  <cp:lastModifiedBy>Luz Urquizu Marroquin</cp:lastModifiedBy>
  <cp:revision>3</cp:revision>
  <cp:lastPrinted>2025-05-14T12:40:00Z</cp:lastPrinted>
  <dcterms:created xsi:type="dcterms:W3CDTF">2025-05-14T12:40:00Z</dcterms:created>
  <dcterms:modified xsi:type="dcterms:W3CDTF">2025-05-14T12:40:00Z</dcterms:modified>
</cp:coreProperties>
</file>