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AE352" w14:textId="77777777" w:rsidR="00811945" w:rsidRPr="00027129" w:rsidRDefault="00811945" w:rsidP="00811945">
      <w:pPr>
        <w:spacing w:line="240" w:lineRule="auto"/>
        <w:rPr>
          <w:sz w:val="2"/>
          <w:lang w:val="es-419"/>
        </w:rPr>
        <w:sectPr w:rsidR="00811945" w:rsidRPr="00027129" w:rsidSect="0008223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27129">
        <w:rPr>
          <w:rStyle w:val="CommentReference"/>
          <w:szCs w:val="20"/>
          <w:lang w:val="es-419"/>
        </w:rPr>
        <w:commentReference w:id="0"/>
      </w:r>
    </w:p>
    <w:p w14:paraId="25B09A1C" w14:textId="77777777" w:rsidR="00934CDA" w:rsidRPr="00027129" w:rsidRDefault="00934CDA" w:rsidP="007355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419"/>
        </w:rPr>
      </w:pPr>
      <w:r w:rsidRPr="00027129">
        <w:rPr>
          <w:lang w:val="es-419"/>
        </w:rPr>
        <w:t>Comité para la Eliminación de la Discriminación contra la Mujer</w:t>
      </w:r>
    </w:p>
    <w:p w14:paraId="30EE630B" w14:textId="49E1C094" w:rsidR="00934CDA" w:rsidRPr="00027129" w:rsidRDefault="00934CDA" w:rsidP="00934CD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419"/>
        </w:rPr>
      </w:pPr>
      <w:r w:rsidRPr="00027129">
        <w:rPr>
          <w:noProof/>
          <w:w w:val="100"/>
          <w:lang w:val="es-419"/>
        </w:rPr>
        <mc:AlternateContent>
          <mc:Choice Requires="wps">
            <w:drawing>
              <wp:anchor distT="0" distB="0" distL="114300" distR="114300" simplePos="0" relativeHeight="251659264" behindDoc="0" locked="0" layoutInCell="1" allowOverlap="1" wp14:anchorId="2E245E68" wp14:editId="615FD805">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73D84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027129">
        <w:rPr>
          <w:spacing w:val="5"/>
          <w:w w:val="104"/>
          <w:kern w:val="14"/>
          <w:sz w:val="17"/>
          <w:szCs w:val="20"/>
          <w:lang w:val="es-419"/>
        </w:rPr>
        <w:tab/>
        <w:t>*</w:t>
      </w:r>
      <w:r w:rsidRPr="00027129">
        <w:rPr>
          <w:spacing w:val="5"/>
          <w:w w:val="104"/>
          <w:kern w:val="14"/>
          <w:sz w:val="17"/>
          <w:szCs w:val="20"/>
          <w:lang w:val="es-419"/>
        </w:rPr>
        <w:tab/>
        <w:t>La versión original del presente documento no fue objeto de revisión editorial oficial.</w:t>
      </w:r>
    </w:p>
    <w:p w14:paraId="164EDB8B" w14:textId="77777777" w:rsidR="00934CDA" w:rsidRPr="00027129" w:rsidRDefault="00934CDA" w:rsidP="00934CDA">
      <w:pPr>
        <w:pStyle w:val="SingleTxt"/>
        <w:spacing w:after="0" w:line="120" w:lineRule="exact"/>
        <w:rPr>
          <w:sz w:val="10"/>
          <w:lang w:val="es-419"/>
        </w:rPr>
      </w:pPr>
    </w:p>
    <w:p w14:paraId="15476EFD" w14:textId="77777777" w:rsidR="00934CDA" w:rsidRPr="00027129" w:rsidRDefault="00934CDA" w:rsidP="00934CDA">
      <w:pPr>
        <w:pStyle w:val="SingleTxt"/>
        <w:spacing w:after="0" w:line="120" w:lineRule="exact"/>
        <w:rPr>
          <w:sz w:val="10"/>
          <w:lang w:val="es-419"/>
        </w:rPr>
      </w:pPr>
    </w:p>
    <w:p w14:paraId="040F4385" w14:textId="77777777" w:rsidR="00934CDA" w:rsidRPr="00027129" w:rsidRDefault="00934CDA" w:rsidP="00934CDA">
      <w:pPr>
        <w:pStyle w:val="SingleTxt"/>
        <w:spacing w:after="0" w:line="120" w:lineRule="exact"/>
        <w:rPr>
          <w:sz w:val="10"/>
          <w:lang w:val="es-419"/>
        </w:rPr>
      </w:pPr>
    </w:p>
    <w:p w14:paraId="0314F9E5" w14:textId="3CDDBFC4" w:rsidR="00934CDA" w:rsidRPr="00027129" w:rsidRDefault="00934CDA" w:rsidP="000820AA">
      <w:pPr>
        <w:pStyle w:val="TitleHCH"/>
        <w:ind w:right="1260"/>
        <w:rPr>
          <w:lang w:val="es-419"/>
        </w:rPr>
      </w:pPr>
      <w:r w:rsidRPr="00027129">
        <w:rPr>
          <w:lang w:val="es-419"/>
        </w:rPr>
        <w:tab/>
      </w:r>
      <w:r w:rsidRPr="00027129">
        <w:rPr>
          <w:lang w:val="es-419"/>
        </w:rPr>
        <w:tab/>
        <w:t>Información recibida de Austria sobre el seguimiento de las observaciones finales de su noveno informe periódico</w:t>
      </w:r>
      <w:r w:rsidRPr="007355DD">
        <w:rPr>
          <w:bCs/>
          <w:sz w:val="20"/>
          <w:szCs w:val="20"/>
          <w:lang w:val="es-419"/>
        </w:rPr>
        <w:t>*</w:t>
      </w:r>
    </w:p>
    <w:p w14:paraId="74670FBA" w14:textId="0B966596" w:rsidR="00934CDA" w:rsidRPr="00027129" w:rsidRDefault="00934CDA" w:rsidP="00AC6798">
      <w:pPr>
        <w:pStyle w:val="SingleTxt"/>
        <w:spacing w:after="0" w:line="120" w:lineRule="exact"/>
        <w:rPr>
          <w:sz w:val="10"/>
          <w:lang w:val="es-419"/>
        </w:rPr>
      </w:pPr>
    </w:p>
    <w:p w14:paraId="23C3ED5B" w14:textId="77777777" w:rsidR="00AC6798" w:rsidRPr="00027129" w:rsidRDefault="00AC6798" w:rsidP="00934CDA">
      <w:pPr>
        <w:pStyle w:val="SingleTxt"/>
        <w:spacing w:after="0" w:line="120" w:lineRule="exact"/>
        <w:rPr>
          <w:sz w:val="10"/>
          <w:lang w:val="es-419"/>
        </w:rPr>
      </w:pPr>
    </w:p>
    <w:p w14:paraId="2CD81A7D" w14:textId="30D35A1E" w:rsidR="00811945" w:rsidRPr="00027129" w:rsidRDefault="00934CDA" w:rsidP="00934CDA">
      <w:pPr>
        <w:pStyle w:val="SingleTxt"/>
        <w:jc w:val="right"/>
        <w:rPr>
          <w:lang w:val="es-419"/>
        </w:rPr>
      </w:pPr>
      <w:r w:rsidRPr="00027129">
        <w:rPr>
          <w:lang w:val="es-419"/>
        </w:rPr>
        <w:t>[Fecha de recepción: 21 de julio de 2021]</w:t>
      </w:r>
    </w:p>
    <w:p w14:paraId="08237283" w14:textId="693820B1" w:rsidR="00934CDA" w:rsidRPr="00027129" w:rsidRDefault="00934CDA" w:rsidP="00934CDA">
      <w:pPr>
        <w:pStyle w:val="SingleTxt"/>
        <w:rPr>
          <w:lang w:val="es-419"/>
        </w:rPr>
      </w:pPr>
      <w:r w:rsidRPr="00027129">
        <w:rPr>
          <w:lang w:val="es-419"/>
        </w:rPr>
        <w:br w:type="page"/>
      </w:r>
    </w:p>
    <w:p w14:paraId="7FE698BF" w14:textId="77777777" w:rsidR="00934CDA" w:rsidRPr="00027129" w:rsidRDefault="00934CDA" w:rsidP="001A07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07" w:hanging="1267"/>
        <w:rPr>
          <w:lang w:val="es-419"/>
        </w:rPr>
      </w:pPr>
      <w:r w:rsidRPr="00027129">
        <w:rPr>
          <w:lang w:val="es-419"/>
        </w:rPr>
        <w:lastRenderedPageBreak/>
        <w:tab/>
      </w:r>
      <w:r w:rsidRPr="00027129">
        <w:rPr>
          <w:lang w:val="es-419"/>
        </w:rPr>
        <w:tab/>
        <w:t>Informe de seguimiento de las observaciones finales 25 b), 27 b), 31 d) y 43 c) (período sobre el que se informa: julio de 2019 a julio de 2021)</w:t>
      </w:r>
    </w:p>
    <w:p w14:paraId="1C78DC30" w14:textId="77777777" w:rsidR="001A0797" w:rsidRPr="00027129" w:rsidRDefault="001A0797" w:rsidP="001A0797">
      <w:pPr>
        <w:pStyle w:val="SingleTxt"/>
        <w:spacing w:after="0" w:line="120" w:lineRule="exact"/>
        <w:rPr>
          <w:b/>
          <w:sz w:val="10"/>
          <w:lang w:val="es-419"/>
        </w:rPr>
      </w:pPr>
      <w:bookmarkStart w:id="1" w:name="_Toc71042228"/>
    </w:p>
    <w:p w14:paraId="558344E6" w14:textId="77777777" w:rsidR="001A0797" w:rsidRPr="00027129" w:rsidRDefault="001A0797" w:rsidP="001A0797">
      <w:pPr>
        <w:pStyle w:val="SingleTxt"/>
        <w:spacing w:after="0" w:line="120" w:lineRule="exact"/>
        <w:rPr>
          <w:b/>
          <w:sz w:val="10"/>
          <w:lang w:val="es-419"/>
        </w:rPr>
      </w:pPr>
    </w:p>
    <w:p w14:paraId="4C7ED6C4" w14:textId="4A266BF6" w:rsidR="00934CDA" w:rsidRPr="00027129" w:rsidRDefault="00934CDA" w:rsidP="001A07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027129">
        <w:rPr>
          <w:lang w:val="es-419"/>
        </w:rPr>
        <w:tab/>
      </w:r>
      <w:r w:rsidRPr="00027129">
        <w:rPr>
          <w:lang w:val="es-419"/>
        </w:rPr>
        <w:tab/>
        <w:t xml:space="preserve">25 b) Aplicar estrictamente el artículo 104 a) del Código Penal, investigando, enjuiciando e imponiendo penas adecuadas </w:t>
      </w:r>
      <w:r w:rsidR="00A546F2" w:rsidRPr="00027129">
        <w:rPr>
          <w:lang w:val="es-419"/>
        </w:rPr>
        <w:br/>
      </w:r>
      <w:r w:rsidRPr="00027129">
        <w:rPr>
          <w:lang w:val="es-419"/>
        </w:rPr>
        <w:t xml:space="preserve">a los autores de la trata de personas, especialmente </w:t>
      </w:r>
      <w:r w:rsidR="00A546F2" w:rsidRPr="00027129">
        <w:rPr>
          <w:lang w:val="es-419"/>
        </w:rPr>
        <w:br/>
      </w:r>
      <w:r w:rsidRPr="00027129">
        <w:rPr>
          <w:lang w:val="es-419"/>
        </w:rPr>
        <w:t>de mujeres y niñas</w:t>
      </w:r>
      <w:bookmarkEnd w:id="1"/>
    </w:p>
    <w:p w14:paraId="411BE876" w14:textId="58E3F36E" w:rsidR="001A0797" w:rsidRPr="00027129" w:rsidRDefault="001A0797" w:rsidP="001A0797">
      <w:pPr>
        <w:pStyle w:val="SingleTxt"/>
        <w:spacing w:after="0" w:line="120" w:lineRule="exact"/>
        <w:rPr>
          <w:sz w:val="10"/>
          <w:lang w:val="es-419"/>
        </w:rPr>
      </w:pPr>
    </w:p>
    <w:p w14:paraId="3BFE9CF3" w14:textId="31D7F5E3" w:rsidR="001A0797" w:rsidRPr="00027129" w:rsidRDefault="001A0797" w:rsidP="001A0797">
      <w:pPr>
        <w:pStyle w:val="SingleTxt"/>
        <w:spacing w:after="0" w:line="120" w:lineRule="exact"/>
        <w:rPr>
          <w:sz w:val="10"/>
          <w:lang w:val="es-419"/>
        </w:rPr>
      </w:pPr>
    </w:p>
    <w:p w14:paraId="6E132099" w14:textId="77777777" w:rsidR="00AC6798" w:rsidRPr="00027129" w:rsidRDefault="00934CDA" w:rsidP="001A0797">
      <w:pPr>
        <w:pStyle w:val="SingleTxt"/>
        <w:numPr>
          <w:ilvl w:val="0"/>
          <w:numId w:val="6"/>
        </w:numPr>
        <w:ind w:left="1267"/>
        <w:rPr>
          <w:lang w:val="es-419"/>
        </w:rPr>
      </w:pPr>
      <w:r w:rsidRPr="00027129">
        <w:rPr>
          <w:lang w:val="es-419"/>
        </w:rPr>
        <w:t>Austria sigue aplicando a la lucha contra la trata de personas un enfoque global, que comprende la prevención, la protección de las víctimas y el enjuiciamiento penal, así como la coordinación nacional y la cooperación internacional.</w:t>
      </w:r>
    </w:p>
    <w:p w14:paraId="1A38C0A3" w14:textId="2E7588F0" w:rsidR="00934CDA" w:rsidRPr="00027129" w:rsidRDefault="00934CDA" w:rsidP="001A0797">
      <w:pPr>
        <w:pStyle w:val="SingleTxt"/>
        <w:numPr>
          <w:ilvl w:val="0"/>
          <w:numId w:val="6"/>
        </w:numPr>
        <w:ind w:left="1267"/>
        <w:rPr>
          <w:lang w:val="es-419"/>
        </w:rPr>
      </w:pPr>
      <w:r w:rsidRPr="00027129">
        <w:rPr>
          <w:lang w:val="es-419"/>
        </w:rPr>
        <w:t>Desde la creación del Equipo de Tareas sobre la Trata de Personas en 2004, el Ministerio Federal de Asuntos Europeos e Internacionales de Austria, junto con asociados de las administraciones federal y provinciales, organizaciones especializadas y ONG, se ha comprometido a luchar contra la trata de personas. Durante el período sobre el que se informa, uno de los objetivos del Grupo de Trabajo sobre la Trata de Niños fue crear un concepto de protección y debatir y desarrollar conceptualmente un centro especializado para víctimas menores de edad de la trata de personas. Para ello, se crearon subgrupos de trabajo específicos en 2019 y 2020, y se formuló un concepto conjunto de instalación de protección. Se han intensificado los esfuerzos para establecer rápidamente un centro nacional de protección de las víctimas menores de edad de la trata de personas.</w:t>
      </w:r>
    </w:p>
    <w:p w14:paraId="3594A604" w14:textId="0F134949" w:rsidR="00AC6798" w:rsidRPr="00027129" w:rsidRDefault="00934CDA" w:rsidP="001A0797">
      <w:pPr>
        <w:pStyle w:val="SingleTxt"/>
        <w:numPr>
          <w:ilvl w:val="0"/>
          <w:numId w:val="6"/>
        </w:numPr>
        <w:ind w:left="1267"/>
        <w:rPr>
          <w:lang w:val="es-419"/>
        </w:rPr>
      </w:pPr>
      <w:r w:rsidRPr="00027129">
        <w:rPr>
          <w:lang w:val="es-419"/>
        </w:rPr>
        <w:t>El Centro de Intervención para Mujeres Víctimas de Trata, LEFÖ-IBF, prestó apoyo a un total de 336 niñas y mujeres en 2019 y a 314 niñas y mujeres en 2020. En el período sobre el que se informa, la Oficina Federal de Policía Criminal, en cooperación con el personal de la organización sociopedagógica Drehscheibe Wien, organizó cursos y eventos de sensibilización sobre la trata de niños para todos los</w:t>
      </w:r>
      <w:r w:rsidR="00AC6798" w:rsidRPr="00027129">
        <w:rPr>
          <w:lang w:val="es-419"/>
        </w:rPr>
        <w:t xml:space="preserve"> </w:t>
      </w:r>
      <w:r w:rsidRPr="00027129">
        <w:rPr>
          <w:lang w:val="es-419"/>
        </w:rPr>
        <w:t>miembros del personal de los Servicios Sociales para la Infancia y la Juventud de</w:t>
      </w:r>
      <w:r w:rsidR="00AC6798" w:rsidRPr="00027129">
        <w:rPr>
          <w:lang w:val="es-419"/>
        </w:rPr>
        <w:t> </w:t>
      </w:r>
      <w:r w:rsidRPr="00027129">
        <w:rPr>
          <w:lang w:val="es-419"/>
        </w:rPr>
        <w:t>Viena.</w:t>
      </w:r>
    </w:p>
    <w:p w14:paraId="3A16D0EB" w14:textId="6ED67D5F" w:rsidR="00934CDA" w:rsidRPr="00027129" w:rsidRDefault="00934CDA" w:rsidP="001A0797">
      <w:pPr>
        <w:pStyle w:val="SingleTxt"/>
        <w:numPr>
          <w:ilvl w:val="0"/>
          <w:numId w:val="6"/>
        </w:numPr>
        <w:ind w:left="1267"/>
        <w:rPr>
          <w:lang w:val="es-419"/>
        </w:rPr>
      </w:pPr>
      <w:r w:rsidRPr="00027129">
        <w:rPr>
          <w:lang w:val="es-419"/>
        </w:rPr>
        <w:t>Para los años 2021 a 2023, el Plan Nacional de Acción para la Lucha contra la Trata de Seres Humanos (PNA) se ha fijado como objetivo, entre otros, seguir prestando servicios de protección a las víctimas de la trata (LEFÖ-IBF). El PNA también aspira a facilitar el acceso de los niños víctimas de la trata a recursos jurídicos. Además, se prevén medidas para mejorar la aplicación del principio de no imposición de penas en el derecho penal administrativo y para garantizar la aplicación uniforme de la normativa nacional sobre la residencia de las víctimas de la trata de personas, con el fin de garantizar una protección a largo plazo. Que los subgrupos de trabajo sobre la prostitución y la trata de niños continúen su labor permite al PNA aspirar a reducir la vulnerabilidad de esos grupos de la mejor manera posible.</w:t>
      </w:r>
    </w:p>
    <w:p w14:paraId="18598FD4" w14:textId="5B882A70" w:rsidR="00934CDA" w:rsidRPr="00027129" w:rsidRDefault="00934CDA" w:rsidP="001A0797">
      <w:pPr>
        <w:pStyle w:val="SingleTxt"/>
        <w:numPr>
          <w:ilvl w:val="0"/>
          <w:numId w:val="6"/>
        </w:numPr>
        <w:ind w:left="1267"/>
        <w:rPr>
          <w:lang w:val="es-419"/>
        </w:rPr>
      </w:pPr>
      <w:r w:rsidRPr="00027129">
        <w:rPr>
          <w:lang w:val="es-419"/>
        </w:rPr>
        <w:t>El Ministerio Federal de Justicia austríaco también organiza un intercambio anual de experiencias y opiniones para mejorar la cooperación entre las fuerzas del orden y las ONG en los casos de trata de personas. En ese intercambio, los representantes de esos organismos debaten sobre las dificultades y los problemas, así como sobre los éxitos de la investigación de casos de trata de personas, basándose en casos reales concluidos, con el fin de elaborar directrices sobre buenas prácticas y aumentar la eficacia de los procedimientos judiciales.</w:t>
      </w:r>
    </w:p>
    <w:p w14:paraId="2D9848E0" w14:textId="77777777" w:rsidR="001A0797" w:rsidRPr="00027129" w:rsidRDefault="001A0797" w:rsidP="001A0797">
      <w:pPr>
        <w:pStyle w:val="SingleTxt"/>
        <w:spacing w:after="0" w:line="120" w:lineRule="exact"/>
        <w:rPr>
          <w:b/>
          <w:sz w:val="10"/>
          <w:lang w:val="es-419"/>
        </w:rPr>
      </w:pPr>
      <w:bookmarkStart w:id="2" w:name="_Toc71042229"/>
    </w:p>
    <w:p w14:paraId="4FAC40BD" w14:textId="77777777" w:rsidR="001A0797" w:rsidRPr="00027129" w:rsidRDefault="001A0797" w:rsidP="001A0797">
      <w:pPr>
        <w:pStyle w:val="SingleTxt"/>
        <w:spacing w:after="0" w:line="120" w:lineRule="exact"/>
        <w:rPr>
          <w:b/>
          <w:sz w:val="10"/>
          <w:lang w:val="es-419"/>
        </w:rPr>
      </w:pPr>
    </w:p>
    <w:p w14:paraId="3EEF844B" w14:textId="6B1CC703" w:rsidR="00934CDA" w:rsidRPr="00027129" w:rsidRDefault="00934CDA" w:rsidP="003D1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419"/>
        </w:rPr>
      </w:pPr>
      <w:r w:rsidRPr="00027129">
        <w:rPr>
          <w:lang w:val="es-419"/>
        </w:rPr>
        <w:lastRenderedPageBreak/>
        <w:tab/>
      </w:r>
      <w:r w:rsidRPr="00027129">
        <w:rPr>
          <w:lang w:val="es-419"/>
        </w:rPr>
        <w:tab/>
        <w:t>27 b) Aplicar los requisitos legales de una cuota mínima legal, y</w:t>
      </w:r>
      <w:r w:rsidR="003D1C04" w:rsidRPr="00027129">
        <w:rPr>
          <w:lang w:val="es-419"/>
        </w:rPr>
        <w:t xml:space="preserve"> </w:t>
      </w:r>
      <w:r w:rsidRPr="00027129">
        <w:rPr>
          <w:lang w:val="es-419"/>
        </w:rPr>
        <w:t>los incentivos económicos correspondientes a los partidos políticos, para la representación de las mujeres en las</w:t>
      </w:r>
      <w:r w:rsidR="003D1C04" w:rsidRPr="00027129">
        <w:rPr>
          <w:lang w:val="es-419"/>
        </w:rPr>
        <w:t> </w:t>
      </w:r>
      <w:r w:rsidRPr="00027129">
        <w:rPr>
          <w:lang w:val="es-419"/>
        </w:rPr>
        <w:t>clasificaciones o en las candidaturas para las elecciones al</w:t>
      </w:r>
      <w:r w:rsidR="003D1C04" w:rsidRPr="00027129">
        <w:rPr>
          <w:lang w:val="es-419"/>
        </w:rPr>
        <w:t> </w:t>
      </w:r>
      <w:r w:rsidRPr="00027129">
        <w:rPr>
          <w:lang w:val="es-419"/>
        </w:rPr>
        <w:t>Consejo Nacional y a los nueve parlamentos provinciales</w:t>
      </w:r>
      <w:bookmarkEnd w:id="2"/>
    </w:p>
    <w:p w14:paraId="41AB8DB0" w14:textId="29AE1054" w:rsidR="001A0797" w:rsidRPr="00027129" w:rsidRDefault="001A0797" w:rsidP="001A0797">
      <w:pPr>
        <w:pStyle w:val="SingleTxt"/>
        <w:spacing w:after="0" w:line="120" w:lineRule="exact"/>
        <w:rPr>
          <w:sz w:val="10"/>
          <w:lang w:val="es-419"/>
        </w:rPr>
      </w:pPr>
    </w:p>
    <w:p w14:paraId="15B541A2" w14:textId="65A39288" w:rsidR="001A0797" w:rsidRPr="00027129" w:rsidRDefault="001A0797" w:rsidP="001A0797">
      <w:pPr>
        <w:pStyle w:val="SingleTxt"/>
        <w:spacing w:after="0" w:line="120" w:lineRule="exact"/>
        <w:rPr>
          <w:sz w:val="10"/>
          <w:lang w:val="es-419"/>
        </w:rPr>
      </w:pPr>
    </w:p>
    <w:p w14:paraId="05B307A4" w14:textId="762BE0CF" w:rsidR="00934CDA" w:rsidRPr="00027129" w:rsidRDefault="00934CDA" w:rsidP="001A0797">
      <w:pPr>
        <w:pStyle w:val="SingleTxt"/>
        <w:numPr>
          <w:ilvl w:val="0"/>
          <w:numId w:val="6"/>
        </w:numPr>
        <w:ind w:left="1267"/>
        <w:rPr>
          <w:u w:val="single"/>
          <w:lang w:val="es-419"/>
        </w:rPr>
      </w:pPr>
      <w:r w:rsidRPr="00027129">
        <w:rPr>
          <w:lang w:val="es-419"/>
        </w:rPr>
        <w:t xml:space="preserve">Para reforzar la representación política de las mujeres a nivel nacional, el 3 de julio de 2019 el Consejo Nacional austríaco modificó el régimen de financiación de los grupos parlamentarios. La Ley Federal que facilita las actividades de los grupos de partidos en campaña en el Consejo Nacional y en el Consejo Federal (Ley Federal de Financiación de los Grupos Parlamentarios, Klubfinanzierungsgesetz 1985 </w:t>
      </w:r>
      <w:r w:rsidR="00AC6798" w:rsidRPr="00027129">
        <w:rPr>
          <w:lang w:val="es-419"/>
        </w:rPr>
        <w:t>–</w:t>
      </w:r>
      <w:r w:rsidRPr="00027129">
        <w:rPr>
          <w:lang w:val="es-419"/>
        </w:rPr>
        <w:t xml:space="preserve"> KlubFG) se complementó con una bonificación para una mayor proporción de mujeres de esos grupos parlamentarios. Si el porcentaje de mujeres de un partido en el Consejo Nacional o en el Consejo Federal supera el 40</w:t>
      </w:r>
      <w:r w:rsidR="00AC6798" w:rsidRPr="00027129">
        <w:rPr>
          <w:lang w:val="es-419"/>
        </w:rPr>
        <w:t> %</w:t>
      </w:r>
      <w:r w:rsidRPr="00027129">
        <w:rPr>
          <w:lang w:val="es-419"/>
        </w:rPr>
        <w:t>, el importe de la financiación del grupo parlamentario se incrementa en un 3</w:t>
      </w:r>
      <w:r w:rsidR="00AC6798" w:rsidRPr="00027129">
        <w:rPr>
          <w:lang w:val="es-419"/>
        </w:rPr>
        <w:t> %</w:t>
      </w:r>
      <w:r w:rsidRPr="00027129">
        <w:rPr>
          <w:lang w:val="es-419"/>
        </w:rPr>
        <w:t>. El cambio de financiación entró en vigor el 1 de noviembre de 2019.</w:t>
      </w:r>
    </w:p>
    <w:p w14:paraId="4038E29D" w14:textId="65819CE1" w:rsidR="00934CDA" w:rsidRPr="00027129" w:rsidRDefault="00934CDA" w:rsidP="001A0797">
      <w:pPr>
        <w:pStyle w:val="SingleTxt"/>
        <w:numPr>
          <w:ilvl w:val="0"/>
          <w:numId w:val="6"/>
        </w:numPr>
        <w:ind w:left="1267"/>
        <w:rPr>
          <w:lang w:val="es-419"/>
        </w:rPr>
      </w:pPr>
      <w:r w:rsidRPr="00027129">
        <w:rPr>
          <w:lang w:val="es-419"/>
        </w:rPr>
        <w:t>Además, algunos partidos políticos tienen normas sobre cuotas internas (compromisos voluntarios) para las listas electorales o los mandatos y funciones vacantes. Los estatutos del Partido Verde austriaco estipulan la paridad de mujeres y hombres en todos los órganos del partido a nivel federal, así como en las listas electorales para las elecciones al Consejo Nacional; la representación de al menos un 50</w:t>
      </w:r>
      <w:r w:rsidR="00AC6798" w:rsidRPr="00027129">
        <w:rPr>
          <w:lang w:val="es-419"/>
        </w:rPr>
        <w:t> %</w:t>
      </w:r>
      <w:r w:rsidRPr="00027129">
        <w:rPr>
          <w:lang w:val="es-419"/>
        </w:rPr>
        <w:t xml:space="preserve"> de mujeres en todos los órganos y funciones electivas debe garantizarse mediante la normativa correspondiente. El Partido Socialdemócrata de Austria estipula en sus estatutos una proporción mínima de 40</w:t>
      </w:r>
      <w:r w:rsidR="00AC6798" w:rsidRPr="00027129">
        <w:rPr>
          <w:lang w:val="es-419"/>
        </w:rPr>
        <w:t> %</w:t>
      </w:r>
      <w:r w:rsidRPr="00027129">
        <w:rPr>
          <w:lang w:val="es-419"/>
        </w:rPr>
        <w:t xml:space="preserve"> de mujeres y hombres en todos los niveles del partido y en los órganos legislativos; esa cuota se debe tener en cuenta cuando un cargo queda vacante. El Partido Popular austriaco prevé en su estatuto el mayor equilibrio posible entre mujeres y hombres, es decir, el 40</w:t>
      </w:r>
      <w:r w:rsidR="00AC6798" w:rsidRPr="00027129">
        <w:rPr>
          <w:lang w:val="es-419"/>
        </w:rPr>
        <w:t> %</w:t>
      </w:r>
      <w:r w:rsidRPr="00027129">
        <w:rPr>
          <w:lang w:val="es-419"/>
        </w:rPr>
        <w:t>, en todos los órganos, y un sistema de cremallera para las listas electorales.</w:t>
      </w:r>
    </w:p>
    <w:p w14:paraId="15884BFE" w14:textId="56E9F189" w:rsidR="00AC6798" w:rsidRPr="00027129" w:rsidRDefault="00934CDA" w:rsidP="001A0797">
      <w:pPr>
        <w:pStyle w:val="SingleTxt"/>
        <w:numPr>
          <w:ilvl w:val="0"/>
          <w:numId w:val="6"/>
        </w:numPr>
        <w:ind w:left="1267"/>
        <w:rPr>
          <w:lang w:val="es-419"/>
        </w:rPr>
      </w:pPr>
      <w:r w:rsidRPr="00027129">
        <w:rPr>
          <w:lang w:val="es-419"/>
        </w:rPr>
        <w:t>En julio de 2021, el 40</w:t>
      </w:r>
      <w:r w:rsidR="00AC6798" w:rsidRPr="00027129">
        <w:rPr>
          <w:lang w:val="es-419"/>
        </w:rPr>
        <w:t> %</w:t>
      </w:r>
      <w:r w:rsidRPr="00027129">
        <w:rPr>
          <w:lang w:val="es-419"/>
        </w:rPr>
        <w:t xml:space="preserve"> de los miembros del Consejo Nacional austríaco eran mujeres; En el Consejo Federal, el 43</w:t>
      </w:r>
      <w:r w:rsidR="00AC6798" w:rsidRPr="00027129">
        <w:rPr>
          <w:lang w:val="es-419"/>
        </w:rPr>
        <w:t> %</w:t>
      </w:r>
      <w:r w:rsidRPr="00027129">
        <w:rPr>
          <w:lang w:val="es-419"/>
        </w:rPr>
        <w:t xml:space="preserve"> de los miembros eran mujeres. En general, se observa una tendencia positiva en el período sobre el que se informa: tanto en el Consejo Nacional (+3 puntos porcentuales) como en el Consejo Federal (+5 puntos porcentuales), la proporción de mujeres aumentó entre junio de 2019 y julio de 2021.</w:t>
      </w:r>
    </w:p>
    <w:p w14:paraId="013CBE09" w14:textId="22B1AEB6" w:rsidR="001A0797" w:rsidRPr="00027129" w:rsidRDefault="001A0797" w:rsidP="001A0797">
      <w:pPr>
        <w:pStyle w:val="SingleTxt"/>
        <w:spacing w:after="0" w:line="120" w:lineRule="exact"/>
        <w:rPr>
          <w:sz w:val="10"/>
          <w:lang w:val="es-419"/>
        </w:rPr>
      </w:pPr>
    </w:p>
    <w:p w14:paraId="66C139B3" w14:textId="612C1E0B" w:rsidR="00934CDA" w:rsidRPr="00027129" w:rsidRDefault="001A0797" w:rsidP="001A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027129">
        <w:rPr>
          <w:lang w:val="es-419"/>
        </w:rPr>
        <w:tab/>
      </w:r>
      <w:r w:rsidRPr="00027129">
        <w:rPr>
          <w:lang w:val="es-419"/>
        </w:rPr>
        <w:tab/>
      </w:r>
      <w:r w:rsidR="00934CDA" w:rsidRPr="00027129">
        <w:rPr>
          <w:lang w:val="es-419"/>
        </w:rPr>
        <w:t>Medidas adoptadas en las provincias federales</w:t>
      </w:r>
    </w:p>
    <w:p w14:paraId="566230EC" w14:textId="77777777" w:rsidR="001A0797" w:rsidRPr="00027129" w:rsidRDefault="001A0797" w:rsidP="001A0797">
      <w:pPr>
        <w:pStyle w:val="SingleTxt"/>
        <w:spacing w:after="0" w:line="120" w:lineRule="exact"/>
        <w:rPr>
          <w:sz w:val="10"/>
          <w:lang w:val="es-419"/>
        </w:rPr>
      </w:pPr>
    </w:p>
    <w:p w14:paraId="1DCF82B0" w14:textId="784504B3" w:rsidR="00934CDA" w:rsidRPr="00027129" w:rsidRDefault="00934CDA" w:rsidP="001A0797">
      <w:pPr>
        <w:pStyle w:val="SingleTxt"/>
        <w:numPr>
          <w:ilvl w:val="0"/>
          <w:numId w:val="6"/>
        </w:numPr>
        <w:ind w:left="1267"/>
        <w:rPr>
          <w:lang w:val="es-419"/>
        </w:rPr>
      </w:pPr>
      <w:r w:rsidRPr="00027129">
        <w:rPr>
          <w:lang w:val="es-419"/>
        </w:rPr>
        <w:t>En cinco provincias, la proporción de mujeres en los parlamentos provinciales aumentó durante el período sobre el que se informa, mientras que en otras tres provincias la proporción de mujeres se mantuvo estable (comparando junio de 2019 con julio de 2021). En general, la proporción de mujeres elegidas en los parlamentos provinciales aumentó de alrededor del 32</w:t>
      </w:r>
      <w:r w:rsidR="00AC6798" w:rsidRPr="00027129">
        <w:rPr>
          <w:lang w:val="es-419"/>
        </w:rPr>
        <w:t> %</w:t>
      </w:r>
      <w:r w:rsidRPr="00027129">
        <w:rPr>
          <w:lang w:val="es-419"/>
        </w:rPr>
        <w:t xml:space="preserve"> en junio de 2019 al 36</w:t>
      </w:r>
      <w:r w:rsidR="00AC6798" w:rsidRPr="00027129">
        <w:rPr>
          <w:lang w:val="es-419"/>
        </w:rPr>
        <w:t> %</w:t>
      </w:r>
      <w:r w:rsidRPr="00027129">
        <w:rPr>
          <w:lang w:val="es-419"/>
        </w:rPr>
        <w:t xml:space="preserve"> en julio de 2021 en toda Austria.</w:t>
      </w:r>
    </w:p>
    <w:p w14:paraId="058BE7C8" w14:textId="7DC7FAFA" w:rsidR="00AC6798" w:rsidRPr="00027129" w:rsidRDefault="00934CDA" w:rsidP="001A0797">
      <w:pPr>
        <w:pStyle w:val="SingleTxt"/>
        <w:numPr>
          <w:ilvl w:val="0"/>
          <w:numId w:val="6"/>
        </w:numPr>
        <w:ind w:left="1267"/>
        <w:rPr>
          <w:lang w:val="es-419"/>
        </w:rPr>
      </w:pPr>
      <w:r w:rsidRPr="00027129">
        <w:rPr>
          <w:lang w:val="es-419"/>
        </w:rPr>
        <w:t>En el período sobre el que se informa, se aprobó en la provincia de Alta Austria una modificación de la Ley de Financiación de los Grupos Parlamentarios de esa provincia similar a la modificación aprobada a nivel nacional. Al comienzo de la próxima legislatura (prevista para septiembre de 2021), la contribución provincial a la financiación de los grupos parlamentarios provinciales aumentará un 3</w:t>
      </w:r>
      <w:r w:rsidR="00AC6798" w:rsidRPr="00027129">
        <w:rPr>
          <w:lang w:val="es-419"/>
        </w:rPr>
        <w:t> %</w:t>
      </w:r>
      <w:r w:rsidRPr="00027129">
        <w:rPr>
          <w:lang w:val="es-419"/>
        </w:rPr>
        <w:t xml:space="preserve"> si la proporción de mujeres en el grupo respectivo supera el 40</w:t>
      </w:r>
      <w:r w:rsidR="00AC6798" w:rsidRPr="00027129">
        <w:rPr>
          <w:lang w:val="es-419"/>
        </w:rPr>
        <w:t> %</w:t>
      </w:r>
      <w:r w:rsidRPr="00027129">
        <w:rPr>
          <w:lang w:val="es-419"/>
        </w:rPr>
        <w:t>.</w:t>
      </w:r>
    </w:p>
    <w:p w14:paraId="4EC82AA4" w14:textId="77777777" w:rsidR="00AC6798" w:rsidRPr="00027129" w:rsidRDefault="00934CDA" w:rsidP="001A0797">
      <w:pPr>
        <w:pStyle w:val="SingleTxt"/>
        <w:numPr>
          <w:ilvl w:val="0"/>
          <w:numId w:val="6"/>
        </w:numPr>
        <w:ind w:left="1267"/>
        <w:rPr>
          <w:lang w:val="es-419"/>
        </w:rPr>
      </w:pPr>
      <w:r w:rsidRPr="00027129">
        <w:rPr>
          <w:lang w:val="es-419"/>
        </w:rPr>
        <w:t>Para seguir reforzando la representación de las mujeres en la política a nivel regional y local, en muchas provincias se siguen organizando cursos de formación y programas de mentorías para las mujeres políticamente activas interesadas.</w:t>
      </w:r>
    </w:p>
    <w:p w14:paraId="7418F6B9" w14:textId="6347A66A" w:rsidR="001A0797" w:rsidRPr="00027129" w:rsidRDefault="001A0797" w:rsidP="001A0797">
      <w:pPr>
        <w:pStyle w:val="SingleTxt"/>
        <w:spacing w:after="0" w:line="120" w:lineRule="exact"/>
        <w:rPr>
          <w:b/>
          <w:sz w:val="10"/>
          <w:lang w:val="es-419"/>
        </w:rPr>
      </w:pPr>
      <w:bookmarkStart w:id="3" w:name="_Toc71042230"/>
    </w:p>
    <w:p w14:paraId="1F399B12" w14:textId="77777777" w:rsidR="001A0797" w:rsidRPr="00027129" w:rsidRDefault="001A0797" w:rsidP="001A0797">
      <w:pPr>
        <w:pStyle w:val="SingleTxt"/>
        <w:spacing w:after="0" w:line="120" w:lineRule="exact"/>
        <w:rPr>
          <w:b/>
          <w:sz w:val="10"/>
          <w:lang w:val="es-419"/>
        </w:rPr>
      </w:pPr>
    </w:p>
    <w:p w14:paraId="263ACDC0" w14:textId="7FFED5AE" w:rsidR="00934CDA" w:rsidRPr="00027129" w:rsidRDefault="00934CDA" w:rsidP="001A07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027129">
        <w:rPr>
          <w:lang w:val="es-419"/>
        </w:rPr>
        <w:lastRenderedPageBreak/>
        <w:tab/>
      </w:r>
      <w:r w:rsidRPr="00027129">
        <w:rPr>
          <w:lang w:val="es-419"/>
        </w:rPr>
        <w:tab/>
        <w:t>31 d) Adoptar una estrategia para reducir la tasa de abandono escolar en el nivel secundario superior entre las niñas de origen migratorio y las niñas cuyos padres tienen niveles de educación más bajos y garantizar que las mujeres y las niñas que han abandonado los estudios se reintegren en el sistema educativo</w:t>
      </w:r>
      <w:bookmarkEnd w:id="3"/>
    </w:p>
    <w:p w14:paraId="6E5873BD" w14:textId="38D97736" w:rsidR="001A0797" w:rsidRPr="00027129" w:rsidRDefault="001A0797" w:rsidP="001A0797">
      <w:pPr>
        <w:pStyle w:val="SingleTxt"/>
        <w:spacing w:after="0" w:line="120" w:lineRule="exact"/>
        <w:rPr>
          <w:sz w:val="10"/>
          <w:lang w:val="es-419"/>
        </w:rPr>
      </w:pPr>
    </w:p>
    <w:p w14:paraId="09BF37ED" w14:textId="07D12265" w:rsidR="001A0797" w:rsidRPr="00027129" w:rsidRDefault="001A0797" w:rsidP="001A0797">
      <w:pPr>
        <w:pStyle w:val="SingleTxt"/>
        <w:spacing w:after="0" w:line="120" w:lineRule="exact"/>
        <w:rPr>
          <w:sz w:val="10"/>
          <w:lang w:val="es-419"/>
        </w:rPr>
      </w:pPr>
    </w:p>
    <w:p w14:paraId="38F40290" w14:textId="7AAF70E8" w:rsidR="00934CDA" w:rsidRPr="00027129" w:rsidRDefault="00934CDA" w:rsidP="001A0797">
      <w:pPr>
        <w:pStyle w:val="SingleTxt"/>
        <w:numPr>
          <w:ilvl w:val="0"/>
          <w:numId w:val="6"/>
        </w:numPr>
        <w:ind w:left="1267"/>
        <w:rPr>
          <w:lang w:val="es-419"/>
        </w:rPr>
      </w:pPr>
      <w:r w:rsidRPr="00027129">
        <w:rPr>
          <w:lang w:val="es-419"/>
        </w:rPr>
        <w:t>Ya se han puesto en marcha varias estrategias, que han seguido aplicándose durante el período sobre el que se informa, para reducir las tasas de abandono escolar. La ley de educación obligatoria hasta los 18 años, que entró en vigor en 2016, establece un marco legal para garantizar que todos los jóvenes de 15 a 18 años reciban educación o formación profesional. También ayuda a determinar qué jóvenes de ese grupo etario no reciben ningún tipo de educación o formación profesional y a apoyarlos en programas de coaching para jóvenes para que puedan iniciar una educación o formación adecuada. Así se aspira a limitar el abandono escolar prematuro, especialmente frecuente entre los jóvenes de origen migratorio, y a crear incentivos para que reciban más formación y educación.</w:t>
      </w:r>
    </w:p>
    <w:p w14:paraId="58374766" w14:textId="77777777" w:rsidR="00AC6798" w:rsidRPr="00027129" w:rsidRDefault="00934CDA" w:rsidP="001A0797">
      <w:pPr>
        <w:pStyle w:val="SingleTxt"/>
        <w:numPr>
          <w:ilvl w:val="0"/>
          <w:numId w:val="6"/>
        </w:numPr>
        <w:ind w:left="1267"/>
        <w:rPr>
          <w:lang w:val="es-419"/>
        </w:rPr>
      </w:pPr>
      <w:r w:rsidRPr="00027129">
        <w:rPr>
          <w:lang w:val="es-419"/>
        </w:rPr>
        <w:t xml:space="preserve">La medida más importante para reducir el número de alumnos que abandonan la escuela es el mencionado coaching de los jóvenes. Ese y otros servicios de la Red de Asistencia Profesional (NEBA; </w:t>
      </w:r>
      <w:r w:rsidRPr="00027129">
        <w:rPr>
          <w:i/>
          <w:iCs/>
          <w:lang w:val="es-419"/>
        </w:rPr>
        <w:t>Netzwerk Berufliche Assistenz</w:t>
      </w:r>
      <w:r w:rsidRPr="00027129">
        <w:rPr>
          <w:lang w:val="es-419"/>
        </w:rPr>
        <w:t xml:space="preserve">), como el programa de formación </w:t>
      </w:r>
      <w:r w:rsidRPr="00027129">
        <w:rPr>
          <w:i/>
          <w:iCs/>
          <w:lang w:val="es-419"/>
        </w:rPr>
        <w:t>AusbildungsFit</w:t>
      </w:r>
      <w:r w:rsidRPr="00027129">
        <w:rPr>
          <w:lang w:val="es-419"/>
        </w:rPr>
        <w:t>, que también incluye un módulo previo, son planes de fácil acceso que ayudan en su desarrollo y participación en el mercado laboral a jóvenes en riesgo de exclusión.</w:t>
      </w:r>
    </w:p>
    <w:p w14:paraId="2D8D18A2" w14:textId="77777777" w:rsidR="00AC6798" w:rsidRPr="00027129" w:rsidRDefault="00934CDA" w:rsidP="001A0797">
      <w:pPr>
        <w:pStyle w:val="SingleTxt"/>
        <w:numPr>
          <w:ilvl w:val="0"/>
          <w:numId w:val="6"/>
        </w:numPr>
        <w:ind w:left="1267"/>
        <w:rPr>
          <w:lang w:val="es-419"/>
        </w:rPr>
      </w:pPr>
      <w:r w:rsidRPr="00027129">
        <w:rPr>
          <w:lang w:val="es-419"/>
        </w:rPr>
        <w:t>Otra medida preventiva importante es el asesoramiento psicosocial en las escuelas y para ellas; un programa que sigue un enfoque con perspectiva de género y brinda el mejor asesoramiento y apoyo posible cuando se abandonan los estudios. El proceso de orientación educativa y de formación profesional se mejora de forma permanente, una iniciativa designada con la sigla ibobb (información, asesoramiento y orientación educativa y profesional).</w:t>
      </w:r>
    </w:p>
    <w:p w14:paraId="34F892F0" w14:textId="5BBAEFC4" w:rsidR="00934CDA" w:rsidRPr="00027129" w:rsidRDefault="00934CDA" w:rsidP="001A0797">
      <w:pPr>
        <w:pStyle w:val="SingleTxt"/>
        <w:numPr>
          <w:ilvl w:val="0"/>
          <w:numId w:val="6"/>
        </w:numPr>
        <w:ind w:left="1267"/>
        <w:rPr>
          <w:lang w:val="es-419"/>
        </w:rPr>
      </w:pPr>
      <w:r w:rsidRPr="00027129">
        <w:rPr>
          <w:lang w:val="es-419"/>
        </w:rPr>
        <w:t>El Acuerdo 15a sobre Educación Primaria entre las autoridades federales y provinciales tiene como objetivo garantizar el mejor comienzo posible de los niños en la escuela primaria y mejorar las oportunidades educativas. La atención se centra en el fortalecimiento de las instituciones educativas elementales como primeras instituciones educativas y en la promoción temprana del alemán como idioma de enseñanza.</w:t>
      </w:r>
    </w:p>
    <w:p w14:paraId="3F29CC7E" w14:textId="594878E0" w:rsidR="00934CDA" w:rsidRPr="00027129" w:rsidRDefault="00934CDA" w:rsidP="001A0797">
      <w:pPr>
        <w:pStyle w:val="SingleTxt"/>
        <w:numPr>
          <w:ilvl w:val="0"/>
          <w:numId w:val="6"/>
        </w:numPr>
        <w:ind w:left="1267"/>
        <w:rPr>
          <w:lang w:val="es-419"/>
        </w:rPr>
      </w:pPr>
      <w:r w:rsidRPr="00027129">
        <w:rPr>
          <w:lang w:val="es-419"/>
        </w:rPr>
        <w:t>El Gobierno Federal austriaco concedió subvenciones especiales por valor de 125 millones de euros en el ciclo preescolar 2018/19, así como 142,5 millones de euros en cada ciclo preescolar de 2019/20 a 2021/22, cifra que supone un total de 400 millones de euros entre 2018 y 2022. Se dispone de al menos 18,125 millones de euros para financiar el apoyo lingüístico temprano.</w:t>
      </w:r>
    </w:p>
    <w:p w14:paraId="4196C64E" w14:textId="2C8A3F88" w:rsidR="00934CDA" w:rsidRPr="00027129" w:rsidRDefault="00934CDA" w:rsidP="001A0797">
      <w:pPr>
        <w:pStyle w:val="SingleTxt"/>
        <w:numPr>
          <w:ilvl w:val="0"/>
          <w:numId w:val="6"/>
        </w:numPr>
        <w:ind w:left="1267"/>
        <w:rPr>
          <w:lang w:val="es-419"/>
        </w:rPr>
      </w:pPr>
      <w:r w:rsidRPr="00027129">
        <w:rPr>
          <w:lang w:val="es-419"/>
        </w:rPr>
        <w:t>Los conocimientos de alemán y la mejora del apoyo lingüístico temprano para niños y niñas de cuatro años contribuyen a prepararles para su carrera educativa de la mejor manera posible. A fin de garantizar un comienzo ideal, deben asistir a un año de preescolar obligatorio de media jornada. Ese año es gratuito. Cumplir la asistencia obligatoria cuando se escolariza en casa o con cuidadores solo es posible a petición del tutor si no hay necesidad de apoyo lingüístico.</w:t>
      </w:r>
    </w:p>
    <w:p w14:paraId="50427195" w14:textId="13356C3B" w:rsidR="00934CDA" w:rsidRPr="00027129" w:rsidRDefault="00934CDA" w:rsidP="001A0797">
      <w:pPr>
        <w:pStyle w:val="SingleTxt"/>
        <w:numPr>
          <w:ilvl w:val="0"/>
          <w:numId w:val="6"/>
        </w:numPr>
        <w:ind w:left="1267"/>
        <w:rPr>
          <w:lang w:val="es-419"/>
        </w:rPr>
      </w:pPr>
      <w:r w:rsidRPr="00027129">
        <w:rPr>
          <w:lang w:val="es-419"/>
        </w:rPr>
        <w:t xml:space="preserve">Además, una de las principales preocupaciones de las actividades de integración es evitar que los niños de origen migratorio abandonen la escuela prematuramente. Las dificultades con el idioma alemán suelen ser un obstáculo para avanzar en los estudios. Dado que es probable que la situación se haya visto agravada aún más por la pandemia y las restricciones relacionadas con ella en las escuelas, así como por las dificultades asociadas a la escolarización en casa, a mediados de 2020 se estableció </w:t>
      </w:r>
      <w:r w:rsidRPr="00027129">
        <w:rPr>
          <w:lang w:val="es-419"/>
        </w:rPr>
        <w:lastRenderedPageBreak/>
        <w:t>un programa de escuelas de verano para alumnos de origen migratorio y con conocimientos insuficientes de alemán. El apoyo específico en estas escuelas de verano y, al mismo tiempo, la información proporcionada a los progenitores de origen migratorio durante los cursos para progenitores ofrecidos por el Fondo Austriaco de Integración deberían subsanar las posibles deficiencias.</w:t>
      </w:r>
    </w:p>
    <w:p w14:paraId="200C3367" w14:textId="57345AB2" w:rsidR="00934CDA" w:rsidRPr="00027129" w:rsidRDefault="00934CDA" w:rsidP="001A0797">
      <w:pPr>
        <w:pStyle w:val="SingleTxt"/>
        <w:numPr>
          <w:ilvl w:val="0"/>
          <w:numId w:val="6"/>
        </w:numPr>
        <w:ind w:left="1267"/>
        <w:rPr>
          <w:lang w:val="es-419"/>
        </w:rPr>
      </w:pPr>
      <w:r w:rsidRPr="00027129">
        <w:rPr>
          <w:lang w:val="es-419"/>
        </w:rPr>
        <w:t>Además, desde septiembre de 2018, los alumnos con conocimientos insuficientes de alemán deben asistir obligatoriamente a clases y cursos de apoyo de alemán (§8h SchOG; Ley de Organización Escolar). Los cursos especiales de promoción lingüística para mejorar los conocimientos de alemán existen desde 2008 y se han ampliado continuamente. El aprendizaje temprano y profundo del idioma alemán debe ayudar a seguir las lecciones de otras asignaturas lo más rápidamente posible. Además, 29 proyectos de la sociedad civil recibirán aproximadamente 3,3 millones de euros de fondos nacionales y de la UE en 2021 como parte del paquete de financiación para la infancia y la juventud. La juventud inmigrante debe recibir apoyo en su trayectoria educativa y de formación profesional a través de una amplia variedad de proyectos.</w:t>
      </w:r>
    </w:p>
    <w:p w14:paraId="0F1CBAD5" w14:textId="0866722D" w:rsidR="00934CDA" w:rsidRPr="00027129" w:rsidRDefault="00934CDA" w:rsidP="001A0797">
      <w:pPr>
        <w:pStyle w:val="SingleTxt"/>
        <w:numPr>
          <w:ilvl w:val="0"/>
          <w:numId w:val="6"/>
        </w:numPr>
        <w:ind w:left="1267"/>
        <w:rPr>
          <w:lang w:val="es-419"/>
        </w:rPr>
      </w:pPr>
      <w:r w:rsidRPr="00027129">
        <w:rPr>
          <w:lang w:val="es-419"/>
        </w:rPr>
        <w:t>Además, 41 proyectos de la sociedad civil para mujeres recibirán unos 2,9 millones de euros de fondos nacionales y de la UE en 2021. El objetivo es contrarrestar los déficits educativos existentes y aumentar las oportunidades de empleo para las mujeres cuya lengua materna no es el alemán; ello también tendrá una influencia positiva en la trayectoria educativa y de formación profesional de niños y jóvenes.</w:t>
      </w:r>
    </w:p>
    <w:p w14:paraId="62B3DAE9" w14:textId="77777777" w:rsidR="001A0797" w:rsidRPr="00027129" w:rsidRDefault="001A0797" w:rsidP="001A0797">
      <w:pPr>
        <w:pStyle w:val="SingleTxt"/>
        <w:spacing w:after="0" w:line="120" w:lineRule="exact"/>
        <w:rPr>
          <w:sz w:val="10"/>
          <w:lang w:val="es-419"/>
        </w:rPr>
      </w:pPr>
    </w:p>
    <w:p w14:paraId="5C382AA2" w14:textId="285F14F6" w:rsidR="00934CDA" w:rsidRPr="00027129" w:rsidRDefault="00934CDA" w:rsidP="001A0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027129">
        <w:rPr>
          <w:lang w:val="es-419"/>
        </w:rPr>
        <w:tab/>
      </w:r>
      <w:r w:rsidRPr="00027129">
        <w:rPr>
          <w:lang w:val="es-419"/>
        </w:rPr>
        <w:tab/>
        <w:t>Medidas adoptadas en las provincias federales</w:t>
      </w:r>
    </w:p>
    <w:p w14:paraId="0299A39E" w14:textId="77777777" w:rsidR="001A0797" w:rsidRPr="00027129" w:rsidRDefault="001A0797" w:rsidP="001A0797">
      <w:pPr>
        <w:pStyle w:val="SingleTxt"/>
        <w:spacing w:after="0" w:line="120" w:lineRule="exact"/>
        <w:rPr>
          <w:sz w:val="10"/>
          <w:lang w:val="es-419"/>
        </w:rPr>
      </w:pPr>
    </w:p>
    <w:p w14:paraId="4CE19E24" w14:textId="77777777" w:rsidR="00AC6798" w:rsidRPr="00027129" w:rsidRDefault="00934CDA" w:rsidP="001A0797">
      <w:pPr>
        <w:pStyle w:val="SingleTxt"/>
        <w:numPr>
          <w:ilvl w:val="0"/>
          <w:numId w:val="6"/>
        </w:numPr>
        <w:ind w:left="1267"/>
        <w:rPr>
          <w:lang w:val="es-419"/>
        </w:rPr>
      </w:pPr>
      <w:r w:rsidRPr="00027129">
        <w:rPr>
          <w:lang w:val="es-419"/>
        </w:rPr>
        <w:t>Para reducir las tasas de abandono escolar de las niñas de origen migratorio y de las niñas cuyos progenitores tienen un nivel educativo más bajo y para reintegrar en el sistema educativo a las que abandonan los estudios, las provincias federales ofrecen servicios de asesoramiento y apoyo en cooperación con diferentes instituciones.</w:t>
      </w:r>
    </w:p>
    <w:p w14:paraId="339542E6" w14:textId="18F6BDF2" w:rsidR="00934CDA" w:rsidRPr="00027129" w:rsidRDefault="00934CDA" w:rsidP="001A0797">
      <w:pPr>
        <w:pStyle w:val="SingleTxt"/>
        <w:numPr>
          <w:ilvl w:val="0"/>
          <w:numId w:val="6"/>
        </w:numPr>
        <w:ind w:left="1267"/>
        <w:rPr>
          <w:lang w:val="es-419"/>
        </w:rPr>
      </w:pPr>
      <w:r w:rsidRPr="00027129">
        <w:rPr>
          <w:lang w:val="es-419"/>
        </w:rPr>
        <w:t>El alumnado y sus tutores tienen a su disposición numerosos servicios de asesoramiento y apoyo dentro del sistema escolar (psicología escolar, trabajo social escolar, asesoramiento escolar y educativo, entre otros). También se ofrecen cursos, apoyo y programas de coaching.</w:t>
      </w:r>
    </w:p>
    <w:p w14:paraId="00344734" w14:textId="35842711" w:rsidR="00934CDA" w:rsidRPr="00027129" w:rsidRDefault="00934CDA" w:rsidP="001A0797">
      <w:pPr>
        <w:pStyle w:val="SingleTxt"/>
        <w:numPr>
          <w:ilvl w:val="0"/>
          <w:numId w:val="6"/>
        </w:numPr>
        <w:ind w:left="1267"/>
        <w:rPr>
          <w:lang w:val="es-419"/>
        </w:rPr>
      </w:pPr>
      <w:r w:rsidRPr="00027129">
        <w:rPr>
          <w:lang w:val="es-419"/>
        </w:rPr>
        <w:t xml:space="preserve">En Vorarlberg, por ejemplo, los jóvenes desde el 9º curso hasta los 19 años pueden acudir al centro de información BIFO para analizar sus intereses, capacidades y puntos fuertes personales y recibir información sobre la educación y la formación adecuadas o apoyo para cambiar de carrera. Para los jóvenes desde el 9º curso hasta los 24 años que probablemente no puedan completar un aprendizaje regular, el programa </w:t>
      </w:r>
      <w:r w:rsidRPr="00027129">
        <w:rPr>
          <w:i/>
          <w:iCs/>
          <w:lang w:val="es-419"/>
        </w:rPr>
        <w:t xml:space="preserve">Dafür </w:t>
      </w:r>
      <w:r w:rsidRPr="00027129">
        <w:rPr>
          <w:lang w:val="es-419"/>
        </w:rPr>
        <w:t xml:space="preserve">ofrece asesoramiento, apoyo e información sobre posibles carreras. Los Centros de Información Profesional (BIZ; </w:t>
      </w:r>
      <w:r w:rsidRPr="00027129">
        <w:rPr>
          <w:i/>
          <w:iCs/>
          <w:lang w:val="es-419"/>
        </w:rPr>
        <w:t>BerufsInfoZentren</w:t>
      </w:r>
      <w:r w:rsidRPr="00027129">
        <w:rPr>
          <w:lang w:val="es-419"/>
        </w:rPr>
        <w:t>) del Servicio Austriaco de Empleo AMS también ayudan en la elección de una carrera y la (re)orientación profesional.</w:t>
      </w:r>
    </w:p>
    <w:p w14:paraId="78C0E6AB" w14:textId="77777777" w:rsidR="00AC6798" w:rsidRPr="00027129" w:rsidRDefault="00934CDA" w:rsidP="001A0797">
      <w:pPr>
        <w:pStyle w:val="SingleTxt"/>
        <w:numPr>
          <w:ilvl w:val="0"/>
          <w:numId w:val="6"/>
        </w:numPr>
        <w:ind w:left="1267"/>
        <w:rPr>
          <w:lang w:val="es-419"/>
        </w:rPr>
      </w:pPr>
      <w:r w:rsidRPr="00027129">
        <w:rPr>
          <w:lang w:val="es-419"/>
        </w:rPr>
        <w:t xml:space="preserve">Viena apoya a numerosas asociaciones de mujeres y niñas, como </w:t>
      </w:r>
      <w:r w:rsidRPr="00027129">
        <w:rPr>
          <w:i/>
          <w:iCs/>
          <w:lang w:val="es-419"/>
        </w:rPr>
        <w:t xml:space="preserve">Sprungbrett </w:t>
      </w:r>
      <w:r w:rsidRPr="00027129">
        <w:rPr>
          <w:lang w:val="es-419"/>
        </w:rPr>
        <w:t xml:space="preserve">y el centro de niñas </w:t>
      </w:r>
      <w:r w:rsidRPr="00027129">
        <w:rPr>
          <w:i/>
          <w:iCs/>
          <w:lang w:val="es-419"/>
        </w:rPr>
        <w:t>Peppa</w:t>
      </w:r>
      <w:r w:rsidRPr="00027129">
        <w:rPr>
          <w:lang w:val="es-419"/>
        </w:rPr>
        <w:t xml:space="preserve">, que apoyan y asesoran a las niñas en muchos ámbitos de su vida, incluida su trayectoria educativa. Las beneficiarias son niñas de origen migratorio o cuyos progenitores tienen niveles de educación más bajos. Otras medidas son los cursos de alemán, la educación general y los cursos de formación para inmigrantes recientes, así como el apoyo al aprendizaje de alumnos cuya lengua materna no es el alemán. El colegio juvenil </w:t>
      </w:r>
      <w:r w:rsidRPr="00027129">
        <w:rPr>
          <w:i/>
          <w:iCs/>
          <w:lang w:val="es-419"/>
        </w:rPr>
        <w:t>StartWien</w:t>
      </w:r>
      <w:r w:rsidRPr="00027129">
        <w:rPr>
          <w:lang w:val="es-419"/>
        </w:rPr>
        <w:t xml:space="preserve">, por ejemplo, se centra en el aprendizaje del alemán, la mejora de la educación general (matemáticas, inglés, TIC) </w:t>
      </w:r>
      <w:r w:rsidRPr="00027129">
        <w:rPr>
          <w:lang w:val="es-419"/>
        </w:rPr>
        <w:lastRenderedPageBreak/>
        <w:t>y la colocación de jóvenes en la escuela secundaria, la formación profesional o un empleo sostenible.</w:t>
      </w:r>
    </w:p>
    <w:p w14:paraId="3481264D" w14:textId="067CB1E2" w:rsidR="00934CDA" w:rsidRPr="00027129" w:rsidRDefault="00934CDA" w:rsidP="001A0797">
      <w:pPr>
        <w:pStyle w:val="SingleTxt"/>
        <w:numPr>
          <w:ilvl w:val="0"/>
          <w:numId w:val="6"/>
        </w:numPr>
        <w:ind w:left="1267"/>
        <w:rPr>
          <w:lang w:val="es-419"/>
        </w:rPr>
      </w:pPr>
      <w:r w:rsidRPr="00027129">
        <w:rPr>
          <w:lang w:val="es-419"/>
        </w:rPr>
        <w:t>Carintia tiene un centro especializado en competencias y redes, el Centro de Niñas de Klagenfurt, donde también tiene su sede el centro regional de competencias de género para la adolescencia. En el centro se hace hincapié, entre otras cosas, en la inclusión social de las jóvenes de 18 a 25 años que han experimentado desventajas en diferentes ámbitos de la vida, como la discriminación interseccional, la marginación social y la pobreza. Se hace especial hincapié en esferas como el abandono escolar, la falta de estructuras familiares, las obligaciones de cuidado, el contexto migratorio y una amplia variedad de problemas psicosociales. Los servicios se prestan en diferentes formatos y van desde programas de fácil acceso, como el Club de Chicas, hasta cursos de idiomas, formación profesional y orientación laboral, asesoramiento psicosocial y proyectos de cooperación con las escuelas.</w:t>
      </w:r>
    </w:p>
    <w:p w14:paraId="78B90C22" w14:textId="77777777" w:rsidR="001A0797" w:rsidRPr="00027129" w:rsidRDefault="001A0797" w:rsidP="001A0797">
      <w:pPr>
        <w:pStyle w:val="SingleTxt"/>
        <w:spacing w:after="0" w:line="120" w:lineRule="exact"/>
        <w:rPr>
          <w:b/>
          <w:sz w:val="10"/>
          <w:lang w:val="es-419"/>
        </w:rPr>
      </w:pPr>
    </w:p>
    <w:p w14:paraId="7832425F" w14:textId="77777777" w:rsidR="001A0797" w:rsidRPr="00027129" w:rsidRDefault="001A0797" w:rsidP="001A0797">
      <w:pPr>
        <w:pStyle w:val="SingleTxt"/>
        <w:spacing w:after="0" w:line="120" w:lineRule="exact"/>
        <w:rPr>
          <w:b/>
          <w:sz w:val="10"/>
          <w:lang w:val="es-419"/>
        </w:rPr>
      </w:pPr>
    </w:p>
    <w:p w14:paraId="59A71FAE" w14:textId="299D6100" w:rsidR="00934CDA" w:rsidRPr="00027129" w:rsidRDefault="00934CDA" w:rsidP="001A07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027129">
        <w:rPr>
          <w:lang w:val="es-419"/>
        </w:rPr>
        <w:tab/>
      </w:r>
      <w:r w:rsidRPr="00027129">
        <w:rPr>
          <w:lang w:val="es-419"/>
        </w:rPr>
        <w:tab/>
        <w:t>43 c) Reducir los obstáculos jurídicos y administrativos que afectan a la reunificación familiar de las mujeres y los hombres que gozan de protección internacional</w:t>
      </w:r>
    </w:p>
    <w:p w14:paraId="159F00F6" w14:textId="0FF4AD8B" w:rsidR="001A0797" w:rsidRPr="00027129" w:rsidRDefault="001A0797" w:rsidP="001A0797">
      <w:pPr>
        <w:pStyle w:val="SingleTxt"/>
        <w:spacing w:after="0" w:line="120" w:lineRule="exact"/>
        <w:rPr>
          <w:sz w:val="10"/>
          <w:lang w:val="es-419"/>
        </w:rPr>
      </w:pPr>
    </w:p>
    <w:p w14:paraId="38B26E9C" w14:textId="304A2A98" w:rsidR="001A0797" w:rsidRPr="00027129" w:rsidRDefault="001A0797" w:rsidP="001A0797">
      <w:pPr>
        <w:pStyle w:val="SingleTxt"/>
        <w:spacing w:after="0" w:line="120" w:lineRule="exact"/>
        <w:rPr>
          <w:sz w:val="10"/>
          <w:lang w:val="es-419"/>
        </w:rPr>
      </w:pPr>
    </w:p>
    <w:p w14:paraId="03B73F6C" w14:textId="77777777" w:rsidR="00AC6798" w:rsidRPr="00027129" w:rsidRDefault="00934CDA" w:rsidP="001A0797">
      <w:pPr>
        <w:pStyle w:val="SingleTxt"/>
        <w:numPr>
          <w:ilvl w:val="0"/>
          <w:numId w:val="6"/>
        </w:numPr>
        <w:ind w:left="1267"/>
        <w:rPr>
          <w:lang w:val="es-419"/>
        </w:rPr>
      </w:pPr>
      <w:r w:rsidRPr="00027129">
        <w:rPr>
          <w:lang w:val="es-419"/>
        </w:rPr>
        <w:t>Austria cumple las disposiciones legales internacionales y europeas, en particular en materia de reunificación familiar. La legislación austriaca prevé varias posibilidades de reunificación familiar.</w:t>
      </w:r>
    </w:p>
    <w:p w14:paraId="743F4128" w14:textId="77777777" w:rsidR="00AC6798" w:rsidRPr="00027129" w:rsidRDefault="00934CDA" w:rsidP="001A0797">
      <w:pPr>
        <w:pStyle w:val="SingleTxt"/>
        <w:numPr>
          <w:ilvl w:val="0"/>
          <w:numId w:val="6"/>
        </w:numPr>
        <w:ind w:left="1267"/>
        <w:rPr>
          <w:lang w:val="es-419"/>
        </w:rPr>
      </w:pPr>
      <w:r w:rsidRPr="00027129">
        <w:rPr>
          <w:lang w:val="es-419"/>
        </w:rPr>
        <w:t>Los familiares de las personas con derecho de asilo pueden solicitar un permiso de entrada ante una autoridad de representación austriaca en el extranjero en un plazo de tres meses después de concedido el asilo si se cumplen y prueban determinados requisitos generales, como el seguro médico.</w:t>
      </w:r>
    </w:p>
    <w:p w14:paraId="65A7E3AB" w14:textId="2808CA22" w:rsidR="00934CDA" w:rsidRPr="00027129" w:rsidRDefault="00934CDA" w:rsidP="001A0797">
      <w:pPr>
        <w:pStyle w:val="SingleTxt"/>
        <w:numPr>
          <w:ilvl w:val="0"/>
          <w:numId w:val="6"/>
        </w:numPr>
        <w:ind w:left="1267"/>
        <w:rPr>
          <w:lang w:val="es-419"/>
        </w:rPr>
      </w:pPr>
      <w:r w:rsidRPr="00027129">
        <w:rPr>
          <w:lang w:val="es-419"/>
        </w:rPr>
        <w:t>Los familiares de los beneficiarios de protección subsidiaria pueden solicitar un permiso de entrada en el marco de la reunificación familiar tres años después de la concesión del estatuto de protección y deben demostrar además que disponen de un alojamiento adecuado, un seguro médico y unos ingresos suficientes.</w:t>
      </w:r>
    </w:p>
    <w:p w14:paraId="3867C41E" w14:textId="77777777" w:rsidR="00AC6798" w:rsidRPr="00027129" w:rsidRDefault="00934CDA" w:rsidP="001A0797">
      <w:pPr>
        <w:pStyle w:val="SingleTxt"/>
        <w:numPr>
          <w:ilvl w:val="0"/>
          <w:numId w:val="6"/>
        </w:numPr>
        <w:ind w:left="1267"/>
        <w:rPr>
          <w:lang w:val="es-419"/>
        </w:rPr>
      </w:pPr>
      <w:r w:rsidRPr="00027129">
        <w:rPr>
          <w:lang w:val="es-419"/>
        </w:rPr>
        <w:t>Sin embargo, si no se cumplen esos requisitos, la solicitud no se rechaza automáticamente, sino que debe examinarse en cada caso concreto si surge el derecho a la reunificación familiar de conformidad con el artículo 8 del Convenio Europeo de Derechos Humanos.</w:t>
      </w:r>
    </w:p>
    <w:p w14:paraId="25F211FB" w14:textId="77777777" w:rsidR="00AC6798" w:rsidRPr="00027129" w:rsidRDefault="00934CDA" w:rsidP="001A0797">
      <w:pPr>
        <w:pStyle w:val="SingleTxt"/>
        <w:numPr>
          <w:ilvl w:val="0"/>
          <w:numId w:val="6"/>
        </w:numPr>
        <w:ind w:left="1267"/>
        <w:rPr>
          <w:lang w:val="es-419"/>
        </w:rPr>
      </w:pPr>
      <w:r w:rsidRPr="00027129">
        <w:rPr>
          <w:lang w:val="es-419"/>
        </w:rPr>
        <w:t>Si el solicitante es el progenitor de un menor no acompañado con derecho a asilo o que es beneficiario de protección subsidiaria, se considera que se cumplen los requisitos adicionales.</w:t>
      </w:r>
    </w:p>
    <w:p w14:paraId="294B0C34" w14:textId="7FDB950D" w:rsidR="00934CDA" w:rsidRPr="00027129" w:rsidRDefault="00934CDA" w:rsidP="001A0797">
      <w:pPr>
        <w:pStyle w:val="SingleTxt"/>
        <w:numPr>
          <w:ilvl w:val="0"/>
          <w:numId w:val="6"/>
        </w:numPr>
        <w:tabs>
          <w:tab w:val="num" w:pos="2804"/>
        </w:tabs>
        <w:ind w:left="1267"/>
        <w:rPr>
          <w:lang w:val="es-419"/>
        </w:rPr>
      </w:pPr>
      <w:r w:rsidRPr="00027129">
        <w:rPr>
          <w:lang w:val="es-419"/>
        </w:rPr>
        <w:t>Es posible solicitar la reunificación familiar de forma gratuita en cualquier autoridad de representación austriaca. Debido a la pandemia mundial de COVID-19, las actividades de las autoridades de representación se restringieron y entrañaron tiempos de espera en 2020. Un sistema de citas electrónicas ha facilitado el acceso y las solicitudes se han priorizado en función del tiempo necesario. Las oficinas de representación que necesitan personal con conocimientos lingüísticos especiales tienen en cuenta los conocimientos de lenguas extranjeras (como el árabe o el dari) en el proceso de contratación. Se ha creado un verdadero sistema de apelación con los Tribunales Administrativos Federales para que toda decisión pueda ser revisada por los tribunales. En muchos casos, los solicitantes están representados por organizaciones no gubernamentales en los procedimientos de apelación, y las decisiones pueden corregirse posteriormente a favor del solicitante.</w:t>
      </w:r>
    </w:p>
    <w:p w14:paraId="1AD3EECF" w14:textId="14A1C46A" w:rsidR="001A0797" w:rsidRPr="00027129" w:rsidRDefault="001A0797" w:rsidP="001A0797">
      <w:pPr>
        <w:pStyle w:val="SingleTxt"/>
        <w:rPr>
          <w:lang w:val="es-419"/>
        </w:rPr>
      </w:pPr>
      <w:r w:rsidRPr="00027129">
        <w:rPr>
          <w:noProof/>
          <w:w w:val="100"/>
          <w:lang w:val="es-419"/>
        </w:rPr>
        <mc:AlternateContent>
          <mc:Choice Requires="wps">
            <w:drawing>
              <wp:anchor distT="0" distB="0" distL="114300" distR="114300" simplePos="0" relativeHeight="251660288" behindDoc="0" locked="0" layoutInCell="1" allowOverlap="1" wp14:anchorId="1CF8CB09" wp14:editId="7588F80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8380C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A0797" w:rsidRPr="00027129" w:rsidSect="0008223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9-03T09:09:00Z" w:initials="Start">
    <w:p w14:paraId="23743380" w14:textId="77777777" w:rsidR="00811945" w:rsidRPr="00082239" w:rsidRDefault="00811945">
      <w:pPr>
        <w:pStyle w:val="CommentText"/>
        <w:rPr>
          <w:lang w:val="en-US"/>
        </w:rPr>
      </w:pPr>
      <w:r>
        <w:rPr>
          <w:rStyle w:val="CommentReference"/>
        </w:rPr>
        <w:annotationRef/>
      </w:r>
      <w:r w:rsidRPr="00082239">
        <w:rPr>
          <w:lang w:val="en-US"/>
        </w:rPr>
        <w:t>&lt;&lt;ODS JOB NO&gt;&gt;N2120313S&lt;&lt;ODS JOB NO&gt;&gt;</w:t>
      </w:r>
    </w:p>
    <w:p w14:paraId="3BE870EB" w14:textId="77777777" w:rsidR="00811945" w:rsidRPr="000820AA" w:rsidRDefault="00811945">
      <w:pPr>
        <w:pStyle w:val="CommentText"/>
        <w:rPr>
          <w:lang w:val="en-US"/>
        </w:rPr>
      </w:pPr>
      <w:r w:rsidRPr="000820AA">
        <w:rPr>
          <w:lang w:val="en-US"/>
        </w:rPr>
        <w:t>&lt;&lt;ODS DOC SYMBOL1&gt;&gt;CEDAW/C/AUT/FCO/9&lt;&lt;ODS DOC SYMBOL1&gt;&gt;</w:t>
      </w:r>
    </w:p>
    <w:p w14:paraId="5F40C2C8" w14:textId="77777777" w:rsidR="00811945" w:rsidRPr="000820AA" w:rsidRDefault="00811945">
      <w:pPr>
        <w:pStyle w:val="CommentText"/>
        <w:rPr>
          <w:lang w:val="en-US"/>
        </w:rPr>
      </w:pPr>
      <w:r w:rsidRPr="000820A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40C2C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DC64BE" w16cex:dateUtc="2021-09-03T1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40C2C8" w16cid:durableId="24DC64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02AC1" w14:textId="77777777" w:rsidR="00BB46EE" w:rsidRDefault="00BB46EE" w:rsidP="00101B18">
      <w:r>
        <w:separator/>
      </w:r>
    </w:p>
  </w:endnote>
  <w:endnote w:type="continuationSeparator" w:id="0">
    <w:p w14:paraId="1B10AB1E" w14:textId="77777777" w:rsidR="00BB46EE" w:rsidRDefault="00BB46E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11945" w14:paraId="511DFACF" w14:textId="77777777" w:rsidTr="00811945">
      <w:tc>
        <w:tcPr>
          <w:tcW w:w="4920" w:type="dxa"/>
          <w:shd w:val="clear" w:color="auto" w:fill="auto"/>
          <w:vAlign w:val="bottom"/>
        </w:tcPr>
        <w:p w14:paraId="730C7227" w14:textId="77777777" w:rsidR="00811945" w:rsidRPr="00811945" w:rsidRDefault="00811945" w:rsidP="00811945">
          <w:pPr>
            <w:pStyle w:val="Footer"/>
            <w:rPr>
              <w:color w:val="000000"/>
            </w:rPr>
          </w:pPr>
          <w:r>
            <w:fldChar w:fldCharType="begin"/>
          </w:r>
          <w:r>
            <w:instrText xml:space="preserve"> PAGE  \* Arabic  \* MERGEFORMAT </w:instrText>
          </w:r>
          <w:r>
            <w:fldChar w:fldCharType="separate"/>
          </w:r>
          <w:r>
            <w:t>3</w:t>
          </w:r>
          <w:r>
            <w:fldChar w:fldCharType="end"/>
          </w:r>
          <w:r>
            <w:t>/</w:t>
          </w:r>
          <w:r w:rsidR="00A93A6F">
            <w:fldChar w:fldCharType="begin"/>
          </w:r>
          <w:r w:rsidR="00A93A6F">
            <w:instrText xml:space="preserve"> NUMPAGES  \* Arabic  \* MERGEFORMAT </w:instrText>
          </w:r>
          <w:r w:rsidR="00A93A6F">
            <w:fldChar w:fldCharType="separate"/>
          </w:r>
          <w:r>
            <w:t>4</w:t>
          </w:r>
          <w:r w:rsidR="00A93A6F">
            <w:fldChar w:fldCharType="end"/>
          </w:r>
        </w:p>
      </w:tc>
      <w:tc>
        <w:tcPr>
          <w:tcW w:w="4920" w:type="dxa"/>
          <w:shd w:val="clear" w:color="auto" w:fill="auto"/>
          <w:vAlign w:val="bottom"/>
        </w:tcPr>
        <w:p w14:paraId="3F844A2A" w14:textId="1E6123CF" w:rsidR="00811945" w:rsidRPr="00811945" w:rsidRDefault="00811945" w:rsidP="0081194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93A6F">
            <w:rPr>
              <w:b w:val="0"/>
              <w:color w:val="000000"/>
              <w:sz w:val="14"/>
            </w:rPr>
            <w:t>21-10197</w:t>
          </w:r>
          <w:r>
            <w:rPr>
              <w:b w:val="0"/>
              <w:color w:val="000000"/>
              <w:sz w:val="14"/>
            </w:rPr>
            <w:fldChar w:fldCharType="end"/>
          </w:r>
        </w:p>
      </w:tc>
    </w:tr>
  </w:tbl>
  <w:p w14:paraId="062BB0F8" w14:textId="77777777" w:rsidR="00811945" w:rsidRPr="00811945" w:rsidRDefault="00811945" w:rsidP="008119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11945" w14:paraId="4DDA067E" w14:textId="77777777" w:rsidTr="00811945">
      <w:tc>
        <w:tcPr>
          <w:tcW w:w="4920" w:type="dxa"/>
          <w:shd w:val="clear" w:color="auto" w:fill="auto"/>
          <w:vAlign w:val="bottom"/>
        </w:tcPr>
        <w:p w14:paraId="4A0685D6" w14:textId="27627B47" w:rsidR="00811945" w:rsidRPr="00811945" w:rsidRDefault="00811945" w:rsidP="0081194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93A6F">
            <w:rPr>
              <w:b w:val="0"/>
              <w:color w:val="000000"/>
              <w:sz w:val="14"/>
            </w:rPr>
            <w:t>21-10197</w:t>
          </w:r>
          <w:r>
            <w:rPr>
              <w:b w:val="0"/>
              <w:color w:val="000000"/>
              <w:sz w:val="14"/>
            </w:rPr>
            <w:fldChar w:fldCharType="end"/>
          </w:r>
        </w:p>
      </w:tc>
      <w:tc>
        <w:tcPr>
          <w:tcW w:w="4920" w:type="dxa"/>
          <w:shd w:val="clear" w:color="auto" w:fill="auto"/>
          <w:vAlign w:val="bottom"/>
        </w:tcPr>
        <w:p w14:paraId="77493097" w14:textId="77777777" w:rsidR="00811945" w:rsidRPr="00811945" w:rsidRDefault="00811945" w:rsidP="00811945">
          <w:pPr>
            <w:pStyle w:val="Footer"/>
            <w:jc w:val="right"/>
          </w:pPr>
          <w:r>
            <w:fldChar w:fldCharType="begin"/>
          </w:r>
          <w:r>
            <w:instrText xml:space="preserve"> PAGE  \* Arabic  \* MERGEFORMAT </w:instrText>
          </w:r>
          <w:r>
            <w:fldChar w:fldCharType="separate"/>
          </w:r>
          <w:r>
            <w:t>2</w:t>
          </w:r>
          <w:r>
            <w:fldChar w:fldCharType="end"/>
          </w:r>
          <w:r>
            <w:t>/</w:t>
          </w:r>
          <w:r w:rsidR="00A93A6F">
            <w:fldChar w:fldCharType="begin"/>
          </w:r>
          <w:r w:rsidR="00A93A6F">
            <w:instrText xml:space="preserve"> NUMPAGES  \* Arabic  \* MERGEFORMAT </w:instrText>
          </w:r>
          <w:r w:rsidR="00A93A6F">
            <w:fldChar w:fldCharType="separate"/>
          </w:r>
          <w:r>
            <w:t>4</w:t>
          </w:r>
          <w:r w:rsidR="00A93A6F">
            <w:fldChar w:fldCharType="end"/>
          </w:r>
        </w:p>
      </w:tc>
    </w:tr>
  </w:tbl>
  <w:p w14:paraId="4037F082" w14:textId="77777777" w:rsidR="00811945" w:rsidRPr="00811945" w:rsidRDefault="00811945" w:rsidP="008119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BCDA" w14:textId="77777777" w:rsidR="00811945" w:rsidRPr="00811945" w:rsidRDefault="00811945" w:rsidP="00811945">
    <w:pPr>
      <w:pStyle w:val="Footer"/>
      <w:spacing w:line="120" w:lineRule="exact"/>
      <w:rPr>
        <w:b w:val="0"/>
        <w:sz w:val="10"/>
      </w:rPr>
    </w:pPr>
    <w:r>
      <w:rPr>
        <w:b w:val="0"/>
        <w:sz w:val="10"/>
      </w:rPr>
      <w:drawing>
        <wp:anchor distT="0" distB="0" distL="114300" distR="114300" simplePos="0" relativeHeight="251658240" behindDoc="0" locked="0" layoutInCell="1" allowOverlap="1" wp14:anchorId="452D4E19" wp14:editId="7619E57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11945" w14:paraId="794C035B" w14:textId="77777777" w:rsidTr="00811945">
      <w:tc>
        <w:tcPr>
          <w:tcW w:w="3830" w:type="dxa"/>
          <w:shd w:val="clear" w:color="auto" w:fill="auto"/>
        </w:tcPr>
        <w:p w14:paraId="25BDF706" w14:textId="1CB2BD52" w:rsidR="00811945" w:rsidRDefault="00811945" w:rsidP="00811945">
          <w:pPr>
            <w:pStyle w:val="ReleaseDate0"/>
          </w:pPr>
          <w:r>
            <w:t>21-10197 (S)    0</w:t>
          </w:r>
          <w:r w:rsidR="00934CDA">
            <w:t>1</w:t>
          </w:r>
          <w:r>
            <w:t>0921    030921</w:t>
          </w:r>
        </w:p>
        <w:p w14:paraId="03BA7687" w14:textId="77777777" w:rsidR="00811945" w:rsidRPr="00811945" w:rsidRDefault="00811945" w:rsidP="0081194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*2110197*</w:t>
          </w:r>
        </w:p>
      </w:tc>
      <w:tc>
        <w:tcPr>
          <w:tcW w:w="4920" w:type="dxa"/>
          <w:shd w:val="clear" w:color="auto" w:fill="auto"/>
        </w:tcPr>
        <w:p w14:paraId="2361C840" w14:textId="77777777" w:rsidR="00811945" w:rsidRDefault="00811945" w:rsidP="00811945">
          <w:pPr>
            <w:pStyle w:val="Footer"/>
            <w:jc w:val="right"/>
            <w:rPr>
              <w:b w:val="0"/>
              <w:sz w:val="20"/>
            </w:rPr>
          </w:pPr>
          <w:r>
            <w:rPr>
              <w:b w:val="0"/>
              <w:sz w:val="20"/>
            </w:rPr>
            <w:drawing>
              <wp:inline distT="0" distB="0" distL="0" distR="0" wp14:anchorId="5A8575B3" wp14:editId="4D0141F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429BE87" w14:textId="77777777" w:rsidR="00811945" w:rsidRPr="00811945" w:rsidRDefault="00811945" w:rsidP="0081194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54DF1" w14:textId="77777777" w:rsidR="00BB46EE" w:rsidRDefault="00BB46EE" w:rsidP="00101B18">
      <w:r>
        <w:separator/>
      </w:r>
    </w:p>
  </w:footnote>
  <w:footnote w:type="continuationSeparator" w:id="0">
    <w:p w14:paraId="514FEB60" w14:textId="77777777" w:rsidR="00BB46EE" w:rsidRDefault="00BB46EE"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1945" w14:paraId="685D347F" w14:textId="77777777" w:rsidTr="00811945">
      <w:trPr>
        <w:trHeight w:hRule="exact" w:val="864"/>
      </w:trPr>
      <w:tc>
        <w:tcPr>
          <w:tcW w:w="4920" w:type="dxa"/>
          <w:shd w:val="clear" w:color="auto" w:fill="auto"/>
          <w:vAlign w:val="bottom"/>
        </w:tcPr>
        <w:p w14:paraId="6EDF191D" w14:textId="19682548" w:rsidR="00811945" w:rsidRPr="00811945" w:rsidRDefault="00811945" w:rsidP="00811945">
          <w:pPr>
            <w:pStyle w:val="Header"/>
            <w:spacing w:after="80"/>
            <w:rPr>
              <w:b/>
            </w:rPr>
          </w:pPr>
          <w:r>
            <w:rPr>
              <w:b/>
            </w:rPr>
            <w:fldChar w:fldCharType="begin"/>
          </w:r>
          <w:r>
            <w:rPr>
              <w:b/>
            </w:rPr>
            <w:instrText xml:space="preserve"> DOCVARIABLE "sss1" \* MERGEFORMAT </w:instrText>
          </w:r>
          <w:r>
            <w:rPr>
              <w:b/>
            </w:rPr>
            <w:fldChar w:fldCharType="separate"/>
          </w:r>
          <w:r w:rsidR="00A93A6F">
            <w:rPr>
              <w:b/>
            </w:rPr>
            <w:t>CEDAW/C/AUT/FCO/9</w:t>
          </w:r>
          <w:r>
            <w:rPr>
              <w:b/>
            </w:rPr>
            <w:fldChar w:fldCharType="end"/>
          </w:r>
        </w:p>
      </w:tc>
      <w:tc>
        <w:tcPr>
          <w:tcW w:w="4920" w:type="dxa"/>
          <w:shd w:val="clear" w:color="auto" w:fill="auto"/>
          <w:vAlign w:val="bottom"/>
        </w:tcPr>
        <w:p w14:paraId="7FD34DD0" w14:textId="77777777" w:rsidR="00811945" w:rsidRDefault="00811945" w:rsidP="00811945">
          <w:pPr>
            <w:pStyle w:val="Header"/>
          </w:pPr>
        </w:p>
      </w:tc>
    </w:tr>
  </w:tbl>
  <w:p w14:paraId="5AB3E9CA" w14:textId="77777777" w:rsidR="00811945" w:rsidRPr="00811945" w:rsidRDefault="00811945" w:rsidP="008119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1945" w14:paraId="0E52A82F" w14:textId="77777777" w:rsidTr="00811945">
      <w:trPr>
        <w:trHeight w:hRule="exact" w:val="864"/>
      </w:trPr>
      <w:tc>
        <w:tcPr>
          <w:tcW w:w="4920" w:type="dxa"/>
          <w:shd w:val="clear" w:color="auto" w:fill="auto"/>
          <w:vAlign w:val="bottom"/>
        </w:tcPr>
        <w:p w14:paraId="452447E6" w14:textId="77777777" w:rsidR="00811945" w:rsidRDefault="00811945" w:rsidP="00811945">
          <w:pPr>
            <w:pStyle w:val="Header"/>
          </w:pPr>
        </w:p>
      </w:tc>
      <w:tc>
        <w:tcPr>
          <w:tcW w:w="4920" w:type="dxa"/>
          <w:shd w:val="clear" w:color="auto" w:fill="auto"/>
          <w:vAlign w:val="bottom"/>
        </w:tcPr>
        <w:p w14:paraId="1BE72A68" w14:textId="62EC7085" w:rsidR="00811945" w:rsidRPr="00811945" w:rsidRDefault="00811945" w:rsidP="00811945">
          <w:pPr>
            <w:pStyle w:val="Header"/>
            <w:spacing w:after="80"/>
            <w:jc w:val="right"/>
            <w:rPr>
              <w:b/>
            </w:rPr>
          </w:pPr>
          <w:r>
            <w:rPr>
              <w:b/>
            </w:rPr>
            <w:fldChar w:fldCharType="begin"/>
          </w:r>
          <w:r>
            <w:rPr>
              <w:b/>
            </w:rPr>
            <w:instrText xml:space="preserve"> DOCVARIABLE "sss1" \* MERGEFORMAT </w:instrText>
          </w:r>
          <w:r>
            <w:rPr>
              <w:b/>
            </w:rPr>
            <w:fldChar w:fldCharType="separate"/>
          </w:r>
          <w:r w:rsidR="00A93A6F">
            <w:rPr>
              <w:b/>
            </w:rPr>
            <w:t>CEDAW/C/AUT/FCO/9</w:t>
          </w:r>
          <w:r>
            <w:rPr>
              <w:b/>
            </w:rPr>
            <w:fldChar w:fldCharType="end"/>
          </w:r>
        </w:p>
      </w:tc>
    </w:tr>
  </w:tbl>
  <w:p w14:paraId="140AC2BB" w14:textId="77777777" w:rsidR="00811945" w:rsidRPr="00811945" w:rsidRDefault="00811945" w:rsidP="008119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11945" w14:paraId="151E76CA" w14:textId="77777777" w:rsidTr="00811945">
      <w:trPr>
        <w:gridAfter w:val="1"/>
        <w:wAfter w:w="15" w:type="dxa"/>
        <w:trHeight w:hRule="exact" w:val="864"/>
      </w:trPr>
      <w:tc>
        <w:tcPr>
          <w:tcW w:w="1267" w:type="dxa"/>
          <w:tcBorders>
            <w:bottom w:val="single" w:sz="4" w:space="0" w:color="auto"/>
          </w:tcBorders>
          <w:shd w:val="clear" w:color="auto" w:fill="auto"/>
          <w:vAlign w:val="bottom"/>
        </w:tcPr>
        <w:p w14:paraId="07A4F017" w14:textId="77777777" w:rsidR="00811945" w:rsidRDefault="00811945" w:rsidP="00811945">
          <w:pPr>
            <w:pStyle w:val="Header"/>
            <w:spacing w:after="120"/>
          </w:pPr>
        </w:p>
      </w:tc>
      <w:tc>
        <w:tcPr>
          <w:tcW w:w="2059" w:type="dxa"/>
          <w:tcBorders>
            <w:bottom w:val="single" w:sz="4" w:space="0" w:color="auto"/>
          </w:tcBorders>
          <w:shd w:val="clear" w:color="auto" w:fill="auto"/>
          <w:vAlign w:val="bottom"/>
        </w:tcPr>
        <w:p w14:paraId="5D9B4652" w14:textId="77777777" w:rsidR="00811945" w:rsidRPr="00811945" w:rsidRDefault="00811945" w:rsidP="0081194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8E598D3" w14:textId="77777777" w:rsidR="00811945" w:rsidRDefault="00811945" w:rsidP="00811945">
          <w:pPr>
            <w:pStyle w:val="Header"/>
            <w:spacing w:after="120"/>
          </w:pPr>
        </w:p>
      </w:tc>
      <w:tc>
        <w:tcPr>
          <w:tcW w:w="6480" w:type="dxa"/>
          <w:gridSpan w:val="3"/>
          <w:tcBorders>
            <w:bottom w:val="single" w:sz="4" w:space="0" w:color="auto"/>
          </w:tcBorders>
          <w:shd w:val="clear" w:color="auto" w:fill="auto"/>
          <w:vAlign w:val="bottom"/>
        </w:tcPr>
        <w:p w14:paraId="0B2492C0" w14:textId="77777777" w:rsidR="00811945" w:rsidRPr="00811945" w:rsidRDefault="00811945" w:rsidP="00811945">
          <w:pPr>
            <w:spacing w:after="80" w:line="240" w:lineRule="auto"/>
            <w:jc w:val="right"/>
            <w:rPr>
              <w:position w:val="-4"/>
            </w:rPr>
          </w:pPr>
          <w:r>
            <w:rPr>
              <w:position w:val="-4"/>
              <w:sz w:val="40"/>
            </w:rPr>
            <w:t>CEDAW</w:t>
          </w:r>
          <w:r>
            <w:rPr>
              <w:position w:val="-4"/>
            </w:rPr>
            <w:t>/C/AUT/FCO/9</w:t>
          </w:r>
        </w:p>
      </w:tc>
    </w:tr>
    <w:tr w:rsidR="00811945" w:rsidRPr="00811945" w14:paraId="6532C6E4" w14:textId="77777777" w:rsidTr="00811945">
      <w:trPr>
        <w:trHeight w:hRule="exact" w:val="2880"/>
      </w:trPr>
      <w:tc>
        <w:tcPr>
          <w:tcW w:w="1267" w:type="dxa"/>
          <w:tcBorders>
            <w:top w:val="single" w:sz="4" w:space="0" w:color="auto"/>
            <w:bottom w:val="single" w:sz="12" w:space="0" w:color="auto"/>
          </w:tcBorders>
          <w:shd w:val="clear" w:color="auto" w:fill="auto"/>
        </w:tcPr>
        <w:p w14:paraId="4CBFEF36" w14:textId="77777777" w:rsidR="00811945" w:rsidRPr="00811945" w:rsidRDefault="00811945" w:rsidP="00811945">
          <w:pPr>
            <w:pStyle w:val="Header"/>
            <w:spacing w:before="120"/>
            <w:jc w:val="center"/>
          </w:pPr>
          <w:r>
            <w:t xml:space="preserve"> </w:t>
          </w:r>
          <w:r>
            <w:drawing>
              <wp:inline distT="0" distB="0" distL="0" distR="0" wp14:anchorId="0CC158E0" wp14:editId="707B4C5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48BD8F" w14:textId="77777777" w:rsidR="00811945" w:rsidRPr="00811945" w:rsidRDefault="00811945" w:rsidP="0081194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39D1A13" w14:textId="77777777" w:rsidR="00811945" w:rsidRPr="00082239" w:rsidRDefault="00811945" w:rsidP="0081194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CFE1FF2" w14:textId="77777777" w:rsidR="00811945" w:rsidRDefault="00811945" w:rsidP="00811945">
          <w:pPr>
            <w:pStyle w:val="Distribution"/>
            <w:spacing w:before="240"/>
          </w:pPr>
          <w:r>
            <w:t>Distr. general</w:t>
          </w:r>
        </w:p>
        <w:p w14:paraId="4C1C66F9" w14:textId="77777777" w:rsidR="00811945" w:rsidRDefault="00811945" w:rsidP="00811945">
          <w:pPr>
            <w:pStyle w:val="Publication"/>
          </w:pPr>
          <w:r>
            <w:t>23 de julio de 2021</w:t>
          </w:r>
        </w:p>
        <w:p w14:paraId="78A7330C" w14:textId="77777777" w:rsidR="00811945" w:rsidRDefault="00811945" w:rsidP="00811945">
          <w:r>
            <w:t>Español</w:t>
          </w:r>
        </w:p>
        <w:p w14:paraId="415E5656" w14:textId="77777777" w:rsidR="00811945" w:rsidRDefault="00811945" w:rsidP="00811945">
          <w:pPr>
            <w:pStyle w:val="Original"/>
          </w:pPr>
          <w:r>
            <w:t>Original: inglés</w:t>
          </w:r>
        </w:p>
        <w:p w14:paraId="5B22E833" w14:textId="0527FDF0" w:rsidR="00811945" w:rsidRPr="00811945" w:rsidRDefault="00934CDA" w:rsidP="00934CDA">
          <w:r w:rsidRPr="00934CDA">
            <w:t>Español, francés e inglés únicamente</w:t>
          </w:r>
        </w:p>
      </w:tc>
    </w:tr>
  </w:tbl>
  <w:p w14:paraId="6804F4EA" w14:textId="77777777" w:rsidR="00811945" w:rsidRPr="00934CDA" w:rsidRDefault="00811945" w:rsidP="0081194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FC129D5"/>
    <w:multiLevelType w:val="hybridMultilevel"/>
    <w:tmpl w:val="26027E1C"/>
    <w:lvl w:ilvl="0" w:tplc="340C2AC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3551A9"/>
    <w:multiLevelType w:val="singleLevel"/>
    <w:tmpl w:val="3D7C1546"/>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2"/>
  </w:num>
  <w:num w:numId="6">
    <w:abstractNumId w:val="3"/>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0197*"/>
    <w:docVar w:name="CreationDt" w:val="03/09/2021 9:09: AM"/>
    <w:docVar w:name="DocCategory" w:val="Doc"/>
    <w:docVar w:name="DocType" w:val="Final"/>
    <w:docVar w:name="DutyStation" w:val="New York"/>
    <w:docVar w:name="FooterJN" w:val="21-10197"/>
    <w:docVar w:name="jobn" w:val="21-10197 (S)"/>
    <w:docVar w:name="jobnDT" w:val="21-10197 (S)   030921"/>
    <w:docVar w:name="jobnDTDT" w:val="21-10197 (S)   030921   030921"/>
    <w:docVar w:name="JobNo" w:val="2110197S"/>
    <w:docVar w:name="JobNo2" w:val="21203139:09: AM"/>
    <w:docVar w:name="LocalDrive" w:val="0"/>
    <w:docVar w:name="OandT" w:val="MAGV/Perazzo"/>
    <w:docVar w:name="sss1" w:val="CEDAW/C/AUT/FCO/9"/>
    <w:docVar w:name="sss2" w:val="-"/>
    <w:docVar w:name="Symbol1" w:val="CEDAW/C/AUT/FCO/9"/>
    <w:docVar w:name="Symbol2" w:val="-"/>
    <w:docVar w:name="Title1" w:val="_x0009__x0009_Información recibida de Austria sobre el seguimiento de las observaciones finales de su noveno informe periódico*_x000d_"/>
  </w:docVars>
  <w:rsids>
    <w:rsidRoot w:val="00647085"/>
    <w:rsid w:val="00002584"/>
    <w:rsid w:val="00027129"/>
    <w:rsid w:val="000309FB"/>
    <w:rsid w:val="0006491F"/>
    <w:rsid w:val="00067B89"/>
    <w:rsid w:val="00071D43"/>
    <w:rsid w:val="000820AA"/>
    <w:rsid w:val="00082144"/>
    <w:rsid w:val="00082239"/>
    <w:rsid w:val="00087C2F"/>
    <w:rsid w:val="000C7FAC"/>
    <w:rsid w:val="000F1F99"/>
    <w:rsid w:val="00101B18"/>
    <w:rsid w:val="001062EB"/>
    <w:rsid w:val="00117EA0"/>
    <w:rsid w:val="00122A56"/>
    <w:rsid w:val="001267EE"/>
    <w:rsid w:val="00134FEE"/>
    <w:rsid w:val="00146C6A"/>
    <w:rsid w:val="00147570"/>
    <w:rsid w:val="00151388"/>
    <w:rsid w:val="00166A0D"/>
    <w:rsid w:val="00184BAB"/>
    <w:rsid w:val="001A0797"/>
    <w:rsid w:val="001D5969"/>
    <w:rsid w:val="001D79BF"/>
    <w:rsid w:val="001E4B50"/>
    <w:rsid w:val="00200955"/>
    <w:rsid w:val="00241B93"/>
    <w:rsid w:val="002478A0"/>
    <w:rsid w:val="00251587"/>
    <w:rsid w:val="00293E25"/>
    <w:rsid w:val="002A36C3"/>
    <w:rsid w:val="002A5E20"/>
    <w:rsid w:val="002D1584"/>
    <w:rsid w:val="00304428"/>
    <w:rsid w:val="00356DCA"/>
    <w:rsid w:val="0036187B"/>
    <w:rsid w:val="00366D21"/>
    <w:rsid w:val="0039127C"/>
    <w:rsid w:val="0039627E"/>
    <w:rsid w:val="003A27C2"/>
    <w:rsid w:val="003A675A"/>
    <w:rsid w:val="003B24AA"/>
    <w:rsid w:val="003B2BFD"/>
    <w:rsid w:val="003B5E9A"/>
    <w:rsid w:val="003D096D"/>
    <w:rsid w:val="003D1C04"/>
    <w:rsid w:val="003D3312"/>
    <w:rsid w:val="003F547C"/>
    <w:rsid w:val="003F61E1"/>
    <w:rsid w:val="004049E9"/>
    <w:rsid w:val="00410C8F"/>
    <w:rsid w:val="004136DA"/>
    <w:rsid w:val="00414FAB"/>
    <w:rsid w:val="00415E1D"/>
    <w:rsid w:val="00431E47"/>
    <w:rsid w:val="0043321E"/>
    <w:rsid w:val="00440C93"/>
    <w:rsid w:val="00471EE7"/>
    <w:rsid w:val="0047644F"/>
    <w:rsid w:val="00480B84"/>
    <w:rsid w:val="004B64F9"/>
    <w:rsid w:val="004C1A25"/>
    <w:rsid w:val="004E3C33"/>
    <w:rsid w:val="005020B1"/>
    <w:rsid w:val="00515991"/>
    <w:rsid w:val="005225EC"/>
    <w:rsid w:val="00525097"/>
    <w:rsid w:val="005509B6"/>
    <w:rsid w:val="0058267D"/>
    <w:rsid w:val="005D3746"/>
    <w:rsid w:val="005F1F5F"/>
    <w:rsid w:val="00622288"/>
    <w:rsid w:val="00632C10"/>
    <w:rsid w:val="00647085"/>
    <w:rsid w:val="00657C5A"/>
    <w:rsid w:val="00690698"/>
    <w:rsid w:val="006E4A4B"/>
    <w:rsid w:val="00703106"/>
    <w:rsid w:val="007355DD"/>
    <w:rsid w:val="007459AE"/>
    <w:rsid w:val="007526FF"/>
    <w:rsid w:val="007531A5"/>
    <w:rsid w:val="00753D8A"/>
    <w:rsid w:val="00771C9E"/>
    <w:rsid w:val="00783685"/>
    <w:rsid w:val="00796792"/>
    <w:rsid w:val="00806955"/>
    <w:rsid w:val="00807B29"/>
    <w:rsid w:val="00811945"/>
    <w:rsid w:val="0082045E"/>
    <w:rsid w:val="008222A3"/>
    <w:rsid w:val="00840664"/>
    <w:rsid w:val="00883A16"/>
    <w:rsid w:val="008854AF"/>
    <w:rsid w:val="00892C4C"/>
    <w:rsid w:val="008A0DA4"/>
    <w:rsid w:val="008B3FC7"/>
    <w:rsid w:val="008B7432"/>
    <w:rsid w:val="008F3462"/>
    <w:rsid w:val="00934CDA"/>
    <w:rsid w:val="00935932"/>
    <w:rsid w:val="00942496"/>
    <w:rsid w:val="009559A6"/>
    <w:rsid w:val="00981D22"/>
    <w:rsid w:val="00983EF6"/>
    <w:rsid w:val="00993CB7"/>
    <w:rsid w:val="009A1CDE"/>
    <w:rsid w:val="009C0E74"/>
    <w:rsid w:val="009D0EE3"/>
    <w:rsid w:val="00A1038C"/>
    <w:rsid w:val="00A2494D"/>
    <w:rsid w:val="00A31C1D"/>
    <w:rsid w:val="00A4493B"/>
    <w:rsid w:val="00A536A1"/>
    <w:rsid w:val="00A546F2"/>
    <w:rsid w:val="00A6766D"/>
    <w:rsid w:val="00A74E18"/>
    <w:rsid w:val="00A81C42"/>
    <w:rsid w:val="00A93A6F"/>
    <w:rsid w:val="00AB0B7D"/>
    <w:rsid w:val="00AC6798"/>
    <w:rsid w:val="00AD5F2F"/>
    <w:rsid w:val="00AE157F"/>
    <w:rsid w:val="00AF4336"/>
    <w:rsid w:val="00AF4F8B"/>
    <w:rsid w:val="00B114E4"/>
    <w:rsid w:val="00B125BF"/>
    <w:rsid w:val="00B26666"/>
    <w:rsid w:val="00B32F06"/>
    <w:rsid w:val="00B47079"/>
    <w:rsid w:val="00B64217"/>
    <w:rsid w:val="00B858D5"/>
    <w:rsid w:val="00BB462D"/>
    <w:rsid w:val="00BB46EE"/>
    <w:rsid w:val="00BD113B"/>
    <w:rsid w:val="00BD1244"/>
    <w:rsid w:val="00C026EE"/>
    <w:rsid w:val="00C07FF6"/>
    <w:rsid w:val="00C32BC2"/>
    <w:rsid w:val="00C32DEB"/>
    <w:rsid w:val="00C43505"/>
    <w:rsid w:val="00C5036A"/>
    <w:rsid w:val="00C815B6"/>
    <w:rsid w:val="00C92201"/>
    <w:rsid w:val="00CB06FB"/>
    <w:rsid w:val="00CB2EE4"/>
    <w:rsid w:val="00CB63C5"/>
    <w:rsid w:val="00CB748C"/>
    <w:rsid w:val="00CE7731"/>
    <w:rsid w:val="00D0035F"/>
    <w:rsid w:val="00D01E7A"/>
    <w:rsid w:val="00D064BB"/>
    <w:rsid w:val="00D3073B"/>
    <w:rsid w:val="00D30EED"/>
    <w:rsid w:val="00D406A8"/>
    <w:rsid w:val="00D641ED"/>
    <w:rsid w:val="00D7273C"/>
    <w:rsid w:val="00D97336"/>
    <w:rsid w:val="00DB32F0"/>
    <w:rsid w:val="00DB603B"/>
    <w:rsid w:val="00DB66DE"/>
    <w:rsid w:val="00DC7881"/>
    <w:rsid w:val="00DD5701"/>
    <w:rsid w:val="00DE6493"/>
    <w:rsid w:val="00E117BC"/>
    <w:rsid w:val="00E26282"/>
    <w:rsid w:val="00E343A6"/>
    <w:rsid w:val="00E40618"/>
    <w:rsid w:val="00E443AC"/>
    <w:rsid w:val="00E47A1E"/>
    <w:rsid w:val="00E517AD"/>
    <w:rsid w:val="00E7105F"/>
    <w:rsid w:val="00E818DE"/>
    <w:rsid w:val="00E850AE"/>
    <w:rsid w:val="00ED471D"/>
    <w:rsid w:val="00ED4838"/>
    <w:rsid w:val="00EE37EC"/>
    <w:rsid w:val="00EF2DFA"/>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44BCCA9"/>
  <w15:chartTrackingRefBased/>
  <w15:docId w15:val="{2F16960E-1901-4980-A6FF-B4BF25011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28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E26282"/>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26282"/>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26282"/>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26282"/>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26282"/>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26282"/>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26282"/>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26282"/>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26282"/>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26282"/>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26282"/>
    <w:pPr>
      <w:spacing w:line="360" w:lineRule="exact"/>
    </w:pPr>
    <w:rPr>
      <w:spacing w:val="-3"/>
      <w:w w:val="99"/>
      <w:sz w:val="34"/>
    </w:rPr>
  </w:style>
  <w:style w:type="paragraph" w:customStyle="1" w:styleId="H23">
    <w:name w:val="_ H_2/3"/>
    <w:basedOn w:val="H1"/>
    <w:next w:val="SingleTxt"/>
    <w:qFormat/>
    <w:rsid w:val="00E26282"/>
    <w:pPr>
      <w:spacing w:line="240" w:lineRule="exact"/>
      <w:outlineLvl w:val="1"/>
    </w:pPr>
    <w:rPr>
      <w:spacing w:val="2"/>
      <w:sz w:val="20"/>
    </w:rPr>
  </w:style>
  <w:style w:type="paragraph" w:customStyle="1" w:styleId="H4">
    <w:name w:val="_ H_4"/>
    <w:basedOn w:val="Normal"/>
    <w:next w:val="Normal"/>
    <w:qFormat/>
    <w:rsid w:val="00E26282"/>
    <w:pPr>
      <w:keepNext/>
      <w:keepLines/>
      <w:tabs>
        <w:tab w:val="right" w:pos="360"/>
      </w:tabs>
      <w:outlineLvl w:val="3"/>
    </w:pPr>
    <w:rPr>
      <w:i/>
      <w:spacing w:val="3"/>
      <w:kern w:val="14"/>
    </w:rPr>
  </w:style>
  <w:style w:type="paragraph" w:customStyle="1" w:styleId="H56">
    <w:name w:val="_ H_5/6"/>
    <w:basedOn w:val="Normal"/>
    <w:next w:val="Normal"/>
    <w:qFormat/>
    <w:rsid w:val="00E26282"/>
    <w:pPr>
      <w:keepNext/>
      <w:keepLines/>
      <w:tabs>
        <w:tab w:val="right" w:pos="360"/>
      </w:tabs>
      <w:outlineLvl w:val="4"/>
    </w:pPr>
    <w:rPr>
      <w:kern w:val="14"/>
    </w:rPr>
  </w:style>
  <w:style w:type="paragraph" w:customStyle="1" w:styleId="DualTxt">
    <w:name w:val="__Dual Txt"/>
    <w:basedOn w:val="Normal"/>
    <w:qFormat/>
    <w:rsid w:val="00E2628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2628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26282"/>
    <w:pPr>
      <w:spacing w:line="540" w:lineRule="exact"/>
    </w:pPr>
    <w:rPr>
      <w:spacing w:val="-8"/>
      <w:w w:val="96"/>
      <w:sz w:val="57"/>
    </w:rPr>
  </w:style>
  <w:style w:type="paragraph" w:customStyle="1" w:styleId="SS">
    <w:name w:val="__S_S"/>
    <w:basedOn w:val="HCh0"/>
    <w:next w:val="Normal"/>
    <w:qFormat/>
    <w:rsid w:val="00E26282"/>
    <w:pPr>
      <w:ind w:left="1267" w:right="1267"/>
    </w:pPr>
  </w:style>
  <w:style w:type="paragraph" w:customStyle="1" w:styleId="SingleTxt">
    <w:name w:val="__Single Txt"/>
    <w:basedOn w:val="Normal"/>
    <w:link w:val="SingleTxtChar"/>
    <w:qFormat/>
    <w:rsid w:val="00E262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2628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26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2628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26282"/>
    <w:rPr>
      <w:rFonts w:ascii="Tahoma" w:hAnsi="Tahoma" w:cs="Tahoma"/>
      <w:sz w:val="16"/>
      <w:szCs w:val="16"/>
    </w:rPr>
  </w:style>
  <w:style w:type="character" w:customStyle="1" w:styleId="BalloonTextChar">
    <w:name w:val="Balloon Text Char"/>
    <w:basedOn w:val="DefaultParagraphFont"/>
    <w:link w:val="BalloonText"/>
    <w:semiHidden/>
    <w:rsid w:val="00E26282"/>
    <w:rPr>
      <w:rFonts w:ascii="Tahoma" w:eastAsiaTheme="minorHAnsi" w:hAnsi="Tahoma" w:cs="Tahoma"/>
      <w:spacing w:val="4"/>
      <w:w w:val="103"/>
      <w:sz w:val="16"/>
      <w:szCs w:val="16"/>
      <w:lang w:val="es-ES" w:eastAsia="en-US"/>
    </w:rPr>
  </w:style>
  <w:style w:type="paragraph" w:customStyle="1" w:styleId="Bullet1">
    <w:name w:val="Bullet 1"/>
    <w:basedOn w:val="Normal"/>
    <w:qFormat/>
    <w:rsid w:val="00E26282"/>
    <w:pPr>
      <w:numPr>
        <w:numId w:val="1"/>
      </w:numPr>
      <w:spacing w:after="120"/>
      <w:ind w:right="1264"/>
      <w:jc w:val="both"/>
    </w:pPr>
  </w:style>
  <w:style w:type="paragraph" w:customStyle="1" w:styleId="Bullet2">
    <w:name w:val="Bullet 2"/>
    <w:basedOn w:val="Normal"/>
    <w:qFormat/>
    <w:rsid w:val="00E26282"/>
    <w:pPr>
      <w:numPr>
        <w:numId w:val="2"/>
      </w:numPr>
      <w:spacing w:after="120"/>
      <w:ind w:right="1264"/>
      <w:jc w:val="both"/>
    </w:pPr>
  </w:style>
  <w:style w:type="paragraph" w:customStyle="1" w:styleId="Bullet3">
    <w:name w:val="Bullet 3"/>
    <w:basedOn w:val="SingleTxt"/>
    <w:qFormat/>
    <w:rsid w:val="00E2628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2628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2628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26282"/>
    <w:pPr>
      <w:spacing w:after="80"/>
    </w:pPr>
  </w:style>
  <w:style w:type="character" w:customStyle="1" w:styleId="EndnoteTextChar">
    <w:name w:val="Endnote Text Char"/>
    <w:basedOn w:val="DefaultParagraphFont"/>
    <w:link w:val="EndnoteText"/>
    <w:semiHidden/>
    <w:rsid w:val="00E26282"/>
    <w:rPr>
      <w:rFonts w:ascii="Times New Roman" w:eastAsiaTheme="minorHAnsi" w:hAnsi="Times New Roman" w:cs="Times New Roman"/>
      <w:spacing w:val="5"/>
      <w:w w:val="104"/>
      <w:sz w:val="17"/>
      <w:lang w:val="es-ES" w:eastAsia="en-US"/>
    </w:rPr>
  </w:style>
  <w:style w:type="paragraph" w:styleId="Footer">
    <w:name w:val="footer"/>
    <w:link w:val="FooterChar"/>
    <w:qFormat/>
    <w:rsid w:val="00E2628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26282"/>
    <w:rPr>
      <w:rFonts w:ascii="Times New Roman" w:eastAsiaTheme="minorHAnsi" w:hAnsi="Times New Roman" w:cs="Times New Roman"/>
      <w:b/>
      <w:noProof/>
      <w:sz w:val="17"/>
      <w:lang w:val="en-US" w:eastAsia="en-US"/>
    </w:rPr>
  </w:style>
  <w:style w:type="character" w:styleId="FootnoteReference">
    <w:name w:val="footnote reference"/>
    <w:semiHidden/>
    <w:rsid w:val="00E2628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2628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26282"/>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E2628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E2628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2628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2628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2628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2628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2628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2628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2628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2628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26282"/>
    <w:rPr>
      <w:rFonts w:ascii="Cambria" w:eastAsia="Times New Roman" w:hAnsi="Cambria" w:cs="Times New Roman"/>
      <w:i/>
      <w:iCs/>
      <w:spacing w:val="5"/>
      <w:w w:val="103"/>
      <w:sz w:val="20"/>
      <w:szCs w:val="20"/>
      <w:lang w:val="es-ES" w:eastAsia="en-US"/>
    </w:rPr>
  </w:style>
  <w:style w:type="character" w:styleId="LineNumber">
    <w:name w:val="line number"/>
    <w:qFormat/>
    <w:rsid w:val="00E26282"/>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26282"/>
    <w:pPr>
      <w:spacing w:line="240" w:lineRule="auto"/>
    </w:pPr>
  </w:style>
  <w:style w:type="paragraph" w:customStyle="1" w:styleId="Original">
    <w:name w:val="Original"/>
    <w:next w:val="Normal"/>
    <w:autoRedefine/>
    <w:qFormat/>
    <w:rsid w:val="00E2628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2628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26282"/>
    <w:pPr>
      <w:tabs>
        <w:tab w:val="right" w:pos="9965"/>
      </w:tabs>
      <w:spacing w:line="210" w:lineRule="exact"/>
    </w:pPr>
    <w:rPr>
      <w:spacing w:val="5"/>
      <w:w w:val="104"/>
      <w:kern w:val="14"/>
      <w:sz w:val="17"/>
    </w:rPr>
  </w:style>
  <w:style w:type="paragraph" w:customStyle="1" w:styleId="SmallX">
    <w:name w:val="SmallX"/>
    <w:basedOn w:val="Small"/>
    <w:next w:val="Normal"/>
    <w:qFormat/>
    <w:rsid w:val="00E26282"/>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26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26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26282"/>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262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26282"/>
    <w:pPr>
      <w:spacing w:line="300" w:lineRule="exact"/>
    </w:pPr>
    <w:rPr>
      <w:spacing w:val="-2"/>
      <w:sz w:val="28"/>
    </w:rPr>
  </w:style>
  <w:style w:type="paragraph" w:styleId="Caption">
    <w:name w:val="caption"/>
    <w:basedOn w:val="Normal"/>
    <w:next w:val="Normal"/>
    <w:uiPriority w:val="35"/>
    <w:semiHidden/>
    <w:unhideWhenUsed/>
    <w:rsid w:val="00E26282"/>
    <w:pPr>
      <w:spacing w:line="240" w:lineRule="auto"/>
    </w:pPr>
    <w:rPr>
      <w:b/>
      <w:bCs/>
      <w:color w:val="4F81BD"/>
      <w:sz w:val="18"/>
      <w:szCs w:val="18"/>
    </w:rPr>
  </w:style>
  <w:style w:type="character" w:styleId="CommentReference">
    <w:name w:val="annotation reference"/>
    <w:semiHidden/>
    <w:rsid w:val="00E26282"/>
    <w:rPr>
      <w:sz w:val="6"/>
    </w:rPr>
  </w:style>
  <w:style w:type="paragraph" w:customStyle="1" w:styleId="HdBanner">
    <w:name w:val="Hd Banner"/>
    <w:basedOn w:val="Normal"/>
    <w:next w:val="Normal"/>
    <w:qFormat/>
    <w:rsid w:val="00E2628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2628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26282"/>
    <w:pPr>
      <w:spacing w:before="240"/>
    </w:pPr>
    <w:rPr>
      <w:b/>
      <w:spacing w:val="-2"/>
      <w:w w:val="100"/>
    </w:rPr>
  </w:style>
  <w:style w:type="paragraph" w:customStyle="1" w:styleId="HdChapterBdLg">
    <w:name w:val="Hd Chapter Bd Lg"/>
    <w:basedOn w:val="HdChapterBD"/>
    <w:next w:val="Normal"/>
    <w:qFormat/>
    <w:rsid w:val="00E26282"/>
    <w:rPr>
      <w:spacing w:val="-3"/>
      <w:w w:val="99"/>
      <w:kern w:val="14"/>
      <w:sz w:val="34"/>
      <w:szCs w:val="34"/>
    </w:rPr>
  </w:style>
  <w:style w:type="paragraph" w:customStyle="1" w:styleId="JournalHeading1">
    <w:name w:val="Journal_Heading1"/>
    <w:basedOn w:val="Normal"/>
    <w:next w:val="Normal"/>
    <w:qFormat/>
    <w:rsid w:val="00E26282"/>
    <w:pPr>
      <w:keepNext/>
      <w:spacing w:before="190" w:line="270" w:lineRule="exact"/>
    </w:pPr>
    <w:rPr>
      <w:b/>
      <w:kern w:val="14"/>
      <w:sz w:val="24"/>
    </w:rPr>
  </w:style>
  <w:style w:type="paragraph" w:customStyle="1" w:styleId="JournalHeading2">
    <w:name w:val="Journal_Heading2"/>
    <w:basedOn w:val="Normal"/>
    <w:next w:val="Normal"/>
    <w:qFormat/>
    <w:rsid w:val="00E26282"/>
    <w:pPr>
      <w:keepNext/>
      <w:keepLines/>
      <w:spacing w:before="240"/>
      <w:outlineLvl w:val="1"/>
    </w:pPr>
    <w:rPr>
      <w:b/>
      <w:spacing w:val="2"/>
      <w:kern w:val="14"/>
    </w:rPr>
  </w:style>
  <w:style w:type="paragraph" w:customStyle="1" w:styleId="JournalHeading4">
    <w:name w:val="Journal_Heading4"/>
    <w:basedOn w:val="Normal"/>
    <w:next w:val="Normal"/>
    <w:qFormat/>
    <w:rsid w:val="00E26282"/>
    <w:pPr>
      <w:keepNext/>
      <w:keepLines/>
      <w:spacing w:before="240"/>
      <w:outlineLvl w:val="3"/>
    </w:pPr>
    <w:rPr>
      <w:i/>
      <w:kern w:val="14"/>
    </w:rPr>
  </w:style>
  <w:style w:type="paragraph" w:customStyle="1" w:styleId="NormalBullet">
    <w:name w:val="Normal Bullet"/>
    <w:basedOn w:val="Normal"/>
    <w:next w:val="Normal"/>
    <w:qFormat/>
    <w:rsid w:val="00E26282"/>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26282"/>
    <w:pPr>
      <w:tabs>
        <w:tab w:val="left" w:leader="dot" w:pos="2218"/>
        <w:tab w:val="left" w:pos="2707"/>
        <w:tab w:val="right" w:leader="dot" w:pos="9835"/>
      </w:tabs>
    </w:pPr>
    <w:rPr>
      <w:kern w:val="14"/>
    </w:rPr>
  </w:style>
  <w:style w:type="paragraph" w:customStyle="1" w:styleId="ReleaseDate0">
    <w:name w:val="ReleaseDate"/>
    <w:next w:val="Footer"/>
    <w:autoRedefine/>
    <w:qFormat/>
    <w:rsid w:val="00E26282"/>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26282"/>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semiHidden/>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E26282"/>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811945"/>
    <w:pPr>
      <w:spacing w:line="240" w:lineRule="auto"/>
    </w:pPr>
    <w:rPr>
      <w:szCs w:val="20"/>
    </w:rPr>
  </w:style>
  <w:style w:type="character" w:customStyle="1" w:styleId="CommentTextChar">
    <w:name w:val="Comment Text Char"/>
    <w:basedOn w:val="DefaultParagraphFont"/>
    <w:link w:val="CommentText"/>
    <w:uiPriority w:val="99"/>
    <w:semiHidden/>
    <w:rsid w:val="0081194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11945"/>
    <w:rPr>
      <w:b/>
      <w:bCs/>
    </w:rPr>
  </w:style>
  <w:style w:type="character" w:customStyle="1" w:styleId="CommentSubjectChar">
    <w:name w:val="Comment Subject Char"/>
    <w:basedOn w:val="CommentTextChar"/>
    <w:link w:val="CommentSubject"/>
    <w:uiPriority w:val="99"/>
    <w:semiHidden/>
    <w:rsid w:val="00811945"/>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C815B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2680</Words>
  <Characters>15280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Joyce Janssen</cp:lastModifiedBy>
  <cp:revision>3</cp:revision>
  <cp:lastPrinted>2021-09-03T16:32:00Z</cp:lastPrinted>
  <dcterms:created xsi:type="dcterms:W3CDTF">2021-09-03T16:32:00Z</dcterms:created>
  <dcterms:modified xsi:type="dcterms:W3CDTF">2021-09-03T16:32:00Z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2110197</vt:lpwstr>
  </property>
  <property fmtid="{D5CDD505-2E9C-101B-9397-08002B2CF9AE}" pid="3" name="ODSRefJobNo">
    <vt:lpwstr>2120313</vt:lpwstr>
  </property>
  <property fmtid="{D5CDD505-2E9C-101B-9397-08002B2CF9AE}" pid="4" name="Symbol1">
    <vt:lpwstr>CEDAW/C/AUT/FCO/9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2110197jmper Leído y corregido.MAO_x000d_
2110197jmper</vt:lpwstr>
  </property>
  <property fmtid="{D5CDD505-2E9C-101B-9397-08002B2CF9AE}" pid="9" name="DraftPages">
    <vt:lpwstr> </vt:lpwstr>
  </property>
  <property fmtid="{D5CDD505-2E9C-101B-9397-08002B2CF9AE}" pid="10" name="Operator">
    <vt:lpwstr>MAGV</vt:lpwstr>
  </property>
  <property fmtid="{D5CDD505-2E9C-101B-9397-08002B2CF9AE}" pid="11" name="Translator">
    <vt:lpwstr>Perazzo</vt:lpwstr>
  </property>
  <property fmtid="{D5CDD505-2E9C-101B-9397-08002B2CF9AE}" pid="12" name="Release Date">
    <vt:lpwstr>010921</vt:lpwstr>
  </property>
  <property fmtid="{D5CDD505-2E9C-101B-9397-08002B2CF9AE}" pid="13" name="Title1">
    <vt:lpwstr>		Información recibida de Austria sobre el seguimiento de las observaciones finales de su noveno informe periódico*_x000d_</vt:lpwstr>
  </property>
</Properties>
</file>