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320"/>
      </w:pPr>
      <w:r>
        <w:rPr>
          <w:rFonts w:hint="eastAsia"/>
          <w:lang w:val="fr-CH"/>
        </w:rPr>
        <w:t>2</w:t>
      </w:r>
      <w:r>
        <w:rPr>
          <w:rFonts w:hint="eastAsia"/>
        </w:rPr>
        <w:t>00</w:t>
      </w:r>
      <w:r>
        <w:rPr>
          <w:rFonts w:hint="eastAsia"/>
          <w:lang w:val="fr-CH"/>
        </w:rPr>
        <w:t>2</w:t>
      </w:r>
      <w:r>
        <w:rPr>
          <w:rFonts w:hint="eastAsia"/>
        </w:rPr>
        <w:t>年实质性会议</w:t>
      </w:r>
    </w:p>
    <w:p w:rsidR="00000000" w:rsidRDefault="00000000">
      <w:pPr>
        <w:rPr>
          <w:rFonts w:hint="eastAsia"/>
        </w:rPr>
      </w:pPr>
    </w:p>
    <w:p w:rsidR="00000000" w:rsidRDefault="00000000">
      <w:pPr>
        <w:pStyle w:val="Heading2"/>
        <w:keepNext w:val="0"/>
        <w:keepLines w:val="0"/>
        <w:spacing w:before="320"/>
      </w:pPr>
      <w:r>
        <w:rPr>
          <w:rFonts w:hint="eastAsia"/>
        </w:rPr>
        <w:t>《经济、社会、文化权利国际公约》的执行情况</w:t>
      </w:r>
    </w:p>
    <w:p w:rsidR="00000000" w:rsidRDefault="00000000">
      <w:pPr>
        <w:pStyle w:val="Heading3"/>
        <w:keepNext w:val="0"/>
        <w:keepLines w:val="0"/>
      </w:pPr>
      <w:r>
        <w:rPr>
          <w:rFonts w:hint="eastAsia"/>
        </w:rPr>
        <w:t>缔约国根据《公约》第</w:t>
      </w:r>
      <w:r>
        <w:rPr>
          <w:rFonts w:hint="eastAsia"/>
          <w:lang w:val="fr-CH"/>
        </w:rPr>
        <w:t>1</w:t>
      </w:r>
      <w:r>
        <w:rPr>
          <w:rFonts w:hint="eastAsia"/>
        </w:rPr>
        <w:t>6</w:t>
      </w:r>
      <w:r>
        <w:rPr>
          <w:rFonts w:hint="eastAsia"/>
        </w:rPr>
        <w:t>条和第</w:t>
      </w:r>
      <w:r>
        <w:rPr>
          <w:rFonts w:hint="eastAsia"/>
          <w:lang w:val="fr-CH"/>
        </w:rPr>
        <w:t>1</w:t>
      </w:r>
      <w:r>
        <w:rPr>
          <w:rFonts w:hint="eastAsia"/>
        </w:rPr>
        <w:t>7</w:t>
      </w:r>
      <w:r>
        <w:rPr>
          <w:rFonts w:hint="eastAsia"/>
        </w:rPr>
        <w:t>条提交的</w:t>
      </w:r>
      <w:r>
        <w:br/>
      </w:r>
      <w:r>
        <w:rPr>
          <w:rFonts w:hint="eastAsia"/>
        </w:rPr>
        <w:t>第二次定期报告</w:t>
      </w:r>
    </w:p>
    <w:p w:rsidR="00000000" w:rsidRDefault="00000000">
      <w:pPr>
        <w:pStyle w:val="Heading3"/>
        <w:keepNext w:val="0"/>
        <w:keepLines w:val="0"/>
      </w:pPr>
      <w:r>
        <w:rPr>
          <w:rFonts w:hint="eastAsia"/>
        </w:rPr>
        <w:t>增</w:t>
      </w:r>
      <w:r>
        <w:t xml:space="preserve">  </w:t>
      </w:r>
      <w:r>
        <w:rPr>
          <w:rFonts w:hint="eastAsia"/>
        </w:rPr>
        <w:t>编</w:t>
      </w:r>
    </w:p>
    <w:p w:rsidR="00000000" w:rsidRDefault="00000000">
      <w:pPr>
        <w:pStyle w:val="Heading2"/>
        <w:keepNext w:val="0"/>
        <w:keepLines w:val="0"/>
      </w:pPr>
      <w:r>
        <w:t xml:space="preserve">  </w:t>
      </w:r>
      <w:r>
        <w:rPr>
          <w:rFonts w:hint="eastAsia"/>
        </w:rPr>
        <w:t>格鲁吉亚</w:t>
      </w:r>
      <w:r>
        <w:rPr>
          <w:rStyle w:val="FootnoteReference"/>
          <w:b w:val="0"/>
        </w:rPr>
        <w:footnoteReference w:customMarkFollows="1" w:id="1"/>
        <w:t>*</w:t>
      </w:r>
      <w:r>
        <w:rPr>
          <w:b/>
          <w:bCs/>
        </w:rPr>
        <w:t xml:space="preserve"> </w:t>
      </w:r>
      <w:r>
        <w:rPr>
          <w:rStyle w:val="FootnoteReference"/>
          <w:b w:val="0"/>
        </w:rPr>
        <w:footnoteReference w:customMarkFollows="1" w:id="2"/>
        <w:t>**</w:t>
      </w:r>
    </w:p>
    <w:p w:rsidR="00000000" w:rsidRDefault="00000000">
      <w:pPr>
        <w:jc w:val="right"/>
      </w:pPr>
      <w:r>
        <w:t>［</w:t>
      </w:r>
      <w:r>
        <w:rPr>
          <w:rFonts w:hint="eastAsia"/>
          <w:lang w:val="fr-CH"/>
        </w:rPr>
        <w:t>2</w:t>
      </w:r>
      <w:r>
        <w:rPr>
          <w:rFonts w:hint="eastAsia"/>
        </w:rPr>
        <w:t>00</w:t>
      </w:r>
      <w:r>
        <w:rPr>
          <w:rFonts w:hint="eastAsia"/>
          <w:lang w:val="fr-CH"/>
        </w:rPr>
        <w:t>1</w:t>
      </w:r>
      <w:r>
        <w:rPr>
          <w:rFonts w:hint="eastAsia"/>
        </w:rPr>
        <w:t>年</w:t>
      </w:r>
      <w:r>
        <w:rPr>
          <w:rFonts w:hint="eastAsia"/>
        </w:rPr>
        <w:t>6</w:t>
      </w:r>
      <w:r>
        <w:rPr>
          <w:rFonts w:hint="eastAsia"/>
        </w:rPr>
        <w:t>月</w:t>
      </w:r>
      <w:r>
        <w:rPr>
          <w:rFonts w:hint="eastAsia"/>
          <w:lang w:val="fr-CH"/>
        </w:rPr>
        <w:t>21</w:t>
      </w:r>
      <w:r>
        <w:rPr>
          <w:rFonts w:hint="eastAsia"/>
        </w:rPr>
        <w:t>日</w:t>
      </w:r>
      <w:r>
        <w:t>］</w:t>
      </w:r>
    </w:p>
    <w:p w:rsidR="00000000" w:rsidRDefault="00000000">
      <w:pPr>
        <w:pStyle w:val="ac"/>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000000">
      <w:pPr>
        <w:pStyle w:val="ac"/>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rPr>
          <w:rFonts w:hint="eastAsia"/>
        </w:rPr>
      </w:pPr>
      <w:r>
        <w:t>导</w:t>
      </w:r>
      <w:r>
        <w:rPr>
          <w:rFonts w:hint="eastAsia"/>
        </w:rPr>
        <w:t xml:space="preserve">  </w:t>
      </w:r>
      <w:r>
        <w:t>言</w:t>
      </w:r>
      <w:r>
        <w:rPr>
          <w:rFonts w:hint="eastAsia"/>
        </w:rPr>
        <w:t>........................</w:t>
      </w:r>
      <w:r>
        <w:tab/>
      </w:r>
      <w:r>
        <w:rPr>
          <w:rFonts w:hint="eastAsia"/>
        </w:rPr>
        <w:tab/>
      </w:r>
      <w:r>
        <w:rPr>
          <w:rFonts w:hint="eastAsia"/>
          <w:lang w:val="fr-CH"/>
        </w:rPr>
        <w:t>1</w:t>
      </w:r>
      <w:r>
        <w:rPr>
          <w:rFonts w:hint="eastAsia"/>
        </w:rPr>
        <w:tab/>
      </w:r>
      <w:r>
        <w:t>-</w:t>
      </w:r>
      <w:r>
        <w:rPr>
          <w:rFonts w:hint="eastAsia"/>
        </w:rPr>
        <w:tab/>
      </w:r>
      <w:r>
        <w:rPr>
          <w:rFonts w:hint="eastAsia"/>
          <w:lang w:val="fr-CH"/>
        </w:rPr>
        <w:t>1</w:t>
      </w:r>
      <w:r>
        <w:rPr>
          <w:rFonts w:hint="eastAsia"/>
        </w:rPr>
        <w:t>5</w:t>
      </w:r>
      <w:r>
        <w:rPr>
          <w:rFonts w:hint="eastAsia"/>
        </w:rPr>
        <w:tab/>
        <w:t>3</w:t>
      </w:r>
    </w:p>
    <w:p w:rsidR="00000000" w:rsidRDefault="00000000">
      <w:pPr>
        <w:pStyle w:val="a3"/>
        <w:rPr>
          <w:rFonts w:hint="eastAsia"/>
        </w:rPr>
      </w:pPr>
      <w:r>
        <w:t>第</w:t>
      </w:r>
      <w:r>
        <w:rPr>
          <w:rFonts w:hint="eastAsia"/>
        </w:rPr>
        <w:t xml:space="preserve"> </w:t>
      </w:r>
      <w:r>
        <w:t>一</w:t>
      </w:r>
      <w:r>
        <w:rPr>
          <w:rFonts w:hint="eastAsia"/>
        </w:rPr>
        <w:t xml:space="preserve"> </w:t>
      </w:r>
      <w:r>
        <w:t>条</w:t>
      </w:r>
      <w:r>
        <w:rPr>
          <w:rFonts w:hint="eastAsia"/>
        </w:rPr>
        <w:t>.......................</w:t>
      </w:r>
      <w:r>
        <w:tab/>
      </w:r>
      <w:r>
        <w:rPr>
          <w:rFonts w:hint="eastAsia"/>
        </w:rPr>
        <w:tab/>
      </w:r>
      <w:r>
        <w:rPr>
          <w:rFonts w:hint="eastAsia"/>
        </w:rPr>
        <w:tab/>
      </w:r>
      <w:r>
        <w:rPr>
          <w:rFonts w:hint="eastAsia"/>
          <w:lang w:val="fr-CH"/>
        </w:rPr>
        <w:t>1</w:t>
      </w:r>
      <w:r>
        <w:rPr>
          <w:rFonts w:hint="eastAsia"/>
        </w:rPr>
        <w:t>6</w:t>
      </w:r>
      <w:r>
        <w:rPr>
          <w:rFonts w:hint="eastAsia"/>
        </w:rPr>
        <w:tab/>
      </w:r>
      <w:r>
        <w:rPr>
          <w:rFonts w:hint="eastAsia"/>
        </w:rPr>
        <w:tab/>
        <w:t>5</w:t>
      </w:r>
    </w:p>
    <w:p w:rsidR="00000000" w:rsidRDefault="00000000">
      <w:pPr>
        <w:pStyle w:val="a3"/>
        <w:rPr>
          <w:rFonts w:hint="eastAsia"/>
        </w:rPr>
      </w:pPr>
      <w:r>
        <w:t>第</w:t>
      </w:r>
      <w:r>
        <w:rPr>
          <w:rFonts w:hint="eastAsia"/>
        </w:rPr>
        <w:t xml:space="preserve"> </w:t>
      </w:r>
      <w:r>
        <w:t>二</w:t>
      </w:r>
      <w:r>
        <w:rPr>
          <w:rFonts w:hint="eastAsia"/>
        </w:rPr>
        <w:t xml:space="preserve"> </w:t>
      </w:r>
      <w:r>
        <w:t>条</w:t>
      </w:r>
      <w:r>
        <w:rPr>
          <w:rFonts w:hint="eastAsia"/>
        </w:rPr>
        <w:t>......................</w:t>
      </w:r>
      <w:r>
        <w:rPr>
          <w:rFonts w:hint="eastAsia"/>
        </w:rPr>
        <w:tab/>
      </w:r>
      <w:r>
        <w:rPr>
          <w:rFonts w:hint="eastAsia"/>
        </w:rPr>
        <w:tab/>
      </w:r>
      <w:r>
        <w:rPr>
          <w:rFonts w:hint="eastAsia"/>
        </w:rPr>
        <w:tab/>
      </w:r>
      <w:r>
        <w:rPr>
          <w:rFonts w:hint="eastAsia"/>
          <w:lang w:val="fr-CH"/>
        </w:rPr>
        <w:t>1</w:t>
      </w:r>
      <w:r>
        <w:rPr>
          <w:rFonts w:hint="eastAsia"/>
        </w:rPr>
        <w:t>7</w:t>
      </w:r>
      <w:r>
        <w:rPr>
          <w:rFonts w:hint="eastAsia"/>
        </w:rPr>
        <w:tab/>
      </w:r>
      <w:r>
        <w:rPr>
          <w:rFonts w:hint="eastAsia"/>
        </w:rPr>
        <w:tab/>
        <w:t>5</w:t>
      </w:r>
    </w:p>
    <w:p w:rsidR="00000000" w:rsidRDefault="00000000">
      <w:pPr>
        <w:pStyle w:val="a3"/>
        <w:rPr>
          <w:rFonts w:hint="eastAsia"/>
        </w:rPr>
      </w:pPr>
      <w:r>
        <w:t>第</w:t>
      </w:r>
      <w:r>
        <w:rPr>
          <w:rFonts w:hint="eastAsia"/>
        </w:rPr>
        <w:t xml:space="preserve"> </w:t>
      </w:r>
      <w:r>
        <w:t>三</w:t>
      </w:r>
      <w:r>
        <w:rPr>
          <w:rFonts w:hint="eastAsia"/>
        </w:rPr>
        <w:t xml:space="preserve"> </w:t>
      </w:r>
      <w:r>
        <w:t>条</w:t>
      </w:r>
      <w:r>
        <w:rPr>
          <w:rFonts w:hint="eastAsia"/>
        </w:rPr>
        <w:t>....................</w:t>
      </w:r>
      <w:r>
        <w:rPr>
          <w:rFonts w:hint="eastAsia"/>
        </w:rPr>
        <w:tab/>
      </w:r>
      <w:r>
        <w:rPr>
          <w:rFonts w:hint="eastAsia"/>
        </w:rPr>
        <w:tab/>
      </w:r>
      <w:r>
        <w:rPr>
          <w:rFonts w:hint="eastAsia"/>
        </w:rPr>
        <w:tab/>
      </w:r>
      <w:r>
        <w:rPr>
          <w:rFonts w:hint="eastAsia"/>
          <w:lang w:val="fr-CH"/>
        </w:rPr>
        <w:t>1</w:t>
      </w:r>
      <w:r>
        <w:rPr>
          <w:rFonts w:hint="eastAsia"/>
        </w:rPr>
        <w:t>8</w:t>
      </w:r>
      <w:r>
        <w:rPr>
          <w:rFonts w:hint="eastAsia"/>
        </w:rPr>
        <w:tab/>
      </w:r>
      <w:r>
        <w:rPr>
          <w:rFonts w:hint="eastAsia"/>
        </w:rPr>
        <w:tab/>
        <w:t>5</w:t>
      </w:r>
    </w:p>
    <w:p w:rsidR="00000000" w:rsidRDefault="00000000">
      <w:pPr>
        <w:pStyle w:val="a3"/>
        <w:rPr>
          <w:rFonts w:hint="eastAsia"/>
        </w:rPr>
      </w:pPr>
      <w:r>
        <w:t>第</w:t>
      </w:r>
      <w:r>
        <w:rPr>
          <w:rFonts w:hint="eastAsia"/>
        </w:rPr>
        <w:t xml:space="preserve"> </w:t>
      </w:r>
      <w:r>
        <w:t>六</w:t>
      </w:r>
      <w:r>
        <w:rPr>
          <w:rFonts w:hint="eastAsia"/>
        </w:rPr>
        <w:t xml:space="preserve"> </w:t>
      </w:r>
      <w:r>
        <w:t>条</w:t>
      </w:r>
      <w:r>
        <w:rPr>
          <w:rFonts w:hint="eastAsia"/>
        </w:rPr>
        <w:t>....................................</w:t>
      </w:r>
      <w:r>
        <w:rPr>
          <w:rFonts w:hint="eastAsia"/>
        </w:rPr>
        <w:tab/>
      </w:r>
      <w:r>
        <w:rPr>
          <w:rFonts w:hint="eastAsia"/>
        </w:rPr>
        <w:tab/>
      </w:r>
      <w:r>
        <w:rPr>
          <w:rFonts w:hint="eastAsia"/>
          <w:lang w:val="fr-CH"/>
        </w:rPr>
        <w:t>1</w:t>
      </w:r>
      <w:r>
        <w:rPr>
          <w:rFonts w:hint="eastAsia"/>
          <w:sz w:val="20"/>
          <w:lang w:val="fr-CH"/>
        </w:rPr>
        <w:t>9</w:t>
      </w:r>
      <w:r>
        <w:rPr>
          <w:rFonts w:hint="eastAsia"/>
        </w:rPr>
        <w:tab/>
      </w:r>
      <w:r>
        <w:t>-</w:t>
      </w:r>
      <w:r>
        <w:rPr>
          <w:rFonts w:hint="eastAsia"/>
        </w:rPr>
        <w:tab/>
        <w:t>78</w:t>
      </w:r>
      <w:r>
        <w:rPr>
          <w:rFonts w:hint="eastAsia"/>
        </w:rPr>
        <w:tab/>
        <w:t>6</w:t>
      </w:r>
    </w:p>
    <w:p w:rsidR="00000000" w:rsidRDefault="00000000">
      <w:pPr>
        <w:pStyle w:val="a3"/>
        <w:rPr>
          <w:rFonts w:hint="eastAsia"/>
        </w:rPr>
      </w:pPr>
      <w:r>
        <w:t>第</w:t>
      </w:r>
      <w:r>
        <w:rPr>
          <w:rFonts w:hint="eastAsia"/>
        </w:rPr>
        <w:t xml:space="preserve"> </w:t>
      </w:r>
      <w:r>
        <w:t>七</w:t>
      </w:r>
      <w:r>
        <w:rPr>
          <w:rFonts w:hint="eastAsia"/>
        </w:rPr>
        <w:t xml:space="preserve"> </w:t>
      </w:r>
      <w:r>
        <w:t>条</w:t>
      </w:r>
      <w:r>
        <w:rPr>
          <w:rFonts w:hint="eastAsia"/>
        </w:rPr>
        <w:t>..........................</w:t>
      </w:r>
      <w:r>
        <w:rPr>
          <w:rFonts w:hint="eastAsia"/>
        </w:rPr>
        <w:tab/>
      </w:r>
      <w:r>
        <w:rPr>
          <w:rFonts w:hint="eastAsia"/>
        </w:rPr>
        <w:tab/>
        <w:t>7</w:t>
      </w:r>
      <w:r>
        <w:rPr>
          <w:rFonts w:hint="eastAsia"/>
          <w:sz w:val="20"/>
          <w:lang w:val="fr-CH"/>
        </w:rPr>
        <w:t>9</w:t>
      </w:r>
      <w:r>
        <w:rPr>
          <w:rFonts w:hint="eastAsia"/>
        </w:rPr>
        <w:tab/>
      </w:r>
      <w:r>
        <w:t>-</w:t>
      </w:r>
      <w:r>
        <w:rPr>
          <w:rFonts w:hint="eastAsia"/>
        </w:rPr>
        <w:tab/>
      </w:r>
      <w:r>
        <w:rPr>
          <w:rFonts w:hint="eastAsia"/>
          <w:sz w:val="20"/>
          <w:lang w:val="fr-CH"/>
        </w:rPr>
        <w:t>99</w:t>
      </w:r>
      <w:r>
        <w:rPr>
          <w:rFonts w:hint="eastAsia"/>
        </w:rPr>
        <w:tab/>
        <w:t>15</w:t>
      </w:r>
    </w:p>
    <w:p w:rsidR="00000000" w:rsidRDefault="00000000">
      <w:pPr>
        <w:pStyle w:val="a3"/>
        <w:rPr>
          <w:rFonts w:hint="eastAsia"/>
        </w:rPr>
      </w:pPr>
      <w:r>
        <w:rPr>
          <w:rFonts w:hint="eastAsia"/>
        </w:rPr>
        <w:t>第</w:t>
      </w:r>
      <w:r>
        <w:rPr>
          <w:rFonts w:hint="eastAsia"/>
        </w:rPr>
        <w:t xml:space="preserve"> </w:t>
      </w:r>
      <w:r>
        <w:rPr>
          <w:rFonts w:hint="eastAsia"/>
        </w:rPr>
        <w:t>八</w:t>
      </w:r>
      <w:r>
        <w:rPr>
          <w:rFonts w:hint="eastAsia"/>
        </w:rPr>
        <w:t xml:space="preserve"> </w:t>
      </w:r>
      <w:r>
        <w:rPr>
          <w:rFonts w:hint="eastAsia"/>
        </w:rPr>
        <w:t>条</w:t>
      </w:r>
      <w:r>
        <w:rPr>
          <w:rFonts w:hint="eastAsia"/>
        </w:rPr>
        <w:t>...........................</w:t>
      </w:r>
      <w:r>
        <w:rPr>
          <w:rFonts w:hint="eastAsia"/>
        </w:rPr>
        <w:tab/>
      </w:r>
      <w:r>
        <w:rPr>
          <w:rFonts w:hint="eastAsia"/>
        </w:rPr>
        <w:tab/>
      </w:r>
      <w:r>
        <w:rPr>
          <w:rFonts w:hint="eastAsia"/>
        </w:rPr>
        <w:tab/>
      </w:r>
      <w:r>
        <w:rPr>
          <w:rFonts w:hint="eastAsia"/>
          <w:lang w:val="fr-CH"/>
        </w:rPr>
        <w:t>1</w:t>
      </w:r>
      <w:r>
        <w:rPr>
          <w:rFonts w:hint="eastAsia"/>
        </w:rPr>
        <w:t>00</w:t>
      </w:r>
      <w:r>
        <w:rPr>
          <w:rFonts w:hint="eastAsia"/>
        </w:rPr>
        <w:tab/>
        <w:t>18</w:t>
      </w:r>
    </w:p>
    <w:p w:rsidR="00000000" w:rsidRDefault="00000000">
      <w:pPr>
        <w:pStyle w:val="a3"/>
        <w:rPr>
          <w:rFonts w:hint="eastAsia"/>
        </w:rPr>
      </w:pPr>
      <w:r>
        <w:rPr>
          <w:rFonts w:hint="eastAsia"/>
        </w:rPr>
        <w:t>第</w:t>
      </w:r>
      <w:r>
        <w:rPr>
          <w:rFonts w:hint="eastAsia"/>
        </w:rPr>
        <w:t xml:space="preserve"> </w:t>
      </w:r>
      <w:r>
        <w:rPr>
          <w:rFonts w:hint="eastAsia"/>
        </w:rPr>
        <w:t>九</w:t>
      </w:r>
      <w:r>
        <w:rPr>
          <w:rFonts w:hint="eastAsia"/>
        </w:rPr>
        <w:t xml:space="preserve"> </w:t>
      </w:r>
      <w:r>
        <w:rPr>
          <w:rFonts w:hint="eastAsia"/>
        </w:rPr>
        <w:t>条</w:t>
      </w:r>
      <w:r>
        <w:rPr>
          <w:rFonts w:hint="eastAsia"/>
        </w:rPr>
        <w:t>.................................</w:t>
      </w:r>
      <w:r>
        <w:rPr>
          <w:rFonts w:hint="eastAsia"/>
        </w:rPr>
        <w:tab/>
      </w:r>
      <w:r>
        <w:rPr>
          <w:rFonts w:hint="eastAsia"/>
        </w:rPr>
        <w:tab/>
      </w:r>
      <w:r>
        <w:rPr>
          <w:rFonts w:hint="eastAsia"/>
          <w:lang w:val="fr-CH"/>
        </w:rPr>
        <w:t>1</w:t>
      </w:r>
      <w:r>
        <w:rPr>
          <w:rFonts w:hint="eastAsia"/>
        </w:rPr>
        <w:t>0</w:t>
      </w:r>
      <w:r>
        <w:rPr>
          <w:rFonts w:hint="eastAsia"/>
          <w:lang w:val="fr-CH"/>
        </w:rPr>
        <w:t>1</w:t>
      </w:r>
      <w:r>
        <w:rPr>
          <w:rFonts w:hint="eastAsia"/>
        </w:rPr>
        <w:tab/>
      </w:r>
      <w:r>
        <w:t>-</w:t>
      </w:r>
      <w:r>
        <w:rPr>
          <w:rFonts w:hint="eastAsia"/>
        </w:rPr>
        <w:tab/>
      </w:r>
      <w:r>
        <w:rPr>
          <w:rFonts w:hint="eastAsia"/>
          <w:lang w:val="fr-CH"/>
        </w:rPr>
        <w:t>12</w:t>
      </w:r>
      <w:r>
        <w:rPr>
          <w:rFonts w:hint="eastAsia"/>
          <w:sz w:val="20"/>
          <w:lang w:val="fr-CH"/>
        </w:rPr>
        <w:t>4</w:t>
      </w:r>
      <w:r>
        <w:rPr>
          <w:rFonts w:hint="eastAsia"/>
        </w:rPr>
        <w:tab/>
        <w:t>18</w:t>
      </w:r>
    </w:p>
    <w:p w:rsidR="00000000" w:rsidRDefault="00000000">
      <w:pPr>
        <w:pStyle w:val="a3"/>
        <w:rPr>
          <w:rFonts w:hint="eastAsia"/>
        </w:rPr>
      </w:pPr>
      <w:r>
        <w:rPr>
          <w:rFonts w:hint="eastAsia"/>
        </w:rPr>
        <w:t>第</w:t>
      </w:r>
      <w:r>
        <w:rPr>
          <w:rFonts w:hint="eastAsia"/>
        </w:rPr>
        <w:t xml:space="preserve"> </w:t>
      </w:r>
      <w:r>
        <w:rPr>
          <w:rFonts w:hint="eastAsia"/>
        </w:rPr>
        <w:t>十</w:t>
      </w:r>
      <w:r>
        <w:rPr>
          <w:rFonts w:hint="eastAsia"/>
        </w:rPr>
        <w:t xml:space="preserve"> </w:t>
      </w:r>
      <w:r>
        <w:rPr>
          <w:rFonts w:hint="eastAsia"/>
        </w:rPr>
        <w:t>条</w:t>
      </w:r>
      <w:r>
        <w:rPr>
          <w:rFonts w:hint="eastAsia"/>
        </w:rPr>
        <w:t>..........................</w:t>
      </w:r>
      <w:r>
        <w:rPr>
          <w:rFonts w:hint="eastAsia"/>
        </w:rPr>
        <w:tab/>
      </w:r>
      <w:r>
        <w:rPr>
          <w:rFonts w:hint="eastAsia"/>
        </w:rPr>
        <w:tab/>
      </w:r>
      <w:r>
        <w:rPr>
          <w:rFonts w:hint="eastAsia"/>
          <w:lang w:val="fr-CH"/>
        </w:rPr>
        <w:t>12</w:t>
      </w:r>
      <w:r>
        <w:rPr>
          <w:rFonts w:hint="eastAsia"/>
        </w:rPr>
        <w:t>5</w:t>
      </w:r>
      <w:r>
        <w:rPr>
          <w:rFonts w:hint="eastAsia"/>
        </w:rPr>
        <w:tab/>
      </w:r>
      <w:r>
        <w:t>-</w:t>
      </w:r>
      <w:r>
        <w:rPr>
          <w:rFonts w:hint="eastAsia"/>
        </w:rPr>
        <w:tab/>
      </w:r>
      <w:r>
        <w:rPr>
          <w:rFonts w:hint="eastAsia"/>
          <w:lang w:val="fr-CH"/>
        </w:rPr>
        <w:t>1</w:t>
      </w:r>
      <w:r>
        <w:rPr>
          <w:rFonts w:hint="eastAsia"/>
          <w:sz w:val="20"/>
          <w:lang w:val="fr-CH"/>
        </w:rPr>
        <w:t>4</w:t>
      </w:r>
      <w:r>
        <w:rPr>
          <w:rFonts w:hint="eastAsia"/>
          <w:lang w:val="fr-CH"/>
        </w:rPr>
        <w:t>1</w:t>
      </w:r>
      <w:r>
        <w:rPr>
          <w:rFonts w:hint="eastAsia"/>
        </w:rPr>
        <w:tab/>
        <w:t>23</w:t>
      </w:r>
    </w:p>
    <w:p w:rsidR="00000000" w:rsidRDefault="00000000">
      <w:pPr>
        <w:pStyle w:val="a3"/>
        <w:rPr>
          <w:rFonts w:hint="eastAsia"/>
        </w:rPr>
      </w:pPr>
      <w:r>
        <w:rPr>
          <w:rFonts w:hint="eastAsia"/>
        </w:rPr>
        <w:t>第十一条</w:t>
      </w:r>
      <w:r>
        <w:rPr>
          <w:rFonts w:hint="eastAsia"/>
        </w:rPr>
        <w:t>.........................</w:t>
      </w:r>
      <w:r>
        <w:rPr>
          <w:rFonts w:hint="eastAsia"/>
        </w:rPr>
        <w:tab/>
      </w:r>
      <w:r>
        <w:rPr>
          <w:rFonts w:hint="eastAsia"/>
        </w:rPr>
        <w:tab/>
      </w:r>
      <w:r>
        <w:rPr>
          <w:rFonts w:hint="eastAsia"/>
          <w:lang w:val="fr-CH"/>
        </w:rPr>
        <w:t>1</w:t>
      </w:r>
      <w:r>
        <w:rPr>
          <w:rFonts w:hint="eastAsia"/>
          <w:sz w:val="20"/>
          <w:lang w:val="fr-CH"/>
        </w:rPr>
        <w:t>4</w:t>
      </w:r>
      <w:r>
        <w:rPr>
          <w:rFonts w:hint="eastAsia"/>
          <w:lang w:val="fr-CH"/>
        </w:rPr>
        <w:t>2</w:t>
      </w:r>
      <w:r>
        <w:rPr>
          <w:rFonts w:hint="eastAsia"/>
        </w:rPr>
        <w:tab/>
      </w:r>
      <w:r>
        <w:t>-</w:t>
      </w:r>
      <w:r>
        <w:rPr>
          <w:rFonts w:hint="eastAsia"/>
        </w:rPr>
        <w:tab/>
      </w:r>
      <w:r>
        <w:rPr>
          <w:rFonts w:hint="eastAsia"/>
          <w:lang w:val="fr-CH"/>
        </w:rPr>
        <w:t>1</w:t>
      </w:r>
      <w:r>
        <w:rPr>
          <w:rFonts w:hint="eastAsia"/>
        </w:rPr>
        <w:t>86</w:t>
      </w:r>
      <w:r>
        <w:rPr>
          <w:rFonts w:hint="eastAsia"/>
        </w:rPr>
        <w:tab/>
        <w:t>25</w:t>
      </w:r>
    </w:p>
    <w:p w:rsidR="00000000" w:rsidRDefault="00000000">
      <w:pPr>
        <w:pStyle w:val="a3"/>
        <w:rPr>
          <w:rFonts w:hint="eastAsia"/>
        </w:rPr>
      </w:pPr>
      <w:r>
        <w:rPr>
          <w:rFonts w:hint="eastAsia"/>
        </w:rPr>
        <w:t>第十二条</w:t>
      </w:r>
      <w:r>
        <w:rPr>
          <w:rFonts w:hint="eastAsia"/>
        </w:rPr>
        <w:t>.....................</w:t>
      </w:r>
      <w:r>
        <w:rPr>
          <w:rFonts w:hint="eastAsia"/>
        </w:rPr>
        <w:tab/>
      </w:r>
      <w:r>
        <w:rPr>
          <w:rFonts w:hint="eastAsia"/>
        </w:rPr>
        <w:tab/>
      </w:r>
      <w:r>
        <w:rPr>
          <w:rFonts w:hint="eastAsia"/>
          <w:lang w:val="fr-CH"/>
        </w:rPr>
        <w:t>1</w:t>
      </w:r>
      <w:r>
        <w:rPr>
          <w:rFonts w:hint="eastAsia"/>
        </w:rPr>
        <w:t>87</w:t>
      </w:r>
      <w:r>
        <w:rPr>
          <w:rFonts w:hint="eastAsia"/>
        </w:rPr>
        <w:tab/>
      </w:r>
      <w:r>
        <w:t>-</w:t>
      </w:r>
      <w:r>
        <w:rPr>
          <w:rFonts w:hint="eastAsia"/>
        </w:rPr>
        <w:tab/>
      </w:r>
      <w:r>
        <w:rPr>
          <w:rFonts w:hint="eastAsia"/>
          <w:lang w:val="fr-CH"/>
        </w:rPr>
        <w:t>22</w:t>
      </w:r>
      <w:r>
        <w:rPr>
          <w:rFonts w:hint="eastAsia"/>
        </w:rPr>
        <w:t>5</w:t>
      </w:r>
      <w:r>
        <w:rPr>
          <w:rFonts w:hint="eastAsia"/>
        </w:rPr>
        <w:tab/>
        <w:t>35</w:t>
      </w:r>
    </w:p>
    <w:p w:rsidR="00000000" w:rsidRDefault="00000000">
      <w:pPr>
        <w:pStyle w:val="a3"/>
        <w:rPr>
          <w:rFonts w:hint="eastAsia"/>
        </w:rPr>
      </w:pPr>
      <w:r>
        <w:rPr>
          <w:rFonts w:hint="eastAsia"/>
        </w:rPr>
        <w:t>第十三条</w:t>
      </w:r>
      <w:r>
        <w:rPr>
          <w:rFonts w:hint="eastAsia"/>
        </w:rPr>
        <w:t>.......................</w:t>
      </w:r>
      <w:r>
        <w:rPr>
          <w:rFonts w:hint="eastAsia"/>
        </w:rPr>
        <w:tab/>
      </w:r>
      <w:r>
        <w:rPr>
          <w:rFonts w:hint="eastAsia"/>
        </w:rPr>
        <w:tab/>
      </w:r>
      <w:r>
        <w:rPr>
          <w:rFonts w:hint="eastAsia"/>
          <w:lang w:val="fr-CH"/>
        </w:rPr>
        <w:t>22</w:t>
      </w:r>
      <w:r>
        <w:rPr>
          <w:rFonts w:hint="eastAsia"/>
        </w:rPr>
        <w:t>6</w:t>
      </w:r>
      <w:r>
        <w:rPr>
          <w:rFonts w:hint="eastAsia"/>
        </w:rPr>
        <w:tab/>
      </w:r>
      <w:r>
        <w:t>-</w:t>
      </w:r>
      <w:r>
        <w:rPr>
          <w:rFonts w:hint="eastAsia"/>
        </w:rPr>
        <w:tab/>
      </w:r>
      <w:r>
        <w:rPr>
          <w:rFonts w:hint="eastAsia"/>
          <w:lang w:val="fr-CH"/>
        </w:rPr>
        <w:t>2</w:t>
      </w:r>
      <w:r>
        <w:rPr>
          <w:rFonts w:hint="eastAsia"/>
          <w:sz w:val="20"/>
          <w:lang w:val="fr-CH"/>
        </w:rPr>
        <w:t>4</w:t>
      </w:r>
      <w:r>
        <w:rPr>
          <w:rFonts w:hint="eastAsia"/>
          <w:lang w:val="fr-CH"/>
        </w:rPr>
        <w:t>2</w:t>
      </w:r>
      <w:r>
        <w:rPr>
          <w:rFonts w:hint="eastAsia"/>
        </w:rPr>
        <w:tab/>
        <w:t>47</w:t>
      </w:r>
    </w:p>
    <w:p w:rsidR="00000000" w:rsidRDefault="00000000">
      <w:pPr>
        <w:pStyle w:val="a3"/>
        <w:rPr>
          <w:rFonts w:hint="eastAsia"/>
        </w:rPr>
      </w:pPr>
      <w:r>
        <w:rPr>
          <w:rFonts w:hint="eastAsia"/>
        </w:rPr>
        <w:t>第十五条</w:t>
      </w:r>
      <w:r>
        <w:rPr>
          <w:rFonts w:hint="eastAsia"/>
        </w:rPr>
        <w:t>..........................</w:t>
      </w:r>
      <w:r>
        <w:rPr>
          <w:rFonts w:hint="eastAsia"/>
        </w:rPr>
        <w:tab/>
      </w:r>
      <w:r>
        <w:rPr>
          <w:rFonts w:hint="eastAsia"/>
        </w:rPr>
        <w:tab/>
      </w:r>
      <w:r>
        <w:rPr>
          <w:rFonts w:hint="eastAsia"/>
          <w:lang w:val="fr-CH"/>
        </w:rPr>
        <w:t>2</w:t>
      </w:r>
      <w:r>
        <w:rPr>
          <w:rFonts w:hint="eastAsia"/>
          <w:sz w:val="20"/>
          <w:lang w:val="fr-CH"/>
        </w:rPr>
        <w:t>4</w:t>
      </w:r>
      <w:r>
        <w:rPr>
          <w:rFonts w:hint="eastAsia"/>
        </w:rPr>
        <w:t>3</w:t>
      </w:r>
      <w:r>
        <w:rPr>
          <w:rFonts w:hint="eastAsia"/>
        </w:rPr>
        <w:tab/>
      </w:r>
      <w:r>
        <w:t>-</w:t>
      </w:r>
      <w:r>
        <w:rPr>
          <w:rFonts w:hint="eastAsia"/>
        </w:rPr>
        <w:tab/>
      </w:r>
      <w:r>
        <w:rPr>
          <w:rFonts w:hint="eastAsia"/>
          <w:lang w:val="fr-CH"/>
        </w:rPr>
        <w:t>2</w:t>
      </w:r>
      <w:r>
        <w:rPr>
          <w:rFonts w:hint="eastAsia"/>
        </w:rPr>
        <w:t>88</w:t>
      </w:r>
      <w:r>
        <w:rPr>
          <w:rFonts w:hint="eastAsia"/>
        </w:rPr>
        <w:tab/>
        <w:t>51</w:t>
      </w:r>
    </w:p>
    <w:p w:rsidR="00000000" w:rsidRDefault="00000000">
      <w:pPr>
        <w:pStyle w:val="a3"/>
        <w:ind w:right="-5"/>
      </w:pPr>
      <w:r>
        <w:rPr>
          <w:rFonts w:hint="eastAsia"/>
        </w:rPr>
        <w:t>附</w:t>
      </w:r>
      <w:r>
        <w:rPr>
          <w:rFonts w:hint="eastAsia"/>
        </w:rPr>
        <w:t xml:space="preserve">  </w:t>
      </w:r>
      <w:r>
        <w:rPr>
          <w:rFonts w:hint="eastAsia"/>
        </w:rPr>
        <w:t>件</w:t>
      </w:r>
      <w:r>
        <w:rPr>
          <w:rFonts w:hint="eastAsia"/>
        </w:rPr>
        <w:t>.............................................................................................................</w:t>
      </w:r>
      <w:r>
        <w:rPr>
          <w:rFonts w:hint="eastAsia"/>
        </w:rPr>
        <w:tab/>
        <w:t>59</w:t>
      </w:r>
    </w:p>
    <w:p w:rsidR="00000000" w:rsidRDefault="00000000">
      <w:pPr>
        <w:pStyle w:val="a3"/>
        <w:ind w:right="-5"/>
        <w:rPr>
          <w:rFonts w:ascii="SimSun" w:hAnsi="SimSun"/>
        </w:rPr>
      </w:pPr>
      <w:r>
        <w:rPr>
          <w:rFonts w:ascii="SimSun" w:hAnsi="SimSun"/>
        </w:rPr>
        <w:t>所附</w:t>
      </w:r>
      <w:r>
        <w:t>文件一览表</w:t>
      </w:r>
      <w:r>
        <w:rPr>
          <w:rFonts w:hint="eastAsia"/>
        </w:rPr>
        <w:t>..............................................................................................</w:t>
      </w:r>
      <w:r>
        <w:rPr>
          <w:rFonts w:hint="eastAsia"/>
        </w:rPr>
        <w:tab/>
        <w:t>60</w:t>
      </w:r>
    </w:p>
    <w:p w:rsidR="00000000" w:rsidRDefault="00000000">
      <w:pPr>
        <w:pStyle w:val="Heading2"/>
        <w:keepNext w:val="0"/>
        <w:keepLines w:val="0"/>
      </w:pPr>
      <w:r>
        <w:br w:type="page"/>
      </w:r>
      <w:r>
        <w:t>导</w:t>
      </w:r>
      <w:r>
        <w:rPr>
          <w:rFonts w:hint="eastAsia"/>
        </w:rPr>
        <w:t xml:space="preserve">  </w:t>
      </w:r>
      <w:r>
        <w:t>言</w:t>
      </w:r>
    </w:p>
    <w:p w:rsidR="00000000" w:rsidRDefault="00000000">
      <w:pPr>
        <w:pStyle w:val="NormalIndent"/>
      </w:pPr>
      <w:r>
        <w:rPr>
          <w:rFonts w:hint="eastAsia"/>
          <w:lang w:val="fr-CH"/>
        </w:rPr>
        <w:t>1</w:t>
      </w:r>
      <w:r>
        <w:t xml:space="preserve">.  </w:t>
      </w:r>
      <w:r>
        <w:rPr>
          <w:rFonts w:hint="eastAsia"/>
        </w:rPr>
        <w:t>1994</w:t>
      </w:r>
      <w:r>
        <w:rPr>
          <w:rFonts w:hint="eastAsia"/>
        </w:rPr>
        <w:t>年</w:t>
      </w:r>
      <w:r>
        <w:rPr>
          <w:rFonts w:hint="eastAsia"/>
        </w:rPr>
        <w:t>1</w:t>
      </w:r>
      <w:r>
        <w:rPr>
          <w:rFonts w:hint="eastAsia"/>
        </w:rPr>
        <w:t>月</w:t>
      </w:r>
      <w:r>
        <w:rPr>
          <w:rFonts w:hint="eastAsia"/>
        </w:rPr>
        <w:t>25</w:t>
      </w:r>
      <w:r>
        <w:rPr>
          <w:rFonts w:hint="eastAsia"/>
        </w:rPr>
        <w:t>日，格鲁吉亚议会通过了关于格鲁吉亚加入《经济、社会、文化权利国际公约》</w:t>
      </w:r>
      <w:r>
        <w:rPr>
          <w:rFonts w:hint="eastAsia"/>
        </w:rPr>
        <w:t>(</w:t>
      </w:r>
      <w:r>
        <w:rPr>
          <w:rFonts w:hint="eastAsia"/>
        </w:rPr>
        <w:t>下称《公约》</w:t>
      </w:r>
      <w:r>
        <w:rPr>
          <w:rFonts w:hint="eastAsia"/>
        </w:rPr>
        <w:t>)</w:t>
      </w:r>
      <w:r>
        <w:rPr>
          <w:rFonts w:hint="eastAsia"/>
        </w:rPr>
        <w:t>的决定。《公约》于</w:t>
      </w:r>
      <w:r>
        <w:rPr>
          <w:rFonts w:hint="eastAsia"/>
        </w:rPr>
        <w:t>1994</w:t>
      </w:r>
      <w:r>
        <w:rPr>
          <w:rFonts w:hint="eastAsia"/>
        </w:rPr>
        <w:t>年</w:t>
      </w:r>
      <w:r>
        <w:rPr>
          <w:rFonts w:hint="eastAsia"/>
        </w:rPr>
        <w:t>8</w:t>
      </w:r>
      <w:r>
        <w:rPr>
          <w:rFonts w:hint="eastAsia"/>
        </w:rPr>
        <w:t>月</w:t>
      </w:r>
      <w:r>
        <w:rPr>
          <w:rFonts w:hint="eastAsia"/>
        </w:rPr>
        <w:t>3</w:t>
      </w:r>
      <w:r>
        <w:rPr>
          <w:rFonts w:hint="eastAsia"/>
        </w:rPr>
        <w:t>日对格鲁吉亚生效。根据《公约》第</w:t>
      </w:r>
      <w:r>
        <w:rPr>
          <w:rFonts w:hint="eastAsia"/>
        </w:rPr>
        <w:t>16</w:t>
      </w:r>
      <w:r>
        <w:rPr>
          <w:rFonts w:hint="eastAsia"/>
        </w:rPr>
        <w:t>条和第</w:t>
      </w:r>
      <w:r>
        <w:rPr>
          <w:rFonts w:hint="eastAsia"/>
        </w:rPr>
        <w:t>17</w:t>
      </w:r>
      <w:r>
        <w:rPr>
          <w:rFonts w:hint="eastAsia"/>
        </w:rPr>
        <w:t>条，格鲁吉亚于</w:t>
      </w:r>
      <w:r>
        <w:rPr>
          <w:rFonts w:hint="eastAsia"/>
        </w:rPr>
        <w:t>1997</w:t>
      </w:r>
      <w:r>
        <w:rPr>
          <w:rFonts w:hint="eastAsia"/>
        </w:rPr>
        <w:t>年</w:t>
      </w:r>
      <w:r>
        <w:rPr>
          <w:rFonts w:hint="eastAsia"/>
        </w:rPr>
        <w:t>8</w:t>
      </w:r>
      <w:r>
        <w:rPr>
          <w:rFonts w:hint="eastAsia"/>
        </w:rPr>
        <w:t>月向经济、社会、文化权利委员会提交了履行《公约》义务情况的初步报告</w:t>
      </w:r>
      <w:r>
        <w:t>(E/1990/5/Add.37)</w:t>
      </w:r>
      <w:r>
        <w:rPr>
          <w:rFonts w:hint="eastAsia"/>
        </w:rPr>
        <w:t>。委员会于</w:t>
      </w:r>
      <w:r>
        <w:rPr>
          <w:rFonts w:hint="eastAsia"/>
        </w:rPr>
        <w:t>2000</w:t>
      </w:r>
      <w:r>
        <w:rPr>
          <w:rFonts w:hint="eastAsia"/>
        </w:rPr>
        <w:t>年</w:t>
      </w:r>
      <w:r>
        <w:rPr>
          <w:rFonts w:hint="eastAsia"/>
        </w:rPr>
        <w:t>4</w:t>
      </w:r>
      <w:r>
        <w:rPr>
          <w:rFonts w:hint="eastAsia"/>
        </w:rPr>
        <w:t>月审议了该报告，并于</w:t>
      </w:r>
      <w:r>
        <w:rPr>
          <w:rFonts w:hint="eastAsia"/>
        </w:rPr>
        <w:t>2000</w:t>
      </w:r>
      <w:r>
        <w:rPr>
          <w:rFonts w:hint="eastAsia"/>
        </w:rPr>
        <w:t>年</w:t>
      </w:r>
      <w:r>
        <w:rPr>
          <w:rFonts w:hint="eastAsia"/>
        </w:rPr>
        <w:t>5</w:t>
      </w:r>
      <w:r>
        <w:rPr>
          <w:rFonts w:hint="eastAsia"/>
        </w:rPr>
        <w:t>月通过了结论性意见</w:t>
      </w:r>
      <w:r>
        <w:rPr>
          <w:rFonts w:hint="eastAsia"/>
        </w:rPr>
        <w:t>(</w:t>
      </w:r>
      <w:r>
        <w:rPr>
          <w:rFonts w:hint="eastAsia"/>
        </w:rPr>
        <w:t>见</w:t>
      </w:r>
      <w:r>
        <w:t>E/C.12/1/Add.42</w:t>
      </w:r>
      <w:r>
        <w:rPr>
          <w:rFonts w:hint="eastAsia"/>
        </w:rPr>
        <w:t>号文件</w:t>
      </w:r>
      <w:r>
        <w:t>)</w:t>
      </w:r>
      <w:r>
        <w:rPr>
          <w:rFonts w:hint="eastAsia"/>
        </w:rPr>
        <w:t>。</w:t>
      </w:r>
    </w:p>
    <w:p w:rsidR="00000000" w:rsidRDefault="00000000">
      <w:pPr>
        <w:pStyle w:val="NormalIndent"/>
        <w:rPr>
          <w:rFonts w:hint="eastAsia"/>
        </w:rPr>
      </w:pPr>
      <w:r>
        <w:t xml:space="preserve">2.  </w:t>
      </w:r>
      <w:r>
        <w:rPr>
          <w:rFonts w:hint="eastAsia"/>
        </w:rPr>
        <w:t>格鲁吉亚政府印刷厂发行了经济、社会、文化权利委员会的结论性意见，以此将其广泛提供给全国各阶层群众。</w:t>
      </w:r>
    </w:p>
    <w:p w:rsidR="00000000" w:rsidRDefault="00000000">
      <w:pPr>
        <w:pStyle w:val="NormalIndent"/>
      </w:pPr>
      <w:r>
        <w:t xml:space="preserve">3.  </w:t>
      </w:r>
      <w:r>
        <w:rPr>
          <w:rFonts w:hint="eastAsia"/>
        </w:rPr>
        <w:t>本报告是第二次定期报告，涵盖初步报告提交之后至</w:t>
      </w:r>
      <w:r>
        <w:rPr>
          <w:rFonts w:hint="eastAsia"/>
        </w:rPr>
        <w:t>2001</w:t>
      </w:r>
      <w:r>
        <w:rPr>
          <w:rFonts w:hint="eastAsia"/>
        </w:rPr>
        <w:t>年</w:t>
      </w:r>
      <w:r>
        <w:rPr>
          <w:rFonts w:hint="eastAsia"/>
        </w:rPr>
        <w:t>1</w:t>
      </w:r>
      <w:r>
        <w:rPr>
          <w:rFonts w:hint="eastAsia"/>
        </w:rPr>
        <w:t>月的时期。本报告是按照经济、社会、文化权利委员会所通过的一般性准则编拟的。</w:t>
      </w:r>
    </w:p>
    <w:p w:rsidR="00000000" w:rsidRDefault="00000000">
      <w:pPr>
        <w:pStyle w:val="NormalIndent"/>
      </w:pPr>
      <w:r>
        <w:t xml:space="preserve">4.  </w:t>
      </w:r>
      <w:r>
        <w:rPr>
          <w:rFonts w:hint="eastAsia"/>
        </w:rPr>
        <w:t>本报告由人权保护局在格鲁吉亚国家安全委员会副秘书领导之下编写。国家安全委员会是一个宪法机构，由总统担任主席。截至</w:t>
      </w:r>
      <w:r>
        <w:rPr>
          <w:rFonts w:hint="eastAsia"/>
        </w:rPr>
        <w:t>2001</w:t>
      </w:r>
      <w:r>
        <w:rPr>
          <w:rFonts w:hint="eastAsia"/>
        </w:rPr>
        <w:t>年</w:t>
      </w:r>
      <w:r>
        <w:rPr>
          <w:rFonts w:hint="eastAsia"/>
        </w:rPr>
        <w:t>1</w:t>
      </w:r>
      <w:r>
        <w:rPr>
          <w:rFonts w:hint="eastAsia"/>
        </w:rPr>
        <w:t>月，上述人权保护局已经被指定负责编写格鲁吉亚所有关于本国执行国际人权文书情况的报告和提交有关条约机构的相应材料。</w:t>
      </w:r>
    </w:p>
    <w:p w:rsidR="00000000" w:rsidRDefault="00000000">
      <w:pPr>
        <w:pStyle w:val="NormalIndent"/>
      </w:pPr>
      <w:r>
        <w:t xml:space="preserve">5.  </w:t>
      </w:r>
      <w:r>
        <w:rPr>
          <w:rFonts w:hint="eastAsia"/>
        </w:rPr>
        <w:t>本报告中的事实材料是由劳动部、卫生和社会福利部、教育部、城市规划和建筑部、农业和粮食生产部、文化部、司法部以及格鲁吉亚科学院提供的。</w:t>
      </w:r>
    </w:p>
    <w:p w:rsidR="00000000" w:rsidRDefault="00000000">
      <w:pPr>
        <w:pStyle w:val="NormalIndent"/>
      </w:pPr>
      <w:r>
        <w:t xml:space="preserve">6.  </w:t>
      </w:r>
      <w:r>
        <w:rPr>
          <w:rFonts w:hint="eastAsia"/>
        </w:rPr>
        <w:t>在本报告所涉时期内，格鲁吉亚加快了司法改革的步伐，目的是按照法律至上原则使法院成为真正独立、正义、公正的化身。在具体的法院改革方面，议会通过了《普通法院法》和《最高法院法》，并实行了一个法官资格考试制度。试题之一是，“格鲁吉亚在人权领域缔结的国际文书和国际条约及协定”</w:t>
      </w:r>
      <w:r>
        <w:rPr>
          <w:rFonts w:hint="eastAsia"/>
        </w:rPr>
        <w:t>(</w:t>
      </w:r>
      <w:r>
        <w:rPr>
          <w:rFonts w:hint="eastAsia"/>
        </w:rPr>
        <w:t>《普通法院法》第</w:t>
      </w:r>
      <w:r>
        <w:rPr>
          <w:rFonts w:hint="eastAsia"/>
        </w:rPr>
        <w:t>68</w:t>
      </w:r>
      <w:r>
        <w:rPr>
          <w:rFonts w:hint="eastAsia"/>
        </w:rPr>
        <w:t>条第</w:t>
      </w:r>
      <w:r>
        <w:rPr>
          <w:rFonts w:hint="eastAsia"/>
        </w:rPr>
        <w:t>3</w:t>
      </w:r>
      <w:r>
        <w:rPr>
          <w:rFonts w:hint="eastAsia"/>
        </w:rPr>
        <w:t>款</w:t>
      </w:r>
      <w:r>
        <w:rPr>
          <w:rFonts w:hint="eastAsia"/>
        </w:rPr>
        <w:t>)</w:t>
      </w:r>
      <w:r>
        <w:rPr>
          <w:rFonts w:hint="eastAsia"/>
        </w:rPr>
        <w:t>。格鲁吉亚的区级法院、市级法院和巡回法院、各个自治共和国的高等法院和格鲁吉亚最高法院已经通过实行改革规定的资格考试更换了三分之二的法官。</w:t>
      </w:r>
    </w:p>
    <w:p w:rsidR="00000000" w:rsidRDefault="00000000">
      <w:pPr>
        <w:pStyle w:val="NormalIndent"/>
      </w:pPr>
      <w:r>
        <w:t xml:space="preserve">7.  </w:t>
      </w:r>
      <w:r>
        <w:rPr>
          <w:rFonts w:hint="eastAsia"/>
        </w:rPr>
        <w:t>议会对法院系统司法改革的重要贡献之一，是通过了新的刑事诉讼法和民事诉讼法，这些法律确认，处理侵犯人权与自由问题的主要途径是法院。此外，本报告所涉时期内还通过了民法、刑法和一般行政法等重要的立法文书。</w:t>
      </w:r>
    </w:p>
    <w:p w:rsidR="00000000" w:rsidRDefault="00000000">
      <w:pPr>
        <w:pStyle w:val="NormalIndent"/>
        <w:widowControl/>
      </w:pPr>
      <w:r>
        <w:t xml:space="preserve">8.  </w:t>
      </w:r>
      <w:r>
        <w:rPr>
          <w:rFonts w:hint="eastAsia"/>
        </w:rPr>
        <w:t>格鲁吉亚宪法法院是裁判违宪与否问题的机构，工作任务很重。它在宪法和相应的授权立法赋予的权力范围内进行工作。到目前为止，向该法院提起的诉讼案共有将近</w:t>
      </w:r>
      <w:r>
        <w:rPr>
          <w:rFonts w:hint="eastAsia"/>
        </w:rPr>
        <w:t>140</w:t>
      </w:r>
      <w:r>
        <w:rPr>
          <w:rFonts w:hint="eastAsia"/>
        </w:rPr>
        <w:t>起，其中</w:t>
      </w:r>
      <w:r>
        <w:rPr>
          <w:rFonts w:hint="eastAsia"/>
        </w:rPr>
        <w:t>15</w:t>
      </w:r>
      <w:r>
        <w:rPr>
          <w:rFonts w:hint="eastAsia"/>
        </w:rPr>
        <w:t>起裁定原告胜诉。</w:t>
      </w:r>
    </w:p>
    <w:p w:rsidR="00000000" w:rsidRDefault="00000000">
      <w:pPr>
        <w:pStyle w:val="NormalIndent"/>
      </w:pPr>
      <w:r>
        <w:t xml:space="preserve">9.  </w:t>
      </w:r>
      <w:r>
        <w:rPr>
          <w:rFonts w:hint="eastAsia"/>
        </w:rPr>
        <w:t>在报告所涉时期内，格鲁吉亚还加入了另一项联合国人权文书</w:t>
      </w:r>
      <w:r>
        <w:rPr>
          <w:rFonts w:hint="eastAsia"/>
        </w:rPr>
        <w:t>(1999</w:t>
      </w:r>
      <w:r>
        <w:rPr>
          <w:rFonts w:hint="eastAsia"/>
        </w:rPr>
        <w:t>年</w:t>
      </w:r>
      <w:r>
        <w:rPr>
          <w:rFonts w:hint="eastAsia"/>
        </w:rPr>
        <w:t>6</w:t>
      </w:r>
      <w:r>
        <w:rPr>
          <w:rFonts w:hint="eastAsia"/>
        </w:rPr>
        <w:t>月</w:t>
      </w:r>
      <w:r>
        <w:rPr>
          <w:rFonts w:hint="eastAsia"/>
        </w:rPr>
        <w:t>)</w:t>
      </w:r>
      <w:r>
        <w:rPr>
          <w:rFonts w:hint="eastAsia"/>
        </w:rPr>
        <w:t>，这就是《消除一切形式种族歧视公约》。关于格鲁吉亚为执行该公约而进行努力的情况的初步报告已于</w:t>
      </w:r>
      <w:r>
        <w:rPr>
          <w:rFonts w:hint="eastAsia"/>
        </w:rPr>
        <w:t>2001</w:t>
      </w:r>
      <w:r>
        <w:rPr>
          <w:rFonts w:hint="eastAsia"/>
        </w:rPr>
        <w:t>年</w:t>
      </w:r>
      <w:r>
        <w:rPr>
          <w:rFonts w:hint="eastAsia"/>
        </w:rPr>
        <w:t>3</w:t>
      </w:r>
      <w:r>
        <w:rPr>
          <w:rFonts w:hint="eastAsia"/>
        </w:rPr>
        <w:t>月按时提交消除种族歧视委员会。格鲁吉亚国家安全委员会今年</w:t>
      </w:r>
      <w:r>
        <w:rPr>
          <w:rFonts w:hint="eastAsia"/>
        </w:rPr>
        <w:t>5</w:t>
      </w:r>
      <w:r>
        <w:rPr>
          <w:rFonts w:hint="eastAsia"/>
        </w:rPr>
        <w:t>月讨论了消除种族歧视委员会的关注问题和所通过的建议。</w:t>
      </w:r>
    </w:p>
    <w:p w:rsidR="00000000" w:rsidRDefault="00000000">
      <w:pPr>
        <w:pStyle w:val="NormalIndent"/>
      </w:pPr>
      <w:r>
        <w:t xml:space="preserve">10.  </w:t>
      </w:r>
      <w:r>
        <w:rPr>
          <w:rFonts w:hint="eastAsia"/>
        </w:rPr>
        <w:t>1999</w:t>
      </w:r>
      <w:r>
        <w:rPr>
          <w:rFonts w:hint="eastAsia"/>
        </w:rPr>
        <w:t>年</w:t>
      </w:r>
      <w:r>
        <w:rPr>
          <w:rFonts w:hint="eastAsia"/>
        </w:rPr>
        <w:t>4</w:t>
      </w:r>
      <w:r>
        <w:rPr>
          <w:rFonts w:hint="eastAsia"/>
        </w:rPr>
        <w:t>月，格鲁吉亚正式加入欧洲委员会，成为其中的第一个外高加索成员国。这表明格鲁吉亚在建设法治国家方面的进步已经得到欧洲共同体的承认。同时，格鲁吉亚的责任也更大了，特别是在认识、观察和行使人权方面。格鲁吉亚已加入《欧洲保护人权和基本自由公约》及其各项议定书，格鲁吉亚议会除第一号议定书以外已全部予以批准。在该公约框架内，格鲁吉亚承认欧洲人权法院的管辖，已经选定有格鲁吉亚前任最高法院院长担任格鲁吉亚派驻该院的代表。</w:t>
      </w:r>
    </w:p>
    <w:p w:rsidR="00000000" w:rsidRDefault="00000000">
      <w:pPr>
        <w:pStyle w:val="NormalIndent"/>
      </w:pPr>
      <w:r>
        <w:t xml:space="preserve">11.  </w:t>
      </w:r>
      <w:r>
        <w:rPr>
          <w:rFonts w:hint="eastAsia"/>
        </w:rPr>
        <w:t>1999</w:t>
      </w:r>
      <w:r>
        <w:rPr>
          <w:rFonts w:hint="eastAsia"/>
        </w:rPr>
        <w:t>年</w:t>
      </w:r>
      <w:r>
        <w:rPr>
          <w:rFonts w:hint="eastAsia"/>
        </w:rPr>
        <w:t>10</w:t>
      </w:r>
      <w:r>
        <w:rPr>
          <w:rFonts w:hint="eastAsia"/>
        </w:rPr>
        <w:t>月，格鲁吉亚签署了关于加入建立世界贸易组织</w:t>
      </w:r>
      <w:r>
        <w:rPr>
          <w:rFonts w:hint="eastAsia"/>
        </w:rPr>
        <w:t>(</w:t>
      </w:r>
      <w:r>
        <w:rPr>
          <w:rFonts w:hint="eastAsia"/>
        </w:rPr>
        <w:t>世贸组织</w:t>
      </w:r>
      <w:r>
        <w:rPr>
          <w:rFonts w:hint="eastAsia"/>
        </w:rPr>
        <w:t>)</w:t>
      </w:r>
      <w:r>
        <w:rPr>
          <w:rFonts w:hint="eastAsia"/>
        </w:rPr>
        <w:t>的《马拉喀什协定》的议定书。议会已经批准了该议定书，格鲁吉亚现已成为世贸组织的正式成员。</w:t>
      </w:r>
    </w:p>
    <w:p w:rsidR="00000000" w:rsidRDefault="00000000">
      <w:pPr>
        <w:pStyle w:val="NormalIndent"/>
      </w:pPr>
      <w:r>
        <w:t xml:space="preserve">12.  </w:t>
      </w:r>
      <w:r>
        <w:rPr>
          <w:rFonts w:hint="eastAsia"/>
        </w:rPr>
        <w:t>1998</w:t>
      </w:r>
      <w:r>
        <w:rPr>
          <w:rFonts w:hint="eastAsia"/>
        </w:rPr>
        <w:t>年</w:t>
      </w:r>
      <w:r>
        <w:rPr>
          <w:rFonts w:hint="eastAsia"/>
        </w:rPr>
        <w:t>11</w:t>
      </w:r>
      <w:r>
        <w:rPr>
          <w:rFonts w:hint="eastAsia"/>
        </w:rPr>
        <w:t>月，格鲁吉亚首次举行了地方自治政府机构选举。选举产生的区级代表机构很多都设立了人权委员会，这些委员会目前都已经投入工作。这些地方自治政府机构的下届选举定于</w:t>
      </w:r>
      <w:r>
        <w:rPr>
          <w:rFonts w:hint="eastAsia"/>
        </w:rPr>
        <w:t>2001</w:t>
      </w:r>
      <w:r>
        <w:rPr>
          <w:rFonts w:hint="eastAsia"/>
        </w:rPr>
        <w:t>年秋季举行。</w:t>
      </w:r>
    </w:p>
    <w:p w:rsidR="00000000" w:rsidRDefault="00000000">
      <w:pPr>
        <w:pStyle w:val="NormalIndent"/>
        <w:widowControl/>
      </w:pPr>
      <w:r>
        <w:t xml:space="preserve">13.  </w:t>
      </w:r>
      <w:r>
        <w:rPr>
          <w:rFonts w:hint="eastAsia"/>
        </w:rPr>
        <w:t>根据《宪法》第</w:t>
      </w:r>
      <w:r>
        <w:t>6</w:t>
      </w:r>
      <w:r>
        <w:rPr>
          <w:rFonts w:hint="eastAsia"/>
        </w:rPr>
        <w:t>条，凡是格鲁吉亚加入的国际条约和协定，只要与《宪法》没有矛盾，一律优先于国内立法。根据《立法文书法》，格鲁吉亚参加的国际条约被视为规范性的法规，也就是说，格鲁吉亚缔结的国际条约的规定与国内立法的规定一样适用。在格鲁吉亚法律制度中，本国缔结的国际条约排在《宪法》和《立宪协约》之后居第三位。此外，根据《国际条约法》，格鲁吉亚一旦签署</w:t>
      </w:r>
      <w:r>
        <w:rPr>
          <w:rFonts w:hint="eastAsia"/>
        </w:rPr>
        <w:t>(</w:t>
      </w:r>
      <w:r>
        <w:rPr>
          <w:rFonts w:hint="eastAsia"/>
        </w:rPr>
        <w:t>批准</w:t>
      </w:r>
      <w:r>
        <w:rPr>
          <w:rFonts w:hint="eastAsia"/>
        </w:rPr>
        <w:t>)</w:t>
      </w:r>
      <w:r>
        <w:rPr>
          <w:rFonts w:hint="eastAsia"/>
        </w:rPr>
        <w:t>一项国际条约，该条约就成为国内法的组成部分。规定具体权利和义务的国际条约并不需要通过颁布国内立法文书加以阐述，而是直接在格鲁吉亚适用。因此，完全可以直接在法庭上适用和援引《公约》。在报告所涉时期内，格鲁吉亚法庭上没有出现过援引《公约》的情况。</w:t>
      </w:r>
    </w:p>
    <w:p w:rsidR="00000000" w:rsidRDefault="00000000">
      <w:pPr>
        <w:pStyle w:val="NormalIndent"/>
      </w:pPr>
      <w:r>
        <w:t xml:space="preserve">14.  </w:t>
      </w:r>
      <w:r>
        <w:rPr>
          <w:rFonts w:hint="eastAsia"/>
        </w:rPr>
        <w:t>格鲁吉亚政府近期将要面临的关键问题之一是需要克服贫困。本报告的有关章节介绍为此采取的步骤。关于这个问题，我们还应当指出，</w:t>
      </w:r>
      <w:r>
        <w:rPr>
          <w:rFonts w:hint="eastAsia"/>
        </w:rPr>
        <w:t>2000</w:t>
      </w:r>
      <w:r>
        <w:rPr>
          <w:rFonts w:hint="eastAsia"/>
        </w:rPr>
        <w:t>年</w:t>
      </w:r>
      <w:r>
        <w:rPr>
          <w:rFonts w:hint="eastAsia"/>
        </w:rPr>
        <w:t>1</w:t>
      </w:r>
      <w:r>
        <w:rPr>
          <w:rFonts w:hint="eastAsia"/>
        </w:rPr>
        <w:t>月，格鲁吉亚政府通过了一个题为“社会发展蓝图”的文件，这个文件为新开展一项格鲁吉亚社会长期改革方案奠定了基础。</w:t>
      </w:r>
    </w:p>
    <w:p w:rsidR="00000000" w:rsidRDefault="00000000">
      <w:pPr>
        <w:pStyle w:val="NormalIndent"/>
      </w:pPr>
      <w:r>
        <w:t xml:space="preserve">15.  </w:t>
      </w:r>
      <w:r>
        <w:rPr>
          <w:rFonts w:hint="eastAsia"/>
        </w:rPr>
        <w:t>方案确定的下列战略目标：</w:t>
      </w:r>
    </w:p>
    <w:p w:rsidR="00000000" w:rsidRDefault="00000000">
      <w:pPr>
        <w:pStyle w:val="NormalIndent"/>
        <w:numPr>
          <w:ilvl w:val="0"/>
          <w:numId w:val="26"/>
        </w:numPr>
      </w:pPr>
      <w:r>
        <w:rPr>
          <w:rFonts w:hint="eastAsia"/>
        </w:rPr>
        <w:t>大幅度改善人民生活条件和物质水平；</w:t>
      </w:r>
    </w:p>
    <w:p w:rsidR="00000000" w:rsidRDefault="00000000">
      <w:pPr>
        <w:pStyle w:val="NormalIndent"/>
        <w:numPr>
          <w:ilvl w:val="0"/>
          <w:numId w:val="26"/>
        </w:numPr>
      </w:pPr>
      <w:r>
        <w:rPr>
          <w:rFonts w:ascii="SimSun" w:hAnsi="SimSun"/>
        </w:rPr>
        <w:t>采取有效的就业安排和创造就业机会措施，以及提高劳动力队伍的素质和竞争力；</w:t>
      </w:r>
    </w:p>
    <w:p w:rsidR="00000000" w:rsidRDefault="00000000">
      <w:pPr>
        <w:pStyle w:val="NormalIndent"/>
        <w:numPr>
          <w:ilvl w:val="0"/>
          <w:numId w:val="26"/>
        </w:numPr>
      </w:pPr>
      <w:r>
        <w:rPr>
          <w:rFonts w:ascii="SimSun" w:hAnsi="SimSun"/>
        </w:rPr>
        <w:t>采取措施维护就业、社会保险、教育、卫生保健和文化方面的宪法保障；</w:t>
      </w:r>
    </w:p>
    <w:p w:rsidR="00000000" w:rsidRDefault="00000000">
      <w:pPr>
        <w:pStyle w:val="NormalIndent"/>
        <w:numPr>
          <w:ilvl w:val="0"/>
          <w:numId w:val="26"/>
        </w:numPr>
      </w:pPr>
      <w:r>
        <w:rPr>
          <w:rFonts w:ascii="SimSun" w:hAnsi="SimSun"/>
        </w:rPr>
        <w:t>社会政策的重点转向家庭，并采取措施落实家庭、妇女、儿童和青年权利及社会保障；</w:t>
      </w:r>
    </w:p>
    <w:p w:rsidR="00000000" w:rsidRDefault="00000000">
      <w:pPr>
        <w:pStyle w:val="NormalIndent"/>
        <w:numPr>
          <w:ilvl w:val="0"/>
          <w:numId w:val="26"/>
        </w:numPr>
      </w:pPr>
      <w:r>
        <w:rPr>
          <w:rFonts w:ascii="SimSun" w:hAnsi="SimSun"/>
        </w:rPr>
        <w:t>改善人口状况和提升社会基础设施。</w:t>
      </w:r>
    </w:p>
    <w:p w:rsidR="00000000" w:rsidRDefault="00000000">
      <w:pPr>
        <w:pStyle w:val="Heading2"/>
        <w:spacing w:before="320"/>
      </w:pPr>
      <w:r>
        <w:rPr>
          <w:rFonts w:hint="eastAsia"/>
        </w:rPr>
        <w:t>第</w:t>
      </w:r>
      <w:r>
        <w:rPr>
          <w:rFonts w:hint="eastAsia"/>
        </w:rPr>
        <w:t xml:space="preserve"> </w:t>
      </w:r>
      <w:r>
        <w:rPr>
          <w:rFonts w:hint="eastAsia"/>
        </w:rPr>
        <w:t>一</w:t>
      </w:r>
      <w:r>
        <w:rPr>
          <w:rFonts w:hint="eastAsia"/>
        </w:rPr>
        <w:t xml:space="preserve"> </w:t>
      </w:r>
      <w:r>
        <w:rPr>
          <w:rFonts w:hint="eastAsia"/>
        </w:rPr>
        <w:t>条</w:t>
      </w:r>
    </w:p>
    <w:p w:rsidR="00000000" w:rsidRDefault="00000000">
      <w:pPr>
        <w:pStyle w:val="NormalIndent"/>
      </w:pPr>
      <w:r>
        <w:t xml:space="preserve">16.  </w:t>
      </w:r>
      <w:r>
        <w:rPr>
          <w:rFonts w:hint="eastAsia"/>
        </w:rPr>
        <w:t>关于所有人民自决权行使情况的资料，请参看格鲁吉亚根据《公民权利和政治权利国际公约》提交的第二次定期报告的第</w:t>
      </w:r>
      <w:r>
        <w:rPr>
          <w:rFonts w:hint="eastAsia"/>
        </w:rPr>
        <w:t>22</w:t>
      </w:r>
      <w:r>
        <w:rPr>
          <w:rFonts w:hint="eastAsia"/>
        </w:rPr>
        <w:t>至</w:t>
      </w:r>
      <w:r>
        <w:t>41</w:t>
      </w:r>
      <w:r>
        <w:rPr>
          <w:rFonts w:hint="eastAsia"/>
        </w:rPr>
        <w:t>段。</w:t>
      </w:r>
    </w:p>
    <w:p w:rsidR="00000000" w:rsidRDefault="00000000">
      <w:pPr>
        <w:pStyle w:val="Heading2"/>
        <w:spacing w:before="320"/>
      </w:pPr>
      <w:r>
        <w:rPr>
          <w:rFonts w:hint="eastAsia"/>
        </w:rPr>
        <w:t>第</w:t>
      </w:r>
      <w:r>
        <w:rPr>
          <w:rFonts w:hint="eastAsia"/>
        </w:rPr>
        <w:t xml:space="preserve"> </w:t>
      </w:r>
      <w:r>
        <w:rPr>
          <w:rFonts w:hint="eastAsia"/>
        </w:rPr>
        <w:t>二</w:t>
      </w:r>
      <w:r>
        <w:rPr>
          <w:rFonts w:hint="eastAsia"/>
        </w:rPr>
        <w:t xml:space="preserve"> </w:t>
      </w:r>
      <w:r>
        <w:rPr>
          <w:rFonts w:hint="eastAsia"/>
        </w:rPr>
        <w:t>条</w:t>
      </w:r>
    </w:p>
    <w:p w:rsidR="00000000" w:rsidRDefault="00000000">
      <w:pPr>
        <w:pStyle w:val="NormalIndent"/>
      </w:pPr>
      <w:r>
        <w:t xml:space="preserve">17.  </w:t>
      </w:r>
      <w:r>
        <w:rPr>
          <w:rFonts w:hint="eastAsia"/>
        </w:rPr>
        <w:t>关于《公约》第二条第二款和第三款</w:t>
      </w:r>
      <w:r>
        <w:t>(</w:t>
      </w:r>
      <w:r>
        <w:rPr>
          <w:rFonts w:hint="eastAsia"/>
        </w:rPr>
        <w:t>不歧视原则和非本国国民权利的保障</w:t>
      </w:r>
      <w:r>
        <w:t>)</w:t>
      </w:r>
      <w:r>
        <w:rPr>
          <w:rFonts w:hint="eastAsia"/>
        </w:rPr>
        <w:t>，请注意格鲁吉亚根据《公民权利和政治权利国际公约》提交的第二次定期报告的第</w:t>
      </w:r>
      <w:r>
        <w:rPr>
          <w:rFonts w:hint="eastAsia"/>
        </w:rPr>
        <w:t>42</w:t>
      </w:r>
      <w:r>
        <w:rPr>
          <w:rFonts w:hint="eastAsia"/>
        </w:rPr>
        <w:t>、</w:t>
      </w:r>
      <w:r>
        <w:rPr>
          <w:rFonts w:hint="eastAsia"/>
        </w:rPr>
        <w:t>43</w:t>
      </w:r>
      <w:r>
        <w:rPr>
          <w:rFonts w:hint="eastAsia"/>
        </w:rPr>
        <w:t>、</w:t>
      </w:r>
      <w:r>
        <w:rPr>
          <w:rFonts w:hint="eastAsia"/>
        </w:rPr>
        <w:t>45</w:t>
      </w:r>
      <w:r>
        <w:rPr>
          <w:rFonts w:hint="eastAsia"/>
        </w:rPr>
        <w:t>、</w:t>
      </w:r>
      <w:r>
        <w:rPr>
          <w:rFonts w:hint="eastAsia"/>
        </w:rPr>
        <w:t>46</w:t>
      </w:r>
      <w:r>
        <w:rPr>
          <w:rFonts w:hint="eastAsia"/>
        </w:rPr>
        <w:t>段，以及根据《消除一切形式种族歧视国际公约》提交的初步报告。</w:t>
      </w:r>
    </w:p>
    <w:p w:rsidR="00000000" w:rsidRDefault="00000000">
      <w:pPr>
        <w:pStyle w:val="Heading2"/>
        <w:spacing w:before="320"/>
      </w:pPr>
      <w:r>
        <w:rPr>
          <w:rFonts w:hint="eastAsia"/>
        </w:rPr>
        <w:t>第</w:t>
      </w:r>
      <w:r>
        <w:rPr>
          <w:rFonts w:hint="eastAsia"/>
        </w:rPr>
        <w:t xml:space="preserve"> </w:t>
      </w:r>
      <w:r>
        <w:rPr>
          <w:rFonts w:hint="eastAsia"/>
        </w:rPr>
        <w:t>三</w:t>
      </w:r>
      <w:r>
        <w:rPr>
          <w:rFonts w:hint="eastAsia"/>
        </w:rPr>
        <w:t xml:space="preserve"> </w:t>
      </w:r>
      <w:r>
        <w:rPr>
          <w:rFonts w:hint="eastAsia"/>
        </w:rPr>
        <w:t>条</w:t>
      </w:r>
    </w:p>
    <w:p w:rsidR="00000000" w:rsidRDefault="00000000">
      <w:pPr>
        <w:pStyle w:val="NormalIndent"/>
      </w:pPr>
      <w:r>
        <w:t xml:space="preserve">18.  </w:t>
      </w:r>
      <w:r>
        <w:rPr>
          <w:rFonts w:hint="eastAsia"/>
        </w:rPr>
        <w:t>格鲁吉亚根据《公民权利和政治权利国际公约》提交的第二次定期报告</w:t>
      </w:r>
      <w:r>
        <w:rPr>
          <w:rFonts w:hint="eastAsia"/>
        </w:rPr>
        <w:t>(</w:t>
      </w:r>
      <w:r>
        <w:rPr>
          <w:rFonts w:hint="eastAsia"/>
        </w:rPr>
        <w:t>第</w:t>
      </w:r>
      <w:r>
        <w:t>53</w:t>
      </w:r>
      <w:r>
        <w:rPr>
          <w:rFonts w:hint="eastAsia"/>
        </w:rPr>
        <w:t>至</w:t>
      </w:r>
      <w:r>
        <w:t>59</w:t>
      </w:r>
      <w:r>
        <w:rPr>
          <w:rFonts w:hint="eastAsia"/>
        </w:rPr>
        <w:t>段</w:t>
      </w:r>
      <w:r>
        <w:rPr>
          <w:rFonts w:hint="eastAsia"/>
        </w:rPr>
        <w:t>)</w:t>
      </w:r>
      <w:r>
        <w:rPr>
          <w:rFonts w:hint="eastAsia"/>
        </w:rPr>
        <w:t>详细讨论了在行使本《公约》所定权利以及其他人权和基本自由方面确保男女平等的问题。关于这个问题的情况，还可参看本国根据《消除对妇女一切形式歧视公约》于</w:t>
      </w:r>
      <w:r>
        <w:rPr>
          <w:rFonts w:hint="eastAsia"/>
        </w:rPr>
        <w:t>2000</w:t>
      </w:r>
      <w:r>
        <w:rPr>
          <w:rFonts w:hint="eastAsia"/>
        </w:rPr>
        <w:t>年</w:t>
      </w:r>
      <w:r>
        <w:rPr>
          <w:rFonts w:hint="eastAsia"/>
        </w:rPr>
        <w:t>9</w:t>
      </w:r>
      <w:r>
        <w:rPr>
          <w:rFonts w:hint="eastAsia"/>
        </w:rPr>
        <w:t>月提交联合国有关条约机构的定期报告。</w:t>
      </w:r>
    </w:p>
    <w:p w:rsidR="00000000" w:rsidRDefault="00000000">
      <w:pPr>
        <w:pStyle w:val="Heading2"/>
        <w:spacing w:before="320"/>
      </w:pPr>
      <w:r>
        <w:rPr>
          <w:rFonts w:hint="eastAsia"/>
        </w:rPr>
        <w:t>第</w:t>
      </w:r>
      <w:r>
        <w:rPr>
          <w:rFonts w:hint="eastAsia"/>
        </w:rPr>
        <w:t xml:space="preserve"> </w:t>
      </w:r>
      <w:r>
        <w:rPr>
          <w:rFonts w:hint="eastAsia"/>
        </w:rPr>
        <w:t>六</w:t>
      </w:r>
      <w:r>
        <w:rPr>
          <w:rFonts w:hint="eastAsia"/>
        </w:rPr>
        <w:t xml:space="preserve"> </w:t>
      </w:r>
      <w:r>
        <w:rPr>
          <w:rFonts w:hint="eastAsia"/>
        </w:rPr>
        <w:t>条</w:t>
      </w:r>
    </w:p>
    <w:p w:rsidR="00000000" w:rsidRDefault="00000000">
      <w:pPr>
        <w:pStyle w:val="NormalIndent"/>
      </w:pPr>
      <w:r>
        <w:t xml:space="preserve">19.  </w:t>
      </w:r>
      <w:r>
        <w:rPr>
          <w:rFonts w:hint="eastAsia"/>
        </w:rPr>
        <w:t>与工作权的法律保障有关的问题在格鲁吉亚根据本《公约》提交的初步报告</w:t>
      </w:r>
      <w:r>
        <w:rPr>
          <w:rFonts w:hint="eastAsia"/>
        </w:rPr>
        <w:t>(</w:t>
      </w:r>
      <w:r>
        <w:rPr>
          <w:rFonts w:hint="eastAsia"/>
        </w:rPr>
        <w:t>第</w:t>
      </w:r>
      <w:r>
        <w:rPr>
          <w:rFonts w:hint="eastAsia"/>
        </w:rPr>
        <w:t>35</w:t>
      </w:r>
      <w:r>
        <w:rPr>
          <w:rFonts w:hint="eastAsia"/>
        </w:rPr>
        <w:t>、</w:t>
      </w:r>
      <w:r>
        <w:rPr>
          <w:rFonts w:hint="eastAsia"/>
        </w:rPr>
        <w:t>36</w:t>
      </w:r>
      <w:r>
        <w:rPr>
          <w:rFonts w:hint="eastAsia"/>
        </w:rPr>
        <w:t>、</w:t>
      </w:r>
      <w:r>
        <w:rPr>
          <w:rFonts w:hint="eastAsia"/>
        </w:rPr>
        <w:t>38</w:t>
      </w:r>
      <w:r>
        <w:rPr>
          <w:rFonts w:hint="eastAsia"/>
        </w:rPr>
        <w:t>段</w:t>
      </w:r>
      <w:r>
        <w:rPr>
          <w:rFonts w:hint="eastAsia"/>
        </w:rPr>
        <w:t>)</w:t>
      </w:r>
      <w:r>
        <w:rPr>
          <w:rFonts w:hint="eastAsia"/>
        </w:rPr>
        <w:t>中已有详细叙述。在本报告所涉时期内，格鲁吉亚劳资立法没有变化。</w:t>
      </w:r>
    </w:p>
    <w:p w:rsidR="00000000" w:rsidRDefault="00000000">
      <w:pPr>
        <w:pStyle w:val="NormalIndent"/>
      </w:pPr>
      <w:r>
        <w:t xml:space="preserve">20.  </w:t>
      </w:r>
      <w:r>
        <w:rPr>
          <w:rFonts w:hint="eastAsia"/>
        </w:rPr>
        <w:t>格鲁吉亚已加入国际劳工组织</w:t>
      </w:r>
      <w:r>
        <w:rPr>
          <w:rFonts w:hint="eastAsia"/>
        </w:rPr>
        <w:t>(</w:t>
      </w:r>
      <w:r>
        <w:rPr>
          <w:rFonts w:hint="eastAsia"/>
        </w:rPr>
        <w:t>劳工组织</w:t>
      </w:r>
      <w:r>
        <w:rPr>
          <w:rFonts w:hint="eastAsia"/>
        </w:rPr>
        <w:t>)</w:t>
      </w:r>
      <w:r>
        <w:rPr>
          <w:rFonts w:hint="eastAsia"/>
        </w:rPr>
        <w:t>的</w:t>
      </w:r>
      <w:r>
        <w:rPr>
          <w:rFonts w:hint="eastAsia"/>
        </w:rPr>
        <w:t>11</w:t>
      </w:r>
      <w:r>
        <w:rPr>
          <w:rFonts w:hint="eastAsia"/>
        </w:rPr>
        <w:t>项公约，以下关于《公约》第七条的意见中有更详细的叙述。此处只需要提一下格鲁吉亚劳动、卫生和社会福利部就业与劳资关系司已经编写了格鲁吉亚对于有关就业政策的第</w:t>
      </w:r>
      <w:r>
        <w:rPr>
          <w:rFonts w:hint="eastAsia"/>
        </w:rPr>
        <w:t>112</w:t>
      </w:r>
      <w:r>
        <w:rPr>
          <w:rFonts w:hint="eastAsia"/>
        </w:rPr>
        <w:t>号公约和有关就业和职业方面歧视问题的第</w:t>
      </w:r>
      <w:r>
        <w:rPr>
          <w:rFonts w:hint="eastAsia"/>
        </w:rPr>
        <w:t>111</w:t>
      </w:r>
      <w:r>
        <w:rPr>
          <w:rFonts w:hint="eastAsia"/>
        </w:rPr>
        <w:t>号公约各项要求的遵守情况的报告，准备提交劳工组织。</w:t>
      </w:r>
    </w:p>
    <w:p w:rsidR="00000000" w:rsidRDefault="00000000">
      <w:pPr>
        <w:pStyle w:val="NormalIndent"/>
      </w:pPr>
      <w:r>
        <w:t xml:space="preserve">21.  </w:t>
      </w:r>
      <w:r>
        <w:rPr>
          <w:rFonts w:hint="eastAsia"/>
        </w:rPr>
        <w:t>2000</w:t>
      </w:r>
      <w:r>
        <w:rPr>
          <w:rFonts w:hint="eastAsia"/>
        </w:rPr>
        <w:t>年，格鲁吉亚编写并向联合国有关条约机构提交了关于其遵守</w:t>
      </w:r>
      <w:r>
        <w:rPr>
          <w:rFonts w:hint="eastAsia"/>
        </w:rPr>
        <w:t>1999</w:t>
      </w:r>
      <w:r>
        <w:rPr>
          <w:rFonts w:hint="eastAsia"/>
        </w:rPr>
        <w:t>年</w:t>
      </w:r>
      <w:r>
        <w:rPr>
          <w:rFonts w:hint="eastAsia"/>
        </w:rPr>
        <w:t>6</w:t>
      </w:r>
      <w:r>
        <w:rPr>
          <w:rFonts w:hint="eastAsia"/>
        </w:rPr>
        <w:t>月加入的《消除一切形式种族歧视国际公约》各项规定情况的初步报告，以及关于《消除对妇女一切形式歧视公约》各项规定执行情况的第二次定期报告。关于本《公约》的这一条，我们应当指出，根据《消除一切形式种族歧视国际公约》提交的报告</w:t>
      </w:r>
      <w:r>
        <w:rPr>
          <w:rFonts w:hint="eastAsia"/>
        </w:rPr>
        <w:t>(</w:t>
      </w:r>
      <w:r>
        <w:rPr>
          <w:rFonts w:hint="eastAsia"/>
        </w:rPr>
        <w:t>第</w:t>
      </w:r>
      <w:r>
        <w:rPr>
          <w:rFonts w:hint="eastAsia"/>
        </w:rPr>
        <w:t>190</w:t>
      </w:r>
      <w:r>
        <w:rPr>
          <w:rFonts w:hint="eastAsia"/>
        </w:rPr>
        <w:t>至</w:t>
      </w:r>
      <w:r>
        <w:rPr>
          <w:rFonts w:hint="eastAsia"/>
        </w:rPr>
        <w:t>197</w:t>
      </w:r>
      <w:r>
        <w:rPr>
          <w:rFonts w:hint="eastAsia"/>
        </w:rPr>
        <w:t>段</w:t>
      </w:r>
      <w:r>
        <w:rPr>
          <w:rFonts w:hint="eastAsia"/>
        </w:rPr>
        <w:t>)</w:t>
      </w:r>
      <w:r>
        <w:rPr>
          <w:rFonts w:hint="eastAsia"/>
        </w:rPr>
        <w:t>和根据《消除对妇女一切形式歧视公约》提交的报告</w:t>
      </w:r>
      <w:r>
        <w:rPr>
          <w:rFonts w:hint="eastAsia"/>
        </w:rPr>
        <w:t>(</w:t>
      </w:r>
      <w:r>
        <w:rPr>
          <w:rFonts w:hint="eastAsia"/>
        </w:rPr>
        <w:t>第</w:t>
      </w:r>
      <w:r>
        <w:rPr>
          <w:rFonts w:hint="eastAsia"/>
        </w:rPr>
        <w:t>82</w:t>
      </w:r>
      <w:r>
        <w:rPr>
          <w:rFonts w:hint="eastAsia"/>
        </w:rPr>
        <w:t>至</w:t>
      </w:r>
      <w:r>
        <w:rPr>
          <w:rFonts w:hint="eastAsia"/>
        </w:rPr>
        <w:t>93</w:t>
      </w:r>
      <w:r>
        <w:rPr>
          <w:rFonts w:hint="eastAsia"/>
        </w:rPr>
        <w:t>段</w:t>
      </w:r>
      <w:r>
        <w:rPr>
          <w:rFonts w:hint="eastAsia"/>
        </w:rPr>
        <w:t>)</w:t>
      </w:r>
      <w:r>
        <w:rPr>
          <w:rFonts w:hint="eastAsia"/>
        </w:rPr>
        <w:t>都讨论过维护无歧视的工作权的问题。在我们就本《公约》中有关工作权的较为具体的方面提出的意见中，还进一步提到根据《消除一切形式种族歧视国际公约》提交的报告中的相关段落。</w:t>
      </w:r>
    </w:p>
    <w:p w:rsidR="00000000" w:rsidRDefault="00000000">
      <w:pPr>
        <w:pStyle w:val="Heading4"/>
        <w:spacing w:before="320"/>
      </w:pPr>
      <w:r>
        <w:rPr>
          <w:rFonts w:hint="eastAsia"/>
        </w:rPr>
        <w:t>就业方面的情况</w:t>
      </w:r>
      <w:r>
        <w:rPr>
          <w:rFonts w:hint="eastAsia"/>
        </w:rPr>
        <w:t>(</w:t>
      </w:r>
      <w:r>
        <w:rPr>
          <w:rFonts w:hint="eastAsia"/>
        </w:rPr>
        <w:t>综述</w:t>
      </w:r>
      <w:r>
        <w:rPr>
          <w:rFonts w:hint="eastAsia"/>
        </w:rPr>
        <w:t>)</w:t>
      </w:r>
    </w:p>
    <w:p w:rsidR="00000000" w:rsidRDefault="00000000">
      <w:pPr>
        <w:pStyle w:val="NormalIndent"/>
      </w:pPr>
      <w:r>
        <w:t xml:space="preserve">22.  </w:t>
      </w:r>
      <w:r>
        <w:rPr>
          <w:rFonts w:hint="eastAsia"/>
        </w:rPr>
        <w:t>以下我们提供劳动、卫生和社会保障部</w:t>
      </w:r>
      <w:r>
        <w:rPr>
          <w:rFonts w:hint="eastAsia"/>
        </w:rPr>
        <w:t>(</w:t>
      </w:r>
      <w:r>
        <w:rPr>
          <w:rFonts w:hint="eastAsia"/>
        </w:rPr>
        <w:t>原文如此－中译注</w:t>
      </w:r>
      <w:r>
        <w:rPr>
          <w:rFonts w:hint="eastAsia"/>
        </w:rPr>
        <w:t>)</w:t>
      </w:r>
      <w:r>
        <w:rPr>
          <w:rFonts w:hint="eastAsia"/>
        </w:rPr>
        <w:t>提交的资料。</w:t>
      </w:r>
    </w:p>
    <w:p w:rsidR="00000000" w:rsidRDefault="00000000">
      <w:pPr>
        <w:pStyle w:val="NormalIndent"/>
      </w:pPr>
      <w:r>
        <w:t xml:space="preserve">23.  </w:t>
      </w:r>
      <w:r>
        <w:rPr>
          <w:rFonts w:hint="eastAsia"/>
        </w:rPr>
        <w:t>近年来，失业问题在格鲁吉亚显得特别尖锐。过去十年来，国内的社会、经济和政治变化过程导致本国的基本经济指标大幅度下降。</w:t>
      </w:r>
      <w:r>
        <w:rPr>
          <w:rFonts w:hint="eastAsia"/>
        </w:rPr>
        <w:t>1999</w:t>
      </w:r>
      <w:r>
        <w:rPr>
          <w:rFonts w:hint="eastAsia"/>
        </w:rPr>
        <w:t>年，国内总产值降到相当于</w:t>
      </w:r>
      <w:r>
        <w:rPr>
          <w:rFonts w:hint="eastAsia"/>
        </w:rPr>
        <w:t>1990</w:t>
      </w:r>
      <w:r>
        <w:rPr>
          <w:rFonts w:hint="eastAsia"/>
        </w:rPr>
        <w:t>年的</w:t>
      </w:r>
      <w:r>
        <w:rPr>
          <w:rFonts w:hint="eastAsia"/>
        </w:rPr>
        <w:t>37.1%</w:t>
      </w:r>
      <w:r>
        <w:rPr>
          <w:rFonts w:hint="eastAsia"/>
        </w:rPr>
        <w:t>。这种下降严重影响了就业前景。</w:t>
      </w:r>
      <w:r>
        <w:t>1990</w:t>
      </w:r>
      <w:r>
        <w:rPr>
          <w:rFonts w:hint="eastAsia"/>
        </w:rPr>
        <w:t>—</w:t>
      </w:r>
      <w:r>
        <w:rPr>
          <w:rFonts w:hint="eastAsia"/>
        </w:rPr>
        <w:t>1999</w:t>
      </w:r>
      <w:r>
        <w:rPr>
          <w:rFonts w:hint="eastAsia"/>
        </w:rPr>
        <w:t>年期间，在职人数也下降了</w:t>
      </w:r>
      <w:r>
        <w:rPr>
          <w:rFonts w:hint="eastAsia"/>
        </w:rPr>
        <w:t>37.2%</w:t>
      </w:r>
      <w:r>
        <w:rPr>
          <w:rFonts w:hint="eastAsia"/>
        </w:rPr>
        <w:t>。准失业和就业不足现象已经极为普遍。由于就业前景有限，越来越多的人到国外寻找工作机会。据专家估计，格鲁吉亚出国寻找工作机会的人数在</w:t>
      </w:r>
      <w:r>
        <w:rPr>
          <w:rFonts w:hint="eastAsia"/>
        </w:rPr>
        <w:t>50</w:t>
      </w:r>
      <w:r>
        <w:rPr>
          <w:rFonts w:hint="eastAsia"/>
        </w:rPr>
        <w:t>万到</w:t>
      </w:r>
      <w:r>
        <w:rPr>
          <w:rFonts w:hint="eastAsia"/>
        </w:rPr>
        <w:t>100</w:t>
      </w:r>
      <w:r>
        <w:rPr>
          <w:rFonts w:hint="eastAsia"/>
        </w:rPr>
        <w:t>万之间。</w:t>
      </w:r>
      <w:r>
        <w:rPr>
          <w:rFonts w:hint="eastAsia"/>
        </w:rPr>
        <w:t>1990</w:t>
      </w:r>
      <w:r>
        <w:rPr>
          <w:rFonts w:hint="eastAsia"/>
        </w:rPr>
        <w:t>年代人口出生率急剧下降，再加上向外移民趋向，造成本国劳动力大幅度减少，然而，居高不下的失业率表明，劳力需求量的平行下降幅度超过供应量的下降幅度。</w:t>
      </w:r>
    </w:p>
    <w:p w:rsidR="00000000" w:rsidRDefault="00000000">
      <w:pPr>
        <w:pStyle w:val="NormalIndent"/>
      </w:pPr>
      <w:r>
        <w:t xml:space="preserve">24.  </w:t>
      </w:r>
      <w:r>
        <w:rPr>
          <w:rFonts w:hint="eastAsia"/>
        </w:rPr>
        <w:t>1999</w:t>
      </w:r>
      <w:r>
        <w:rPr>
          <w:rFonts w:hint="eastAsia"/>
        </w:rPr>
        <w:t>年，经济活动人口为</w:t>
      </w:r>
      <w:r>
        <w:rPr>
          <w:rFonts w:hint="eastAsia"/>
          <w:sz w:val="20"/>
          <w:lang w:val="fr-CH"/>
        </w:rPr>
        <w:t>2,</w:t>
      </w:r>
      <w:r>
        <w:t>056,300,</w:t>
      </w:r>
      <w:r>
        <w:rPr>
          <w:rFonts w:hint="eastAsia"/>
        </w:rPr>
        <w:t>占总人口的</w:t>
      </w:r>
      <w:r>
        <w:t>39.5%(</w:t>
      </w:r>
      <w:r>
        <w:rPr>
          <w:rFonts w:hint="eastAsia"/>
        </w:rPr>
        <w:t>而</w:t>
      </w:r>
      <w:r>
        <w:rPr>
          <w:rFonts w:hint="eastAsia"/>
        </w:rPr>
        <w:t>1990</w:t>
      </w:r>
      <w:r>
        <w:rPr>
          <w:rFonts w:hint="eastAsia"/>
        </w:rPr>
        <w:t>年为</w:t>
      </w:r>
      <w:r>
        <w:t>50.6%</w:t>
      </w:r>
      <w:r>
        <w:rPr>
          <w:rFonts w:hint="eastAsia"/>
        </w:rPr>
        <w:t>)</w:t>
      </w:r>
      <w:r>
        <w:rPr>
          <w:rFonts w:hint="eastAsia"/>
        </w:rPr>
        <w:t>。在</w:t>
      </w:r>
      <w:r>
        <w:rPr>
          <w:rFonts w:hint="eastAsia"/>
        </w:rPr>
        <w:t>15</w:t>
      </w:r>
      <w:r>
        <w:rPr>
          <w:rFonts w:hint="eastAsia"/>
        </w:rPr>
        <w:t>岁以上</w:t>
      </w:r>
      <w:r>
        <w:rPr>
          <w:rFonts w:hint="eastAsia"/>
        </w:rPr>
        <w:t>(</w:t>
      </w:r>
      <w:r>
        <w:rPr>
          <w:rFonts w:hint="eastAsia"/>
        </w:rPr>
        <w:t>含</w:t>
      </w:r>
      <w:r>
        <w:rPr>
          <w:rFonts w:hint="eastAsia"/>
        </w:rPr>
        <w:t>)</w:t>
      </w:r>
      <w:r>
        <w:rPr>
          <w:rFonts w:hint="eastAsia"/>
        </w:rPr>
        <w:t>人口中，经济活动人口为</w:t>
      </w:r>
      <w:r>
        <w:rPr>
          <w:rFonts w:hint="eastAsia"/>
        </w:rPr>
        <w:t>67.5%</w:t>
      </w:r>
      <w:r>
        <w:rPr>
          <w:rFonts w:hint="eastAsia"/>
        </w:rPr>
        <w:t>。在经济活动人口中，从业人员为</w:t>
      </w:r>
      <w:r>
        <w:rPr>
          <w:rFonts w:hint="eastAsia"/>
          <w:sz w:val="20"/>
          <w:lang w:val="fr-CH"/>
        </w:rPr>
        <w:t>1,</w:t>
      </w:r>
      <w:r>
        <w:t>73</w:t>
      </w:r>
      <w:r>
        <w:rPr>
          <w:rFonts w:hint="eastAsia"/>
          <w:sz w:val="20"/>
          <w:lang w:val="fr-CH"/>
        </w:rPr>
        <w:t>2,</w:t>
      </w:r>
      <w:r>
        <w:t>600</w:t>
      </w:r>
      <w:r>
        <w:rPr>
          <w:rFonts w:hint="eastAsia"/>
        </w:rPr>
        <w:t>(84.2%</w:t>
      </w:r>
      <w:r>
        <w:t>)</w:t>
      </w:r>
      <w:r>
        <w:rPr>
          <w:rFonts w:hint="eastAsia"/>
        </w:rPr>
        <w:t>，失业人口为</w:t>
      </w:r>
      <w:r>
        <w:t>(-)323,800</w:t>
      </w:r>
      <w:r>
        <w:rPr>
          <w:rFonts w:hint="eastAsia"/>
        </w:rPr>
        <w:t>(13.8%)</w:t>
      </w:r>
      <w:r>
        <w:rPr>
          <w:rFonts w:hint="eastAsia"/>
        </w:rPr>
        <w:t>。按照劳工组织标准测算，本国的失业率为</w:t>
      </w:r>
      <w:r>
        <w:rPr>
          <w:rFonts w:hint="eastAsia"/>
        </w:rPr>
        <w:t>13.8%</w:t>
      </w:r>
      <w:r>
        <w:rPr>
          <w:rFonts w:hint="eastAsia"/>
        </w:rPr>
        <w:t>，而按照所谓的“软”标准测算，失业率是</w:t>
      </w:r>
      <w:r>
        <w:rPr>
          <w:rFonts w:hint="eastAsia"/>
        </w:rPr>
        <w:t>15.7%</w:t>
      </w:r>
      <w:r>
        <w:rPr>
          <w:rFonts w:hint="eastAsia"/>
        </w:rPr>
        <w:t>。与全国平均数对照，首都第比利斯失业率最高，为</w:t>
      </w:r>
      <w:r>
        <w:rPr>
          <w:rFonts w:hint="eastAsia"/>
        </w:rPr>
        <w:t>29.3%</w:t>
      </w:r>
      <w:r>
        <w:rPr>
          <w:rFonts w:hint="eastAsia"/>
        </w:rPr>
        <w:t>。</w:t>
      </w:r>
    </w:p>
    <w:p w:rsidR="00000000" w:rsidRDefault="00000000">
      <w:pPr>
        <w:pStyle w:val="NormalIndent"/>
      </w:pPr>
      <w:r>
        <w:t xml:space="preserve">25.  </w:t>
      </w:r>
      <w:r>
        <w:rPr>
          <w:rFonts w:hint="eastAsia"/>
        </w:rPr>
        <w:t>在从业人口中，工薪收入人员占</w:t>
      </w:r>
      <w:r>
        <w:rPr>
          <w:rFonts w:hint="eastAsia"/>
        </w:rPr>
        <w:t>42.2%</w:t>
      </w:r>
      <w:r>
        <w:rPr>
          <w:rFonts w:hint="eastAsia"/>
        </w:rPr>
        <w:t>，自营人员占</w:t>
      </w:r>
      <w:r>
        <w:rPr>
          <w:rFonts w:hint="eastAsia"/>
        </w:rPr>
        <w:t>57.8%</w:t>
      </w:r>
      <w:r>
        <w:rPr>
          <w:rFonts w:hint="eastAsia"/>
        </w:rPr>
        <w:t>。自营人员比例较高，是因为对于凡是拥有</w:t>
      </w:r>
      <w:r>
        <w:rPr>
          <w:rFonts w:hint="eastAsia"/>
        </w:rPr>
        <w:t>1</w:t>
      </w:r>
      <w:r>
        <w:rPr>
          <w:rFonts w:hint="eastAsia"/>
        </w:rPr>
        <w:t>公顷以上</w:t>
      </w:r>
      <w:r>
        <w:rPr>
          <w:rFonts w:hint="eastAsia"/>
        </w:rPr>
        <w:t>(</w:t>
      </w:r>
      <w:r>
        <w:rPr>
          <w:rFonts w:hint="eastAsia"/>
        </w:rPr>
        <w:t>含</w:t>
      </w:r>
      <w:r>
        <w:rPr>
          <w:rFonts w:hint="eastAsia"/>
        </w:rPr>
        <w:t>)</w:t>
      </w:r>
      <w:r>
        <w:rPr>
          <w:rFonts w:hint="eastAsia"/>
        </w:rPr>
        <w:t>土地的人，其有工作能力的家庭成员被视为有收入的从业人员，不论有关家庭是否在这块土地上耕作并取得任何收入。这一情况也说明了为何尽管城镇有收入的就业机会比农村多得多，但失业率</w:t>
      </w:r>
      <w:r>
        <w:rPr>
          <w:rFonts w:hint="eastAsia"/>
        </w:rPr>
        <w:t>(24.8%)</w:t>
      </w:r>
      <w:r>
        <w:rPr>
          <w:rFonts w:hint="eastAsia"/>
        </w:rPr>
        <w:t>却远高于农村。</w:t>
      </w:r>
    </w:p>
    <w:p w:rsidR="00000000" w:rsidRDefault="00000000">
      <w:pPr>
        <w:pStyle w:val="NormalIndent"/>
      </w:pPr>
      <w:r>
        <w:t xml:space="preserve">26.  </w:t>
      </w:r>
      <w:r>
        <w:rPr>
          <w:rFonts w:hint="eastAsia"/>
        </w:rPr>
        <w:t>还应当指出，</w:t>
      </w:r>
      <w:r>
        <w:rPr>
          <w:rFonts w:hint="eastAsia"/>
        </w:rPr>
        <w:t>63%</w:t>
      </w:r>
      <w:r>
        <w:rPr>
          <w:rFonts w:hint="eastAsia"/>
        </w:rPr>
        <w:t>的工薪收入人员在国有部门工作，由此可以看出私有部门在劳力市场上的份额仍然很少。</w:t>
      </w:r>
    </w:p>
    <w:p w:rsidR="00000000" w:rsidRDefault="00000000">
      <w:pPr>
        <w:pStyle w:val="NormalIndent"/>
      </w:pPr>
      <w:r>
        <w:t xml:space="preserve">27.  </w:t>
      </w:r>
      <w:r>
        <w:rPr>
          <w:rFonts w:hint="eastAsia"/>
        </w:rPr>
        <w:t>官方统计的男子失业率是</w:t>
      </w:r>
      <w:r>
        <w:rPr>
          <w:rFonts w:hint="eastAsia"/>
        </w:rPr>
        <w:t>15.3%</w:t>
      </w:r>
      <w:r>
        <w:rPr>
          <w:rFonts w:hint="eastAsia"/>
        </w:rPr>
        <w:t>，妇女失业率是</w:t>
      </w:r>
      <w:r>
        <w:rPr>
          <w:rFonts w:hint="eastAsia"/>
        </w:rPr>
        <w:t>12.1%</w:t>
      </w:r>
      <w:r>
        <w:rPr>
          <w:rFonts w:hint="eastAsia"/>
        </w:rPr>
        <w:t>。由此似乎可以认为妇女的就业指标高于男子，但实际并非如此。事实上，很大一部分妇女被视为在劳动力队伍之外：本国的经济非活动人口中，妇女两倍于男子。同时，很大一部分</w:t>
      </w:r>
      <w:r>
        <w:rPr>
          <w:rFonts w:hint="eastAsia"/>
          <w:spacing w:val="-40"/>
        </w:rPr>
        <w:t>——</w:t>
      </w:r>
      <w:r>
        <w:t xml:space="preserve"> 40.2%</w:t>
      </w:r>
      <w:r>
        <w:rPr>
          <w:rFonts w:hint="eastAsia"/>
        </w:rPr>
        <w:t xml:space="preserve"> </w:t>
      </w:r>
      <w:r>
        <w:rPr>
          <w:rFonts w:hint="eastAsia"/>
          <w:spacing w:val="-40"/>
        </w:rPr>
        <w:t>——</w:t>
      </w:r>
      <w:r>
        <w:t xml:space="preserve"> </w:t>
      </w:r>
      <w:r>
        <w:rPr>
          <w:rFonts w:hint="eastAsia"/>
        </w:rPr>
        <w:t>从业妇女实际上是在家庭农庄进行没有薪酬的工作，而男子的相应数字仅为</w:t>
      </w:r>
      <w:r>
        <w:rPr>
          <w:rFonts w:hint="eastAsia"/>
        </w:rPr>
        <w:t>21.4%</w:t>
      </w:r>
      <w:r>
        <w:rPr>
          <w:rFonts w:hint="eastAsia"/>
        </w:rPr>
        <w:t>。</w:t>
      </w:r>
    </w:p>
    <w:p w:rsidR="00000000" w:rsidRDefault="00000000">
      <w:pPr>
        <w:pStyle w:val="NormalIndent"/>
      </w:pPr>
      <w:r>
        <w:t xml:space="preserve">28.  </w:t>
      </w:r>
      <w:r>
        <w:rPr>
          <w:rFonts w:hint="eastAsia"/>
        </w:rPr>
        <w:t>就业方面的进一步统计材料见格鲁吉亚根据《消除一切形式种族歧视国际公约》提交的初步报告</w:t>
      </w:r>
      <w:r>
        <w:rPr>
          <w:rFonts w:hint="eastAsia"/>
        </w:rPr>
        <w:t>(</w:t>
      </w:r>
      <w:r>
        <w:rPr>
          <w:rFonts w:hint="eastAsia"/>
        </w:rPr>
        <w:t>第</w:t>
      </w:r>
      <w:r>
        <w:rPr>
          <w:rFonts w:hint="eastAsia"/>
        </w:rPr>
        <w:t>208</w:t>
      </w:r>
      <w:r>
        <w:rPr>
          <w:rFonts w:hint="eastAsia"/>
        </w:rPr>
        <w:t>至</w:t>
      </w:r>
      <w:r>
        <w:rPr>
          <w:rFonts w:hint="eastAsia"/>
        </w:rPr>
        <w:t>210</w:t>
      </w:r>
      <w:r>
        <w:rPr>
          <w:rFonts w:hint="eastAsia"/>
        </w:rPr>
        <w:t>段</w:t>
      </w:r>
      <w:r>
        <w:rPr>
          <w:rFonts w:hint="eastAsia"/>
        </w:rPr>
        <w:t>)</w:t>
      </w:r>
      <w:r>
        <w:rPr>
          <w:rFonts w:hint="eastAsia"/>
        </w:rPr>
        <w:t>。</w:t>
      </w:r>
    </w:p>
    <w:p w:rsidR="00000000" w:rsidRDefault="00000000">
      <w:pPr>
        <w:pStyle w:val="NormalIndent"/>
      </w:pPr>
      <w:r>
        <w:t xml:space="preserve">29.  </w:t>
      </w:r>
      <w:r>
        <w:rPr>
          <w:rFonts w:hint="eastAsia"/>
        </w:rPr>
        <w:t>按照年龄划分，失业率特别高的是</w:t>
      </w:r>
      <w:r>
        <w:rPr>
          <w:rFonts w:hint="eastAsia"/>
        </w:rPr>
        <w:t>20</w:t>
      </w:r>
      <w:r>
        <w:rPr>
          <w:rFonts w:hint="eastAsia"/>
        </w:rPr>
        <w:t>至</w:t>
      </w:r>
      <w:r>
        <w:rPr>
          <w:rFonts w:hint="eastAsia"/>
        </w:rPr>
        <w:t>25</w:t>
      </w:r>
      <w:r>
        <w:rPr>
          <w:rFonts w:hint="eastAsia"/>
        </w:rPr>
        <w:t>岁的青年</w:t>
      </w:r>
      <w:r>
        <w:rPr>
          <w:rFonts w:hint="eastAsia"/>
        </w:rPr>
        <w:t>(</w:t>
      </w:r>
      <w:r>
        <w:t>28.8%</w:t>
      </w:r>
      <w:r>
        <w:rPr>
          <w:rFonts w:hint="eastAsia"/>
        </w:rPr>
        <w:t>)</w:t>
      </w:r>
      <w:r>
        <w:rPr>
          <w:rFonts w:hint="eastAsia"/>
        </w:rPr>
        <w:t>和</w:t>
      </w:r>
      <w:r>
        <w:rPr>
          <w:rFonts w:hint="eastAsia"/>
        </w:rPr>
        <w:t>25</w:t>
      </w:r>
      <w:r>
        <w:rPr>
          <w:rFonts w:hint="eastAsia"/>
        </w:rPr>
        <w:t>至</w:t>
      </w:r>
      <w:r>
        <w:rPr>
          <w:rFonts w:hint="eastAsia"/>
        </w:rPr>
        <w:t>29</w:t>
      </w:r>
      <w:r>
        <w:rPr>
          <w:rFonts w:hint="eastAsia"/>
        </w:rPr>
        <w:t>岁的青年</w:t>
      </w:r>
      <w:r>
        <w:rPr>
          <w:rFonts w:hint="eastAsia"/>
        </w:rPr>
        <w:t>(22.5%)</w:t>
      </w:r>
      <w:r>
        <w:rPr>
          <w:rFonts w:hint="eastAsia"/>
        </w:rPr>
        <w:t>。在较高的年龄组中，失业率则低一些，这个现象可归因于两个因素。第一，与较高的年龄组相比，青年的活动程度略低，因为他们大多数还在接受某种形式的教育，因此就业是断续的，第二，就业市场上青年人受雇的可能性较有限，这除了其他原因之外，还因为他们越来越挑剔工作条件，并且也缺乏必要的生产和就业经验。</w:t>
      </w:r>
    </w:p>
    <w:p w:rsidR="00000000" w:rsidRDefault="00000000">
      <w:pPr>
        <w:pStyle w:val="NormalIndent"/>
      </w:pPr>
      <w:r>
        <w:t xml:space="preserve">30.  </w:t>
      </w:r>
      <w:r>
        <w:rPr>
          <w:rFonts w:hint="eastAsia"/>
        </w:rPr>
        <w:t>国家联合就业基金会的数据表明，截至</w:t>
      </w:r>
      <w:r>
        <w:rPr>
          <w:rFonts w:hint="eastAsia"/>
        </w:rPr>
        <w:t>2001</w:t>
      </w:r>
      <w:r>
        <w:rPr>
          <w:rFonts w:hint="eastAsia"/>
        </w:rPr>
        <w:t>年</w:t>
      </w:r>
      <w:r>
        <w:rPr>
          <w:rFonts w:hint="eastAsia"/>
        </w:rPr>
        <w:t>9</w:t>
      </w:r>
      <w:r>
        <w:rPr>
          <w:rFonts w:hint="eastAsia"/>
        </w:rPr>
        <w:t>月，正式登记的失业人数为</w:t>
      </w:r>
      <w:r>
        <w:rPr>
          <w:rFonts w:hint="eastAsia"/>
        </w:rPr>
        <w:t>113,800</w:t>
      </w:r>
      <w:r>
        <w:rPr>
          <w:rFonts w:hint="eastAsia"/>
        </w:rPr>
        <w:t>。</w:t>
      </w:r>
      <w:r>
        <w:rPr>
          <w:rFonts w:hint="eastAsia"/>
        </w:rPr>
        <w:t>2000</w:t>
      </w:r>
      <w:r>
        <w:rPr>
          <w:rFonts w:hint="eastAsia"/>
        </w:rPr>
        <w:t>年</w:t>
      </w:r>
      <w:r>
        <w:rPr>
          <w:rFonts w:hint="eastAsia"/>
        </w:rPr>
        <w:t>1</w:t>
      </w:r>
      <w:r>
        <w:rPr>
          <w:rFonts w:hint="eastAsia"/>
        </w:rPr>
        <w:t>月至</w:t>
      </w:r>
      <w:r>
        <w:rPr>
          <w:rFonts w:hint="eastAsia"/>
        </w:rPr>
        <w:t>9</w:t>
      </w:r>
      <w:r>
        <w:rPr>
          <w:rFonts w:hint="eastAsia"/>
        </w:rPr>
        <w:t>月期间，又有</w:t>
      </w:r>
      <w:r>
        <w:rPr>
          <w:rFonts w:hint="eastAsia"/>
        </w:rPr>
        <w:t>20,200</w:t>
      </w:r>
      <w:r>
        <w:rPr>
          <w:rFonts w:hint="eastAsia"/>
        </w:rPr>
        <w:t>人到该基金会的地方办事机构办理失业登记，同时有大约</w:t>
      </w:r>
      <w:r>
        <w:rPr>
          <w:rFonts w:hint="eastAsia"/>
        </w:rPr>
        <w:t>9,200</w:t>
      </w:r>
      <w:r>
        <w:rPr>
          <w:rFonts w:hint="eastAsia"/>
        </w:rPr>
        <w:t>人重新找到了工作。总共有</w:t>
      </w:r>
      <w:r>
        <w:t>550</w:t>
      </w:r>
      <w:r>
        <w:rPr>
          <w:rFonts w:hint="eastAsia"/>
        </w:rPr>
        <w:t>失业人员被分派接受职业培训。在这段时期找到工作的</w:t>
      </w:r>
      <w:r>
        <w:rPr>
          <w:rFonts w:hint="eastAsia"/>
        </w:rPr>
        <w:t>8,100</w:t>
      </w:r>
      <w:r>
        <w:rPr>
          <w:rFonts w:hint="eastAsia"/>
        </w:rPr>
        <w:t>人中，</w:t>
      </w:r>
      <w:r>
        <w:rPr>
          <w:rFonts w:hint="eastAsia"/>
        </w:rPr>
        <w:t>1,100</w:t>
      </w:r>
      <w:r>
        <w:rPr>
          <w:rFonts w:hint="eastAsia"/>
        </w:rPr>
        <w:t>人被分派从事社区临时工作。找到工作的人绝大多数是被服务业部门雇用的。</w:t>
      </w:r>
    </w:p>
    <w:p w:rsidR="00000000" w:rsidRDefault="00000000">
      <w:pPr>
        <w:pStyle w:val="NormalIndent"/>
      </w:pPr>
      <w:r>
        <w:t xml:space="preserve">31.  </w:t>
      </w:r>
      <w:r>
        <w:rPr>
          <w:rFonts w:hint="eastAsia"/>
        </w:rPr>
        <w:t>截至</w:t>
      </w:r>
      <w:r>
        <w:rPr>
          <w:rFonts w:hint="eastAsia"/>
        </w:rPr>
        <w:t>2000</w:t>
      </w:r>
      <w:r>
        <w:rPr>
          <w:rFonts w:hint="eastAsia"/>
        </w:rPr>
        <w:t>年</w:t>
      </w:r>
      <w:r>
        <w:rPr>
          <w:rFonts w:hint="eastAsia"/>
        </w:rPr>
        <w:t>9</w:t>
      </w:r>
      <w:r>
        <w:rPr>
          <w:rFonts w:hint="eastAsia"/>
        </w:rPr>
        <w:t>月，约有</w:t>
      </w:r>
      <w:r>
        <w:rPr>
          <w:rFonts w:hint="eastAsia"/>
        </w:rPr>
        <w:t>3,300</w:t>
      </w:r>
      <w:r>
        <w:rPr>
          <w:rFonts w:hint="eastAsia"/>
        </w:rPr>
        <w:t>失业者领取失业补助。在这段时期内，共计支付这类补助</w:t>
      </w:r>
      <w:r>
        <w:t>21</w:t>
      </w:r>
      <w:r>
        <w:rPr>
          <w:rFonts w:hint="eastAsia"/>
          <w:sz w:val="20"/>
          <w:lang w:val="fr-CH"/>
        </w:rPr>
        <w:t>2,</w:t>
      </w:r>
      <w:r>
        <w:t>000</w:t>
      </w:r>
      <w:r>
        <w:rPr>
          <w:rFonts w:hint="eastAsia"/>
        </w:rPr>
        <w:t>拉里。关于这个议题的资料还可以参看格鲁吉亚根据《消除一切形式种族歧视国际公约》提交的初步报告</w:t>
      </w:r>
      <w:r>
        <w:rPr>
          <w:rFonts w:hint="eastAsia"/>
        </w:rPr>
        <w:t>(</w:t>
      </w:r>
      <w:r>
        <w:rPr>
          <w:rFonts w:hint="eastAsia"/>
        </w:rPr>
        <w:t>第</w:t>
      </w:r>
      <w:r>
        <w:rPr>
          <w:rFonts w:hint="eastAsia"/>
        </w:rPr>
        <w:t>211</w:t>
      </w:r>
      <w:r>
        <w:rPr>
          <w:rFonts w:hint="eastAsia"/>
        </w:rPr>
        <w:t>至</w:t>
      </w:r>
      <w:r>
        <w:t>213</w:t>
      </w:r>
      <w:r>
        <w:rPr>
          <w:rFonts w:hint="eastAsia"/>
        </w:rPr>
        <w:t>段</w:t>
      </w:r>
      <w:r>
        <w:rPr>
          <w:rFonts w:hint="eastAsia"/>
        </w:rPr>
        <w:t>)</w:t>
      </w:r>
      <w:r>
        <w:rPr>
          <w:rFonts w:hint="eastAsia"/>
        </w:rPr>
        <w:t>。</w:t>
      </w:r>
    </w:p>
    <w:p w:rsidR="00000000" w:rsidRDefault="00000000">
      <w:pPr>
        <w:pStyle w:val="NormalIndent"/>
      </w:pPr>
      <w:r>
        <w:t>32.  1997</w:t>
      </w:r>
      <w:r>
        <w:rPr>
          <w:rFonts w:hint="eastAsia"/>
        </w:rPr>
        <w:t>至</w:t>
      </w:r>
      <w:r>
        <w:rPr>
          <w:rFonts w:hint="eastAsia"/>
        </w:rPr>
        <w:t>2000</w:t>
      </w:r>
      <w:r>
        <w:rPr>
          <w:rFonts w:hint="eastAsia"/>
        </w:rPr>
        <w:t>年期间，格鲁吉亚实行了一个社会福利和残疾照顾方面的政府方案。方案内容包括使用计算机对残疾人进行的普查，残疾人总数为</w:t>
      </w:r>
      <w:r>
        <w:rPr>
          <w:rFonts w:hint="eastAsia"/>
        </w:rPr>
        <w:t>200,000,</w:t>
      </w:r>
      <w:r>
        <w:rPr>
          <w:rFonts w:hint="eastAsia"/>
        </w:rPr>
        <w:t>其中</w:t>
      </w:r>
      <w:r>
        <w:rPr>
          <w:rFonts w:hint="eastAsia"/>
        </w:rPr>
        <w:t>30,000</w:t>
      </w:r>
      <w:r>
        <w:rPr>
          <w:rFonts w:hint="eastAsia"/>
        </w:rPr>
        <w:t>是儿童。在报告所涉时期内，</w:t>
      </w:r>
      <w:r>
        <w:t>277</w:t>
      </w:r>
      <w:r>
        <w:rPr>
          <w:rFonts w:hint="eastAsia"/>
        </w:rPr>
        <w:t>名残疾人在国内的残疾人培训中心接受了职业培训，其中约</w:t>
      </w:r>
      <w:r>
        <w:rPr>
          <w:rFonts w:hint="eastAsia"/>
        </w:rPr>
        <w:t>100</w:t>
      </w:r>
      <w:r>
        <w:rPr>
          <w:rFonts w:hint="eastAsia"/>
        </w:rPr>
        <w:t>人找到了工作。</w:t>
      </w:r>
    </w:p>
    <w:p w:rsidR="00000000" w:rsidRDefault="00000000">
      <w:pPr>
        <w:pStyle w:val="NormalIndent"/>
      </w:pPr>
      <w:r>
        <w:t xml:space="preserve">33.  </w:t>
      </w:r>
      <w:r>
        <w:rPr>
          <w:rFonts w:hint="eastAsia"/>
        </w:rPr>
        <w:t>在各种为残疾人创造就业机会的方案之下，为</w:t>
      </w:r>
      <w:r>
        <w:rPr>
          <w:rFonts w:hint="eastAsia"/>
        </w:rPr>
        <w:t>2001</w:t>
      </w:r>
      <w:r>
        <w:rPr>
          <w:rFonts w:hint="eastAsia"/>
        </w:rPr>
        <w:t>年划拨了总共</w:t>
      </w:r>
      <w:r>
        <w:rPr>
          <w:rFonts w:hint="eastAsia"/>
        </w:rPr>
        <w:t>100</w:t>
      </w:r>
      <w:r>
        <w:rPr>
          <w:rFonts w:hint="eastAsia"/>
        </w:rPr>
        <w:t>万拉里</w:t>
      </w:r>
      <w:r>
        <w:rPr>
          <w:rFonts w:hint="eastAsia"/>
        </w:rPr>
        <w:t>(1</w:t>
      </w:r>
      <w:r>
        <w:rPr>
          <w:rFonts w:hint="eastAsia"/>
        </w:rPr>
        <w:t>美元</w:t>
      </w:r>
      <w:r>
        <w:rPr>
          <w:rFonts w:hint="eastAsia"/>
        </w:rPr>
        <w:t>=2.08</w:t>
      </w:r>
      <w:r>
        <w:rPr>
          <w:rFonts w:hint="eastAsia"/>
        </w:rPr>
        <w:t>拉里</w:t>
      </w:r>
      <w:r>
        <w:rPr>
          <w:rFonts w:hint="eastAsia"/>
        </w:rPr>
        <w:t>)</w:t>
      </w:r>
      <w:r>
        <w:rPr>
          <w:rFonts w:hint="eastAsia"/>
        </w:rPr>
        <w:t>用于为残疾人创造长期和临时就业机会以及发展职业培训和进修。</w:t>
      </w:r>
    </w:p>
    <w:p w:rsidR="00000000" w:rsidRDefault="00000000">
      <w:pPr>
        <w:pStyle w:val="Heading4"/>
        <w:spacing w:before="320"/>
      </w:pPr>
      <w:r>
        <w:rPr>
          <w:rFonts w:hint="eastAsia"/>
        </w:rPr>
        <w:t>旨在促进最大限度就业的政策和措施</w:t>
      </w:r>
    </w:p>
    <w:p w:rsidR="00000000" w:rsidRDefault="00000000">
      <w:pPr>
        <w:pStyle w:val="NormalIndent"/>
      </w:pPr>
      <w:r>
        <w:t xml:space="preserve">34.  </w:t>
      </w:r>
      <w:r>
        <w:rPr>
          <w:rFonts w:hint="eastAsia"/>
        </w:rPr>
        <w:t>在</w:t>
      </w:r>
      <w:r>
        <w:rPr>
          <w:rFonts w:hint="eastAsia"/>
        </w:rPr>
        <w:t>1999</w:t>
      </w:r>
      <w:r>
        <w:rPr>
          <w:rFonts w:hint="eastAsia"/>
        </w:rPr>
        <w:t>年</w:t>
      </w:r>
      <w:r>
        <w:rPr>
          <w:rFonts w:hint="eastAsia"/>
        </w:rPr>
        <w:t>12</w:t>
      </w:r>
      <w:r>
        <w:rPr>
          <w:rFonts w:hint="eastAsia"/>
        </w:rPr>
        <w:t>月以前，格鲁吉亚负责制订和执行就业方面的国家政策的部是劳动和社会福利部。该部已与卫生部合并成为一个新的部，名称是劳动、卫生和社会福利部。该部的职能包括制订国家就业政策和监测执行情况。国家联合就业基金会是一个具有独立法律地位的机构，它的主要资金来源是从雇主所发的工资中一律收取的</w:t>
      </w:r>
      <w:r>
        <w:rPr>
          <w:rFonts w:hint="eastAsia"/>
        </w:rPr>
        <w:t>1%</w:t>
      </w:r>
      <w:r>
        <w:rPr>
          <w:rFonts w:hint="eastAsia"/>
        </w:rPr>
        <w:t>税费。</w:t>
      </w:r>
    </w:p>
    <w:p w:rsidR="00000000" w:rsidRDefault="00000000">
      <w:pPr>
        <w:pStyle w:val="NormalIndent"/>
      </w:pPr>
      <w:r>
        <w:t xml:space="preserve">35.  </w:t>
      </w:r>
      <w:r>
        <w:rPr>
          <w:rFonts w:hint="eastAsia"/>
        </w:rPr>
        <w:t>虽然该基金会的职能按照当前的立法仅涉及国家就业政策之下的融资措施，但事实上只有该基金会实际执行这些措施。在过去六个月中，劳动、卫生和社会福利部拟出了一系列旨在确保充分和生产性就业的法规，其中包括：</w:t>
      </w:r>
    </w:p>
    <w:p w:rsidR="00000000" w:rsidRDefault="00000000">
      <w:pPr>
        <w:pStyle w:val="NormalIndent"/>
        <w:numPr>
          <w:ilvl w:val="0"/>
          <w:numId w:val="27"/>
        </w:numPr>
        <w:tabs>
          <w:tab w:val="clear" w:pos="1740"/>
          <w:tab w:val="num" w:pos="1480"/>
        </w:tabs>
        <w:ind w:left="1480"/>
      </w:pPr>
      <w:r>
        <w:rPr>
          <w:rFonts w:hint="eastAsia"/>
        </w:rPr>
        <w:t>国家就业政策大纲；</w:t>
      </w:r>
    </w:p>
    <w:p w:rsidR="00000000" w:rsidRDefault="00000000">
      <w:pPr>
        <w:pStyle w:val="NormalIndent"/>
        <w:numPr>
          <w:ilvl w:val="0"/>
          <w:numId w:val="27"/>
        </w:numPr>
        <w:tabs>
          <w:tab w:val="clear" w:pos="1740"/>
          <w:tab w:val="num" w:pos="1480"/>
        </w:tabs>
        <w:ind w:left="1480"/>
      </w:pPr>
      <w:r>
        <w:rPr>
          <w:rFonts w:ascii="SimSun" w:hAnsi="SimSun"/>
        </w:rPr>
        <w:t>就业</w:t>
      </w:r>
      <w:r>
        <w:rPr>
          <w:rFonts w:ascii="SimSun" w:hAnsi="SimSun" w:hint="eastAsia"/>
        </w:rPr>
        <w:t>法案</w:t>
      </w:r>
      <w:r>
        <w:rPr>
          <w:rFonts w:ascii="SimSun" w:hAnsi="SimSun"/>
        </w:rPr>
        <w:t>；</w:t>
      </w:r>
    </w:p>
    <w:p w:rsidR="00000000" w:rsidRDefault="00000000">
      <w:pPr>
        <w:pStyle w:val="NormalIndent"/>
        <w:numPr>
          <w:ilvl w:val="0"/>
          <w:numId w:val="27"/>
        </w:numPr>
        <w:tabs>
          <w:tab w:val="clear" w:pos="1740"/>
          <w:tab w:val="num" w:pos="1480"/>
        </w:tabs>
        <w:ind w:left="1480"/>
        <w:rPr>
          <w:rFonts w:hint="eastAsia"/>
        </w:rPr>
      </w:pPr>
      <w:r>
        <w:rPr>
          <w:rFonts w:ascii="SimSun" w:hAnsi="SimSun"/>
        </w:rPr>
        <w:t>国家失业义务保险</w:t>
      </w:r>
      <w:r>
        <w:rPr>
          <w:rFonts w:ascii="SimSun" w:hAnsi="SimSun" w:hint="eastAsia"/>
        </w:rPr>
        <w:t>法案</w:t>
      </w:r>
      <w:r>
        <w:rPr>
          <w:rFonts w:ascii="SimSun" w:hAnsi="SimSun"/>
        </w:rPr>
        <w:t>；</w:t>
      </w:r>
    </w:p>
    <w:p w:rsidR="00000000" w:rsidRDefault="00000000">
      <w:pPr>
        <w:pStyle w:val="NormalIndent"/>
        <w:numPr>
          <w:ilvl w:val="0"/>
          <w:numId w:val="27"/>
        </w:numPr>
        <w:tabs>
          <w:tab w:val="clear" w:pos="1740"/>
          <w:tab w:val="num" w:pos="1480"/>
        </w:tabs>
        <w:ind w:left="1480"/>
      </w:pPr>
      <w:r>
        <w:rPr>
          <w:rFonts w:ascii="SimSun" w:hAnsi="SimSun"/>
        </w:rPr>
        <w:t>经济移民法案；</w:t>
      </w:r>
    </w:p>
    <w:p w:rsidR="00000000" w:rsidRDefault="00000000">
      <w:pPr>
        <w:pStyle w:val="NormalIndent"/>
        <w:numPr>
          <w:ilvl w:val="0"/>
          <w:numId w:val="27"/>
        </w:numPr>
        <w:tabs>
          <w:tab w:val="clear" w:pos="1740"/>
          <w:tab w:val="num" w:pos="1480"/>
        </w:tabs>
        <w:ind w:left="1480"/>
      </w:pPr>
      <w:r>
        <w:rPr>
          <w:rFonts w:ascii="SimSun" w:hAnsi="SimSun"/>
        </w:rPr>
        <w:t>社区工作组织规章；</w:t>
      </w:r>
    </w:p>
    <w:p w:rsidR="00000000" w:rsidRDefault="00000000">
      <w:pPr>
        <w:pStyle w:val="NormalIndent"/>
        <w:numPr>
          <w:ilvl w:val="0"/>
          <w:numId w:val="27"/>
        </w:numPr>
        <w:tabs>
          <w:tab w:val="clear" w:pos="1740"/>
          <w:tab w:val="num" w:pos="1480"/>
        </w:tabs>
        <w:ind w:left="1480"/>
      </w:pPr>
      <w:r>
        <w:rPr>
          <w:rFonts w:ascii="SimSun" w:hAnsi="SimSun"/>
        </w:rPr>
        <w:t>预防失业措施实施程序。</w:t>
      </w:r>
    </w:p>
    <w:p w:rsidR="00000000" w:rsidRDefault="00000000">
      <w:pPr>
        <w:pStyle w:val="NormalIndent"/>
      </w:pPr>
      <w:r>
        <w:t xml:space="preserve">36.  </w:t>
      </w:r>
      <w:r>
        <w:rPr>
          <w:rFonts w:hint="eastAsia"/>
        </w:rPr>
        <w:t>起草以上法规和其他规章，是为了填补就业领域仍然存在的立法上的空白。一项特别重要的发展是，议会于</w:t>
      </w:r>
      <w:r>
        <w:rPr>
          <w:rFonts w:hint="eastAsia"/>
        </w:rPr>
        <w:t>1997</w:t>
      </w:r>
      <w:r>
        <w:rPr>
          <w:rFonts w:hint="eastAsia"/>
        </w:rPr>
        <w:t>年通过一项更为积极的《社会发展蓝图》之后，在就业问题上的方针发生了巨大的变化。</w:t>
      </w:r>
    </w:p>
    <w:p w:rsidR="00000000" w:rsidRDefault="00000000">
      <w:pPr>
        <w:pStyle w:val="NormalIndent"/>
      </w:pPr>
      <w:r>
        <w:t xml:space="preserve">37. </w:t>
      </w:r>
      <w:r>
        <w:rPr>
          <w:rFonts w:hint="eastAsia"/>
        </w:rPr>
        <w:t>在本国当前所处的发展阶段，国家就业政策着眼于建立能够真正促进就业的机制。同时，通过职业介绍机构积极促进就业的重点绝不意味着排除为失业者提供社会福利，也不意味着在就业领域采取消极被动的政策。</w:t>
      </w:r>
    </w:p>
    <w:p w:rsidR="00000000" w:rsidRDefault="00000000">
      <w:pPr>
        <w:pStyle w:val="NormalIndent"/>
      </w:pPr>
      <w:r>
        <w:t xml:space="preserve">38.  </w:t>
      </w:r>
      <w:r>
        <w:rPr>
          <w:rFonts w:hint="eastAsia"/>
        </w:rPr>
        <w:t>积极的就业政策需要采取措施创造性的就业机会和保障已有的就业机会，并促进更多的有效就业。为实现这个目标而采取的措施之一，是为中小企业和家庭企业的发展提供资助，尤其是提供补贴、担保和贷款。将主要在失业率高于全国平均的地区提供这种类型的支持。在重点开发地区，除了上述措施外，还要为人口中在就业市场竞争方面有困难的阶层落实就业安排措施，例如，目前正在特别注意为本国高山地区的人口创造就业机会。</w:t>
      </w:r>
    </w:p>
    <w:p w:rsidR="00000000" w:rsidRDefault="00000000">
      <w:pPr>
        <w:pStyle w:val="NormalIndent"/>
      </w:pPr>
      <w:r>
        <w:t xml:space="preserve">39.  </w:t>
      </w:r>
      <w:r>
        <w:rPr>
          <w:rFonts w:hint="eastAsia"/>
        </w:rPr>
        <w:t>与职业培训和确保寻找工作的人具备必要资格有关的问题也十分重要。按照劳工组织的建议，新的就业法案规定要实行一项失业人员职业培训补助制度。</w:t>
      </w:r>
    </w:p>
    <w:p w:rsidR="00000000" w:rsidRDefault="00000000">
      <w:pPr>
        <w:pStyle w:val="NormalIndent"/>
      </w:pPr>
      <w:r>
        <w:t xml:space="preserve">40.  </w:t>
      </w:r>
      <w:r>
        <w:rPr>
          <w:rFonts w:hint="eastAsia"/>
        </w:rPr>
        <w:t>总体而言，本国的积极就业政策之下开展一系列国家一级和地区一级的方案以及专项方案。目前已经根据议会通过的《社会发展蓝图》起草了全国就业方案。在方案制定过程中利用了一系列统计材料，其中既包括经验数据，也包括理论数据</w:t>
      </w:r>
      <w:r>
        <w:rPr>
          <w:rFonts w:hint="eastAsia"/>
        </w:rPr>
        <w:t>(</w:t>
      </w:r>
      <w:r>
        <w:rPr>
          <w:rFonts w:hint="eastAsia"/>
        </w:rPr>
        <w:t>估计数据</w:t>
      </w:r>
      <w:r>
        <w:rPr>
          <w:rFonts w:hint="eastAsia"/>
        </w:rPr>
        <w:t>)</w:t>
      </w:r>
      <w:r>
        <w:rPr>
          <w:rFonts w:hint="eastAsia"/>
        </w:rPr>
        <w:t>。主要的问题时，到目前为止，还没有对格鲁吉亚的劳力市场进行透彻的研究。现已安排</w:t>
      </w:r>
      <w:r>
        <w:rPr>
          <w:rFonts w:hint="eastAsia"/>
        </w:rPr>
        <w:t>2001</w:t>
      </w:r>
      <w:r>
        <w:rPr>
          <w:rFonts w:hint="eastAsia"/>
        </w:rPr>
        <w:t>年在世界银行和劳工组织支持下进行一次这样的研究。将根据研究结果修订国家就业政策的某些参数，以确保加强方案重点。</w:t>
      </w:r>
    </w:p>
    <w:p w:rsidR="00000000" w:rsidRDefault="00000000">
      <w:pPr>
        <w:pStyle w:val="NormalIndent"/>
      </w:pPr>
      <w:r>
        <w:t xml:space="preserve">41.  </w:t>
      </w:r>
      <w:r>
        <w:rPr>
          <w:rFonts w:hint="eastAsia"/>
        </w:rPr>
        <w:t>私营就业服务机构与国家机构合作，可以为寻找工作的人提供很重要的协助。新的就业法将首次为这种类型的私营机构的工作提供一个法律框架。</w:t>
      </w:r>
    </w:p>
    <w:p w:rsidR="00000000" w:rsidRDefault="00000000">
      <w:pPr>
        <w:pStyle w:val="NormalIndent"/>
      </w:pPr>
      <w:r>
        <w:t xml:space="preserve">42.  </w:t>
      </w:r>
      <w:r>
        <w:rPr>
          <w:rFonts w:hint="eastAsia"/>
        </w:rPr>
        <w:t>将设立一个具有政府法律实体地位的国家就业服务部门，以此促进通过新的就业法贯彻执行国家就业政策。这个部门将按照劳工组织第</w:t>
      </w:r>
      <w:r>
        <w:rPr>
          <w:rFonts w:hint="eastAsia"/>
        </w:rPr>
        <w:t>88</w:t>
      </w:r>
      <w:r>
        <w:rPr>
          <w:rFonts w:hint="eastAsia"/>
        </w:rPr>
        <w:t>号公约的要求作为一个综合性的、有效的系统履行职能。</w:t>
      </w:r>
    </w:p>
    <w:p w:rsidR="00000000" w:rsidRDefault="00000000">
      <w:pPr>
        <w:pStyle w:val="Heading4"/>
        <w:spacing w:before="320"/>
      </w:pPr>
      <w:r>
        <w:rPr>
          <w:rFonts w:hint="eastAsia"/>
        </w:rPr>
        <w:t>自由选择工作；符合公民政治和经济权利的工作条件</w:t>
      </w:r>
    </w:p>
    <w:p w:rsidR="00000000" w:rsidRDefault="00000000">
      <w:pPr>
        <w:pStyle w:val="NormalIndent"/>
      </w:pPr>
      <w:r>
        <w:t xml:space="preserve">43.  </w:t>
      </w:r>
      <w:r>
        <w:rPr>
          <w:rFonts w:hint="eastAsia"/>
        </w:rPr>
        <w:t>关于工作自由的宪法保障和管理这一领域的一般立法框架的材料，请参看初步报告第</w:t>
      </w:r>
      <w:r>
        <w:t>35</w:t>
      </w:r>
      <w:r>
        <w:rPr>
          <w:rFonts w:hint="eastAsia"/>
        </w:rPr>
        <w:t>和</w:t>
      </w:r>
      <w:r>
        <w:t>36</w:t>
      </w:r>
      <w:r>
        <w:rPr>
          <w:rFonts w:hint="eastAsia"/>
        </w:rPr>
        <w:t>段。</w:t>
      </w:r>
    </w:p>
    <w:p w:rsidR="00000000" w:rsidRDefault="00000000">
      <w:pPr>
        <w:pStyle w:val="NormalIndent"/>
      </w:pPr>
      <w:r>
        <w:t xml:space="preserve">44.  </w:t>
      </w:r>
      <w:r>
        <w:rPr>
          <w:rFonts w:hint="eastAsia"/>
        </w:rPr>
        <w:t>此外，应当指出，现行的《就业法》体现了格鲁吉亚公民自由选择工作的权利：可以通过同任何所有制形式的企业或组织的直接安排接受雇用，也可以通过国营职业介绍部门找到工作</w:t>
      </w:r>
      <w:r>
        <w:rPr>
          <w:rFonts w:hint="eastAsia"/>
        </w:rPr>
        <w:t>(</w:t>
      </w:r>
      <w:r>
        <w:rPr>
          <w:rFonts w:hint="eastAsia"/>
        </w:rPr>
        <w:t>第</w:t>
      </w:r>
      <w:r>
        <w:t>8</w:t>
      </w:r>
      <w:r>
        <w:rPr>
          <w:rFonts w:hint="eastAsia"/>
        </w:rPr>
        <w:t>条</w:t>
      </w:r>
      <w:r>
        <w:rPr>
          <w:rFonts w:hint="eastAsia"/>
        </w:rPr>
        <w:t>)</w:t>
      </w:r>
      <w:r>
        <w:rPr>
          <w:rFonts w:hint="eastAsia"/>
        </w:rPr>
        <w:t>。国家保障失业人员的下列权利：</w:t>
      </w:r>
    </w:p>
    <w:p w:rsidR="00000000" w:rsidRDefault="00000000">
      <w:pPr>
        <w:pStyle w:val="NormalIndent"/>
        <w:numPr>
          <w:ilvl w:val="0"/>
          <w:numId w:val="28"/>
        </w:numPr>
        <w:tabs>
          <w:tab w:val="clear" w:pos="1740"/>
          <w:tab w:val="num" w:pos="1480"/>
        </w:tabs>
        <w:ind w:left="1480"/>
      </w:pPr>
      <w:r>
        <w:rPr>
          <w:rFonts w:hint="eastAsia"/>
        </w:rPr>
        <w:t>免费职业培训和再培训；</w:t>
      </w:r>
    </w:p>
    <w:p w:rsidR="00000000" w:rsidRDefault="00000000">
      <w:pPr>
        <w:pStyle w:val="NormalIndent"/>
        <w:numPr>
          <w:ilvl w:val="0"/>
          <w:numId w:val="28"/>
        </w:numPr>
        <w:tabs>
          <w:tab w:val="clear" w:pos="1740"/>
          <w:tab w:val="num" w:pos="1480"/>
        </w:tabs>
        <w:ind w:left="1480"/>
      </w:pPr>
      <w:r>
        <w:rPr>
          <w:rFonts w:ascii="SimSun" w:hAnsi="SimSun"/>
        </w:rPr>
        <w:t>自由选择工作或活动类型；</w:t>
      </w:r>
    </w:p>
    <w:p w:rsidR="00000000" w:rsidRDefault="00000000">
      <w:pPr>
        <w:pStyle w:val="NormalIndent"/>
        <w:numPr>
          <w:ilvl w:val="0"/>
          <w:numId w:val="28"/>
        </w:numPr>
        <w:tabs>
          <w:tab w:val="clear" w:pos="1740"/>
          <w:tab w:val="num" w:pos="1480"/>
        </w:tabs>
        <w:ind w:left="1480"/>
      </w:pPr>
      <w:r>
        <w:rPr>
          <w:rFonts w:hint="eastAsia"/>
        </w:rPr>
        <w:t>在寻找就业机会方面得到免费援助</w:t>
      </w:r>
      <w:r>
        <w:rPr>
          <w:rFonts w:hint="eastAsia"/>
        </w:rPr>
        <w:t>(</w:t>
      </w:r>
      <w:r>
        <w:rPr>
          <w:rFonts w:hint="eastAsia"/>
        </w:rPr>
        <w:t>第</w:t>
      </w:r>
      <w:r>
        <w:t>5</w:t>
      </w:r>
      <w:r>
        <w:rPr>
          <w:rFonts w:hint="eastAsia"/>
        </w:rPr>
        <w:t>条</w:t>
      </w:r>
      <w:r>
        <w:rPr>
          <w:rFonts w:hint="eastAsia"/>
        </w:rPr>
        <w:t>)</w:t>
      </w:r>
      <w:r>
        <w:rPr>
          <w:rFonts w:hint="eastAsia"/>
        </w:rPr>
        <w:t>。</w:t>
      </w:r>
    </w:p>
    <w:p w:rsidR="00000000" w:rsidRDefault="00000000">
      <w:pPr>
        <w:pStyle w:val="NormalIndent"/>
      </w:pPr>
      <w:r>
        <w:t xml:space="preserve">45.  </w:t>
      </w:r>
      <w:r>
        <w:rPr>
          <w:rFonts w:hint="eastAsia"/>
        </w:rPr>
        <w:t>此外，《就业法》规定雇主有义务协助失业人员找到工作，措施如下：</w:t>
      </w:r>
    </w:p>
    <w:p w:rsidR="00000000" w:rsidRDefault="00000000">
      <w:pPr>
        <w:pStyle w:val="NormalIndent"/>
        <w:numPr>
          <w:ilvl w:val="0"/>
          <w:numId w:val="29"/>
        </w:numPr>
        <w:tabs>
          <w:tab w:val="clear" w:pos="1740"/>
          <w:tab w:val="num" w:pos="1480"/>
        </w:tabs>
        <w:ind w:left="1480"/>
      </w:pPr>
      <w:r>
        <w:rPr>
          <w:rFonts w:hint="eastAsia"/>
        </w:rPr>
        <w:t>按照劳资立法起草规定劳资关系的雇用协议</w:t>
      </w:r>
      <w:r>
        <w:rPr>
          <w:rFonts w:hint="eastAsia"/>
        </w:rPr>
        <w:t>(</w:t>
      </w:r>
      <w:r>
        <w:rPr>
          <w:rFonts w:hint="eastAsia"/>
        </w:rPr>
        <w:t>合同</w:t>
      </w:r>
      <w:r>
        <w:rPr>
          <w:rFonts w:hint="eastAsia"/>
        </w:rPr>
        <w:t>)</w:t>
      </w:r>
      <w:r>
        <w:rPr>
          <w:rFonts w:hint="eastAsia"/>
        </w:rPr>
        <w:t>；</w:t>
      </w:r>
    </w:p>
    <w:p w:rsidR="00000000" w:rsidRDefault="00000000">
      <w:pPr>
        <w:pStyle w:val="NormalIndent"/>
        <w:numPr>
          <w:ilvl w:val="0"/>
          <w:numId w:val="29"/>
        </w:numPr>
        <w:tabs>
          <w:tab w:val="clear" w:pos="1740"/>
          <w:tab w:val="num" w:pos="1480"/>
        </w:tabs>
        <w:ind w:left="1480"/>
      </w:pPr>
      <w:r>
        <w:rPr>
          <w:rFonts w:ascii="SimSun" w:hAnsi="SimSun"/>
        </w:rPr>
        <w:t>为雇员培训、再培训和进修创造必要条件(第14条)。</w:t>
      </w:r>
    </w:p>
    <w:p w:rsidR="00000000" w:rsidRDefault="00000000">
      <w:pPr>
        <w:pStyle w:val="NormalIndent"/>
      </w:pPr>
      <w:r>
        <w:t xml:space="preserve">46.  </w:t>
      </w:r>
      <w:r>
        <w:rPr>
          <w:rFonts w:hint="eastAsia"/>
        </w:rPr>
        <w:t>与工作条件、薪酬、工时和休息、个人劳资纠纷、雇用和解雇程序等等有关的问题在《劳资法规》均做了规定。通过这样的规定，尽可能设法避免在司法和行政工作中发生任何类型的歧视，并确保在劳动和就业领域遵守公正和公民平等原则。</w:t>
      </w:r>
    </w:p>
    <w:p w:rsidR="00000000" w:rsidRDefault="00000000">
      <w:pPr>
        <w:pStyle w:val="Heading4"/>
        <w:spacing w:before="320"/>
      </w:pPr>
      <w:r>
        <w:rPr>
          <w:rFonts w:hint="eastAsia"/>
        </w:rPr>
        <w:t>失业人员职业培训和技术培训方案</w:t>
      </w:r>
    </w:p>
    <w:p w:rsidR="00000000" w:rsidRDefault="00000000">
      <w:pPr>
        <w:pStyle w:val="NormalIndent"/>
      </w:pPr>
      <w:r>
        <w:t xml:space="preserve">47.  </w:t>
      </w:r>
      <w:r>
        <w:rPr>
          <w:rFonts w:hint="eastAsia"/>
        </w:rPr>
        <w:t>2000</w:t>
      </w:r>
      <w:r>
        <w:rPr>
          <w:rFonts w:hint="eastAsia"/>
        </w:rPr>
        <w:t>年，在国家就业保障方案之下，开展了</w:t>
      </w:r>
      <w:r>
        <w:rPr>
          <w:rFonts w:hint="eastAsia"/>
        </w:rPr>
        <w:t>44</w:t>
      </w:r>
      <w:r>
        <w:rPr>
          <w:rFonts w:hint="eastAsia"/>
        </w:rPr>
        <w:t>个职业培训和再培训项目，总计经费</w:t>
      </w:r>
      <w:r>
        <w:rPr>
          <w:rFonts w:hint="eastAsia"/>
        </w:rPr>
        <w:t>324,300</w:t>
      </w:r>
      <w:r>
        <w:rPr>
          <w:rFonts w:hint="eastAsia"/>
        </w:rPr>
        <w:t>拉里。</w:t>
      </w:r>
    </w:p>
    <w:p w:rsidR="00000000" w:rsidRDefault="00000000">
      <w:pPr>
        <w:pStyle w:val="NormalIndent"/>
      </w:pPr>
      <w:r>
        <w:t xml:space="preserve">48.  </w:t>
      </w:r>
      <w:r>
        <w:rPr>
          <w:rFonts w:hint="eastAsia"/>
        </w:rPr>
        <w:t>2000</w:t>
      </w:r>
      <w:r>
        <w:rPr>
          <w:rFonts w:hint="eastAsia"/>
        </w:rPr>
        <w:t>年接受再培训的总人数比</w:t>
      </w:r>
      <w:r>
        <w:rPr>
          <w:rFonts w:hint="eastAsia"/>
        </w:rPr>
        <w:t>1999</w:t>
      </w:r>
      <w:r>
        <w:rPr>
          <w:rFonts w:hint="eastAsia"/>
        </w:rPr>
        <w:t>年多一倍多。失业人员的再培训费用为人均</w:t>
      </w:r>
      <w:r>
        <w:rPr>
          <w:rFonts w:hint="eastAsia"/>
        </w:rPr>
        <w:t>102</w:t>
      </w:r>
      <w:r>
        <w:rPr>
          <w:rFonts w:hint="eastAsia"/>
        </w:rPr>
        <w:t>拉里，比上一年少</w:t>
      </w:r>
      <w:r>
        <w:t>2</w:t>
      </w:r>
      <w:r>
        <w:rPr>
          <w:rFonts w:hint="eastAsia"/>
        </w:rPr>
        <w:t>.7</w:t>
      </w:r>
      <w:r>
        <w:rPr>
          <w:rFonts w:hint="eastAsia"/>
        </w:rPr>
        <w:t>倍。</w:t>
      </w:r>
      <w:r>
        <w:rPr>
          <w:rFonts w:hint="eastAsia"/>
        </w:rPr>
        <w:t>1999</w:t>
      </w:r>
      <w:r>
        <w:rPr>
          <w:rFonts w:hint="eastAsia"/>
        </w:rPr>
        <w:t>年，用于为失业人员提供再培训的预算开支为</w:t>
      </w:r>
      <w:r>
        <w:rPr>
          <w:rFonts w:hint="eastAsia"/>
        </w:rPr>
        <w:t>520,700</w:t>
      </w:r>
      <w:r>
        <w:rPr>
          <w:rFonts w:hint="eastAsia"/>
        </w:rPr>
        <w:t>拉里，接受再培训的失业人员总人数为</w:t>
      </w:r>
      <w:r>
        <w:t>1,376</w:t>
      </w:r>
      <w:r>
        <w:rPr>
          <w:rFonts w:hint="eastAsia"/>
        </w:rPr>
        <w:t>：换言之，这些失业人员人均</w:t>
      </w:r>
      <w:r>
        <w:rPr>
          <w:rFonts w:hint="eastAsia"/>
        </w:rPr>
        <w:t>380</w:t>
      </w:r>
      <w:r>
        <w:rPr>
          <w:rFonts w:hint="eastAsia"/>
        </w:rPr>
        <w:t>拉里。考虑到其中只有</w:t>
      </w:r>
      <w:r>
        <w:rPr>
          <w:rFonts w:hint="eastAsia"/>
        </w:rPr>
        <w:t>534</w:t>
      </w:r>
      <w:r>
        <w:rPr>
          <w:rFonts w:hint="eastAsia"/>
        </w:rPr>
        <w:t>人最终实际取得了证书，这意味着国家为培训一个合格的失业人员需要花费</w:t>
      </w:r>
      <w:r>
        <w:rPr>
          <w:rFonts w:hint="eastAsia"/>
        </w:rPr>
        <w:t>975</w:t>
      </w:r>
      <w:r>
        <w:rPr>
          <w:rFonts w:hint="eastAsia"/>
        </w:rPr>
        <w:t>拉里。</w:t>
      </w:r>
    </w:p>
    <w:p w:rsidR="00000000" w:rsidRDefault="00000000">
      <w:pPr>
        <w:pStyle w:val="NormalIndent"/>
      </w:pPr>
      <w:r>
        <w:t xml:space="preserve">49.  </w:t>
      </w:r>
      <w:r>
        <w:rPr>
          <w:rFonts w:hint="eastAsia"/>
        </w:rPr>
        <w:t>因此，现已确定从</w:t>
      </w:r>
      <w:r>
        <w:rPr>
          <w:rFonts w:hint="eastAsia"/>
        </w:rPr>
        <w:t>2000</w:t>
      </w:r>
      <w:r>
        <w:rPr>
          <w:rFonts w:hint="eastAsia"/>
        </w:rPr>
        <w:t>年开始进行失业人员职业培训开支的优化调整。在与教育机构起草相关的协议时，主要的注意重点首先是课程质量，其次是资格证书授予办法。</w:t>
      </w:r>
    </w:p>
    <w:p w:rsidR="00000000" w:rsidRDefault="00000000">
      <w:pPr>
        <w:pStyle w:val="Heading4"/>
        <w:spacing w:before="320"/>
      </w:pPr>
      <w:r>
        <w:rPr>
          <w:rFonts w:hint="eastAsia"/>
        </w:rPr>
        <w:t>就业方面的问题和解决措施</w:t>
      </w:r>
    </w:p>
    <w:p w:rsidR="00000000" w:rsidRDefault="00000000">
      <w:pPr>
        <w:pStyle w:val="NormalIndent"/>
      </w:pPr>
      <w:r>
        <w:t xml:space="preserve">50.  </w:t>
      </w:r>
      <w:r>
        <w:rPr>
          <w:rFonts w:hint="eastAsia"/>
        </w:rPr>
        <w:t>关于经济、社会、文化权利委员会就最低工资和一般而言的工资及时支付问题所提出的第</w:t>
      </w:r>
      <w:r>
        <w:rPr>
          <w:rFonts w:hint="eastAsia"/>
        </w:rPr>
        <w:t>23</w:t>
      </w:r>
      <w:r>
        <w:rPr>
          <w:rFonts w:hint="eastAsia"/>
        </w:rPr>
        <w:t>和</w:t>
      </w:r>
      <w:r>
        <w:rPr>
          <w:rFonts w:hint="eastAsia"/>
        </w:rPr>
        <w:t>24</w:t>
      </w:r>
      <w:r>
        <w:rPr>
          <w:rFonts w:hint="eastAsia"/>
        </w:rPr>
        <w:t>号意见，应当提及下列因素。</w:t>
      </w:r>
    </w:p>
    <w:p w:rsidR="00000000" w:rsidRDefault="00000000">
      <w:pPr>
        <w:pStyle w:val="NormalIndent"/>
      </w:pPr>
      <w:r>
        <w:t xml:space="preserve">51.  </w:t>
      </w:r>
      <w:r>
        <w:rPr>
          <w:rFonts w:hint="eastAsia"/>
        </w:rPr>
        <w:t>有保障的生产性就业取决于能否恰当从事相应的工作，按照《就业法》，职业介绍部门要负责为失业人员找到这种相应的工作。根据《劳资法规》</w:t>
      </w:r>
      <w:r>
        <w:rPr>
          <w:rFonts w:hint="eastAsia"/>
        </w:rPr>
        <w:t>(</w:t>
      </w:r>
      <w:r>
        <w:rPr>
          <w:rFonts w:hint="eastAsia"/>
        </w:rPr>
        <w:t>第</w:t>
      </w:r>
      <w:r>
        <w:t>2</w:t>
      </w:r>
      <w:r>
        <w:rPr>
          <w:rFonts w:hint="eastAsia"/>
        </w:rPr>
        <w:t>条</w:t>
      </w:r>
      <w:r>
        <w:rPr>
          <w:rFonts w:hint="eastAsia"/>
        </w:rPr>
        <w:t>)</w:t>
      </w:r>
      <w:r>
        <w:rPr>
          <w:rFonts w:hint="eastAsia"/>
        </w:rPr>
        <w:t>，雇员有权得到与其工作数量和质量对应的薪酬，但无论如何不得少于法定维持生活所需的最低水平。</w:t>
      </w:r>
    </w:p>
    <w:p w:rsidR="00000000" w:rsidRDefault="00000000">
      <w:pPr>
        <w:pStyle w:val="NormalIndent"/>
      </w:pPr>
      <w:r>
        <w:t xml:space="preserve">52.  </w:t>
      </w:r>
      <w:r>
        <w:rPr>
          <w:rFonts w:hint="eastAsia"/>
        </w:rPr>
        <w:t>格鲁吉亚劳力市场上劳力大量过剩。由于失业率很高，而且总的经济发展水平很低，大多数工薪阶层与工作有关的收入都低于维持生活所需的最低水平。在本国当前的条件下，工薪已经失去了刺激作用，成了一种与工作数量和质量没有关联的社会福利。</w:t>
      </w:r>
    </w:p>
    <w:p w:rsidR="00000000" w:rsidRDefault="00000000">
      <w:pPr>
        <w:pStyle w:val="NormalIndent"/>
      </w:pPr>
      <w:r>
        <w:t xml:space="preserve">53.  </w:t>
      </w:r>
      <w:r>
        <w:rPr>
          <w:rFonts w:hint="eastAsia"/>
        </w:rPr>
        <w:t>低工资对于雇员在任务和责任方面的态度具有不利影响，在大多数情况下，低工资是雇员之所以还要找第二份工作的主要原因。低工资的另一个后果是劳动纪律下降，以及一般而言的工作效率下降。然而，我们应当指出，</w:t>
      </w:r>
      <w:r>
        <w:rPr>
          <w:rFonts w:hint="eastAsia"/>
        </w:rPr>
        <w:t>2000</w:t>
      </w:r>
      <w:r>
        <w:rPr>
          <w:rFonts w:hint="eastAsia"/>
        </w:rPr>
        <w:t>年中期以来，在及时支付工资方面情况趋于正常。</w:t>
      </w:r>
    </w:p>
    <w:p w:rsidR="00000000" w:rsidRDefault="00000000">
      <w:pPr>
        <w:pStyle w:val="NormalIndent"/>
      </w:pPr>
      <w:r>
        <w:t xml:space="preserve">54.  </w:t>
      </w:r>
      <w:r>
        <w:rPr>
          <w:rFonts w:hint="eastAsia"/>
        </w:rPr>
        <w:t>尽管</w:t>
      </w:r>
      <w:r>
        <w:rPr>
          <w:rFonts w:hint="eastAsia"/>
        </w:rPr>
        <w:t>1996</w:t>
      </w:r>
      <w:r>
        <w:rPr>
          <w:rFonts w:hint="eastAsia"/>
        </w:rPr>
        <w:t>年至</w:t>
      </w:r>
      <w:r>
        <w:rPr>
          <w:rFonts w:hint="eastAsia"/>
        </w:rPr>
        <w:t>2000</w:t>
      </w:r>
      <w:r>
        <w:rPr>
          <w:rFonts w:hint="eastAsia"/>
        </w:rPr>
        <w:t>年期间最低工资水平有将近五倍的增长，但按照当前的标准看，仍然不能认为已达到足以维持生活的水平。最低工资水平相当于维持生活所需最低水平的</w:t>
      </w:r>
      <w:r>
        <w:rPr>
          <w:rFonts w:hint="eastAsia"/>
        </w:rPr>
        <w:t>17.5%</w:t>
      </w:r>
      <w:r>
        <w:rPr>
          <w:rFonts w:hint="eastAsia"/>
        </w:rPr>
        <w:t>，相当于平均工资水平的</w:t>
      </w:r>
      <w:r>
        <w:t>24.7%</w:t>
      </w:r>
      <w:r>
        <w:rPr>
          <w:rFonts w:hint="eastAsia"/>
        </w:rPr>
        <w:t>，绝对不足以满足最低生活要求</w:t>
      </w:r>
      <w:r>
        <w:rPr>
          <w:rFonts w:hint="eastAsia"/>
        </w:rPr>
        <w:t>(</w:t>
      </w:r>
      <w:r>
        <w:rPr>
          <w:rFonts w:hint="eastAsia"/>
        </w:rPr>
        <w:t>格鲁吉亚最低工资水平是</w:t>
      </w:r>
      <w:r>
        <w:rPr>
          <w:rFonts w:hint="eastAsia"/>
        </w:rPr>
        <w:t>20</w:t>
      </w:r>
      <w:r>
        <w:rPr>
          <w:rFonts w:hint="eastAsia"/>
        </w:rPr>
        <w:t>拉里</w:t>
      </w:r>
      <w:r>
        <w:rPr>
          <w:rFonts w:hint="eastAsia"/>
        </w:rPr>
        <w:t>)</w:t>
      </w:r>
      <w:r>
        <w:rPr>
          <w:rFonts w:hint="eastAsia"/>
        </w:rPr>
        <w:t>。</w:t>
      </w:r>
    </w:p>
    <w:p w:rsidR="00000000" w:rsidRDefault="00000000">
      <w:pPr>
        <w:pStyle w:val="NormalIndent"/>
      </w:pPr>
      <w:r>
        <w:t xml:space="preserve">55.  </w:t>
      </w:r>
      <w:r>
        <w:rPr>
          <w:rFonts w:hint="eastAsia"/>
        </w:rPr>
        <w:t>最低工资水平及其调整与本国的经济形势是分不开的。按目前的情况看，最低工资水平不足以确保维持生活，但现已计划逐步予以提高。因此，已经就预算方面的劳动报酬问题、最低工资水平和调节办法拟出了建议。这些建议是劳动、卫生和社会福利部拟定的。</w:t>
      </w:r>
    </w:p>
    <w:p w:rsidR="00000000" w:rsidRDefault="00000000">
      <w:pPr>
        <w:pStyle w:val="NormalIndent"/>
      </w:pPr>
      <w:r>
        <w:t xml:space="preserve">56.  </w:t>
      </w:r>
      <w:r>
        <w:rPr>
          <w:rFonts w:hint="eastAsia"/>
        </w:rPr>
        <w:t>毫无疑问，对于劳力市场的有效运作，关键在于克服贫困和实现均衡的经济增长。因此，必须优先促进本国最贫穷阶层劳动力队伍的生产性就业。在这方面，目前对于就业能力的最严重障碍是：</w:t>
      </w:r>
    </w:p>
    <w:p w:rsidR="00000000" w:rsidRDefault="00000000">
      <w:pPr>
        <w:pStyle w:val="NormalIndent"/>
        <w:numPr>
          <w:ilvl w:val="0"/>
          <w:numId w:val="30"/>
        </w:numPr>
        <w:tabs>
          <w:tab w:val="clear" w:pos="1740"/>
          <w:tab w:val="num" w:pos="1480"/>
        </w:tabs>
        <w:ind w:left="1480"/>
      </w:pPr>
      <w:r>
        <w:rPr>
          <w:rFonts w:hint="eastAsia"/>
        </w:rPr>
        <w:t>由于缺乏必要的培训和再培训体制，受过恰当培训的合格专门人才严重短缺；</w:t>
      </w:r>
    </w:p>
    <w:p w:rsidR="00000000" w:rsidRDefault="00000000">
      <w:pPr>
        <w:pStyle w:val="NormalIndent"/>
        <w:widowControl/>
        <w:numPr>
          <w:ilvl w:val="0"/>
          <w:numId w:val="30"/>
        </w:numPr>
        <w:tabs>
          <w:tab w:val="clear" w:pos="1740"/>
          <w:tab w:val="num" w:pos="1480"/>
        </w:tabs>
        <w:ind w:left="1480"/>
      </w:pPr>
      <w:r>
        <w:rPr>
          <w:rFonts w:ascii="SimSun" w:hAnsi="SimSun"/>
        </w:rPr>
        <w:t>令人担忧的长期、隐性</w:t>
      </w:r>
      <w:r>
        <w:rPr>
          <w:rFonts w:ascii="SimSun" w:hAnsi="SimSun" w:hint="eastAsia"/>
        </w:rPr>
        <w:t>失业</w:t>
      </w:r>
      <w:r>
        <w:rPr>
          <w:rFonts w:ascii="SimSun" w:hAnsi="SimSun"/>
        </w:rPr>
        <w:t>和季节性失业、就业不足和就业不充分，所有这些都造成</w:t>
      </w:r>
      <w:r>
        <w:rPr>
          <w:rFonts w:hint="eastAsia"/>
        </w:rPr>
        <w:t>巨大的经济和社会代价；</w:t>
      </w:r>
    </w:p>
    <w:p w:rsidR="00000000" w:rsidRDefault="00000000">
      <w:pPr>
        <w:pStyle w:val="NormalIndent"/>
        <w:numPr>
          <w:ilvl w:val="0"/>
          <w:numId w:val="30"/>
        </w:numPr>
        <w:tabs>
          <w:tab w:val="clear" w:pos="1740"/>
          <w:tab w:val="num" w:pos="1480"/>
        </w:tabs>
        <w:ind w:left="1480"/>
      </w:pPr>
      <w:r>
        <w:rPr>
          <w:rFonts w:ascii="SimSun" w:hAnsi="SimSun"/>
        </w:rPr>
        <w:t>就业结构不健全，57%以上的就业人口是自营职业；</w:t>
      </w:r>
    </w:p>
    <w:p w:rsidR="00000000" w:rsidRDefault="00000000">
      <w:pPr>
        <w:pStyle w:val="NormalIndent"/>
        <w:numPr>
          <w:ilvl w:val="0"/>
          <w:numId w:val="30"/>
        </w:numPr>
        <w:tabs>
          <w:tab w:val="clear" w:pos="1740"/>
          <w:tab w:val="num" w:pos="1480"/>
        </w:tabs>
        <w:ind w:left="1480"/>
      </w:pPr>
      <w:r>
        <w:rPr>
          <w:rFonts w:ascii="SimSun" w:hAnsi="SimSun"/>
        </w:rPr>
        <w:t>低工资工人极多，这是本国贫困的主要原因。</w:t>
      </w:r>
    </w:p>
    <w:p w:rsidR="00000000" w:rsidRDefault="00000000">
      <w:pPr>
        <w:pStyle w:val="NormalIndent"/>
      </w:pPr>
      <w:r>
        <w:t xml:space="preserve">57.  </w:t>
      </w:r>
      <w:r>
        <w:rPr>
          <w:rFonts w:hint="eastAsia"/>
        </w:rPr>
        <w:t>从上述情况看，本国就业政策的战略目标可定为：第一，通过调节劳力市场优化现有人力资源的使用；第二，确保高就业率；第三，确保劳力供求的数量平衡，并以此促进本国的经济发展。</w:t>
      </w:r>
    </w:p>
    <w:p w:rsidR="00000000" w:rsidRDefault="00000000">
      <w:pPr>
        <w:pStyle w:val="NormalIndent"/>
      </w:pPr>
      <w:r>
        <w:t xml:space="preserve">58.  </w:t>
      </w:r>
      <w:r>
        <w:rPr>
          <w:rFonts w:hint="eastAsia"/>
        </w:rPr>
        <w:t>劳动、卫生和社会福利部准备从</w:t>
      </w:r>
      <w:r>
        <w:rPr>
          <w:rFonts w:hint="eastAsia"/>
        </w:rPr>
        <w:t>2002</w:t>
      </w:r>
      <w:r>
        <w:rPr>
          <w:rFonts w:hint="eastAsia"/>
        </w:rPr>
        <w:t>年起逐步减少为专业人员提供培训和再培训的做法，使这种培训不再与具体的职业挂钩。国家就业服务部门将为登记的寻找工作的人安排职业再培训，将根据对特定职业实际工作岗位的分析和劳力市场的总体状况的分析进行这种安排。同时，将特别注意职业培训中心本身的水平。将通过招标程序在竞争的基础上选择职业培训中心。对这类单位提出的主要要求将是培训高度合格的专业人员，为此，将同教育部一起制订各个行业的具体资格标准。职业培训和再培训将主要面向人口在劳力市场参与竞争方面有困难的重点发展地区的潜在的劳力资源。</w:t>
      </w:r>
    </w:p>
    <w:p w:rsidR="00000000" w:rsidRDefault="00000000">
      <w:pPr>
        <w:pStyle w:val="Heading4"/>
        <w:spacing w:before="160" w:after="160"/>
      </w:pPr>
      <w:r>
        <w:rPr>
          <w:rFonts w:hint="eastAsia"/>
        </w:rPr>
        <w:t>职业和技术培训与再培训系统</w:t>
      </w:r>
    </w:p>
    <w:p w:rsidR="00000000" w:rsidRDefault="00000000">
      <w:pPr>
        <w:pStyle w:val="NormalIndent"/>
      </w:pPr>
      <w:r>
        <w:t xml:space="preserve">59.  </w:t>
      </w:r>
      <w:r>
        <w:rPr>
          <w:rFonts w:hint="eastAsia"/>
        </w:rPr>
        <w:t>格鲁吉亚已经具备了在人力资源开发方面建立和落实职业指导和培训系统的必要的立法框架。《宪法》第</w:t>
      </w:r>
      <w:r>
        <w:rPr>
          <w:rFonts w:hint="eastAsia"/>
        </w:rPr>
        <w:t>35</w:t>
      </w:r>
      <w:r>
        <w:rPr>
          <w:rFonts w:hint="eastAsia"/>
        </w:rPr>
        <w:t>条保障受教育权，《教育法》和《初级职业教育法》规定了这方面的国家政策。</w:t>
      </w:r>
    </w:p>
    <w:p w:rsidR="00000000" w:rsidRDefault="00000000">
      <w:pPr>
        <w:pStyle w:val="NormalIndent"/>
      </w:pPr>
      <w:r>
        <w:t xml:space="preserve">60.  </w:t>
      </w:r>
      <w:r>
        <w:rPr>
          <w:rFonts w:hint="eastAsia"/>
        </w:rPr>
        <w:t>职业指导和再培训对于在安排工作和就业方面落实有力的政策至关重要。劳动、卫生和社会福利部负责监测和协调面向失业人员的职业指导、培训和再培训。该部在这方面的工作着眼于首先争取使培训和再培训系统达到劳工组织第</w:t>
      </w:r>
      <w:r>
        <w:rPr>
          <w:rFonts w:hint="eastAsia"/>
        </w:rPr>
        <w:t>142</w:t>
      </w:r>
      <w:r>
        <w:rPr>
          <w:rFonts w:hint="eastAsia"/>
        </w:rPr>
        <w:t>和</w:t>
      </w:r>
      <w:r>
        <w:rPr>
          <w:rFonts w:hint="eastAsia"/>
        </w:rPr>
        <w:t>122</w:t>
      </w:r>
      <w:r>
        <w:rPr>
          <w:rFonts w:hint="eastAsia"/>
        </w:rPr>
        <w:t>号公约的要求，其次争取使之符合劳动力市场对人力资源的实际需要。为此，该部正在执行下列措施：</w:t>
      </w:r>
    </w:p>
    <w:p w:rsidR="00000000" w:rsidRDefault="00000000">
      <w:pPr>
        <w:pStyle w:val="NormalIndent"/>
        <w:numPr>
          <w:ilvl w:val="0"/>
          <w:numId w:val="31"/>
        </w:numPr>
        <w:tabs>
          <w:tab w:val="clear" w:pos="1740"/>
          <w:tab w:val="num" w:pos="1480"/>
        </w:tabs>
        <w:spacing w:line="312" w:lineRule="auto"/>
        <w:ind w:left="1480"/>
      </w:pPr>
      <w:r>
        <w:rPr>
          <w:rFonts w:hint="eastAsia"/>
        </w:rPr>
        <w:t>制订面向失业人员的特殊职业培训和再培训方案；</w:t>
      </w:r>
    </w:p>
    <w:p w:rsidR="00000000" w:rsidRDefault="00000000">
      <w:pPr>
        <w:pStyle w:val="NormalIndent"/>
        <w:numPr>
          <w:ilvl w:val="0"/>
          <w:numId w:val="31"/>
        </w:numPr>
        <w:tabs>
          <w:tab w:val="clear" w:pos="1740"/>
          <w:tab w:val="num" w:pos="1480"/>
        </w:tabs>
        <w:spacing w:line="312" w:lineRule="auto"/>
        <w:ind w:left="1480"/>
      </w:pPr>
      <w:r>
        <w:rPr>
          <w:rFonts w:ascii="SimSun" w:hAnsi="SimSun"/>
        </w:rPr>
        <w:t>寻找预算外资金来源和增加这类资金的数量；</w:t>
      </w:r>
    </w:p>
    <w:p w:rsidR="00000000" w:rsidRDefault="00000000">
      <w:pPr>
        <w:pStyle w:val="NormalIndent"/>
        <w:numPr>
          <w:ilvl w:val="0"/>
          <w:numId w:val="31"/>
        </w:numPr>
        <w:tabs>
          <w:tab w:val="clear" w:pos="1740"/>
          <w:tab w:val="num" w:pos="1480"/>
        </w:tabs>
        <w:spacing w:line="312" w:lineRule="auto"/>
        <w:ind w:left="1480"/>
      </w:pPr>
      <w:r>
        <w:rPr>
          <w:rFonts w:ascii="SimSun" w:hAnsi="SimSun"/>
        </w:rPr>
        <w:t>按照国际标准实施上述方案。</w:t>
      </w:r>
    </w:p>
    <w:p w:rsidR="00000000" w:rsidRDefault="00000000">
      <w:pPr>
        <w:pStyle w:val="NormalIndent"/>
        <w:rPr>
          <w:rFonts w:hint="eastAsia"/>
        </w:rPr>
      </w:pPr>
      <w:r>
        <w:t xml:space="preserve">61.  </w:t>
      </w:r>
      <w:r>
        <w:rPr>
          <w:rFonts w:hint="eastAsia"/>
        </w:rPr>
        <w:t>国家就业服务部门负责按照劳力市场的实际需求确定参加培训和再培训的人数以及培训类型。国家联合就业基金会的职能包括安排职业教育和高等教育机构的竞标工作，请这些机构提出为失业人员开展培训和再培训的申请，并对这类工作落实资金。</w:t>
      </w:r>
    </w:p>
    <w:p w:rsidR="00000000" w:rsidRDefault="00000000">
      <w:pPr>
        <w:pStyle w:val="NormalIndent"/>
      </w:pPr>
      <w:r>
        <w:rPr>
          <w:rFonts w:hint="eastAsia"/>
        </w:rPr>
        <w:t>62</w:t>
      </w:r>
      <w:r>
        <w:t xml:space="preserve">.  </w:t>
      </w:r>
      <w:r>
        <w:rPr>
          <w:rFonts w:hint="eastAsia"/>
        </w:rPr>
        <w:t>从今以后，面向失业人员的培训和再培训工作一律必须符合劳力市场要求，对此将进行系统的监测。</w:t>
      </w:r>
    </w:p>
    <w:p w:rsidR="00000000" w:rsidRDefault="00000000">
      <w:pPr>
        <w:pStyle w:val="NormalIndent"/>
      </w:pPr>
      <w:r>
        <w:t xml:space="preserve">63.  </w:t>
      </w:r>
      <w:r>
        <w:rPr>
          <w:rFonts w:hint="eastAsia"/>
        </w:rPr>
        <w:t>现已在国家联合就业基金会之下设立了一个特殊职业指导和再培训中心，该中心目前已开展工作，为失业人员安排职业培训和再培训。</w:t>
      </w:r>
      <w:r>
        <w:rPr>
          <w:rFonts w:hint="eastAsia"/>
        </w:rPr>
        <w:t>1996</w:t>
      </w:r>
      <w:r>
        <w:rPr>
          <w:rFonts w:hint="eastAsia"/>
        </w:rPr>
        <w:t>至</w:t>
      </w:r>
      <w:r>
        <w:rPr>
          <w:rFonts w:hint="eastAsia"/>
        </w:rPr>
        <w:t>2000</w:t>
      </w:r>
      <w:r>
        <w:rPr>
          <w:rFonts w:hint="eastAsia"/>
        </w:rPr>
        <w:t>年期间，该中心安排培训了</w:t>
      </w:r>
      <w:r>
        <w:rPr>
          <w:rFonts w:hint="eastAsia"/>
        </w:rPr>
        <w:t>1,868</w:t>
      </w:r>
      <w:r>
        <w:rPr>
          <w:rFonts w:hint="eastAsia"/>
        </w:rPr>
        <w:t>名失业人员和寻找工作的人，帮助他们提高了资历，并按照每年制订的国家方案提供了职业培训。</w:t>
      </w:r>
    </w:p>
    <w:p w:rsidR="00000000" w:rsidRDefault="00000000">
      <w:pPr>
        <w:pStyle w:val="NormalIndent"/>
        <w:rPr>
          <w:rFonts w:hint="eastAsia"/>
        </w:rPr>
      </w:pPr>
      <w:r>
        <w:t xml:space="preserve">64.  </w:t>
      </w:r>
      <w:r>
        <w:rPr>
          <w:rFonts w:hint="eastAsia"/>
        </w:rPr>
        <w:t>私营就业服务机构也从事为寻找工作的人提供职业培训和再培训的活动，这些寻找工作的人包括失业人员，有些情况下，这种私营就业服务机构的工作十分成功。一个例子就是“普遍”专业招聘和人员配置服务。</w:t>
      </w:r>
    </w:p>
    <w:p w:rsidR="00000000" w:rsidRDefault="00000000">
      <w:pPr>
        <w:pStyle w:val="NormalIndent"/>
      </w:pPr>
      <w:r>
        <w:rPr>
          <w:rFonts w:hint="eastAsia"/>
        </w:rPr>
        <w:t>65</w:t>
      </w:r>
      <w:r>
        <w:t xml:space="preserve">.  </w:t>
      </w:r>
      <w:r>
        <w:rPr>
          <w:rFonts w:hint="eastAsia"/>
        </w:rPr>
        <w:t>同时，必须承认，国家在职业指导方面的政策和方案总的来说与国家在就业方面的政策和方案的协调程度很差。这种情况可能有下列几个原因：第一，就业机会有限；第二，劳力市场混乱；第三，对劳力的需求几乎不存在；第四，几乎无法准确预测对接受过培训的人员的需求。</w:t>
      </w:r>
    </w:p>
    <w:p w:rsidR="00000000" w:rsidRDefault="00000000">
      <w:pPr>
        <w:pStyle w:val="NormalIndent"/>
      </w:pPr>
      <w:r>
        <w:t xml:space="preserve">66.  </w:t>
      </w:r>
      <w:r>
        <w:rPr>
          <w:rFonts w:hint="eastAsia"/>
        </w:rPr>
        <w:t>在新的就业法案中，劳动、卫生和社会福利部提出了一系列标准和规章，目的是确保就业</w:t>
      </w:r>
      <w:r>
        <w:rPr>
          <w:rFonts w:hint="eastAsia"/>
        </w:rPr>
        <w:t>(</w:t>
      </w:r>
      <w:r>
        <w:rPr>
          <w:rFonts w:hint="eastAsia"/>
        </w:rPr>
        <w:t>介绍工作</w:t>
      </w:r>
      <w:r>
        <w:rPr>
          <w:rFonts w:hint="eastAsia"/>
        </w:rPr>
        <w:t>)</w:t>
      </w:r>
      <w:r>
        <w:rPr>
          <w:rFonts w:hint="eastAsia"/>
        </w:rPr>
        <w:t>与职业培训密切挂钩。这个法案的通过将大大地推动解决上述问题的努力。</w:t>
      </w:r>
    </w:p>
    <w:p w:rsidR="00000000" w:rsidRDefault="00000000">
      <w:pPr>
        <w:pStyle w:val="NormalIndent"/>
      </w:pPr>
      <w:r>
        <w:t xml:space="preserve">67.  </w:t>
      </w:r>
      <w:r>
        <w:rPr>
          <w:rFonts w:hint="eastAsia"/>
        </w:rPr>
        <w:t>经济、社会、文化权利委员会在结论性意见</w:t>
      </w:r>
      <w:r>
        <w:rPr>
          <w:rFonts w:hint="eastAsia"/>
        </w:rPr>
        <w:t>(</w:t>
      </w:r>
      <w:r>
        <w:rPr>
          <w:rFonts w:hint="eastAsia"/>
        </w:rPr>
        <w:t>第</w:t>
      </w:r>
      <w:r>
        <w:rPr>
          <w:rFonts w:hint="eastAsia"/>
        </w:rPr>
        <w:t>25</w:t>
      </w:r>
      <w:r>
        <w:rPr>
          <w:rFonts w:hint="eastAsia"/>
        </w:rPr>
        <w:t>段</w:t>
      </w:r>
      <w:r>
        <w:rPr>
          <w:rFonts w:hint="eastAsia"/>
        </w:rPr>
        <w:t>)</w:t>
      </w:r>
      <w:r>
        <w:rPr>
          <w:rFonts w:hint="eastAsia"/>
        </w:rPr>
        <w:t>中建议通过相关立法确保让更多的残疾人能够进入劳力市场。</w:t>
      </w:r>
    </w:p>
    <w:p w:rsidR="00000000" w:rsidRDefault="00000000">
      <w:pPr>
        <w:pStyle w:val="NormalIndent"/>
      </w:pPr>
      <w:r>
        <w:t xml:space="preserve">68.  </w:t>
      </w:r>
      <w:r>
        <w:rPr>
          <w:rFonts w:hint="eastAsia"/>
        </w:rPr>
        <w:t>在这方面，下文进一步详细介绍残疾人的情况，关于保障残疾人利益的规定载于《残疾</w:t>
      </w:r>
      <w:r>
        <w:rPr>
          <w:rFonts w:hint="eastAsia"/>
        </w:rPr>
        <w:t>(</w:t>
      </w:r>
      <w:r>
        <w:rPr>
          <w:rFonts w:hint="eastAsia"/>
        </w:rPr>
        <w:t>社会福利</w:t>
      </w:r>
      <w:r>
        <w:rPr>
          <w:rFonts w:hint="eastAsia"/>
        </w:rPr>
        <w:t>)</w:t>
      </w:r>
      <w:r>
        <w:rPr>
          <w:rFonts w:hint="eastAsia"/>
        </w:rPr>
        <w:t>法》。根据该法，国家保证创造条件，确保这类人能够充分发挥自己的创造和生产潜力。</w:t>
      </w:r>
    </w:p>
    <w:p w:rsidR="00000000" w:rsidRDefault="00000000">
      <w:pPr>
        <w:pStyle w:val="NormalIndent"/>
      </w:pPr>
      <w:r>
        <w:t xml:space="preserve">69.  </w:t>
      </w:r>
      <w:r>
        <w:rPr>
          <w:rFonts w:hint="eastAsia"/>
        </w:rPr>
        <w:t>按照个人的学习需要，为残疾人提供各种形式的教育、职业培训和专业进修，包括函授教育、外出学习、参加特别学习小组和在家进行学习。开展这些方案的既有专门的教育机构，也有普通的教育机构、企业和其他组织，这些都有社会福利部门共同参与。</w:t>
      </w:r>
      <w:r>
        <w:rPr>
          <w:rFonts w:hint="eastAsia"/>
        </w:rPr>
        <w:t>1999</w:t>
      </w:r>
      <w:r>
        <w:rPr>
          <w:rFonts w:hint="eastAsia"/>
        </w:rPr>
        <w:t>年，</w:t>
      </w:r>
      <w:r>
        <w:rPr>
          <w:rFonts w:hint="eastAsia"/>
        </w:rPr>
        <w:t>277</w:t>
      </w:r>
      <w:r>
        <w:rPr>
          <w:rFonts w:hint="eastAsia"/>
        </w:rPr>
        <w:t>人在格鲁吉亚的残疾人培训中心接受了职业培训，其中</w:t>
      </w:r>
      <w:r>
        <w:rPr>
          <w:rFonts w:hint="eastAsia"/>
        </w:rPr>
        <w:t>100</w:t>
      </w:r>
      <w:r>
        <w:rPr>
          <w:rFonts w:hint="eastAsia"/>
        </w:rPr>
        <w:t>人结业后找到了工作。库塔伊西镇开办的一个残疾人培训中心，每年为残疾人提供不同专业的培训。</w:t>
      </w:r>
    </w:p>
    <w:p w:rsidR="00000000" w:rsidRDefault="00000000">
      <w:pPr>
        <w:pStyle w:val="NormalIndent"/>
        <w:rPr>
          <w:rFonts w:hint="eastAsia"/>
        </w:rPr>
      </w:pPr>
      <w:r>
        <w:rPr>
          <w:rFonts w:hint="eastAsia"/>
        </w:rPr>
        <w:t>7</w:t>
      </w:r>
      <w:r>
        <w:t>0</w:t>
      </w:r>
      <w:r>
        <w:rPr>
          <w:rFonts w:hint="eastAsia"/>
        </w:rPr>
        <w:t xml:space="preserve">.  </w:t>
      </w:r>
      <w:r>
        <w:t>1997</w:t>
      </w:r>
      <w:r>
        <w:rPr>
          <w:rFonts w:hint="eastAsia"/>
        </w:rPr>
        <w:t>年为残疾人启动了一项职业介绍方案。正在为残疾人设置职业指导和工作适应中心。然而，与此同时，由于资金短缺、缺少合格工作人员以及管理方面的问题，残疾人社会和职业融合工作目前严重受阻。</w:t>
      </w:r>
    </w:p>
    <w:p w:rsidR="00000000" w:rsidRDefault="00000000">
      <w:pPr>
        <w:pStyle w:val="NormalIndent"/>
      </w:pPr>
      <w:r>
        <w:t xml:space="preserve">71.  </w:t>
      </w:r>
      <w:r>
        <w:rPr>
          <w:rFonts w:hint="eastAsia"/>
        </w:rPr>
        <w:t>除了上述情况外，我们在下文以国家统计局提供的数据介绍整个职业和技术教育系统的情况。</w:t>
      </w:r>
    </w:p>
    <w:p w:rsidR="00000000" w:rsidRDefault="00000000">
      <w:pPr>
        <w:pStyle w:val="NormalIndent"/>
        <w:rPr>
          <w:spacing w:val="6"/>
        </w:rPr>
      </w:pPr>
      <w:r>
        <w:t xml:space="preserve">72.  </w:t>
      </w:r>
      <w:r>
        <w:rPr>
          <w:rFonts w:hint="eastAsia"/>
          <w:spacing w:val="6"/>
        </w:rPr>
        <w:t>1997</w:t>
      </w:r>
      <w:r>
        <w:rPr>
          <w:spacing w:val="6"/>
        </w:rPr>
        <w:t>/</w:t>
      </w:r>
      <w:r>
        <w:rPr>
          <w:rFonts w:hint="eastAsia"/>
          <w:spacing w:val="6"/>
        </w:rPr>
        <w:t>98</w:t>
      </w:r>
      <w:r>
        <w:rPr>
          <w:rFonts w:hint="eastAsia"/>
          <w:spacing w:val="6"/>
        </w:rPr>
        <w:t>学年，全国共有</w:t>
      </w:r>
      <w:r>
        <w:rPr>
          <w:rFonts w:hint="eastAsia"/>
          <w:spacing w:val="6"/>
        </w:rPr>
        <w:t>81</w:t>
      </w:r>
      <w:r>
        <w:rPr>
          <w:rFonts w:hint="eastAsia"/>
          <w:spacing w:val="6"/>
        </w:rPr>
        <w:t>所中等专业学校，在校学生总数</w:t>
      </w:r>
      <w:r>
        <w:rPr>
          <w:rFonts w:hint="eastAsia"/>
          <w:spacing w:val="6"/>
        </w:rPr>
        <w:t>30,000</w:t>
      </w:r>
      <w:r>
        <w:rPr>
          <w:rFonts w:hint="eastAsia"/>
          <w:spacing w:val="6"/>
        </w:rPr>
        <w:t>。</w:t>
      </w:r>
      <w:r>
        <w:rPr>
          <w:rFonts w:hint="eastAsia"/>
          <w:spacing w:val="6"/>
        </w:rPr>
        <w:t>1998/99</w:t>
      </w:r>
      <w:r>
        <w:rPr>
          <w:rFonts w:hint="eastAsia"/>
          <w:spacing w:val="6"/>
        </w:rPr>
        <w:t>学年，共有这样的学校</w:t>
      </w:r>
      <w:r>
        <w:rPr>
          <w:rFonts w:hint="eastAsia"/>
          <w:spacing w:val="6"/>
        </w:rPr>
        <w:t>83</w:t>
      </w:r>
      <w:r>
        <w:rPr>
          <w:rFonts w:hint="eastAsia"/>
          <w:spacing w:val="6"/>
        </w:rPr>
        <w:t>所，学生人数超过</w:t>
      </w:r>
      <w:r>
        <w:rPr>
          <w:rFonts w:hint="eastAsia"/>
          <w:spacing w:val="6"/>
        </w:rPr>
        <w:t>32,000</w:t>
      </w:r>
      <w:r>
        <w:rPr>
          <w:rFonts w:hint="eastAsia"/>
          <w:spacing w:val="6"/>
        </w:rPr>
        <w:t>。</w:t>
      </w:r>
      <w:r>
        <w:rPr>
          <w:spacing w:val="6"/>
        </w:rPr>
        <w:t>1999/2000</w:t>
      </w:r>
      <w:r>
        <w:rPr>
          <w:rFonts w:hint="eastAsia"/>
          <w:spacing w:val="6"/>
        </w:rPr>
        <w:t>学年，这样的学校增加到</w:t>
      </w:r>
      <w:r>
        <w:rPr>
          <w:rFonts w:hint="eastAsia"/>
          <w:spacing w:val="6"/>
        </w:rPr>
        <w:t>85</w:t>
      </w:r>
      <w:r>
        <w:rPr>
          <w:rFonts w:hint="eastAsia"/>
          <w:spacing w:val="6"/>
        </w:rPr>
        <w:t>所，学生人数</w:t>
      </w:r>
      <w:r>
        <w:rPr>
          <w:rFonts w:hint="eastAsia"/>
          <w:spacing w:val="6"/>
        </w:rPr>
        <w:t>30,000</w:t>
      </w:r>
      <w:r>
        <w:rPr>
          <w:rFonts w:hint="eastAsia"/>
          <w:spacing w:val="6"/>
        </w:rPr>
        <w:t>。这些是关于国立教育机构的数字。关于私立</w:t>
      </w:r>
      <w:r>
        <w:rPr>
          <w:rFonts w:hint="eastAsia"/>
          <w:spacing w:val="6"/>
        </w:rPr>
        <w:t>(</w:t>
      </w:r>
      <w:r>
        <w:rPr>
          <w:rFonts w:hint="eastAsia"/>
          <w:spacing w:val="6"/>
        </w:rPr>
        <w:t>收费</w:t>
      </w:r>
      <w:r>
        <w:rPr>
          <w:rFonts w:hint="eastAsia"/>
          <w:spacing w:val="6"/>
        </w:rPr>
        <w:t>)</w:t>
      </w:r>
      <w:r>
        <w:rPr>
          <w:rFonts w:hint="eastAsia"/>
          <w:spacing w:val="6"/>
        </w:rPr>
        <w:t>教育机构的统计数字如下：</w:t>
      </w:r>
      <w:r>
        <w:rPr>
          <w:rFonts w:hint="eastAsia"/>
          <w:spacing w:val="6"/>
        </w:rPr>
        <w:t>1997</w:t>
      </w:r>
      <w:r>
        <w:rPr>
          <w:spacing w:val="6"/>
        </w:rPr>
        <w:t>/</w:t>
      </w:r>
      <w:r>
        <w:rPr>
          <w:rFonts w:hint="eastAsia"/>
          <w:spacing w:val="6"/>
        </w:rPr>
        <w:t>98</w:t>
      </w:r>
      <w:r>
        <w:rPr>
          <w:rFonts w:hint="eastAsia"/>
          <w:spacing w:val="6"/>
        </w:rPr>
        <w:t>学年——</w:t>
      </w:r>
      <w:r>
        <w:rPr>
          <w:spacing w:val="6"/>
        </w:rPr>
        <w:t xml:space="preserve"> </w:t>
      </w:r>
      <w:r>
        <w:rPr>
          <w:rFonts w:hint="eastAsia"/>
          <w:spacing w:val="6"/>
        </w:rPr>
        <w:t>47</w:t>
      </w:r>
      <w:r>
        <w:rPr>
          <w:rFonts w:hint="eastAsia"/>
          <w:spacing w:val="6"/>
        </w:rPr>
        <w:t>所，学生人数</w:t>
      </w:r>
      <w:r>
        <w:rPr>
          <w:spacing w:val="6"/>
        </w:rPr>
        <w:t>5,200</w:t>
      </w:r>
      <w:r>
        <w:rPr>
          <w:rFonts w:hint="eastAsia"/>
          <w:spacing w:val="6"/>
        </w:rPr>
        <w:t>；</w:t>
      </w:r>
      <w:r>
        <w:rPr>
          <w:rFonts w:hint="eastAsia"/>
          <w:spacing w:val="6"/>
        </w:rPr>
        <w:t>1998/99</w:t>
      </w:r>
      <w:r>
        <w:rPr>
          <w:rFonts w:hint="eastAsia"/>
          <w:spacing w:val="6"/>
        </w:rPr>
        <w:t>学年——</w:t>
      </w:r>
      <w:r>
        <w:rPr>
          <w:spacing w:val="6"/>
        </w:rPr>
        <w:t xml:space="preserve"> </w:t>
      </w:r>
      <w:r>
        <w:rPr>
          <w:rFonts w:hint="eastAsia"/>
          <w:spacing w:val="6"/>
        </w:rPr>
        <w:t>58</w:t>
      </w:r>
      <w:r>
        <w:rPr>
          <w:rFonts w:hint="eastAsia"/>
          <w:spacing w:val="6"/>
        </w:rPr>
        <w:t>所，学生人数</w:t>
      </w:r>
      <w:r>
        <w:rPr>
          <w:rFonts w:hint="eastAsia"/>
          <w:spacing w:val="6"/>
        </w:rPr>
        <w:t>7,200</w:t>
      </w:r>
      <w:r>
        <w:rPr>
          <w:rFonts w:hint="eastAsia"/>
          <w:spacing w:val="6"/>
        </w:rPr>
        <w:t>；</w:t>
      </w:r>
      <w:r>
        <w:rPr>
          <w:spacing w:val="6"/>
        </w:rPr>
        <w:t>1999/2000</w:t>
      </w:r>
      <w:r>
        <w:rPr>
          <w:rFonts w:hint="eastAsia"/>
          <w:spacing w:val="6"/>
        </w:rPr>
        <w:t>学年——</w:t>
      </w:r>
      <w:r>
        <w:rPr>
          <w:spacing w:val="6"/>
        </w:rPr>
        <w:t xml:space="preserve"> </w:t>
      </w:r>
      <w:r>
        <w:rPr>
          <w:rFonts w:hint="eastAsia"/>
          <w:spacing w:val="6"/>
        </w:rPr>
        <w:t>58</w:t>
      </w:r>
      <w:r>
        <w:rPr>
          <w:rFonts w:hint="eastAsia"/>
          <w:spacing w:val="6"/>
        </w:rPr>
        <w:t>所，学生人数</w:t>
      </w:r>
      <w:r>
        <w:rPr>
          <w:rFonts w:hint="eastAsia"/>
          <w:spacing w:val="6"/>
        </w:rPr>
        <w:t>6,800</w:t>
      </w:r>
      <w:r>
        <w:rPr>
          <w:rFonts w:hint="eastAsia"/>
          <w:spacing w:val="6"/>
        </w:rPr>
        <w:t>。</w:t>
      </w:r>
    </w:p>
    <w:p w:rsidR="00000000" w:rsidRDefault="00000000">
      <w:pPr>
        <w:pStyle w:val="NormalIndent"/>
      </w:pPr>
      <w:r>
        <w:t xml:space="preserve">73.  </w:t>
      </w:r>
      <w:r>
        <w:rPr>
          <w:rFonts w:hint="eastAsia"/>
        </w:rPr>
        <w:t>职业和技术教育系统涵盖下列专门领域：工业和建筑；运输和交通；农业；经济和法律；卫生保健、体育和运动；教育；艺术和电影。此外，一些职业培训单位还有多学科设置。这些单位有日间课程、晚间课程和函授课程，而私立单位则只有日间课程。</w:t>
      </w:r>
    </w:p>
    <w:p w:rsidR="00000000" w:rsidRDefault="00000000">
      <w:pPr>
        <w:pStyle w:val="Heading4"/>
        <w:spacing w:before="320"/>
      </w:pPr>
      <w:r>
        <w:rPr>
          <w:rFonts w:hint="eastAsia"/>
        </w:rPr>
        <w:t>从事多份工作的人</w:t>
      </w:r>
    </w:p>
    <w:p w:rsidR="00000000" w:rsidRDefault="00000000">
      <w:pPr>
        <w:pStyle w:val="NormalIndent"/>
      </w:pPr>
      <w:r>
        <w:t xml:space="preserve">74.  </w:t>
      </w:r>
      <w:r>
        <w:rPr>
          <w:rFonts w:hint="eastAsia"/>
        </w:rPr>
        <w:t>据劳动、卫生和社会福利部表示，格鲁吉亚不收集这一类的数据。</w:t>
      </w:r>
    </w:p>
    <w:p w:rsidR="00000000" w:rsidRDefault="00000000">
      <w:pPr>
        <w:pStyle w:val="Heading4"/>
        <w:spacing w:before="320"/>
      </w:pPr>
      <w:r>
        <w:rPr>
          <w:rFonts w:hint="eastAsia"/>
        </w:rPr>
        <w:t>劳资立法的变化</w:t>
      </w:r>
    </w:p>
    <w:p w:rsidR="00000000" w:rsidRDefault="00000000">
      <w:pPr>
        <w:pStyle w:val="NormalIndent"/>
      </w:pPr>
      <w:r>
        <w:t xml:space="preserve">75.  </w:t>
      </w:r>
      <w:r>
        <w:rPr>
          <w:rFonts w:hint="eastAsia"/>
        </w:rPr>
        <w:t>2000</w:t>
      </w:r>
      <w:r>
        <w:rPr>
          <w:rFonts w:hint="eastAsia"/>
        </w:rPr>
        <w:t>年，劳资关系方面的立法没有变化。</w:t>
      </w:r>
    </w:p>
    <w:p w:rsidR="00000000" w:rsidRDefault="00000000">
      <w:pPr>
        <w:pStyle w:val="Heading4"/>
        <w:spacing w:before="320"/>
      </w:pPr>
      <w:r>
        <w:rPr>
          <w:rFonts w:hint="eastAsia"/>
        </w:rPr>
        <w:t>国际援助在维护《公约》第六条所述权利方面的作用</w:t>
      </w:r>
    </w:p>
    <w:p w:rsidR="00000000" w:rsidRDefault="00000000">
      <w:pPr>
        <w:pStyle w:val="NormalIndent"/>
        <w:rPr>
          <w:rFonts w:ascii="SimSun" w:hAnsi="SimSun"/>
        </w:rPr>
      </w:pPr>
      <w:r>
        <w:t xml:space="preserve">76.  </w:t>
      </w:r>
      <w:r>
        <w:rPr>
          <w:rFonts w:ascii="SimSun" w:hAnsi="SimSun"/>
        </w:rPr>
        <w:t>在国家机构一级，与包括劳工组织、国际移民组织(移民组织)等在内的国际组织的合作问题由劳动、卫生和社会福利部负责。</w:t>
      </w:r>
    </w:p>
    <w:p w:rsidR="00000000" w:rsidRDefault="00000000">
      <w:pPr>
        <w:pStyle w:val="NormalIndent"/>
      </w:pPr>
      <w:r>
        <w:t xml:space="preserve">77.  </w:t>
      </w:r>
      <w:r>
        <w:rPr>
          <w:rFonts w:hint="eastAsia"/>
        </w:rPr>
        <w:t>已经编写了根据格鲁吉亚议会所批准的劳工组织第</w:t>
      </w:r>
      <w:r>
        <w:rPr>
          <w:rFonts w:hint="eastAsia"/>
        </w:rPr>
        <w:t>29</w:t>
      </w:r>
      <w:r>
        <w:rPr>
          <w:rFonts w:hint="eastAsia"/>
        </w:rPr>
        <w:t>、</w:t>
      </w:r>
      <w:r>
        <w:rPr>
          <w:rFonts w:hint="eastAsia"/>
        </w:rPr>
        <w:t>52</w:t>
      </w:r>
      <w:r>
        <w:rPr>
          <w:rFonts w:hint="eastAsia"/>
        </w:rPr>
        <w:t>、</w:t>
      </w:r>
      <w:r>
        <w:rPr>
          <w:rFonts w:hint="eastAsia"/>
        </w:rPr>
        <w:t>98</w:t>
      </w:r>
      <w:r>
        <w:rPr>
          <w:rFonts w:hint="eastAsia"/>
        </w:rPr>
        <w:t>、</w:t>
      </w:r>
      <w:r>
        <w:rPr>
          <w:rFonts w:hint="eastAsia"/>
        </w:rPr>
        <w:t>100</w:t>
      </w:r>
      <w:r>
        <w:rPr>
          <w:rFonts w:hint="eastAsia"/>
        </w:rPr>
        <w:t>、</w:t>
      </w:r>
      <w:r>
        <w:rPr>
          <w:rFonts w:hint="eastAsia"/>
        </w:rPr>
        <w:t>105</w:t>
      </w:r>
      <w:r>
        <w:rPr>
          <w:rFonts w:hint="eastAsia"/>
        </w:rPr>
        <w:t>、</w:t>
      </w:r>
      <w:r>
        <w:rPr>
          <w:rFonts w:hint="eastAsia"/>
        </w:rPr>
        <w:t>111</w:t>
      </w:r>
      <w:r>
        <w:rPr>
          <w:rFonts w:hint="eastAsia"/>
        </w:rPr>
        <w:t>、</w:t>
      </w:r>
      <w:r>
        <w:rPr>
          <w:rFonts w:hint="eastAsia"/>
        </w:rPr>
        <w:t>117</w:t>
      </w:r>
      <w:r>
        <w:rPr>
          <w:rFonts w:hint="eastAsia"/>
        </w:rPr>
        <w:t>、</w:t>
      </w:r>
      <w:r>
        <w:rPr>
          <w:rFonts w:hint="eastAsia"/>
        </w:rPr>
        <w:t>122</w:t>
      </w:r>
      <w:r>
        <w:rPr>
          <w:rFonts w:hint="eastAsia"/>
        </w:rPr>
        <w:t>、</w:t>
      </w:r>
      <w:r>
        <w:rPr>
          <w:rFonts w:hint="eastAsia"/>
        </w:rPr>
        <w:t>138</w:t>
      </w:r>
      <w:r>
        <w:rPr>
          <w:rFonts w:hint="eastAsia"/>
        </w:rPr>
        <w:t>和</w:t>
      </w:r>
      <w:r>
        <w:rPr>
          <w:rFonts w:hint="eastAsia"/>
        </w:rPr>
        <w:t>142</w:t>
      </w:r>
      <w:r>
        <w:rPr>
          <w:rFonts w:hint="eastAsia"/>
        </w:rPr>
        <w:t>号公约提交劳工组织的报告。同时，还按照劳工组织关于是否需要修订为合作社提供援助问题的第</w:t>
      </w:r>
      <w:r>
        <w:rPr>
          <w:rFonts w:hint="eastAsia"/>
        </w:rPr>
        <w:t>127</w:t>
      </w:r>
      <w:r>
        <w:rPr>
          <w:rFonts w:hint="eastAsia"/>
        </w:rPr>
        <w:t>号建议书一事专门提出的问卷编写了有关的答复。</w:t>
      </w:r>
    </w:p>
    <w:p w:rsidR="00000000" w:rsidRDefault="00000000">
      <w:pPr>
        <w:pStyle w:val="NormalIndent"/>
        <w:widowControl/>
      </w:pPr>
      <w:r>
        <w:t xml:space="preserve">78.  </w:t>
      </w:r>
      <w:r>
        <w:rPr>
          <w:rFonts w:hint="eastAsia"/>
        </w:rPr>
        <w:t>国家联合就业基金会积极参与国际活动和项目。以下是这类活动的几个实例：</w:t>
      </w:r>
    </w:p>
    <w:p w:rsidR="00000000" w:rsidRDefault="00000000">
      <w:pPr>
        <w:pStyle w:val="NormalIndent"/>
        <w:numPr>
          <w:ilvl w:val="0"/>
          <w:numId w:val="32"/>
        </w:numPr>
        <w:tabs>
          <w:tab w:val="clear" w:pos="1740"/>
          <w:tab w:val="num" w:pos="1480"/>
        </w:tabs>
        <w:ind w:left="1480"/>
        <w:rPr>
          <w:rFonts w:ascii="SimSun" w:hAnsi="SimSun"/>
        </w:rPr>
      </w:pPr>
      <w:r>
        <w:rPr>
          <w:rFonts w:ascii="SimSun" w:hAnsi="SimSun"/>
        </w:rPr>
        <w:t>与劳工组织一起参与符合社会责任要求的企业改组联合项目(此前已在俄罗斯联邦成功地开展过一个类似的项目，目前，独立国家联合体中的其他一些国家正在开展)；</w:t>
      </w:r>
    </w:p>
    <w:p w:rsidR="00000000" w:rsidRDefault="00000000">
      <w:pPr>
        <w:pStyle w:val="NormalIndent"/>
        <w:numPr>
          <w:ilvl w:val="0"/>
          <w:numId w:val="32"/>
        </w:numPr>
        <w:tabs>
          <w:tab w:val="clear" w:pos="1740"/>
          <w:tab w:val="num" w:pos="1480"/>
        </w:tabs>
        <w:ind w:left="1480"/>
        <w:rPr>
          <w:rFonts w:ascii="SimSun" w:hAnsi="SimSun"/>
        </w:rPr>
      </w:pPr>
      <w:r>
        <w:rPr>
          <w:rFonts w:ascii="SimSun" w:hAnsi="SimSun"/>
        </w:rPr>
        <w:t>参与筹备一次关于环境安排与环境服务部门参加国际项目的重要性问题国际会议——特别是“丝绸之路项目”，该项目将成为这些服务部门之间新的合作阶段的基础；</w:t>
      </w:r>
    </w:p>
    <w:p w:rsidR="00000000" w:rsidRDefault="00000000">
      <w:pPr>
        <w:pStyle w:val="NormalIndent"/>
        <w:numPr>
          <w:ilvl w:val="0"/>
          <w:numId w:val="32"/>
        </w:numPr>
        <w:tabs>
          <w:tab w:val="clear" w:pos="1740"/>
          <w:tab w:val="num" w:pos="1480"/>
        </w:tabs>
        <w:ind w:left="1480"/>
        <w:rPr>
          <w:rFonts w:ascii="SimSun" w:hAnsi="SimSun"/>
        </w:rPr>
      </w:pPr>
      <w:r>
        <w:rPr>
          <w:rFonts w:ascii="SimSun" w:hAnsi="SimSun"/>
        </w:rPr>
        <w:t>参与瑞典国际开发署的一个项目，该项目旨在促进格鲁吉亚的就业制度，其初期阶段的工作是实施速成培训措施。</w:t>
      </w:r>
    </w:p>
    <w:p w:rsidR="00000000" w:rsidRDefault="00000000">
      <w:pPr>
        <w:pStyle w:val="Heading2"/>
        <w:spacing w:before="320" w:after="240"/>
      </w:pPr>
      <w:r>
        <w:rPr>
          <w:rFonts w:hint="eastAsia"/>
        </w:rPr>
        <w:t>第</w:t>
      </w:r>
      <w:r>
        <w:rPr>
          <w:rFonts w:hint="eastAsia"/>
        </w:rPr>
        <w:t xml:space="preserve"> </w:t>
      </w:r>
      <w:r>
        <w:rPr>
          <w:rFonts w:hint="eastAsia"/>
        </w:rPr>
        <w:t>七</w:t>
      </w:r>
      <w:r>
        <w:rPr>
          <w:rFonts w:hint="eastAsia"/>
        </w:rPr>
        <w:t xml:space="preserve"> </w:t>
      </w:r>
      <w:r>
        <w:rPr>
          <w:rFonts w:hint="eastAsia"/>
        </w:rPr>
        <w:t>条</w:t>
      </w:r>
    </w:p>
    <w:p w:rsidR="00000000" w:rsidRDefault="00000000">
      <w:pPr>
        <w:pStyle w:val="Heading4"/>
      </w:pPr>
      <w:r>
        <w:rPr>
          <w:rFonts w:hint="eastAsia"/>
        </w:rPr>
        <w:t>确定工资水平的主要办法</w:t>
      </w:r>
    </w:p>
    <w:p w:rsidR="00000000" w:rsidRDefault="00000000">
      <w:pPr>
        <w:pStyle w:val="NormalIndent"/>
      </w:pPr>
      <w:r>
        <w:t xml:space="preserve">79.  </w:t>
      </w:r>
      <w:r>
        <w:rPr>
          <w:rFonts w:hint="eastAsia"/>
        </w:rPr>
        <w:t>在国家预算部门，工资水平由国家集中管理，而中央预算以外的私营部门企业和组织则可在顾及既定最低工资水平的前提下自行确定薪酬形式和办法。</w:t>
      </w:r>
    </w:p>
    <w:p w:rsidR="00000000" w:rsidRDefault="00000000">
      <w:pPr>
        <w:pStyle w:val="Heading4"/>
        <w:spacing w:before="320"/>
      </w:pPr>
      <w:r>
        <w:rPr>
          <w:rFonts w:hint="eastAsia"/>
        </w:rPr>
        <w:t>最低工资制度</w:t>
      </w:r>
    </w:p>
    <w:p w:rsidR="00000000" w:rsidRDefault="00000000">
      <w:pPr>
        <w:pStyle w:val="NormalIndent"/>
      </w:pPr>
      <w:r>
        <w:t xml:space="preserve">80.  </w:t>
      </w:r>
      <w:r>
        <w:rPr>
          <w:rFonts w:hint="eastAsia"/>
        </w:rPr>
        <w:t>根据</w:t>
      </w:r>
      <w:r>
        <w:rPr>
          <w:rFonts w:hint="eastAsia"/>
        </w:rPr>
        <w:t>1999</w:t>
      </w:r>
      <w:r>
        <w:rPr>
          <w:rFonts w:hint="eastAsia"/>
        </w:rPr>
        <w:t>年</w:t>
      </w:r>
      <w:r>
        <w:rPr>
          <w:rFonts w:hint="eastAsia"/>
        </w:rPr>
        <w:t>6</w:t>
      </w:r>
      <w:r>
        <w:rPr>
          <w:rFonts w:hint="eastAsia"/>
        </w:rPr>
        <w:t>月</w:t>
      </w:r>
      <w:r>
        <w:rPr>
          <w:rFonts w:hint="eastAsia"/>
        </w:rPr>
        <w:t>4</w:t>
      </w:r>
      <w:r>
        <w:rPr>
          <w:rFonts w:hint="eastAsia"/>
        </w:rPr>
        <w:t>日第</w:t>
      </w:r>
      <w:r>
        <w:rPr>
          <w:rFonts w:hint="eastAsia"/>
        </w:rPr>
        <w:t>351</w:t>
      </w:r>
      <w:r>
        <w:rPr>
          <w:rFonts w:hint="eastAsia"/>
        </w:rPr>
        <w:t>号总统政令，格鲁吉亚的最低工资水平定为</w:t>
      </w:r>
      <w:r>
        <w:rPr>
          <w:rFonts w:hint="eastAsia"/>
        </w:rPr>
        <w:t>20</w:t>
      </w:r>
      <w:r>
        <w:rPr>
          <w:rFonts w:hint="eastAsia"/>
        </w:rPr>
        <w:t>拉里</w:t>
      </w:r>
      <w:r>
        <w:rPr>
          <w:rFonts w:hint="eastAsia"/>
        </w:rPr>
        <w:t>(9.7</w:t>
      </w:r>
      <w:r>
        <w:rPr>
          <w:rFonts w:hint="eastAsia"/>
        </w:rPr>
        <w:t>美元</w:t>
      </w:r>
      <w:r>
        <w:rPr>
          <w:rFonts w:hint="eastAsia"/>
        </w:rPr>
        <w:t>)</w:t>
      </w:r>
      <w:r>
        <w:rPr>
          <w:rFonts w:hint="eastAsia"/>
        </w:rPr>
        <w:t>，相当于维持生活的最低需要水平的</w:t>
      </w:r>
      <w:r>
        <w:rPr>
          <w:rFonts w:hint="eastAsia"/>
        </w:rPr>
        <w:t>17%</w:t>
      </w:r>
      <w:r>
        <w:rPr>
          <w:rFonts w:hint="eastAsia"/>
        </w:rPr>
        <w:t>略高，平均工资水平的约</w:t>
      </w:r>
      <w:r>
        <w:rPr>
          <w:rFonts w:hint="eastAsia"/>
        </w:rPr>
        <w:t>25%</w:t>
      </w:r>
      <w:r>
        <w:rPr>
          <w:rFonts w:hint="eastAsia"/>
        </w:rPr>
        <w:t>。这个规定的最低工资水平对企业、组织、机构一律适用，不论其所有制形式和法律组织地位如何。因此，最低工资水平对工薪人员一律适用，不论是哪一类就业群体。最低工资水平具有法律效力，因为这种水平的确定是由《劳资法规》确定，而具体的数额则由总统政令加以批准。</w:t>
      </w:r>
    </w:p>
    <w:p w:rsidR="00000000" w:rsidRDefault="00000000">
      <w:pPr>
        <w:pStyle w:val="NormalIndent"/>
      </w:pPr>
      <w:r>
        <w:t xml:space="preserve">81.  </w:t>
      </w:r>
      <w:r>
        <w:rPr>
          <w:rFonts w:hint="eastAsia"/>
        </w:rPr>
        <w:t>根据《维持生活最低限度条件</w:t>
      </w:r>
      <w:r>
        <w:rPr>
          <w:rFonts w:hint="eastAsia"/>
        </w:rPr>
        <w:t>(</w:t>
      </w:r>
      <w:r>
        <w:rPr>
          <w:rFonts w:hint="eastAsia"/>
        </w:rPr>
        <w:t>计算程序</w:t>
      </w:r>
      <w:r>
        <w:rPr>
          <w:rFonts w:hint="eastAsia"/>
        </w:rPr>
        <w:t>)</w:t>
      </w:r>
      <w:r>
        <w:rPr>
          <w:rFonts w:hint="eastAsia"/>
        </w:rPr>
        <w:t>法》，维持生活最低限度条件要纳入最低工资水平的计算。如果由于消费方面通货膨胀造成最低工资水平相对于维持生活最低限度条件的下降，则必须随时加以修改。</w:t>
      </w:r>
    </w:p>
    <w:p w:rsidR="00000000" w:rsidRDefault="00000000">
      <w:pPr>
        <w:pStyle w:val="NormalIndent"/>
        <w:rPr>
          <w:spacing w:val="4"/>
        </w:rPr>
      </w:pPr>
      <w:r>
        <w:t xml:space="preserve">82. </w:t>
      </w:r>
      <w:r>
        <w:rPr>
          <w:spacing w:val="4"/>
        </w:rPr>
        <w:t xml:space="preserve"> </w:t>
      </w:r>
      <w:r>
        <w:rPr>
          <w:rFonts w:hint="eastAsia"/>
          <w:spacing w:val="4"/>
        </w:rPr>
        <w:t>在格鲁吉亚，最低工资办法的监测责任在于税务检查局和劳资关系检查局。</w:t>
      </w:r>
    </w:p>
    <w:p w:rsidR="00000000" w:rsidRDefault="00000000">
      <w:pPr>
        <w:pStyle w:val="Heading4"/>
        <w:spacing w:before="320"/>
      </w:pPr>
      <w:r>
        <w:rPr>
          <w:rFonts w:hint="eastAsia"/>
        </w:rPr>
        <w:t>最低工资水平</w:t>
      </w:r>
    </w:p>
    <w:p w:rsidR="00000000" w:rsidRDefault="00000000">
      <w:pPr>
        <w:pStyle w:val="NormalIndent"/>
      </w:pPr>
      <w:r>
        <w:t xml:space="preserve">83.  </w:t>
      </w:r>
      <w:r>
        <w:rPr>
          <w:rFonts w:hint="eastAsia"/>
        </w:rPr>
        <w:t>虽然近几年来本国经济增长前景有所好转，但工资水平仍不完全与实际经济因素相匹配。</w:t>
      </w:r>
    </w:p>
    <w:p w:rsidR="00000000" w:rsidRDefault="00000000">
      <w:pPr>
        <w:pStyle w:val="NormalIndent"/>
      </w:pPr>
      <w:r>
        <w:t xml:space="preserve">84.  </w:t>
      </w:r>
      <w:r>
        <w:rPr>
          <w:rFonts w:hint="eastAsia"/>
        </w:rPr>
        <w:t>从目前的情况看，作为衡量劳力价值的尺度，工资水平落后于实际生活费用，甚至不足以维持现状，更不可能有任何增长。此处只需要指出，截至</w:t>
      </w:r>
      <w:r>
        <w:rPr>
          <w:rFonts w:hint="eastAsia"/>
        </w:rPr>
        <w:t>2001</w:t>
      </w:r>
      <w:r>
        <w:rPr>
          <w:rFonts w:hint="eastAsia"/>
        </w:rPr>
        <w:t>年</w:t>
      </w:r>
      <w:r>
        <w:rPr>
          <w:rFonts w:hint="eastAsia"/>
        </w:rPr>
        <w:t>12</w:t>
      </w:r>
      <w:r>
        <w:rPr>
          <w:rFonts w:hint="eastAsia"/>
        </w:rPr>
        <w:t>月，平均工资相当于消费者维持生活平均最低限度条件的</w:t>
      </w:r>
      <w:r>
        <w:rPr>
          <w:rFonts w:hint="eastAsia"/>
        </w:rPr>
        <w:t>61.8%</w:t>
      </w:r>
      <w:r>
        <w:rPr>
          <w:rFonts w:hint="eastAsia"/>
        </w:rPr>
        <w:t>，而最低工资水平在这个指数中仅占</w:t>
      </w:r>
      <w:r>
        <w:rPr>
          <w:rFonts w:hint="eastAsia"/>
        </w:rPr>
        <w:t>20%</w:t>
      </w:r>
      <w:r>
        <w:rPr>
          <w:rFonts w:hint="eastAsia"/>
        </w:rPr>
        <w:t>。</w:t>
      </w:r>
    </w:p>
    <w:p w:rsidR="00000000" w:rsidRDefault="00000000">
      <w:pPr>
        <w:pStyle w:val="NormalIndent"/>
      </w:pPr>
      <w:r>
        <w:t xml:space="preserve">85.  </w:t>
      </w:r>
      <w:r>
        <w:rPr>
          <w:rFonts w:hint="eastAsia"/>
        </w:rPr>
        <w:t>工资水平极低，在总收入中不超过</w:t>
      </w:r>
      <w:r>
        <w:rPr>
          <w:rFonts w:hint="eastAsia"/>
        </w:rPr>
        <w:t>34.5%</w:t>
      </w:r>
      <w:r>
        <w:rPr>
          <w:rFonts w:hint="eastAsia"/>
        </w:rPr>
        <w:t>，大大低于临界水平</w:t>
      </w:r>
      <w:r>
        <w:rPr>
          <w:rFonts w:hint="eastAsia"/>
        </w:rPr>
        <w:t>(60%)</w:t>
      </w:r>
      <w:r>
        <w:rPr>
          <w:rFonts w:hint="eastAsia"/>
        </w:rPr>
        <w:t>。因此，格鲁吉亚旨在恢复就业动力的努力进展极慢。</w:t>
      </w:r>
    </w:p>
    <w:p w:rsidR="00000000" w:rsidRDefault="00000000">
      <w:pPr>
        <w:pStyle w:val="NormalIndent"/>
        <w:spacing w:after="120"/>
      </w:pPr>
      <w:r>
        <w:t xml:space="preserve">86.  </w:t>
      </w:r>
      <w:r>
        <w:rPr>
          <w:rFonts w:hint="eastAsia"/>
        </w:rPr>
        <w:t>统计资料表明，</w:t>
      </w:r>
      <w:r>
        <w:t>1997</w:t>
      </w:r>
      <w:r>
        <w:rPr>
          <w:rFonts w:hint="eastAsia"/>
        </w:rPr>
        <w:t>至</w:t>
      </w:r>
      <w:r>
        <w:rPr>
          <w:rFonts w:hint="eastAsia"/>
        </w:rPr>
        <w:t>2000</w:t>
      </w:r>
      <w:r>
        <w:rPr>
          <w:rFonts w:hint="eastAsia"/>
        </w:rPr>
        <w:t>年期间，平均工资增长</w:t>
      </w:r>
      <w:r>
        <w:t>47.3%</w:t>
      </w:r>
      <w:r>
        <w:rPr>
          <w:rFonts w:hint="eastAsia"/>
        </w:rPr>
        <w:t>，最低工资增长</w:t>
      </w:r>
      <w:r>
        <w:rPr>
          <w:rFonts w:hint="eastAsia"/>
        </w:rPr>
        <w:t>48.1%</w:t>
      </w:r>
      <w:r>
        <w:rPr>
          <w:rFonts w:hint="eastAsia"/>
        </w:rPr>
        <w:t>。从以下表格可以更清楚地看出这种趋向：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8"/>
        <w:gridCol w:w="1415"/>
        <w:gridCol w:w="1415"/>
        <w:gridCol w:w="1415"/>
        <w:gridCol w:w="1415"/>
        <w:gridCol w:w="1415"/>
        <w:gridCol w:w="1415"/>
      </w:tblGrid>
      <w:tr w:rsidR="00000000">
        <w:tblPrEx>
          <w:tblCellMar>
            <w:top w:w="0" w:type="dxa"/>
            <w:bottom w:w="0" w:type="dxa"/>
          </w:tblCellMar>
        </w:tblPrEx>
        <w:tc>
          <w:tcPr>
            <w:tcW w:w="1078" w:type="dxa"/>
          </w:tcPr>
          <w:p w:rsidR="00000000" w:rsidRDefault="00000000">
            <w:pPr>
              <w:pStyle w:val="NormalIndent"/>
              <w:tabs>
                <w:tab w:val="left" w:pos="442"/>
              </w:tabs>
              <w:spacing w:before="60" w:line="320" w:lineRule="exact"/>
              <w:ind w:left="57" w:right="57" w:firstLine="0"/>
              <w:jc w:val="center"/>
              <w:rPr>
                <w:rFonts w:hint="eastAsia"/>
                <w:spacing w:val="0"/>
                <w:sz w:val="21"/>
                <w:u w:val="single"/>
              </w:rPr>
            </w:pPr>
          </w:p>
          <w:p w:rsidR="00000000" w:rsidRDefault="00000000">
            <w:pPr>
              <w:pStyle w:val="NormalIndent"/>
              <w:tabs>
                <w:tab w:val="left" w:pos="442"/>
              </w:tabs>
              <w:spacing w:before="60" w:line="320" w:lineRule="exact"/>
              <w:ind w:left="57" w:right="57" w:firstLine="0"/>
              <w:jc w:val="center"/>
              <w:rPr>
                <w:spacing w:val="0"/>
                <w:sz w:val="21"/>
                <w:u w:val="single"/>
              </w:rPr>
            </w:pPr>
            <w:r>
              <w:rPr>
                <w:rFonts w:hint="eastAsia"/>
                <w:spacing w:val="0"/>
                <w:sz w:val="21"/>
                <w:u w:val="single"/>
              </w:rPr>
              <w:t>年</w:t>
            </w:r>
            <w:r>
              <w:rPr>
                <w:rFonts w:hint="eastAsia"/>
                <w:spacing w:val="0"/>
                <w:sz w:val="21"/>
                <w:u w:val="single"/>
              </w:rPr>
              <w:t xml:space="preserve">  </w:t>
            </w:r>
            <w:r>
              <w:rPr>
                <w:rFonts w:hint="eastAsia"/>
                <w:spacing w:val="0"/>
                <w:sz w:val="21"/>
                <w:u w:val="single"/>
              </w:rPr>
              <w:t>份</w:t>
            </w:r>
          </w:p>
        </w:tc>
        <w:tc>
          <w:tcPr>
            <w:tcW w:w="1415" w:type="dxa"/>
          </w:tcPr>
          <w:p w:rsidR="00000000" w:rsidRDefault="00000000">
            <w:pPr>
              <w:pStyle w:val="NormalIndent"/>
              <w:tabs>
                <w:tab w:val="left" w:pos="442"/>
              </w:tabs>
              <w:spacing w:line="320" w:lineRule="exact"/>
              <w:ind w:left="57" w:right="57" w:firstLine="0"/>
              <w:jc w:val="center"/>
              <w:rPr>
                <w:spacing w:val="0"/>
                <w:sz w:val="21"/>
                <w:u w:val="single"/>
              </w:rPr>
            </w:pPr>
            <w:r>
              <w:rPr>
                <w:rFonts w:hint="eastAsia"/>
                <w:spacing w:val="0"/>
                <w:sz w:val="21"/>
                <w:u w:val="single"/>
              </w:rPr>
              <w:t>男子整劳力维持生活最低限度条件</w:t>
            </w:r>
            <w:r>
              <w:rPr>
                <w:rFonts w:hint="eastAsia"/>
                <w:spacing w:val="0"/>
                <w:sz w:val="21"/>
                <w:u w:val="single"/>
              </w:rPr>
              <w:t>(</w:t>
            </w:r>
            <w:r>
              <w:rPr>
                <w:rFonts w:hint="eastAsia"/>
                <w:spacing w:val="0"/>
                <w:sz w:val="21"/>
                <w:u w:val="single"/>
              </w:rPr>
              <w:t>拉里</w:t>
            </w:r>
            <w:r>
              <w:rPr>
                <w:rFonts w:hint="eastAsia"/>
                <w:spacing w:val="0"/>
                <w:sz w:val="21"/>
                <w:u w:val="single"/>
              </w:rPr>
              <w:t>)</w:t>
            </w:r>
          </w:p>
        </w:tc>
        <w:tc>
          <w:tcPr>
            <w:tcW w:w="1415" w:type="dxa"/>
          </w:tcPr>
          <w:p w:rsidR="00000000" w:rsidRDefault="00000000">
            <w:pPr>
              <w:pStyle w:val="NormalIndent"/>
              <w:tabs>
                <w:tab w:val="left" w:pos="442"/>
              </w:tabs>
              <w:spacing w:before="60" w:line="320" w:lineRule="exact"/>
              <w:ind w:left="57" w:right="57" w:firstLine="0"/>
              <w:jc w:val="center"/>
              <w:rPr>
                <w:spacing w:val="0"/>
                <w:sz w:val="21"/>
                <w:u w:val="single"/>
              </w:rPr>
            </w:pPr>
            <w:r>
              <w:rPr>
                <w:rFonts w:hint="eastAsia"/>
                <w:spacing w:val="0"/>
                <w:sz w:val="21"/>
                <w:u w:val="single"/>
              </w:rPr>
              <w:t>平均工资</w:t>
            </w:r>
            <w:r>
              <w:rPr>
                <w:rFonts w:hint="eastAsia"/>
                <w:spacing w:val="0"/>
                <w:sz w:val="21"/>
                <w:u w:val="single"/>
              </w:rPr>
              <w:t>(</w:t>
            </w:r>
            <w:r>
              <w:rPr>
                <w:rFonts w:hint="eastAsia"/>
                <w:spacing w:val="0"/>
                <w:sz w:val="21"/>
                <w:u w:val="single"/>
              </w:rPr>
              <w:t>拉里</w:t>
            </w:r>
            <w:r>
              <w:rPr>
                <w:rFonts w:hint="eastAsia"/>
                <w:spacing w:val="0"/>
                <w:sz w:val="21"/>
                <w:u w:val="single"/>
              </w:rPr>
              <w:t>)</w:t>
            </w:r>
          </w:p>
        </w:tc>
        <w:tc>
          <w:tcPr>
            <w:tcW w:w="1415" w:type="dxa"/>
          </w:tcPr>
          <w:p w:rsidR="00000000" w:rsidRDefault="00000000">
            <w:pPr>
              <w:pStyle w:val="NormalIndent"/>
              <w:tabs>
                <w:tab w:val="left" w:pos="442"/>
              </w:tabs>
              <w:spacing w:before="60" w:line="320" w:lineRule="exact"/>
              <w:ind w:left="57" w:right="57" w:firstLine="0"/>
              <w:jc w:val="center"/>
              <w:rPr>
                <w:spacing w:val="0"/>
                <w:sz w:val="21"/>
                <w:u w:val="single"/>
              </w:rPr>
            </w:pPr>
            <w:r>
              <w:rPr>
                <w:rFonts w:hint="eastAsia"/>
                <w:spacing w:val="0"/>
                <w:sz w:val="21"/>
                <w:u w:val="single"/>
              </w:rPr>
              <w:t>最低工资</w:t>
            </w:r>
            <w:r>
              <w:rPr>
                <w:rFonts w:hint="eastAsia"/>
                <w:spacing w:val="0"/>
                <w:sz w:val="21"/>
                <w:u w:val="single"/>
              </w:rPr>
              <w:t>(</w:t>
            </w:r>
            <w:r>
              <w:rPr>
                <w:rFonts w:hint="eastAsia"/>
                <w:spacing w:val="0"/>
                <w:sz w:val="21"/>
                <w:u w:val="single"/>
              </w:rPr>
              <w:t>拉里</w:t>
            </w:r>
            <w:r>
              <w:rPr>
                <w:rFonts w:hint="eastAsia"/>
                <w:spacing w:val="0"/>
                <w:sz w:val="21"/>
                <w:u w:val="single"/>
              </w:rPr>
              <w:t>)</w:t>
            </w:r>
          </w:p>
        </w:tc>
        <w:tc>
          <w:tcPr>
            <w:tcW w:w="1415" w:type="dxa"/>
          </w:tcPr>
          <w:p w:rsidR="00000000" w:rsidRDefault="00000000">
            <w:pPr>
              <w:pStyle w:val="NormalIndent"/>
              <w:tabs>
                <w:tab w:val="left" w:pos="442"/>
              </w:tabs>
              <w:spacing w:before="60" w:line="320" w:lineRule="exact"/>
              <w:ind w:left="57" w:right="57" w:firstLine="0"/>
              <w:jc w:val="center"/>
              <w:rPr>
                <w:spacing w:val="0"/>
                <w:sz w:val="21"/>
                <w:u w:val="single"/>
              </w:rPr>
            </w:pPr>
            <w:r>
              <w:rPr>
                <w:rFonts w:hint="eastAsia"/>
                <w:spacing w:val="0"/>
                <w:sz w:val="21"/>
                <w:u w:val="single"/>
              </w:rPr>
              <w:t>平均工资，相当于维持生活最低限度条件的</w:t>
            </w:r>
            <w:r>
              <w:rPr>
                <w:spacing w:val="0"/>
                <w:sz w:val="21"/>
                <w:u w:val="single"/>
              </w:rPr>
              <w:br/>
            </w:r>
            <w:r>
              <w:rPr>
                <w:rFonts w:hint="eastAsia"/>
                <w:spacing w:val="0"/>
                <w:sz w:val="21"/>
                <w:u w:val="single"/>
              </w:rPr>
              <w:t>百分比</w:t>
            </w:r>
          </w:p>
        </w:tc>
        <w:tc>
          <w:tcPr>
            <w:tcW w:w="1415" w:type="dxa"/>
          </w:tcPr>
          <w:p w:rsidR="00000000" w:rsidRDefault="00000000">
            <w:pPr>
              <w:pStyle w:val="NormalIndent"/>
              <w:tabs>
                <w:tab w:val="left" w:pos="442"/>
              </w:tabs>
              <w:spacing w:before="60" w:line="320" w:lineRule="exact"/>
              <w:ind w:left="57" w:right="57" w:firstLine="0"/>
              <w:jc w:val="center"/>
              <w:rPr>
                <w:spacing w:val="0"/>
                <w:sz w:val="21"/>
                <w:u w:val="single"/>
              </w:rPr>
            </w:pPr>
            <w:r>
              <w:rPr>
                <w:rFonts w:hint="eastAsia"/>
                <w:spacing w:val="0"/>
                <w:sz w:val="21"/>
                <w:u w:val="single"/>
              </w:rPr>
              <w:t>最低工资，相当于维持生活最低限度条件的</w:t>
            </w:r>
            <w:r>
              <w:rPr>
                <w:spacing w:val="0"/>
                <w:sz w:val="21"/>
                <w:u w:val="single"/>
              </w:rPr>
              <w:br/>
            </w:r>
            <w:r>
              <w:rPr>
                <w:rFonts w:hint="eastAsia"/>
                <w:spacing w:val="0"/>
                <w:sz w:val="21"/>
                <w:u w:val="single"/>
              </w:rPr>
              <w:t>百分比</w:t>
            </w:r>
          </w:p>
        </w:tc>
        <w:tc>
          <w:tcPr>
            <w:tcW w:w="1415" w:type="dxa"/>
          </w:tcPr>
          <w:p w:rsidR="00000000" w:rsidRDefault="00000000">
            <w:pPr>
              <w:pStyle w:val="NormalIndent"/>
              <w:tabs>
                <w:tab w:val="left" w:pos="442"/>
              </w:tabs>
              <w:spacing w:before="60" w:line="320" w:lineRule="exact"/>
              <w:ind w:left="57" w:right="57" w:firstLine="0"/>
              <w:jc w:val="center"/>
              <w:rPr>
                <w:spacing w:val="0"/>
                <w:sz w:val="21"/>
                <w:u w:val="single"/>
              </w:rPr>
            </w:pPr>
            <w:r>
              <w:rPr>
                <w:rFonts w:hint="eastAsia"/>
                <w:spacing w:val="0"/>
                <w:sz w:val="21"/>
                <w:u w:val="single"/>
              </w:rPr>
              <w:t>最低工资，相当于平均工资的</w:t>
            </w:r>
            <w:r>
              <w:rPr>
                <w:spacing w:val="0"/>
                <w:sz w:val="21"/>
                <w:u w:val="single"/>
              </w:rPr>
              <w:br/>
            </w:r>
            <w:r>
              <w:rPr>
                <w:rFonts w:hint="eastAsia"/>
                <w:spacing w:val="0"/>
                <w:sz w:val="21"/>
                <w:u w:val="single"/>
              </w:rPr>
              <w:t>百分比</w:t>
            </w:r>
          </w:p>
        </w:tc>
      </w:tr>
      <w:tr w:rsidR="00000000">
        <w:tblPrEx>
          <w:tblCellMar>
            <w:top w:w="0" w:type="dxa"/>
            <w:bottom w:w="0" w:type="dxa"/>
          </w:tblCellMar>
        </w:tblPrEx>
        <w:tc>
          <w:tcPr>
            <w:tcW w:w="1078" w:type="dxa"/>
          </w:tcPr>
          <w:p w:rsidR="00000000" w:rsidRDefault="00000000">
            <w:pPr>
              <w:pStyle w:val="NormalIndent"/>
              <w:spacing w:before="60" w:line="320" w:lineRule="exact"/>
              <w:ind w:right="-49" w:firstLine="0"/>
              <w:jc w:val="center"/>
              <w:rPr>
                <w:spacing w:val="0"/>
                <w:sz w:val="21"/>
              </w:rPr>
            </w:pPr>
            <w:r>
              <w:rPr>
                <w:spacing w:val="0"/>
                <w:sz w:val="21"/>
              </w:rPr>
              <w:t>1997</w:t>
            </w:r>
          </w:p>
          <w:p w:rsidR="00000000" w:rsidRDefault="00000000">
            <w:pPr>
              <w:pStyle w:val="NormalIndent"/>
              <w:spacing w:before="60" w:line="320" w:lineRule="exact"/>
              <w:ind w:right="-49" w:firstLine="0"/>
              <w:jc w:val="center"/>
              <w:rPr>
                <w:spacing w:val="0"/>
                <w:sz w:val="21"/>
              </w:rPr>
            </w:pPr>
            <w:r>
              <w:rPr>
                <w:spacing w:val="0"/>
                <w:sz w:val="21"/>
              </w:rPr>
              <w:t>1998</w:t>
            </w:r>
          </w:p>
          <w:p w:rsidR="00000000" w:rsidRDefault="00000000">
            <w:pPr>
              <w:pStyle w:val="NormalIndent"/>
              <w:spacing w:before="60" w:line="320" w:lineRule="exact"/>
              <w:ind w:right="-49" w:firstLine="0"/>
              <w:jc w:val="center"/>
              <w:rPr>
                <w:spacing w:val="0"/>
                <w:sz w:val="21"/>
              </w:rPr>
            </w:pPr>
            <w:r>
              <w:rPr>
                <w:spacing w:val="0"/>
                <w:sz w:val="21"/>
              </w:rPr>
              <w:t>1999</w:t>
            </w:r>
          </w:p>
          <w:p w:rsidR="00000000" w:rsidRDefault="00000000">
            <w:pPr>
              <w:pStyle w:val="NormalIndent"/>
              <w:spacing w:before="60" w:line="320" w:lineRule="exact"/>
              <w:ind w:right="-49" w:firstLine="0"/>
              <w:jc w:val="center"/>
              <w:rPr>
                <w:spacing w:val="0"/>
                <w:sz w:val="21"/>
              </w:rPr>
            </w:pPr>
            <w:r>
              <w:rPr>
                <w:spacing w:val="0"/>
                <w:sz w:val="21"/>
              </w:rPr>
              <w:t>2000</w:t>
            </w:r>
          </w:p>
        </w:tc>
        <w:tc>
          <w:tcPr>
            <w:tcW w:w="1415" w:type="dxa"/>
          </w:tcPr>
          <w:p w:rsidR="00000000" w:rsidRDefault="00000000">
            <w:pPr>
              <w:pStyle w:val="NormalIndent"/>
              <w:spacing w:before="60" w:line="320" w:lineRule="exact"/>
              <w:ind w:left="360" w:right="-49" w:firstLine="0"/>
              <w:rPr>
                <w:spacing w:val="0"/>
                <w:sz w:val="21"/>
              </w:rPr>
            </w:pPr>
            <w:r>
              <w:rPr>
                <w:spacing w:val="0"/>
                <w:sz w:val="21"/>
              </w:rPr>
              <w:t>104</w:t>
            </w:r>
          </w:p>
          <w:p w:rsidR="00000000" w:rsidRDefault="00000000">
            <w:pPr>
              <w:pStyle w:val="NormalIndent"/>
              <w:spacing w:before="60" w:line="320" w:lineRule="exact"/>
              <w:ind w:left="360" w:right="-49" w:firstLine="0"/>
              <w:rPr>
                <w:spacing w:val="0"/>
                <w:sz w:val="21"/>
              </w:rPr>
            </w:pPr>
            <w:r>
              <w:rPr>
                <w:spacing w:val="0"/>
                <w:sz w:val="21"/>
              </w:rPr>
              <w:t>101.5</w:t>
            </w:r>
          </w:p>
          <w:p w:rsidR="00000000" w:rsidRDefault="00000000">
            <w:pPr>
              <w:pStyle w:val="NormalIndent"/>
              <w:spacing w:before="60" w:line="320" w:lineRule="exact"/>
              <w:ind w:left="360" w:right="-49" w:firstLine="0"/>
              <w:rPr>
                <w:spacing w:val="0"/>
                <w:sz w:val="21"/>
              </w:rPr>
            </w:pPr>
            <w:r>
              <w:rPr>
                <w:spacing w:val="0"/>
                <w:sz w:val="21"/>
              </w:rPr>
              <w:t>115.8</w:t>
            </w:r>
          </w:p>
          <w:p w:rsidR="00000000" w:rsidRDefault="00000000">
            <w:pPr>
              <w:pStyle w:val="NormalIndent"/>
              <w:spacing w:before="60" w:line="320" w:lineRule="exact"/>
              <w:ind w:left="360" w:right="-49" w:firstLine="0"/>
              <w:rPr>
                <w:spacing w:val="0"/>
                <w:sz w:val="21"/>
              </w:rPr>
            </w:pPr>
            <w:r>
              <w:rPr>
                <w:spacing w:val="0"/>
                <w:sz w:val="21"/>
              </w:rPr>
              <w:t>115.3</w:t>
            </w:r>
          </w:p>
        </w:tc>
        <w:tc>
          <w:tcPr>
            <w:tcW w:w="1415" w:type="dxa"/>
          </w:tcPr>
          <w:p w:rsidR="00000000" w:rsidRDefault="00000000">
            <w:pPr>
              <w:pStyle w:val="NormalIndent"/>
              <w:spacing w:before="60" w:line="320" w:lineRule="exact"/>
              <w:ind w:left="360" w:right="-49" w:firstLine="0"/>
              <w:rPr>
                <w:spacing w:val="0"/>
                <w:sz w:val="21"/>
              </w:rPr>
            </w:pPr>
            <w:r>
              <w:rPr>
                <w:spacing w:val="0"/>
                <w:sz w:val="21"/>
              </w:rPr>
              <w:t>54.9</w:t>
            </w:r>
          </w:p>
          <w:p w:rsidR="00000000" w:rsidRDefault="00000000">
            <w:pPr>
              <w:pStyle w:val="NormalIndent"/>
              <w:spacing w:before="60" w:line="320" w:lineRule="exact"/>
              <w:ind w:left="360" w:right="-49" w:firstLine="0"/>
              <w:rPr>
                <w:spacing w:val="0"/>
                <w:sz w:val="21"/>
              </w:rPr>
            </w:pPr>
            <w:r>
              <w:rPr>
                <w:spacing w:val="0"/>
                <w:sz w:val="21"/>
              </w:rPr>
              <w:t>55.2</w:t>
            </w:r>
          </w:p>
          <w:p w:rsidR="00000000" w:rsidRDefault="00000000">
            <w:pPr>
              <w:pStyle w:val="NormalIndent"/>
              <w:spacing w:before="60" w:line="320" w:lineRule="exact"/>
              <w:ind w:left="360" w:right="-49" w:firstLine="0"/>
              <w:rPr>
                <w:rFonts w:hint="eastAsia"/>
                <w:spacing w:val="0"/>
                <w:sz w:val="21"/>
              </w:rPr>
            </w:pPr>
            <w:r>
              <w:rPr>
                <w:spacing w:val="0"/>
                <w:sz w:val="21"/>
              </w:rPr>
              <w:t>67.5</w:t>
            </w:r>
          </w:p>
          <w:p w:rsidR="00000000" w:rsidRDefault="00000000">
            <w:pPr>
              <w:pStyle w:val="NormalIndent"/>
              <w:spacing w:before="60" w:line="320" w:lineRule="exact"/>
              <w:ind w:left="360" w:right="-49" w:firstLine="0"/>
              <w:rPr>
                <w:spacing w:val="0"/>
                <w:sz w:val="21"/>
              </w:rPr>
            </w:pPr>
            <w:r>
              <w:rPr>
                <w:spacing w:val="0"/>
                <w:sz w:val="21"/>
              </w:rPr>
              <w:t>80.9</w:t>
            </w:r>
          </w:p>
        </w:tc>
        <w:tc>
          <w:tcPr>
            <w:tcW w:w="1415" w:type="dxa"/>
          </w:tcPr>
          <w:p w:rsidR="00000000" w:rsidRDefault="00000000">
            <w:pPr>
              <w:pStyle w:val="NormalIndent"/>
              <w:spacing w:before="60" w:line="320" w:lineRule="exact"/>
              <w:ind w:left="360" w:right="-49" w:firstLine="0"/>
              <w:rPr>
                <w:spacing w:val="0"/>
                <w:sz w:val="21"/>
              </w:rPr>
            </w:pPr>
            <w:r>
              <w:rPr>
                <w:spacing w:val="0"/>
                <w:sz w:val="21"/>
              </w:rPr>
              <w:t>13.5</w:t>
            </w:r>
          </w:p>
          <w:p w:rsidR="00000000" w:rsidRDefault="00000000">
            <w:pPr>
              <w:pStyle w:val="NormalIndent"/>
              <w:spacing w:before="60" w:line="320" w:lineRule="exact"/>
              <w:ind w:left="360" w:right="-49" w:firstLine="0"/>
              <w:rPr>
                <w:spacing w:val="0"/>
                <w:sz w:val="21"/>
              </w:rPr>
            </w:pPr>
            <w:r>
              <w:rPr>
                <w:spacing w:val="0"/>
                <w:sz w:val="21"/>
              </w:rPr>
              <w:t>17.3</w:t>
            </w:r>
          </w:p>
          <w:p w:rsidR="00000000" w:rsidRDefault="00000000">
            <w:pPr>
              <w:pStyle w:val="NormalIndent"/>
              <w:spacing w:before="60" w:line="320" w:lineRule="exact"/>
              <w:ind w:left="360" w:right="-49" w:firstLine="0"/>
              <w:rPr>
                <w:spacing w:val="0"/>
                <w:sz w:val="21"/>
              </w:rPr>
            </w:pPr>
            <w:r>
              <w:rPr>
                <w:spacing w:val="0"/>
                <w:sz w:val="21"/>
              </w:rPr>
              <w:t>20</w:t>
            </w:r>
          </w:p>
          <w:p w:rsidR="00000000" w:rsidRDefault="00000000">
            <w:pPr>
              <w:pStyle w:val="NormalIndent"/>
              <w:spacing w:before="60" w:line="320" w:lineRule="exact"/>
              <w:ind w:left="360" w:right="-49" w:firstLine="0"/>
              <w:rPr>
                <w:spacing w:val="0"/>
                <w:sz w:val="21"/>
              </w:rPr>
            </w:pPr>
            <w:r>
              <w:rPr>
                <w:spacing w:val="0"/>
                <w:sz w:val="21"/>
              </w:rPr>
              <w:t>20</w:t>
            </w:r>
          </w:p>
        </w:tc>
        <w:tc>
          <w:tcPr>
            <w:tcW w:w="1415" w:type="dxa"/>
          </w:tcPr>
          <w:p w:rsidR="00000000" w:rsidRDefault="00000000">
            <w:pPr>
              <w:pStyle w:val="NormalIndent"/>
              <w:spacing w:before="60" w:line="320" w:lineRule="exact"/>
              <w:ind w:left="360" w:right="-49" w:firstLine="0"/>
              <w:rPr>
                <w:spacing w:val="0"/>
                <w:sz w:val="21"/>
              </w:rPr>
            </w:pPr>
            <w:r>
              <w:rPr>
                <w:spacing w:val="0"/>
                <w:sz w:val="21"/>
              </w:rPr>
              <w:t>52.8</w:t>
            </w:r>
          </w:p>
          <w:p w:rsidR="00000000" w:rsidRDefault="00000000">
            <w:pPr>
              <w:pStyle w:val="NormalIndent"/>
              <w:spacing w:before="60" w:line="320" w:lineRule="exact"/>
              <w:ind w:left="360" w:right="-49" w:firstLine="0"/>
              <w:rPr>
                <w:spacing w:val="0"/>
                <w:sz w:val="21"/>
              </w:rPr>
            </w:pPr>
            <w:r>
              <w:rPr>
                <w:spacing w:val="0"/>
                <w:sz w:val="21"/>
              </w:rPr>
              <w:t>54.5</w:t>
            </w:r>
          </w:p>
          <w:p w:rsidR="00000000" w:rsidRDefault="00000000">
            <w:pPr>
              <w:pStyle w:val="NormalIndent"/>
              <w:spacing w:before="60" w:line="320" w:lineRule="exact"/>
              <w:ind w:left="360" w:right="-49" w:firstLine="0"/>
              <w:rPr>
                <w:spacing w:val="0"/>
                <w:sz w:val="21"/>
              </w:rPr>
            </w:pPr>
            <w:r>
              <w:rPr>
                <w:spacing w:val="0"/>
                <w:sz w:val="21"/>
              </w:rPr>
              <w:t>58.3</w:t>
            </w:r>
          </w:p>
          <w:p w:rsidR="00000000" w:rsidRDefault="00000000">
            <w:pPr>
              <w:pStyle w:val="NormalIndent"/>
              <w:spacing w:before="60" w:line="320" w:lineRule="exact"/>
              <w:ind w:left="360" w:right="-49" w:firstLine="0"/>
              <w:rPr>
                <w:spacing w:val="0"/>
                <w:sz w:val="21"/>
              </w:rPr>
            </w:pPr>
            <w:r>
              <w:rPr>
                <w:spacing w:val="0"/>
                <w:sz w:val="21"/>
              </w:rPr>
              <w:t>70.2</w:t>
            </w:r>
          </w:p>
        </w:tc>
        <w:tc>
          <w:tcPr>
            <w:tcW w:w="1415" w:type="dxa"/>
          </w:tcPr>
          <w:p w:rsidR="00000000" w:rsidRDefault="00000000">
            <w:pPr>
              <w:pStyle w:val="NormalIndent"/>
              <w:spacing w:before="60" w:line="320" w:lineRule="exact"/>
              <w:ind w:left="360" w:right="-49" w:firstLine="0"/>
              <w:rPr>
                <w:spacing w:val="0"/>
                <w:sz w:val="21"/>
              </w:rPr>
            </w:pPr>
            <w:r>
              <w:rPr>
                <w:spacing w:val="0"/>
                <w:sz w:val="21"/>
              </w:rPr>
              <w:t>13.0</w:t>
            </w:r>
          </w:p>
          <w:p w:rsidR="00000000" w:rsidRDefault="00000000">
            <w:pPr>
              <w:pStyle w:val="NormalIndent"/>
              <w:spacing w:before="60" w:line="320" w:lineRule="exact"/>
              <w:ind w:left="360" w:right="-49" w:firstLine="0"/>
              <w:rPr>
                <w:spacing w:val="0"/>
                <w:sz w:val="21"/>
              </w:rPr>
            </w:pPr>
            <w:r>
              <w:rPr>
                <w:spacing w:val="0"/>
                <w:sz w:val="21"/>
              </w:rPr>
              <w:t>17.0</w:t>
            </w:r>
          </w:p>
          <w:p w:rsidR="00000000" w:rsidRDefault="00000000">
            <w:pPr>
              <w:pStyle w:val="NormalIndent"/>
              <w:spacing w:before="60" w:line="320" w:lineRule="exact"/>
              <w:ind w:left="360" w:right="-49" w:firstLine="0"/>
              <w:rPr>
                <w:spacing w:val="0"/>
                <w:sz w:val="21"/>
              </w:rPr>
            </w:pPr>
            <w:r>
              <w:rPr>
                <w:spacing w:val="0"/>
                <w:sz w:val="21"/>
              </w:rPr>
              <w:t>17.3</w:t>
            </w:r>
          </w:p>
          <w:p w:rsidR="00000000" w:rsidRDefault="00000000">
            <w:pPr>
              <w:pStyle w:val="NormalIndent"/>
              <w:spacing w:before="60" w:line="320" w:lineRule="exact"/>
              <w:ind w:left="360" w:right="-49" w:firstLine="0"/>
              <w:rPr>
                <w:spacing w:val="0"/>
                <w:sz w:val="21"/>
              </w:rPr>
            </w:pPr>
            <w:r>
              <w:rPr>
                <w:spacing w:val="0"/>
                <w:sz w:val="21"/>
              </w:rPr>
              <w:t>17.3</w:t>
            </w:r>
          </w:p>
        </w:tc>
        <w:tc>
          <w:tcPr>
            <w:tcW w:w="1415" w:type="dxa"/>
          </w:tcPr>
          <w:p w:rsidR="00000000" w:rsidRDefault="00000000">
            <w:pPr>
              <w:pStyle w:val="NormalIndent"/>
              <w:spacing w:before="60" w:line="320" w:lineRule="exact"/>
              <w:ind w:left="360" w:right="-49" w:firstLine="0"/>
              <w:rPr>
                <w:spacing w:val="0"/>
                <w:sz w:val="21"/>
              </w:rPr>
            </w:pPr>
            <w:r>
              <w:rPr>
                <w:spacing w:val="0"/>
                <w:sz w:val="21"/>
              </w:rPr>
              <w:t>24.6</w:t>
            </w:r>
          </w:p>
          <w:p w:rsidR="00000000" w:rsidRDefault="00000000">
            <w:pPr>
              <w:pStyle w:val="NormalIndent"/>
              <w:spacing w:before="60" w:line="320" w:lineRule="exact"/>
              <w:ind w:left="360" w:right="-49" w:firstLine="0"/>
              <w:rPr>
                <w:spacing w:val="0"/>
                <w:sz w:val="21"/>
              </w:rPr>
            </w:pPr>
            <w:r>
              <w:rPr>
                <w:spacing w:val="0"/>
                <w:sz w:val="21"/>
              </w:rPr>
              <w:t>31.3</w:t>
            </w:r>
          </w:p>
          <w:p w:rsidR="00000000" w:rsidRDefault="00000000">
            <w:pPr>
              <w:pStyle w:val="NormalIndent"/>
              <w:spacing w:before="60" w:line="320" w:lineRule="exact"/>
              <w:ind w:left="360" w:right="-49" w:firstLine="0"/>
              <w:rPr>
                <w:spacing w:val="0"/>
                <w:sz w:val="21"/>
              </w:rPr>
            </w:pPr>
            <w:r>
              <w:rPr>
                <w:spacing w:val="0"/>
                <w:sz w:val="21"/>
              </w:rPr>
              <w:t>29.6</w:t>
            </w:r>
          </w:p>
          <w:p w:rsidR="00000000" w:rsidRDefault="00000000">
            <w:pPr>
              <w:pStyle w:val="NormalIndent"/>
              <w:spacing w:before="60" w:line="320" w:lineRule="exact"/>
              <w:ind w:left="360" w:right="-49" w:firstLine="0"/>
              <w:rPr>
                <w:spacing w:val="0"/>
                <w:sz w:val="21"/>
              </w:rPr>
            </w:pPr>
            <w:r>
              <w:rPr>
                <w:spacing w:val="0"/>
                <w:sz w:val="21"/>
              </w:rPr>
              <w:t>24.7</w:t>
            </w:r>
          </w:p>
        </w:tc>
      </w:tr>
    </w:tbl>
    <w:p w:rsidR="00000000" w:rsidRDefault="00000000"/>
    <w:p w:rsidR="00000000" w:rsidRDefault="00000000">
      <w:pPr>
        <w:pStyle w:val="Heading4"/>
      </w:pPr>
      <w:r>
        <w:rPr>
          <w:rFonts w:hint="eastAsia"/>
        </w:rPr>
        <w:t>工薪方面的男女平等状况</w:t>
      </w:r>
    </w:p>
    <w:p w:rsidR="00000000" w:rsidRDefault="00000000">
      <w:pPr>
        <w:pStyle w:val="NormalIndent"/>
      </w:pPr>
      <w:r>
        <w:t xml:space="preserve">87.  </w:t>
      </w:r>
      <w:r>
        <w:rPr>
          <w:rFonts w:hint="eastAsia"/>
        </w:rPr>
        <w:t>根据《劳资法规》</w:t>
      </w:r>
      <w:r>
        <w:rPr>
          <w:rFonts w:hint="eastAsia"/>
        </w:rPr>
        <w:t>(</w:t>
      </w:r>
      <w:r>
        <w:rPr>
          <w:rFonts w:hint="eastAsia"/>
        </w:rPr>
        <w:t>第</w:t>
      </w:r>
      <w:r>
        <w:rPr>
          <w:rFonts w:hint="eastAsia"/>
        </w:rPr>
        <w:t>75</w:t>
      </w:r>
      <w:r>
        <w:rPr>
          <w:rFonts w:hint="eastAsia"/>
        </w:rPr>
        <w:t>条第</w:t>
      </w:r>
      <w:r>
        <w:rPr>
          <w:rFonts w:hint="eastAsia"/>
        </w:rPr>
        <w:t>2</w:t>
      </w:r>
      <w:r>
        <w:rPr>
          <w:rFonts w:hint="eastAsia"/>
        </w:rPr>
        <w:t>款</w:t>
      </w:r>
      <w:r>
        <w:rPr>
          <w:rFonts w:hint="eastAsia"/>
        </w:rPr>
        <w:t>)</w:t>
      </w:r>
      <w:r>
        <w:rPr>
          <w:rFonts w:hint="eastAsia"/>
        </w:rPr>
        <w:t>，不得其以包括性别在内的歧视性的理由对工薪的支付加以限制。</w:t>
      </w:r>
    </w:p>
    <w:p w:rsidR="00000000" w:rsidRDefault="00000000">
      <w:pPr>
        <w:pStyle w:val="NormalIndent"/>
      </w:pPr>
      <w:r>
        <w:t xml:space="preserve">88.  </w:t>
      </w:r>
      <w:r>
        <w:rPr>
          <w:rFonts w:hint="eastAsia"/>
        </w:rPr>
        <w:t>经济各部门妇女平均月工资为</w:t>
      </w:r>
      <w:r>
        <w:rPr>
          <w:rFonts w:hint="eastAsia"/>
        </w:rPr>
        <w:t>55.4</w:t>
      </w:r>
      <w:r>
        <w:rPr>
          <w:rFonts w:hint="eastAsia"/>
        </w:rPr>
        <w:t>拉里，男子为</w:t>
      </w:r>
      <w:r>
        <w:rPr>
          <w:rFonts w:hint="eastAsia"/>
        </w:rPr>
        <w:t>111.6</w:t>
      </w:r>
      <w:r>
        <w:rPr>
          <w:rFonts w:hint="eastAsia"/>
        </w:rPr>
        <w:t>拉里。据劳动、卫生和社会福利部表示，男女收入的差别原因不在于歧视，而是在于大多数妇女从事的都是低工资工作，而在企业从事管理工作的大多数是男子。</w:t>
      </w:r>
    </w:p>
    <w:p w:rsidR="00000000" w:rsidRDefault="00000000">
      <w:pPr>
        <w:pStyle w:val="NormalIndent"/>
      </w:pPr>
      <w:r>
        <w:t xml:space="preserve">89.  </w:t>
      </w:r>
      <w:r>
        <w:rPr>
          <w:rFonts w:hint="eastAsia"/>
        </w:rPr>
        <w:t>因此，看来在这方面引起经济、社会、文化权利委员会关注的问题</w:t>
      </w:r>
      <w:r>
        <w:rPr>
          <w:rFonts w:hint="eastAsia"/>
        </w:rPr>
        <w:t>(</w:t>
      </w:r>
      <w:r>
        <w:rPr>
          <w:rFonts w:hint="eastAsia"/>
        </w:rPr>
        <w:t>第</w:t>
      </w:r>
      <w:r>
        <w:rPr>
          <w:rFonts w:hint="eastAsia"/>
        </w:rPr>
        <w:t>13</w:t>
      </w:r>
      <w:r>
        <w:rPr>
          <w:rFonts w:hint="eastAsia"/>
        </w:rPr>
        <w:t>和</w:t>
      </w:r>
      <w:r>
        <w:rPr>
          <w:rFonts w:hint="eastAsia"/>
        </w:rPr>
        <w:t>14</w:t>
      </w:r>
      <w:r>
        <w:rPr>
          <w:rFonts w:hint="eastAsia"/>
        </w:rPr>
        <w:t>段</w:t>
      </w:r>
      <w:r>
        <w:rPr>
          <w:rFonts w:hint="eastAsia"/>
        </w:rPr>
        <w:t>)</w:t>
      </w:r>
      <w:r>
        <w:rPr>
          <w:rFonts w:hint="eastAsia"/>
        </w:rPr>
        <w:t>基本上还没有克服。这方面的进一步资料见根据《消除一切形式种族歧视公约》提交的初步报告</w:t>
      </w:r>
      <w:r>
        <w:rPr>
          <w:rFonts w:hint="eastAsia"/>
        </w:rPr>
        <w:t>(</w:t>
      </w:r>
      <w:r>
        <w:rPr>
          <w:rFonts w:hint="eastAsia"/>
        </w:rPr>
        <w:t>第</w:t>
      </w:r>
      <w:r>
        <w:rPr>
          <w:rFonts w:hint="eastAsia"/>
        </w:rPr>
        <w:t>214</w:t>
      </w:r>
      <w:r>
        <w:rPr>
          <w:rFonts w:hint="eastAsia"/>
        </w:rPr>
        <w:t>和</w:t>
      </w:r>
      <w:r>
        <w:rPr>
          <w:rFonts w:hint="eastAsia"/>
        </w:rPr>
        <w:t>215</w:t>
      </w:r>
      <w:r>
        <w:rPr>
          <w:rFonts w:hint="eastAsia"/>
        </w:rPr>
        <w:t>段</w:t>
      </w:r>
      <w:r>
        <w:rPr>
          <w:rFonts w:hint="eastAsia"/>
        </w:rPr>
        <w:t>)</w:t>
      </w:r>
      <w:r>
        <w:rPr>
          <w:rFonts w:hint="eastAsia"/>
        </w:rPr>
        <w:t>。</w:t>
      </w:r>
    </w:p>
    <w:p w:rsidR="00000000" w:rsidRDefault="00000000">
      <w:pPr>
        <w:pStyle w:val="Heading4"/>
        <w:spacing w:before="320"/>
      </w:pPr>
      <w:r>
        <w:rPr>
          <w:rFonts w:hint="eastAsia"/>
        </w:rPr>
        <w:t>国营部门和私营部门职工收入分布情况</w:t>
      </w:r>
    </w:p>
    <w:p w:rsidR="00000000" w:rsidRDefault="00000000">
      <w:pPr>
        <w:pStyle w:val="NormalIndent"/>
      </w:pPr>
      <w:r>
        <w:t xml:space="preserve">90.  </w:t>
      </w:r>
      <w:r>
        <w:rPr>
          <w:rFonts w:hint="eastAsia"/>
        </w:rPr>
        <w:t>随着向市场经济的转型以及由此而在国内形成的经济状况，收入结构也</w:t>
      </w:r>
      <w:r>
        <w:rPr>
          <w:rFonts w:hint="eastAsia"/>
          <w:spacing w:val="4"/>
        </w:rPr>
        <w:t>发生了变化。家庭调查表明，</w:t>
      </w:r>
      <w:r>
        <w:rPr>
          <w:rFonts w:hint="eastAsia"/>
          <w:spacing w:val="4"/>
        </w:rPr>
        <w:t>2000</w:t>
      </w:r>
      <w:r>
        <w:rPr>
          <w:rFonts w:hint="eastAsia"/>
          <w:spacing w:val="4"/>
        </w:rPr>
        <w:t>年每户平均月收入为</w:t>
      </w:r>
      <w:r>
        <w:rPr>
          <w:rFonts w:hint="eastAsia"/>
          <w:spacing w:val="4"/>
        </w:rPr>
        <w:t>174.8</w:t>
      </w:r>
      <w:r>
        <w:rPr>
          <w:rFonts w:hint="eastAsia"/>
          <w:spacing w:val="4"/>
        </w:rPr>
        <w:t>拉里。在家庭总收入中，工薪收入占</w:t>
      </w:r>
      <w:r>
        <w:rPr>
          <w:rFonts w:hint="eastAsia"/>
          <w:spacing w:val="4"/>
        </w:rPr>
        <w:t>25.1%</w:t>
      </w:r>
      <w:r>
        <w:rPr>
          <w:rFonts w:hint="eastAsia"/>
          <w:spacing w:val="4"/>
        </w:rPr>
        <w:t>，非工薪收入占</w:t>
      </w:r>
      <w:r>
        <w:rPr>
          <w:rFonts w:hint="eastAsia"/>
          <w:spacing w:val="4"/>
        </w:rPr>
        <w:t>22.7%</w:t>
      </w:r>
      <w:r>
        <w:rPr>
          <w:rFonts w:hint="eastAsia"/>
          <w:spacing w:val="4"/>
        </w:rPr>
        <w:t>。家庭收入的一半以</w:t>
      </w:r>
      <w:r>
        <w:rPr>
          <w:rFonts w:hint="eastAsia"/>
        </w:rPr>
        <w:t>上</w:t>
      </w:r>
      <w:r>
        <w:rPr>
          <w:rFonts w:hint="eastAsia"/>
          <w:spacing w:val="-40"/>
        </w:rPr>
        <w:t>——</w:t>
      </w:r>
      <w:r>
        <w:t xml:space="preserve"> 52.5%</w:t>
      </w:r>
      <w:r>
        <w:rPr>
          <w:rFonts w:hint="eastAsia"/>
          <w:spacing w:val="-40"/>
        </w:rPr>
        <w:t>——</w:t>
      </w:r>
      <w:r>
        <w:t xml:space="preserve"> </w:t>
      </w:r>
      <w:r>
        <w:rPr>
          <w:rFonts w:hint="eastAsia"/>
        </w:rPr>
        <w:t>是房地产租金收入、亲友资助、农产品销售收入等等。</w:t>
      </w:r>
    </w:p>
    <w:p w:rsidR="00000000" w:rsidRDefault="00000000">
      <w:pPr>
        <w:pStyle w:val="NormalIndent"/>
      </w:pPr>
      <w:r>
        <w:t xml:space="preserve">91.  </w:t>
      </w:r>
      <w:r>
        <w:rPr>
          <w:rFonts w:hint="eastAsia"/>
        </w:rPr>
        <w:t>2000</w:t>
      </w:r>
      <w:r>
        <w:rPr>
          <w:rFonts w:hint="eastAsia"/>
        </w:rPr>
        <w:t>年，户平均支出为每月</w:t>
      </w:r>
      <w:r>
        <w:rPr>
          <w:rFonts w:hint="eastAsia"/>
        </w:rPr>
        <w:t>262</w:t>
      </w:r>
      <w:r>
        <w:rPr>
          <w:rFonts w:hint="eastAsia"/>
        </w:rPr>
        <w:t>拉里，而相比之下，</w:t>
      </w:r>
      <w:r>
        <w:rPr>
          <w:rFonts w:hint="eastAsia"/>
        </w:rPr>
        <w:t>(</w:t>
      </w:r>
      <w:r>
        <w:rPr>
          <w:rFonts w:hint="eastAsia"/>
        </w:rPr>
        <w:t>户平均</w:t>
      </w:r>
      <w:r>
        <w:rPr>
          <w:rFonts w:hint="eastAsia"/>
        </w:rPr>
        <w:t>)</w:t>
      </w:r>
      <w:r>
        <w:rPr>
          <w:rFonts w:hint="eastAsia"/>
        </w:rPr>
        <w:t>总收入为</w:t>
      </w:r>
      <w:r>
        <w:rPr>
          <w:rFonts w:hint="eastAsia"/>
        </w:rPr>
        <w:t>174.8</w:t>
      </w:r>
      <w:r>
        <w:rPr>
          <w:rFonts w:hint="eastAsia"/>
        </w:rPr>
        <w:t>拉里。国营部门与私营部门的工资水平相比较，</w:t>
      </w:r>
      <w:r>
        <w:rPr>
          <w:rFonts w:hint="eastAsia"/>
        </w:rPr>
        <w:t>2000</w:t>
      </w:r>
      <w:r>
        <w:rPr>
          <w:rFonts w:hint="eastAsia"/>
        </w:rPr>
        <w:t>年的数据表明，私营部门平均工资为</w:t>
      </w:r>
      <w:r>
        <w:rPr>
          <w:rFonts w:hint="eastAsia"/>
        </w:rPr>
        <w:t>98.3</w:t>
      </w:r>
      <w:r>
        <w:rPr>
          <w:rFonts w:hint="eastAsia"/>
        </w:rPr>
        <w:t>拉里，而国营部门只有</w:t>
      </w:r>
      <w:r>
        <w:rPr>
          <w:rFonts w:hint="eastAsia"/>
        </w:rPr>
        <w:t>56.7</w:t>
      </w:r>
      <w:r>
        <w:rPr>
          <w:rFonts w:hint="eastAsia"/>
        </w:rPr>
        <w:t>拉里。</w:t>
      </w:r>
    </w:p>
    <w:p w:rsidR="00000000" w:rsidRDefault="00000000">
      <w:pPr>
        <w:pStyle w:val="NormalIndent"/>
        <w:rPr>
          <w:rFonts w:hint="eastAsia"/>
        </w:rPr>
      </w:pPr>
      <w:r>
        <w:t xml:space="preserve">92.  </w:t>
      </w:r>
      <w:r>
        <w:rPr>
          <w:rFonts w:hint="eastAsia"/>
        </w:rPr>
        <w:t>关于公正薪酬权的进一步资料，见格鲁吉亚根据《消除一切形式种族歧视国际公约》提交的初步报告</w:t>
      </w:r>
      <w:r>
        <w:rPr>
          <w:rFonts w:hint="eastAsia"/>
        </w:rPr>
        <w:t>(</w:t>
      </w:r>
      <w:r>
        <w:rPr>
          <w:rFonts w:hint="eastAsia"/>
        </w:rPr>
        <w:t>第</w:t>
      </w:r>
      <w:r>
        <w:rPr>
          <w:rFonts w:hint="eastAsia"/>
        </w:rPr>
        <w:t>205</w:t>
      </w:r>
      <w:r>
        <w:rPr>
          <w:rFonts w:hint="eastAsia"/>
        </w:rPr>
        <w:t>—</w:t>
      </w:r>
      <w:r>
        <w:rPr>
          <w:rFonts w:hint="eastAsia"/>
        </w:rPr>
        <w:t>207</w:t>
      </w:r>
      <w:r>
        <w:rPr>
          <w:rFonts w:hint="eastAsia"/>
        </w:rPr>
        <w:t>段</w:t>
      </w:r>
      <w:r>
        <w:rPr>
          <w:rFonts w:hint="eastAsia"/>
        </w:rPr>
        <w:t>)</w:t>
      </w:r>
      <w:r>
        <w:rPr>
          <w:rFonts w:hint="eastAsia"/>
        </w:rPr>
        <w:t>。</w:t>
      </w:r>
    </w:p>
    <w:p w:rsidR="00000000" w:rsidRDefault="00000000">
      <w:pPr>
        <w:pStyle w:val="Heading4"/>
        <w:spacing w:before="320"/>
      </w:pPr>
      <w:r>
        <w:rPr>
          <w:rFonts w:hint="eastAsia"/>
        </w:rPr>
        <w:t>最低限度工作条件</w:t>
      </w:r>
    </w:p>
    <w:p w:rsidR="00000000" w:rsidRDefault="00000000">
      <w:pPr>
        <w:pStyle w:val="NormalIndent"/>
      </w:pPr>
      <w:r>
        <w:t xml:space="preserve">93.  </w:t>
      </w:r>
      <w:r>
        <w:rPr>
          <w:rFonts w:hint="eastAsia"/>
        </w:rPr>
        <w:t>本国的最低限度工作条件总体上由《劳资法规》加以规定，就具体工作而言，这种条件则由企业和组织与雇员签订的劳动合同和集体协议加以规定。最低限度工作条件的监督由劳资关系检查局负责。格鲁吉亚的企业和组织一律必须遵守《劳资法规》确定的标准，不论其法律组织地位或所有制形式如何。</w:t>
      </w:r>
    </w:p>
    <w:p w:rsidR="00000000" w:rsidRDefault="00000000">
      <w:pPr>
        <w:pStyle w:val="NormalIndent"/>
      </w:pPr>
      <w:r>
        <w:t xml:space="preserve">94.  </w:t>
      </w:r>
      <w:r>
        <w:rPr>
          <w:rFonts w:hint="eastAsia"/>
        </w:rPr>
        <w:t>国家劳资关系检查局的数据表明，</w:t>
      </w:r>
      <w:r>
        <w:rPr>
          <w:rFonts w:hint="eastAsia"/>
        </w:rPr>
        <w:t>2000</w:t>
      </w:r>
      <w:r>
        <w:rPr>
          <w:rFonts w:hint="eastAsia"/>
        </w:rPr>
        <w:t>年上报的工伤事故为</w:t>
      </w:r>
      <w:r>
        <w:rPr>
          <w:rFonts w:hint="eastAsia"/>
        </w:rPr>
        <w:t>31</w:t>
      </w:r>
      <w:r>
        <w:rPr>
          <w:rFonts w:hint="eastAsia"/>
        </w:rPr>
        <w:t>起；造成</w:t>
      </w:r>
      <w:r>
        <w:rPr>
          <w:rFonts w:hint="eastAsia"/>
        </w:rPr>
        <w:t>29</w:t>
      </w:r>
      <w:r>
        <w:rPr>
          <w:rFonts w:hint="eastAsia"/>
        </w:rPr>
        <w:t>人死亡和</w:t>
      </w:r>
      <w:r>
        <w:rPr>
          <w:rFonts w:hint="eastAsia"/>
        </w:rPr>
        <w:t>6</w:t>
      </w:r>
      <w:r>
        <w:rPr>
          <w:rFonts w:hint="eastAsia"/>
        </w:rPr>
        <w:t>人不同程度的受伤。造成死亡的事故有下列原因：</w:t>
      </w:r>
      <w:r>
        <w:rPr>
          <w:rFonts w:hint="eastAsia"/>
        </w:rPr>
        <w:t>7</w:t>
      </w:r>
      <w:r>
        <w:rPr>
          <w:rFonts w:hint="eastAsia"/>
        </w:rPr>
        <w:t>人触电死亡、</w:t>
      </w:r>
      <w:r>
        <w:t>6</w:t>
      </w:r>
      <w:r>
        <w:rPr>
          <w:rFonts w:hint="eastAsia"/>
        </w:rPr>
        <w:t>人烧伤死亡、</w:t>
      </w:r>
      <w:r>
        <w:t>6</w:t>
      </w:r>
      <w:r>
        <w:rPr>
          <w:rFonts w:hint="eastAsia"/>
        </w:rPr>
        <w:t>人从高处跌落死亡、</w:t>
      </w:r>
      <w:r>
        <w:t>8</w:t>
      </w:r>
      <w:r>
        <w:rPr>
          <w:rFonts w:hint="eastAsia"/>
        </w:rPr>
        <w:t>人因机器故障死亡、</w:t>
      </w:r>
      <w:r>
        <w:t>2</w:t>
      </w:r>
      <w:r>
        <w:rPr>
          <w:rFonts w:hint="eastAsia"/>
        </w:rPr>
        <w:t>人因机动车事故死亡。一般而言，所具备的数据表明工伤事故趋于减少。</w:t>
      </w:r>
    </w:p>
    <w:p w:rsidR="00000000" w:rsidRDefault="00000000">
      <w:pPr>
        <w:pStyle w:val="Heading4"/>
        <w:spacing w:before="320"/>
      </w:pPr>
      <w:r>
        <w:rPr>
          <w:rFonts w:hint="eastAsia"/>
        </w:rPr>
        <w:t>晋升方面的同等机会</w:t>
      </w:r>
    </w:p>
    <w:p w:rsidR="00000000" w:rsidRDefault="00000000">
      <w:pPr>
        <w:pStyle w:val="NormalIndent"/>
      </w:pPr>
      <w:r>
        <w:t xml:space="preserve">95.  </w:t>
      </w:r>
      <w:r>
        <w:rPr>
          <w:rFonts w:hint="eastAsia"/>
        </w:rPr>
        <w:t>格鲁吉亚《宪法》第</w:t>
      </w:r>
      <w:r>
        <w:rPr>
          <w:rFonts w:hint="eastAsia"/>
        </w:rPr>
        <w:t>29</w:t>
      </w:r>
      <w:r>
        <w:rPr>
          <w:rFonts w:hint="eastAsia"/>
        </w:rPr>
        <w:t>条保障每个公民在符合法定要求的前提下担任任何政府职务的权利。</w:t>
      </w:r>
    </w:p>
    <w:p w:rsidR="00000000" w:rsidRDefault="00000000">
      <w:pPr>
        <w:pStyle w:val="NormalIndent"/>
      </w:pPr>
      <w:r>
        <w:t xml:space="preserve">96.  </w:t>
      </w:r>
      <w:r>
        <w:rPr>
          <w:rFonts w:hint="eastAsia"/>
        </w:rPr>
        <w:t>根据《公务法》第</w:t>
      </w:r>
      <w:r>
        <w:rPr>
          <w:rFonts w:hint="eastAsia"/>
        </w:rPr>
        <w:t>77</w:t>
      </w:r>
      <w:r>
        <w:rPr>
          <w:rFonts w:hint="eastAsia"/>
        </w:rPr>
        <w:t>条，公务员的晋升条件是，第一，担任现职不少于</w:t>
      </w:r>
      <w:r>
        <w:t>6</w:t>
      </w:r>
      <w:r>
        <w:rPr>
          <w:rFonts w:hint="eastAsia"/>
        </w:rPr>
        <w:t>个月，第二，相关的晋级委员会提名晋升。如果同一个职位有多个提级候选人，则优先考虑评定小组给予较高分数的候选人。这个程序不适用于辅助人员。</w:t>
      </w:r>
    </w:p>
    <w:p w:rsidR="00000000" w:rsidRDefault="00000000">
      <w:pPr>
        <w:pStyle w:val="NormalIndent"/>
      </w:pPr>
      <w:r>
        <w:t xml:space="preserve">97.  </w:t>
      </w:r>
      <w:r>
        <w:rPr>
          <w:rFonts w:hint="eastAsia"/>
          <w:spacing w:val="6"/>
        </w:rPr>
        <w:t>联系经济、社会、文化权利委员会在第</w:t>
      </w:r>
      <w:r>
        <w:rPr>
          <w:rFonts w:hint="eastAsia"/>
          <w:spacing w:val="6"/>
        </w:rPr>
        <w:t>13</w:t>
      </w:r>
      <w:r>
        <w:rPr>
          <w:rFonts w:hint="eastAsia"/>
          <w:spacing w:val="6"/>
        </w:rPr>
        <w:t>段中的意见，我们也提请参看本国根据《公民权利和政治权利国际公约》提交的第二次定期报告</w:t>
      </w:r>
      <w:r>
        <w:rPr>
          <w:rFonts w:hint="eastAsia"/>
          <w:spacing w:val="6"/>
        </w:rPr>
        <w:t>(</w:t>
      </w:r>
      <w:r>
        <w:rPr>
          <w:rFonts w:hint="eastAsia"/>
          <w:spacing w:val="6"/>
        </w:rPr>
        <w:t>第</w:t>
      </w:r>
      <w:r>
        <w:rPr>
          <w:rFonts w:hint="eastAsia"/>
          <w:spacing w:val="6"/>
        </w:rPr>
        <w:t>57</w:t>
      </w:r>
      <w:r>
        <w:rPr>
          <w:rFonts w:hint="eastAsia"/>
          <w:spacing w:val="6"/>
        </w:rPr>
        <w:t>段</w:t>
      </w:r>
      <w:r>
        <w:rPr>
          <w:rFonts w:hint="eastAsia"/>
          <w:spacing w:val="6"/>
        </w:rPr>
        <w:t>)</w:t>
      </w:r>
      <w:r>
        <w:rPr>
          <w:rFonts w:hint="eastAsia"/>
          <w:spacing w:val="6"/>
        </w:rPr>
        <w:t>和根据《消除对妇女一切形式歧视公约》提交的第二次定期报告</w:t>
      </w:r>
      <w:r>
        <w:rPr>
          <w:rFonts w:hint="eastAsia"/>
          <w:spacing w:val="6"/>
        </w:rPr>
        <w:t>(</w:t>
      </w:r>
      <w:r>
        <w:rPr>
          <w:rFonts w:hint="eastAsia"/>
          <w:spacing w:val="6"/>
        </w:rPr>
        <w:t>第</w:t>
      </w:r>
      <w:r>
        <w:rPr>
          <w:rFonts w:hint="eastAsia"/>
          <w:spacing w:val="6"/>
        </w:rPr>
        <w:t>66</w:t>
      </w:r>
      <w:r>
        <w:rPr>
          <w:rFonts w:hint="eastAsia"/>
          <w:spacing w:val="6"/>
        </w:rPr>
        <w:t>段和第</w:t>
      </w:r>
      <w:r>
        <w:rPr>
          <w:rFonts w:hint="eastAsia"/>
          <w:spacing w:val="6"/>
        </w:rPr>
        <w:t>69</w:t>
      </w:r>
      <w:r>
        <w:rPr>
          <w:rFonts w:hint="eastAsia"/>
          <w:spacing w:val="6"/>
        </w:rPr>
        <w:t>段</w:t>
      </w:r>
      <w:r>
        <w:rPr>
          <w:rFonts w:hint="eastAsia"/>
          <w:spacing w:val="6"/>
        </w:rPr>
        <w:t>)</w:t>
      </w:r>
      <w:r>
        <w:rPr>
          <w:rFonts w:hint="eastAsia"/>
          <w:spacing w:val="6"/>
        </w:rPr>
        <w:t>。至于委员会在第</w:t>
      </w:r>
      <w:r>
        <w:rPr>
          <w:rFonts w:hint="eastAsia"/>
          <w:spacing w:val="6"/>
        </w:rPr>
        <w:t>14</w:t>
      </w:r>
      <w:r>
        <w:rPr>
          <w:rFonts w:hint="eastAsia"/>
          <w:spacing w:val="6"/>
        </w:rPr>
        <w:t>段和第</w:t>
      </w:r>
      <w:r>
        <w:rPr>
          <w:rFonts w:hint="eastAsia"/>
          <w:spacing w:val="6"/>
        </w:rPr>
        <w:t>15</w:t>
      </w:r>
      <w:r>
        <w:rPr>
          <w:rFonts w:hint="eastAsia"/>
          <w:spacing w:val="6"/>
        </w:rPr>
        <w:t>段中的意见，与此有关的资料也可参看根据《消除对妇女一切形式歧视公约》提交的第二次定期报告</w:t>
      </w:r>
      <w:r>
        <w:rPr>
          <w:rFonts w:hint="eastAsia"/>
          <w:spacing w:val="6"/>
        </w:rPr>
        <w:t>(</w:t>
      </w:r>
      <w:r>
        <w:rPr>
          <w:rFonts w:hint="eastAsia"/>
          <w:spacing w:val="6"/>
        </w:rPr>
        <w:t>第</w:t>
      </w:r>
      <w:r>
        <w:rPr>
          <w:rFonts w:hint="eastAsia"/>
          <w:spacing w:val="6"/>
        </w:rPr>
        <w:t>4</w:t>
      </w:r>
      <w:r>
        <w:rPr>
          <w:rFonts w:hint="eastAsia"/>
          <w:spacing w:val="6"/>
        </w:rPr>
        <w:t>、</w:t>
      </w:r>
      <w:r>
        <w:rPr>
          <w:spacing w:val="6"/>
        </w:rPr>
        <w:t>7</w:t>
      </w:r>
      <w:r>
        <w:rPr>
          <w:rFonts w:hint="eastAsia"/>
          <w:spacing w:val="6"/>
        </w:rPr>
        <w:t>－</w:t>
      </w:r>
      <w:r>
        <w:rPr>
          <w:rFonts w:hint="eastAsia"/>
          <w:spacing w:val="6"/>
        </w:rPr>
        <w:t>17</w:t>
      </w:r>
      <w:r>
        <w:rPr>
          <w:rFonts w:hint="eastAsia"/>
          <w:spacing w:val="6"/>
        </w:rPr>
        <w:t>、</w:t>
      </w:r>
      <w:r>
        <w:rPr>
          <w:rFonts w:hint="eastAsia"/>
          <w:spacing w:val="6"/>
        </w:rPr>
        <w:t>23</w:t>
      </w:r>
      <w:r>
        <w:rPr>
          <w:rFonts w:hint="eastAsia"/>
          <w:spacing w:val="6"/>
        </w:rPr>
        <w:t>－</w:t>
      </w:r>
      <w:r>
        <w:rPr>
          <w:rFonts w:hint="eastAsia"/>
          <w:spacing w:val="6"/>
        </w:rPr>
        <w:t>29</w:t>
      </w:r>
      <w:r>
        <w:rPr>
          <w:rFonts w:hint="eastAsia"/>
          <w:spacing w:val="6"/>
        </w:rPr>
        <w:t>、</w:t>
      </w:r>
      <w:r>
        <w:rPr>
          <w:rFonts w:hint="eastAsia"/>
          <w:spacing w:val="6"/>
        </w:rPr>
        <w:t>39</w:t>
      </w:r>
      <w:r>
        <w:rPr>
          <w:rFonts w:hint="eastAsia"/>
          <w:spacing w:val="6"/>
        </w:rPr>
        <w:t>、</w:t>
      </w:r>
      <w:r>
        <w:rPr>
          <w:rFonts w:hint="eastAsia"/>
        </w:rPr>
        <w:t>42</w:t>
      </w:r>
      <w:r>
        <w:rPr>
          <w:rFonts w:hint="eastAsia"/>
        </w:rPr>
        <w:t>、</w:t>
      </w:r>
      <w:r>
        <w:rPr>
          <w:rFonts w:hint="eastAsia"/>
        </w:rPr>
        <w:t>43</w:t>
      </w:r>
      <w:r>
        <w:rPr>
          <w:rFonts w:hint="eastAsia"/>
        </w:rPr>
        <w:t>段</w:t>
      </w:r>
      <w:r>
        <w:rPr>
          <w:rFonts w:hint="eastAsia"/>
        </w:rPr>
        <w:t>)</w:t>
      </w:r>
      <w:r>
        <w:rPr>
          <w:rFonts w:hint="eastAsia"/>
        </w:rPr>
        <w:t>。</w:t>
      </w:r>
    </w:p>
    <w:p w:rsidR="00000000" w:rsidRDefault="00000000">
      <w:pPr>
        <w:pStyle w:val="NormalIndent"/>
      </w:pPr>
      <w:r>
        <w:t xml:space="preserve">98.  </w:t>
      </w:r>
      <w:r>
        <w:rPr>
          <w:rFonts w:hint="eastAsia"/>
        </w:rPr>
        <w:t>一般而言，应当指出，妇女在决策层和高级公务职位方面的比例仍没有达到令人满意的状况。</w:t>
      </w:r>
    </w:p>
    <w:p w:rsidR="00000000" w:rsidRDefault="00000000">
      <w:pPr>
        <w:pStyle w:val="Heading4"/>
        <w:spacing w:before="320"/>
      </w:pPr>
      <w:r>
        <w:rPr>
          <w:rFonts w:hint="eastAsia"/>
        </w:rPr>
        <w:t>有利的工作、闲暇和娱乐条件</w:t>
      </w:r>
    </w:p>
    <w:p w:rsidR="00000000" w:rsidRDefault="00000000">
      <w:pPr>
        <w:pStyle w:val="NormalIndent"/>
      </w:pPr>
      <w:r>
        <w:t xml:space="preserve">99.  </w:t>
      </w:r>
      <w:r>
        <w:rPr>
          <w:rFonts w:hint="eastAsia"/>
        </w:rPr>
        <w:t>关于这个问题的资料，请参看本国根据《消除一切形式种族歧视国际公约》提交的初步报告</w:t>
      </w:r>
      <w:r>
        <w:rPr>
          <w:rFonts w:hint="eastAsia"/>
        </w:rPr>
        <w:t>(</w:t>
      </w:r>
      <w:r>
        <w:rPr>
          <w:rFonts w:hint="eastAsia"/>
        </w:rPr>
        <w:t>第</w:t>
      </w:r>
      <w:r>
        <w:rPr>
          <w:rFonts w:hint="eastAsia"/>
        </w:rPr>
        <w:t>98</w:t>
      </w:r>
      <w:r>
        <w:rPr>
          <w:rFonts w:hint="eastAsia"/>
        </w:rPr>
        <w:t>—</w:t>
      </w:r>
      <w:r>
        <w:rPr>
          <w:rFonts w:hint="eastAsia"/>
        </w:rPr>
        <w:t>201</w:t>
      </w:r>
      <w:r>
        <w:rPr>
          <w:rFonts w:hint="eastAsia"/>
        </w:rPr>
        <w:t>段</w:t>
      </w:r>
      <w:r>
        <w:rPr>
          <w:rFonts w:hint="eastAsia"/>
        </w:rPr>
        <w:t>)</w:t>
      </w:r>
      <w:r>
        <w:rPr>
          <w:rFonts w:hint="eastAsia"/>
        </w:rPr>
        <w:t>。</w:t>
      </w:r>
    </w:p>
    <w:p w:rsidR="00000000" w:rsidRDefault="00000000">
      <w:pPr>
        <w:pStyle w:val="Heading2"/>
        <w:spacing w:before="320" w:after="240"/>
      </w:pPr>
      <w:r>
        <w:rPr>
          <w:rFonts w:hint="eastAsia"/>
        </w:rPr>
        <w:t>第</w:t>
      </w:r>
      <w:r>
        <w:rPr>
          <w:rFonts w:hint="eastAsia"/>
        </w:rPr>
        <w:t xml:space="preserve"> </w:t>
      </w:r>
      <w:r>
        <w:rPr>
          <w:rFonts w:hint="eastAsia"/>
        </w:rPr>
        <w:t>八</w:t>
      </w:r>
      <w:r>
        <w:rPr>
          <w:rFonts w:hint="eastAsia"/>
        </w:rPr>
        <w:t xml:space="preserve"> </w:t>
      </w:r>
      <w:r>
        <w:rPr>
          <w:rFonts w:hint="eastAsia"/>
        </w:rPr>
        <w:t>条</w:t>
      </w:r>
    </w:p>
    <w:p w:rsidR="00000000" w:rsidRDefault="00000000">
      <w:pPr>
        <w:pStyle w:val="NormalIndent"/>
      </w:pPr>
      <w:r>
        <w:t xml:space="preserve">100.  </w:t>
      </w:r>
      <w:r>
        <w:rPr>
          <w:rFonts w:hint="eastAsia"/>
        </w:rPr>
        <w:t>关于《公约》第八条所定工会权的资料，可参看格鲁吉亚根据《消除一切形式种族歧视国际公约》提交的初步报告</w:t>
      </w:r>
      <w:r>
        <w:rPr>
          <w:rFonts w:hint="eastAsia"/>
        </w:rPr>
        <w:t>(</w:t>
      </w:r>
      <w:r>
        <w:rPr>
          <w:rFonts w:hint="eastAsia"/>
        </w:rPr>
        <w:t>第</w:t>
      </w:r>
      <w:r>
        <w:rPr>
          <w:rFonts w:hint="eastAsia"/>
        </w:rPr>
        <w:t>216</w:t>
      </w:r>
      <w:r>
        <w:rPr>
          <w:rFonts w:hint="eastAsia"/>
        </w:rPr>
        <w:t>—</w:t>
      </w:r>
      <w:r>
        <w:rPr>
          <w:rFonts w:hint="eastAsia"/>
        </w:rPr>
        <w:t>220</w:t>
      </w:r>
      <w:r>
        <w:rPr>
          <w:rFonts w:hint="eastAsia"/>
        </w:rPr>
        <w:t>段</w:t>
      </w:r>
      <w:r>
        <w:rPr>
          <w:rFonts w:hint="eastAsia"/>
        </w:rPr>
        <w:t>)</w:t>
      </w:r>
      <w:r>
        <w:rPr>
          <w:rFonts w:hint="eastAsia"/>
        </w:rPr>
        <w:t>和根据《公民权利和政治权利国际公约》提交的第二次定期报告</w:t>
      </w:r>
      <w:r>
        <w:rPr>
          <w:rFonts w:hint="eastAsia"/>
        </w:rPr>
        <w:t>(</w:t>
      </w:r>
      <w:r>
        <w:rPr>
          <w:rFonts w:hint="eastAsia"/>
        </w:rPr>
        <w:t>第</w:t>
      </w:r>
      <w:r>
        <w:rPr>
          <w:rFonts w:hint="eastAsia"/>
        </w:rPr>
        <w:t>492</w:t>
      </w:r>
      <w:r>
        <w:rPr>
          <w:rFonts w:hint="eastAsia"/>
        </w:rPr>
        <w:t>—</w:t>
      </w:r>
      <w:r>
        <w:rPr>
          <w:rFonts w:hint="eastAsia"/>
        </w:rPr>
        <w:t>500</w:t>
      </w:r>
      <w:r>
        <w:rPr>
          <w:rFonts w:hint="eastAsia"/>
        </w:rPr>
        <w:t>段</w:t>
      </w:r>
      <w:r>
        <w:rPr>
          <w:rFonts w:hint="eastAsia"/>
        </w:rPr>
        <w:t>)</w:t>
      </w:r>
      <w:r>
        <w:rPr>
          <w:rFonts w:hint="eastAsia"/>
        </w:rPr>
        <w:t>。</w:t>
      </w:r>
    </w:p>
    <w:p w:rsidR="00000000" w:rsidRDefault="00000000">
      <w:pPr>
        <w:pStyle w:val="Heading2"/>
        <w:spacing w:before="320" w:after="240"/>
      </w:pPr>
      <w:r>
        <w:rPr>
          <w:rFonts w:hint="eastAsia"/>
        </w:rPr>
        <w:t>第</w:t>
      </w:r>
      <w:r>
        <w:rPr>
          <w:rFonts w:hint="eastAsia"/>
        </w:rPr>
        <w:t xml:space="preserve"> </w:t>
      </w:r>
      <w:r>
        <w:rPr>
          <w:rFonts w:hint="eastAsia"/>
        </w:rPr>
        <w:t>九</w:t>
      </w:r>
      <w:r>
        <w:rPr>
          <w:rFonts w:hint="eastAsia"/>
        </w:rPr>
        <w:t xml:space="preserve"> </w:t>
      </w:r>
      <w:r>
        <w:rPr>
          <w:rFonts w:hint="eastAsia"/>
        </w:rPr>
        <w:t>条</w:t>
      </w:r>
    </w:p>
    <w:p w:rsidR="00000000" w:rsidRDefault="00000000">
      <w:pPr>
        <w:pStyle w:val="Heading4"/>
      </w:pPr>
      <w:r>
        <w:t>格鲁吉亚的社会保险</w:t>
      </w:r>
    </w:p>
    <w:p w:rsidR="00000000" w:rsidRDefault="00000000">
      <w:pPr>
        <w:pStyle w:val="NormalIndent"/>
        <w:rPr>
          <w:rFonts w:hint="eastAsia"/>
        </w:rPr>
      </w:pPr>
      <w:r>
        <w:t xml:space="preserve">101.  </w:t>
      </w:r>
      <w:r>
        <w:rPr>
          <w:rFonts w:hint="eastAsia"/>
        </w:rPr>
        <w:t>如下所述，格鲁吉亚通过一系列方案为不同类别的人口提供社会补助。从下表所列国家统计局提供的数据可以看出领取补助的类别和人数以及这种补助的数额。这些数字反映的是年底的情况，人数单位是</w:t>
      </w:r>
      <w:r>
        <w:rPr>
          <w:rFonts w:hint="eastAsia"/>
        </w:rPr>
        <w:t>1000</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8"/>
        <w:gridCol w:w="1394"/>
        <w:gridCol w:w="1394"/>
        <w:gridCol w:w="1394"/>
      </w:tblGrid>
      <w:tr w:rsidR="00000000">
        <w:tblPrEx>
          <w:tblCellMar>
            <w:top w:w="0" w:type="dxa"/>
            <w:bottom w:w="0" w:type="dxa"/>
          </w:tblCellMar>
        </w:tblPrEx>
        <w:trPr>
          <w:tblHeader/>
        </w:trPr>
        <w:tc>
          <w:tcPr>
            <w:tcW w:w="5388" w:type="dxa"/>
            <w:tcBorders>
              <w:bottom w:val="single" w:sz="4" w:space="0" w:color="auto"/>
            </w:tcBorders>
          </w:tcPr>
          <w:p w:rsidR="00000000" w:rsidRDefault="00000000">
            <w:pPr>
              <w:pStyle w:val="NormalIndent"/>
              <w:tabs>
                <w:tab w:val="left" w:pos="442"/>
              </w:tabs>
              <w:spacing w:before="120" w:line="320" w:lineRule="exact"/>
              <w:ind w:left="113" w:right="113" w:firstLine="0"/>
              <w:jc w:val="center"/>
              <w:rPr>
                <w:spacing w:val="4"/>
                <w:sz w:val="21"/>
                <w:u w:val="single"/>
              </w:rPr>
            </w:pPr>
          </w:p>
        </w:tc>
        <w:tc>
          <w:tcPr>
            <w:tcW w:w="1394" w:type="dxa"/>
            <w:tcBorders>
              <w:bottom w:val="single" w:sz="4" w:space="0" w:color="auto"/>
            </w:tcBorders>
          </w:tcPr>
          <w:p w:rsidR="00000000" w:rsidRDefault="00000000">
            <w:pPr>
              <w:pStyle w:val="NormalIndent"/>
              <w:tabs>
                <w:tab w:val="left" w:pos="442"/>
              </w:tabs>
              <w:spacing w:before="120" w:line="320" w:lineRule="exact"/>
              <w:ind w:left="113" w:right="113" w:firstLine="0"/>
              <w:jc w:val="center"/>
              <w:rPr>
                <w:spacing w:val="4"/>
                <w:sz w:val="21"/>
                <w:u w:val="single"/>
              </w:rPr>
            </w:pPr>
            <w:r>
              <w:rPr>
                <w:rFonts w:hint="eastAsia"/>
                <w:spacing w:val="4"/>
                <w:sz w:val="21"/>
                <w:u w:val="single"/>
              </w:rPr>
              <w:t>1997</w:t>
            </w:r>
            <w:r>
              <w:rPr>
                <w:rFonts w:hint="eastAsia"/>
                <w:spacing w:val="4"/>
                <w:sz w:val="21"/>
                <w:u w:val="single"/>
              </w:rPr>
              <w:t>年</w:t>
            </w:r>
          </w:p>
        </w:tc>
        <w:tc>
          <w:tcPr>
            <w:tcW w:w="1394" w:type="dxa"/>
            <w:tcBorders>
              <w:bottom w:val="single" w:sz="4" w:space="0" w:color="auto"/>
            </w:tcBorders>
          </w:tcPr>
          <w:p w:rsidR="00000000" w:rsidRDefault="00000000">
            <w:pPr>
              <w:pStyle w:val="NormalIndent"/>
              <w:tabs>
                <w:tab w:val="left" w:pos="442"/>
              </w:tabs>
              <w:spacing w:before="120" w:line="320" w:lineRule="exact"/>
              <w:ind w:left="113" w:right="113" w:firstLine="0"/>
              <w:jc w:val="center"/>
              <w:rPr>
                <w:spacing w:val="4"/>
                <w:sz w:val="21"/>
                <w:u w:val="single"/>
              </w:rPr>
            </w:pPr>
            <w:r>
              <w:rPr>
                <w:rFonts w:hint="eastAsia"/>
                <w:spacing w:val="4"/>
                <w:sz w:val="21"/>
                <w:u w:val="single"/>
              </w:rPr>
              <w:t>1998</w:t>
            </w:r>
            <w:r>
              <w:rPr>
                <w:rFonts w:hint="eastAsia"/>
                <w:spacing w:val="4"/>
                <w:sz w:val="21"/>
                <w:u w:val="single"/>
              </w:rPr>
              <w:t>年</w:t>
            </w:r>
          </w:p>
        </w:tc>
        <w:tc>
          <w:tcPr>
            <w:tcW w:w="1394" w:type="dxa"/>
            <w:tcBorders>
              <w:bottom w:val="single" w:sz="4" w:space="0" w:color="auto"/>
            </w:tcBorders>
          </w:tcPr>
          <w:p w:rsidR="00000000" w:rsidRDefault="00000000">
            <w:pPr>
              <w:pStyle w:val="NormalIndent"/>
              <w:tabs>
                <w:tab w:val="left" w:pos="442"/>
              </w:tabs>
              <w:spacing w:before="120" w:line="320" w:lineRule="exact"/>
              <w:ind w:left="113" w:right="113" w:firstLine="0"/>
              <w:jc w:val="center"/>
              <w:rPr>
                <w:spacing w:val="4"/>
                <w:sz w:val="21"/>
                <w:u w:val="single"/>
              </w:rPr>
            </w:pPr>
            <w:r>
              <w:rPr>
                <w:rFonts w:hint="eastAsia"/>
                <w:spacing w:val="4"/>
                <w:sz w:val="21"/>
                <w:u w:val="single"/>
              </w:rPr>
              <w:t>1999</w:t>
            </w:r>
            <w:r>
              <w:rPr>
                <w:rFonts w:hint="eastAsia"/>
                <w:spacing w:val="4"/>
                <w:sz w:val="21"/>
                <w:u w:val="single"/>
              </w:rPr>
              <w:t>年</w:t>
            </w:r>
          </w:p>
        </w:tc>
      </w:tr>
      <w:tr w:rsidR="00000000">
        <w:tblPrEx>
          <w:tblCellMar>
            <w:top w:w="0" w:type="dxa"/>
            <w:bottom w:w="0" w:type="dxa"/>
          </w:tblCellMar>
        </w:tblPrEx>
        <w:tc>
          <w:tcPr>
            <w:tcW w:w="5388" w:type="dxa"/>
            <w:tcBorders>
              <w:bottom w:val="nil"/>
            </w:tcBorders>
          </w:tcPr>
          <w:p w:rsidR="00000000" w:rsidRDefault="00000000">
            <w:pPr>
              <w:pStyle w:val="NormalIndent"/>
              <w:tabs>
                <w:tab w:val="left" w:pos="442"/>
              </w:tabs>
              <w:spacing w:before="120" w:line="320" w:lineRule="exact"/>
              <w:ind w:left="113" w:right="113" w:firstLine="0"/>
              <w:rPr>
                <w:rFonts w:hint="eastAsia"/>
                <w:spacing w:val="4"/>
                <w:sz w:val="21"/>
              </w:rPr>
            </w:pPr>
            <w:r>
              <w:rPr>
                <w:rFonts w:hint="eastAsia"/>
                <w:spacing w:val="4"/>
                <w:sz w:val="21"/>
              </w:rPr>
              <w:t>领取补助的总人数</w:t>
            </w:r>
          </w:p>
        </w:tc>
        <w:tc>
          <w:tcPr>
            <w:tcW w:w="1394" w:type="dxa"/>
            <w:tcBorders>
              <w:bottom w:val="nil"/>
            </w:tcBorders>
          </w:tcPr>
          <w:p w:rsidR="00000000" w:rsidRDefault="00000000">
            <w:pPr>
              <w:pStyle w:val="NormalIndent"/>
              <w:spacing w:before="120" w:line="320" w:lineRule="exact"/>
              <w:ind w:left="12" w:right="206" w:firstLine="0"/>
              <w:jc w:val="right"/>
              <w:rPr>
                <w:spacing w:val="4"/>
                <w:sz w:val="21"/>
              </w:rPr>
            </w:pPr>
            <w:r>
              <w:rPr>
                <w:spacing w:val="4"/>
                <w:sz w:val="21"/>
              </w:rPr>
              <w:t>979.4</w:t>
            </w:r>
          </w:p>
        </w:tc>
        <w:tc>
          <w:tcPr>
            <w:tcW w:w="1394" w:type="dxa"/>
            <w:tcBorders>
              <w:bottom w:val="nil"/>
            </w:tcBorders>
          </w:tcPr>
          <w:p w:rsidR="00000000" w:rsidRDefault="00000000">
            <w:pPr>
              <w:pStyle w:val="NormalIndent"/>
              <w:spacing w:before="120" w:line="320" w:lineRule="exact"/>
              <w:ind w:left="12" w:right="400" w:firstLine="0"/>
              <w:jc w:val="right"/>
              <w:rPr>
                <w:rFonts w:hint="eastAsia"/>
                <w:spacing w:val="4"/>
                <w:sz w:val="21"/>
              </w:rPr>
            </w:pPr>
            <w:r>
              <w:rPr>
                <w:spacing w:val="4"/>
                <w:sz w:val="21"/>
              </w:rPr>
              <w:t>967.4</w:t>
            </w:r>
          </w:p>
        </w:tc>
        <w:tc>
          <w:tcPr>
            <w:tcW w:w="1394" w:type="dxa"/>
            <w:tcBorders>
              <w:bottom w:val="nil"/>
            </w:tcBorders>
          </w:tcPr>
          <w:p w:rsidR="00000000" w:rsidRDefault="00000000">
            <w:pPr>
              <w:pStyle w:val="NormalIndent"/>
              <w:spacing w:before="120" w:line="320" w:lineRule="exact"/>
              <w:ind w:left="12" w:right="354" w:firstLine="0"/>
              <w:jc w:val="right"/>
              <w:rPr>
                <w:spacing w:val="4"/>
                <w:sz w:val="21"/>
              </w:rPr>
            </w:pPr>
            <w:r>
              <w:rPr>
                <w:spacing w:val="4"/>
                <w:sz w:val="21"/>
              </w:rPr>
              <w:t>923.7</w:t>
            </w:r>
          </w:p>
        </w:tc>
      </w:tr>
      <w:tr w:rsidR="00000000">
        <w:tblPrEx>
          <w:tblCellMar>
            <w:top w:w="0" w:type="dxa"/>
            <w:bottom w:w="0" w:type="dxa"/>
          </w:tblCellMar>
        </w:tblPrEx>
        <w:tc>
          <w:tcPr>
            <w:tcW w:w="5388" w:type="dxa"/>
            <w:tcBorders>
              <w:top w:val="nil"/>
              <w:bottom w:val="nil"/>
            </w:tcBorders>
          </w:tcPr>
          <w:p w:rsidR="00000000" w:rsidRDefault="00000000">
            <w:pPr>
              <w:pStyle w:val="NormalIndent"/>
              <w:tabs>
                <w:tab w:val="left" w:pos="442"/>
              </w:tabs>
              <w:spacing w:before="120" w:line="320" w:lineRule="exact"/>
              <w:ind w:left="113" w:right="113" w:firstLine="0"/>
              <w:rPr>
                <w:rFonts w:hint="eastAsia"/>
                <w:spacing w:val="4"/>
                <w:sz w:val="21"/>
              </w:rPr>
            </w:pPr>
            <w:r>
              <w:rPr>
                <w:spacing w:val="4"/>
                <w:sz w:val="21"/>
              </w:rPr>
              <w:t>领取的补助类型：</w:t>
            </w:r>
          </w:p>
        </w:tc>
        <w:tc>
          <w:tcPr>
            <w:tcW w:w="1394" w:type="dxa"/>
            <w:tcBorders>
              <w:top w:val="nil"/>
              <w:bottom w:val="nil"/>
            </w:tcBorders>
          </w:tcPr>
          <w:p w:rsidR="00000000" w:rsidRDefault="00000000">
            <w:pPr>
              <w:pStyle w:val="NormalIndent"/>
              <w:spacing w:before="120" w:line="320" w:lineRule="exact"/>
              <w:ind w:left="12" w:right="206" w:firstLine="0"/>
              <w:jc w:val="right"/>
              <w:rPr>
                <w:spacing w:val="4"/>
                <w:sz w:val="21"/>
              </w:rPr>
            </w:pPr>
          </w:p>
        </w:tc>
        <w:tc>
          <w:tcPr>
            <w:tcW w:w="1394" w:type="dxa"/>
            <w:tcBorders>
              <w:top w:val="nil"/>
              <w:bottom w:val="nil"/>
            </w:tcBorders>
          </w:tcPr>
          <w:p w:rsidR="00000000" w:rsidRDefault="00000000">
            <w:pPr>
              <w:pStyle w:val="NormalIndent"/>
              <w:spacing w:before="120" w:line="320" w:lineRule="exact"/>
              <w:ind w:left="12" w:right="400" w:firstLine="0"/>
              <w:jc w:val="right"/>
              <w:rPr>
                <w:spacing w:val="4"/>
                <w:sz w:val="21"/>
              </w:rPr>
            </w:pPr>
          </w:p>
        </w:tc>
        <w:tc>
          <w:tcPr>
            <w:tcW w:w="1394" w:type="dxa"/>
            <w:tcBorders>
              <w:top w:val="nil"/>
              <w:bottom w:val="nil"/>
            </w:tcBorders>
          </w:tcPr>
          <w:p w:rsidR="00000000" w:rsidRDefault="00000000">
            <w:pPr>
              <w:pStyle w:val="NormalIndent"/>
              <w:spacing w:before="120" w:line="320" w:lineRule="exact"/>
              <w:ind w:left="12" w:right="354" w:firstLine="0"/>
              <w:jc w:val="right"/>
              <w:rPr>
                <w:spacing w:val="4"/>
                <w:sz w:val="21"/>
              </w:rPr>
            </w:pPr>
          </w:p>
        </w:tc>
      </w:tr>
      <w:tr w:rsidR="00000000">
        <w:tblPrEx>
          <w:tblCellMar>
            <w:top w:w="0" w:type="dxa"/>
            <w:bottom w:w="0" w:type="dxa"/>
          </w:tblCellMar>
        </w:tblPrEx>
        <w:tc>
          <w:tcPr>
            <w:tcW w:w="5388" w:type="dxa"/>
            <w:tcBorders>
              <w:top w:val="nil"/>
              <w:bottom w:val="nil"/>
            </w:tcBorders>
          </w:tcPr>
          <w:p w:rsidR="00000000" w:rsidRDefault="00000000">
            <w:pPr>
              <w:pStyle w:val="NormalIndent"/>
              <w:tabs>
                <w:tab w:val="left" w:pos="442"/>
              </w:tabs>
              <w:spacing w:before="120" w:line="320" w:lineRule="exact"/>
              <w:ind w:left="373" w:right="113" w:firstLine="0"/>
              <w:rPr>
                <w:spacing w:val="4"/>
                <w:sz w:val="21"/>
              </w:rPr>
            </w:pPr>
            <w:r>
              <w:rPr>
                <w:spacing w:val="4"/>
                <w:sz w:val="21"/>
              </w:rPr>
              <w:t>工作养恤金</w:t>
            </w:r>
            <w:r>
              <w:rPr>
                <w:spacing w:val="4"/>
                <w:sz w:val="21"/>
              </w:rPr>
              <w:t xml:space="preserve"> </w:t>
            </w:r>
          </w:p>
        </w:tc>
        <w:tc>
          <w:tcPr>
            <w:tcW w:w="1394" w:type="dxa"/>
            <w:tcBorders>
              <w:top w:val="nil"/>
              <w:bottom w:val="nil"/>
            </w:tcBorders>
          </w:tcPr>
          <w:p w:rsidR="00000000" w:rsidRDefault="00000000">
            <w:pPr>
              <w:pStyle w:val="NormalIndent"/>
              <w:spacing w:before="120" w:line="320" w:lineRule="exact"/>
              <w:ind w:left="12" w:right="206" w:firstLine="0"/>
              <w:jc w:val="right"/>
              <w:rPr>
                <w:spacing w:val="4"/>
                <w:sz w:val="21"/>
              </w:rPr>
            </w:pPr>
            <w:r>
              <w:rPr>
                <w:spacing w:val="4"/>
                <w:sz w:val="21"/>
              </w:rPr>
              <w:t>878.2</w:t>
            </w:r>
          </w:p>
        </w:tc>
        <w:tc>
          <w:tcPr>
            <w:tcW w:w="1394" w:type="dxa"/>
            <w:tcBorders>
              <w:top w:val="nil"/>
              <w:bottom w:val="nil"/>
            </w:tcBorders>
          </w:tcPr>
          <w:p w:rsidR="00000000" w:rsidRDefault="00000000">
            <w:pPr>
              <w:pStyle w:val="NormalIndent"/>
              <w:spacing w:before="120" w:line="320" w:lineRule="exact"/>
              <w:ind w:left="12" w:right="400" w:firstLine="0"/>
              <w:jc w:val="right"/>
              <w:rPr>
                <w:spacing w:val="4"/>
                <w:sz w:val="21"/>
              </w:rPr>
            </w:pPr>
            <w:r>
              <w:rPr>
                <w:spacing w:val="4"/>
                <w:sz w:val="21"/>
              </w:rPr>
              <w:t>860.5</w:t>
            </w:r>
          </w:p>
        </w:tc>
        <w:tc>
          <w:tcPr>
            <w:tcW w:w="1394" w:type="dxa"/>
            <w:tcBorders>
              <w:top w:val="nil"/>
              <w:bottom w:val="nil"/>
            </w:tcBorders>
          </w:tcPr>
          <w:p w:rsidR="00000000" w:rsidRDefault="00000000">
            <w:pPr>
              <w:pStyle w:val="NormalIndent"/>
              <w:spacing w:before="120" w:line="320" w:lineRule="exact"/>
              <w:ind w:left="12" w:right="354" w:firstLine="0"/>
              <w:jc w:val="right"/>
              <w:rPr>
                <w:spacing w:val="4"/>
                <w:sz w:val="21"/>
              </w:rPr>
            </w:pPr>
            <w:r>
              <w:rPr>
                <w:spacing w:val="4"/>
                <w:sz w:val="21"/>
              </w:rPr>
              <w:t>814.2</w:t>
            </w:r>
          </w:p>
        </w:tc>
      </w:tr>
      <w:tr w:rsidR="00000000">
        <w:tblPrEx>
          <w:tblCellMar>
            <w:top w:w="0" w:type="dxa"/>
            <w:bottom w:w="0" w:type="dxa"/>
          </w:tblCellMar>
        </w:tblPrEx>
        <w:tc>
          <w:tcPr>
            <w:tcW w:w="5388" w:type="dxa"/>
            <w:tcBorders>
              <w:top w:val="nil"/>
              <w:bottom w:val="nil"/>
            </w:tcBorders>
          </w:tcPr>
          <w:p w:rsidR="00000000" w:rsidRDefault="00000000">
            <w:pPr>
              <w:pStyle w:val="NormalIndent"/>
              <w:tabs>
                <w:tab w:val="left" w:pos="442"/>
              </w:tabs>
              <w:spacing w:before="120" w:line="320" w:lineRule="exact"/>
              <w:ind w:left="373" w:right="113" w:firstLine="0"/>
              <w:rPr>
                <w:spacing w:val="4"/>
                <w:sz w:val="21"/>
              </w:rPr>
            </w:pPr>
            <w:r>
              <w:rPr>
                <w:spacing w:val="4"/>
                <w:sz w:val="21"/>
              </w:rPr>
              <w:t>其中，养老金</w:t>
            </w:r>
          </w:p>
        </w:tc>
        <w:tc>
          <w:tcPr>
            <w:tcW w:w="1394" w:type="dxa"/>
            <w:tcBorders>
              <w:top w:val="nil"/>
              <w:bottom w:val="nil"/>
            </w:tcBorders>
          </w:tcPr>
          <w:p w:rsidR="00000000" w:rsidRDefault="00000000">
            <w:pPr>
              <w:pStyle w:val="NormalIndent"/>
              <w:spacing w:before="120" w:line="320" w:lineRule="exact"/>
              <w:ind w:left="12" w:right="206" w:firstLine="0"/>
              <w:jc w:val="right"/>
              <w:rPr>
                <w:spacing w:val="4"/>
                <w:sz w:val="21"/>
              </w:rPr>
            </w:pPr>
            <w:r>
              <w:rPr>
                <w:spacing w:val="4"/>
                <w:sz w:val="21"/>
              </w:rPr>
              <w:t>768.9</w:t>
            </w:r>
          </w:p>
        </w:tc>
        <w:tc>
          <w:tcPr>
            <w:tcW w:w="1394" w:type="dxa"/>
            <w:tcBorders>
              <w:top w:val="nil"/>
              <w:bottom w:val="nil"/>
            </w:tcBorders>
          </w:tcPr>
          <w:p w:rsidR="00000000" w:rsidRDefault="00000000">
            <w:pPr>
              <w:pStyle w:val="NormalIndent"/>
              <w:spacing w:before="120" w:line="320" w:lineRule="exact"/>
              <w:ind w:left="12" w:right="400" w:firstLine="0"/>
              <w:jc w:val="right"/>
              <w:rPr>
                <w:spacing w:val="4"/>
                <w:sz w:val="21"/>
              </w:rPr>
            </w:pPr>
            <w:r>
              <w:rPr>
                <w:spacing w:val="4"/>
                <w:sz w:val="21"/>
              </w:rPr>
              <w:t>665.3</w:t>
            </w:r>
          </w:p>
        </w:tc>
        <w:tc>
          <w:tcPr>
            <w:tcW w:w="1394" w:type="dxa"/>
            <w:tcBorders>
              <w:top w:val="nil"/>
              <w:bottom w:val="nil"/>
            </w:tcBorders>
          </w:tcPr>
          <w:p w:rsidR="00000000" w:rsidRDefault="00000000">
            <w:pPr>
              <w:pStyle w:val="NormalIndent"/>
              <w:spacing w:before="120" w:line="320" w:lineRule="exact"/>
              <w:ind w:left="12" w:right="354" w:firstLine="0"/>
              <w:jc w:val="right"/>
              <w:rPr>
                <w:spacing w:val="4"/>
                <w:sz w:val="21"/>
              </w:rPr>
            </w:pPr>
            <w:r>
              <w:rPr>
                <w:spacing w:val="4"/>
                <w:sz w:val="21"/>
              </w:rPr>
              <w:t>620.3</w:t>
            </w:r>
          </w:p>
        </w:tc>
      </w:tr>
      <w:tr w:rsidR="00000000">
        <w:tblPrEx>
          <w:tblCellMar>
            <w:top w:w="0" w:type="dxa"/>
            <w:bottom w:w="0" w:type="dxa"/>
          </w:tblCellMar>
        </w:tblPrEx>
        <w:tc>
          <w:tcPr>
            <w:tcW w:w="5388" w:type="dxa"/>
            <w:tcBorders>
              <w:top w:val="nil"/>
              <w:bottom w:val="single" w:sz="4" w:space="0" w:color="auto"/>
            </w:tcBorders>
          </w:tcPr>
          <w:p w:rsidR="00000000" w:rsidRDefault="00000000">
            <w:pPr>
              <w:pStyle w:val="NormalIndent"/>
              <w:tabs>
                <w:tab w:val="left" w:pos="442"/>
              </w:tabs>
              <w:spacing w:before="120" w:line="320" w:lineRule="exact"/>
              <w:ind w:left="373" w:right="113" w:firstLine="0"/>
              <w:rPr>
                <w:spacing w:val="6"/>
                <w:sz w:val="21"/>
              </w:rPr>
            </w:pPr>
            <w:r>
              <w:rPr>
                <w:spacing w:val="6"/>
                <w:sz w:val="21"/>
              </w:rPr>
              <w:t>残疾补助金、工伤事故补助金或一般病休补助金</w:t>
            </w:r>
          </w:p>
        </w:tc>
        <w:tc>
          <w:tcPr>
            <w:tcW w:w="1394" w:type="dxa"/>
            <w:tcBorders>
              <w:top w:val="nil"/>
              <w:bottom w:val="single" w:sz="4" w:space="0" w:color="auto"/>
            </w:tcBorders>
          </w:tcPr>
          <w:p w:rsidR="00000000" w:rsidRDefault="00000000">
            <w:pPr>
              <w:pStyle w:val="NormalIndent"/>
              <w:spacing w:before="120" w:line="320" w:lineRule="exact"/>
              <w:ind w:left="12" w:right="206" w:firstLine="0"/>
              <w:jc w:val="right"/>
              <w:rPr>
                <w:spacing w:val="4"/>
                <w:sz w:val="21"/>
              </w:rPr>
            </w:pPr>
            <w:r>
              <w:rPr>
                <w:spacing w:val="4"/>
                <w:sz w:val="21"/>
              </w:rPr>
              <w:t>138.1</w:t>
            </w:r>
          </w:p>
        </w:tc>
        <w:tc>
          <w:tcPr>
            <w:tcW w:w="1394" w:type="dxa"/>
            <w:tcBorders>
              <w:top w:val="nil"/>
              <w:bottom w:val="single" w:sz="4" w:space="0" w:color="auto"/>
            </w:tcBorders>
          </w:tcPr>
          <w:p w:rsidR="00000000" w:rsidRDefault="00000000">
            <w:pPr>
              <w:pStyle w:val="NormalIndent"/>
              <w:spacing w:before="120" w:line="320" w:lineRule="exact"/>
              <w:ind w:left="12" w:right="400" w:firstLine="0"/>
              <w:jc w:val="right"/>
              <w:rPr>
                <w:spacing w:val="4"/>
                <w:sz w:val="21"/>
              </w:rPr>
            </w:pPr>
            <w:r>
              <w:rPr>
                <w:spacing w:val="4"/>
                <w:sz w:val="21"/>
              </w:rPr>
              <w:t>136.6</w:t>
            </w:r>
          </w:p>
        </w:tc>
        <w:tc>
          <w:tcPr>
            <w:tcW w:w="1394" w:type="dxa"/>
            <w:tcBorders>
              <w:top w:val="nil"/>
              <w:bottom w:val="single" w:sz="4" w:space="0" w:color="auto"/>
            </w:tcBorders>
          </w:tcPr>
          <w:p w:rsidR="00000000" w:rsidRDefault="00000000">
            <w:pPr>
              <w:pStyle w:val="NormalIndent"/>
              <w:spacing w:before="120" w:line="320" w:lineRule="exact"/>
              <w:ind w:left="12" w:right="354" w:firstLine="0"/>
              <w:jc w:val="right"/>
              <w:rPr>
                <w:spacing w:val="4"/>
                <w:sz w:val="21"/>
              </w:rPr>
            </w:pPr>
            <w:r>
              <w:rPr>
                <w:spacing w:val="4"/>
                <w:sz w:val="21"/>
              </w:rPr>
              <w:t>129.1</w:t>
            </w:r>
          </w:p>
        </w:tc>
      </w:tr>
      <w:tr w:rsidR="00000000">
        <w:tblPrEx>
          <w:tblCellMar>
            <w:top w:w="0" w:type="dxa"/>
            <w:bottom w:w="0" w:type="dxa"/>
          </w:tblCellMar>
        </w:tblPrEx>
        <w:tc>
          <w:tcPr>
            <w:tcW w:w="5388" w:type="dxa"/>
            <w:tcBorders>
              <w:top w:val="single" w:sz="4" w:space="0" w:color="auto"/>
              <w:bottom w:val="nil"/>
            </w:tcBorders>
          </w:tcPr>
          <w:p w:rsidR="00000000" w:rsidRDefault="00000000">
            <w:pPr>
              <w:pStyle w:val="NormalIndent"/>
              <w:tabs>
                <w:tab w:val="left" w:pos="442"/>
              </w:tabs>
              <w:spacing w:before="120" w:line="320" w:lineRule="exact"/>
              <w:ind w:left="373" w:right="113" w:firstLine="0"/>
              <w:rPr>
                <w:spacing w:val="4"/>
                <w:sz w:val="21"/>
              </w:rPr>
            </w:pPr>
            <w:r>
              <w:rPr>
                <w:spacing w:val="4"/>
                <w:sz w:val="21"/>
              </w:rPr>
              <w:t>社会补助金</w:t>
            </w:r>
          </w:p>
        </w:tc>
        <w:tc>
          <w:tcPr>
            <w:tcW w:w="1394" w:type="dxa"/>
            <w:tcBorders>
              <w:top w:val="single" w:sz="4" w:space="0" w:color="auto"/>
              <w:bottom w:val="nil"/>
            </w:tcBorders>
          </w:tcPr>
          <w:p w:rsidR="00000000" w:rsidRDefault="00000000">
            <w:pPr>
              <w:pStyle w:val="NormalIndent"/>
              <w:spacing w:before="120" w:line="320" w:lineRule="exact"/>
              <w:ind w:left="12" w:right="206" w:firstLine="0"/>
              <w:jc w:val="right"/>
              <w:rPr>
                <w:spacing w:val="4"/>
                <w:sz w:val="21"/>
              </w:rPr>
            </w:pPr>
            <w:r>
              <w:rPr>
                <w:spacing w:val="4"/>
                <w:sz w:val="21"/>
              </w:rPr>
              <w:t>69.3</w:t>
            </w:r>
          </w:p>
        </w:tc>
        <w:tc>
          <w:tcPr>
            <w:tcW w:w="1394" w:type="dxa"/>
            <w:tcBorders>
              <w:top w:val="single" w:sz="4" w:space="0" w:color="auto"/>
              <w:bottom w:val="nil"/>
            </w:tcBorders>
          </w:tcPr>
          <w:p w:rsidR="00000000" w:rsidRDefault="00000000">
            <w:pPr>
              <w:pStyle w:val="NormalIndent"/>
              <w:spacing w:before="120" w:line="320" w:lineRule="exact"/>
              <w:ind w:left="12" w:right="400" w:firstLine="0"/>
              <w:jc w:val="right"/>
              <w:rPr>
                <w:spacing w:val="4"/>
                <w:sz w:val="21"/>
              </w:rPr>
            </w:pPr>
            <w:r>
              <w:rPr>
                <w:spacing w:val="4"/>
                <w:sz w:val="21"/>
              </w:rPr>
              <w:t>71.0</w:t>
            </w:r>
          </w:p>
        </w:tc>
        <w:tc>
          <w:tcPr>
            <w:tcW w:w="1394" w:type="dxa"/>
            <w:tcBorders>
              <w:top w:val="single" w:sz="4" w:space="0" w:color="auto"/>
              <w:bottom w:val="nil"/>
            </w:tcBorders>
          </w:tcPr>
          <w:p w:rsidR="00000000" w:rsidRDefault="00000000">
            <w:pPr>
              <w:pStyle w:val="NormalIndent"/>
              <w:spacing w:before="120" w:line="320" w:lineRule="exact"/>
              <w:ind w:left="12" w:right="354" w:firstLine="0"/>
              <w:jc w:val="right"/>
              <w:rPr>
                <w:spacing w:val="4"/>
                <w:sz w:val="21"/>
              </w:rPr>
            </w:pPr>
            <w:r>
              <w:rPr>
                <w:spacing w:val="4"/>
                <w:sz w:val="21"/>
              </w:rPr>
              <w:t>71.7</w:t>
            </w:r>
          </w:p>
        </w:tc>
      </w:tr>
      <w:tr w:rsidR="00000000">
        <w:tblPrEx>
          <w:tblCellMar>
            <w:top w:w="0" w:type="dxa"/>
            <w:bottom w:w="0" w:type="dxa"/>
          </w:tblCellMar>
        </w:tblPrEx>
        <w:tc>
          <w:tcPr>
            <w:tcW w:w="5388" w:type="dxa"/>
            <w:tcBorders>
              <w:top w:val="nil"/>
              <w:bottom w:val="nil"/>
            </w:tcBorders>
          </w:tcPr>
          <w:p w:rsidR="00000000" w:rsidRDefault="00000000">
            <w:pPr>
              <w:pStyle w:val="NormalIndent"/>
              <w:tabs>
                <w:tab w:val="left" w:pos="442"/>
              </w:tabs>
              <w:spacing w:before="120" w:line="320" w:lineRule="exact"/>
              <w:ind w:left="373" w:right="113" w:firstLine="0"/>
              <w:rPr>
                <w:spacing w:val="4"/>
                <w:sz w:val="21"/>
              </w:rPr>
            </w:pPr>
            <w:r>
              <w:rPr>
                <w:spacing w:val="4"/>
                <w:sz w:val="21"/>
              </w:rPr>
              <w:t>赡养人死亡补助金</w:t>
            </w:r>
          </w:p>
        </w:tc>
        <w:tc>
          <w:tcPr>
            <w:tcW w:w="1394" w:type="dxa"/>
            <w:tcBorders>
              <w:top w:val="nil"/>
              <w:bottom w:val="nil"/>
            </w:tcBorders>
          </w:tcPr>
          <w:p w:rsidR="00000000" w:rsidRDefault="00000000">
            <w:pPr>
              <w:pStyle w:val="NormalIndent"/>
              <w:spacing w:before="120" w:line="320" w:lineRule="exact"/>
              <w:ind w:left="12" w:right="206" w:firstLine="0"/>
              <w:jc w:val="right"/>
              <w:rPr>
                <w:spacing w:val="4"/>
                <w:sz w:val="21"/>
              </w:rPr>
            </w:pPr>
            <w:r>
              <w:rPr>
                <w:spacing w:val="4"/>
                <w:sz w:val="21"/>
              </w:rPr>
              <w:t>72.0</w:t>
            </w:r>
          </w:p>
        </w:tc>
        <w:tc>
          <w:tcPr>
            <w:tcW w:w="1394" w:type="dxa"/>
            <w:tcBorders>
              <w:top w:val="nil"/>
              <w:bottom w:val="nil"/>
            </w:tcBorders>
          </w:tcPr>
          <w:p w:rsidR="00000000" w:rsidRDefault="00000000">
            <w:pPr>
              <w:pStyle w:val="NormalIndent"/>
              <w:spacing w:before="120" w:line="320" w:lineRule="exact"/>
              <w:ind w:left="12" w:right="400" w:firstLine="0"/>
              <w:jc w:val="right"/>
              <w:rPr>
                <w:spacing w:val="4"/>
                <w:sz w:val="21"/>
              </w:rPr>
            </w:pPr>
            <w:r>
              <w:rPr>
                <w:spacing w:val="4"/>
                <w:sz w:val="21"/>
              </w:rPr>
              <w:t>50.8</w:t>
            </w:r>
          </w:p>
        </w:tc>
        <w:tc>
          <w:tcPr>
            <w:tcW w:w="1394" w:type="dxa"/>
            <w:tcBorders>
              <w:top w:val="nil"/>
              <w:bottom w:val="nil"/>
            </w:tcBorders>
          </w:tcPr>
          <w:p w:rsidR="00000000" w:rsidRDefault="00000000">
            <w:pPr>
              <w:pStyle w:val="NormalIndent"/>
              <w:spacing w:before="120" w:line="320" w:lineRule="exact"/>
              <w:ind w:left="12" w:right="354" w:firstLine="0"/>
              <w:jc w:val="right"/>
              <w:rPr>
                <w:spacing w:val="4"/>
                <w:sz w:val="21"/>
              </w:rPr>
            </w:pPr>
            <w:r>
              <w:rPr>
                <w:spacing w:val="4"/>
                <w:sz w:val="21"/>
              </w:rPr>
              <w:t>53.2</w:t>
            </w:r>
          </w:p>
        </w:tc>
      </w:tr>
      <w:tr w:rsidR="00000000">
        <w:tblPrEx>
          <w:tblCellMar>
            <w:top w:w="0" w:type="dxa"/>
            <w:bottom w:w="0" w:type="dxa"/>
          </w:tblCellMar>
        </w:tblPrEx>
        <w:tc>
          <w:tcPr>
            <w:tcW w:w="5388" w:type="dxa"/>
            <w:tcBorders>
              <w:top w:val="nil"/>
              <w:bottom w:val="nil"/>
            </w:tcBorders>
          </w:tcPr>
          <w:p w:rsidR="00000000" w:rsidRDefault="00000000">
            <w:pPr>
              <w:pStyle w:val="NormalIndent"/>
              <w:tabs>
                <w:tab w:val="left" w:pos="442"/>
              </w:tabs>
              <w:spacing w:before="120" w:line="320" w:lineRule="exact"/>
              <w:ind w:left="373" w:right="113" w:firstLine="0"/>
              <w:rPr>
                <w:spacing w:val="4"/>
                <w:sz w:val="21"/>
              </w:rPr>
            </w:pPr>
            <w:r>
              <w:rPr>
                <w:spacing w:val="4"/>
                <w:sz w:val="21"/>
              </w:rPr>
              <w:t>社会保险基金支付的退役军人养恤金</w:t>
            </w:r>
          </w:p>
        </w:tc>
        <w:tc>
          <w:tcPr>
            <w:tcW w:w="1394" w:type="dxa"/>
            <w:tcBorders>
              <w:top w:val="nil"/>
              <w:bottom w:val="nil"/>
            </w:tcBorders>
          </w:tcPr>
          <w:p w:rsidR="00000000" w:rsidRDefault="00000000">
            <w:pPr>
              <w:pStyle w:val="NormalIndent"/>
              <w:spacing w:before="120" w:line="320" w:lineRule="exact"/>
              <w:ind w:left="12" w:right="206" w:firstLine="0"/>
              <w:jc w:val="right"/>
              <w:rPr>
                <w:spacing w:val="4"/>
                <w:sz w:val="21"/>
              </w:rPr>
            </w:pPr>
            <w:r>
              <w:rPr>
                <w:spacing w:val="4"/>
                <w:sz w:val="21"/>
              </w:rPr>
              <w:t>31.9</w:t>
            </w:r>
          </w:p>
        </w:tc>
        <w:tc>
          <w:tcPr>
            <w:tcW w:w="1394" w:type="dxa"/>
            <w:tcBorders>
              <w:top w:val="nil"/>
              <w:bottom w:val="nil"/>
            </w:tcBorders>
          </w:tcPr>
          <w:p w:rsidR="00000000" w:rsidRDefault="00000000">
            <w:pPr>
              <w:pStyle w:val="NormalIndent"/>
              <w:spacing w:before="120" w:line="320" w:lineRule="exact"/>
              <w:ind w:left="12" w:right="400" w:firstLine="0"/>
              <w:jc w:val="right"/>
              <w:rPr>
                <w:spacing w:val="4"/>
                <w:sz w:val="21"/>
              </w:rPr>
            </w:pPr>
            <w:r>
              <w:rPr>
                <w:spacing w:val="4"/>
                <w:sz w:val="21"/>
              </w:rPr>
              <w:t>31.0</w:t>
            </w:r>
          </w:p>
        </w:tc>
        <w:tc>
          <w:tcPr>
            <w:tcW w:w="1394" w:type="dxa"/>
            <w:tcBorders>
              <w:top w:val="nil"/>
              <w:bottom w:val="nil"/>
            </w:tcBorders>
          </w:tcPr>
          <w:p w:rsidR="00000000" w:rsidRDefault="00000000">
            <w:pPr>
              <w:pStyle w:val="NormalIndent"/>
              <w:spacing w:before="120" w:line="320" w:lineRule="exact"/>
              <w:ind w:left="12" w:right="354" w:firstLine="0"/>
              <w:jc w:val="right"/>
              <w:rPr>
                <w:spacing w:val="4"/>
                <w:sz w:val="21"/>
              </w:rPr>
            </w:pPr>
            <w:r>
              <w:rPr>
                <w:spacing w:val="4"/>
                <w:sz w:val="21"/>
              </w:rPr>
              <w:t>29.1</w:t>
            </w:r>
          </w:p>
        </w:tc>
      </w:tr>
      <w:tr w:rsidR="00000000">
        <w:tblPrEx>
          <w:tblCellMar>
            <w:top w:w="0" w:type="dxa"/>
            <w:bottom w:w="0" w:type="dxa"/>
          </w:tblCellMar>
        </w:tblPrEx>
        <w:tc>
          <w:tcPr>
            <w:tcW w:w="5388" w:type="dxa"/>
            <w:tcBorders>
              <w:top w:val="nil"/>
              <w:bottom w:val="nil"/>
            </w:tcBorders>
          </w:tcPr>
          <w:p w:rsidR="00000000" w:rsidRDefault="00000000">
            <w:pPr>
              <w:pStyle w:val="NormalIndent"/>
              <w:tabs>
                <w:tab w:val="left" w:pos="442"/>
              </w:tabs>
              <w:spacing w:before="120" w:line="320" w:lineRule="exact"/>
              <w:ind w:left="373" w:right="113" w:firstLine="0"/>
              <w:rPr>
                <w:spacing w:val="4"/>
                <w:sz w:val="21"/>
              </w:rPr>
            </w:pPr>
            <w:r>
              <w:rPr>
                <w:spacing w:val="4"/>
                <w:sz w:val="21"/>
              </w:rPr>
              <w:t>特殊服务补助金</w:t>
            </w:r>
          </w:p>
        </w:tc>
        <w:tc>
          <w:tcPr>
            <w:tcW w:w="1394" w:type="dxa"/>
            <w:tcBorders>
              <w:top w:val="nil"/>
              <w:bottom w:val="nil"/>
            </w:tcBorders>
          </w:tcPr>
          <w:p w:rsidR="00000000" w:rsidRDefault="00000000">
            <w:pPr>
              <w:pStyle w:val="NormalIndent"/>
              <w:spacing w:before="120" w:line="320" w:lineRule="exact"/>
              <w:ind w:left="12" w:right="206" w:firstLine="0"/>
              <w:jc w:val="right"/>
              <w:rPr>
                <w:spacing w:val="4"/>
                <w:sz w:val="21"/>
              </w:rPr>
            </w:pPr>
            <w:r>
              <w:rPr>
                <w:spacing w:val="4"/>
                <w:sz w:val="21"/>
              </w:rPr>
              <w:t>9.4</w:t>
            </w:r>
          </w:p>
        </w:tc>
        <w:tc>
          <w:tcPr>
            <w:tcW w:w="1394" w:type="dxa"/>
            <w:tcBorders>
              <w:top w:val="nil"/>
              <w:bottom w:val="nil"/>
            </w:tcBorders>
          </w:tcPr>
          <w:p w:rsidR="00000000" w:rsidRDefault="00000000">
            <w:pPr>
              <w:pStyle w:val="NormalIndent"/>
              <w:spacing w:before="120" w:line="320" w:lineRule="exact"/>
              <w:ind w:left="12" w:right="400" w:firstLine="0"/>
              <w:jc w:val="right"/>
              <w:rPr>
                <w:spacing w:val="4"/>
                <w:sz w:val="21"/>
              </w:rPr>
            </w:pPr>
            <w:r>
              <w:rPr>
                <w:spacing w:val="4"/>
                <w:sz w:val="21"/>
              </w:rPr>
              <w:t>5.0</w:t>
            </w:r>
          </w:p>
        </w:tc>
        <w:tc>
          <w:tcPr>
            <w:tcW w:w="1394" w:type="dxa"/>
            <w:tcBorders>
              <w:top w:val="nil"/>
              <w:bottom w:val="nil"/>
            </w:tcBorders>
          </w:tcPr>
          <w:p w:rsidR="00000000" w:rsidRDefault="00000000">
            <w:pPr>
              <w:pStyle w:val="NormalIndent"/>
              <w:spacing w:before="120" w:line="320" w:lineRule="exact"/>
              <w:ind w:left="12" w:right="354" w:firstLine="0"/>
              <w:jc w:val="right"/>
              <w:rPr>
                <w:spacing w:val="4"/>
                <w:sz w:val="21"/>
              </w:rPr>
            </w:pPr>
            <w:r>
              <w:rPr>
                <w:spacing w:val="4"/>
                <w:sz w:val="21"/>
              </w:rPr>
              <w:t>8.4</w:t>
            </w:r>
          </w:p>
        </w:tc>
      </w:tr>
      <w:tr w:rsidR="00000000">
        <w:tblPrEx>
          <w:tblCellMar>
            <w:top w:w="0" w:type="dxa"/>
            <w:bottom w:w="0" w:type="dxa"/>
          </w:tblCellMar>
        </w:tblPrEx>
        <w:tc>
          <w:tcPr>
            <w:tcW w:w="5388" w:type="dxa"/>
            <w:tcBorders>
              <w:top w:val="nil"/>
            </w:tcBorders>
          </w:tcPr>
          <w:p w:rsidR="00000000" w:rsidRDefault="00000000">
            <w:pPr>
              <w:pStyle w:val="NormalIndent"/>
              <w:tabs>
                <w:tab w:val="left" w:pos="442"/>
              </w:tabs>
              <w:spacing w:before="120" w:line="320" w:lineRule="exact"/>
              <w:ind w:left="113" w:right="113" w:firstLine="0"/>
              <w:rPr>
                <w:spacing w:val="4"/>
                <w:sz w:val="21"/>
              </w:rPr>
            </w:pPr>
            <w:r>
              <w:rPr>
                <w:spacing w:val="4"/>
                <w:sz w:val="21"/>
              </w:rPr>
              <w:t>养恤金平均月度金额</w:t>
            </w:r>
            <w:r>
              <w:rPr>
                <w:spacing w:val="4"/>
                <w:sz w:val="21"/>
              </w:rPr>
              <w:t>(</w:t>
            </w:r>
            <w:r>
              <w:rPr>
                <w:spacing w:val="4"/>
                <w:sz w:val="21"/>
              </w:rPr>
              <w:t>拉里</w:t>
            </w:r>
            <w:r>
              <w:rPr>
                <w:spacing w:val="4"/>
                <w:sz w:val="21"/>
              </w:rPr>
              <w:t>)</w:t>
            </w:r>
          </w:p>
        </w:tc>
        <w:tc>
          <w:tcPr>
            <w:tcW w:w="1394" w:type="dxa"/>
            <w:tcBorders>
              <w:top w:val="nil"/>
            </w:tcBorders>
          </w:tcPr>
          <w:p w:rsidR="00000000" w:rsidRDefault="00000000">
            <w:pPr>
              <w:pStyle w:val="NormalIndent"/>
              <w:spacing w:before="120" w:line="320" w:lineRule="exact"/>
              <w:ind w:left="12" w:right="206" w:firstLine="0"/>
              <w:jc w:val="right"/>
              <w:rPr>
                <w:spacing w:val="4"/>
                <w:sz w:val="21"/>
              </w:rPr>
            </w:pPr>
            <w:r>
              <w:rPr>
                <w:spacing w:val="4"/>
                <w:sz w:val="21"/>
              </w:rPr>
              <w:t>11.1</w:t>
            </w:r>
          </w:p>
        </w:tc>
        <w:tc>
          <w:tcPr>
            <w:tcW w:w="1394" w:type="dxa"/>
            <w:tcBorders>
              <w:top w:val="nil"/>
            </w:tcBorders>
          </w:tcPr>
          <w:p w:rsidR="00000000" w:rsidRDefault="00000000">
            <w:pPr>
              <w:pStyle w:val="NormalIndent"/>
              <w:spacing w:before="120" w:line="320" w:lineRule="exact"/>
              <w:ind w:left="12" w:right="400" w:firstLine="0"/>
              <w:jc w:val="right"/>
              <w:rPr>
                <w:spacing w:val="4"/>
                <w:sz w:val="21"/>
              </w:rPr>
            </w:pPr>
            <w:r>
              <w:rPr>
                <w:spacing w:val="4"/>
                <w:sz w:val="21"/>
              </w:rPr>
              <w:t>15.0</w:t>
            </w:r>
          </w:p>
        </w:tc>
        <w:tc>
          <w:tcPr>
            <w:tcW w:w="1394" w:type="dxa"/>
            <w:tcBorders>
              <w:top w:val="nil"/>
            </w:tcBorders>
          </w:tcPr>
          <w:p w:rsidR="00000000" w:rsidRDefault="00000000">
            <w:pPr>
              <w:pStyle w:val="NormalIndent"/>
              <w:spacing w:before="120" w:line="320" w:lineRule="exact"/>
              <w:ind w:left="12" w:right="354" w:firstLine="0"/>
              <w:jc w:val="right"/>
              <w:rPr>
                <w:spacing w:val="4"/>
                <w:sz w:val="21"/>
              </w:rPr>
            </w:pPr>
            <w:r>
              <w:rPr>
                <w:spacing w:val="4"/>
                <w:sz w:val="21"/>
              </w:rPr>
              <w:t>14.0</w:t>
            </w:r>
          </w:p>
        </w:tc>
      </w:tr>
    </w:tbl>
    <w:p w:rsidR="00000000" w:rsidRDefault="00000000"/>
    <w:p w:rsidR="00000000" w:rsidRDefault="00000000">
      <w:pPr>
        <w:pStyle w:val="NormalIndent"/>
        <w:spacing w:after="160"/>
      </w:pPr>
      <w:r>
        <w:t xml:space="preserve">102.  </w:t>
      </w:r>
      <w:r>
        <w:rPr>
          <w:rFonts w:hint="eastAsia"/>
        </w:rPr>
        <w:t>由于养恤金资格服务年限不够或养恤金资格服务级别不到而没有资格领取养恤金的人，到了规定的年龄</w:t>
      </w:r>
      <w:r>
        <w:rPr>
          <w:rFonts w:hint="eastAsia"/>
        </w:rPr>
        <w:t>(</w:t>
      </w:r>
      <w:r>
        <w:rPr>
          <w:rFonts w:hint="eastAsia"/>
        </w:rPr>
        <w:t>男子</w:t>
      </w:r>
      <w:r>
        <w:rPr>
          <w:rFonts w:hint="eastAsia"/>
        </w:rPr>
        <w:t>65</w:t>
      </w:r>
      <w:r>
        <w:rPr>
          <w:rFonts w:hint="eastAsia"/>
        </w:rPr>
        <w:t>岁，女子</w:t>
      </w:r>
      <w:r>
        <w:rPr>
          <w:rFonts w:hint="eastAsia"/>
        </w:rPr>
        <w:t>60</w:t>
      </w:r>
      <w:r>
        <w:rPr>
          <w:rFonts w:hint="eastAsia"/>
        </w:rPr>
        <w:t>岁</w:t>
      </w:r>
      <w:r>
        <w:rPr>
          <w:rFonts w:hint="eastAsia"/>
        </w:rPr>
        <w:t>)</w:t>
      </w:r>
      <w:r>
        <w:rPr>
          <w:rFonts w:hint="eastAsia"/>
        </w:rPr>
        <w:t>也可以得到国家的补助：社会补助金</w:t>
      </w:r>
      <w:r>
        <w:rPr>
          <w:rFonts w:hint="eastAsia"/>
        </w:rPr>
        <w:t>14</w:t>
      </w:r>
      <w:r>
        <w:rPr>
          <w:rFonts w:hint="eastAsia"/>
        </w:rPr>
        <w:t>拉里。这些社会补助金也可发给其他类别的人。下表列出领取这类补助的类别和人数：</w:t>
      </w:r>
    </w:p>
    <w:tbl>
      <w:tblPr>
        <w:tblW w:w="95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4668"/>
        <w:gridCol w:w="1640"/>
        <w:gridCol w:w="1640"/>
        <w:gridCol w:w="1640"/>
      </w:tblGrid>
      <w:tr w:rsidR="00000000">
        <w:tblPrEx>
          <w:tblCellMar>
            <w:top w:w="0" w:type="dxa"/>
            <w:bottom w:w="0" w:type="dxa"/>
          </w:tblCellMar>
        </w:tblPrEx>
        <w:trPr>
          <w:cantSplit/>
          <w:trHeight w:val="315"/>
        </w:trPr>
        <w:tc>
          <w:tcPr>
            <w:tcW w:w="4668" w:type="dxa"/>
            <w:vMerge w:val="restart"/>
          </w:tcPr>
          <w:p w:rsidR="00000000" w:rsidRDefault="00000000">
            <w:pPr>
              <w:pStyle w:val="NormalIndent"/>
              <w:tabs>
                <w:tab w:val="left" w:pos="442"/>
              </w:tabs>
              <w:spacing w:before="120" w:line="320" w:lineRule="exact"/>
              <w:ind w:left="113" w:right="113" w:firstLine="0"/>
              <w:jc w:val="center"/>
              <w:rPr>
                <w:spacing w:val="4"/>
                <w:sz w:val="21"/>
                <w:u w:val="single"/>
              </w:rPr>
            </w:pPr>
            <w:r>
              <w:rPr>
                <w:rFonts w:hint="eastAsia"/>
                <w:spacing w:val="4"/>
                <w:sz w:val="21"/>
                <w:u w:val="single"/>
              </w:rPr>
              <w:t>补</w:t>
            </w:r>
            <w:r>
              <w:rPr>
                <w:rFonts w:hint="eastAsia"/>
                <w:spacing w:val="4"/>
                <w:sz w:val="21"/>
                <w:u w:val="single"/>
              </w:rPr>
              <w:t xml:space="preserve"> </w:t>
            </w:r>
            <w:r>
              <w:rPr>
                <w:rFonts w:hint="eastAsia"/>
                <w:spacing w:val="4"/>
                <w:sz w:val="21"/>
                <w:u w:val="single"/>
              </w:rPr>
              <w:t>助</w:t>
            </w:r>
            <w:r>
              <w:rPr>
                <w:rFonts w:hint="eastAsia"/>
                <w:spacing w:val="4"/>
                <w:sz w:val="21"/>
                <w:u w:val="single"/>
              </w:rPr>
              <w:t xml:space="preserve"> </w:t>
            </w:r>
            <w:r>
              <w:rPr>
                <w:rFonts w:hint="eastAsia"/>
                <w:spacing w:val="4"/>
                <w:sz w:val="21"/>
                <w:u w:val="single"/>
              </w:rPr>
              <w:t>类</w:t>
            </w:r>
            <w:r>
              <w:rPr>
                <w:rFonts w:hint="eastAsia"/>
                <w:spacing w:val="4"/>
                <w:sz w:val="21"/>
                <w:u w:val="single"/>
              </w:rPr>
              <w:t xml:space="preserve"> </w:t>
            </w:r>
            <w:r>
              <w:rPr>
                <w:rFonts w:hint="eastAsia"/>
                <w:spacing w:val="4"/>
                <w:sz w:val="21"/>
                <w:u w:val="single"/>
              </w:rPr>
              <w:t>别</w:t>
            </w:r>
          </w:p>
        </w:tc>
        <w:tc>
          <w:tcPr>
            <w:tcW w:w="4920" w:type="dxa"/>
            <w:gridSpan w:val="3"/>
          </w:tcPr>
          <w:p w:rsidR="00000000" w:rsidRDefault="00000000">
            <w:pPr>
              <w:pStyle w:val="NormalIndent"/>
              <w:tabs>
                <w:tab w:val="left" w:pos="442"/>
              </w:tabs>
              <w:spacing w:before="60" w:line="320" w:lineRule="exact"/>
              <w:ind w:left="113" w:right="113" w:firstLine="0"/>
              <w:jc w:val="center"/>
              <w:rPr>
                <w:spacing w:val="4"/>
                <w:sz w:val="21"/>
                <w:u w:val="single"/>
              </w:rPr>
            </w:pPr>
            <w:r>
              <w:rPr>
                <w:rFonts w:hint="eastAsia"/>
                <w:spacing w:val="4"/>
                <w:sz w:val="21"/>
                <w:u w:val="single"/>
              </w:rPr>
              <w:t>年</w:t>
            </w:r>
            <w:r>
              <w:rPr>
                <w:rFonts w:hint="eastAsia"/>
                <w:spacing w:val="4"/>
                <w:sz w:val="21"/>
                <w:u w:val="single"/>
              </w:rPr>
              <w:t xml:space="preserve">  </w:t>
            </w:r>
            <w:r>
              <w:rPr>
                <w:rFonts w:hint="eastAsia"/>
                <w:spacing w:val="4"/>
                <w:sz w:val="21"/>
                <w:u w:val="single"/>
              </w:rPr>
              <w:t>份</w:t>
            </w:r>
          </w:p>
        </w:tc>
      </w:tr>
      <w:tr w:rsidR="00000000">
        <w:tblPrEx>
          <w:tblCellMar>
            <w:top w:w="0" w:type="dxa"/>
            <w:bottom w:w="0" w:type="dxa"/>
          </w:tblCellMar>
        </w:tblPrEx>
        <w:trPr>
          <w:cantSplit/>
          <w:trHeight w:val="315"/>
        </w:trPr>
        <w:tc>
          <w:tcPr>
            <w:tcW w:w="4668" w:type="dxa"/>
            <w:vMerge/>
            <w:tcBorders>
              <w:bottom w:val="single" w:sz="6" w:space="0" w:color="000000"/>
            </w:tcBorders>
          </w:tcPr>
          <w:p w:rsidR="00000000" w:rsidRDefault="00000000">
            <w:pPr>
              <w:pStyle w:val="NormalIndent"/>
              <w:tabs>
                <w:tab w:val="left" w:pos="442"/>
              </w:tabs>
              <w:spacing w:before="60" w:line="320" w:lineRule="exact"/>
              <w:ind w:left="113" w:right="113" w:firstLine="0"/>
              <w:rPr>
                <w:spacing w:val="4"/>
                <w:sz w:val="21"/>
                <w:u w:val="single"/>
              </w:rPr>
            </w:pPr>
          </w:p>
        </w:tc>
        <w:tc>
          <w:tcPr>
            <w:tcW w:w="1640" w:type="dxa"/>
            <w:tcBorders>
              <w:bottom w:val="single" w:sz="6" w:space="0" w:color="000000"/>
            </w:tcBorders>
          </w:tcPr>
          <w:p w:rsidR="00000000" w:rsidRDefault="00000000">
            <w:pPr>
              <w:pStyle w:val="NormalIndent"/>
              <w:tabs>
                <w:tab w:val="left" w:pos="442"/>
              </w:tabs>
              <w:spacing w:before="60" w:line="320" w:lineRule="exact"/>
              <w:ind w:left="113" w:right="113" w:firstLine="0"/>
              <w:jc w:val="center"/>
              <w:rPr>
                <w:spacing w:val="4"/>
                <w:sz w:val="21"/>
                <w:u w:val="single"/>
              </w:rPr>
            </w:pPr>
            <w:r>
              <w:rPr>
                <w:spacing w:val="4"/>
                <w:sz w:val="21"/>
                <w:u w:val="single"/>
              </w:rPr>
              <w:t>1997</w:t>
            </w:r>
          </w:p>
        </w:tc>
        <w:tc>
          <w:tcPr>
            <w:tcW w:w="1640" w:type="dxa"/>
            <w:tcBorders>
              <w:bottom w:val="single" w:sz="6" w:space="0" w:color="000000"/>
            </w:tcBorders>
          </w:tcPr>
          <w:p w:rsidR="00000000" w:rsidRDefault="00000000">
            <w:pPr>
              <w:pStyle w:val="NormalIndent"/>
              <w:tabs>
                <w:tab w:val="left" w:pos="442"/>
              </w:tabs>
              <w:spacing w:before="60" w:line="320" w:lineRule="exact"/>
              <w:ind w:left="113" w:right="113" w:firstLine="0"/>
              <w:jc w:val="center"/>
              <w:rPr>
                <w:spacing w:val="4"/>
                <w:sz w:val="21"/>
                <w:u w:val="single"/>
              </w:rPr>
            </w:pPr>
            <w:r>
              <w:rPr>
                <w:spacing w:val="4"/>
                <w:sz w:val="21"/>
                <w:u w:val="single"/>
              </w:rPr>
              <w:t>1998</w:t>
            </w:r>
          </w:p>
        </w:tc>
        <w:tc>
          <w:tcPr>
            <w:tcW w:w="1640" w:type="dxa"/>
            <w:tcBorders>
              <w:bottom w:val="single" w:sz="6" w:space="0" w:color="000000"/>
            </w:tcBorders>
          </w:tcPr>
          <w:p w:rsidR="00000000" w:rsidRDefault="00000000">
            <w:pPr>
              <w:pStyle w:val="NormalIndent"/>
              <w:tabs>
                <w:tab w:val="left" w:pos="442"/>
              </w:tabs>
              <w:spacing w:before="60" w:line="320" w:lineRule="exact"/>
              <w:ind w:left="113" w:right="113" w:firstLine="0"/>
              <w:jc w:val="center"/>
              <w:rPr>
                <w:spacing w:val="4"/>
                <w:sz w:val="21"/>
                <w:u w:val="single"/>
              </w:rPr>
            </w:pPr>
            <w:r>
              <w:rPr>
                <w:spacing w:val="4"/>
                <w:sz w:val="21"/>
                <w:u w:val="single"/>
              </w:rPr>
              <w:t>1999</w:t>
            </w:r>
          </w:p>
        </w:tc>
      </w:tr>
      <w:tr w:rsidR="00000000">
        <w:tblPrEx>
          <w:tblCellMar>
            <w:top w:w="0" w:type="dxa"/>
            <w:bottom w:w="0" w:type="dxa"/>
          </w:tblCellMar>
        </w:tblPrEx>
        <w:tc>
          <w:tcPr>
            <w:tcW w:w="4668" w:type="dxa"/>
            <w:tcBorders>
              <w:bottom w:val="nil"/>
            </w:tcBorders>
          </w:tcPr>
          <w:p w:rsidR="00000000" w:rsidRDefault="00000000">
            <w:pPr>
              <w:pStyle w:val="NormalIndent"/>
              <w:tabs>
                <w:tab w:val="left" w:pos="442"/>
              </w:tabs>
              <w:spacing w:before="120" w:line="320" w:lineRule="exact"/>
              <w:ind w:left="113" w:right="113" w:firstLine="0"/>
              <w:rPr>
                <w:spacing w:val="4"/>
                <w:sz w:val="21"/>
              </w:rPr>
            </w:pPr>
            <w:r>
              <w:rPr>
                <w:rFonts w:hint="eastAsia"/>
                <w:spacing w:val="4"/>
                <w:sz w:val="21"/>
              </w:rPr>
              <w:t>养</w:t>
            </w:r>
            <w:r>
              <w:rPr>
                <w:spacing w:val="4"/>
                <w:sz w:val="21"/>
              </w:rPr>
              <w:t xml:space="preserve">  </w:t>
            </w:r>
            <w:r>
              <w:rPr>
                <w:rFonts w:hint="eastAsia"/>
                <w:spacing w:val="4"/>
                <w:sz w:val="21"/>
              </w:rPr>
              <w:t>老</w:t>
            </w:r>
          </w:p>
        </w:tc>
        <w:tc>
          <w:tcPr>
            <w:tcW w:w="1640" w:type="dxa"/>
            <w:tcBorders>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26,843</w:t>
            </w:r>
          </w:p>
        </w:tc>
        <w:tc>
          <w:tcPr>
            <w:tcW w:w="1640" w:type="dxa"/>
            <w:tcBorders>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25,616</w:t>
            </w:r>
          </w:p>
        </w:tc>
        <w:tc>
          <w:tcPr>
            <w:tcW w:w="1640" w:type="dxa"/>
            <w:tcBorders>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23,701</w:t>
            </w:r>
          </w:p>
        </w:tc>
      </w:tr>
      <w:tr w:rsidR="00000000">
        <w:tblPrEx>
          <w:tblCellMar>
            <w:top w:w="0" w:type="dxa"/>
            <w:bottom w:w="0" w:type="dxa"/>
          </w:tblCellMar>
        </w:tblPrEx>
        <w:tc>
          <w:tcPr>
            <w:tcW w:w="4668" w:type="dxa"/>
            <w:tcBorders>
              <w:top w:val="nil"/>
              <w:bottom w:val="nil"/>
            </w:tcBorders>
          </w:tcPr>
          <w:p w:rsidR="00000000" w:rsidRDefault="00000000">
            <w:pPr>
              <w:pStyle w:val="NormalIndent"/>
              <w:tabs>
                <w:tab w:val="left" w:pos="442"/>
              </w:tabs>
              <w:spacing w:before="120" w:line="320" w:lineRule="exact"/>
              <w:ind w:left="113" w:right="113" w:firstLine="0"/>
              <w:rPr>
                <w:spacing w:val="4"/>
                <w:sz w:val="21"/>
              </w:rPr>
            </w:pPr>
            <w:r>
              <w:rPr>
                <w:rFonts w:hint="eastAsia"/>
                <w:spacing w:val="4"/>
                <w:sz w:val="21"/>
              </w:rPr>
              <w:t>残</w:t>
            </w:r>
            <w:r>
              <w:rPr>
                <w:spacing w:val="4"/>
                <w:sz w:val="21"/>
              </w:rPr>
              <w:t xml:space="preserve">  </w:t>
            </w:r>
            <w:r>
              <w:rPr>
                <w:rFonts w:hint="eastAsia"/>
                <w:spacing w:val="4"/>
                <w:sz w:val="21"/>
              </w:rPr>
              <w:t>疾</w:t>
            </w:r>
          </w:p>
        </w:tc>
        <w:tc>
          <w:tcPr>
            <w:tcW w:w="1640" w:type="dxa"/>
            <w:tcBorders>
              <w:top w:val="nil"/>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8,804</w:t>
            </w:r>
          </w:p>
        </w:tc>
        <w:tc>
          <w:tcPr>
            <w:tcW w:w="1640" w:type="dxa"/>
            <w:tcBorders>
              <w:top w:val="nil"/>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13,377</w:t>
            </w:r>
          </w:p>
        </w:tc>
        <w:tc>
          <w:tcPr>
            <w:tcW w:w="1640" w:type="dxa"/>
            <w:tcBorders>
              <w:top w:val="nil"/>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13,144</w:t>
            </w:r>
          </w:p>
        </w:tc>
      </w:tr>
      <w:tr w:rsidR="00000000">
        <w:tblPrEx>
          <w:tblCellMar>
            <w:top w:w="0" w:type="dxa"/>
            <w:bottom w:w="0" w:type="dxa"/>
          </w:tblCellMar>
        </w:tblPrEx>
        <w:tc>
          <w:tcPr>
            <w:tcW w:w="4668" w:type="dxa"/>
            <w:tcBorders>
              <w:top w:val="nil"/>
              <w:bottom w:val="nil"/>
            </w:tcBorders>
          </w:tcPr>
          <w:p w:rsidR="00000000" w:rsidRDefault="00000000">
            <w:pPr>
              <w:pStyle w:val="NormalIndent"/>
              <w:tabs>
                <w:tab w:val="left" w:pos="442"/>
              </w:tabs>
              <w:spacing w:before="120" w:line="320" w:lineRule="exact"/>
              <w:ind w:left="113" w:right="113" w:firstLine="0"/>
              <w:rPr>
                <w:spacing w:val="4"/>
                <w:sz w:val="21"/>
              </w:rPr>
            </w:pPr>
            <w:r>
              <w:rPr>
                <w:rFonts w:hint="eastAsia"/>
                <w:spacing w:val="4"/>
                <w:sz w:val="21"/>
              </w:rPr>
              <w:t>赡养人死亡</w:t>
            </w:r>
          </w:p>
        </w:tc>
        <w:tc>
          <w:tcPr>
            <w:tcW w:w="1640" w:type="dxa"/>
            <w:tcBorders>
              <w:top w:val="nil"/>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4,862</w:t>
            </w:r>
          </w:p>
        </w:tc>
        <w:tc>
          <w:tcPr>
            <w:tcW w:w="1640" w:type="dxa"/>
            <w:tcBorders>
              <w:top w:val="nil"/>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4,862</w:t>
            </w:r>
          </w:p>
        </w:tc>
        <w:tc>
          <w:tcPr>
            <w:tcW w:w="1640" w:type="dxa"/>
            <w:tcBorders>
              <w:top w:val="nil"/>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7,879</w:t>
            </w:r>
          </w:p>
        </w:tc>
      </w:tr>
      <w:tr w:rsidR="00000000">
        <w:tblPrEx>
          <w:tblCellMar>
            <w:top w:w="0" w:type="dxa"/>
            <w:bottom w:w="0" w:type="dxa"/>
          </w:tblCellMar>
        </w:tblPrEx>
        <w:tc>
          <w:tcPr>
            <w:tcW w:w="4668" w:type="dxa"/>
            <w:tcBorders>
              <w:top w:val="nil"/>
              <w:bottom w:val="nil"/>
            </w:tcBorders>
          </w:tcPr>
          <w:p w:rsidR="00000000" w:rsidRDefault="00000000">
            <w:pPr>
              <w:pStyle w:val="NormalIndent"/>
              <w:tabs>
                <w:tab w:val="left" w:pos="442"/>
              </w:tabs>
              <w:spacing w:before="120" w:line="320" w:lineRule="exact"/>
              <w:ind w:left="113" w:right="113" w:firstLine="0"/>
              <w:rPr>
                <w:spacing w:val="4"/>
                <w:sz w:val="21"/>
              </w:rPr>
            </w:pPr>
            <w:r>
              <w:rPr>
                <w:rFonts w:hint="eastAsia"/>
                <w:spacing w:val="4"/>
                <w:sz w:val="21"/>
              </w:rPr>
              <w:t>童年起残疾</w:t>
            </w:r>
          </w:p>
        </w:tc>
        <w:tc>
          <w:tcPr>
            <w:tcW w:w="1640" w:type="dxa"/>
            <w:tcBorders>
              <w:top w:val="nil"/>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17,159</w:t>
            </w:r>
          </w:p>
        </w:tc>
        <w:tc>
          <w:tcPr>
            <w:tcW w:w="1640" w:type="dxa"/>
            <w:tcBorders>
              <w:top w:val="nil"/>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17,810</w:t>
            </w:r>
          </w:p>
        </w:tc>
        <w:tc>
          <w:tcPr>
            <w:tcW w:w="1640" w:type="dxa"/>
            <w:tcBorders>
              <w:top w:val="nil"/>
              <w:bottom w:val="nil"/>
            </w:tcBorders>
          </w:tcPr>
          <w:p w:rsidR="00000000" w:rsidRDefault="00000000">
            <w:pPr>
              <w:pStyle w:val="NormalIndent"/>
              <w:spacing w:before="120" w:line="320" w:lineRule="exact"/>
              <w:ind w:left="113" w:right="332" w:firstLine="0"/>
              <w:jc w:val="right"/>
              <w:rPr>
                <w:spacing w:val="4"/>
                <w:sz w:val="21"/>
              </w:rPr>
            </w:pPr>
            <w:r>
              <w:rPr>
                <w:spacing w:val="4"/>
                <w:sz w:val="21"/>
              </w:rPr>
              <w:t>18,744</w:t>
            </w:r>
          </w:p>
        </w:tc>
      </w:tr>
      <w:tr w:rsidR="00000000">
        <w:tblPrEx>
          <w:tblCellMar>
            <w:top w:w="0" w:type="dxa"/>
            <w:bottom w:w="0" w:type="dxa"/>
          </w:tblCellMar>
        </w:tblPrEx>
        <w:tc>
          <w:tcPr>
            <w:tcW w:w="4668" w:type="dxa"/>
            <w:tcBorders>
              <w:top w:val="nil"/>
            </w:tcBorders>
          </w:tcPr>
          <w:p w:rsidR="00000000" w:rsidRDefault="00000000">
            <w:pPr>
              <w:pStyle w:val="NormalIndent"/>
              <w:tabs>
                <w:tab w:val="left" w:pos="442"/>
              </w:tabs>
              <w:spacing w:before="120" w:line="320" w:lineRule="exact"/>
              <w:ind w:left="113" w:right="113" w:firstLine="0"/>
              <w:rPr>
                <w:spacing w:val="4"/>
                <w:sz w:val="21"/>
              </w:rPr>
            </w:pPr>
            <w:r>
              <w:rPr>
                <w:rFonts w:hint="eastAsia"/>
                <w:spacing w:val="4"/>
                <w:sz w:val="21"/>
              </w:rPr>
              <w:t>残疾儿童</w:t>
            </w:r>
            <w:r>
              <w:rPr>
                <w:rFonts w:hint="eastAsia"/>
                <w:spacing w:val="4"/>
                <w:sz w:val="21"/>
              </w:rPr>
              <w:t>(16</w:t>
            </w:r>
            <w:r>
              <w:rPr>
                <w:rFonts w:hint="eastAsia"/>
                <w:spacing w:val="4"/>
                <w:sz w:val="21"/>
              </w:rPr>
              <w:t>岁以下</w:t>
            </w:r>
            <w:r>
              <w:rPr>
                <w:rFonts w:hint="eastAsia"/>
                <w:spacing w:val="4"/>
                <w:sz w:val="21"/>
              </w:rPr>
              <w:t>(</w:t>
            </w:r>
            <w:r>
              <w:rPr>
                <w:rFonts w:hint="eastAsia"/>
                <w:spacing w:val="4"/>
                <w:sz w:val="21"/>
              </w:rPr>
              <w:t>含</w:t>
            </w:r>
            <w:r>
              <w:rPr>
                <w:rFonts w:hint="eastAsia"/>
                <w:spacing w:val="4"/>
                <w:sz w:val="21"/>
              </w:rPr>
              <w:t>))</w:t>
            </w:r>
          </w:p>
        </w:tc>
        <w:tc>
          <w:tcPr>
            <w:tcW w:w="1640" w:type="dxa"/>
            <w:tcBorders>
              <w:top w:val="nil"/>
            </w:tcBorders>
          </w:tcPr>
          <w:p w:rsidR="00000000" w:rsidRDefault="00000000">
            <w:pPr>
              <w:pStyle w:val="NormalIndent"/>
              <w:spacing w:before="120" w:line="320" w:lineRule="exact"/>
              <w:ind w:left="113" w:right="332" w:firstLine="0"/>
              <w:jc w:val="right"/>
              <w:rPr>
                <w:spacing w:val="4"/>
                <w:sz w:val="21"/>
              </w:rPr>
            </w:pPr>
            <w:r>
              <w:rPr>
                <w:spacing w:val="4"/>
                <w:sz w:val="21"/>
              </w:rPr>
              <w:t>7,382</w:t>
            </w:r>
          </w:p>
        </w:tc>
        <w:tc>
          <w:tcPr>
            <w:tcW w:w="1640" w:type="dxa"/>
            <w:tcBorders>
              <w:top w:val="nil"/>
            </w:tcBorders>
          </w:tcPr>
          <w:p w:rsidR="00000000" w:rsidRDefault="00000000">
            <w:pPr>
              <w:pStyle w:val="NormalIndent"/>
              <w:spacing w:before="120" w:line="320" w:lineRule="exact"/>
              <w:ind w:left="113" w:right="332" w:firstLine="0"/>
              <w:jc w:val="right"/>
              <w:rPr>
                <w:spacing w:val="4"/>
                <w:sz w:val="21"/>
              </w:rPr>
            </w:pPr>
            <w:r>
              <w:rPr>
                <w:spacing w:val="4"/>
                <w:sz w:val="21"/>
              </w:rPr>
              <w:t>7,665</w:t>
            </w:r>
          </w:p>
        </w:tc>
        <w:tc>
          <w:tcPr>
            <w:tcW w:w="1640" w:type="dxa"/>
            <w:tcBorders>
              <w:top w:val="nil"/>
            </w:tcBorders>
          </w:tcPr>
          <w:p w:rsidR="00000000" w:rsidRDefault="00000000">
            <w:pPr>
              <w:pStyle w:val="NormalIndent"/>
              <w:spacing w:before="120" w:line="320" w:lineRule="exact"/>
              <w:ind w:left="113" w:right="332" w:firstLine="0"/>
              <w:jc w:val="right"/>
              <w:rPr>
                <w:spacing w:val="4"/>
                <w:sz w:val="21"/>
              </w:rPr>
            </w:pPr>
            <w:r>
              <w:rPr>
                <w:spacing w:val="4"/>
                <w:sz w:val="21"/>
              </w:rPr>
              <w:t>8,264</w:t>
            </w:r>
          </w:p>
        </w:tc>
      </w:tr>
    </w:tbl>
    <w:p w:rsidR="00000000" w:rsidRDefault="00000000">
      <w:pPr>
        <w:pStyle w:val="NormalIndent"/>
        <w:spacing w:before="160"/>
      </w:pPr>
      <w:r>
        <w:t xml:space="preserve">103.  </w:t>
      </w:r>
      <w:r>
        <w:rPr>
          <w:rFonts w:hint="eastAsia"/>
        </w:rPr>
        <w:t>1997</w:t>
      </w:r>
      <w:r>
        <w:rPr>
          <w:rFonts w:hint="eastAsia"/>
        </w:rPr>
        <w:t>年，格鲁吉亚开始实行社会</w:t>
      </w:r>
      <w:r>
        <w:rPr>
          <w:rFonts w:hint="eastAsia"/>
        </w:rPr>
        <w:t>(</w:t>
      </w:r>
      <w:r>
        <w:rPr>
          <w:rFonts w:hint="eastAsia"/>
        </w:rPr>
        <w:t>家庭</w:t>
      </w:r>
      <w:r>
        <w:rPr>
          <w:rFonts w:hint="eastAsia"/>
        </w:rPr>
        <w:t>)</w:t>
      </w:r>
      <w:r>
        <w:rPr>
          <w:rFonts w:hint="eastAsia"/>
        </w:rPr>
        <w:t>补助办法，这是国家为在社会上处于不利地位的某些类别的人提供物质援助的一种形式。这种补助是通过一项专门的国家方案提供的。</w:t>
      </w:r>
    </w:p>
    <w:p w:rsidR="00000000" w:rsidRDefault="00000000">
      <w:pPr>
        <w:pStyle w:val="NormalIndent"/>
      </w:pPr>
      <w:r>
        <w:t xml:space="preserve">104.  </w:t>
      </w:r>
      <w:r>
        <w:rPr>
          <w:rFonts w:hint="eastAsia"/>
        </w:rPr>
        <w:t>1997</w:t>
      </w:r>
      <w:r>
        <w:rPr>
          <w:rFonts w:hint="eastAsia"/>
        </w:rPr>
        <w:t>年，这种补助提供给下列各类人：完全依靠养老金生活的老人；某些领取养老金的家庭，这些家庭需要抚养儿童，而儿童的父母不在身边并且已失业；家里有人失业并在就业中心登记的城市家庭。</w:t>
      </w:r>
    </w:p>
    <w:p w:rsidR="00000000" w:rsidRDefault="00000000">
      <w:pPr>
        <w:pStyle w:val="NormalIndent"/>
      </w:pPr>
      <w:r>
        <w:t xml:space="preserve">105.  </w:t>
      </w:r>
      <w:r>
        <w:rPr>
          <w:rFonts w:hint="eastAsia"/>
        </w:rPr>
        <w:t>1998</w:t>
      </w:r>
      <w:r>
        <w:rPr>
          <w:rFonts w:hint="eastAsia"/>
        </w:rPr>
        <w:t>年，对方案做了修改，补助对象仅包括完全依靠养老金生活的人和由于没有法定抚养人而需要由这些人抚养的未成年人。</w:t>
      </w:r>
    </w:p>
    <w:p w:rsidR="00000000" w:rsidRDefault="00000000">
      <w:pPr>
        <w:pStyle w:val="NormalIndent"/>
      </w:pPr>
      <w:r>
        <w:t xml:space="preserve">106.  </w:t>
      </w:r>
      <w:r>
        <w:rPr>
          <w:rFonts w:hint="eastAsia"/>
        </w:rPr>
        <w:t>到了</w:t>
      </w:r>
      <w:r>
        <w:rPr>
          <w:rFonts w:hint="eastAsia"/>
        </w:rPr>
        <w:t>1999</w:t>
      </w:r>
      <w:r>
        <w:rPr>
          <w:rFonts w:hint="eastAsia"/>
        </w:rPr>
        <w:t>年，该方案又扩大了范围，补助对象增加了未成年的孤儿和有残疾的监护人。从</w:t>
      </w:r>
      <w:r>
        <w:rPr>
          <w:rFonts w:hint="eastAsia"/>
        </w:rPr>
        <w:t>2000</w:t>
      </w:r>
      <w:r>
        <w:rPr>
          <w:rFonts w:hint="eastAsia"/>
        </w:rPr>
        <w:t>年起，未成年的孤儿一律可以得到补助，不论其监护人有能力工作。这种补助的金额因家庭人数而异。</w:t>
      </w:r>
    </w:p>
    <w:p w:rsidR="00000000" w:rsidRDefault="00000000">
      <w:pPr>
        <w:pStyle w:val="NormalIndent"/>
      </w:pPr>
      <w:r>
        <w:t xml:space="preserve">107.  </w:t>
      </w:r>
      <w:r>
        <w:rPr>
          <w:rFonts w:hint="eastAsia"/>
        </w:rPr>
        <w:t>以下是关于这方面的进一步统计资料。</w:t>
      </w:r>
    </w:p>
    <w:p w:rsidR="00000000" w:rsidRDefault="00000000">
      <w:pPr>
        <w:pStyle w:val="NormalIndent"/>
      </w:pPr>
      <w:r>
        <w:t xml:space="preserve">108.  </w:t>
      </w:r>
      <w:r>
        <w:rPr>
          <w:rFonts w:hint="eastAsia"/>
        </w:rPr>
        <w:t>1997</w:t>
      </w:r>
      <w:r>
        <w:rPr>
          <w:rFonts w:hint="eastAsia"/>
        </w:rPr>
        <w:t>年，总共为下列数目的家庭支付了补助</w:t>
      </w:r>
      <w:r>
        <w:t>(</w:t>
      </w:r>
      <w:r>
        <w:rPr>
          <w:rFonts w:hint="eastAsia"/>
        </w:rPr>
        <w:t>括号内注明金额</w:t>
      </w:r>
      <w:r>
        <w:rPr>
          <w:rFonts w:hint="eastAsia"/>
        </w:rPr>
        <w:t>)</w:t>
      </w:r>
      <w:r>
        <w:rPr>
          <w:rFonts w:hint="eastAsia"/>
        </w:rPr>
        <w:t>：</w:t>
      </w:r>
    </w:p>
    <w:p w:rsidR="00000000" w:rsidRDefault="00000000">
      <w:pPr>
        <w:pStyle w:val="NormalIndent"/>
        <w:numPr>
          <w:ilvl w:val="0"/>
          <w:numId w:val="33"/>
        </w:numPr>
        <w:tabs>
          <w:tab w:val="clear" w:pos="1740"/>
          <w:tab w:val="num" w:pos="1480"/>
        </w:tabs>
        <w:ind w:left="1480"/>
      </w:pPr>
      <w:r>
        <w:rPr>
          <w:rFonts w:hint="eastAsia"/>
        </w:rPr>
        <w:t>没有工作、完全依靠养恤金生活的家庭</w:t>
      </w:r>
      <w:r>
        <w:rPr>
          <w:rFonts w:hint="eastAsia"/>
          <w:spacing w:val="-40"/>
        </w:rPr>
        <w:t>——</w:t>
      </w:r>
      <w:r>
        <w:t xml:space="preserve"> 87,987</w:t>
      </w:r>
      <w:r>
        <w:rPr>
          <w:rFonts w:hint="eastAsia"/>
        </w:rPr>
        <w:t>(</w:t>
      </w:r>
      <w:r>
        <w:rPr>
          <w:rFonts w:hint="eastAsia"/>
        </w:rPr>
        <w:t>每人</w:t>
      </w:r>
      <w:r>
        <w:rPr>
          <w:rFonts w:hint="eastAsia"/>
        </w:rPr>
        <w:t>9</w:t>
      </w:r>
      <w:r>
        <w:rPr>
          <w:rFonts w:hint="eastAsia"/>
        </w:rPr>
        <w:t>拉里</w:t>
      </w:r>
      <w:r>
        <w:rPr>
          <w:rFonts w:hint="eastAsia"/>
        </w:rPr>
        <w:t>)</w:t>
      </w:r>
      <w:r>
        <w:rPr>
          <w:rFonts w:hint="eastAsia"/>
        </w:rPr>
        <w:t>；</w:t>
      </w:r>
    </w:p>
    <w:p w:rsidR="00000000" w:rsidRDefault="00000000">
      <w:pPr>
        <w:pStyle w:val="NormalIndent"/>
        <w:numPr>
          <w:ilvl w:val="0"/>
          <w:numId w:val="33"/>
        </w:numPr>
        <w:tabs>
          <w:tab w:val="clear" w:pos="1740"/>
          <w:tab w:val="num" w:pos="1480"/>
        </w:tabs>
        <w:ind w:left="1480"/>
      </w:pPr>
      <w:r>
        <w:rPr>
          <w:rFonts w:ascii="SimSun" w:hAnsi="SimSun"/>
        </w:rPr>
        <w:t>家里有人无法工作的家庭</w:t>
      </w:r>
      <w:r>
        <w:rPr>
          <w:rFonts w:hint="eastAsia"/>
          <w:spacing w:val="-40"/>
        </w:rPr>
        <w:t>——</w:t>
      </w:r>
      <w:r>
        <w:t xml:space="preserve"> 46,598</w:t>
      </w:r>
      <w:r>
        <w:rPr>
          <w:rFonts w:hint="eastAsia"/>
        </w:rPr>
        <w:t>(112,147</w:t>
      </w:r>
      <w:r>
        <w:rPr>
          <w:rFonts w:hint="eastAsia"/>
        </w:rPr>
        <w:t>人；每人</w:t>
      </w:r>
      <w:r>
        <w:rPr>
          <w:rFonts w:hint="eastAsia"/>
        </w:rPr>
        <w:t>7.2</w:t>
      </w:r>
      <w:r>
        <w:rPr>
          <w:rFonts w:hint="eastAsia"/>
        </w:rPr>
        <w:t>拉里</w:t>
      </w:r>
      <w:r>
        <w:rPr>
          <w:rFonts w:hint="eastAsia"/>
        </w:rPr>
        <w:t>)</w:t>
      </w:r>
      <w:r>
        <w:rPr>
          <w:rFonts w:hint="eastAsia"/>
        </w:rPr>
        <w:t>；</w:t>
      </w:r>
    </w:p>
    <w:p w:rsidR="00000000" w:rsidRDefault="00000000">
      <w:pPr>
        <w:pStyle w:val="NormalIndent"/>
        <w:numPr>
          <w:ilvl w:val="0"/>
          <w:numId w:val="33"/>
        </w:numPr>
        <w:tabs>
          <w:tab w:val="clear" w:pos="1740"/>
          <w:tab w:val="num" w:pos="1480"/>
        </w:tabs>
        <w:ind w:left="1480"/>
      </w:pPr>
      <w:r>
        <w:rPr>
          <w:rFonts w:ascii="SimSun" w:hAnsi="SimSun"/>
        </w:rPr>
        <w:t>全家失业的城市家庭</w:t>
      </w:r>
      <w:r>
        <w:rPr>
          <w:rFonts w:hint="eastAsia"/>
          <w:spacing w:val="-40"/>
        </w:rPr>
        <w:t>——</w:t>
      </w:r>
      <w:r>
        <w:t xml:space="preserve"> 174,012</w:t>
      </w:r>
      <w:r>
        <w:rPr>
          <w:rFonts w:hint="eastAsia"/>
        </w:rPr>
        <w:t>(348,802</w:t>
      </w:r>
      <w:r>
        <w:rPr>
          <w:rFonts w:hint="eastAsia"/>
        </w:rPr>
        <w:t>人；每人</w:t>
      </w:r>
      <w:r>
        <w:rPr>
          <w:rFonts w:hint="eastAsia"/>
        </w:rPr>
        <w:t>5.4</w:t>
      </w:r>
      <w:r>
        <w:rPr>
          <w:rFonts w:hint="eastAsia"/>
        </w:rPr>
        <w:t>拉里</w:t>
      </w:r>
      <w:r>
        <w:rPr>
          <w:rFonts w:hint="eastAsia"/>
        </w:rPr>
        <w:t>)</w:t>
      </w:r>
      <w:r>
        <w:rPr>
          <w:rFonts w:hint="eastAsia"/>
        </w:rPr>
        <w:t>。</w:t>
      </w:r>
    </w:p>
    <w:p w:rsidR="00000000" w:rsidRDefault="00000000">
      <w:pPr>
        <w:pStyle w:val="NormalIndent"/>
      </w:pPr>
      <w:r>
        <w:t xml:space="preserve">109.  </w:t>
      </w:r>
      <w:r>
        <w:rPr>
          <w:rFonts w:hint="eastAsia"/>
        </w:rPr>
        <w:t>1998</w:t>
      </w:r>
      <w:r>
        <w:rPr>
          <w:rFonts w:hint="eastAsia"/>
        </w:rPr>
        <w:t>年，总共为下列数目的家庭支付了补助：</w:t>
      </w:r>
    </w:p>
    <w:p w:rsidR="00000000" w:rsidRDefault="00000000">
      <w:pPr>
        <w:pStyle w:val="NormalIndent"/>
        <w:numPr>
          <w:ilvl w:val="0"/>
          <w:numId w:val="34"/>
        </w:numPr>
        <w:tabs>
          <w:tab w:val="clear" w:pos="1740"/>
          <w:tab w:val="num" w:pos="1480"/>
        </w:tabs>
        <w:ind w:left="1480"/>
      </w:pPr>
      <w:r>
        <w:rPr>
          <w:rFonts w:hint="eastAsia"/>
        </w:rPr>
        <w:t>没有工作、完全依靠养恤金生活的家庭</w:t>
      </w:r>
      <w:r>
        <w:rPr>
          <w:rFonts w:hint="eastAsia"/>
          <w:spacing w:val="-40"/>
        </w:rPr>
        <w:t>——</w:t>
      </w:r>
      <w:r>
        <w:t xml:space="preserve"> 45,619</w:t>
      </w:r>
      <w:r>
        <w:rPr>
          <w:rFonts w:hint="eastAsia"/>
        </w:rPr>
        <w:t>(9</w:t>
      </w:r>
      <w:r>
        <w:rPr>
          <w:rFonts w:hint="eastAsia"/>
        </w:rPr>
        <w:t>拉里</w:t>
      </w:r>
      <w:r>
        <w:rPr>
          <w:rFonts w:hint="eastAsia"/>
        </w:rPr>
        <w:t>)</w:t>
      </w:r>
      <w:r>
        <w:rPr>
          <w:rFonts w:hint="eastAsia"/>
        </w:rPr>
        <w:t>，其中包括</w:t>
      </w:r>
      <w:r>
        <w:rPr>
          <w:rFonts w:hint="eastAsia"/>
        </w:rPr>
        <w:t>6,140</w:t>
      </w:r>
      <w:r>
        <w:rPr>
          <w:rFonts w:hint="eastAsia"/>
        </w:rPr>
        <w:t>个双人家庭</w:t>
      </w:r>
      <w:r>
        <w:rPr>
          <w:rFonts w:hint="eastAsia"/>
        </w:rPr>
        <w:t>(12,280</w:t>
      </w:r>
      <w:r>
        <w:rPr>
          <w:rFonts w:hint="eastAsia"/>
        </w:rPr>
        <w:t>人；每人</w:t>
      </w:r>
      <w:r>
        <w:rPr>
          <w:rFonts w:hint="eastAsia"/>
        </w:rPr>
        <w:t>7</w:t>
      </w:r>
      <w:r>
        <w:rPr>
          <w:rFonts w:hint="eastAsia"/>
        </w:rPr>
        <w:t>拉里</w:t>
      </w:r>
      <w:r>
        <w:rPr>
          <w:rFonts w:hint="eastAsia"/>
        </w:rPr>
        <w:t>)</w:t>
      </w:r>
      <w:r>
        <w:rPr>
          <w:rFonts w:hint="eastAsia"/>
        </w:rPr>
        <w:t>；</w:t>
      </w:r>
      <w:r>
        <w:rPr>
          <w:rFonts w:hint="eastAsia"/>
        </w:rPr>
        <w:t>1,777</w:t>
      </w:r>
      <w:r>
        <w:rPr>
          <w:rFonts w:hint="eastAsia"/>
        </w:rPr>
        <w:t>个三人以上</w:t>
      </w:r>
      <w:r>
        <w:rPr>
          <w:rFonts w:hint="eastAsia"/>
        </w:rPr>
        <w:t>(</w:t>
      </w:r>
      <w:r>
        <w:rPr>
          <w:rFonts w:hint="eastAsia"/>
        </w:rPr>
        <w:t>含</w:t>
      </w:r>
      <w:r>
        <w:rPr>
          <w:rFonts w:hint="eastAsia"/>
        </w:rPr>
        <w:t>)</w:t>
      </w:r>
      <w:r>
        <w:rPr>
          <w:rFonts w:hint="eastAsia"/>
        </w:rPr>
        <w:t>家庭</w:t>
      </w:r>
      <w:r>
        <w:rPr>
          <w:rFonts w:hint="eastAsia"/>
        </w:rPr>
        <w:t>(6,246</w:t>
      </w:r>
      <w:r>
        <w:rPr>
          <w:rFonts w:hint="eastAsia"/>
        </w:rPr>
        <w:t>人；每人</w:t>
      </w:r>
      <w:r>
        <w:rPr>
          <w:rFonts w:hint="eastAsia"/>
        </w:rPr>
        <w:t>5</w:t>
      </w:r>
      <w:r>
        <w:rPr>
          <w:rFonts w:hint="eastAsia"/>
        </w:rPr>
        <w:t>拉里</w:t>
      </w:r>
      <w:r>
        <w:rPr>
          <w:rFonts w:hint="eastAsia"/>
        </w:rPr>
        <w:t>)</w:t>
      </w:r>
      <w:r>
        <w:rPr>
          <w:rFonts w:hint="eastAsia"/>
        </w:rPr>
        <w:t>。</w:t>
      </w:r>
    </w:p>
    <w:p w:rsidR="00000000" w:rsidRDefault="00000000">
      <w:pPr>
        <w:pStyle w:val="NormalIndent"/>
      </w:pPr>
      <w:r>
        <w:t>110.  1999</w:t>
      </w:r>
      <w:r>
        <w:rPr>
          <w:rFonts w:hint="eastAsia"/>
        </w:rPr>
        <w:t>年，总共为下列数目的家庭支付了补助：</w:t>
      </w:r>
    </w:p>
    <w:p w:rsidR="00000000" w:rsidRDefault="00000000">
      <w:pPr>
        <w:pStyle w:val="NormalIndent"/>
        <w:numPr>
          <w:ilvl w:val="0"/>
          <w:numId w:val="34"/>
        </w:numPr>
        <w:tabs>
          <w:tab w:val="clear" w:pos="1740"/>
          <w:tab w:val="num" w:pos="1480"/>
        </w:tabs>
        <w:ind w:left="1480"/>
      </w:pPr>
      <w:r>
        <w:rPr>
          <w:rFonts w:hint="eastAsia"/>
        </w:rPr>
        <w:t>没有工作、完全依靠养恤金生活的家庭</w:t>
      </w:r>
      <w:r>
        <w:rPr>
          <w:rFonts w:hint="eastAsia"/>
          <w:spacing w:val="-40"/>
        </w:rPr>
        <w:t>——</w:t>
      </w:r>
      <w:r>
        <w:t xml:space="preserve"> 48,743,</w:t>
      </w:r>
      <w:r>
        <w:rPr>
          <w:rFonts w:hint="eastAsia"/>
        </w:rPr>
        <w:t>其中包括</w:t>
      </w:r>
      <w:r>
        <w:t>40,640</w:t>
      </w:r>
      <w:r>
        <w:rPr>
          <w:rFonts w:hint="eastAsia"/>
        </w:rPr>
        <w:t>个单人家庭</w:t>
      </w:r>
      <w:r>
        <w:rPr>
          <w:rFonts w:hint="eastAsia"/>
        </w:rPr>
        <w:t>(</w:t>
      </w:r>
      <w:r>
        <w:t>18</w:t>
      </w:r>
      <w:r>
        <w:rPr>
          <w:rFonts w:hint="eastAsia"/>
        </w:rPr>
        <w:t>拉里</w:t>
      </w:r>
      <w:r>
        <w:rPr>
          <w:rFonts w:hint="eastAsia"/>
        </w:rPr>
        <w:t>)</w:t>
      </w:r>
      <w:r>
        <w:rPr>
          <w:rFonts w:hint="eastAsia"/>
        </w:rPr>
        <w:t>；</w:t>
      </w:r>
      <w:r>
        <w:t>8,103</w:t>
      </w:r>
      <w:r>
        <w:rPr>
          <w:rFonts w:hint="eastAsia"/>
        </w:rPr>
        <w:t>个双人以上</w:t>
      </w:r>
      <w:r>
        <w:rPr>
          <w:rFonts w:hint="eastAsia"/>
        </w:rPr>
        <w:t>(</w:t>
      </w:r>
      <w:r>
        <w:rPr>
          <w:rFonts w:hint="eastAsia"/>
        </w:rPr>
        <w:t>含</w:t>
      </w:r>
      <w:r>
        <w:rPr>
          <w:rFonts w:hint="eastAsia"/>
        </w:rPr>
        <w:t>)</w:t>
      </w:r>
      <w:r>
        <w:rPr>
          <w:rFonts w:hint="eastAsia"/>
        </w:rPr>
        <w:t>家庭</w:t>
      </w:r>
      <w:r>
        <w:rPr>
          <w:rFonts w:hint="eastAsia"/>
        </w:rPr>
        <w:t>(</w:t>
      </w:r>
      <w:r>
        <w:t>18,571</w:t>
      </w:r>
      <w:r>
        <w:rPr>
          <w:rFonts w:hint="eastAsia"/>
        </w:rPr>
        <w:t>人；每户</w:t>
      </w:r>
      <w:r>
        <w:rPr>
          <w:rFonts w:hint="eastAsia"/>
        </w:rPr>
        <w:t>29</w:t>
      </w:r>
      <w:r>
        <w:rPr>
          <w:rFonts w:hint="eastAsia"/>
        </w:rPr>
        <w:t>拉里</w:t>
      </w:r>
      <w:r>
        <w:rPr>
          <w:rFonts w:hint="eastAsia"/>
        </w:rPr>
        <w:t>)</w:t>
      </w:r>
      <w:r>
        <w:rPr>
          <w:rFonts w:hint="eastAsia"/>
        </w:rPr>
        <w:t>。</w:t>
      </w:r>
    </w:p>
    <w:p w:rsidR="00000000" w:rsidRDefault="00000000">
      <w:pPr>
        <w:pStyle w:val="NormalIndent"/>
      </w:pPr>
      <w:r>
        <w:t>111.  2000</w:t>
      </w:r>
      <w:r>
        <w:rPr>
          <w:rFonts w:hint="eastAsia"/>
        </w:rPr>
        <w:t>年，总共为下列数目的家庭支付了补助：</w:t>
      </w:r>
    </w:p>
    <w:p w:rsidR="00000000" w:rsidRDefault="00000000">
      <w:pPr>
        <w:pStyle w:val="NormalIndent"/>
        <w:numPr>
          <w:ilvl w:val="0"/>
          <w:numId w:val="34"/>
        </w:numPr>
        <w:tabs>
          <w:tab w:val="clear" w:pos="1740"/>
          <w:tab w:val="num" w:pos="1480"/>
        </w:tabs>
        <w:ind w:left="1480"/>
      </w:pPr>
      <w:r>
        <w:rPr>
          <w:rFonts w:hint="eastAsia"/>
        </w:rPr>
        <w:t>没有工作、完全依靠养恤金生活的家庭</w:t>
      </w:r>
      <w:r>
        <w:rPr>
          <w:rFonts w:hint="eastAsia"/>
          <w:spacing w:val="-40"/>
        </w:rPr>
        <w:t>——</w:t>
      </w:r>
      <w:r>
        <w:t xml:space="preserve"> 44,874,</w:t>
      </w:r>
      <w:r>
        <w:rPr>
          <w:rFonts w:hint="eastAsia"/>
        </w:rPr>
        <w:t>其中包括</w:t>
      </w:r>
      <w:r>
        <w:t>38,020</w:t>
      </w:r>
      <w:r>
        <w:rPr>
          <w:rFonts w:hint="eastAsia"/>
        </w:rPr>
        <w:t>个单人家庭</w:t>
      </w:r>
      <w:r>
        <w:rPr>
          <w:rFonts w:hint="eastAsia"/>
        </w:rPr>
        <w:t>(</w:t>
      </w:r>
      <w:r>
        <w:t>20</w:t>
      </w:r>
      <w:r>
        <w:rPr>
          <w:rFonts w:hint="eastAsia"/>
        </w:rPr>
        <w:t>拉里</w:t>
      </w:r>
      <w:r>
        <w:rPr>
          <w:rFonts w:hint="eastAsia"/>
        </w:rPr>
        <w:t>)</w:t>
      </w:r>
      <w:r>
        <w:rPr>
          <w:rFonts w:hint="eastAsia"/>
        </w:rPr>
        <w:t>；</w:t>
      </w:r>
      <w:r>
        <w:t>6,160</w:t>
      </w:r>
      <w:r>
        <w:rPr>
          <w:rFonts w:hint="eastAsia"/>
        </w:rPr>
        <w:t>个双人以上</w:t>
      </w:r>
      <w:r>
        <w:rPr>
          <w:rFonts w:hint="eastAsia"/>
        </w:rPr>
        <w:t>(</w:t>
      </w:r>
      <w:r>
        <w:rPr>
          <w:rFonts w:hint="eastAsia"/>
        </w:rPr>
        <w:t>含</w:t>
      </w:r>
      <w:r>
        <w:rPr>
          <w:rFonts w:hint="eastAsia"/>
        </w:rPr>
        <w:t>)</w:t>
      </w:r>
      <w:r>
        <w:rPr>
          <w:rFonts w:hint="eastAsia"/>
        </w:rPr>
        <w:t>家庭</w:t>
      </w:r>
      <w:r>
        <w:rPr>
          <w:rFonts w:hint="eastAsia"/>
        </w:rPr>
        <w:t>(</w:t>
      </w:r>
      <w:r>
        <w:t>14,442</w:t>
      </w:r>
      <w:r>
        <w:rPr>
          <w:rFonts w:hint="eastAsia"/>
        </w:rPr>
        <w:t>人；每户</w:t>
      </w:r>
      <w:r>
        <w:t>32</w:t>
      </w:r>
      <w:r>
        <w:rPr>
          <w:rFonts w:hint="eastAsia"/>
        </w:rPr>
        <w:t>拉里</w:t>
      </w:r>
      <w:r>
        <w:rPr>
          <w:rFonts w:hint="eastAsia"/>
        </w:rPr>
        <w:t>)</w:t>
      </w:r>
      <w:r>
        <w:rPr>
          <w:rFonts w:hint="eastAsia"/>
        </w:rPr>
        <w:t>。</w:t>
      </w:r>
    </w:p>
    <w:p w:rsidR="00000000" w:rsidRDefault="00000000">
      <w:pPr>
        <w:pStyle w:val="NormalIndent"/>
        <w:numPr>
          <w:ilvl w:val="0"/>
          <w:numId w:val="34"/>
        </w:numPr>
        <w:tabs>
          <w:tab w:val="clear" w:pos="1740"/>
          <w:tab w:val="num" w:pos="1480"/>
        </w:tabs>
        <w:ind w:left="1480"/>
      </w:pPr>
      <w:r>
        <w:rPr>
          <w:rFonts w:hint="eastAsia"/>
        </w:rPr>
        <w:t>未成年孤儿</w:t>
      </w:r>
      <w:r>
        <w:rPr>
          <w:rFonts w:hint="eastAsia"/>
          <w:spacing w:val="-40"/>
        </w:rPr>
        <w:t>——</w:t>
      </w:r>
      <w:r>
        <w:t xml:space="preserve"> </w:t>
      </w:r>
      <w:r>
        <w:rPr>
          <w:rFonts w:hint="eastAsia"/>
        </w:rPr>
        <w:t>694</w:t>
      </w:r>
      <w:r>
        <w:rPr>
          <w:rFonts w:hint="eastAsia"/>
        </w:rPr>
        <w:t>户</w:t>
      </w:r>
      <w:r>
        <w:t>(</w:t>
      </w:r>
      <w:r>
        <w:rPr>
          <w:rFonts w:hint="eastAsia"/>
        </w:rPr>
        <w:t>1,013</w:t>
      </w:r>
      <w:r>
        <w:rPr>
          <w:rFonts w:hint="eastAsia"/>
        </w:rPr>
        <w:t>人；每个儿童</w:t>
      </w:r>
      <w:r>
        <w:rPr>
          <w:rFonts w:hint="eastAsia"/>
        </w:rPr>
        <w:t>20</w:t>
      </w:r>
      <w:r>
        <w:rPr>
          <w:rFonts w:hint="eastAsia"/>
        </w:rPr>
        <w:t>拉里</w:t>
      </w:r>
      <w:r>
        <w:rPr>
          <w:rFonts w:hint="eastAsia"/>
        </w:rPr>
        <w:t>)</w:t>
      </w:r>
      <w:r>
        <w:rPr>
          <w:rFonts w:hint="eastAsia"/>
        </w:rPr>
        <w:t>。</w:t>
      </w:r>
    </w:p>
    <w:p w:rsidR="00000000" w:rsidRDefault="00000000">
      <w:pPr>
        <w:pStyle w:val="NormalIndent"/>
      </w:pPr>
      <w:r>
        <w:t xml:space="preserve">112.  </w:t>
      </w:r>
      <w:r>
        <w:rPr>
          <w:rFonts w:hint="eastAsia"/>
        </w:rPr>
        <w:t>中央预算为该方案划拨资金的情况如下：</w:t>
      </w:r>
      <w:r>
        <w:rPr>
          <w:rFonts w:hint="eastAsia"/>
        </w:rPr>
        <w:t>1997</w:t>
      </w:r>
      <w:r>
        <w:rPr>
          <w:rFonts w:hint="eastAsia"/>
        </w:rPr>
        <w:t>年</w:t>
      </w:r>
      <w:r>
        <w:rPr>
          <w:rFonts w:hint="eastAsia"/>
        </w:rPr>
        <w:t>15,880,000</w:t>
      </w:r>
      <w:r>
        <w:rPr>
          <w:rFonts w:hint="eastAsia"/>
        </w:rPr>
        <w:t>拉里；</w:t>
      </w:r>
      <w:r>
        <w:rPr>
          <w:rFonts w:hint="eastAsia"/>
        </w:rPr>
        <w:t>1998</w:t>
      </w:r>
      <w:r>
        <w:rPr>
          <w:rFonts w:hint="eastAsia"/>
        </w:rPr>
        <w:t>年</w:t>
      </w:r>
      <w:r>
        <w:t>14,400,000</w:t>
      </w:r>
      <w:r>
        <w:rPr>
          <w:rFonts w:hint="eastAsia"/>
        </w:rPr>
        <w:t>拉里；</w:t>
      </w:r>
      <w:r>
        <w:rPr>
          <w:rFonts w:hint="eastAsia"/>
        </w:rPr>
        <w:t>1999</w:t>
      </w:r>
      <w:r>
        <w:rPr>
          <w:rFonts w:hint="eastAsia"/>
        </w:rPr>
        <w:t>年</w:t>
      </w:r>
      <w:r>
        <w:t>14,300,000</w:t>
      </w:r>
      <w:r>
        <w:rPr>
          <w:rFonts w:hint="eastAsia"/>
        </w:rPr>
        <w:t>拉里；</w:t>
      </w:r>
      <w:r>
        <w:rPr>
          <w:rFonts w:hint="eastAsia"/>
        </w:rPr>
        <w:t>2000</w:t>
      </w:r>
      <w:r>
        <w:rPr>
          <w:rFonts w:hint="eastAsia"/>
        </w:rPr>
        <w:t>年</w:t>
      </w:r>
      <w:r>
        <w:t>13,300,000</w:t>
      </w:r>
      <w:r>
        <w:rPr>
          <w:rFonts w:hint="eastAsia"/>
        </w:rPr>
        <w:t>拉里。</w:t>
      </w:r>
    </w:p>
    <w:p w:rsidR="00000000" w:rsidRDefault="00000000">
      <w:pPr>
        <w:pStyle w:val="NormalIndent"/>
      </w:pPr>
      <w:r>
        <w:t xml:space="preserve">113.  </w:t>
      </w:r>
      <w:r>
        <w:rPr>
          <w:rFonts w:hint="eastAsia"/>
        </w:rPr>
        <w:t>现已制定一项医疗保健方案，为人口中处境较差的阶层提供社会补助。该方案涵盖下列类别：</w:t>
      </w:r>
    </w:p>
    <w:p w:rsidR="00000000" w:rsidRDefault="00000000">
      <w:pPr>
        <w:pStyle w:val="NormalIndent"/>
        <w:numPr>
          <w:ilvl w:val="0"/>
          <w:numId w:val="35"/>
        </w:numPr>
        <w:tabs>
          <w:tab w:val="clear" w:pos="1740"/>
          <w:tab w:val="num" w:pos="1480"/>
        </w:tabs>
        <w:ind w:left="1480"/>
      </w:pPr>
      <w:r>
        <w:rPr>
          <w:rFonts w:hint="eastAsia"/>
        </w:rPr>
        <w:t>没有工作和无法工作、完全依靠养恤金生活的人或没有法定抚养人</w:t>
      </w:r>
      <w:r>
        <w:rPr>
          <w:rFonts w:hint="eastAsia"/>
        </w:rPr>
        <w:t>(</w:t>
      </w:r>
      <w:r>
        <w:rPr>
          <w:rFonts w:hint="eastAsia"/>
        </w:rPr>
        <w:t>配偶、兄弟姐妹、父母和子女</w:t>
      </w:r>
      <w:r>
        <w:rPr>
          <w:rFonts w:hint="eastAsia"/>
        </w:rPr>
        <w:t>)</w:t>
      </w:r>
      <w:r>
        <w:rPr>
          <w:rFonts w:hint="eastAsia"/>
        </w:rPr>
        <w:t>的养恤金领取者的家庭；</w:t>
      </w:r>
    </w:p>
    <w:p w:rsidR="00000000" w:rsidRDefault="00000000">
      <w:pPr>
        <w:pStyle w:val="NormalIndent"/>
        <w:numPr>
          <w:ilvl w:val="0"/>
          <w:numId w:val="35"/>
        </w:numPr>
        <w:tabs>
          <w:tab w:val="clear" w:pos="1740"/>
          <w:tab w:val="num" w:pos="1480"/>
        </w:tabs>
        <w:ind w:left="1480"/>
      </w:pPr>
      <w:r>
        <w:rPr>
          <w:rFonts w:hint="eastAsia"/>
        </w:rPr>
        <w:t>没有工作和无法工作、完全依靠养恤金生活的人或需要抚养没有法定抚养人的未成年孤儿的养恤金领取者的家庭；</w:t>
      </w:r>
    </w:p>
    <w:p w:rsidR="00000000" w:rsidRDefault="00000000">
      <w:pPr>
        <w:pStyle w:val="NormalIndent"/>
        <w:numPr>
          <w:ilvl w:val="0"/>
          <w:numId w:val="35"/>
        </w:numPr>
        <w:tabs>
          <w:tab w:val="clear" w:pos="1740"/>
          <w:tab w:val="num" w:pos="1480"/>
        </w:tabs>
        <w:ind w:left="1480"/>
      </w:pPr>
      <w:r>
        <w:rPr>
          <w:rFonts w:ascii="SimSun" w:hAnsi="SimSun"/>
        </w:rPr>
        <w:t>需要抚养未成年人的单身母亲；</w:t>
      </w:r>
    </w:p>
    <w:p w:rsidR="00000000" w:rsidRDefault="00000000">
      <w:pPr>
        <w:pStyle w:val="NormalIndent"/>
        <w:numPr>
          <w:ilvl w:val="0"/>
          <w:numId w:val="35"/>
        </w:numPr>
        <w:tabs>
          <w:tab w:val="clear" w:pos="1740"/>
          <w:tab w:val="num" w:pos="1480"/>
        </w:tabs>
        <w:ind w:left="1480"/>
      </w:pPr>
      <w:r>
        <w:rPr>
          <w:rFonts w:hint="eastAsia"/>
        </w:rPr>
        <w:t>功勋养恤金领取人</w:t>
      </w:r>
      <w:r>
        <w:rPr>
          <w:rFonts w:hint="eastAsia"/>
        </w:rPr>
        <w:t>(</w:t>
      </w:r>
      <w:r>
        <w:rPr>
          <w:rFonts w:hint="eastAsia"/>
        </w:rPr>
        <w:t>领取国家服务功勋养恤金的人</w:t>
      </w:r>
      <w:r>
        <w:rPr>
          <w:rFonts w:hint="eastAsia"/>
        </w:rPr>
        <w:t>)</w:t>
      </w:r>
      <w:r>
        <w:rPr>
          <w:rFonts w:hint="eastAsia"/>
        </w:rPr>
        <w:t>；</w:t>
      </w:r>
    </w:p>
    <w:p w:rsidR="00000000" w:rsidRDefault="00000000">
      <w:pPr>
        <w:pStyle w:val="NormalIndent"/>
        <w:numPr>
          <w:ilvl w:val="0"/>
          <w:numId w:val="35"/>
        </w:numPr>
        <w:tabs>
          <w:tab w:val="clear" w:pos="1740"/>
          <w:tab w:val="num" w:pos="1480"/>
        </w:tabs>
        <w:ind w:left="1480"/>
      </w:pPr>
      <w:r>
        <w:rPr>
          <w:rFonts w:hint="eastAsia"/>
        </w:rPr>
        <w:t>切尔诺贝利核电厂事故之后协助清理工程的人及其家庭成员；</w:t>
      </w:r>
    </w:p>
    <w:p w:rsidR="00000000" w:rsidRDefault="00000000">
      <w:pPr>
        <w:pStyle w:val="NormalIndent"/>
        <w:numPr>
          <w:ilvl w:val="0"/>
          <w:numId w:val="35"/>
        </w:numPr>
        <w:tabs>
          <w:tab w:val="clear" w:pos="1740"/>
          <w:tab w:val="num" w:pos="1480"/>
        </w:tabs>
        <w:ind w:left="1480"/>
      </w:pPr>
      <w:r>
        <w:t>1989</w:t>
      </w:r>
      <w:r>
        <w:t>年</w:t>
      </w:r>
      <w:r>
        <w:t>4</w:t>
      </w:r>
      <w:r>
        <w:t>月</w:t>
      </w:r>
      <w:r>
        <w:t>9</w:t>
      </w:r>
      <w:r>
        <w:t>日事件之后</w:t>
      </w:r>
      <w:r>
        <w:rPr>
          <w:rFonts w:hint="eastAsia"/>
        </w:rPr>
        <w:t>中毒的人；</w:t>
      </w:r>
    </w:p>
    <w:p w:rsidR="00000000" w:rsidRDefault="00000000">
      <w:pPr>
        <w:pStyle w:val="NormalIndent"/>
        <w:numPr>
          <w:ilvl w:val="0"/>
          <w:numId w:val="35"/>
        </w:numPr>
        <w:tabs>
          <w:tab w:val="clear" w:pos="1740"/>
          <w:tab w:val="num" w:pos="1480"/>
        </w:tabs>
        <w:ind w:left="1480"/>
      </w:pPr>
      <w:r>
        <w:rPr>
          <w:rFonts w:ascii="SimSun" w:hAnsi="SimSun"/>
        </w:rPr>
        <w:t>认定属于曾受政治迫害的人；</w:t>
      </w:r>
    </w:p>
    <w:p w:rsidR="00000000" w:rsidRDefault="00000000">
      <w:pPr>
        <w:pStyle w:val="NormalIndent"/>
        <w:numPr>
          <w:ilvl w:val="0"/>
          <w:numId w:val="35"/>
        </w:numPr>
        <w:tabs>
          <w:tab w:val="clear" w:pos="1740"/>
          <w:tab w:val="num" w:pos="1480"/>
        </w:tabs>
        <w:ind w:left="1480"/>
      </w:pPr>
      <w:r>
        <w:rPr>
          <w:rFonts w:ascii="SimSun" w:hAnsi="SimSun"/>
        </w:rPr>
        <w:t>工伤或职业病而造成残疾的煤矿工人；</w:t>
      </w:r>
    </w:p>
    <w:p w:rsidR="00000000" w:rsidRDefault="00000000">
      <w:pPr>
        <w:pStyle w:val="NormalIndent"/>
        <w:numPr>
          <w:ilvl w:val="0"/>
          <w:numId w:val="35"/>
        </w:numPr>
        <w:tabs>
          <w:tab w:val="clear" w:pos="1740"/>
          <w:tab w:val="num" w:pos="1480"/>
        </w:tabs>
        <w:ind w:left="1480"/>
      </w:pPr>
      <w:r>
        <w:rPr>
          <w:rFonts w:ascii="SimSun" w:hAnsi="SimSun"/>
        </w:rPr>
        <w:t>社会(家庭)补助方案的补助对象；</w:t>
      </w:r>
    </w:p>
    <w:p w:rsidR="00000000" w:rsidRDefault="00000000">
      <w:pPr>
        <w:pStyle w:val="NormalIndent"/>
        <w:numPr>
          <w:ilvl w:val="0"/>
          <w:numId w:val="35"/>
        </w:numPr>
        <w:tabs>
          <w:tab w:val="clear" w:pos="1740"/>
          <w:tab w:val="num" w:pos="1480"/>
        </w:tabs>
        <w:ind w:left="1480"/>
      </w:pPr>
      <w:r>
        <w:rPr>
          <w:rFonts w:hint="eastAsia"/>
        </w:rPr>
        <w:t>在捍卫格鲁吉亚领土完整的斗争中致残的人；</w:t>
      </w:r>
    </w:p>
    <w:p w:rsidR="00000000" w:rsidRDefault="00000000">
      <w:pPr>
        <w:pStyle w:val="NormalIndent"/>
        <w:numPr>
          <w:ilvl w:val="0"/>
          <w:numId w:val="35"/>
        </w:numPr>
        <w:tabs>
          <w:tab w:val="clear" w:pos="1740"/>
          <w:tab w:val="num" w:pos="1480"/>
        </w:tabs>
        <w:ind w:left="1480"/>
      </w:pPr>
      <w:r>
        <w:rPr>
          <w:rFonts w:ascii="SimSun" w:hAnsi="SimSun"/>
        </w:rPr>
        <w:t>第二次世界大战老战士。</w:t>
      </w:r>
    </w:p>
    <w:p w:rsidR="00000000" w:rsidRDefault="00000000">
      <w:pPr>
        <w:pStyle w:val="NormalIndent"/>
      </w:pPr>
      <w:r>
        <w:t xml:space="preserve">114.  </w:t>
      </w:r>
      <w:r>
        <w:rPr>
          <w:rFonts w:hint="eastAsia"/>
        </w:rPr>
        <w:t>上述各类总共约有</w:t>
      </w:r>
      <w:r>
        <w:rPr>
          <w:rFonts w:hint="eastAsia"/>
        </w:rPr>
        <w:t>400,000</w:t>
      </w:r>
      <w:r>
        <w:rPr>
          <w:rFonts w:hint="eastAsia"/>
        </w:rPr>
        <w:t>人在医疗保健方案范围内。此外，在该方案之下，还为被迫流离失所者和</w:t>
      </w:r>
      <w:r>
        <w:rPr>
          <w:rFonts w:hint="eastAsia"/>
        </w:rPr>
        <w:t>15</w:t>
      </w:r>
      <w:r>
        <w:rPr>
          <w:rFonts w:hint="eastAsia"/>
        </w:rPr>
        <w:t>岁以下</w:t>
      </w:r>
      <w:r>
        <w:rPr>
          <w:rFonts w:hint="eastAsia"/>
        </w:rPr>
        <w:t>(</w:t>
      </w:r>
      <w:r>
        <w:rPr>
          <w:rFonts w:hint="eastAsia"/>
        </w:rPr>
        <w:t>含</w:t>
      </w:r>
      <w:r>
        <w:rPr>
          <w:rFonts w:hint="eastAsia"/>
        </w:rPr>
        <w:t>)</w:t>
      </w:r>
      <w:r>
        <w:rPr>
          <w:rFonts w:hint="eastAsia"/>
        </w:rPr>
        <w:t>儿童提供医疗援助。</w:t>
      </w:r>
    </w:p>
    <w:p w:rsidR="00000000" w:rsidRDefault="00000000">
      <w:pPr>
        <w:pStyle w:val="NormalIndent"/>
      </w:pPr>
      <w:r>
        <w:t>115.  2000</w:t>
      </w:r>
      <w:r>
        <w:rPr>
          <w:rFonts w:hint="eastAsia"/>
        </w:rPr>
        <w:t>—</w:t>
      </w:r>
      <w:r>
        <w:rPr>
          <w:rFonts w:hint="eastAsia"/>
        </w:rPr>
        <w:t>2001</w:t>
      </w:r>
      <w:r>
        <w:rPr>
          <w:rFonts w:hint="eastAsia"/>
        </w:rPr>
        <w:t>年期间对于残疾人有专门的国家社会福利方案。</w:t>
      </w:r>
    </w:p>
    <w:p w:rsidR="00000000" w:rsidRDefault="00000000">
      <w:pPr>
        <w:pStyle w:val="Heading4"/>
        <w:spacing w:before="320"/>
      </w:pPr>
      <w:r>
        <w:rPr>
          <w:rFonts w:hint="eastAsia"/>
        </w:rPr>
        <w:t>社会保障方面的开支</w:t>
      </w:r>
    </w:p>
    <w:p w:rsidR="00000000" w:rsidRDefault="00000000">
      <w:pPr>
        <w:pStyle w:val="NormalIndent"/>
      </w:pPr>
      <w:r>
        <w:t xml:space="preserve">116.  </w:t>
      </w:r>
      <w:r>
        <w:rPr>
          <w:rFonts w:hint="eastAsia"/>
        </w:rPr>
        <w:t>国家统计局的数据显示，国家预算的相关数字如下：</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2840"/>
        <w:gridCol w:w="3268"/>
        <w:gridCol w:w="3360"/>
      </w:tblGrid>
      <w:tr w:rsidR="00000000">
        <w:tblPrEx>
          <w:tblCellMar>
            <w:top w:w="0" w:type="dxa"/>
            <w:bottom w:w="0" w:type="dxa"/>
          </w:tblCellMar>
        </w:tblPrEx>
        <w:tc>
          <w:tcPr>
            <w:tcW w:w="2840" w:type="dxa"/>
            <w:tcBorders>
              <w:bottom w:val="single" w:sz="6" w:space="0" w:color="000000"/>
            </w:tcBorders>
          </w:tcPr>
          <w:p w:rsidR="00000000" w:rsidRDefault="00000000">
            <w:pPr>
              <w:pStyle w:val="NormalIndent"/>
              <w:tabs>
                <w:tab w:val="left" w:pos="442"/>
              </w:tabs>
              <w:spacing w:before="120" w:line="320" w:lineRule="exact"/>
              <w:ind w:left="113" w:right="113" w:firstLine="0"/>
              <w:rPr>
                <w:spacing w:val="4"/>
                <w:sz w:val="21"/>
              </w:rPr>
            </w:pPr>
          </w:p>
        </w:tc>
        <w:tc>
          <w:tcPr>
            <w:tcW w:w="3268" w:type="dxa"/>
            <w:tcBorders>
              <w:bottom w:val="single" w:sz="6" w:space="0" w:color="000000"/>
            </w:tcBorders>
          </w:tcPr>
          <w:p w:rsidR="00000000" w:rsidRDefault="00000000">
            <w:pPr>
              <w:pStyle w:val="NormalIndent"/>
              <w:tabs>
                <w:tab w:val="left" w:pos="442"/>
              </w:tabs>
              <w:spacing w:before="120" w:line="320" w:lineRule="exact"/>
              <w:ind w:left="113" w:right="113" w:firstLine="0"/>
              <w:jc w:val="center"/>
              <w:rPr>
                <w:spacing w:val="4"/>
                <w:sz w:val="21"/>
                <w:u w:val="single"/>
              </w:rPr>
            </w:pPr>
            <w:r>
              <w:rPr>
                <w:rFonts w:hint="eastAsia"/>
                <w:spacing w:val="4"/>
                <w:sz w:val="21"/>
                <w:u w:val="single"/>
              </w:rPr>
              <w:t>收</w:t>
            </w:r>
            <w:r>
              <w:rPr>
                <w:spacing w:val="4"/>
                <w:sz w:val="21"/>
                <w:u w:val="single"/>
              </w:rPr>
              <w:t xml:space="preserve">  </w:t>
            </w:r>
            <w:r>
              <w:rPr>
                <w:rFonts w:hint="eastAsia"/>
                <w:spacing w:val="4"/>
                <w:sz w:val="21"/>
                <w:u w:val="single"/>
              </w:rPr>
              <w:t>入</w:t>
            </w:r>
            <w:r>
              <w:rPr>
                <w:spacing w:val="4"/>
                <w:sz w:val="21"/>
                <w:u w:val="single"/>
              </w:rPr>
              <w:br/>
            </w:r>
            <w:r>
              <w:rPr>
                <w:rFonts w:hint="eastAsia"/>
                <w:spacing w:val="4"/>
                <w:sz w:val="21"/>
              </w:rPr>
              <w:t>(</w:t>
            </w:r>
            <w:r>
              <w:rPr>
                <w:rFonts w:hint="eastAsia"/>
                <w:spacing w:val="4"/>
                <w:sz w:val="21"/>
              </w:rPr>
              <w:t>拉里</w:t>
            </w:r>
            <w:r>
              <w:rPr>
                <w:rFonts w:hint="eastAsia"/>
                <w:spacing w:val="4"/>
                <w:sz w:val="21"/>
              </w:rPr>
              <w:t>)</w:t>
            </w:r>
          </w:p>
        </w:tc>
        <w:tc>
          <w:tcPr>
            <w:tcW w:w="3360" w:type="dxa"/>
            <w:tcBorders>
              <w:bottom w:val="single" w:sz="6" w:space="0" w:color="000000"/>
            </w:tcBorders>
          </w:tcPr>
          <w:p w:rsidR="00000000" w:rsidRDefault="00000000">
            <w:pPr>
              <w:pStyle w:val="NormalIndent"/>
              <w:tabs>
                <w:tab w:val="left" w:pos="442"/>
              </w:tabs>
              <w:spacing w:before="120" w:line="320" w:lineRule="exact"/>
              <w:ind w:left="113" w:right="113" w:firstLine="0"/>
              <w:jc w:val="center"/>
              <w:rPr>
                <w:spacing w:val="4"/>
                <w:sz w:val="21"/>
                <w:u w:val="single"/>
              </w:rPr>
            </w:pPr>
            <w:r>
              <w:rPr>
                <w:rFonts w:hint="eastAsia"/>
                <w:spacing w:val="4"/>
                <w:sz w:val="21"/>
                <w:u w:val="single"/>
              </w:rPr>
              <w:t>支</w:t>
            </w:r>
            <w:r>
              <w:rPr>
                <w:spacing w:val="4"/>
                <w:sz w:val="21"/>
                <w:u w:val="single"/>
              </w:rPr>
              <w:t xml:space="preserve">  </w:t>
            </w:r>
            <w:r>
              <w:rPr>
                <w:rFonts w:hint="eastAsia"/>
                <w:spacing w:val="4"/>
                <w:sz w:val="21"/>
                <w:u w:val="single"/>
              </w:rPr>
              <w:t>出</w:t>
            </w:r>
            <w:r>
              <w:rPr>
                <w:spacing w:val="4"/>
                <w:sz w:val="21"/>
                <w:u w:val="single"/>
              </w:rPr>
              <w:br/>
            </w:r>
            <w:r>
              <w:rPr>
                <w:rFonts w:hint="eastAsia"/>
                <w:spacing w:val="4"/>
                <w:sz w:val="21"/>
              </w:rPr>
              <w:t>(</w:t>
            </w:r>
            <w:r>
              <w:rPr>
                <w:rFonts w:hint="eastAsia"/>
                <w:spacing w:val="4"/>
                <w:sz w:val="21"/>
              </w:rPr>
              <w:t>拉里</w:t>
            </w:r>
            <w:r>
              <w:rPr>
                <w:rFonts w:hint="eastAsia"/>
                <w:spacing w:val="4"/>
                <w:sz w:val="21"/>
              </w:rPr>
              <w:t>)</w:t>
            </w:r>
          </w:p>
        </w:tc>
      </w:tr>
      <w:tr w:rsidR="00000000">
        <w:tblPrEx>
          <w:tblCellMar>
            <w:top w:w="0" w:type="dxa"/>
            <w:bottom w:w="0" w:type="dxa"/>
          </w:tblCellMar>
        </w:tblPrEx>
        <w:tc>
          <w:tcPr>
            <w:tcW w:w="2840" w:type="dxa"/>
            <w:tcBorders>
              <w:bottom w:val="nil"/>
            </w:tcBorders>
          </w:tcPr>
          <w:p w:rsidR="00000000" w:rsidRDefault="00000000">
            <w:pPr>
              <w:pStyle w:val="NormalIndent"/>
              <w:tabs>
                <w:tab w:val="left" w:pos="442"/>
              </w:tabs>
              <w:spacing w:before="120" w:line="320" w:lineRule="exact"/>
              <w:ind w:left="113" w:right="113" w:firstLine="0"/>
              <w:jc w:val="center"/>
              <w:rPr>
                <w:spacing w:val="4"/>
                <w:sz w:val="21"/>
              </w:rPr>
            </w:pPr>
            <w:r>
              <w:rPr>
                <w:rFonts w:hint="eastAsia"/>
                <w:spacing w:val="4"/>
                <w:sz w:val="21"/>
              </w:rPr>
              <w:t>1997</w:t>
            </w:r>
            <w:r>
              <w:rPr>
                <w:rFonts w:hint="eastAsia"/>
                <w:spacing w:val="4"/>
                <w:sz w:val="21"/>
              </w:rPr>
              <w:t>年</w:t>
            </w:r>
          </w:p>
        </w:tc>
        <w:tc>
          <w:tcPr>
            <w:tcW w:w="3268" w:type="dxa"/>
            <w:tcBorders>
              <w:bottom w:val="nil"/>
            </w:tcBorders>
          </w:tcPr>
          <w:p w:rsidR="00000000" w:rsidRDefault="00000000">
            <w:pPr>
              <w:pStyle w:val="NormalIndent"/>
              <w:tabs>
                <w:tab w:val="left" w:pos="442"/>
              </w:tabs>
              <w:spacing w:before="120" w:line="320" w:lineRule="exact"/>
              <w:ind w:left="113" w:right="113" w:firstLine="0"/>
              <w:jc w:val="center"/>
              <w:rPr>
                <w:spacing w:val="4"/>
                <w:sz w:val="21"/>
              </w:rPr>
            </w:pPr>
            <w:r>
              <w:rPr>
                <w:spacing w:val="4"/>
                <w:sz w:val="21"/>
              </w:rPr>
              <w:t>593,300,000</w:t>
            </w:r>
          </w:p>
        </w:tc>
        <w:tc>
          <w:tcPr>
            <w:tcW w:w="3360" w:type="dxa"/>
            <w:tcBorders>
              <w:bottom w:val="nil"/>
            </w:tcBorders>
          </w:tcPr>
          <w:p w:rsidR="00000000" w:rsidRDefault="00000000">
            <w:pPr>
              <w:pStyle w:val="NormalIndent"/>
              <w:tabs>
                <w:tab w:val="left" w:pos="442"/>
              </w:tabs>
              <w:spacing w:before="120" w:line="320" w:lineRule="exact"/>
              <w:ind w:left="113" w:right="113" w:firstLine="0"/>
              <w:jc w:val="center"/>
              <w:rPr>
                <w:spacing w:val="4"/>
                <w:sz w:val="21"/>
              </w:rPr>
            </w:pPr>
            <w:r>
              <w:rPr>
                <w:spacing w:val="4"/>
                <w:sz w:val="21"/>
              </w:rPr>
              <w:t>767,800,000</w:t>
            </w:r>
          </w:p>
        </w:tc>
      </w:tr>
      <w:tr w:rsidR="00000000">
        <w:tblPrEx>
          <w:tblCellMar>
            <w:top w:w="0" w:type="dxa"/>
            <w:bottom w:w="0" w:type="dxa"/>
          </w:tblCellMar>
        </w:tblPrEx>
        <w:tc>
          <w:tcPr>
            <w:tcW w:w="2840" w:type="dxa"/>
            <w:tcBorders>
              <w:top w:val="nil"/>
              <w:bottom w:val="nil"/>
            </w:tcBorders>
          </w:tcPr>
          <w:p w:rsidR="00000000" w:rsidRDefault="00000000">
            <w:pPr>
              <w:pStyle w:val="NormalIndent"/>
              <w:tabs>
                <w:tab w:val="left" w:pos="442"/>
              </w:tabs>
              <w:spacing w:before="120" w:line="320" w:lineRule="exact"/>
              <w:ind w:left="113" w:right="113" w:firstLine="0"/>
              <w:jc w:val="center"/>
              <w:rPr>
                <w:spacing w:val="4"/>
                <w:sz w:val="21"/>
              </w:rPr>
            </w:pPr>
            <w:r>
              <w:rPr>
                <w:rFonts w:hint="eastAsia"/>
                <w:spacing w:val="4"/>
                <w:sz w:val="21"/>
              </w:rPr>
              <w:t>1998</w:t>
            </w:r>
            <w:r>
              <w:rPr>
                <w:rFonts w:hint="eastAsia"/>
                <w:spacing w:val="4"/>
                <w:sz w:val="21"/>
              </w:rPr>
              <w:t>年</w:t>
            </w:r>
          </w:p>
        </w:tc>
        <w:tc>
          <w:tcPr>
            <w:tcW w:w="3268" w:type="dxa"/>
            <w:tcBorders>
              <w:top w:val="nil"/>
              <w:bottom w:val="nil"/>
            </w:tcBorders>
          </w:tcPr>
          <w:p w:rsidR="00000000" w:rsidRDefault="00000000">
            <w:pPr>
              <w:pStyle w:val="NormalIndent"/>
              <w:tabs>
                <w:tab w:val="left" w:pos="442"/>
              </w:tabs>
              <w:spacing w:before="120" w:line="320" w:lineRule="exact"/>
              <w:ind w:left="113" w:right="113" w:firstLine="0"/>
              <w:jc w:val="center"/>
              <w:rPr>
                <w:spacing w:val="4"/>
                <w:sz w:val="21"/>
              </w:rPr>
            </w:pPr>
            <w:r>
              <w:rPr>
                <w:spacing w:val="4"/>
                <w:sz w:val="21"/>
              </w:rPr>
              <w:t>621,900,000</w:t>
            </w:r>
          </w:p>
        </w:tc>
        <w:tc>
          <w:tcPr>
            <w:tcW w:w="3360" w:type="dxa"/>
            <w:tcBorders>
              <w:top w:val="nil"/>
              <w:bottom w:val="nil"/>
            </w:tcBorders>
          </w:tcPr>
          <w:p w:rsidR="00000000" w:rsidRDefault="00000000">
            <w:pPr>
              <w:pStyle w:val="NormalIndent"/>
              <w:tabs>
                <w:tab w:val="left" w:pos="442"/>
              </w:tabs>
              <w:spacing w:before="120" w:line="320" w:lineRule="exact"/>
              <w:ind w:left="113" w:right="113" w:firstLine="0"/>
              <w:jc w:val="center"/>
              <w:rPr>
                <w:spacing w:val="4"/>
                <w:sz w:val="21"/>
              </w:rPr>
            </w:pPr>
            <w:r>
              <w:rPr>
                <w:spacing w:val="4"/>
                <w:sz w:val="21"/>
              </w:rPr>
              <w:t>797,300,000</w:t>
            </w:r>
          </w:p>
        </w:tc>
      </w:tr>
      <w:tr w:rsidR="00000000">
        <w:tblPrEx>
          <w:tblCellMar>
            <w:top w:w="0" w:type="dxa"/>
            <w:bottom w:w="0" w:type="dxa"/>
          </w:tblCellMar>
        </w:tblPrEx>
        <w:tc>
          <w:tcPr>
            <w:tcW w:w="2840" w:type="dxa"/>
            <w:tcBorders>
              <w:top w:val="nil"/>
            </w:tcBorders>
          </w:tcPr>
          <w:p w:rsidR="00000000" w:rsidRDefault="00000000">
            <w:pPr>
              <w:pStyle w:val="NormalIndent"/>
              <w:tabs>
                <w:tab w:val="left" w:pos="442"/>
              </w:tabs>
              <w:spacing w:before="120" w:line="320" w:lineRule="exact"/>
              <w:ind w:left="113" w:right="113" w:firstLine="0"/>
              <w:jc w:val="center"/>
              <w:rPr>
                <w:spacing w:val="4"/>
                <w:sz w:val="21"/>
              </w:rPr>
            </w:pPr>
            <w:r>
              <w:rPr>
                <w:rFonts w:hint="eastAsia"/>
                <w:spacing w:val="4"/>
                <w:sz w:val="21"/>
              </w:rPr>
              <w:t>1999</w:t>
            </w:r>
            <w:r>
              <w:rPr>
                <w:rFonts w:hint="eastAsia"/>
                <w:spacing w:val="4"/>
                <w:sz w:val="21"/>
              </w:rPr>
              <w:t>年</w:t>
            </w:r>
          </w:p>
        </w:tc>
        <w:tc>
          <w:tcPr>
            <w:tcW w:w="3268" w:type="dxa"/>
            <w:tcBorders>
              <w:top w:val="nil"/>
            </w:tcBorders>
          </w:tcPr>
          <w:p w:rsidR="00000000" w:rsidRDefault="00000000">
            <w:pPr>
              <w:pStyle w:val="NormalIndent"/>
              <w:tabs>
                <w:tab w:val="left" w:pos="442"/>
              </w:tabs>
              <w:spacing w:before="120" w:line="320" w:lineRule="exact"/>
              <w:ind w:left="113" w:right="113" w:firstLine="0"/>
              <w:jc w:val="center"/>
              <w:rPr>
                <w:spacing w:val="4"/>
                <w:sz w:val="21"/>
              </w:rPr>
            </w:pPr>
            <w:r>
              <w:rPr>
                <w:spacing w:val="4"/>
                <w:sz w:val="21"/>
              </w:rPr>
              <w:t>650,200,000</w:t>
            </w:r>
          </w:p>
        </w:tc>
        <w:tc>
          <w:tcPr>
            <w:tcW w:w="3360" w:type="dxa"/>
            <w:tcBorders>
              <w:top w:val="nil"/>
            </w:tcBorders>
          </w:tcPr>
          <w:p w:rsidR="00000000" w:rsidRDefault="00000000">
            <w:pPr>
              <w:pStyle w:val="NormalIndent"/>
              <w:tabs>
                <w:tab w:val="left" w:pos="442"/>
              </w:tabs>
              <w:spacing w:before="120" w:line="320" w:lineRule="exact"/>
              <w:ind w:left="113" w:right="113" w:firstLine="0"/>
              <w:jc w:val="center"/>
              <w:rPr>
                <w:spacing w:val="4"/>
                <w:sz w:val="21"/>
              </w:rPr>
            </w:pPr>
            <w:r>
              <w:rPr>
                <w:spacing w:val="4"/>
                <w:sz w:val="21"/>
              </w:rPr>
              <w:t>904,800,000</w:t>
            </w:r>
          </w:p>
        </w:tc>
      </w:tr>
    </w:tbl>
    <w:p w:rsidR="00000000" w:rsidRDefault="00000000">
      <w:pPr>
        <w:pStyle w:val="NormalIndent"/>
      </w:pPr>
    </w:p>
    <w:p w:rsidR="00000000" w:rsidRDefault="00000000">
      <w:pPr>
        <w:pStyle w:val="NormalIndent"/>
      </w:pPr>
      <w:r>
        <w:t xml:space="preserve">117.  </w:t>
      </w:r>
      <w:r>
        <w:rPr>
          <w:rFonts w:hint="eastAsia"/>
        </w:rPr>
        <w:t>财政部和格鲁吉亚议会预算局的数据表明，同期社会福利和保险开支如下：</w:t>
      </w:r>
      <w:r>
        <w:rPr>
          <w:rFonts w:hint="eastAsia"/>
        </w:rPr>
        <w:t>1997</w:t>
      </w:r>
      <w:r>
        <w:rPr>
          <w:rFonts w:hint="eastAsia"/>
        </w:rPr>
        <w:t>年</w:t>
      </w:r>
      <w:r>
        <w:rPr>
          <w:rFonts w:hint="eastAsia"/>
          <w:spacing w:val="-40"/>
        </w:rPr>
        <w:t>——</w:t>
      </w:r>
      <w:r>
        <w:t xml:space="preserve"> 146,100,000</w:t>
      </w:r>
      <w:r>
        <w:rPr>
          <w:rFonts w:hint="eastAsia"/>
        </w:rPr>
        <w:t>美元</w:t>
      </w:r>
      <w:r>
        <w:rPr>
          <w:rFonts w:hint="eastAsia"/>
        </w:rPr>
        <w:t>(</w:t>
      </w:r>
      <w:r>
        <w:rPr>
          <w:rFonts w:hint="eastAsia"/>
        </w:rPr>
        <w:t>按照国家统计局确定的</w:t>
      </w:r>
      <w:r>
        <w:rPr>
          <w:rFonts w:hint="eastAsia"/>
        </w:rPr>
        <w:t>1</w:t>
      </w:r>
      <w:r>
        <w:rPr>
          <w:rFonts w:hint="eastAsia"/>
        </w:rPr>
        <w:t>美元等于</w:t>
      </w:r>
      <w:r>
        <w:rPr>
          <w:rFonts w:hint="eastAsia"/>
        </w:rPr>
        <w:t>1</w:t>
      </w:r>
      <w:r>
        <w:t>.</w:t>
      </w:r>
      <w:r>
        <w:rPr>
          <w:rFonts w:hint="eastAsia"/>
        </w:rPr>
        <w:t>309</w:t>
      </w:r>
      <w:r>
        <w:rPr>
          <w:rFonts w:hint="eastAsia"/>
        </w:rPr>
        <w:t>拉里的汇率计算，相当于</w:t>
      </w:r>
      <w:r>
        <w:t>1.9109</w:t>
      </w:r>
      <w:r>
        <w:rPr>
          <w:rFonts w:hint="eastAsia"/>
        </w:rPr>
        <w:t>亿拉里</w:t>
      </w:r>
      <w:r>
        <w:rPr>
          <w:rFonts w:hint="eastAsia"/>
        </w:rPr>
        <w:t>)</w:t>
      </w:r>
      <w:r>
        <w:rPr>
          <w:rFonts w:hint="eastAsia"/>
        </w:rPr>
        <w:t>；</w:t>
      </w:r>
      <w:r>
        <w:rPr>
          <w:rFonts w:hint="eastAsia"/>
        </w:rPr>
        <w:t>1998</w:t>
      </w:r>
      <w:r>
        <w:rPr>
          <w:rFonts w:hint="eastAsia"/>
        </w:rPr>
        <w:t>年</w:t>
      </w:r>
      <w:r>
        <w:rPr>
          <w:rFonts w:hint="eastAsia"/>
          <w:spacing w:val="-40"/>
        </w:rPr>
        <w:t>——</w:t>
      </w:r>
      <w:r>
        <w:t xml:space="preserve"> 1.543</w:t>
      </w:r>
      <w:r>
        <w:rPr>
          <w:rFonts w:hint="eastAsia"/>
        </w:rPr>
        <w:t>亿美元</w:t>
      </w:r>
      <w:r>
        <w:rPr>
          <w:rFonts w:hint="eastAsia"/>
        </w:rPr>
        <w:t>(</w:t>
      </w:r>
      <w:r>
        <w:rPr>
          <w:rFonts w:hint="eastAsia"/>
        </w:rPr>
        <w:t>按照</w:t>
      </w:r>
      <w:r>
        <w:rPr>
          <w:rFonts w:hint="eastAsia"/>
        </w:rPr>
        <w:t>1</w:t>
      </w:r>
      <w:r>
        <w:rPr>
          <w:rFonts w:hint="eastAsia"/>
        </w:rPr>
        <w:t>美元等于</w:t>
      </w:r>
      <w:r>
        <w:rPr>
          <w:rFonts w:hint="eastAsia"/>
        </w:rPr>
        <w:t>1</w:t>
      </w:r>
      <w:r>
        <w:t>.55</w:t>
      </w:r>
      <w:r>
        <w:rPr>
          <w:rFonts w:hint="eastAsia"/>
        </w:rPr>
        <w:t>拉里的汇率计算，相当于</w:t>
      </w:r>
      <w:r>
        <w:t>2.3916</w:t>
      </w:r>
      <w:r>
        <w:rPr>
          <w:rFonts w:hint="eastAsia"/>
        </w:rPr>
        <w:t>亿拉里</w:t>
      </w:r>
      <w:r>
        <w:rPr>
          <w:rFonts w:hint="eastAsia"/>
        </w:rPr>
        <w:t>)</w:t>
      </w:r>
      <w:r>
        <w:rPr>
          <w:rFonts w:hint="eastAsia"/>
        </w:rPr>
        <w:t>；</w:t>
      </w:r>
      <w:r>
        <w:rPr>
          <w:rFonts w:hint="eastAsia"/>
        </w:rPr>
        <w:t>1999</w:t>
      </w:r>
      <w:r>
        <w:rPr>
          <w:rFonts w:hint="eastAsia"/>
        </w:rPr>
        <w:t>年</w:t>
      </w:r>
      <w:r>
        <w:rPr>
          <w:rFonts w:hint="eastAsia"/>
          <w:spacing w:val="-40"/>
        </w:rPr>
        <w:t>——</w:t>
      </w:r>
      <w:r>
        <w:t xml:space="preserve"> 1.235</w:t>
      </w:r>
      <w:r>
        <w:rPr>
          <w:rFonts w:hint="eastAsia"/>
        </w:rPr>
        <w:t>亿美元</w:t>
      </w:r>
      <w:r>
        <w:rPr>
          <w:rFonts w:hint="eastAsia"/>
        </w:rPr>
        <w:t>(</w:t>
      </w:r>
      <w:r>
        <w:rPr>
          <w:rFonts w:hint="eastAsia"/>
        </w:rPr>
        <w:t>按照</w:t>
      </w:r>
      <w:r>
        <w:rPr>
          <w:rFonts w:hint="eastAsia"/>
        </w:rPr>
        <w:t>1</w:t>
      </w:r>
      <w:r>
        <w:rPr>
          <w:rFonts w:hint="eastAsia"/>
        </w:rPr>
        <w:t>美元等于</w:t>
      </w:r>
      <w:r>
        <w:rPr>
          <w:rFonts w:hint="eastAsia"/>
        </w:rPr>
        <w:t>1</w:t>
      </w:r>
      <w:r>
        <w:t>.949</w:t>
      </w:r>
      <w:r>
        <w:rPr>
          <w:rFonts w:hint="eastAsia"/>
        </w:rPr>
        <w:t>拉里的汇率计算，相当于</w:t>
      </w:r>
      <w:r>
        <w:t>2.407</w:t>
      </w:r>
      <w:r>
        <w:rPr>
          <w:rFonts w:hint="eastAsia"/>
        </w:rPr>
        <w:t>亿拉里</w:t>
      </w:r>
      <w:r>
        <w:rPr>
          <w:rFonts w:hint="eastAsia"/>
        </w:rPr>
        <w:t>)</w:t>
      </w:r>
      <w:r>
        <w:rPr>
          <w:rFonts w:hint="eastAsia"/>
        </w:rPr>
        <w:t>。</w:t>
      </w:r>
    </w:p>
    <w:p w:rsidR="00000000" w:rsidRDefault="00000000">
      <w:pPr>
        <w:pStyle w:val="NormalIndent"/>
      </w:pPr>
      <w:r>
        <w:t xml:space="preserve">118.  </w:t>
      </w:r>
      <w:r>
        <w:rPr>
          <w:rFonts w:hint="eastAsia"/>
        </w:rPr>
        <w:t>据此，格鲁吉亚社会保障和保险开支在预算开支中所占份额如下：</w:t>
      </w:r>
      <w:r>
        <w:rPr>
          <w:rFonts w:hint="eastAsia"/>
        </w:rPr>
        <w:t>1997</w:t>
      </w:r>
      <w:r>
        <w:rPr>
          <w:rFonts w:hint="eastAsia"/>
        </w:rPr>
        <w:t>年</w:t>
      </w:r>
      <w:r>
        <w:rPr>
          <w:rFonts w:hint="eastAsia"/>
          <w:spacing w:val="-40"/>
        </w:rPr>
        <w:t>——</w:t>
      </w:r>
      <w:r>
        <w:t xml:space="preserve"> </w:t>
      </w:r>
      <w:r>
        <w:rPr>
          <w:rFonts w:hint="eastAsia"/>
        </w:rPr>
        <w:t>24.6%</w:t>
      </w:r>
      <w:r>
        <w:rPr>
          <w:rFonts w:hint="eastAsia"/>
        </w:rPr>
        <w:t>左右；</w:t>
      </w:r>
      <w:r>
        <w:rPr>
          <w:rFonts w:hint="eastAsia"/>
        </w:rPr>
        <w:t>1998</w:t>
      </w:r>
      <w:r>
        <w:rPr>
          <w:rFonts w:hint="eastAsia"/>
        </w:rPr>
        <w:t>年</w:t>
      </w:r>
      <w:r>
        <w:rPr>
          <w:rFonts w:hint="eastAsia"/>
          <w:spacing w:val="-40"/>
        </w:rPr>
        <w:t>——</w:t>
      </w:r>
      <w:r>
        <w:t xml:space="preserve"> </w:t>
      </w:r>
      <w:r>
        <w:rPr>
          <w:rFonts w:hint="eastAsia"/>
        </w:rPr>
        <w:t>30%</w:t>
      </w:r>
      <w:r>
        <w:rPr>
          <w:rFonts w:hint="eastAsia"/>
        </w:rPr>
        <w:t>左右；</w:t>
      </w:r>
      <w:r>
        <w:rPr>
          <w:rFonts w:hint="eastAsia"/>
        </w:rPr>
        <w:t>1999</w:t>
      </w:r>
      <w:r>
        <w:rPr>
          <w:rFonts w:hint="eastAsia"/>
        </w:rPr>
        <w:t>年</w:t>
      </w:r>
      <w:r>
        <w:t>26.6%</w:t>
      </w:r>
      <w:r>
        <w:rPr>
          <w:rFonts w:hint="eastAsia"/>
        </w:rPr>
        <w:t>左右。</w:t>
      </w:r>
    </w:p>
    <w:p w:rsidR="00000000" w:rsidRDefault="00000000">
      <w:pPr>
        <w:pStyle w:val="NormalIndent"/>
      </w:pPr>
      <w:r>
        <w:t xml:space="preserve">119.  </w:t>
      </w:r>
      <w:r>
        <w:rPr>
          <w:rFonts w:hint="eastAsia"/>
        </w:rPr>
        <w:t>根据开发计划署参照世界银行资料来源、格鲁吉亚议会预算局的资料和格鲁吉亚</w:t>
      </w:r>
      <w:r>
        <w:rPr>
          <w:rFonts w:hint="eastAsia"/>
        </w:rPr>
        <w:t>1999</w:t>
      </w:r>
      <w:r>
        <w:rPr>
          <w:rFonts w:hint="eastAsia"/>
        </w:rPr>
        <w:t>年国家预算情况报告汇编的《格鲁吉亚</w:t>
      </w:r>
      <w:r>
        <w:rPr>
          <w:rFonts w:hint="eastAsia"/>
        </w:rPr>
        <w:t>2000</w:t>
      </w:r>
      <w:r>
        <w:rPr>
          <w:rFonts w:hint="eastAsia"/>
        </w:rPr>
        <w:t>年国家人的发展报告》中的数据，按照相当于国内总产值的比例计算，</w:t>
      </w:r>
      <w:r>
        <w:rPr>
          <w:rFonts w:hint="eastAsia"/>
        </w:rPr>
        <w:t>1999</w:t>
      </w:r>
      <w:r>
        <w:rPr>
          <w:rFonts w:hint="eastAsia"/>
        </w:rPr>
        <w:t>年，社会保障和福利开支占</w:t>
      </w:r>
      <w:r>
        <w:rPr>
          <w:rFonts w:hint="eastAsia"/>
        </w:rPr>
        <w:t>3%</w:t>
      </w:r>
      <w:r>
        <w:rPr>
          <w:rFonts w:hint="eastAsia"/>
        </w:rPr>
        <w:t>。不具备以前年份的数据。</w:t>
      </w:r>
    </w:p>
    <w:p w:rsidR="00000000" w:rsidRDefault="00000000">
      <w:pPr>
        <w:pStyle w:val="NormalIndent"/>
      </w:pPr>
      <w:r>
        <w:t xml:space="preserve">120.  </w:t>
      </w:r>
      <w:r>
        <w:rPr>
          <w:rFonts w:hint="eastAsia"/>
        </w:rPr>
        <w:t>财政部和议会预算局的数据表明，</w:t>
      </w:r>
      <w:r>
        <w:rPr>
          <w:rFonts w:hint="eastAsia"/>
        </w:rPr>
        <w:t>2000</w:t>
      </w:r>
      <w:r>
        <w:rPr>
          <w:rFonts w:hint="eastAsia"/>
        </w:rPr>
        <w:t>年用于社会保障和保险的经费总额是</w:t>
      </w:r>
      <w:r>
        <w:t>2.734</w:t>
      </w:r>
      <w:r>
        <w:rPr>
          <w:rFonts w:hint="eastAsia"/>
        </w:rPr>
        <w:t>亿拉里。</w:t>
      </w:r>
    </w:p>
    <w:p w:rsidR="00000000" w:rsidRDefault="00000000">
      <w:pPr>
        <w:pStyle w:val="Heading4"/>
        <w:spacing w:before="320"/>
      </w:pPr>
      <w:r>
        <w:rPr>
          <w:rFonts w:hint="eastAsia"/>
        </w:rPr>
        <w:t>私营社会保障方案</w:t>
      </w:r>
    </w:p>
    <w:p w:rsidR="00000000" w:rsidRDefault="00000000">
      <w:pPr>
        <w:pStyle w:val="NormalIndent"/>
      </w:pPr>
      <w:r>
        <w:t xml:space="preserve">121.  </w:t>
      </w:r>
      <w:r>
        <w:rPr>
          <w:rFonts w:hint="eastAsia"/>
        </w:rPr>
        <w:t>格鲁吉亚除了国家的社会保障方案之外，还有地方和国际非政府组织景观的私营的人道主义方案。这些方案不仅提供食品、旧衣服和其他家庭用品，而且像美国国际开发署这样的组织还协助为最贫穷的阶层供电。</w:t>
      </w:r>
    </w:p>
    <w:p w:rsidR="00000000" w:rsidRDefault="00000000">
      <w:pPr>
        <w:pStyle w:val="NormalIndent"/>
      </w:pPr>
      <w:r>
        <w:t xml:space="preserve">122.  </w:t>
      </w:r>
      <w:r>
        <w:rPr>
          <w:rFonts w:hint="eastAsia"/>
        </w:rPr>
        <w:t>格鲁吉亚没有任何社会群体会被排除在社会保障体系之外。同时，这些社会保障补助水平也不足以确保受益人的福利。为了克服这一缺陷，去年采取了下列措施：</w:t>
      </w:r>
    </w:p>
    <w:p w:rsidR="00000000" w:rsidRDefault="00000000">
      <w:pPr>
        <w:pStyle w:val="NormalIndent"/>
        <w:numPr>
          <w:ilvl w:val="0"/>
          <w:numId w:val="36"/>
        </w:numPr>
        <w:tabs>
          <w:tab w:val="clear" w:pos="1740"/>
          <w:tab w:val="num" w:pos="1480"/>
        </w:tabs>
        <w:ind w:left="1480"/>
      </w:pPr>
      <w:r>
        <w:rPr>
          <w:rFonts w:hint="eastAsia"/>
        </w:rPr>
        <w:t>2000</w:t>
      </w:r>
      <w:r>
        <w:rPr>
          <w:rFonts w:hint="eastAsia"/>
        </w:rPr>
        <w:t>年</w:t>
      </w:r>
      <w:r>
        <w:rPr>
          <w:rFonts w:hint="eastAsia"/>
        </w:rPr>
        <w:t>7</w:t>
      </w:r>
      <w:r>
        <w:rPr>
          <w:rFonts w:hint="eastAsia"/>
        </w:rPr>
        <w:t>月</w:t>
      </w:r>
      <w:r>
        <w:rPr>
          <w:rFonts w:hint="eastAsia"/>
        </w:rPr>
        <w:t>1</w:t>
      </w:r>
      <w:r>
        <w:rPr>
          <w:rFonts w:hint="eastAsia"/>
        </w:rPr>
        <w:t>日，格鲁吉亚总统发布了一项命令，准备采取组织措施促进制定格鲁吉亚克服贫困和推动经济增长的方案，为了执行这项命令，设立的一个由总统领导的政府委员会；</w:t>
      </w:r>
    </w:p>
    <w:p w:rsidR="00000000" w:rsidRDefault="00000000">
      <w:pPr>
        <w:pStyle w:val="NormalIndent"/>
        <w:numPr>
          <w:ilvl w:val="0"/>
          <w:numId w:val="36"/>
        </w:numPr>
        <w:tabs>
          <w:tab w:val="clear" w:pos="1740"/>
          <w:tab w:val="num" w:pos="1480"/>
        </w:tabs>
        <w:ind w:left="1480"/>
      </w:pPr>
      <w:r>
        <w:rPr>
          <w:rFonts w:ascii="SimSun" w:hAnsi="SimSun"/>
        </w:rPr>
        <w:t>在该委员会工作成果的基础上，总统与2000年11月30日发布了一项命令，批准国家克服贫困与促进经济增长方案暂行文本。根据该命令，责成政府委员会的有关小组委员会负责于2001年4月1日以前在民间团体的参与下制定国家方案的有关领域计划。</w:t>
      </w:r>
    </w:p>
    <w:p w:rsidR="00000000" w:rsidRDefault="00000000">
      <w:pPr>
        <w:pStyle w:val="NormalIndent"/>
        <w:rPr>
          <w:rFonts w:ascii="SimSun" w:hAnsi="SimSun"/>
        </w:rPr>
      </w:pPr>
      <w:r>
        <w:rPr>
          <w:rFonts w:ascii="SimSun" w:hAnsi="SimSun"/>
        </w:rPr>
        <w:t>现已与世界银行合作制定了一项专门的宣传战略，既包括提供信息，也包括采取教育措施，确保于民间团体形成密切的联络关系，并让人民群众充分了解这项新的计划。国家方案的暂行文本以提交国际捐助组织审议。</w:t>
      </w:r>
    </w:p>
    <w:p w:rsidR="00000000" w:rsidRDefault="00000000">
      <w:pPr>
        <w:pStyle w:val="NormalIndent"/>
      </w:pPr>
      <w:r>
        <w:t xml:space="preserve">123.  </w:t>
      </w:r>
      <w:r>
        <w:rPr>
          <w:rFonts w:hint="eastAsia"/>
        </w:rPr>
        <w:t>上述情况可以认为是对经济、社会、文化权利委员会在结论性意见第</w:t>
      </w:r>
      <w:r>
        <w:t>8</w:t>
      </w:r>
      <w:r>
        <w:rPr>
          <w:rFonts w:hint="eastAsia"/>
        </w:rPr>
        <w:t>段中所表示的关注的一种回应。正如格鲁吉亚总统</w:t>
      </w:r>
      <w:r>
        <w:rPr>
          <w:rFonts w:hint="eastAsia"/>
        </w:rPr>
        <w:t>2000</w:t>
      </w:r>
      <w:r>
        <w:rPr>
          <w:rFonts w:hint="eastAsia"/>
        </w:rPr>
        <w:t>年</w:t>
      </w:r>
      <w:r>
        <w:rPr>
          <w:rFonts w:hint="eastAsia"/>
        </w:rPr>
        <w:t>11</w:t>
      </w:r>
      <w:r>
        <w:rPr>
          <w:rFonts w:hint="eastAsia"/>
        </w:rPr>
        <w:t>月</w:t>
      </w:r>
      <w:r>
        <w:rPr>
          <w:rFonts w:hint="eastAsia"/>
        </w:rPr>
        <w:t>28</w:t>
      </w:r>
      <w:r>
        <w:rPr>
          <w:rFonts w:hint="eastAsia"/>
        </w:rPr>
        <w:t>日在向政府委员会成员讲话时所说，“成功地执行克服贫困与促进经济增长方案，应在形成强劲有力的经济回升。现在已进入第三个千年的初期，格鲁吉亚人民应当可以享受体面的生活条件和合适的社会保障”。</w:t>
      </w:r>
    </w:p>
    <w:p w:rsidR="00000000" w:rsidRDefault="00000000">
      <w:pPr>
        <w:pStyle w:val="NormalIndent"/>
      </w:pPr>
      <w:r>
        <w:t xml:space="preserve">124.  </w:t>
      </w:r>
      <w:r>
        <w:rPr>
          <w:rFonts w:hint="eastAsia"/>
        </w:rPr>
        <w:t>关于《公约》本条所涉问题的进一步资料，还可以参看本国根据《消除一切形式种族歧视国际公约》提交的初步报告</w:t>
      </w:r>
      <w:r>
        <w:rPr>
          <w:rFonts w:hint="eastAsia"/>
        </w:rPr>
        <w:t>(</w:t>
      </w:r>
      <w:r>
        <w:rPr>
          <w:rFonts w:hint="eastAsia"/>
        </w:rPr>
        <w:t>第</w:t>
      </w:r>
      <w:r>
        <w:rPr>
          <w:rFonts w:hint="eastAsia"/>
        </w:rPr>
        <w:t>238</w:t>
      </w:r>
      <w:r>
        <w:rPr>
          <w:rFonts w:hint="eastAsia"/>
        </w:rPr>
        <w:t>—</w:t>
      </w:r>
      <w:r>
        <w:rPr>
          <w:rFonts w:hint="eastAsia"/>
        </w:rPr>
        <w:t>252</w:t>
      </w:r>
      <w:r>
        <w:rPr>
          <w:rFonts w:hint="eastAsia"/>
        </w:rPr>
        <w:t>段</w:t>
      </w:r>
      <w:r>
        <w:rPr>
          <w:rFonts w:hint="eastAsia"/>
        </w:rPr>
        <w:t>)</w:t>
      </w:r>
      <w:r>
        <w:rPr>
          <w:rFonts w:hint="eastAsia"/>
        </w:rPr>
        <w:t>。</w:t>
      </w:r>
    </w:p>
    <w:p w:rsidR="00000000" w:rsidRDefault="00000000">
      <w:pPr>
        <w:pStyle w:val="Heading2"/>
        <w:spacing w:before="320" w:after="240"/>
      </w:pPr>
      <w:r>
        <w:rPr>
          <w:rFonts w:hint="eastAsia"/>
        </w:rPr>
        <w:t>第</w:t>
      </w:r>
      <w:r>
        <w:rPr>
          <w:rFonts w:hint="eastAsia"/>
        </w:rPr>
        <w:t xml:space="preserve"> </w:t>
      </w:r>
      <w:r>
        <w:rPr>
          <w:rFonts w:hint="eastAsia"/>
        </w:rPr>
        <w:t>十</w:t>
      </w:r>
      <w:r>
        <w:rPr>
          <w:rFonts w:hint="eastAsia"/>
        </w:rPr>
        <w:t xml:space="preserve"> </w:t>
      </w:r>
      <w:r>
        <w:rPr>
          <w:rFonts w:hint="eastAsia"/>
        </w:rPr>
        <w:t>条</w:t>
      </w:r>
    </w:p>
    <w:p w:rsidR="00000000" w:rsidRDefault="00000000">
      <w:pPr>
        <w:pStyle w:val="Heading4"/>
        <w:spacing w:after="160"/>
      </w:pPr>
      <w:r>
        <w:rPr>
          <w:rFonts w:hint="eastAsia"/>
        </w:rPr>
        <w:t>婚姻与家庭</w:t>
      </w:r>
    </w:p>
    <w:p w:rsidR="00000000" w:rsidRDefault="00000000">
      <w:pPr>
        <w:pStyle w:val="NormalIndent"/>
      </w:pPr>
      <w:r>
        <w:t xml:space="preserve">125.  </w:t>
      </w:r>
      <w:r>
        <w:rPr>
          <w:rFonts w:hint="eastAsia"/>
        </w:rPr>
        <w:t>如上所述，</w:t>
      </w:r>
      <w:r>
        <w:rPr>
          <w:rFonts w:hint="eastAsia"/>
        </w:rPr>
        <w:t>2000</w:t>
      </w:r>
      <w:r>
        <w:rPr>
          <w:rFonts w:hint="eastAsia"/>
        </w:rPr>
        <w:t>年，格鲁吉亚向有关联合国条约机构提交了《消除一切形式种族歧视国际公约》规定的初步报告和《公民权利和政治权利国际公约》规定的第二次定期报告。这些报告探讨了《公约》本条所涉的问题。因此，提请注意这些报告的相应段落。</w:t>
      </w:r>
    </w:p>
    <w:p w:rsidR="00000000" w:rsidRDefault="00000000">
      <w:pPr>
        <w:pStyle w:val="NormalIndent"/>
      </w:pPr>
      <w:r>
        <w:t xml:space="preserve">126.  </w:t>
      </w:r>
      <w:r>
        <w:rPr>
          <w:rFonts w:hint="eastAsia"/>
        </w:rPr>
        <w:t>关于“家庭”概念及其含义，请参看根据《公民权利和政治权利国际公约》提交的报告第</w:t>
      </w:r>
      <w:r>
        <w:rPr>
          <w:rFonts w:hint="eastAsia"/>
        </w:rPr>
        <w:t>418</w:t>
      </w:r>
      <w:r>
        <w:rPr>
          <w:rFonts w:hint="eastAsia"/>
        </w:rPr>
        <w:t>段。</w:t>
      </w:r>
    </w:p>
    <w:p w:rsidR="00000000" w:rsidRDefault="00000000">
      <w:pPr>
        <w:pStyle w:val="NormalIndent"/>
      </w:pPr>
      <w:r>
        <w:t xml:space="preserve">127.  </w:t>
      </w:r>
      <w:r>
        <w:rPr>
          <w:rFonts w:hint="eastAsia"/>
        </w:rPr>
        <w:t>关于成年年龄问题的资料，请参看同一报告的第</w:t>
      </w:r>
      <w:r>
        <w:rPr>
          <w:rFonts w:hint="eastAsia"/>
        </w:rPr>
        <w:t>520</w:t>
      </w:r>
      <w:r>
        <w:rPr>
          <w:rFonts w:hint="eastAsia"/>
        </w:rPr>
        <w:t>、</w:t>
      </w:r>
      <w:r>
        <w:rPr>
          <w:rFonts w:hint="eastAsia"/>
        </w:rPr>
        <w:t>521</w:t>
      </w:r>
      <w:r>
        <w:rPr>
          <w:rFonts w:hint="eastAsia"/>
        </w:rPr>
        <w:t>和</w:t>
      </w:r>
      <w:r>
        <w:rPr>
          <w:rFonts w:hint="eastAsia"/>
        </w:rPr>
        <w:t>523</w:t>
      </w:r>
      <w:r>
        <w:rPr>
          <w:rFonts w:hint="eastAsia"/>
        </w:rPr>
        <w:t>段。</w:t>
      </w:r>
    </w:p>
    <w:p w:rsidR="00000000" w:rsidRDefault="00000000">
      <w:pPr>
        <w:pStyle w:val="NormalIndent"/>
      </w:pPr>
      <w:r>
        <w:t xml:space="preserve">128.  </w:t>
      </w:r>
      <w:r>
        <w:rPr>
          <w:rFonts w:hint="eastAsia"/>
        </w:rPr>
        <w:t>关于保护家庭和家庭援助问题的资料，还可参看该报告第</w:t>
      </w:r>
      <w:r>
        <w:rPr>
          <w:rFonts w:hint="eastAsia"/>
        </w:rPr>
        <w:t>501</w:t>
      </w:r>
      <w:r>
        <w:rPr>
          <w:rFonts w:hint="eastAsia"/>
        </w:rPr>
        <w:t>－</w:t>
      </w:r>
      <w:r>
        <w:rPr>
          <w:rFonts w:hint="eastAsia"/>
        </w:rPr>
        <w:t>513</w:t>
      </w:r>
      <w:r>
        <w:rPr>
          <w:rFonts w:hint="eastAsia"/>
        </w:rPr>
        <w:t>段和第</w:t>
      </w:r>
      <w:r>
        <w:rPr>
          <w:rFonts w:hint="eastAsia"/>
        </w:rPr>
        <w:t>516</w:t>
      </w:r>
      <w:r>
        <w:rPr>
          <w:rFonts w:hint="eastAsia"/>
        </w:rPr>
        <w:t>段，以及根据《消除一切形式种族歧视国际公约》提交的报告第</w:t>
      </w:r>
      <w:r>
        <w:rPr>
          <w:rFonts w:hint="eastAsia"/>
        </w:rPr>
        <w:t>138</w:t>
      </w:r>
      <w:r>
        <w:rPr>
          <w:rFonts w:hint="eastAsia"/>
        </w:rPr>
        <w:t>－</w:t>
      </w:r>
      <w:r>
        <w:rPr>
          <w:rFonts w:hint="eastAsia"/>
        </w:rPr>
        <w:t>144</w:t>
      </w:r>
      <w:r>
        <w:rPr>
          <w:rFonts w:hint="eastAsia"/>
        </w:rPr>
        <w:t>段。</w:t>
      </w:r>
    </w:p>
    <w:p w:rsidR="00000000" w:rsidRDefault="00000000">
      <w:pPr>
        <w:pStyle w:val="NormalIndent"/>
      </w:pPr>
      <w:r>
        <w:t xml:space="preserve">129.  </w:t>
      </w:r>
      <w:r>
        <w:rPr>
          <w:rFonts w:hint="eastAsia"/>
        </w:rPr>
        <w:t>以下提供关于这个问题的进一步统计数字。</w:t>
      </w:r>
    </w:p>
    <w:p w:rsidR="00000000" w:rsidRDefault="00000000">
      <w:pPr>
        <w:pStyle w:val="NormalIndent"/>
      </w:pPr>
      <w:r>
        <w:t xml:space="preserve">130.  </w:t>
      </w:r>
      <w:r>
        <w:rPr>
          <w:rFonts w:hint="eastAsia"/>
        </w:rPr>
        <w:t>1999</w:t>
      </w:r>
      <w:r>
        <w:rPr>
          <w:rFonts w:hint="eastAsia"/>
        </w:rPr>
        <w:t>年，共有</w:t>
      </w:r>
      <w:r>
        <w:rPr>
          <w:rFonts w:hint="eastAsia"/>
        </w:rPr>
        <w:t>13,800</w:t>
      </w:r>
      <w:r>
        <w:rPr>
          <w:rFonts w:hint="eastAsia"/>
        </w:rPr>
        <w:t>对夫妇结婚、</w:t>
      </w:r>
      <w:r>
        <w:rPr>
          <w:rFonts w:hint="eastAsia"/>
        </w:rPr>
        <w:t>1,600</w:t>
      </w:r>
      <w:r>
        <w:rPr>
          <w:rFonts w:hint="eastAsia"/>
        </w:rPr>
        <w:t>对夫妇离婚，即，千人结婚率</w:t>
      </w:r>
      <w:r>
        <w:rPr>
          <w:rFonts w:hint="eastAsia"/>
        </w:rPr>
        <w:t>3.9</w:t>
      </w:r>
      <w:r>
        <w:rPr>
          <w:rFonts w:hint="eastAsia"/>
        </w:rPr>
        <w:t>、离婚率</w:t>
      </w:r>
      <w:r>
        <w:rPr>
          <w:rFonts w:hint="eastAsia"/>
        </w:rPr>
        <w:t>0.4</w:t>
      </w:r>
      <w:r>
        <w:rPr>
          <w:rFonts w:hint="eastAsia"/>
        </w:rPr>
        <w:t>。从结婚到离婚的平均持续年份为</w:t>
      </w:r>
      <w:r>
        <w:rPr>
          <w:rFonts w:hint="eastAsia"/>
        </w:rPr>
        <w:t>11.5</w:t>
      </w:r>
      <w:r>
        <w:rPr>
          <w:rFonts w:hint="eastAsia"/>
        </w:rPr>
        <w:t>年。对数字的分析表明，过去五年不论是按照绝对数字还是按照相对于人口的数字计算，结婚和离婚都在逐步减少</w:t>
      </w:r>
      <w:r>
        <w:rPr>
          <w:rFonts w:hint="eastAsia"/>
        </w:rPr>
        <w:t>(</w:t>
      </w:r>
      <w:r>
        <w:rPr>
          <w:rFonts w:hint="eastAsia"/>
        </w:rPr>
        <w:t>离婚的降幅略低</w:t>
      </w:r>
      <w:r>
        <w:rPr>
          <w:rFonts w:hint="eastAsia"/>
        </w:rPr>
        <w:t>)</w:t>
      </w:r>
      <w:r>
        <w:rPr>
          <w:rFonts w:hint="eastAsia"/>
        </w:rPr>
        <w:t>。</w:t>
      </w:r>
    </w:p>
    <w:p w:rsidR="00000000" w:rsidRDefault="00000000">
      <w:pPr>
        <w:pStyle w:val="Heading3"/>
        <w:spacing w:before="160" w:after="160"/>
      </w:pPr>
      <w:r>
        <w:rPr>
          <w:rFonts w:hint="eastAsia"/>
        </w:rPr>
        <w:t>第一次婚姻的平均年龄</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2869"/>
        <w:gridCol w:w="2869"/>
        <w:gridCol w:w="3730"/>
      </w:tblGrid>
      <w:tr w:rsidR="00000000">
        <w:tblPrEx>
          <w:tblCellMar>
            <w:top w:w="0" w:type="dxa"/>
            <w:bottom w:w="0" w:type="dxa"/>
          </w:tblCellMar>
        </w:tblPrEx>
        <w:tc>
          <w:tcPr>
            <w:tcW w:w="2869" w:type="dxa"/>
            <w:tcBorders>
              <w:bottom w:val="single" w:sz="6" w:space="0" w:color="000000"/>
            </w:tcBorders>
          </w:tcPr>
          <w:p w:rsidR="00000000" w:rsidRDefault="00000000">
            <w:pPr>
              <w:pStyle w:val="NormalIndent"/>
              <w:spacing w:before="120"/>
              <w:ind w:firstLine="0"/>
              <w:jc w:val="center"/>
              <w:rPr>
                <w:u w:val="single"/>
              </w:rPr>
            </w:pPr>
            <w:r>
              <w:rPr>
                <w:rFonts w:hint="eastAsia"/>
                <w:u w:val="single"/>
              </w:rPr>
              <w:t>年</w:t>
            </w:r>
            <w:r>
              <w:rPr>
                <w:rFonts w:hint="eastAsia"/>
                <w:u w:val="single"/>
              </w:rPr>
              <w:t xml:space="preserve"> </w:t>
            </w:r>
            <w:r>
              <w:rPr>
                <w:rFonts w:hint="eastAsia"/>
                <w:u w:val="single"/>
              </w:rPr>
              <w:t>份</w:t>
            </w:r>
          </w:p>
        </w:tc>
        <w:tc>
          <w:tcPr>
            <w:tcW w:w="2869" w:type="dxa"/>
            <w:tcBorders>
              <w:bottom w:val="single" w:sz="6" w:space="0" w:color="000000"/>
            </w:tcBorders>
          </w:tcPr>
          <w:p w:rsidR="00000000" w:rsidRDefault="00000000">
            <w:pPr>
              <w:pStyle w:val="NormalIndent"/>
              <w:spacing w:before="120"/>
              <w:ind w:firstLine="0"/>
              <w:jc w:val="center"/>
              <w:rPr>
                <w:u w:val="single"/>
              </w:rPr>
            </w:pPr>
            <w:r>
              <w:rPr>
                <w:rFonts w:hint="eastAsia"/>
                <w:u w:val="single"/>
              </w:rPr>
              <w:t>男</w:t>
            </w:r>
            <w:r>
              <w:rPr>
                <w:rFonts w:hint="eastAsia"/>
                <w:u w:val="single"/>
              </w:rPr>
              <w:t xml:space="preserve"> </w:t>
            </w:r>
            <w:r>
              <w:rPr>
                <w:rFonts w:hint="eastAsia"/>
                <w:u w:val="single"/>
              </w:rPr>
              <w:t>子</w:t>
            </w:r>
          </w:p>
        </w:tc>
        <w:tc>
          <w:tcPr>
            <w:tcW w:w="3730" w:type="dxa"/>
            <w:tcBorders>
              <w:bottom w:val="single" w:sz="6" w:space="0" w:color="000000"/>
            </w:tcBorders>
          </w:tcPr>
          <w:p w:rsidR="00000000" w:rsidRDefault="00000000">
            <w:pPr>
              <w:pStyle w:val="NormalIndent"/>
              <w:spacing w:before="120"/>
              <w:ind w:firstLine="0"/>
              <w:jc w:val="center"/>
              <w:rPr>
                <w:rFonts w:hint="eastAsia"/>
                <w:u w:val="single"/>
              </w:rPr>
            </w:pPr>
            <w:r>
              <w:rPr>
                <w:rFonts w:hint="eastAsia"/>
                <w:u w:val="single"/>
              </w:rPr>
              <w:t>女</w:t>
            </w:r>
            <w:r>
              <w:rPr>
                <w:rFonts w:hint="eastAsia"/>
                <w:u w:val="single"/>
              </w:rPr>
              <w:t xml:space="preserve"> </w:t>
            </w:r>
            <w:r>
              <w:rPr>
                <w:rFonts w:hint="eastAsia"/>
                <w:u w:val="single"/>
              </w:rPr>
              <w:t>子</w:t>
            </w:r>
          </w:p>
        </w:tc>
      </w:tr>
      <w:tr w:rsidR="00000000">
        <w:tblPrEx>
          <w:tblCellMar>
            <w:top w:w="0" w:type="dxa"/>
            <w:bottom w:w="0" w:type="dxa"/>
          </w:tblCellMar>
        </w:tblPrEx>
        <w:tc>
          <w:tcPr>
            <w:tcW w:w="2869" w:type="dxa"/>
            <w:tcBorders>
              <w:bottom w:val="nil"/>
            </w:tcBorders>
          </w:tcPr>
          <w:p w:rsidR="00000000" w:rsidRDefault="00000000">
            <w:pPr>
              <w:pStyle w:val="NormalIndent"/>
              <w:spacing w:before="120"/>
              <w:ind w:firstLine="0"/>
              <w:jc w:val="center"/>
            </w:pPr>
            <w:r>
              <w:t>1995</w:t>
            </w:r>
          </w:p>
        </w:tc>
        <w:tc>
          <w:tcPr>
            <w:tcW w:w="2869" w:type="dxa"/>
            <w:tcBorders>
              <w:bottom w:val="nil"/>
            </w:tcBorders>
          </w:tcPr>
          <w:p w:rsidR="00000000" w:rsidRDefault="00000000">
            <w:pPr>
              <w:pStyle w:val="NormalIndent"/>
              <w:spacing w:before="120"/>
              <w:ind w:firstLine="0"/>
              <w:jc w:val="center"/>
            </w:pPr>
            <w:r>
              <w:t>27.2</w:t>
            </w:r>
          </w:p>
        </w:tc>
        <w:tc>
          <w:tcPr>
            <w:tcW w:w="3730" w:type="dxa"/>
            <w:tcBorders>
              <w:bottom w:val="nil"/>
            </w:tcBorders>
          </w:tcPr>
          <w:p w:rsidR="00000000" w:rsidRDefault="00000000">
            <w:pPr>
              <w:pStyle w:val="NormalIndent"/>
              <w:spacing w:before="120"/>
              <w:ind w:firstLine="0"/>
              <w:jc w:val="center"/>
            </w:pPr>
            <w:r>
              <w:t>23.7</w:t>
            </w:r>
          </w:p>
        </w:tc>
      </w:tr>
      <w:tr w:rsidR="00000000">
        <w:tblPrEx>
          <w:tblCellMar>
            <w:top w:w="0" w:type="dxa"/>
            <w:bottom w:w="0" w:type="dxa"/>
          </w:tblCellMar>
        </w:tblPrEx>
        <w:tc>
          <w:tcPr>
            <w:tcW w:w="2869" w:type="dxa"/>
            <w:tcBorders>
              <w:top w:val="nil"/>
              <w:bottom w:val="nil"/>
            </w:tcBorders>
          </w:tcPr>
          <w:p w:rsidR="00000000" w:rsidRDefault="00000000">
            <w:pPr>
              <w:pStyle w:val="NormalIndent"/>
              <w:ind w:firstLine="0"/>
              <w:jc w:val="center"/>
            </w:pPr>
            <w:r>
              <w:t>1996</w:t>
            </w:r>
          </w:p>
        </w:tc>
        <w:tc>
          <w:tcPr>
            <w:tcW w:w="2869" w:type="dxa"/>
            <w:tcBorders>
              <w:top w:val="nil"/>
              <w:bottom w:val="nil"/>
            </w:tcBorders>
          </w:tcPr>
          <w:p w:rsidR="00000000" w:rsidRDefault="00000000">
            <w:pPr>
              <w:pStyle w:val="NormalIndent"/>
              <w:ind w:firstLine="0"/>
              <w:jc w:val="center"/>
            </w:pPr>
            <w:r>
              <w:t>27.3</w:t>
            </w:r>
          </w:p>
        </w:tc>
        <w:tc>
          <w:tcPr>
            <w:tcW w:w="3730" w:type="dxa"/>
            <w:tcBorders>
              <w:top w:val="nil"/>
              <w:bottom w:val="nil"/>
            </w:tcBorders>
          </w:tcPr>
          <w:p w:rsidR="00000000" w:rsidRDefault="00000000">
            <w:pPr>
              <w:pStyle w:val="NormalIndent"/>
              <w:ind w:firstLine="0"/>
              <w:jc w:val="center"/>
            </w:pPr>
            <w:r>
              <w:t>23.8</w:t>
            </w:r>
          </w:p>
        </w:tc>
      </w:tr>
      <w:tr w:rsidR="00000000">
        <w:tblPrEx>
          <w:tblCellMar>
            <w:top w:w="0" w:type="dxa"/>
            <w:bottom w:w="0" w:type="dxa"/>
          </w:tblCellMar>
        </w:tblPrEx>
        <w:tc>
          <w:tcPr>
            <w:tcW w:w="2869" w:type="dxa"/>
            <w:tcBorders>
              <w:top w:val="nil"/>
              <w:bottom w:val="nil"/>
            </w:tcBorders>
          </w:tcPr>
          <w:p w:rsidR="00000000" w:rsidRDefault="00000000">
            <w:pPr>
              <w:pStyle w:val="NormalIndent"/>
              <w:ind w:firstLine="0"/>
              <w:jc w:val="center"/>
            </w:pPr>
            <w:r>
              <w:t>1997</w:t>
            </w:r>
          </w:p>
        </w:tc>
        <w:tc>
          <w:tcPr>
            <w:tcW w:w="2869" w:type="dxa"/>
            <w:tcBorders>
              <w:top w:val="nil"/>
              <w:bottom w:val="nil"/>
            </w:tcBorders>
          </w:tcPr>
          <w:p w:rsidR="00000000" w:rsidRDefault="00000000">
            <w:pPr>
              <w:pStyle w:val="NormalIndent"/>
              <w:ind w:firstLine="0"/>
              <w:jc w:val="center"/>
            </w:pPr>
            <w:r>
              <w:t>27.8</w:t>
            </w:r>
          </w:p>
        </w:tc>
        <w:tc>
          <w:tcPr>
            <w:tcW w:w="3730" w:type="dxa"/>
            <w:tcBorders>
              <w:top w:val="nil"/>
              <w:bottom w:val="nil"/>
            </w:tcBorders>
          </w:tcPr>
          <w:p w:rsidR="00000000" w:rsidRDefault="00000000">
            <w:pPr>
              <w:pStyle w:val="NormalIndent"/>
              <w:ind w:firstLine="0"/>
              <w:jc w:val="center"/>
            </w:pPr>
            <w:r>
              <w:t>24.0</w:t>
            </w:r>
          </w:p>
        </w:tc>
      </w:tr>
      <w:tr w:rsidR="00000000">
        <w:tblPrEx>
          <w:tblCellMar>
            <w:top w:w="0" w:type="dxa"/>
            <w:bottom w:w="0" w:type="dxa"/>
          </w:tblCellMar>
        </w:tblPrEx>
        <w:tc>
          <w:tcPr>
            <w:tcW w:w="2869" w:type="dxa"/>
            <w:tcBorders>
              <w:top w:val="nil"/>
              <w:bottom w:val="nil"/>
            </w:tcBorders>
          </w:tcPr>
          <w:p w:rsidR="00000000" w:rsidRDefault="00000000">
            <w:pPr>
              <w:pStyle w:val="NormalIndent"/>
              <w:ind w:firstLine="0"/>
              <w:jc w:val="center"/>
            </w:pPr>
            <w:r>
              <w:t>1998</w:t>
            </w:r>
          </w:p>
        </w:tc>
        <w:tc>
          <w:tcPr>
            <w:tcW w:w="2869" w:type="dxa"/>
            <w:tcBorders>
              <w:top w:val="nil"/>
              <w:bottom w:val="nil"/>
            </w:tcBorders>
          </w:tcPr>
          <w:p w:rsidR="00000000" w:rsidRDefault="00000000">
            <w:pPr>
              <w:pStyle w:val="NormalIndent"/>
              <w:ind w:firstLine="0"/>
              <w:jc w:val="center"/>
            </w:pPr>
            <w:r>
              <w:t>28.0</w:t>
            </w:r>
          </w:p>
        </w:tc>
        <w:tc>
          <w:tcPr>
            <w:tcW w:w="3730" w:type="dxa"/>
            <w:tcBorders>
              <w:top w:val="nil"/>
              <w:bottom w:val="nil"/>
            </w:tcBorders>
          </w:tcPr>
          <w:p w:rsidR="00000000" w:rsidRDefault="00000000">
            <w:pPr>
              <w:pStyle w:val="NormalIndent"/>
              <w:ind w:firstLine="0"/>
              <w:jc w:val="center"/>
            </w:pPr>
            <w:r>
              <w:t>24.4</w:t>
            </w:r>
          </w:p>
        </w:tc>
      </w:tr>
      <w:tr w:rsidR="00000000">
        <w:tblPrEx>
          <w:tblCellMar>
            <w:top w:w="0" w:type="dxa"/>
            <w:bottom w:w="0" w:type="dxa"/>
          </w:tblCellMar>
        </w:tblPrEx>
        <w:tc>
          <w:tcPr>
            <w:tcW w:w="2869" w:type="dxa"/>
            <w:tcBorders>
              <w:top w:val="nil"/>
            </w:tcBorders>
          </w:tcPr>
          <w:p w:rsidR="00000000" w:rsidRDefault="00000000">
            <w:pPr>
              <w:pStyle w:val="NormalIndent"/>
              <w:ind w:firstLine="0"/>
              <w:jc w:val="center"/>
            </w:pPr>
            <w:r>
              <w:t>1999</w:t>
            </w:r>
          </w:p>
        </w:tc>
        <w:tc>
          <w:tcPr>
            <w:tcW w:w="2869" w:type="dxa"/>
            <w:tcBorders>
              <w:top w:val="nil"/>
            </w:tcBorders>
          </w:tcPr>
          <w:p w:rsidR="00000000" w:rsidRDefault="00000000">
            <w:pPr>
              <w:pStyle w:val="NormalIndent"/>
              <w:ind w:firstLine="0"/>
              <w:jc w:val="center"/>
            </w:pPr>
            <w:r>
              <w:t>28.3</w:t>
            </w:r>
          </w:p>
        </w:tc>
        <w:tc>
          <w:tcPr>
            <w:tcW w:w="3730" w:type="dxa"/>
            <w:tcBorders>
              <w:top w:val="nil"/>
            </w:tcBorders>
          </w:tcPr>
          <w:p w:rsidR="00000000" w:rsidRDefault="00000000">
            <w:pPr>
              <w:pStyle w:val="NormalIndent"/>
              <w:ind w:firstLine="0"/>
              <w:jc w:val="center"/>
            </w:pPr>
            <w:r>
              <w:t>24.6</w:t>
            </w:r>
          </w:p>
        </w:tc>
      </w:tr>
    </w:tbl>
    <w:p w:rsidR="00000000" w:rsidRDefault="00000000">
      <w:pPr>
        <w:pStyle w:val="NormalIndent"/>
        <w:jc w:val="center"/>
      </w:pPr>
    </w:p>
    <w:p w:rsidR="00000000" w:rsidRDefault="00000000">
      <w:pPr>
        <w:pStyle w:val="NormalIndent"/>
      </w:pPr>
      <w:r>
        <w:t xml:space="preserve">131.  </w:t>
      </w:r>
      <w:r>
        <w:rPr>
          <w:rFonts w:hint="eastAsia"/>
        </w:rPr>
        <w:t>如上表所示，男子和女子的第一次婚姻年龄都在不断提高。然而</w:t>
      </w:r>
      <w:r>
        <w:rPr>
          <w:rFonts w:hint="eastAsia"/>
        </w:rPr>
        <w:t>1980</w:t>
      </w:r>
      <w:r>
        <w:rPr>
          <w:rFonts w:hint="eastAsia"/>
        </w:rPr>
        <w:t>年至</w:t>
      </w:r>
      <w:r>
        <w:rPr>
          <w:rFonts w:hint="eastAsia"/>
        </w:rPr>
        <w:t>1982</w:t>
      </w:r>
      <w:r>
        <w:rPr>
          <w:rFonts w:hint="eastAsia"/>
        </w:rPr>
        <w:t>年期间的情况则与此正相反：第一次婚姻年龄当时缓慢但逐步趋于年轻。</w:t>
      </w:r>
    </w:p>
    <w:p w:rsidR="00000000" w:rsidRDefault="00000000">
      <w:pPr>
        <w:pStyle w:val="Heading4"/>
        <w:spacing w:before="320"/>
      </w:pPr>
      <w:r>
        <w:rPr>
          <w:rFonts w:hint="eastAsia"/>
        </w:rPr>
        <w:t>保护母亲的制度</w:t>
      </w:r>
    </w:p>
    <w:p w:rsidR="00000000" w:rsidRDefault="00000000">
      <w:pPr>
        <w:pStyle w:val="NormalIndent"/>
      </w:pPr>
      <w:r>
        <w:t xml:space="preserve">132.  </w:t>
      </w:r>
      <w:r>
        <w:rPr>
          <w:rFonts w:hint="eastAsia"/>
        </w:rPr>
        <w:t>初步报告</w:t>
      </w:r>
      <w:r>
        <w:rPr>
          <w:rFonts w:hint="eastAsia"/>
        </w:rPr>
        <w:t>(</w:t>
      </w:r>
      <w:r>
        <w:rPr>
          <w:rFonts w:hint="eastAsia"/>
        </w:rPr>
        <w:t>第</w:t>
      </w:r>
      <w:r>
        <w:rPr>
          <w:rFonts w:hint="eastAsia"/>
        </w:rPr>
        <w:t>136</w:t>
      </w:r>
      <w:r>
        <w:rPr>
          <w:rFonts w:hint="eastAsia"/>
        </w:rPr>
        <w:t>—</w:t>
      </w:r>
      <w:r>
        <w:rPr>
          <w:rFonts w:hint="eastAsia"/>
        </w:rPr>
        <w:t>138</w:t>
      </w:r>
      <w:r>
        <w:rPr>
          <w:rFonts w:hint="eastAsia"/>
        </w:rPr>
        <w:t>段</w:t>
      </w:r>
      <w:r>
        <w:rPr>
          <w:rFonts w:hint="eastAsia"/>
        </w:rPr>
        <w:t>)</w:t>
      </w:r>
      <w:r>
        <w:rPr>
          <w:rFonts w:hint="eastAsia"/>
        </w:rPr>
        <w:t>中提供的关于保护母亲的制度的资料依然有效。本报告所涉时期内，这个制度没有发生变化，继续在为格鲁吉亚社会的所有妇女群体提供同等的保护。</w:t>
      </w:r>
    </w:p>
    <w:p w:rsidR="00000000" w:rsidRDefault="00000000">
      <w:pPr>
        <w:pStyle w:val="Heading4"/>
        <w:spacing w:before="320"/>
      </w:pPr>
      <w:r>
        <w:rPr>
          <w:rFonts w:hint="eastAsia"/>
        </w:rPr>
        <w:t>保护儿童和青少年免受经济剥削</w:t>
      </w:r>
    </w:p>
    <w:p w:rsidR="00000000" w:rsidRDefault="00000000">
      <w:pPr>
        <w:pStyle w:val="NormalIndent"/>
      </w:pPr>
      <w:r>
        <w:t xml:space="preserve">133.  </w:t>
      </w:r>
      <w:r>
        <w:rPr>
          <w:rFonts w:hint="eastAsia"/>
        </w:rPr>
        <w:t>关于格鲁吉亚禁止在最低限度就业年龄以下雇用童工问题的资料，请参看本国根据《公民权利和政治权利国际公约》提交的第二次定期报告第</w:t>
      </w:r>
      <w:r>
        <w:rPr>
          <w:rFonts w:hint="eastAsia"/>
        </w:rPr>
        <w:t>523</w:t>
      </w:r>
      <w:r>
        <w:rPr>
          <w:rFonts w:hint="eastAsia"/>
        </w:rPr>
        <w:t>段，以及根据《儿童权利公约》提交的初步报告第</w:t>
      </w:r>
      <w:r>
        <w:rPr>
          <w:rFonts w:hint="eastAsia"/>
        </w:rPr>
        <w:t>30</w:t>
      </w:r>
      <w:r>
        <w:rPr>
          <w:rFonts w:hint="eastAsia"/>
        </w:rPr>
        <w:t>段。</w:t>
      </w:r>
    </w:p>
    <w:p w:rsidR="00000000" w:rsidRDefault="00000000">
      <w:pPr>
        <w:pStyle w:val="NormalIndent"/>
      </w:pPr>
      <w:r>
        <w:t>134.  1999</w:t>
      </w:r>
      <w:r>
        <w:rPr>
          <w:rFonts w:hint="eastAsia"/>
        </w:rPr>
        <w:t>年至</w:t>
      </w:r>
      <w:r>
        <w:rPr>
          <w:rFonts w:hint="eastAsia"/>
        </w:rPr>
        <w:t>2000</w:t>
      </w:r>
      <w:r>
        <w:rPr>
          <w:rFonts w:hint="eastAsia"/>
        </w:rPr>
        <w:t>年，国家统计局对经济活动年龄组</w:t>
      </w:r>
      <w:r>
        <w:rPr>
          <w:rFonts w:hint="eastAsia"/>
        </w:rPr>
        <w:t>(7</w:t>
      </w:r>
      <w:r>
        <w:rPr>
          <w:rFonts w:hint="eastAsia"/>
        </w:rPr>
        <w:t>—</w:t>
      </w:r>
      <w:r>
        <w:rPr>
          <w:rFonts w:hint="eastAsia"/>
        </w:rPr>
        <w:t>17</w:t>
      </w:r>
      <w:r>
        <w:rPr>
          <w:rFonts w:hint="eastAsia"/>
        </w:rPr>
        <w:t>岁</w:t>
      </w:r>
      <w:r>
        <w:rPr>
          <w:rFonts w:hint="eastAsia"/>
        </w:rPr>
        <w:t>)</w:t>
      </w:r>
      <w:r>
        <w:rPr>
          <w:rFonts w:hint="eastAsia"/>
        </w:rPr>
        <w:t>儿童的劳动活动进行了一次调查。调查结果表明，全国儿童人口的</w:t>
      </w:r>
      <w:r>
        <w:t>4.5%</w:t>
      </w:r>
      <w:r>
        <w:rPr>
          <w:rFonts w:hint="eastAsia"/>
        </w:rPr>
        <w:t>从事某种形式的经济活动：其中</w:t>
      </w:r>
      <w:r>
        <w:rPr>
          <w:rFonts w:hint="eastAsia"/>
        </w:rPr>
        <w:t>50.9%</w:t>
      </w:r>
      <w:r>
        <w:rPr>
          <w:rFonts w:hint="eastAsia"/>
        </w:rPr>
        <w:t>在家工作或参加家里的工商活动，</w:t>
      </w:r>
      <w:r>
        <w:t>39.5%</w:t>
      </w:r>
      <w:r>
        <w:rPr>
          <w:rFonts w:hint="eastAsia"/>
        </w:rPr>
        <w:t>纯粹从事学习，</w:t>
      </w:r>
      <w:r>
        <w:t>5.1%</w:t>
      </w:r>
      <w:r>
        <w:rPr>
          <w:rFonts w:hint="eastAsia"/>
        </w:rPr>
        <w:t>不上学，</w:t>
      </w:r>
      <w:r>
        <w:rPr>
          <w:rFonts w:hint="eastAsia"/>
        </w:rPr>
        <w:t>1.4%</w:t>
      </w:r>
      <w:r>
        <w:rPr>
          <w:rFonts w:hint="eastAsia"/>
        </w:rPr>
        <w:t>既不上学也不工作。</w:t>
      </w:r>
    </w:p>
    <w:p w:rsidR="00000000" w:rsidRDefault="00000000">
      <w:pPr>
        <w:pStyle w:val="NormalIndent"/>
      </w:pPr>
      <w:r>
        <w:t xml:space="preserve">135.  </w:t>
      </w:r>
      <w:r>
        <w:rPr>
          <w:rFonts w:hint="eastAsia"/>
        </w:rPr>
        <w:t>7</w:t>
      </w:r>
      <w:r>
        <w:rPr>
          <w:rFonts w:hint="eastAsia"/>
        </w:rPr>
        <w:t>岁至</w:t>
      </w:r>
      <w:r>
        <w:rPr>
          <w:rFonts w:hint="eastAsia"/>
        </w:rPr>
        <w:t>17</w:t>
      </w:r>
      <w:r>
        <w:rPr>
          <w:rFonts w:hint="eastAsia"/>
        </w:rPr>
        <w:t>岁的儿童共有</w:t>
      </w:r>
      <w:r>
        <w:rPr>
          <w:rFonts w:hint="eastAsia"/>
        </w:rPr>
        <w:t>829,600</w:t>
      </w:r>
      <w:r>
        <w:rPr>
          <w:rFonts w:hint="eastAsia"/>
        </w:rPr>
        <w:t>人。按年龄组划分，有关数字如下：</w:t>
      </w:r>
      <w:r>
        <w:t>7</w:t>
      </w:r>
      <w:r>
        <w:rPr>
          <w:rFonts w:hint="eastAsia"/>
        </w:rPr>
        <w:t>－</w:t>
      </w:r>
      <w:r>
        <w:t>8</w:t>
      </w:r>
      <w:r>
        <w:rPr>
          <w:rFonts w:hint="eastAsia"/>
        </w:rPr>
        <w:t>岁</w:t>
      </w:r>
      <w:r>
        <w:rPr>
          <w:rFonts w:hint="eastAsia"/>
          <w:spacing w:val="-40"/>
        </w:rPr>
        <w:t>——</w:t>
      </w:r>
      <w:r>
        <w:t xml:space="preserve"> </w:t>
      </w:r>
      <w:r>
        <w:rPr>
          <w:rFonts w:hint="eastAsia"/>
        </w:rPr>
        <w:t>141,200</w:t>
      </w:r>
      <w:r>
        <w:rPr>
          <w:rFonts w:hint="eastAsia"/>
        </w:rPr>
        <w:t>人</w:t>
      </w:r>
      <w:r>
        <w:rPr>
          <w:rFonts w:hint="eastAsia"/>
        </w:rPr>
        <w:t>(17%)</w:t>
      </w:r>
      <w:r>
        <w:rPr>
          <w:rFonts w:hint="eastAsia"/>
        </w:rPr>
        <w:t>；</w:t>
      </w:r>
      <w:r>
        <w:t>9</w:t>
      </w:r>
      <w:r>
        <w:rPr>
          <w:rFonts w:hint="eastAsia"/>
        </w:rPr>
        <w:t>－</w:t>
      </w:r>
      <w:r>
        <w:t>11</w:t>
      </w:r>
      <w:r>
        <w:rPr>
          <w:rFonts w:hint="eastAsia"/>
        </w:rPr>
        <w:t>岁</w:t>
      </w:r>
      <w:r>
        <w:rPr>
          <w:rFonts w:hint="eastAsia"/>
          <w:spacing w:val="-40"/>
        </w:rPr>
        <w:t>——</w:t>
      </w:r>
      <w:r>
        <w:t xml:space="preserve"> </w:t>
      </w:r>
      <w:r>
        <w:rPr>
          <w:rFonts w:hint="eastAsia"/>
        </w:rPr>
        <w:t>214,000</w:t>
      </w:r>
      <w:r>
        <w:rPr>
          <w:rFonts w:hint="eastAsia"/>
        </w:rPr>
        <w:t>人</w:t>
      </w:r>
      <w:r>
        <w:rPr>
          <w:rFonts w:hint="eastAsia"/>
        </w:rPr>
        <w:t>(25.8%)</w:t>
      </w:r>
      <w:r>
        <w:rPr>
          <w:rFonts w:hint="eastAsia"/>
        </w:rPr>
        <w:t>；</w:t>
      </w:r>
      <w:r>
        <w:t>12</w:t>
      </w:r>
      <w:r>
        <w:rPr>
          <w:rFonts w:hint="eastAsia"/>
        </w:rPr>
        <w:t>－</w:t>
      </w:r>
      <w:r>
        <w:t>14</w:t>
      </w:r>
      <w:r>
        <w:rPr>
          <w:rFonts w:hint="eastAsia"/>
        </w:rPr>
        <w:t>岁</w:t>
      </w:r>
      <w:r>
        <w:rPr>
          <w:rFonts w:hint="eastAsia"/>
          <w:spacing w:val="-40"/>
        </w:rPr>
        <w:t>——</w:t>
      </w:r>
      <w:r>
        <w:t xml:space="preserve"> </w:t>
      </w:r>
      <w:r>
        <w:rPr>
          <w:rFonts w:hint="eastAsia"/>
        </w:rPr>
        <w:t>237,800</w:t>
      </w:r>
      <w:r>
        <w:rPr>
          <w:rFonts w:hint="eastAsia"/>
        </w:rPr>
        <w:t>人</w:t>
      </w:r>
      <w:r>
        <w:rPr>
          <w:rFonts w:hint="eastAsia"/>
        </w:rPr>
        <w:t>(28.7%)</w:t>
      </w:r>
      <w:r>
        <w:rPr>
          <w:rFonts w:hint="eastAsia"/>
        </w:rPr>
        <w:t>；</w:t>
      </w:r>
      <w:r>
        <w:t>15</w:t>
      </w:r>
      <w:r>
        <w:rPr>
          <w:rFonts w:hint="eastAsia"/>
        </w:rPr>
        <w:t>－</w:t>
      </w:r>
      <w:r>
        <w:t>17</w:t>
      </w:r>
      <w:r>
        <w:rPr>
          <w:rFonts w:hint="eastAsia"/>
        </w:rPr>
        <w:t>岁</w:t>
      </w:r>
      <w:r>
        <w:rPr>
          <w:rFonts w:hint="eastAsia"/>
          <w:spacing w:val="-40"/>
        </w:rPr>
        <w:t>——</w:t>
      </w:r>
      <w:r>
        <w:t xml:space="preserve"> </w:t>
      </w:r>
      <w:r>
        <w:rPr>
          <w:rFonts w:hint="eastAsia"/>
        </w:rPr>
        <w:t>236,600</w:t>
      </w:r>
      <w:r>
        <w:rPr>
          <w:rFonts w:hint="eastAsia"/>
        </w:rPr>
        <w:t>人</w:t>
      </w:r>
      <w:r>
        <w:rPr>
          <w:rFonts w:hint="eastAsia"/>
        </w:rPr>
        <w:t>(28.5%)</w:t>
      </w:r>
      <w:r>
        <w:rPr>
          <w:rFonts w:hint="eastAsia"/>
        </w:rPr>
        <w:t>。</w:t>
      </w:r>
    </w:p>
    <w:p w:rsidR="00000000" w:rsidRDefault="00000000">
      <w:pPr>
        <w:pStyle w:val="NormalIndent"/>
      </w:pPr>
      <w:r>
        <w:t xml:space="preserve">136.  </w:t>
      </w:r>
      <w:r>
        <w:rPr>
          <w:rFonts w:hint="eastAsia"/>
        </w:rPr>
        <w:t>按性别划分，女孩</w:t>
      </w:r>
      <w:r>
        <w:rPr>
          <w:rFonts w:hint="eastAsia"/>
        </w:rPr>
        <w:t>49%(406,900)</w:t>
      </w:r>
      <w:r>
        <w:rPr>
          <w:rFonts w:hint="eastAsia"/>
        </w:rPr>
        <w:t>，男孩</w:t>
      </w:r>
      <w:r>
        <w:t>51%(422,700</w:t>
      </w:r>
      <w:r>
        <w:rPr>
          <w:rFonts w:hint="eastAsia"/>
        </w:rPr>
        <w:t>)</w:t>
      </w:r>
      <w:r>
        <w:rPr>
          <w:rFonts w:hint="eastAsia"/>
        </w:rPr>
        <w:t>。</w:t>
      </w:r>
    </w:p>
    <w:p w:rsidR="00000000" w:rsidRDefault="00000000">
      <w:pPr>
        <w:pStyle w:val="NormalIndent"/>
        <w:spacing w:after="160"/>
      </w:pPr>
      <w:r>
        <w:t xml:space="preserve">137.  </w:t>
      </w:r>
      <w:r>
        <w:rPr>
          <w:rFonts w:hint="eastAsia"/>
        </w:rPr>
        <w:t>在</w:t>
      </w:r>
      <w:r>
        <w:rPr>
          <w:rFonts w:hint="eastAsia"/>
        </w:rPr>
        <w:t>15</w:t>
      </w:r>
      <w:r>
        <w:rPr>
          <w:rFonts w:hint="eastAsia"/>
        </w:rPr>
        <w:t>—</w:t>
      </w:r>
      <w:r>
        <w:rPr>
          <w:rFonts w:hint="eastAsia"/>
        </w:rPr>
        <w:t>17</w:t>
      </w:r>
      <w:r>
        <w:rPr>
          <w:rFonts w:hint="eastAsia"/>
        </w:rPr>
        <w:t>岁</w:t>
      </w:r>
      <w:r>
        <w:t>(</w:t>
      </w:r>
      <w:r>
        <w:rPr>
          <w:rFonts w:hint="eastAsia"/>
        </w:rPr>
        <w:t>15</w:t>
      </w:r>
      <w:r>
        <w:rPr>
          <w:rFonts w:hint="eastAsia"/>
        </w:rPr>
        <w:t>岁是儿童可以参加劳动的最低限度年龄</w:t>
      </w:r>
      <w:r>
        <w:rPr>
          <w:rFonts w:hint="eastAsia"/>
        </w:rPr>
        <w:t>)</w:t>
      </w:r>
      <w:r>
        <w:rPr>
          <w:rFonts w:hint="eastAsia"/>
        </w:rPr>
        <w:t>儿童中，</w:t>
      </w:r>
      <w:r>
        <w:t>7.66%</w:t>
      </w:r>
      <w:r>
        <w:rPr>
          <w:rFonts w:hint="eastAsia"/>
        </w:rPr>
        <w:t>从事经济活动，</w:t>
      </w:r>
      <w:r>
        <w:t>61.9%</w:t>
      </w:r>
      <w:r>
        <w:rPr>
          <w:rFonts w:hint="eastAsia"/>
        </w:rPr>
        <w:t>在家工作或参加家里的工商活动，</w:t>
      </w:r>
      <w:r>
        <w:t>14.1%</w:t>
      </w:r>
      <w:r>
        <w:rPr>
          <w:rFonts w:hint="eastAsia"/>
        </w:rPr>
        <w:t>不上学。按性别划分，这些数字分别如下：</w:t>
      </w:r>
    </w:p>
    <w:tbl>
      <w:tblPr>
        <w:tblW w:w="7320" w:type="dxa"/>
        <w:tblInd w:w="1188" w:type="dxa"/>
        <w:tblLook w:val="0000" w:firstRow="0" w:lastRow="0" w:firstColumn="0" w:lastColumn="0" w:noHBand="0" w:noVBand="0"/>
      </w:tblPr>
      <w:tblGrid>
        <w:gridCol w:w="1440"/>
        <w:gridCol w:w="1960"/>
        <w:gridCol w:w="1960"/>
        <w:gridCol w:w="1960"/>
      </w:tblGrid>
      <w:tr w:rsidR="00000000">
        <w:tblPrEx>
          <w:tblCellMar>
            <w:top w:w="0" w:type="dxa"/>
            <w:bottom w:w="0" w:type="dxa"/>
          </w:tblCellMar>
        </w:tblPrEx>
        <w:tc>
          <w:tcPr>
            <w:tcW w:w="1440" w:type="dxa"/>
          </w:tcPr>
          <w:p w:rsidR="00000000" w:rsidRDefault="00000000">
            <w:pPr>
              <w:pStyle w:val="NormalIndent"/>
              <w:ind w:firstLine="0"/>
            </w:pPr>
            <w:r>
              <w:rPr>
                <w:rFonts w:hint="eastAsia"/>
              </w:rPr>
              <w:t>男孩：</w:t>
            </w:r>
          </w:p>
        </w:tc>
        <w:tc>
          <w:tcPr>
            <w:tcW w:w="1960" w:type="dxa"/>
          </w:tcPr>
          <w:p w:rsidR="00000000" w:rsidRDefault="00000000">
            <w:pPr>
              <w:pStyle w:val="NormalIndent"/>
              <w:ind w:firstLine="0"/>
              <w:rPr>
                <w:rFonts w:hint="eastAsia"/>
              </w:rPr>
            </w:pPr>
            <w:r>
              <w:t>5.2%</w:t>
            </w:r>
          </w:p>
        </w:tc>
        <w:tc>
          <w:tcPr>
            <w:tcW w:w="1960" w:type="dxa"/>
          </w:tcPr>
          <w:p w:rsidR="00000000" w:rsidRDefault="00000000">
            <w:pPr>
              <w:pStyle w:val="NormalIndent"/>
              <w:ind w:firstLine="0"/>
            </w:pPr>
            <w:r>
              <w:t>41.1%</w:t>
            </w:r>
          </w:p>
        </w:tc>
        <w:tc>
          <w:tcPr>
            <w:tcW w:w="1960" w:type="dxa"/>
          </w:tcPr>
          <w:p w:rsidR="00000000" w:rsidRDefault="00000000">
            <w:pPr>
              <w:pStyle w:val="NormalIndent"/>
              <w:ind w:firstLine="0"/>
            </w:pPr>
            <w:r>
              <w:t>5.2%</w:t>
            </w:r>
          </w:p>
        </w:tc>
      </w:tr>
      <w:tr w:rsidR="00000000">
        <w:tblPrEx>
          <w:tblCellMar>
            <w:top w:w="0" w:type="dxa"/>
            <w:bottom w:w="0" w:type="dxa"/>
          </w:tblCellMar>
        </w:tblPrEx>
        <w:tc>
          <w:tcPr>
            <w:tcW w:w="1440" w:type="dxa"/>
          </w:tcPr>
          <w:p w:rsidR="00000000" w:rsidRDefault="00000000">
            <w:pPr>
              <w:pStyle w:val="NormalIndent"/>
              <w:ind w:firstLine="0"/>
            </w:pPr>
            <w:r>
              <w:rPr>
                <w:rFonts w:hint="eastAsia"/>
              </w:rPr>
              <w:t>女孩：</w:t>
            </w:r>
          </w:p>
        </w:tc>
        <w:tc>
          <w:tcPr>
            <w:tcW w:w="1960" w:type="dxa"/>
          </w:tcPr>
          <w:p w:rsidR="00000000" w:rsidRDefault="00000000">
            <w:pPr>
              <w:pStyle w:val="NormalIndent"/>
              <w:ind w:firstLine="0"/>
            </w:pPr>
            <w:r>
              <w:t>3.8%</w:t>
            </w:r>
          </w:p>
        </w:tc>
        <w:tc>
          <w:tcPr>
            <w:tcW w:w="1960" w:type="dxa"/>
          </w:tcPr>
          <w:p w:rsidR="00000000" w:rsidRDefault="00000000">
            <w:pPr>
              <w:pStyle w:val="NormalIndent"/>
              <w:ind w:firstLine="0"/>
            </w:pPr>
            <w:r>
              <w:t>61.1%</w:t>
            </w:r>
          </w:p>
        </w:tc>
        <w:tc>
          <w:tcPr>
            <w:tcW w:w="1960" w:type="dxa"/>
          </w:tcPr>
          <w:p w:rsidR="00000000" w:rsidRDefault="00000000">
            <w:pPr>
              <w:pStyle w:val="NormalIndent"/>
              <w:ind w:firstLine="0"/>
            </w:pPr>
            <w:r>
              <w:t>3.8%</w:t>
            </w:r>
          </w:p>
        </w:tc>
      </w:tr>
    </w:tbl>
    <w:p w:rsidR="00000000" w:rsidRDefault="00000000">
      <w:pPr>
        <w:pStyle w:val="NormalIndent"/>
        <w:spacing w:before="320"/>
      </w:pPr>
      <w:r>
        <w:t xml:space="preserve">138.  </w:t>
      </w:r>
      <w:r>
        <w:rPr>
          <w:rFonts w:hint="eastAsia"/>
        </w:rPr>
        <w:t>按照经济部门划分，雇用儿童的数目如下：农业</w:t>
      </w:r>
      <w:r>
        <w:rPr>
          <w:rFonts w:hint="eastAsia"/>
        </w:rPr>
        <w:t>70.3%</w:t>
      </w:r>
      <w:r>
        <w:rPr>
          <w:rFonts w:hint="eastAsia"/>
        </w:rPr>
        <w:t>；加工业</w:t>
      </w:r>
      <w:r>
        <w:rPr>
          <w:rFonts w:hint="eastAsia"/>
        </w:rPr>
        <w:t>3.6%</w:t>
      </w:r>
      <w:r>
        <w:rPr>
          <w:rFonts w:hint="eastAsia"/>
        </w:rPr>
        <w:t>；建筑业</w:t>
      </w:r>
      <w:r>
        <w:rPr>
          <w:rFonts w:hint="eastAsia"/>
        </w:rPr>
        <w:t>1.4%</w:t>
      </w:r>
      <w:r>
        <w:rPr>
          <w:rFonts w:hint="eastAsia"/>
        </w:rPr>
        <w:t>；技术服务部门</w:t>
      </w:r>
      <w:r>
        <w:t>15.2%</w:t>
      </w:r>
      <w:r>
        <w:rPr>
          <w:rFonts w:hint="eastAsia"/>
        </w:rPr>
        <w:t>、运输和交通部门</w:t>
      </w:r>
      <w:r>
        <w:rPr>
          <w:rFonts w:hint="eastAsia"/>
        </w:rPr>
        <w:t>1.2%</w:t>
      </w:r>
      <w:r>
        <w:rPr>
          <w:rFonts w:hint="eastAsia"/>
        </w:rPr>
        <w:t>；教育部门</w:t>
      </w:r>
      <w:r>
        <w:t>0.5%</w:t>
      </w:r>
      <w:r>
        <w:rPr>
          <w:rFonts w:hint="eastAsia"/>
        </w:rPr>
        <w:t>；其他领域</w:t>
      </w:r>
      <w:r>
        <w:rPr>
          <w:rFonts w:hint="eastAsia"/>
        </w:rPr>
        <w:t>7.8%</w:t>
      </w:r>
      <w:r>
        <w:rPr>
          <w:rFonts w:hint="eastAsia"/>
        </w:rPr>
        <w:t>。</w:t>
      </w:r>
    </w:p>
    <w:p w:rsidR="00000000" w:rsidRDefault="00000000">
      <w:pPr>
        <w:pStyle w:val="NormalIndent"/>
      </w:pPr>
      <w:r>
        <w:t xml:space="preserve">139.  </w:t>
      </w:r>
      <w:r>
        <w:rPr>
          <w:rFonts w:hint="eastAsia"/>
        </w:rPr>
        <w:t>雇用儿童每个工作日的平均时数为</w:t>
      </w:r>
      <w:r>
        <w:rPr>
          <w:rFonts w:hint="eastAsia"/>
        </w:rPr>
        <w:t>5.8</w:t>
      </w:r>
      <w:r>
        <w:rPr>
          <w:rFonts w:hint="eastAsia"/>
        </w:rPr>
        <w:t>小时。</w:t>
      </w:r>
    </w:p>
    <w:p w:rsidR="00000000" w:rsidRDefault="00000000">
      <w:pPr>
        <w:pStyle w:val="NormalIndent"/>
        <w:widowControl/>
      </w:pPr>
      <w:r>
        <w:t xml:space="preserve">140.  </w:t>
      </w:r>
      <w:r>
        <w:rPr>
          <w:rFonts w:hint="eastAsia"/>
        </w:rPr>
        <w:t>格鲁吉亚没有任何儿童和青少年群体被排除在保护和援助措施之外。关于为特定儿童群体采取的特殊保护措施这个议题的相当全面的资料，可参看本国根据《儿童权利公约》提交的初步报告，以及</w:t>
      </w:r>
      <w:r>
        <w:rPr>
          <w:rFonts w:hint="eastAsia"/>
        </w:rPr>
        <w:t>2000</w:t>
      </w:r>
      <w:r>
        <w:rPr>
          <w:rFonts w:hint="eastAsia"/>
        </w:rPr>
        <w:t>年</w:t>
      </w:r>
      <w:r>
        <w:rPr>
          <w:rFonts w:hint="eastAsia"/>
        </w:rPr>
        <w:t>4</w:t>
      </w:r>
      <w:r>
        <w:rPr>
          <w:rFonts w:hint="eastAsia"/>
        </w:rPr>
        <w:t>月针对儿童权利委员会准备的一系列问题所作的书面答复。</w:t>
      </w:r>
    </w:p>
    <w:p w:rsidR="00000000" w:rsidRDefault="00000000">
      <w:pPr>
        <w:pStyle w:val="NormalIndent"/>
      </w:pPr>
      <w:r>
        <w:t xml:space="preserve">141.  </w:t>
      </w:r>
      <w:r>
        <w:rPr>
          <w:rFonts w:hint="eastAsia"/>
        </w:rPr>
        <w:t>除以上所述之外，还提醒注意格鲁吉亚根据《公民权利和政治权利国际公约》提交的第二次定期报告第</w:t>
      </w:r>
      <w:r>
        <w:t>525</w:t>
      </w:r>
      <w:r>
        <w:rPr>
          <w:rFonts w:hint="eastAsia"/>
        </w:rPr>
        <w:t>—</w:t>
      </w:r>
      <w:r>
        <w:rPr>
          <w:rFonts w:hint="eastAsia"/>
        </w:rPr>
        <w:t>530</w:t>
      </w:r>
      <w:r>
        <w:rPr>
          <w:rFonts w:hint="eastAsia"/>
        </w:rPr>
        <w:t>段。</w:t>
      </w:r>
    </w:p>
    <w:p w:rsidR="00000000" w:rsidRDefault="00000000">
      <w:pPr>
        <w:pStyle w:val="Heading2"/>
        <w:spacing w:before="320"/>
        <w:rPr>
          <w:rFonts w:hint="eastAsia"/>
        </w:rPr>
      </w:pPr>
      <w:r>
        <w:rPr>
          <w:rFonts w:hint="eastAsia"/>
        </w:rPr>
        <w:t>第十一条</w:t>
      </w:r>
    </w:p>
    <w:p w:rsidR="00000000" w:rsidRDefault="00000000">
      <w:pPr>
        <w:pStyle w:val="Heading4"/>
        <w:rPr>
          <w:rFonts w:hint="eastAsia"/>
        </w:rPr>
      </w:pPr>
      <w:r>
        <w:rPr>
          <w:rFonts w:hint="eastAsia"/>
        </w:rPr>
        <w:t>生活水准</w:t>
      </w:r>
    </w:p>
    <w:p w:rsidR="00000000" w:rsidRDefault="00000000">
      <w:pPr>
        <w:spacing w:after="320"/>
        <w:rPr>
          <w:rFonts w:hint="eastAsia"/>
        </w:rPr>
      </w:pPr>
      <w:r>
        <w:rPr>
          <w:rFonts w:hint="eastAsia"/>
        </w:rPr>
        <w:tab/>
        <w:t>142.  2000</w:t>
      </w:r>
      <w:r>
        <w:rPr>
          <w:rFonts w:hint="eastAsia"/>
        </w:rPr>
        <w:t>年</w:t>
      </w:r>
      <w:r>
        <w:rPr>
          <w:rFonts w:hint="eastAsia"/>
        </w:rPr>
        <w:t>12</w:t>
      </w:r>
      <w:r>
        <w:rPr>
          <w:rFonts w:hint="eastAsia"/>
        </w:rPr>
        <w:t>月，按照当时标准的平均价格计算，格鲁吉亚各城镇的最低生活费用如下：就业年龄的男子为</w:t>
      </w:r>
      <w:r>
        <w:rPr>
          <w:rFonts w:hint="eastAsia"/>
        </w:rPr>
        <w:t>104.5</w:t>
      </w:r>
      <w:r>
        <w:rPr>
          <w:rFonts w:hint="eastAsia"/>
        </w:rPr>
        <w:t>拉里，一般消费者为</w:t>
      </w:r>
      <w:r>
        <w:rPr>
          <w:rFonts w:hint="eastAsia"/>
        </w:rPr>
        <w:t>100.4</w:t>
      </w:r>
      <w:r>
        <w:rPr>
          <w:rFonts w:hint="eastAsia"/>
        </w:rPr>
        <w:t>拉里，一般家庭为</w:t>
      </w:r>
      <w:r>
        <w:rPr>
          <w:rFonts w:hint="eastAsia"/>
        </w:rPr>
        <w:t>199.2</w:t>
      </w:r>
      <w:r>
        <w:rPr>
          <w:rFonts w:hint="eastAsia"/>
        </w:rPr>
        <w:t>拉里。根据这种计算，不同类型的家庭的最低生活费用波动如下：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8"/>
        <w:gridCol w:w="1306"/>
        <w:gridCol w:w="1367"/>
        <w:gridCol w:w="1367"/>
        <w:gridCol w:w="1367"/>
        <w:gridCol w:w="1368"/>
        <w:gridCol w:w="1368"/>
      </w:tblGrid>
      <w:tr w:rsidR="00000000">
        <w:tblPrEx>
          <w:tblCellMar>
            <w:top w:w="0" w:type="dxa"/>
            <w:bottom w:w="0" w:type="dxa"/>
          </w:tblCellMar>
        </w:tblPrEx>
        <w:tc>
          <w:tcPr>
            <w:tcW w:w="1428" w:type="dxa"/>
          </w:tcPr>
          <w:p w:rsidR="00000000" w:rsidRDefault="00000000">
            <w:pPr>
              <w:tabs>
                <w:tab w:val="left" w:pos="442"/>
              </w:tabs>
              <w:spacing w:before="60" w:line="320" w:lineRule="exact"/>
              <w:jc w:val="center"/>
              <w:rPr>
                <w:rFonts w:hint="eastAsia"/>
                <w:spacing w:val="0"/>
                <w:sz w:val="21"/>
                <w:u w:val="single"/>
              </w:rPr>
            </w:pPr>
            <w:r>
              <w:rPr>
                <w:rFonts w:hint="eastAsia"/>
                <w:spacing w:val="0"/>
                <w:sz w:val="21"/>
                <w:u w:val="single"/>
              </w:rPr>
              <w:t>家</w:t>
            </w:r>
            <w:r>
              <w:rPr>
                <w:rFonts w:hint="eastAsia"/>
                <w:spacing w:val="0"/>
                <w:sz w:val="21"/>
                <w:u w:val="single"/>
              </w:rPr>
              <w:t xml:space="preserve">  </w:t>
            </w:r>
            <w:r>
              <w:rPr>
                <w:rFonts w:hint="eastAsia"/>
                <w:spacing w:val="0"/>
                <w:sz w:val="21"/>
                <w:u w:val="single"/>
              </w:rPr>
              <w:t>庭</w:t>
            </w:r>
          </w:p>
        </w:tc>
        <w:tc>
          <w:tcPr>
            <w:tcW w:w="1306" w:type="dxa"/>
          </w:tcPr>
          <w:p w:rsidR="00000000" w:rsidRDefault="00000000">
            <w:pPr>
              <w:tabs>
                <w:tab w:val="left" w:pos="442"/>
              </w:tabs>
              <w:spacing w:before="60" w:line="320" w:lineRule="exact"/>
              <w:jc w:val="center"/>
              <w:rPr>
                <w:rFonts w:hint="eastAsia"/>
                <w:spacing w:val="0"/>
                <w:sz w:val="21"/>
                <w:u w:val="single"/>
              </w:rPr>
            </w:pPr>
            <w:r>
              <w:rPr>
                <w:rFonts w:hint="eastAsia"/>
                <w:spacing w:val="0"/>
                <w:sz w:val="21"/>
                <w:u w:val="single"/>
              </w:rPr>
              <w:t>一口人</w:t>
            </w:r>
          </w:p>
        </w:tc>
        <w:tc>
          <w:tcPr>
            <w:tcW w:w="1367" w:type="dxa"/>
          </w:tcPr>
          <w:p w:rsidR="00000000" w:rsidRDefault="00000000">
            <w:pPr>
              <w:tabs>
                <w:tab w:val="left" w:pos="442"/>
              </w:tabs>
              <w:spacing w:before="60" w:line="320" w:lineRule="exact"/>
              <w:jc w:val="center"/>
              <w:rPr>
                <w:rFonts w:hint="eastAsia"/>
                <w:spacing w:val="0"/>
                <w:sz w:val="21"/>
                <w:u w:val="single"/>
              </w:rPr>
            </w:pPr>
            <w:r>
              <w:rPr>
                <w:rFonts w:hint="eastAsia"/>
                <w:spacing w:val="0"/>
                <w:sz w:val="21"/>
                <w:u w:val="single"/>
              </w:rPr>
              <w:t>两口人</w:t>
            </w:r>
          </w:p>
        </w:tc>
        <w:tc>
          <w:tcPr>
            <w:tcW w:w="1367" w:type="dxa"/>
          </w:tcPr>
          <w:p w:rsidR="00000000" w:rsidRDefault="00000000">
            <w:pPr>
              <w:tabs>
                <w:tab w:val="left" w:pos="442"/>
              </w:tabs>
              <w:spacing w:before="60" w:line="320" w:lineRule="exact"/>
              <w:jc w:val="center"/>
              <w:rPr>
                <w:rFonts w:hint="eastAsia"/>
                <w:spacing w:val="0"/>
                <w:sz w:val="21"/>
                <w:u w:val="single"/>
              </w:rPr>
            </w:pPr>
            <w:r>
              <w:rPr>
                <w:rFonts w:hint="eastAsia"/>
                <w:spacing w:val="0"/>
                <w:sz w:val="21"/>
                <w:u w:val="single"/>
              </w:rPr>
              <w:t>三口人</w:t>
            </w:r>
          </w:p>
        </w:tc>
        <w:tc>
          <w:tcPr>
            <w:tcW w:w="1367" w:type="dxa"/>
          </w:tcPr>
          <w:p w:rsidR="00000000" w:rsidRDefault="00000000">
            <w:pPr>
              <w:tabs>
                <w:tab w:val="left" w:pos="442"/>
              </w:tabs>
              <w:spacing w:before="60" w:line="320" w:lineRule="exact"/>
              <w:jc w:val="center"/>
              <w:rPr>
                <w:rFonts w:hint="eastAsia"/>
                <w:spacing w:val="0"/>
                <w:sz w:val="21"/>
                <w:u w:val="single"/>
              </w:rPr>
            </w:pPr>
            <w:r>
              <w:rPr>
                <w:rFonts w:hint="eastAsia"/>
                <w:spacing w:val="0"/>
                <w:sz w:val="21"/>
                <w:u w:val="single"/>
              </w:rPr>
              <w:t>四口人</w:t>
            </w:r>
          </w:p>
        </w:tc>
        <w:tc>
          <w:tcPr>
            <w:tcW w:w="1368" w:type="dxa"/>
          </w:tcPr>
          <w:p w:rsidR="00000000" w:rsidRDefault="00000000">
            <w:pPr>
              <w:tabs>
                <w:tab w:val="left" w:pos="442"/>
              </w:tabs>
              <w:spacing w:before="60" w:line="320" w:lineRule="exact"/>
              <w:jc w:val="center"/>
              <w:rPr>
                <w:rFonts w:hint="eastAsia"/>
                <w:spacing w:val="0"/>
                <w:sz w:val="21"/>
                <w:u w:val="single"/>
              </w:rPr>
            </w:pPr>
            <w:r>
              <w:rPr>
                <w:rFonts w:hint="eastAsia"/>
                <w:spacing w:val="0"/>
                <w:sz w:val="21"/>
                <w:u w:val="single"/>
              </w:rPr>
              <w:t>五口人</w:t>
            </w:r>
          </w:p>
        </w:tc>
        <w:tc>
          <w:tcPr>
            <w:tcW w:w="1368" w:type="dxa"/>
          </w:tcPr>
          <w:p w:rsidR="00000000" w:rsidRDefault="00000000">
            <w:pPr>
              <w:tabs>
                <w:tab w:val="left" w:pos="442"/>
              </w:tabs>
              <w:spacing w:before="60" w:line="320" w:lineRule="exact"/>
              <w:jc w:val="center"/>
              <w:rPr>
                <w:rFonts w:hint="eastAsia"/>
                <w:spacing w:val="0"/>
                <w:sz w:val="21"/>
                <w:u w:val="single"/>
              </w:rPr>
            </w:pPr>
            <w:r>
              <w:rPr>
                <w:rFonts w:hint="eastAsia"/>
                <w:spacing w:val="0"/>
                <w:sz w:val="21"/>
                <w:u w:val="single"/>
              </w:rPr>
              <w:t>六口和六口以上</w:t>
            </w:r>
          </w:p>
        </w:tc>
      </w:tr>
      <w:tr w:rsidR="00000000">
        <w:tblPrEx>
          <w:tblCellMar>
            <w:top w:w="0" w:type="dxa"/>
            <w:bottom w:w="0" w:type="dxa"/>
          </w:tblCellMar>
        </w:tblPrEx>
        <w:tc>
          <w:tcPr>
            <w:tcW w:w="1428" w:type="dxa"/>
            <w:tcBorders>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1999</w:t>
            </w:r>
            <w:r>
              <w:rPr>
                <w:rFonts w:hint="eastAsia"/>
                <w:spacing w:val="0"/>
                <w:sz w:val="21"/>
              </w:rPr>
              <w:t>年</w:t>
            </w:r>
            <w:r>
              <w:rPr>
                <w:rFonts w:hint="eastAsia"/>
                <w:spacing w:val="0"/>
                <w:sz w:val="21"/>
              </w:rPr>
              <w:t>12</w:t>
            </w:r>
            <w:r>
              <w:rPr>
                <w:rFonts w:hint="eastAsia"/>
                <w:spacing w:val="0"/>
                <w:sz w:val="21"/>
              </w:rPr>
              <w:t>月</w:t>
            </w:r>
          </w:p>
        </w:tc>
        <w:tc>
          <w:tcPr>
            <w:tcW w:w="1306" w:type="dxa"/>
            <w:tcBorders>
              <w:bottom w:val="nil"/>
            </w:tcBorders>
          </w:tcPr>
          <w:p w:rsidR="00000000" w:rsidRDefault="00000000">
            <w:pPr>
              <w:spacing w:before="60" w:line="320" w:lineRule="exact"/>
              <w:ind w:right="238"/>
              <w:jc w:val="right"/>
              <w:rPr>
                <w:spacing w:val="0"/>
                <w:sz w:val="21"/>
              </w:rPr>
            </w:pPr>
            <w:r>
              <w:rPr>
                <w:spacing w:val="0"/>
                <w:sz w:val="21"/>
              </w:rPr>
              <w:t>96.7</w:t>
            </w:r>
          </w:p>
        </w:tc>
        <w:tc>
          <w:tcPr>
            <w:tcW w:w="1367" w:type="dxa"/>
            <w:tcBorders>
              <w:bottom w:val="nil"/>
            </w:tcBorders>
          </w:tcPr>
          <w:p w:rsidR="00000000" w:rsidRDefault="00000000">
            <w:pPr>
              <w:spacing w:before="60" w:line="320" w:lineRule="exact"/>
              <w:ind w:right="238"/>
              <w:jc w:val="right"/>
              <w:rPr>
                <w:spacing w:val="0"/>
                <w:sz w:val="21"/>
              </w:rPr>
            </w:pPr>
            <w:r>
              <w:rPr>
                <w:spacing w:val="0"/>
                <w:sz w:val="21"/>
              </w:rPr>
              <w:t>154.8</w:t>
            </w:r>
          </w:p>
        </w:tc>
        <w:tc>
          <w:tcPr>
            <w:tcW w:w="1367" w:type="dxa"/>
            <w:tcBorders>
              <w:bottom w:val="nil"/>
            </w:tcBorders>
          </w:tcPr>
          <w:p w:rsidR="00000000" w:rsidRDefault="00000000">
            <w:pPr>
              <w:spacing w:before="60" w:line="320" w:lineRule="exact"/>
              <w:ind w:right="238"/>
              <w:jc w:val="right"/>
              <w:rPr>
                <w:spacing w:val="0"/>
                <w:sz w:val="21"/>
              </w:rPr>
            </w:pPr>
            <w:r>
              <w:rPr>
                <w:spacing w:val="0"/>
                <w:sz w:val="21"/>
              </w:rPr>
              <w:t>174.1</w:t>
            </w:r>
          </w:p>
        </w:tc>
        <w:tc>
          <w:tcPr>
            <w:tcW w:w="1367" w:type="dxa"/>
            <w:tcBorders>
              <w:bottom w:val="nil"/>
            </w:tcBorders>
          </w:tcPr>
          <w:p w:rsidR="00000000" w:rsidRDefault="00000000">
            <w:pPr>
              <w:spacing w:before="60" w:line="320" w:lineRule="exact"/>
              <w:ind w:right="238"/>
              <w:jc w:val="right"/>
              <w:rPr>
                <w:spacing w:val="0"/>
                <w:sz w:val="21"/>
              </w:rPr>
            </w:pPr>
            <w:r>
              <w:rPr>
                <w:spacing w:val="0"/>
                <w:sz w:val="21"/>
              </w:rPr>
              <w:t>193.5</w:t>
            </w:r>
          </w:p>
        </w:tc>
        <w:tc>
          <w:tcPr>
            <w:tcW w:w="1368" w:type="dxa"/>
            <w:tcBorders>
              <w:bottom w:val="nil"/>
            </w:tcBorders>
          </w:tcPr>
          <w:p w:rsidR="00000000" w:rsidRDefault="00000000">
            <w:pPr>
              <w:spacing w:before="60" w:line="320" w:lineRule="exact"/>
              <w:ind w:right="238"/>
              <w:jc w:val="right"/>
              <w:rPr>
                <w:spacing w:val="0"/>
                <w:sz w:val="21"/>
              </w:rPr>
            </w:pPr>
            <w:r>
              <w:rPr>
                <w:spacing w:val="0"/>
                <w:sz w:val="21"/>
              </w:rPr>
              <w:t>217.6</w:t>
            </w:r>
          </w:p>
        </w:tc>
        <w:tc>
          <w:tcPr>
            <w:tcW w:w="1368" w:type="dxa"/>
            <w:tcBorders>
              <w:bottom w:val="nil"/>
            </w:tcBorders>
          </w:tcPr>
          <w:p w:rsidR="00000000" w:rsidRDefault="00000000">
            <w:pPr>
              <w:spacing w:before="60" w:line="320" w:lineRule="exact"/>
              <w:ind w:right="238"/>
              <w:jc w:val="right"/>
              <w:rPr>
                <w:spacing w:val="0"/>
                <w:sz w:val="21"/>
              </w:rPr>
            </w:pPr>
            <w:r>
              <w:rPr>
                <w:spacing w:val="0"/>
                <w:sz w:val="21"/>
              </w:rPr>
              <w:t>301.8</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2000</w:t>
            </w:r>
            <w:r>
              <w:rPr>
                <w:rFonts w:hint="eastAsia"/>
                <w:spacing w:val="0"/>
                <w:sz w:val="21"/>
              </w:rPr>
              <w:t>年</w:t>
            </w:r>
          </w:p>
        </w:tc>
        <w:tc>
          <w:tcPr>
            <w:tcW w:w="1306" w:type="dxa"/>
            <w:tcBorders>
              <w:top w:val="nil"/>
              <w:bottom w:val="nil"/>
            </w:tcBorders>
          </w:tcPr>
          <w:p w:rsidR="00000000" w:rsidRDefault="00000000">
            <w:pPr>
              <w:spacing w:before="60" w:line="320" w:lineRule="exact"/>
              <w:ind w:right="238"/>
              <w:jc w:val="right"/>
              <w:rPr>
                <w:spacing w:val="0"/>
                <w:sz w:val="21"/>
              </w:rPr>
            </w:pPr>
          </w:p>
        </w:tc>
        <w:tc>
          <w:tcPr>
            <w:tcW w:w="1367" w:type="dxa"/>
            <w:tcBorders>
              <w:top w:val="nil"/>
              <w:bottom w:val="nil"/>
            </w:tcBorders>
          </w:tcPr>
          <w:p w:rsidR="00000000" w:rsidRDefault="00000000">
            <w:pPr>
              <w:spacing w:before="60" w:line="320" w:lineRule="exact"/>
              <w:ind w:right="238"/>
              <w:jc w:val="right"/>
              <w:rPr>
                <w:spacing w:val="0"/>
                <w:sz w:val="21"/>
              </w:rPr>
            </w:pPr>
          </w:p>
        </w:tc>
        <w:tc>
          <w:tcPr>
            <w:tcW w:w="1367" w:type="dxa"/>
            <w:tcBorders>
              <w:top w:val="nil"/>
              <w:bottom w:val="nil"/>
            </w:tcBorders>
          </w:tcPr>
          <w:p w:rsidR="00000000" w:rsidRDefault="00000000">
            <w:pPr>
              <w:spacing w:before="60" w:line="320" w:lineRule="exact"/>
              <w:ind w:right="238"/>
              <w:jc w:val="right"/>
              <w:rPr>
                <w:spacing w:val="0"/>
                <w:sz w:val="21"/>
              </w:rPr>
            </w:pPr>
          </w:p>
        </w:tc>
        <w:tc>
          <w:tcPr>
            <w:tcW w:w="1367" w:type="dxa"/>
            <w:tcBorders>
              <w:top w:val="nil"/>
              <w:bottom w:val="nil"/>
            </w:tcBorders>
          </w:tcPr>
          <w:p w:rsidR="00000000" w:rsidRDefault="00000000">
            <w:pPr>
              <w:spacing w:before="60" w:line="320" w:lineRule="exact"/>
              <w:ind w:right="238"/>
              <w:jc w:val="right"/>
              <w:rPr>
                <w:spacing w:val="0"/>
                <w:sz w:val="21"/>
              </w:rPr>
            </w:pPr>
          </w:p>
        </w:tc>
        <w:tc>
          <w:tcPr>
            <w:tcW w:w="1368" w:type="dxa"/>
            <w:tcBorders>
              <w:top w:val="nil"/>
              <w:bottom w:val="nil"/>
            </w:tcBorders>
          </w:tcPr>
          <w:p w:rsidR="00000000" w:rsidRDefault="00000000">
            <w:pPr>
              <w:spacing w:before="60" w:line="320" w:lineRule="exact"/>
              <w:ind w:right="238"/>
              <w:jc w:val="right"/>
              <w:rPr>
                <w:spacing w:val="0"/>
                <w:sz w:val="21"/>
              </w:rPr>
            </w:pPr>
          </w:p>
        </w:tc>
        <w:tc>
          <w:tcPr>
            <w:tcW w:w="1368" w:type="dxa"/>
            <w:tcBorders>
              <w:top w:val="nil"/>
              <w:bottom w:val="nil"/>
            </w:tcBorders>
          </w:tcPr>
          <w:p w:rsidR="00000000" w:rsidRDefault="00000000">
            <w:pPr>
              <w:spacing w:before="60" w:line="320" w:lineRule="exact"/>
              <w:ind w:right="238"/>
              <w:jc w:val="right"/>
              <w:rPr>
                <w:spacing w:val="0"/>
                <w:sz w:val="21"/>
              </w:rPr>
            </w:pP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1</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103.4</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165.5</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186.2</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206.9</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232.7</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322.7</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2</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104.0</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166.3</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186.1</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207.9</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233.9</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324.4</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3</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102.2</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163.5</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183.9</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204.4</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229.9</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318.8</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4</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103.3</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165.3</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186.0</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206.6</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232.5</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322.4</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5</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100.5</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160.8</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180.9</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201.1</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226.2</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313.6</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6</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99.0</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158.3</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178.1</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197.9</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222.7</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308.8</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7</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96.1</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153.8</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175.0</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192.2</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216.2</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299.8</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8</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98.5</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157.5</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177.2</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196.9</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221.5</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307.2</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9</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99.3</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158.9</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178.8</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198.7</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223.5</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309.9</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10</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100.4</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160.7</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180.8</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200.9</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226.0</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313.3</w:t>
            </w:r>
          </w:p>
        </w:tc>
      </w:tr>
      <w:tr w:rsidR="00000000">
        <w:tblPrEx>
          <w:tblCellMar>
            <w:top w:w="0" w:type="dxa"/>
            <w:bottom w:w="0" w:type="dxa"/>
          </w:tblCellMar>
        </w:tblPrEx>
        <w:tc>
          <w:tcPr>
            <w:tcW w:w="1428" w:type="dxa"/>
            <w:tcBorders>
              <w:top w:val="nil"/>
              <w:bottom w:val="nil"/>
            </w:tcBorders>
          </w:tcPr>
          <w:p w:rsidR="00000000" w:rsidRDefault="00000000">
            <w:pPr>
              <w:tabs>
                <w:tab w:val="left" w:pos="442"/>
              </w:tabs>
              <w:spacing w:before="60" w:line="320" w:lineRule="exact"/>
              <w:rPr>
                <w:rFonts w:hint="eastAsia"/>
                <w:spacing w:val="0"/>
                <w:sz w:val="21"/>
              </w:rPr>
            </w:pPr>
            <w:r>
              <w:rPr>
                <w:rFonts w:hint="eastAsia"/>
                <w:spacing w:val="0"/>
                <w:sz w:val="21"/>
              </w:rPr>
              <w:t>11</w:t>
            </w:r>
            <w:r>
              <w:rPr>
                <w:rFonts w:hint="eastAsia"/>
                <w:spacing w:val="0"/>
                <w:sz w:val="21"/>
              </w:rPr>
              <w:t>月</w:t>
            </w:r>
          </w:p>
        </w:tc>
        <w:tc>
          <w:tcPr>
            <w:tcW w:w="1306" w:type="dxa"/>
            <w:tcBorders>
              <w:top w:val="nil"/>
              <w:bottom w:val="nil"/>
            </w:tcBorders>
          </w:tcPr>
          <w:p w:rsidR="00000000" w:rsidRDefault="00000000">
            <w:pPr>
              <w:spacing w:before="60" w:line="320" w:lineRule="exact"/>
              <w:ind w:right="238"/>
              <w:jc w:val="right"/>
              <w:rPr>
                <w:spacing w:val="0"/>
                <w:sz w:val="21"/>
              </w:rPr>
            </w:pPr>
            <w:r>
              <w:rPr>
                <w:spacing w:val="0"/>
                <w:sz w:val="21"/>
              </w:rPr>
              <w:t>101.7</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162.7</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183.1</w:t>
            </w:r>
          </w:p>
        </w:tc>
        <w:tc>
          <w:tcPr>
            <w:tcW w:w="1367" w:type="dxa"/>
            <w:tcBorders>
              <w:top w:val="nil"/>
              <w:bottom w:val="nil"/>
            </w:tcBorders>
          </w:tcPr>
          <w:p w:rsidR="00000000" w:rsidRDefault="00000000">
            <w:pPr>
              <w:spacing w:before="60" w:line="320" w:lineRule="exact"/>
              <w:ind w:right="238"/>
              <w:jc w:val="right"/>
              <w:rPr>
                <w:spacing w:val="0"/>
                <w:sz w:val="21"/>
              </w:rPr>
            </w:pPr>
            <w:r>
              <w:rPr>
                <w:spacing w:val="0"/>
                <w:sz w:val="21"/>
              </w:rPr>
              <w:t>203.4</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228.8</w:t>
            </w:r>
          </w:p>
        </w:tc>
        <w:tc>
          <w:tcPr>
            <w:tcW w:w="1368" w:type="dxa"/>
            <w:tcBorders>
              <w:top w:val="nil"/>
              <w:bottom w:val="nil"/>
            </w:tcBorders>
          </w:tcPr>
          <w:p w:rsidR="00000000" w:rsidRDefault="00000000">
            <w:pPr>
              <w:spacing w:before="60" w:line="320" w:lineRule="exact"/>
              <w:ind w:right="238"/>
              <w:jc w:val="right"/>
              <w:rPr>
                <w:spacing w:val="0"/>
                <w:sz w:val="21"/>
              </w:rPr>
            </w:pPr>
            <w:r>
              <w:rPr>
                <w:spacing w:val="0"/>
                <w:sz w:val="21"/>
              </w:rPr>
              <w:t>317.3</w:t>
            </w:r>
          </w:p>
        </w:tc>
      </w:tr>
      <w:tr w:rsidR="00000000">
        <w:tblPrEx>
          <w:tblCellMar>
            <w:top w:w="0" w:type="dxa"/>
            <w:bottom w:w="0" w:type="dxa"/>
          </w:tblCellMar>
        </w:tblPrEx>
        <w:tc>
          <w:tcPr>
            <w:tcW w:w="1428" w:type="dxa"/>
            <w:tcBorders>
              <w:top w:val="nil"/>
              <w:bottom w:val="single" w:sz="4" w:space="0" w:color="auto"/>
            </w:tcBorders>
          </w:tcPr>
          <w:p w:rsidR="00000000" w:rsidRDefault="00000000">
            <w:pPr>
              <w:tabs>
                <w:tab w:val="left" w:pos="442"/>
              </w:tabs>
              <w:spacing w:before="60" w:line="320" w:lineRule="exact"/>
              <w:rPr>
                <w:rFonts w:hint="eastAsia"/>
                <w:spacing w:val="0"/>
                <w:sz w:val="21"/>
              </w:rPr>
            </w:pPr>
            <w:r>
              <w:rPr>
                <w:rFonts w:hint="eastAsia"/>
                <w:spacing w:val="0"/>
                <w:sz w:val="21"/>
              </w:rPr>
              <w:t>12</w:t>
            </w:r>
            <w:r>
              <w:rPr>
                <w:rFonts w:hint="eastAsia"/>
                <w:spacing w:val="0"/>
                <w:sz w:val="21"/>
              </w:rPr>
              <w:t>月</w:t>
            </w:r>
          </w:p>
        </w:tc>
        <w:tc>
          <w:tcPr>
            <w:tcW w:w="1306" w:type="dxa"/>
            <w:tcBorders>
              <w:top w:val="nil"/>
              <w:bottom w:val="single" w:sz="4" w:space="0" w:color="auto"/>
            </w:tcBorders>
          </w:tcPr>
          <w:p w:rsidR="00000000" w:rsidRDefault="00000000">
            <w:pPr>
              <w:spacing w:before="60" w:line="320" w:lineRule="exact"/>
              <w:ind w:right="238"/>
              <w:jc w:val="right"/>
              <w:rPr>
                <w:spacing w:val="0"/>
                <w:sz w:val="21"/>
              </w:rPr>
            </w:pPr>
            <w:r>
              <w:rPr>
                <w:spacing w:val="0"/>
                <w:sz w:val="21"/>
              </w:rPr>
              <w:t>100.4</w:t>
            </w:r>
          </w:p>
        </w:tc>
        <w:tc>
          <w:tcPr>
            <w:tcW w:w="1367" w:type="dxa"/>
            <w:tcBorders>
              <w:top w:val="nil"/>
              <w:bottom w:val="single" w:sz="4" w:space="0" w:color="auto"/>
            </w:tcBorders>
          </w:tcPr>
          <w:p w:rsidR="00000000" w:rsidRDefault="00000000">
            <w:pPr>
              <w:spacing w:before="60" w:line="320" w:lineRule="exact"/>
              <w:ind w:right="238"/>
              <w:jc w:val="right"/>
              <w:rPr>
                <w:spacing w:val="0"/>
                <w:sz w:val="21"/>
              </w:rPr>
            </w:pPr>
            <w:r>
              <w:rPr>
                <w:spacing w:val="0"/>
                <w:sz w:val="21"/>
              </w:rPr>
              <w:t>160.7</w:t>
            </w:r>
          </w:p>
        </w:tc>
        <w:tc>
          <w:tcPr>
            <w:tcW w:w="1367" w:type="dxa"/>
            <w:tcBorders>
              <w:top w:val="nil"/>
              <w:bottom w:val="single" w:sz="4" w:space="0" w:color="auto"/>
            </w:tcBorders>
          </w:tcPr>
          <w:p w:rsidR="00000000" w:rsidRDefault="00000000">
            <w:pPr>
              <w:spacing w:before="60" w:line="320" w:lineRule="exact"/>
              <w:ind w:right="238"/>
              <w:jc w:val="right"/>
              <w:rPr>
                <w:spacing w:val="0"/>
                <w:sz w:val="21"/>
              </w:rPr>
            </w:pPr>
            <w:r>
              <w:rPr>
                <w:spacing w:val="0"/>
                <w:sz w:val="21"/>
              </w:rPr>
              <w:t>180.8</w:t>
            </w:r>
          </w:p>
        </w:tc>
        <w:tc>
          <w:tcPr>
            <w:tcW w:w="1367" w:type="dxa"/>
            <w:tcBorders>
              <w:top w:val="nil"/>
              <w:bottom w:val="single" w:sz="4" w:space="0" w:color="auto"/>
            </w:tcBorders>
          </w:tcPr>
          <w:p w:rsidR="00000000" w:rsidRDefault="00000000">
            <w:pPr>
              <w:spacing w:before="60" w:line="320" w:lineRule="exact"/>
              <w:ind w:right="238"/>
              <w:jc w:val="right"/>
              <w:rPr>
                <w:spacing w:val="0"/>
                <w:sz w:val="21"/>
              </w:rPr>
            </w:pPr>
            <w:r>
              <w:rPr>
                <w:spacing w:val="0"/>
                <w:sz w:val="21"/>
              </w:rPr>
              <w:t>200.9</w:t>
            </w:r>
          </w:p>
        </w:tc>
        <w:tc>
          <w:tcPr>
            <w:tcW w:w="1368" w:type="dxa"/>
            <w:tcBorders>
              <w:top w:val="nil"/>
              <w:bottom w:val="single" w:sz="4" w:space="0" w:color="auto"/>
            </w:tcBorders>
          </w:tcPr>
          <w:p w:rsidR="00000000" w:rsidRDefault="00000000">
            <w:pPr>
              <w:spacing w:before="60" w:line="320" w:lineRule="exact"/>
              <w:ind w:right="238"/>
              <w:jc w:val="right"/>
              <w:rPr>
                <w:spacing w:val="0"/>
                <w:sz w:val="21"/>
              </w:rPr>
            </w:pPr>
            <w:r>
              <w:rPr>
                <w:spacing w:val="0"/>
                <w:sz w:val="21"/>
              </w:rPr>
              <w:t>226.0</w:t>
            </w:r>
          </w:p>
        </w:tc>
        <w:tc>
          <w:tcPr>
            <w:tcW w:w="1368" w:type="dxa"/>
            <w:tcBorders>
              <w:top w:val="nil"/>
              <w:bottom w:val="single" w:sz="4" w:space="0" w:color="auto"/>
            </w:tcBorders>
          </w:tcPr>
          <w:p w:rsidR="00000000" w:rsidRDefault="00000000">
            <w:pPr>
              <w:spacing w:before="60" w:line="320" w:lineRule="exact"/>
              <w:ind w:right="238"/>
              <w:jc w:val="right"/>
              <w:rPr>
                <w:spacing w:val="0"/>
                <w:sz w:val="21"/>
              </w:rPr>
            </w:pPr>
            <w:r>
              <w:rPr>
                <w:spacing w:val="0"/>
                <w:sz w:val="21"/>
              </w:rPr>
              <w:t>313.4</w:t>
            </w:r>
          </w:p>
        </w:tc>
      </w:tr>
    </w:tbl>
    <w:p w:rsidR="00000000" w:rsidRDefault="00000000">
      <w:pPr>
        <w:rPr>
          <w:rFonts w:hint="eastAsia"/>
        </w:rPr>
      </w:pPr>
    </w:p>
    <w:p w:rsidR="00000000" w:rsidRDefault="00000000">
      <w:pPr>
        <w:rPr>
          <w:rFonts w:hint="eastAsia"/>
        </w:rPr>
      </w:pPr>
      <w:r>
        <w:rPr>
          <w:rFonts w:hint="eastAsia"/>
        </w:rPr>
        <w:tab/>
        <w:t xml:space="preserve">143.  </w:t>
      </w:r>
      <w:r>
        <w:rPr>
          <w:rFonts w:hint="eastAsia"/>
        </w:rPr>
        <w:t>首都第比利斯的最低生活费用比全国平均水平高</w:t>
      </w:r>
      <w:r>
        <w:rPr>
          <w:rFonts w:hint="eastAsia"/>
        </w:rPr>
        <w:t>4%</w:t>
      </w:r>
      <w:r>
        <w:rPr>
          <w:rFonts w:hint="eastAsia"/>
        </w:rPr>
        <w:t>。</w:t>
      </w:r>
    </w:p>
    <w:p w:rsidR="00000000" w:rsidRDefault="00000000">
      <w:pPr>
        <w:rPr>
          <w:rFonts w:hint="eastAsia"/>
        </w:rPr>
      </w:pPr>
      <w:r>
        <w:rPr>
          <w:rFonts w:hint="eastAsia"/>
        </w:rPr>
        <w:tab/>
        <w:t xml:space="preserve">144.  </w:t>
      </w:r>
      <w:r>
        <w:rPr>
          <w:rFonts w:hint="eastAsia"/>
        </w:rPr>
        <w:t>最低标准工资，即在最近出现的条件下连同其他收入足以保证四口之家可以保持最低生活水平的工资，每个就业人为</w:t>
      </w:r>
      <w:r>
        <w:rPr>
          <w:rFonts w:hint="eastAsia"/>
        </w:rPr>
        <w:t>43.5</w:t>
      </w:r>
      <w:r>
        <w:rPr>
          <w:rFonts w:hint="eastAsia"/>
        </w:rPr>
        <w:t>拉里</w:t>
      </w:r>
      <w:r>
        <w:rPr>
          <w:rFonts w:hint="eastAsia"/>
        </w:rPr>
        <w:t>(2000</w:t>
      </w:r>
      <w:r>
        <w:rPr>
          <w:rFonts w:hint="eastAsia"/>
        </w:rPr>
        <w:t>年</w:t>
      </w:r>
      <w:r>
        <w:rPr>
          <w:rFonts w:hint="eastAsia"/>
        </w:rPr>
        <w:t>12</w:t>
      </w:r>
      <w:r>
        <w:rPr>
          <w:rFonts w:hint="eastAsia"/>
        </w:rPr>
        <w:t>月</w:t>
      </w:r>
      <w:r>
        <w:rPr>
          <w:rFonts w:hint="eastAsia"/>
        </w:rPr>
        <w:t>)</w:t>
      </w:r>
      <w:r>
        <w:rPr>
          <w:rFonts w:hint="eastAsia"/>
        </w:rPr>
        <w:t>。最低工资</w:t>
      </w:r>
      <w:r>
        <w:rPr>
          <w:rFonts w:hint="eastAsia"/>
        </w:rPr>
        <w:t>(20</w:t>
      </w:r>
      <w:r>
        <w:rPr>
          <w:rFonts w:hint="eastAsia"/>
        </w:rPr>
        <w:t>拉里</w:t>
      </w:r>
      <w:r>
        <w:rPr>
          <w:rFonts w:hint="eastAsia"/>
        </w:rPr>
        <w:t>)</w:t>
      </w:r>
      <w:r>
        <w:rPr>
          <w:rFonts w:hint="eastAsia"/>
        </w:rPr>
        <w:t>相当于该标准工资的</w:t>
      </w:r>
      <w:r>
        <w:rPr>
          <w:rFonts w:hint="eastAsia"/>
        </w:rPr>
        <w:t>43.9%</w:t>
      </w:r>
      <w:r>
        <w:rPr>
          <w:rFonts w:hint="eastAsia"/>
        </w:rPr>
        <w:t>。</w:t>
      </w:r>
    </w:p>
    <w:p w:rsidR="00000000" w:rsidRDefault="00000000">
      <w:pPr>
        <w:rPr>
          <w:rFonts w:hint="eastAsia"/>
        </w:rPr>
      </w:pPr>
      <w:r>
        <w:rPr>
          <w:rFonts w:hint="eastAsia"/>
        </w:rPr>
        <w:tab/>
        <w:t xml:space="preserve">145.  </w:t>
      </w:r>
      <w:r>
        <w:rPr>
          <w:rFonts w:hint="eastAsia"/>
        </w:rPr>
        <w:t>因此，格鲁吉亚尚无法执行经济、社会、文化委员会的建议</w:t>
      </w:r>
      <w:r>
        <w:rPr>
          <w:rFonts w:hint="eastAsia"/>
        </w:rPr>
        <w:t>(</w:t>
      </w:r>
      <w:r>
        <w:rPr>
          <w:rFonts w:hint="eastAsia"/>
        </w:rPr>
        <w:t>第</w:t>
      </w:r>
      <w:r>
        <w:rPr>
          <w:rFonts w:hint="eastAsia"/>
        </w:rPr>
        <w:t>23</w:t>
      </w:r>
      <w:r>
        <w:rPr>
          <w:rFonts w:hint="eastAsia"/>
        </w:rPr>
        <w:t>段</w:t>
      </w:r>
      <w:r>
        <w:rPr>
          <w:rFonts w:hint="eastAsia"/>
        </w:rPr>
        <w:t>)</w:t>
      </w:r>
      <w:r>
        <w:rPr>
          <w:rFonts w:hint="eastAsia"/>
        </w:rPr>
        <w:t>，因为该建议促请缔约国“采取适当措施，确保最低工资足以满足工资劳动者及其家人的基本需要”。</w:t>
      </w:r>
    </w:p>
    <w:p w:rsidR="00000000" w:rsidRDefault="00000000">
      <w:r>
        <w:rPr>
          <w:rFonts w:hint="eastAsia"/>
        </w:rPr>
        <w:tab/>
        <w:t xml:space="preserve">146.  </w:t>
      </w:r>
      <w:r>
        <w:rPr>
          <w:rFonts w:hint="eastAsia"/>
        </w:rPr>
        <w:t>正如本报告前面部分已经指出的那样，格鲁吉亚政府在民间社会的广泛支持下，已经制定了一项消除贫困和促进经济增长的方案的暂行文本。该方案的主要目标，除了其标题所表明的目标以外，还旨在改进社会条件并提高人口的生活水准，并促进贫困阶层参与国家发展。该方案对完成其主要预定任务规定了严格的时限，并对后续监督工作作出了安排。该草案已经提交国际货币基金组织</w:t>
      </w:r>
      <w:r>
        <w:rPr>
          <w:rFonts w:hint="eastAsia"/>
        </w:rPr>
        <w:t>(</w:t>
      </w:r>
      <w:r>
        <w:rPr>
          <w:rFonts w:hint="eastAsia"/>
        </w:rPr>
        <w:t>货币基金组织</w:t>
      </w:r>
      <w:r>
        <w:rPr>
          <w:rFonts w:hint="eastAsia"/>
        </w:rPr>
        <w:t>)</w:t>
      </w:r>
      <w:r>
        <w:rPr>
          <w:rFonts w:hint="eastAsia"/>
        </w:rPr>
        <w:t>和世界银行，并已送交其他捐助组织</w:t>
      </w:r>
      <w:r>
        <w:rPr>
          <w:rFonts w:hint="eastAsia"/>
        </w:rPr>
        <w:t>(</w:t>
      </w:r>
      <w:r>
        <w:rPr>
          <w:rFonts w:hint="eastAsia"/>
        </w:rPr>
        <w:t>见本报告附件</w:t>
      </w:r>
      <w:r>
        <w:rPr>
          <w:rFonts w:hint="eastAsia"/>
        </w:rPr>
        <w:t>)</w:t>
      </w:r>
      <w:r>
        <w:rPr>
          <w:rFonts w:hint="eastAsia"/>
        </w:rPr>
        <w:t>。</w:t>
      </w:r>
    </w:p>
    <w:p w:rsidR="00000000" w:rsidRDefault="00000000">
      <w:pPr>
        <w:rPr>
          <w:rFonts w:hint="eastAsia"/>
        </w:rPr>
      </w:pPr>
      <w:r>
        <w:rPr>
          <w:rFonts w:hint="eastAsia"/>
        </w:rPr>
        <w:tab/>
        <w:t xml:space="preserve">147.  </w:t>
      </w:r>
      <w:r>
        <w:rPr>
          <w:rFonts w:hint="eastAsia"/>
        </w:rPr>
        <w:t>以下表格载列了</w:t>
      </w:r>
      <w:r>
        <w:rPr>
          <w:rFonts w:hint="eastAsia"/>
        </w:rPr>
        <w:t>1995-1999</w:t>
      </w:r>
      <w:r>
        <w:rPr>
          <w:rFonts w:hint="eastAsia"/>
        </w:rPr>
        <w:t>年期间的收入统计数据。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8"/>
        <w:gridCol w:w="1320"/>
        <w:gridCol w:w="1200"/>
        <w:gridCol w:w="1200"/>
        <w:gridCol w:w="1320"/>
        <w:gridCol w:w="1320"/>
        <w:gridCol w:w="1183"/>
      </w:tblGrid>
      <w:tr w:rsidR="00000000">
        <w:tblPrEx>
          <w:tblCellMar>
            <w:top w:w="0" w:type="dxa"/>
            <w:bottom w:w="0" w:type="dxa"/>
          </w:tblCellMar>
        </w:tblPrEx>
        <w:tc>
          <w:tcPr>
            <w:tcW w:w="2028" w:type="dxa"/>
          </w:tcPr>
          <w:p w:rsidR="00000000" w:rsidRDefault="00000000">
            <w:pPr>
              <w:tabs>
                <w:tab w:val="left" w:pos="442"/>
              </w:tabs>
              <w:spacing w:before="120" w:after="160" w:line="320" w:lineRule="exact"/>
              <w:ind w:left="113" w:right="113"/>
              <w:jc w:val="center"/>
              <w:rPr>
                <w:rFonts w:hint="eastAsia"/>
                <w:spacing w:val="4"/>
                <w:sz w:val="21"/>
                <w:u w:val="single"/>
              </w:rPr>
            </w:pPr>
            <w:r>
              <w:rPr>
                <w:rFonts w:hint="eastAsia"/>
                <w:spacing w:val="4"/>
                <w:sz w:val="21"/>
                <w:u w:val="single"/>
              </w:rPr>
              <w:t>指</w:t>
            </w:r>
            <w:r>
              <w:rPr>
                <w:rFonts w:hint="eastAsia"/>
                <w:spacing w:val="4"/>
                <w:sz w:val="21"/>
                <w:u w:val="single"/>
              </w:rPr>
              <w:t xml:space="preserve"> </w:t>
            </w:r>
            <w:r>
              <w:rPr>
                <w:rFonts w:hint="eastAsia"/>
                <w:spacing w:val="4"/>
                <w:sz w:val="21"/>
                <w:u w:val="single"/>
              </w:rPr>
              <w:t>标</w:t>
            </w:r>
          </w:p>
        </w:tc>
        <w:tc>
          <w:tcPr>
            <w:tcW w:w="1320" w:type="dxa"/>
          </w:tcPr>
          <w:p w:rsidR="00000000" w:rsidRDefault="00000000">
            <w:pPr>
              <w:tabs>
                <w:tab w:val="left" w:pos="442"/>
              </w:tabs>
              <w:spacing w:before="120" w:after="160" w:line="320" w:lineRule="exact"/>
              <w:ind w:left="113" w:right="113"/>
              <w:jc w:val="center"/>
              <w:rPr>
                <w:rFonts w:hint="eastAsia"/>
                <w:spacing w:val="4"/>
                <w:sz w:val="21"/>
                <w:u w:val="single"/>
              </w:rPr>
            </w:pPr>
            <w:r>
              <w:rPr>
                <w:rFonts w:hint="eastAsia"/>
                <w:spacing w:val="4"/>
                <w:sz w:val="21"/>
                <w:u w:val="single"/>
              </w:rPr>
              <w:t>单</w:t>
            </w:r>
            <w:r>
              <w:rPr>
                <w:rFonts w:hint="eastAsia"/>
                <w:spacing w:val="4"/>
                <w:sz w:val="21"/>
                <w:u w:val="single"/>
              </w:rPr>
              <w:t xml:space="preserve"> </w:t>
            </w:r>
            <w:r>
              <w:rPr>
                <w:rFonts w:hint="eastAsia"/>
                <w:spacing w:val="4"/>
                <w:sz w:val="21"/>
                <w:u w:val="single"/>
              </w:rPr>
              <w:t>位</w:t>
            </w:r>
          </w:p>
        </w:tc>
        <w:tc>
          <w:tcPr>
            <w:tcW w:w="1200" w:type="dxa"/>
          </w:tcPr>
          <w:p w:rsidR="00000000" w:rsidRDefault="00000000">
            <w:pPr>
              <w:tabs>
                <w:tab w:val="left" w:pos="442"/>
              </w:tabs>
              <w:spacing w:before="120" w:after="160" w:line="320" w:lineRule="exact"/>
              <w:ind w:left="113" w:right="113"/>
              <w:jc w:val="center"/>
              <w:rPr>
                <w:rFonts w:hint="eastAsia"/>
                <w:spacing w:val="4"/>
                <w:sz w:val="21"/>
                <w:u w:val="single"/>
              </w:rPr>
            </w:pPr>
            <w:r>
              <w:rPr>
                <w:rFonts w:hint="eastAsia"/>
                <w:spacing w:val="4"/>
                <w:sz w:val="21"/>
                <w:u w:val="single"/>
              </w:rPr>
              <w:t>1995</w:t>
            </w:r>
            <w:r>
              <w:rPr>
                <w:rFonts w:hint="eastAsia"/>
                <w:spacing w:val="4"/>
                <w:sz w:val="21"/>
                <w:u w:val="single"/>
              </w:rPr>
              <w:t>年</w:t>
            </w:r>
          </w:p>
        </w:tc>
        <w:tc>
          <w:tcPr>
            <w:tcW w:w="1200" w:type="dxa"/>
          </w:tcPr>
          <w:p w:rsidR="00000000" w:rsidRDefault="00000000">
            <w:pPr>
              <w:tabs>
                <w:tab w:val="left" w:pos="442"/>
              </w:tabs>
              <w:spacing w:before="120" w:after="160" w:line="320" w:lineRule="exact"/>
              <w:ind w:left="113" w:right="113"/>
              <w:jc w:val="center"/>
              <w:rPr>
                <w:rFonts w:hint="eastAsia"/>
                <w:spacing w:val="4"/>
                <w:sz w:val="21"/>
                <w:u w:val="single"/>
              </w:rPr>
            </w:pPr>
            <w:r>
              <w:rPr>
                <w:rFonts w:hint="eastAsia"/>
                <w:spacing w:val="4"/>
                <w:sz w:val="21"/>
                <w:u w:val="single"/>
              </w:rPr>
              <w:t>1996</w:t>
            </w:r>
            <w:r>
              <w:rPr>
                <w:rFonts w:hint="eastAsia"/>
                <w:spacing w:val="4"/>
                <w:sz w:val="21"/>
                <w:u w:val="single"/>
              </w:rPr>
              <w:t>年</w:t>
            </w:r>
          </w:p>
        </w:tc>
        <w:tc>
          <w:tcPr>
            <w:tcW w:w="1320" w:type="dxa"/>
          </w:tcPr>
          <w:p w:rsidR="00000000" w:rsidRDefault="00000000">
            <w:pPr>
              <w:tabs>
                <w:tab w:val="left" w:pos="442"/>
              </w:tabs>
              <w:spacing w:before="120" w:after="160" w:line="320" w:lineRule="exact"/>
              <w:ind w:left="113" w:right="113"/>
              <w:jc w:val="center"/>
              <w:rPr>
                <w:rFonts w:hint="eastAsia"/>
                <w:spacing w:val="4"/>
                <w:sz w:val="21"/>
                <w:u w:val="single"/>
              </w:rPr>
            </w:pPr>
            <w:r>
              <w:rPr>
                <w:rFonts w:hint="eastAsia"/>
                <w:spacing w:val="4"/>
                <w:sz w:val="21"/>
                <w:u w:val="single"/>
              </w:rPr>
              <w:t>1997</w:t>
            </w:r>
            <w:r>
              <w:rPr>
                <w:rFonts w:hint="eastAsia"/>
                <w:spacing w:val="4"/>
                <w:sz w:val="21"/>
                <w:u w:val="single"/>
              </w:rPr>
              <w:t>年</w:t>
            </w:r>
          </w:p>
        </w:tc>
        <w:tc>
          <w:tcPr>
            <w:tcW w:w="1320" w:type="dxa"/>
          </w:tcPr>
          <w:p w:rsidR="00000000" w:rsidRDefault="00000000">
            <w:pPr>
              <w:tabs>
                <w:tab w:val="left" w:pos="442"/>
              </w:tabs>
              <w:spacing w:before="120" w:after="160" w:line="320" w:lineRule="exact"/>
              <w:ind w:left="113" w:right="113"/>
              <w:jc w:val="center"/>
              <w:rPr>
                <w:rFonts w:hint="eastAsia"/>
                <w:spacing w:val="4"/>
                <w:sz w:val="21"/>
                <w:u w:val="single"/>
              </w:rPr>
            </w:pPr>
            <w:r>
              <w:rPr>
                <w:rFonts w:hint="eastAsia"/>
                <w:spacing w:val="4"/>
                <w:sz w:val="21"/>
                <w:u w:val="single"/>
              </w:rPr>
              <w:t>1998</w:t>
            </w:r>
            <w:r>
              <w:rPr>
                <w:rFonts w:hint="eastAsia"/>
                <w:spacing w:val="4"/>
                <w:sz w:val="21"/>
                <w:u w:val="single"/>
              </w:rPr>
              <w:t>年</w:t>
            </w:r>
          </w:p>
        </w:tc>
        <w:tc>
          <w:tcPr>
            <w:tcW w:w="1183" w:type="dxa"/>
          </w:tcPr>
          <w:p w:rsidR="00000000" w:rsidRDefault="00000000">
            <w:pPr>
              <w:tabs>
                <w:tab w:val="left" w:pos="442"/>
              </w:tabs>
              <w:spacing w:before="120" w:after="160" w:line="320" w:lineRule="exact"/>
              <w:ind w:left="113" w:right="113"/>
              <w:jc w:val="center"/>
              <w:rPr>
                <w:rFonts w:hint="eastAsia"/>
                <w:spacing w:val="4"/>
                <w:sz w:val="21"/>
                <w:u w:val="single"/>
              </w:rPr>
            </w:pPr>
            <w:r>
              <w:rPr>
                <w:rFonts w:hint="eastAsia"/>
                <w:spacing w:val="4"/>
                <w:sz w:val="21"/>
                <w:u w:val="single"/>
              </w:rPr>
              <w:t>1999</w:t>
            </w:r>
            <w:r>
              <w:rPr>
                <w:rFonts w:hint="eastAsia"/>
                <w:spacing w:val="4"/>
                <w:sz w:val="21"/>
                <w:u w:val="single"/>
              </w:rPr>
              <w:t>年</w:t>
            </w:r>
          </w:p>
        </w:tc>
      </w:tr>
      <w:tr w:rsidR="00000000">
        <w:tblPrEx>
          <w:tblCellMar>
            <w:top w:w="0" w:type="dxa"/>
            <w:bottom w:w="0" w:type="dxa"/>
          </w:tblCellMar>
        </w:tblPrEx>
        <w:tc>
          <w:tcPr>
            <w:tcW w:w="2028" w:type="dxa"/>
            <w:tcBorders>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人口的货币收入</w:t>
            </w:r>
          </w:p>
        </w:tc>
        <w:tc>
          <w:tcPr>
            <w:tcW w:w="1320" w:type="dxa"/>
            <w:tcBorders>
              <w:bottom w:val="nil"/>
            </w:tcBorders>
          </w:tcPr>
          <w:p w:rsidR="00000000" w:rsidRDefault="00000000">
            <w:pPr>
              <w:tabs>
                <w:tab w:val="left" w:pos="442"/>
              </w:tabs>
              <w:spacing w:before="60" w:line="320" w:lineRule="exact"/>
              <w:ind w:left="113" w:right="113"/>
              <w:jc w:val="center"/>
              <w:rPr>
                <w:rFonts w:hint="eastAsia"/>
                <w:spacing w:val="4"/>
                <w:sz w:val="21"/>
              </w:rPr>
            </w:pPr>
            <w:r>
              <w:rPr>
                <w:rFonts w:hint="eastAsia"/>
                <w:spacing w:val="4"/>
                <w:sz w:val="21"/>
              </w:rPr>
              <w:t>百万拉里</w:t>
            </w:r>
          </w:p>
        </w:tc>
        <w:tc>
          <w:tcPr>
            <w:tcW w:w="1200" w:type="dxa"/>
            <w:tcBorders>
              <w:bottom w:val="nil"/>
            </w:tcBorders>
          </w:tcPr>
          <w:p w:rsidR="00000000" w:rsidRDefault="00000000">
            <w:pPr>
              <w:tabs>
                <w:tab w:val="left" w:pos="442"/>
              </w:tabs>
              <w:spacing w:before="60" w:line="320" w:lineRule="exact"/>
              <w:ind w:left="113" w:right="113"/>
              <w:jc w:val="right"/>
              <w:rPr>
                <w:spacing w:val="4"/>
                <w:sz w:val="21"/>
              </w:rPr>
            </w:pPr>
            <w:r>
              <w:rPr>
                <w:spacing w:val="4"/>
                <w:sz w:val="21"/>
              </w:rPr>
              <w:t>1,164.0</w:t>
            </w:r>
          </w:p>
        </w:tc>
        <w:tc>
          <w:tcPr>
            <w:tcW w:w="1200" w:type="dxa"/>
            <w:tcBorders>
              <w:bottom w:val="nil"/>
            </w:tcBorders>
          </w:tcPr>
          <w:p w:rsidR="00000000" w:rsidRDefault="00000000">
            <w:pPr>
              <w:tabs>
                <w:tab w:val="left" w:pos="442"/>
              </w:tabs>
              <w:spacing w:before="60" w:line="320" w:lineRule="exact"/>
              <w:ind w:left="113" w:right="113"/>
              <w:jc w:val="right"/>
              <w:rPr>
                <w:spacing w:val="4"/>
                <w:sz w:val="21"/>
              </w:rPr>
            </w:pPr>
            <w:r>
              <w:rPr>
                <w:spacing w:val="4"/>
                <w:sz w:val="21"/>
              </w:rPr>
              <w:t>2,500.0</w:t>
            </w:r>
          </w:p>
        </w:tc>
        <w:tc>
          <w:tcPr>
            <w:tcW w:w="1320" w:type="dxa"/>
            <w:tcBorders>
              <w:bottom w:val="nil"/>
            </w:tcBorders>
          </w:tcPr>
          <w:p w:rsidR="00000000" w:rsidRDefault="00000000">
            <w:pPr>
              <w:tabs>
                <w:tab w:val="left" w:pos="442"/>
              </w:tabs>
              <w:spacing w:before="60" w:line="320" w:lineRule="exact"/>
              <w:ind w:left="113" w:right="113"/>
              <w:jc w:val="right"/>
              <w:rPr>
                <w:spacing w:val="4"/>
                <w:sz w:val="21"/>
              </w:rPr>
            </w:pPr>
            <w:r>
              <w:rPr>
                <w:spacing w:val="4"/>
                <w:sz w:val="21"/>
              </w:rPr>
              <w:t>1,800.0</w:t>
            </w:r>
          </w:p>
        </w:tc>
        <w:tc>
          <w:tcPr>
            <w:tcW w:w="1320" w:type="dxa"/>
            <w:tcBorders>
              <w:bottom w:val="nil"/>
            </w:tcBorders>
          </w:tcPr>
          <w:p w:rsidR="00000000" w:rsidRDefault="00000000">
            <w:pPr>
              <w:tabs>
                <w:tab w:val="left" w:pos="442"/>
              </w:tabs>
              <w:spacing w:before="60" w:line="320" w:lineRule="exact"/>
              <w:ind w:left="113" w:right="113"/>
              <w:jc w:val="right"/>
              <w:rPr>
                <w:spacing w:val="4"/>
                <w:sz w:val="21"/>
              </w:rPr>
            </w:pPr>
            <w:r>
              <w:rPr>
                <w:spacing w:val="4"/>
                <w:sz w:val="21"/>
              </w:rPr>
              <w:t>1,751.8</w:t>
            </w:r>
          </w:p>
        </w:tc>
        <w:tc>
          <w:tcPr>
            <w:tcW w:w="1183" w:type="dxa"/>
            <w:tcBorders>
              <w:bottom w:val="nil"/>
            </w:tcBorders>
          </w:tcPr>
          <w:p w:rsidR="00000000" w:rsidRDefault="00000000">
            <w:pPr>
              <w:tabs>
                <w:tab w:val="left" w:pos="442"/>
              </w:tabs>
              <w:spacing w:before="60" w:line="320" w:lineRule="exact"/>
              <w:ind w:left="113" w:right="113"/>
              <w:jc w:val="right"/>
              <w:rPr>
                <w:spacing w:val="4"/>
                <w:sz w:val="21"/>
              </w:rPr>
            </w:pPr>
            <w:r>
              <w:rPr>
                <w:spacing w:val="4"/>
                <w:sz w:val="21"/>
              </w:rPr>
              <w:t>1,723.7</w:t>
            </w:r>
          </w:p>
        </w:tc>
      </w:tr>
      <w:tr w:rsidR="00000000">
        <w:tblPrEx>
          <w:tblCellMar>
            <w:top w:w="0" w:type="dxa"/>
            <w:bottom w:w="0" w:type="dxa"/>
          </w:tblCellMar>
        </w:tblPrEx>
        <w:tc>
          <w:tcPr>
            <w:tcW w:w="202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人口的货币开支</w:t>
            </w:r>
          </w:p>
        </w:tc>
        <w:tc>
          <w:tcPr>
            <w:tcW w:w="1320" w:type="dxa"/>
            <w:tcBorders>
              <w:top w:val="nil"/>
              <w:bottom w:val="nil"/>
            </w:tcBorders>
          </w:tcPr>
          <w:p w:rsidR="00000000" w:rsidRDefault="00000000">
            <w:pPr>
              <w:tabs>
                <w:tab w:val="left" w:pos="442"/>
              </w:tabs>
              <w:spacing w:before="60" w:line="320" w:lineRule="exact"/>
              <w:ind w:left="113" w:right="113"/>
              <w:jc w:val="center"/>
              <w:rPr>
                <w:rFonts w:hint="eastAsia"/>
                <w:spacing w:val="4"/>
                <w:sz w:val="21"/>
              </w:rPr>
            </w:pPr>
            <w:r>
              <w:rPr>
                <w:rFonts w:hint="eastAsia"/>
                <w:spacing w:val="4"/>
                <w:sz w:val="21"/>
              </w:rPr>
              <w:t>百万拉里</w:t>
            </w:r>
          </w:p>
        </w:tc>
        <w:tc>
          <w:tcPr>
            <w:tcW w:w="120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1,077.0</w:t>
            </w:r>
          </w:p>
        </w:tc>
        <w:tc>
          <w:tcPr>
            <w:tcW w:w="120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2,454.6</w:t>
            </w:r>
          </w:p>
        </w:tc>
        <w:tc>
          <w:tcPr>
            <w:tcW w:w="132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2,390.0</w:t>
            </w:r>
          </w:p>
        </w:tc>
        <w:tc>
          <w:tcPr>
            <w:tcW w:w="132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2,534.6</w:t>
            </w:r>
          </w:p>
        </w:tc>
        <w:tc>
          <w:tcPr>
            <w:tcW w:w="1183"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2,677.2</w:t>
            </w:r>
          </w:p>
        </w:tc>
      </w:tr>
      <w:tr w:rsidR="00000000">
        <w:tblPrEx>
          <w:tblCellMar>
            <w:top w:w="0" w:type="dxa"/>
            <w:bottom w:w="0" w:type="dxa"/>
          </w:tblCellMar>
        </w:tblPrEx>
        <w:tc>
          <w:tcPr>
            <w:tcW w:w="202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平均工资</w:t>
            </w:r>
          </w:p>
        </w:tc>
        <w:tc>
          <w:tcPr>
            <w:tcW w:w="1320" w:type="dxa"/>
            <w:tcBorders>
              <w:top w:val="nil"/>
              <w:bottom w:val="nil"/>
            </w:tcBorders>
          </w:tcPr>
          <w:p w:rsidR="00000000" w:rsidRDefault="00000000">
            <w:pPr>
              <w:tabs>
                <w:tab w:val="left" w:pos="442"/>
              </w:tabs>
              <w:spacing w:before="60" w:line="320" w:lineRule="exact"/>
              <w:ind w:left="113" w:right="113"/>
              <w:jc w:val="center"/>
              <w:rPr>
                <w:rFonts w:hint="eastAsia"/>
                <w:spacing w:val="4"/>
                <w:sz w:val="21"/>
              </w:rPr>
            </w:pPr>
            <w:r>
              <w:rPr>
                <w:rFonts w:hint="eastAsia"/>
                <w:spacing w:val="4"/>
                <w:sz w:val="21"/>
              </w:rPr>
              <w:t>拉里</w:t>
            </w:r>
          </w:p>
        </w:tc>
        <w:tc>
          <w:tcPr>
            <w:tcW w:w="120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13.6</w:t>
            </w:r>
          </w:p>
        </w:tc>
        <w:tc>
          <w:tcPr>
            <w:tcW w:w="120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29.0</w:t>
            </w:r>
          </w:p>
        </w:tc>
        <w:tc>
          <w:tcPr>
            <w:tcW w:w="132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42.5</w:t>
            </w:r>
          </w:p>
        </w:tc>
        <w:tc>
          <w:tcPr>
            <w:tcW w:w="132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127.6</w:t>
            </w:r>
          </w:p>
        </w:tc>
        <w:tc>
          <w:tcPr>
            <w:tcW w:w="1183"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114.4</w:t>
            </w:r>
          </w:p>
        </w:tc>
      </w:tr>
      <w:tr w:rsidR="00000000">
        <w:tblPrEx>
          <w:tblCellMar>
            <w:top w:w="0" w:type="dxa"/>
            <w:bottom w:w="0" w:type="dxa"/>
          </w:tblCellMar>
        </w:tblPrEx>
        <w:tc>
          <w:tcPr>
            <w:tcW w:w="202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实际月收入增长</w:t>
            </w:r>
          </w:p>
        </w:tc>
        <w:tc>
          <w:tcPr>
            <w:tcW w:w="1320" w:type="dxa"/>
            <w:tcBorders>
              <w:top w:val="nil"/>
              <w:bottom w:val="nil"/>
            </w:tcBorders>
          </w:tcPr>
          <w:p w:rsidR="00000000" w:rsidRDefault="00000000">
            <w:pPr>
              <w:tabs>
                <w:tab w:val="left" w:pos="442"/>
              </w:tabs>
              <w:spacing w:before="60" w:line="320" w:lineRule="exact"/>
              <w:ind w:left="113" w:right="113"/>
              <w:jc w:val="center"/>
              <w:rPr>
                <w:rFonts w:hint="eastAsia"/>
                <w:spacing w:val="4"/>
                <w:sz w:val="21"/>
              </w:rPr>
            </w:pPr>
            <w:r>
              <w:rPr>
                <w:rFonts w:hint="eastAsia"/>
                <w:spacing w:val="4"/>
                <w:sz w:val="21"/>
              </w:rPr>
              <w:t>%</w:t>
            </w:r>
          </w:p>
        </w:tc>
        <w:tc>
          <w:tcPr>
            <w:tcW w:w="120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134.4</w:t>
            </w:r>
          </w:p>
        </w:tc>
        <w:tc>
          <w:tcPr>
            <w:tcW w:w="120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152.9</w:t>
            </w:r>
          </w:p>
        </w:tc>
        <w:tc>
          <w:tcPr>
            <w:tcW w:w="132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139.8</w:t>
            </w:r>
          </w:p>
        </w:tc>
        <w:tc>
          <w:tcPr>
            <w:tcW w:w="132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123.2</w:t>
            </w:r>
          </w:p>
        </w:tc>
        <w:tc>
          <w:tcPr>
            <w:tcW w:w="1183"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103.6</w:t>
            </w:r>
          </w:p>
        </w:tc>
      </w:tr>
      <w:tr w:rsidR="00000000">
        <w:tblPrEx>
          <w:tblCellMar>
            <w:top w:w="0" w:type="dxa"/>
            <w:bottom w:w="0" w:type="dxa"/>
          </w:tblCellMar>
        </w:tblPrEx>
        <w:tc>
          <w:tcPr>
            <w:tcW w:w="202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最低消费篮</w:t>
            </w:r>
          </w:p>
        </w:tc>
        <w:tc>
          <w:tcPr>
            <w:tcW w:w="1320" w:type="dxa"/>
            <w:tcBorders>
              <w:top w:val="nil"/>
              <w:bottom w:val="nil"/>
            </w:tcBorders>
          </w:tcPr>
          <w:p w:rsidR="00000000" w:rsidRDefault="00000000">
            <w:pPr>
              <w:tabs>
                <w:tab w:val="left" w:pos="442"/>
              </w:tabs>
              <w:spacing w:before="60" w:line="320" w:lineRule="exact"/>
              <w:ind w:left="113" w:right="113"/>
              <w:jc w:val="center"/>
              <w:rPr>
                <w:rFonts w:hint="eastAsia"/>
                <w:spacing w:val="4"/>
                <w:sz w:val="21"/>
              </w:rPr>
            </w:pPr>
            <w:r>
              <w:rPr>
                <w:rFonts w:hint="eastAsia"/>
                <w:spacing w:val="4"/>
                <w:sz w:val="21"/>
              </w:rPr>
              <w:t>拉里</w:t>
            </w:r>
          </w:p>
        </w:tc>
        <w:tc>
          <w:tcPr>
            <w:tcW w:w="120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41.3</w:t>
            </w:r>
          </w:p>
        </w:tc>
        <w:tc>
          <w:tcPr>
            <w:tcW w:w="120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47.7</w:t>
            </w:r>
          </w:p>
        </w:tc>
        <w:tc>
          <w:tcPr>
            <w:tcW w:w="132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182.7</w:t>
            </w:r>
          </w:p>
        </w:tc>
        <w:tc>
          <w:tcPr>
            <w:tcW w:w="1320"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183.9</w:t>
            </w:r>
          </w:p>
        </w:tc>
        <w:tc>
          <w:tcPr>
            <w:tcW w:w="1183" w:type="dxa"/>
            <w:tcBorders>
              <w:top w:val="nil"/>
              <w:bottom w:val="nil"/>
            </w:tcBorders>
          </w:tcPr>
          <w:p w:rsidR="00000000" w:rsidRDefault="00000000">
            <w:pPr>
              <w:tabs>
                <w:tab w:val="left" w:pos="442"/>
              </w:tabs>
              <w:spacing w:before="60" w:line="320" w:lineRule="exact"/>
              <w:ind w:left="113" w:right="113"/>
              <w:jc w:val="right"/>
              <w:rPr>
                <w:spacing w:val="4"/>
                <w:sz w:val="21"/>
              </w:rPr>
            </w:pPr>
            <w:r>
              <w:rPr>
                <w:spacing w:val="4"/>
                <w:sz w:val="21"/>
              </w:rPr>
              <w:t>193.5</w:t>
            </w:r>
          </w:p>
        </w:tc>
      </w:tr>
      <w:tr w:rsidR="00000000">
        <w:tblPrEx>
          <w:tblCellMar>
            <w:top w:w="0" w:type="dxa"/>
            <w:bottom w:w="0" w:type="dxa"/>
          </w:tblCellMar>
        </w:tblPrEx>
        <w:tc>
          <w:tcPr>
            <w:tcW w:w="2028" w:type="dxa"/>
            <w:tcBorders>
              <w:top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最低食品篮</w:t>
            </w:r>
          </w:p>
        </w:tc>
        <w:tc>
          <w:tcPr>
            <w:tcW w:w="1320" w:type="dxa"/>
            <w:tcBorders>
              <w:top w:val="nil"/>
            </w:tcBorders>
          </w:tcPr>
          <w:p w:rsidR="00000000" w:rsidRDefault="00000000">
            <w:pPr>
              <w:tabs>
                <w:tab w:val="left" w:pos="442"/>
              </w:tabs>
              <w:spacing w:before="60" w:line="320" w:lineRule="exact"/>
              <w:ind w:left="113" w:right="113"/>
              <w:jc w:val="center"/>
              <w:rPr>
                <w:rFonts w:hint="eastAsia"/>
                <w:spacing w:val="4"/>
                <w:sz w:val="21"/>
              </w:rPr>
            </w:pPr>
            <w:r>
              <w:rPr>
                <w:rFonts w:hint="eastAsia"/>
                <w:spacing w:val="4"/>
                <w:sz w:val="21"/>
              </w:rPr>
              <w:t>拉里</w:t>
            </w:r>
          </w:p>
        </w:tc>
        <w:tc>
          <w:tcPr>
            <w:tcW w:w="1200" w:type="dxa"/>
            <w:tcBorders>
              <w:top w:val="nil"/>
            </w:tcBorders>
          </w:tcPr>
          <w:p w:rsidR="00000000" w:rsidRDefault="00000000">
            <w:pPr>
              <w:tabs>
                <w:tab w:val="left" w:pos="442"/>
              </w:tabs>
              <w:spacing w:before="60" w:line="320" w:lineRule="exact"/>
              <w:ind w:left="113" w:right="113"/>
              <w:jc w:val="right"/>
              <w:rPr>
                <w:spacing w:val="4"/>
                <w:sz w:val="21"/>
              </w:rPr>
            </w:pPr>
            <w:r>
              <w:rPr>
                <w:spacing w:val="4"/>
                <w:sz w:val="21"/>
              </w:rPr>
              <w:t>28.9</w:t>
            </w:r>
          </w:p>
        </w:tc>
        <w:tc>
          <w:tcPr>
            <w:tcW w:w="1200" w:type="dxa"/>
            <w:tcBorders>
              <w:top w:val="nil"/>
            </w:tcBorders>
          </w:tcPr>
          <w:p w:rsidR="00000000" w:rsidRDefault="00000000">
            <w:pPr>
              <w:tabs>
                <w:tab w:val="left" w:pos="442"/>
              </w:tabs>
              <w:spacing w:before="60" w:line="320" w:lineRule="exact"/>
              <w:ind w:left="113" w:right="113"/>
              <w:jc w:val="right"/>
              <w:rPr>
                <w:spacing w:val="4"/>
                <w:sz w:val="21"/>
              </w:rPr>
            </w:pPr>
            <w:r>
              <w:rPr>
                <w:spacing w:val="4"/>
                <w:sz w:val="21"/>
              </w:rPr>
              <w:t>33.4</w:t>
            </w:r>
          </w:p>
        </w:tc>
        <w:tc>
          <w:tcPr>
            <w:tcW w:w="1320" w:type="dxa"/>
            <w:tcBorders>
              <w:top w:val="nil"/>
            </w:tcBorders>
          </w:tcPr>
          <w:p w:rsidR="00000000" w:rsidRDefault="00000000">
            <w:pPr>
              <w:tabs>
                <w:tab w:val="left" w:pos="442"/>
              </w:tabs>
              <w:spacing w:before="60" w:line="320" w:lineRule="exact"/>
              <w:ind w:left="113" w:right="113"/>
              <w:jc w:val="right"/>
              <w:rPr>
                <w:spacing w:val="4"/>
                <w:sz w:val="21"/>
              </w:rPr>
            </w:pPr>
            <w:r>
              <w:rPr>
                <w:spacing w:val="4"/>
                <w:sz w:val="21"/>
              </w:rPr>
              <w:t>128.0</w:t>
            </w:r>
          </w:p>
        </w:tc>
        <w:tc>
          <w:tcPr>
            <w:tcW w:w="1320" w:type="dxa"/>
            <w:tcBorders>
              <w:top w:val="nil"/>
            </w:tcBorders>
          </w:tcPr>
          <w:p w:rsidR="00000000" w:rsidRDefault="00000000">
            <w:pPr>
              <w:tabs>
                <w:tab w:val="left" w:pos="442"/>
              </w:tabs>
              <w:spacing w:before="60" w:line="320" w:lineRule="exact"/>
              <w:ind w:left="113" w:right="113"/>
              <w:jc w:val="right"/>
              <w:rPr>
                <w:spacing w:val="4"/>
                <w:sz w:val="21"/>
              </w:rPr>
            </w:pPr>
            <w:r>
              <w:rPr>
                <w:spacing w:val="4"/>
                <w:sz w:val="21"/>
              </w:rPr>
              <w:t>128.7</w:t>
            </w:r>
          </w:p>
        </w:tc>
        <w:tc>
          <w:tcPr>
            <w:tcW w:w="1183" w:type="dxa"/>
            <w:tcBorders>
              <w:top w:val="nil"/>
            </w:tcBorders>
          </w:tcPr>
          <w:p w:rsidR="00000000" w:rsidRDefault="00000000">
            <w:pPr>
              <w:tabs>
                <w:tab w:val="left" w:pos="442"/>
              </w:tabs>
              <w:spacing w:before="60" w:line="320" w:lineRule="exact"/>
              <w:ind w:left="113" w:right="113"/>
              <w:jc w:val="right"/>
              <w:rPr>
                <w:spacing w:val="4"/>
                <w:sz w:val="21"/>
              </w:rPr>
            </w:pPr>
            <w:r>
              <w:rPr>
                <w:spacing w:val="4"/>
                <w:sz w:val="21"/>
              </w:rPr>
              <w:t>135.5</w:t>
            </w:r>
          </w:p>
        </w:tc>
      </w:tr>
    </w:tbl>
    <w:p w:rsidR="00000000" w:rsidRDefault="00000000">
      <w:pPr>
        <w:pStyle w:val="Heading4"/>
        <w:spacing w:before="160" w:after="160"/>
        <w:rPr>
          <w:rFonts w:hint="eastAsia"/>
        </w:rPr>
      </w:pPr>
      <w:r>
        <w:rPr>
          <w:rFonts w:hint="eastAsia"/>
        </w:rPr>
        <w:t>获得足够食物的权利</w:t>
      </w:r>
    </w:p>
    <w:p w:rsidR="00000000" w:rsidRDefault="00000000">
      <w:pPr>
        <w:rPr>
          <w:rFonts w:hint="eastAsia"/>
        </w:rPr>
      </w:pPr>
      <w:r>
        <w:rPr>
          <w:rFonts w:hint="eastAsia"/>
        </w:rPr>
        <w:tab/>
        <w:t xml:space="preserve">148.  </w:t>
      </w:r>
      <w:r>
        <w:rPr>
          <w:rFonts w:hint="eastAsia"/>
        </w:rPr>
        <w:t>以下是粮食及农业生产部提供的关于确保这项权利的资料。根据该部提供的资料，编制该表格时采用了国家统计局提供的最新官方数据。</w:t>
      </w:r>
    </w:p>
    <w:p w:rsidR="00000000" w:rsidRDefault="00000000">
      <w:pPr>
        <w:rPr>
          <w:rFonts w:hint="eastAsia"/>
        </w:rPr>
      </w:pPr>
      <w:r>
        <w:rPr>
          <w:rFonts w:hint="eastAsia"/>
        </w:rPr>
        <w:tab/>
        <w:t xml:space="preserve">149.  </w:t>
      </w:r>
      <w:r>
        <w:rPr>
          <w:rFonts w:hint="eastAsia"/>
        </w:rPr>
        <w:t>根据关于</w:t>
      </w:r>
      <w:r>
        <w:rPr>
          <w:rFonts w:hint="eastAsia"/>
        </w:rPr>
        <w:t>2000</w:t>
      </w:r>
      <w:r>
        <w:rPr>
          <w:rFonts w:hint="eastAsia"/>
        </w:rPr>
        <w:t>年底的情况的数据，</w:t>
      </w:r>
      <w:r>
        <w:rPr>
          <w:rFonts w:hint="eastAsia"/>
        </w:rPr>
        <w:t>1,643</w:t>
      </w:r>
      <w:r>
        <w:rPr>
          <w:rFonts w:hint="eastAsia"/>
        </w:rPr>
        <w:t>个企业是作为参加食品和饮料生产和烟草加工部门的经济活动注册的。</w:t>
      </w:r>
      <w:r>
        <w:rPr>
          <w:rFonts w:hint="eastAsia"/>
        </w:rPr>
        <w:t>2000</w:t>
      </w:r>
      <w:r>
        <w:rPr>
          <w:rFonts w:hint="eastAsia"/>
        </w:rPr>
        <w:t>年，按可比价格计算，这一部门的生产量达到</w:t>
      </w:r>
      <w:r>
        <w:rPr>
          <w:rFonts w:hint="eastAsia"/>
        </w:rPr>
        <w:t>2.98</w:t>
      </w:r>
      <w:r>
        <w:rPr>
          <w:rFonts w:hint="eastAsia"/>
        </w:rPr>
        <w:t>亿拉里。</w:t>
      </w:r>
    </w:p>
    <w:p w:rsidR="00000000" w:rsidRDefault="00000000">
      <w:r>
        <w:rPr>
          <w:rFonts w:hint="eastAsia"/>
        </w:rPr>
        <w:tab/>
        <w:t xml:space="preserve">150.  </w:t>
      </w:r>
      <w:r>
        <w:rPr>
          <w:rFonts w:hint="eastAsia"/>
        </w:rPr>
        <w:t>下列表格载列了</w:t>
      </w:r>
      <w:r>
        <w:rPr>
          <w:rFonts w:hint="eastAsia"/>
        </w:rPr>
        <w:t>1997-2000</w:t>
      </w:r>
      <w:r>
        <w:rPr>
          <w:rFonts w:hint="eastAsia"/>
        </w:rPr>
        <w:t>年期间以实际数量表示的已入帐的食品生产的统计数据。</w:t>
      </w:r>
    </w:p>
    <w:p w:rsidR="00000000" w:rsidRDefault="00000000"/>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0" w:type="dxa"/>
        </w:tblCellMar>
        <w:tblLook w:val="0000" w:firstRow="0" w:lastRow="0" w:firstColumn="0" w:lastColumn="0" w:noHBand="0" w:noVBand="0"/>
      </w:tblPr>
      <w:tblGrid>
        <w:gridCol w:w="600"/>
        <w:gridCol w:w="2519"/>
        <w:gridCol w:w="1418"/>
        <w:gridCol w:w="1191"/>
        <w:gridCol w:w="1191"/>
        <w:gridCol w:w="1191"/>
        <w:gridCol w:w="1191"/>
      </w:tblGrid>
      <w:tr w:rsidR="00000000">
        <w:trPr>
          <w:tblHeader/>
        </w:trPr>
        <w:tc>
          <w:tcPr>
            <w:tcW w:w="600" w:type="dxa"/>
            <w:tcBorders>
              <w:bottom w:val="single" w:sz="4" w:space="0" w:color="auto"/>
            </w:tcBorders>
            <w:tcMar>
              <w:left w:w="85" w:type="dxa"/>
            </w:tcMar>
          </w:tcPr>
          <w:p w:rsidR="00000000" w:rsidRDefault="00000000">
            <w:pPr>
              <w:pageBreakBefore/>
              <w:tabs>
                <w:tab w:val="left" w:pos="442"/>
              </w:tabs>
              <w:spacing w:before="60" w:line="320" w:lineRule="exact"/>
              <w:jc w:val="center"/>
              <w:rPr>
                <w:rFonts w:hint="eastAsia"/>
                <w:spacing w:val="4"/>
                <w:sz w:val="21"/>
                <w:u w:val="single"/>
              </w:rPr>
            </w:pPr>
            <w:r>
              <w:rPr>
                <w:rFonts w:hint="eastAsia"/>
                <w:spacing w:val="4"/>
                <w:sz w:val="21"/>
                <w:u w:val="single"/>
              </w:rPr>
              <w:t>编号</w:t>
            </w:r>
          </w:p>
        </w:tc>
        <w:tc>
          <w:tcPr>
            <w:tcW w:w="2519" w:type="dxa"/>
            <w:tcBorders>
              <w:bottom w:val="single" w:sz="4" w:space="0" w:color="auto"/>
            </w:tcBorders>
          </w:tcPr>
          <w:p w:rsidR="00000000" w:rsidRDefault="00000000">
            <w:pPr>
              <w:tabs>
                <w:tab w:val="left" w:pos="442"/>
              </w:tabs>
              <w:spacing w:before="60" w:line="320" w:lineRule="exact"/>
              <w:jc w:val="center"/>
              <w:rPr>
                <w:rFonts w:hint="eastAsia"/>
                <w:spacing w:val="4"/>
                <w:sz w:val="21"/>
                <w:u w:val="single"/>
              </w:rPr>
            </w:pPr>
            <w:r>
              <w:rPr>
                <w:rFonts w:hint="eastAsia"/>
                <w:spacing w:val="4"/>
                <w:sz w:val="21"/>
                <w:u w:val="single"/>
              </w:rPr>
              <w:t>产</w:t>
            </w:r>
            <w:r>
              <w:rPr>
                <w:rFonts w:hint="eastAsia"/>
                <w:spacing w:val="4"/>
                <w:sz w:val="21"/>
                <w:u w:val="single"/>
              </w:rPr>
              <w:t xml:space="preserve">  </w:t>
            </w:r>
            <w:r>
              <w:rPr>
                <w:rFonts w:hint="eastAsia"/>
                <w:spacing w:val="4"/>
                <w:sz w:val="21"/>
                <w:u w:val="single"/>
              </w:rPr>
              <w:t>品</w:t>
            </w:r>
          </w:p>
        </w:tc>
        <w:tc>
          <w:tcPr>
            <w:tcW w:w="1418" w:type="dxa"/>
            <w:tcBorders>
              <w:bottom w:val="single" w:sz="4" w:space="0" w:color="auto"/>
            </w:tcBorders>
            <w:tcMar>
              <w:top w:w="28" w:type="dxa"/>
              <w:bottom w:w="28" w:type="dxa"/>
            </w:tcMar>
          </w:tcPr>
          <w:p w:rsidR="00000000" w:rsidRDefault="00000000">
            <w:pPr>
              <w:spacing w:before="60" w:line="320" w:lineRule="exact"/>
              <w:ind w:right="337"/>
              <w:jc w:val="right"/>
              <w:rPr>
                <w:rFonts w:hint="eastAsia"/>
                <w:spacing w:val="4"/>
                <w:sz w:val="21"/>
                <w:u w:val="single"/>
              </w:rPr>
            </w:pPr>
            <w:r>
              <w:rPr>
                <w:rFonts w:hint="eastAsia"/>
                <w:spacing w:val="4"/>
                <w:sz w:val="21"/>
                <w:u w:val="single"/>
              </w:rPr>
              <w:t>单</w:t>
            </w:r>
            <w:r>
              <w:rPr>
                <w:rFonts w:hint="eastAsia"/>
                <w:spacing w:val="4"/>
                <w:sz w:val="21"/>
                <w:u w:val="single"/>
              </w:rPr>
              <w:t xml:space="preserve"> </w:t>
            </w:r>
            <w:r>
              <w:rPr>
                <w:rFonts w:hint="eastAsia"/>
                <w:spacing w:val="4"/>
                <w:sz w:val="21"/>
                <w:u w:val="single"/>
              </w:rPr>
              <w:t>位</w:t>
            </w:r>
          </w:p>
        </w:tc>
        <w:tc>
          <w:tcPr>
            <w:tcW w:w="1191" w:type="dxa"/>
            <w:tcBorders>
              <w:bottom w:val="single" w:sz="4" w:space="0" w:color="auto"/>
            </w:tcBorders>
            <w:tcMar>
              <w:top w:w="28" w:type="dxa"/>
              <w:left w:w="28" w:type="dxa"/>
              <w:bottom w:w="28" w:type="dxa"/>
              <w:right w:w="28" w:type="dxa"/>
            </w:tcMar>
          </w:tcPr>
          <w:p w:rsidR="00000000" w:rsidRDefault="00000000">
            <w:pPr>
              <w:tabs>
                <w:tab w:val="left" w:pos="442"/>
              </w:tabs>
              <w:spacing w:before="60" w:line="320" w:lineRule="exact"/>
              <w:jc w:val="center"/>
              <w:rPr>
                <w:rFonts w:hint="eastAsia"/>
                <w:spacing w:val="4"/>
                <w:sz w:val="21"/>
                <w:u w:val="single"/>
              </w:rPr>
            </w:pPr>
            <w:r>
              <w:rPr>
                <w:rFonts w:hint="eastAsia"/>
                <w:spacing w:val="4"/>
                <w:sz w:val="21"/>
                <w:u w:val="single"/>
              </w:rPr>
              <w:t>1997</w:t>
            </w:r>
            <w:r>
              <w:rPr>
                <w:rFonts w:hint="eastAsia"/>
                <w:spacing w:val="4"/>
                <w:sz w:val="21"/>
                <w:u w:val="single"/>
              </w:rPr>
              <w:t>年</w:t>
            </w:r>
          </w:p>
        </w:tc>
        <w:tc>
          <w:tcPr>
            <w:tcW w:w="1191" w:type="dxa"/>
            <w:tcBorders>
              <w:bottom w:val="single" w:sz="4" w:space="0" w:color="auto"/>
            </w:tcBorders>
            <w:tcMar>
              <w:top w:w="28" w:type="dxa"/>
              <w:left w:w="57" w:type="dxa"/>
              <w:bottom w:w="28" w:type="dxa"/>
            </w:tcMar>
          </w:tcPr>
          <w:p w:rsidR="00000000" w:rsidRDefault="00000000">
            <w:pPr>
              <w:tabs>
                <w:tab w:val="left" w:pos="442"/>
              </w:tabs>
              <w:spacing w:before="60" w:line="320" w:lineRule="exact"/>
              <w:jc w:val="center"/>
              <w:rPr>
                <w:rFonts w:hint="eastAsia"/>
                <w:spacing w:val="4"/>
                <w:sz w:val="21"/>
                <w:u w:val="single"/>
              </w:rPr>
            </w:pPr>
            <w:r>
              <w:rPr>
                <w:rFonts w:hint="eastAsia"/>
                <w:spacing w:val="4"/>
                <w:sz w:val="21"/>
                <w:u w:val="single"/>
              </w:rPr>
              <w:t>1998</w:t>
            </w:r>
            <w:r>
              <w:rPr>
                <w:rFonts w:hint="eastAsia"/>
                <w:spacing w:val="4"/>
                <w:sz w:val="21"/>
                <w:u w:val="single"/>
              </w:rPr>
              <w:t>年</w:t>
            </w:r>
          </w:p>
        </w:tc>
        <w:tc>
          <w:tcPr>
            <w:tcW w:w="1191" w:type="dxa"/>
            <w:tcBorders>
              <w:bottom w:val="single" w:sz="4" w:space="0" w:color="auto"/>
            </w:tcBorders>
            <w:tcMar>
              <w:left w:w="57" w:type="dxa"/>
            </w:tcMar>
          </w:tcPr>
          <w:p w:rsidR="00000000" w:rsidRDefault="00000000">
            <w:pPr>
              <w:tabs>
                <w:tab w:val="left" w:pos="442"/>
              </w:tabs>
              <w:spacing w:before="60" w:line="320" w:lineRule="exact"/>
              <w:jc w:val="center"/>
              <w:rPr>
                <w:rFonts w:hint="eastAsia"/>
                <w:spacing w:val="4"/>
                <w:sz w:val="21"/>
                <w:u w:val="single"/>
              </w:rPr>
            </w:pPr>
            <w:r>
              <w:rPr>
                <w:rFonts w:hint="eastAsia"/>
                <w:spacing w:val="4"/>
                <w:sz w:val="21"/>
                <w:u w:val="single"/>
              </w:rPr>
              <w:t>1999</w:t>
            </w:r>
            <w:r>
              <w:rPr>
                <w:rFonts w:hint="eastAsia"/>
                <w:spacing w:val="4"/>
                <w:sz w:val="21"/>
                <w:u w:val="single"/>
              </w:rPr>
              <w:t>年</w:t>
            </w:r>
          </w:p>
        </w:tc>
        <w:tc>
          <w:tcPr>
            <w:tcW w:w="1191" w:type="dxa"/>
            <w:tcBorders>
              <w:bottom w:val="single" w:sz="4" w:space="0" w:color="auto"/>
            </w:tcBorders>
            <w:tcMar>
              <w:left w:w="57" w:type="dxa"/>
            </w:tcMar>
          </w:tcPr>
          <w:p w:rsidR="00000000" w:rsidRDefault="00000000">
            <w:pPr>
              <w:tabs>
                <w:tab w:val="left" w:pos="442"/>
              </w:tabs>
              <w:spacing w:before="60" w:line="320" w:lineRule="exact"/>
              <w:jc w:val="center"/>
              <w:rPr>
                <w:rFonts w:hint="eastAsia"/>
                <w:spacing w:val="4"/>
                <w:sz w:val="21"/>
                <w:u w:val="single"/>
              </w:rPr>
            </w:pPr>
            <w:r>
              <w:rPr>
                <w:rFonts w:hint="eastAsia"/>
                <w:spacing w:val="4"/>
                <w:sz w:val="21"/>
                <w:u w:val="single"/>
              </w:rPr>
              <w:t>2000</w:t>
            </w:r>
            <w:r>
              <w:rPr>
                <w:rFonts w:hint="eastAsia"/>
                <w:spacing w:val="4"/>
                <w:sz w:val="21"/>
                <w:u w:val="single"/>
              </w:rPr>
              <w:t>年</w:t>
            </w:r>
          </w:p>
        </w:tc>
      </w:tr>
      <w:tr w:rsidR="00000000">
        <w:tc>
          <w:tcPr>
            <w:tcW w:w="600" w:type="dxa"/>
            <w:tcBorders>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1.</w:t>
            </w:r>
          </w:p>
        </w:tc>
        <w:tc>
          <w:tcPr>
            <w:tcW w:w="2519" w:type="dxa"/>
            <w:tcBorders>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盒装茶叶</w:t>
            </w:r>
          </w:p>
        </w:tc>
        <w:tc>
          <w:tcPr>
            <w:tcW w:w="1418" w:type="dxa"/>
            <w:tcBorders>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bottom w:val="nil"/>
            </w:tcBorders>
          </w:tcPr>
          <w:p w:rsidR="00000000" w:rsidRDefault="00000000">
            <w:pPr>
              <w:tabs>
                <w:tab w:val="decimal" w:pos="715"/>
              </w:tabs>
              <w:spacing w:before="60" w:line="320" w:lineRule="exact"/>
              <w:rPr>
                <w:spacing w:val="4"/>
                <w:sz w:val="21"/>
              </w:rPr>
            </w:pPr>
            <w:r>
              <w:rPr>
                <w:spacing w:val="4"/>
                <w:sz w:val="21"/>
              </w:rPr>
              <w:t>6,303</w:t>
            </w:r>
          </w:p>
        </w:tc>
        <w:tc>
          <w:tcPr>
            <w:tcW w:w="1191" w:type="dxa"/>
            <w:tcBorders>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2,956</w:t>
            </w:r>
          </w:p>
        </w:tc>
        <w:tc>
          <w:tcPr>
            <w:tcW w:w="1191" w:type="dxa"/>
            <w:tcBorders>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2,648</w:t>
            </w:r>
          </w:p>
        </w:tc>
        <w:tc>
          <w:tcPr>
            <w:tcW w:w="1191" w:type="dxa"/>
            <w:tcBorders>
              <w:bottom w:val="nil"/>
            </w:tcBorders>
            <w:tcMar>
              <w:left w:w="57" w:type="dxa"/>
            </w:tcMar>
          </w:tcPr>
          <w:p w:rsidR="00000000" w:rsidRDefault="00000000">
            <w:pPr>
              <w:tabs>
                <w:tab w:val="decimal" w:pos="715"/>
              </w:tabs>
              <w:spacing w:before="60" w:line="320" w:lineRule="exact"/>
              <w:rPr>
                <w:spacing w:val="4"/>
                <w:sz w:val="21"/>
              </w:rPr>
            </w:pPr>
            <w:r>
              <w:rPr>
                <w:spacing w:val="4"/>
                <w:sz w:val="21"/>
              </w:rPr>
              <w:t>2,031</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2.</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粗加工茶叶</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9,274</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9,989</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12,898</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4,949</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3.</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绿茶砖</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1,249</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1,915</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1,861</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1,110</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4.</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葡萄酒和葡萄酒制品</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千公升</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2,883.0</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2,304.0</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1,939.0</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1,816.0</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5.</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白兰地</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千公升</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78.1</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37.8</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31.1</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70.6</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6.</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伏特加和其他烈性酒</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千公升</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276.0</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112.7</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463.8</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430.1</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7.</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香槟酒</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千瓶</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133.4</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40.3</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66.9</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87.9</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8.</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香烟</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百万支</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917</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601</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1327</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285</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9.</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发酵烟叶</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318</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791</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161</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10.</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糖果点心</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234</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276</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154</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143</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11.</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砂糖</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19,695</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20,012</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35,282</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12.</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矿泉水</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千瓶</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66,443</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61,286</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49,662</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72,265</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13.</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其他饮用水</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千瓶</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865</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7,462</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3,248</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8,186</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14.</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啤酒</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千瓶</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783</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971</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1,257</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2,345</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15.</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非酒精饮料</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千瓶</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4,031</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2,903</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2,195</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2,867</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16.</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水果和蔬菜加工产品</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千听</w:t>
            </w:r>
            <w:r>
              <w:rPr>
                <w:rFonts w:hint="eastAsia"/>
                <w:spacing w:val="4"/>
                <w:sz w:val="21"/>
              </w:rPr>
              <w:t>(</w:t>
            </w:r>
            <w:r>
              <w:rPr>
                <w:rFonts w:hint="eastAsia"/>
                <w:spacing w:val="4"/>
                <w:sz w:val="21"/>
              </w:rPr>
              <w:t>罐</w:t>
            </w:r>
            <w:r>
              <w:rPr>
                <w:rFonts w:hint="eastAsia"/>
                <w:spacing w:val="4"/>
                <w:sz w:val="21"/>
              </w:rPr>
              <w:t>)</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9,078</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2,943</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6,626</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4,625</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17.</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一等品肉类</w:t>
            </w:r>
            <w:r>
              <w:rPr>
                <w:rFonts w:hint="eastAsia"/>
                <w:spacing w:val="4"/>
                <w:sz w:val="21"/>
              </w:rPr>
              <w:t>(</w:t>
            </w:r>
            <w:r>
              <w:rPr>
                <w:rFonts w:hint="eastAsia"/>
                <w:spacing w:val="4"/>
                <w:sz w:val="21"/>
              </w:rPr>
              <w:t>以及副产品</w:t>
            </w:r>
            <w:r>
              <w:rPr>
                <w:rFonts w:hint="eastAsia"/>
                <w:spacing w:val="4"/>
                <w:sz w:val="21"/>
              </w:rPr>
              <w:t>)</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39</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178</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6</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9</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18.</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全脂奶制品</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5,354</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6,639</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4,587</w:t>
            </w:r>
          </w:p>
        </w:tc>
        <w:tc>
          <w:tcPr>
            <w:tcW w:w="1191" w:type="dxa"/>
            <w:tcBorders>
              <w:top w:val="nil"/>
              <w:bottom w:val="nil"/>
            </w:tcBorders>
            <w:tcMar>
              <w:left w:w="57" w:type="dxa"/>
            </w:tcMar>
          </w:tcPr>
          <w:p w:rsidR="00000000" w:rsidRDefault="00000000">
            <w:pPr>
              <w:tabs>
                <w:tab w:val="decimal" w:pos="715"/>
              </w:tabs>
              <w:spacing w:before="60" w:line="320" w:lineRule="exact"/>
              <w:rPr>
                <w:rFonts w:hint="eastAsia"/>
                <w:spacing w:val="4"/>
                <w:sz w:val="21"/>
              </w:rPr>
            </w:pPr>
            <w:r>
              <w:rPr>
                <w:spacing w:val="4"/>
                <w:sz w:val="21"/>
              </w:rPr>
              <w:t>3,739</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br w:type="page"/>
              <w:t>19.</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脂肪奶酪和其他白奶酪</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lang w:val="fr-CH"/>
              </w:rPr>
            </w:pPr>
            <w:r>
              <w:rPr>
                <w:spacing w:val="4"/>
                <w:sz w:val="21"/>
                <w:lang w:val="fr-CH"/>
              </w:rPr>
              <w:t>132</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lang w:val="fr-CH"/>
              </w:rPr>
            </w:pPr>
            <w:r>
              <w:rPr>
                <w:spacing w:val="4"/>
                <w:sz w:val="21"/>
                <w:lang w:val="fr-CH"/>
              </w:rPr>
              <w:t>47</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lang w:val="fr-CH"/>
              </w:rPr>
            </w:pPr>
            <w:r>
              <w:rPr>
                <w:spacing w:val="4"/>
                <w:sz w:val="21"/>
                <w:lang w:val="fr-CH"/>
              </w:rPr>
              <w:t>92</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lang w:val="fr-CH"/>
              </w:rPr>
            </w:pPr>
            <w:r>
              <w:rPr>
                <w:spacing w:val="4"/>
                <w:sz w:val="21"/>
                <w:lang w:val="fr-CH"/>
              </w:rPr>
              <w:t>65</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lang w:val="fr-CH"/>
              </w:rPr>
            </w:pPr>
            <w:r>
              <w:rPr>
                <w:spacing w:val="4"/>
                <w:sz w:val="21"/>
                <w:lang w:val="fr-CH"/>
              </w:rPr>
              <w:t>20.</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黄油</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lang w:val="fr-CH"/>
              </w:rPr>
            </w:pPr>
            <w:r>
              <w:rPr>
                <w:spacing w:val="4"/>
                <w:sz w:val="21"/>
                <w:lang w:val="fr-CH"/>
              </w:rPr>
              <w:t>887</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lang w:val="fr-CH"/>
              </w:rPr>
            </w:pPr>
            <w:r>
              <w:rPr>
                <w:spacing w:val="4"/>
                <w:sz w:val="21"/>
                <w:lang w:val="fr-CH"/>
              </w:rPr>
              <w:t>265</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lang w:val="fr-CH"/>
              </w:rPr>
            </w:pPr>
            <w:r>
              <w:rPr>
                <w:spacing w:val="4"/>
                <w:sz w:val="21"/>
                <w:lang w:val="fr-CH"/>
              </w:rPr>
              <w:t>1,490</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lang w:val="fr-CH"/>
              </w:rPr>
            </w:pPr>
            <w:r>
              <w:rPr>
                <w:spacing w:val="4"/>
                <w:sz w:val="21"/>
                <w:lang w:val="fr-CH"/>
              </w:rPr>
              <w:t>812</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lang w:val="fr-CH"/>
              </w:rPr>
            </w:pPr>
            <w:r>
              <w:rPr>
                <w:spacing w:val="4"/>
                <w:sz w:val="21"/>
                <w:lang w:val="fr-CH"/>
              </w:rPr>
              <w:t>21.</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腊肠</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898</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1,152</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1,422</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906</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22.</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鱼制品</w:t>
            </w:r>
            <w:r>
              <w:rPr>
                <w:rFonts w:hint="eastAsia"/>
                <w:spacing w:val="4"/>
                <w:sz w:val="21"/>
              </w:rPr>
              <w:t>(</w:t>
            </w:r>
            <w:r>
              <w:rPr>
                <w:rFonts w:hint="eastAsia"/>
                <w:spacing w:val="4"/>
                <w:sz w:val="21"/>
              </w:rPr>
              <w:t>包括罐头</w:t>
            </w:r>
            <w:r>
              <w:rPr>
                <w:rFonts w:hint="eastAsia"/>
                <w:spacing w:val="4"/>
                <w:sz w:val="21"/>
              </w:rPr>
              <w:t>)</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107</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15.9</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3.1</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62</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23.</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所有植物油</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830</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542</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476</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189</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24.</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面包和面包制品</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297.9</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172.5</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113.6</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109.4</w:t>
            </w:r>
          </w:p>
        </w:tc>
      </w:tr>
      <w:tr w:rsidR="00000000">
        <w:tc>
          <w:tcPr>
            <w:tcW w:w="600" w:type="dxa"/>
            <w:tcBorders>
              <w:top w:val="nil"/>
              <w:bottom w:val="nil"/>
            </w:tcBorders>
            <w:tcMar>
              <w:left w:w="85" w:type="dxa"/>
            </w:tcMar>
          </w:tcPr>
          <w:p w:rsidR="00000000" w:rsidRDefault="00000000">
            <w:pPr>
              <w:tabs>
                <w:tab w:val="left" w:pos="442"/>
              </w:tabs>
              <w:spacing w:before="60" w:line="320" w:lineRule="exact"/>
              <w:jc w:val="center"/>
              <w:rPr>
                <w:spacing w:val="4"/>
                <w:sz w:val="21"/>
              </w:rPr>
            </w:pPr>
            <w:r>
              <w:rPr>
                <w:spacing w:val="4"/>
                <w:sz w:val="21"/>
              </w:rPr>
              <w:t>25.</w:t>
            </w:r>
          </w:p>
        </w:tc>
        <w:tc>
          <w:tcPr>
            <w:tcW w:w="2519" w:type="dxa"/>
            <w:tcBorders>
              <w:top w:val="nil"/>
              <w:bottom w:val="nil"/>
            </w:tcBorders>
          </w:tcPr>
          <w:p w:rsidR="00000000" w:rsidRDefault="00000000">
            <w:pPr>
              <w:tabs>
                <w:tab w:val="left" w:pos="442"/>
              </w:tabs>
              <w:spacing w:before="60" w:line="320" w:lineRule="exact"/>
              <w:rPr>
                <w:rFonts w:hint="eastAsia"/>
                <w:spacing w:val="4"/>
                <w:sz w:val="21"/>
              </w:rPr>
            </w:pPr>
            <w:r>
              <w:rPr>
                <w:rFonts w:hint="eastAsia"/>
                <w:spacing w:val="4"/>
                <w:sz w:val="21"/>
              </w:rPr>
              <w:t>所有面粉</w:t>
            </w:r>
          </w:p>
        </w:tc>
        <w:tc>
          <w:tcPr>
            <w:tcW w:w="1418" w:type="dxa"/>
            <w:tcBorders>
              <w:top w:val="nil"/>
              <w:bottom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千吨</w:t>
            </w:r>
          </w:p>
        </w:tc>
        <w:tc>
          <w:tcPr>
            <w:tcW w:w="1191" w:type="dxa"/>
            <w:tcBorders>
              <w:top w:val="nil"/>
              <w:bottom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180.2</w:t>
            </w:r>
          </w:p>
        </w:tc>
        <w:tc>
          <w:tcPr>
            <w:tcW w:w="1191" w:type="dxa"/>
            <w:tcBorders>
              <w:top w:val="nil"/>
              <w:bottom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147.6</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114.4</w:t>
            </w:r>
          </w:p>
        </w:tc>
        <w:tc>
          <w:tcPr>
            <w:tcW w:w="1191" w:type="dxa"/>
            <w:tcBorders>
              <w:top w:val="nil"/>
              <w:bottom w:val="nil"/>
            </w:tcBorders>
            <w:tcMar>
              <w:left w:w="57" w:type="dxa"/>
            </w:tcMar>
          </w:tcPr>
          <w:p w:rsidR="00000000" w:rsidRDefault="00000000">
            <w:pPr>
              <w:tabs>
                <w:tab w:val="decimal" w:pos="715"/>
              </w:tabs>
              <w:spacing w:before="60" w:line="320" w:lineRule="exact"/>
              <w:rPr>
                <w:spacing w:val="4"/>
                <w:sz w:val="21"/>
              </w:rPr>
            </w:pPr>
            <w:r>
              <w:rPr>
                <w:spacing w:val="4"/>
                <w:sz w:val="21"/>
              </w:rPr>
              <w:t>101.4</w:t>
            </w:r>
          </w:p>
        </w:tc>
      </w:tr>
      <w:tr w:rsidR="00000000">
        <w:tc>
          <w:tcPr>
            <w:tcW w:w="600" w:type="dxa"/>
            <w:tcBorders>
              <w:top w:val="nil"/>
            </w:tcBorders>
            <w:tcMar>
              <w:left w:w="85" w:type="dxa"/>
            </w:tcMar>
          </w:tcPr>
          <w:p w:rsidR="00000000" w:rsidRDefault="00000000">
            <w:pPr>
              <w:tabs>
                <w:tab w:val="left" w:pos="442"/>
              </w:tabs>
              <w:spacing w:before="60" w:line="320" w:lineRule="exact"/>
              <w:jc w:val="center"/>
              <w:rPr>
                <w:spacing w:val="4"/>
                <w:sz w:val="21"/>
              </w:rPr>
            </w:pPr>
            <w:r>
              <w:rPr>
                <w:spacing w:val="4"/>
                <w:sz w:val="21"/>
              </w:rPr>
              <w:t>26.</w:t>
            </w:r>
          </w:p>
        </w:tc>
        <w:tc>
          <w:tcPr>
            <w:tcW w:w="2519" w:type="dxa"/>
            <w:tcBorders>
              <w:top w:val="nil"/>
            </w:tcBorders>
          </w:tcPr>
          <w:p w:rsidR="00000000" w:rsidRDefault="00000000">
            <w:pPr>
              <w:tabs>
                <w:tab w:val="left" w:pos="442"/>
              </w:tabs>
              <w:spacing w:before="60" w:line="320" w:lineRule="exact"/>
              <w:rPr>
                <w:rFonts w:hint="eastAsia"/>
                <w:spacing w:val="4"/>
                <w:sz w:val="21"/>
              </w:rPr>
            </w:pPr>
            <w:r>
              <w:rPr>
                <w:rFonts w:hint="eastAsia"/>
                <w:spacing w:val="4"/>
                <w:sz w:val="21"/>
              </w:rPr>
              <w:t>面制品</w:t>
            </w:r>
          </w:p>
        </w:tc>
        <w:tc>
          <w:tcPr>
            <w:tcW w:w="1418" w:type="dxa"/>
            <w:tcBorders>
              <w:top w:val="nil"/>
            </w:tcBorders>
            <w:tcMar>
              <w:top w:w="28" w:type="dxa"/>
              <w:bottom w:w="28" w:type="dxa"/>
            </w:tcMar>
          </w:tcPr>
          <w:p w:rsidR="00000000" w:rsidRDefault="00000000">
            <w:pPr>
              <w:spacing w:before="60" w:line="320" w:lineRule="exact"/>
              <w:ind w:right="337"/>
              <w:jc w:val="right"/>
              <w:rPr>
                <w:rFonts w:hint="eastAsia"/>
                <w:spacing w:val="4"/>
                <w:sz w:val="21"/>
              </w:rPr>
            </w:pPr>
            <w:r>
              <w:rPr>
                <w:rFonts w:hint="eastAsia"/>
                <w:spacing w:val="4"/>
                <w:sz w:val="21"/>
              </w:rPr>
              <w:t>吨</w:t>
            </w:r>
          </w:p>
        </w:tc>
        <w:tc>
          <w:tcPr>
            <w:tcW w:w="1191" w:type="dxa"/>
            <w:tcBorders>
              <w:top w:val="nil"/>
            </w:tcBorders>
            <w:tcMar>
              <w:top w:w="28" w:type="dxa"/>
              <w:left w:w="28" w:type="dxa"/>
              <w:bottom w:w="28" w:type="dxa"/>
              <w:right w:w="28" w:type="dxa"/>
            </w:tcMar>
          </w:tcPr>
          <w:p w:rsidR="00000000" w:rsidRDefault="00000000">
            <w:pPr>
              <w:tabs>
                <w:tab w:val="decimal" w:pos="715"/>
              </w:tabs>
              <w:spacing w:before="60" w:line="320" w:lineRule="exact"/>
              <w:rPr>
                <w:spacing w:val="4"/>
                <w:sz w:val="21"/>
              </w:rPr>
            </w:pPr>
            <w:r>
              <w:rPr>
                <w:spacing w:val="4"/>
                <w:sz w:val="21"/>
              </w:rPr>
              <w:t>344</w:t>
            </w:r>
          </w:p>
        </w:tc>
        <w:tc>
          <w:tcPr>
            <w:tcW w:w="1191" w:type="dxa"/>
            <w:tcBorders>
              <w:top w:val="nil"/>
            </w:tcBorders>
            <w:tcMar>
              <w:top w:w="28" w:type="dxa"/>
              <w:left w:w="57" w:type="dxa"/>
              <w:bottom w:w="28" w:type="dxa"/>
            </w:tcMar>
          </w:tcPr>
          <w:p w:rsidR="00000000" w:rsidRDefault="00000000">
            <w:pPr>
              <w:tabs>
                <w:tab w:val="decimal" w:pos="715"/>
              </w:tabs>
              <w:spacing w:before="60" w:line="320" w:lineRule="exact"/>
              <w:rPr>
                <w:spacing w:val="4"/>
                <w:sz w:val="21"/>
              </w:rPr>
            </w:pPr>
            <w:r>
              <w:rPr>
                <w:spacing w:val="4"/>
                <w:sz w:val="21"/>
              </w:rPr>
              <w:t>860</w:t>
            </w:r>
          </w:p>
        </w:tc>
        <w:tc>
          <w:tcPr>
            <w:tcW w:w="1191" w:type="dxa"/>
            <w:tcBorders>
              <w:top w:val="nil"/>
            </w:tcBorders>
            <w:tcMar>
              <w:left w:w="57" w:type="dxa"/>
            </w:tcMar>
          </w:tcPr>
          <w:p w:rsidR="00000000" w:rsidRDefault="00000000">
            <w:pPr>
              <w:tabs>
                <w:tab w:val="decimal" w:pos="715"/>
              </w:tabs>
              <w:spacing w:before="60" w:line="320" w:lineRule="exact"/>
              <w:rPr>
                <w:spacing w:val="4"/>
                <w:sz w:val="21"/>
              </w:rPr>
            </w:pPr>
            <w:r>
              <w:rPr>
                <w:spacing w:val="4"/>
                <w:sz w:val="21"/>
              </w:rPr>
              <w:t>470</w:t>
            </w:r>
          </w:p>
        </w:tc>
        <w:tc>
          <w:tcPr>
            <w:tcW w:w="1191" w:type="dxa"/>
            <w:tcBorders>
              <w:top w:val="nil"/>
            </w:tcBorders>
            <w:tcMar>
              <w:left w:w="57" w:type="dxa"/>
            </w:tcMar>
          </w:tcPr>
          <w:p w:rsidR="00000000" w:rsidRDefault="00000000">
            <w:pPr>
              <w:tabs>
                <w:tab w:val="decimal" w:pos="715"/>
              </w:tabs>
              <w:spacing w:before="60" w:line="320" w:lineRule="exact"/>
              <w:rPr>
                <w:spacing w:val="4"/>
                <w:sz w:val="21"/>
              </w:rPr>
            </w:pPr>
            <w:r>
              <w:rPr>
                <w:spacing w:val="4"/>
                <w:sz w:val="21"/>
              </w:rPr>
              <w:t>270</w:t>
            </w:r>
          </w:p>
        </w:tc>
      </w:tr>
    </w:tbl>
    <w:p w:rsidR="00000000" w:rsidRDefault="00000000"/>
    <w:p w:rsidR="00000000" w:rsidRDefault="00000000">
      <w:pPr>
        <w:rPr>
          <w:rFonts w:hint="eastAsia"/>
        </w:rPr>
      </w:pPr>
      <w:r>
        <w:rPr>
          <w:rFonts w:hint="eastAsia"/>
        </w:rPr>
        <w:tab/>
        <w:t xml:space="preserve">151.  </w:t>
      </w:r>
      <w:r>
        <w:rPr>
          <w:rFonts w:hint="eastAsia"/>
          <w:spacing w:val="6"/>
        </w:rPr>
        <w:t>正如表格所表明，令人遗憾的是，经济改革进程开始时</w:t>
      </w:r>
      <w:r>
        <w:rPr>
          <w:rFonts w:hint="eastAsia"/>
          <w:spacing w:val="6"/>
        </w:rPr>
        <w:t>(1997</w:t>
      </w:r>
      <w:r>
        <w:rPr>
          <w:rFonts w:hint="eastAsia"/>
          <w:spacing w:val="6"/>
        </w:rPr>
        <w:t>年</w:t>
      </w:r>
      <w:r>
        <w:rPr>
          <w:rFonts w:hint="eastAsia"/>
          <w:spacing w:val="6"/>
        </w:rPr>
        <w:t>)</w:t>
      </w:r>
      <w:r>
        <w:rPr>
          <w:rFonts w:hint="eastAsia"/>
          <w:spacing w:val="6"/>
        </w:rPr>
        <w:t>生产滑坡的暂停没有成为一种普遍的趋势。同</w:t>
      </w:r>
      <w:r>
        <w:rPr>
          <w:rFonts w:hint="eastAsia"/>
          <w:spacing w:val="6"/>
        </w:rPr>
        <w:t>1997</w:t>
      </w:r>
      <w:r>
        <w:rPr>
          <w:rFonts w:hint="eastAsia"/>
          <w:spacing w:val="6"/>
        </w:rPr>
        <w:t>年相比，</w:t>
      </w:r>
      <w:r>
        <w:rPr>
          <w:rFonts w:hint="eastAsia"/>
          <w:spacing w:val="6"/>
        </w:rPr>
        <w:t>2000</w:t>
      </w:r>
      <w:r>
        <w:rPr>
          <w:rFonts w:hint="eastAsia"/>
          <w:spacing w:val="6"/>
        </w:rPr>
        <w:t>年，</w:t>
      </w:r>
      <w:r>
        <w:rPr>
          <w:rFonts w:hint="eastAsia"/>
          <w:spacing w:val="6"/>
        </w:rPr>
        <w:t>26</w:t>
      </w:r>
      <w:r>
        <w:rPr>
          <w:rFonts w:hint="eastAsia"/>
          <w:spacing w:val="6"/>
        </w:rPr>
        <w:t>个食品类中只有</w:t>
      </w:r>
      <w:r>
        <w:rPr>
          <w:rFonts w:hint="eastAsia"/>
          <w:spacing w:val="6"/>
        </w:rPr>
        <w:t>4</w:t>
      </w:r>
      <w:r>
        <w:rPr>
          <w:rFonts w:hint="eastAsia"/>
          <w:spacing w:val="6"/>
        </w:rPr>
        <w:t>类</w:t>
      </w:r>
      <w:r>
        <w:rPr>
          <w:rFonts w:hint="eastAsia"/>
          <w:spacing w:val="6"/>
        </w:rPr>
        <w:t>(</w:t>
      </w:r>
      <w:r>
        <w:rPr>
          <w:rFonts w:hint="eastAsia"/>
          <w:spacing w:val="6"/>
        </w:rPr>
        <w:t>伏特加和其他烈性酒、糖、矿泉水和啤酒</w:t>
      </w:r>
      <w:r>
        <w:rPr>
          <w:rFonts w:hint="eastAsia"/>
          <w:spacing w:val="6"/>
        </w:rPr>
        <w:t>)</w:t>
      </w:r>
      <w:r>
        <w:rPr>
          <w:rFonts w:hint="eastAsia"/>
          <w:spacing w:val="6"/>
        </w:rPr>
        <w:t>的生产水平有所提高。不管怎样，由于法律、财政和社会方面的普遍原因，从所有方面来说，已经入帐的生产水平极低</w:t>
      </w:r>
      <w:r>
        <w:rPr>
          <w:rFonts w:hint="eastAsia"/>
        </w:rPr>
        <w:t>。</w:t>
      </w:r>
    </w:p>
    <w:p w:rsidR="00000000" w:rsidRDefault="00000000">
      <w:pPr>
        <w:rPr>
          <w:rFonts w:hint="eastAsia"/>
        </w:rPr>
      </w:pPr>
      <w:r>
        <w:rPr>
          <w:rFonts w:hint="eastAsia"/>
        </w:rPr>
        <w:tab/>
        <w:t xml:space="preserve">152.  </w:t>
      </w:r>
      <w:r>
        <w:rPr>
          <w:rFonts w:hint="eastAsia"/>
        </w:rPr>
        <w:t>为了更完整地说明国内为了维护取得足够食物的权利而采取的措施，下文载列了</w:t>
      </w:r>
      <w:r>
        <w:rPr>
          <w:rFonts w:hint="eastAsia"/>
        </w:rPr>
        <w:t>1997-2000</w:t>
      </w:r>
      <w:r>
        <w:rPr>
          <w:rFonts w:hint="eastAsia"/>
        </w:rPr>
        <w:t>年期间食品制品进出口的基本指数</w:t>
      </w:r>
      <w:r>
        <w:rPr>
          <w:rFonts w:hint="eastAsia"/>
        </w:rPr>
        <w:t>(</w:t>
      </w:r>
      <w:r>
        <w:rPr>
          <w:rFonts w:hint="eastAsia"/>
        </w:rPr>
        <w:t>以吨计</w:t>
      </w:r>
      <w:r>
        <w:rPr>
          <w:rFonts w:hint="eastAsia"/>
        </w:rPr>
        <w:t>)</w:t>
      </w:r>
      <w:r>
        <w:rPr>
          <w:rFonts w:hint="eastAsia"/>
        </w:rPr>
        <w:t>。</w:t>
      </w:r>
    </w:p>
    <w:tbl>
      <w:tblPr>
        <w:tblW w:w="92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0" w:type="dxa"/>
          <w:bottom w:w="28" w:type="dxa"/>
          <w:right w:w="0" w:type="dxa"/>
        </w:tblCellMar>
        <w:tblLook w:val="0000" w:firstRow="0" w:lastRow="0" w:firstColumn="0" w:lastColumn="0" w:noHBand="0" w:noVBand="0"/>
      </w:tblPr>
      <w:tblGrid>
        <w:gridCol w:w="1457"/>
        <w:gridCol w:w="974"/>
        <w:gridCol w:w="975"/>
        <w:gridCol w:w="974"/>
        <w:gridCol w:w="975"/>
        <w:gridCol w:w="974"/>
        <w:gridCol w:w="975"/>
        <w:gridCol w:w="974"/>
        <w:gridCol w:w="975"/>
      </w:tblGrid>
      <w:tr w:rsidR="00000000">
        <w:trPr>
          <w:cantSplit/>
          <w:tblHeader/>
        </w:trPr>
        <w:tc>
          <w:tcPr>
            <w:tcW w:w="1457" w:type="dxa"/>
            <w:vMerge w:val="restart"/>
            <w:tcMar>
              <w:left w:w="57" w:type="dxa"/>
              <w:right w:w="57" w:type="dxa"/>
            </w:tcMar>
          </w:tcPr>
          <w:p w:rsidR="00000000" w:rsidRDefault="00000000">
            <w:pPr>
              <w:tabs>
                <w:tab w:val="left" w:pos="442"/>
              </w:tabs>
              <w:spacing w:before="60" w:line="320" w:lineRule="exact"/>
              <w:jc w:val="center"/>
              <w:rPr>
                <w:rFonts w:hint="eastAsia"/>
                <w:spacing w:val="4"/>
                <w:sz w:val="21"/>
                <w:u w:val="single"/>
              </w:rPr>
            </w:pPr>
            <w:r>
              <w:rPr>
                <w:rFonts w:hint="eastAsia"/>
                <w:spacing w:val="4"/>
                <w:sz w:val="21"/>
                <w:u w:val="single"/>
              </w:rPr>
              <w:t>产品类别</w:t>
            </w:r>
          </w:p>
        </w:tc>
        <w:tc>
          <w:tcPr>
            <w:tcW w:w="1949" w:type="dxa"/>
            <w:gridSpan w:val="2"/>
          </w:tcPr>
          <w:p w:rsidR="00000000" w:rsidRDefault="00000000">
            <w:pPr>
              <w:tabs>
                <w:tab w:val="left" w:pos="442"/>
              </w:tabs>
              <w:spacing w:before="60" w:line="320" w:lineRule="exact"/>
              <w:jc w:val="center"/>
              <w:rPr>
                <w:rFonts w:hint="eastAsia"/>
                <w:bCs/>
                <w:spacing w:val="4"/>
                <w:sz w:val="21"/>
                <w:u w:val="single"/>
              </w:rPr>
            </w:pPr>
            <w:r>
              <w:rPr>
                <w:bCs/>
                <w:spacing w:val="4"/>
                <w:sz w:val="21"/>
                <w:u w:val="single"/>
              </w:rPr>
              <w:t>1997</w:t>
            </w:r>
            <w:r>
              <w:rPr>
                <w:rFonts w:hint="eastAsia"/>
                <w:bCs/>
                <w:spacing w:val="4"/>
                <w:sz w:val="21"/>
                <w:u w:val="single"/>
              </w:rPr>
              <w:t>年</w:t>
            </w:r>
          </w:p>
        </w:tc>
        <w:tc>
          <w:tcPr>
            <w:tcW w:w="1949" w:type="dxa"/>
            <w:gridSpan w:val="2"/>
          </w:tcPr>
          <w:p w:rsidR="00000000" w:rsidRDefault="00000000">
            <w:pPr>
              <w:tabs>
                <w:tab w:val="left" w:pos="442"/>
              </w:tabs>
              <w:spacing w:before="60" w:line="320" w:lineRule="exact"/>
              <w:jc w:val="center"/>
              <w:rPr>
                <w:rFonts w:hint="eastAsia"/>
                <w:bCs/>
                <w:spacing w:val="4"/>
                <w:sz w:val="21"/>
                <w:u w:val="single"/>
              </w:rPr>
            </w:pPr>
            <w:r>
              <w:rPr>
                <w:bCs/>
                <w:spacing w:val="4"/>
                <w:sz w:val="21"/>
                <w:u w:val="single"/>
              </w:rPr>
              <w:t>1998</w:t>
            </w:r>
            <w:r>
              <w:rPr>
                <w:rFonts w:hint="eastAsia"/>
                <w:bCs/>
                <w:spacing w:val="4"/>
                <w:sz w:val="21"/>
                <w:u w:val="single"/>
              </w:rPr>
              <w:t>年</w:t>
            </w:r>
          </w:p>
        </w:tc>
        <w:tc>
          <w:tcPr>
            <w:tcW w:w="1949" w:type="dxa"/>
            <w:gridSpan w:val="2"/>
          </w:tcPr>
          <w:p w:rsidR="00000000" w:rsidRDefault="00000000">
            <w:pPr>
              <w:tabs>
                <w:tab w:val="left" w:pos="442"/>
              </w:tabs>
              <w:spacing w:before="60" w:line="320" w:lineRule="exact"/>
              <w:jc w:val="center"/>
              <w:rPr>
                <w:rFonts w:hint="eastAsia"/>
                <w:bCs/>
                <w:spacing w:val="4"/>
                <w:sz w:val="21"/>
                <w:u w:val="single"/>
              </w:rPr>
            </w:pPr>
            <w:r>
              <w:rPr>
                <w:bCs/>
                <w:spacing w:val="4"/>
                <w:sz w:val="21"/>
                <w:u w:val="single"/>
              </w:rPr>
              <w:t>1999</w:t>
            </w:r>
            <w:r>
              <w:rPr>
                <w:rFonts w:hint="eastAsia"/>
                <w:bCs/>
                <w:spacing w:val="4"/>
                <w:sz w:val="21"/>
                <w:u w:val="single"/>
              </w:rPr>
              <w:t>年</w:t>
            </w:r>
          </w:p>
        </w:tc>
        <w:tc>
          <w:tcPr>
            <w:tcW w:w="1949" w:type="dxa"/>
            <w:gridSpan w:val="2"/>
          </w:tcPr>
          <w:p w:rsidR="00000000" w:rsidRDefault="00000000">
            <w:pPr>
              <w:tabs>
                <w:tab w:val="left" w:pos="442"/>
              </w:tabs>
              <w:spacing w:before="60" w:line="320" w:lineRule="exact"/>
              <w:jc w:val="center"/>
              <w:rPr>
                <w:rFonts w:hint="eastAsia"/>
                <w:bCs/>
                <w:spacing w:val="4"/>
                <w:sz w:val="21"/>
                <w:u w:val="single"/>
              </w:rPr>
            </w:pPr>
            <w:r>
              <w:rPr>
                <w:bCs/>
                <w:spacing w:val="4"/>
                <w:sz w:val="21"/>
                <w:u w:val="single"/>
              </w:rPr>
              <w:t>2000</w:t>
            </w:r>
            <w:r>
              <w:rPr>
                <w:rFonts w:hint="eastAsia"/>
                <w:bCs/>
                <w:spacing w:val="4"/>
                <w:sz w:val="21"/>
                <w:u w:val="single"/>
              </w:rPr>
              <w:t>年</w:t>
            </w:r>
          </w:p>
        </w:tc>
      </w:tr>
      <w:tr w:rsidR="00000000">
        <w:trPr>
          <w:cantSplit/>
          <w:tblHeader/>
        </w:trPr>
        <w:tc>
          <w:tcPr>
            <w:tcW w:w="1457" w:type="dxa"/>
            <w:vMerge/>
            <w:tcBorders>
              <w:bottom w:val="single" w:sz="4" w:space="0" w:color="auto"/>
            </w:tcBorders>
            <w:tcMar>
              <w:left w:w="57" w:type="dxa"/>
              <w:right w:w="57" w:type="dxa"/>
            </w:tcMar>
          </w:tcPr>
          <w:p w:rsidR="00000000" w:rsidRDefault="00000000">
            <w:pPr>
              <w:tabs>
                <w:tab w:val="left" w:pos="442"/>
              </w:tabs>
              <w:spacing w:before="60" w:line="320" w:lineRule="exact"/>
              <w:rPr>
                <w:spacing w:val="4"/>
                <w:sz w:val="21"/>
                <w:u w:val="single"/>
              </w:rPr>
            </w:pPr>
          </w:p>
        </w:tc>
        <w:tc>
          <w:tcPr>
            <w:tcW w:w="974" w:type="dxa"/>
            <w:tcBorders>
              <w:bottom w:val="single" w:sz="4" w:space="0" w:color="auto"/>
            </w:tcBorders>
            <w:tcMar>
              <w:right w:w="0" w:type="dxa"/>
            </w:tcMar>
          </w:tcPr>
          <w:p w:rsidR="00000000" w:rsidRDefault="00000000">
            <w:pPr>
              <w:tabs>
                <w:tab w:val="left" w:pos="442"/>
              </w:tabs>
              <w:spacing w:before="60" w:line="320" w:lineRule="exact"/>
              <w:jc w:val="center"/>
              <w:rPr>
                <w:rFonts w:hint="eastAsia"/>
                <w:bCs/>
                <w:spacing w:val="4"/>
                <w:sz w:val="21"/>
                <w:u w:val="single"/>
              </w:rPr>
            </w:pPr>
            <w:r>
              <w:rPr>
                <w:rFonts w:hint="eastAsia"/>
                <w:bCs/>
                <w:spacing w:val="4"/>
                <w:sz w:val="21"/>
                <w:u w:val="single"/>
              </w:rPr>
              <w:t>进口</w:t>
            </w:r>
          </w:p>
        </w:tc>
        <w:tc>
          <w:tcPr>
            <w:tcW w:w="975" w:type="dxa"/>
            <w:tcBorders>
              <w:bottom w:val="single" w:sz="4" w:space="0" w:color="auto"/>
            </w:tcBorders>
          </w:tcPr>
          <w:p w:rsidR="00000000" w:rsidRDefault="00000000">
            <w:pPr>
              <w:tabs>
                <w:tab w:val="left" w:pos="442"/>
              </w:tabs>
              <w:spacing w:before="60" w:line="320" w:lineRule="exact"/>
              <w:jc w:val="center"/>
              <w:rPr>
                <w:rFonts w:hint="eastAsia"/>
                <w:bCs/>
                <w:spacing w:val="4"/>
                <w:sz w:val="21"/>
                <w:u w:val="single"/>
                <w:lang w:val="fr-CH"/>
              </w:rPr>
            </w:pPr>
            <w:r>
              <w:rPr>
                <w:rFonts w:hint="eastAsia"/>
                <w:bCs/>
                <w:spacing w:val="4"/>
                <w:sz w:val="21"/>
                <w:u w:val="single"/>
                <w:lang w:val="fr-CH"/>
              </w:rPr>
              <w:t>出口</w:t>
            </w:r>
          </w:p>
        </w:tc>
        <w:tc>
          <w:tcPr>
            <w:tcW w:w="974" w:type="dxa"/>
            <w:tcBorders>
              <w:bottom w:val="single" w:sz="4" w:space="0" w:color="auto"/>
            </w:tcBorders>
          </w:tcPr>
          <w:p w:rsidR="00000000" w:rsidRDefault="00000000">
            <w:pPr>
              <w:tabs>
                <w:tab w:val="left" w:pos="442"/>
              </w:tabs>
              <w:spacing w:before="60" w:line="320" w:lineRule="exact"/>
              <w:jc w:val="center"/>
              <w:rPr>
                <w:rFonts w:hint="eastAsia"/>
                <w:bCs/>
                <w:spacing w:val="4"/>
                <w:sz w:val="21"/>
                <w:u w:val="single"/>
              </w:rPr>
            </w:pPr>
            <w:r>
              <w:rPr>
                <w:rFonts w:hint="eastAsia"/>
                <w:bCs/>
                <w:spacing w:val="4"/>
                <w:sz w:val="21"/>
                <w:u w:val="single"/>
              </w:rPr>
              <w:t>进口</w:t>
            </w:r>
          </w:p>
        </w:tc>
        <w:tc>
          <w:tcPr>
            <w:tcW w:w="975" w:type="dxa"/>
            <w:tcBorders>
              <w:bottom w:val="single" w:sz="4" w:space="0" w:color="auto"/>
            </w:tcBorders>
          </w:tcPr>
          <w:p w:rsidR="00000000" w:rsidRDefault="00000000">
            <w:pPr>
              <w:tabs>
                <w:tab w:val="left" w:pos="442"/>
              </w:tabs>
              <w:spacing w:before="60" w:line="320" w:lineRule="exact"/>
              <w:jc w:val="center"/>
              <w:rPr>
                <w:rFonts w:hint="eastAsia"/>
                <w:bCs/>
                <w:spacing w:val="4"/>
                <w:sz w:val="21"/>
                <w:u w:val="single"/>
                <w:lang w:val="fr-CH"/>
              </w:rPr>
            </w:pPr>
            <w:r>
              <w:rPr>
                <w:rFonts w:hint="eastAsia"/>
                <w:bCs/>
                <w:spacing w:val="4"/>
                <w:sz w:val="21"/>
                <w:u w:val="single"/>
                <w:lang w:val="fr-CH"/>
              </w:rPr>
              <w:t>出口</w:t>
            </w:r>
          </w:p>
        </w:tc>
        <w:tc>
          <w:tcPr>
            <w:tcW w:w="974" w:type="dxa"/>
            <w:tcBorders>
              <w:bottom w:val="single" w:sz="4" w:space="0" w:color="auto"/>
            </w:tcBorders>
          </w:tcPr>
          <w:p w:rsidR="00000000" w:rsidRDefault="00000000">
            <w:pPr>
              <w:tabs>
                <w:tab w:val="left" w:pos="442"/>
              </w:tabs>
              <w:spacing w:before="60" w:line="320" w:lineRule="exact"/>
              <w:jc w:val="center"/>
              <w:rPr>
                <w:rFonts w:hint="eastAsia"/>
                <w:bCs/>
                <w:spacing w:val="4"/>
                <w:sz w:val="21"/>
                <w:u w:val="single"/>
              </w:rPr>
            </w:pPr>
            <w:r>
              <w:rPr>
                <w:rFonts w:hint="eastAsia"/>
                <w:bCs/>
                <w:spacing w:val="4"/>
                <w:sz w:val="21"/>
                <w:u w:val="single"/>
              </w:rPr>
              <w:t>进口</w:t>
            </w:r>
          </w:p>
        </w:tc>
        <w:tc>
          <w:tcPr>
            <w:tcW w:w="975" w:type="dxa"/>
            <w:tcBorders>
              <w:bottom w:val="single" w:sz="4" w:space="0" w:color="auto"/>
            </w:tcBorders>
          </w:tcPr>
          <w:p w:rsidR="00000000" w:rsidRDefault="00000000">
            <w:pPr>
              <w:tabs>
                <w:tab w:val="left" w:pos="442"/>
              </w:tabs>
              <w:spacing w:before="60" w:line="320" w:lineRule="exact"/>
              <w:jc w:val="center"/>
              <w:rPr>
                <w:rFonts w:hint="eastAsia"/>
                <w:bCs/>
                <w:spacing w:val="4"/>
                <w:sz w:val="21"/>
                <w:u w:val="single"/>
                <w:lang w:val="fr-CH"/>
              </w:rPr>
            </w:pPr>
            <w:r>
              <w:rPr>
                <w:rFonts w:hint="eastAsia"/>
                <w:bCs/>
                <w:spacing w:val="4"/>
                <w:sz w:val="21"/>
                <w:u w:val="single"/>
                <w:lang w:val="fr-CH"/>
              </w:rPr>
              <w:t>出口</w:t>
            </w:r>
          </w:p>
        </w:tc>
        <w:tc>
          <w:tcPr>
            <w:tcW w:w="974" w:type="dxa"/>
            <w:tcBorders>
              <w:bottom w:val="single" w:sz="4" w:space="0" w:color="auto"/>
            </w:tcBorders>
          </w:tcPr>
          <w:p w:rsidR="00000000" w:rsidRDefault="00000000">
            <w:pPr>
              <w:tabs>
                <w:tab w:val="left" w:pos="442"/>
              </w:tabs>
              <w:spacing w:before="60" w:line="320" w:lineRule="exact"/>
              <w:jc w:val="center"/>
              <w:rPr>
                <w:rFonts w:hint="eastAsia"/>
                <w:bCs/>
                <w:spacing w:val="4"/>
                <w:sz w:val="21"/>
                <w:u w:val="single"/>
              </w:rPr>
            </w:pPr>
            <w:r>
              <w:rPr>
                <w:rFonts w:hint="eastAsia"/>
                <w:bCs/>
                <w:spacing w:val="4"/>
                <w:sz w:val="21"/>
                <w:u w:val="single"/>
              </w:rPr>
              <w:t>进口</w:t>
            </w:r>
          </w:p>
        </w:tc>
        <w:tc>
          <w:tcPr>
            <w:tcW w:w="975" w:type="dxa"/>
            <w:tcBorders>
              <w:bottom w:val="single" w:sz="4" w:space="0" w:color="auto"/>
            </w:tcBorders>
          </w:tcPr>
          <w:p w:rsidR="00000000" w:rsidRDefault="00000000">
            <w:pPr>
              <w:tabs>
                <w:tab w:val="left" w:pos="442"/>
              </w:tabs>
              <w:spacing w:before="60" w:line="320" w:lineRule="exact"/>
              <w:jc w:val="center"/>
              <w:rPr>
                <w:rFonts w:hint="eastAsia"/>
                <w:bCs/>
                <w:spacing w:val="4"/>
                <w:sz w:val="21"/>
                <w:u w:val="single"/>
                <w:lang w:val="fr-CH"/>
              </w:rPr>
            </w:pPr>
            <w:r>
              <w:rPr>
                <w:rFonts w:hint="eastAsia"/>
                <w:bCs/>
                <w:spacing w:val="4"/>
                <w:sz w:val="21"/>
                <w:u w:val="single"/>
                <w:lang w:val="fr-CH"/>
              </w:rPr>
              <w:t>出口</w:t>
            </w:r>
          </w:p>
        </w:tc>
      </w:tr>
      <w:tr w:rsidR="00000000">
        <w:trPr>
          <w:cantSplit/>
        </w:trPr>
        <w:tc>
          <w:tcPr>
            <w:tcW w:w="1457" w:type="dxa"/>
            <w:tcBorders>
              <w:bottom w:val="nil"/>
            </w:tcBorders>
            <w:tcMar>
              <w:left w:w="57" w:type="dxa"/>
              <w:right w:w="57" w:type="dxa"/>
            </w:tcMar>
          </w:tcPr>
          <w:p w:rsidR="00000000" w:rsidRDefault="00000000">
            <w:pPr>
              <w:tabs>
                <w:tab w:val="left" w:pos="442"/>
              </w:tabs>
              <w:spacing w:before="60" w:line="320" w:lineRule="exact"/>
              <w:rPr>
                <w:rFonts w:hint="eastAsia"/>
                <w:spacing w:val="4"/>
                <w:sz w:val="21"/>
                <w:lang w:val="fr-CH"/>
              </w:rPr>
            </w:pPr>
            <w:r>
              <w:rPr>
                <w:rFonts w:hint="eastAsia"/>
                <w:spacing w:val="4"/>
                <w:sz w:val="21"/>
                <w:lang w:val="fr-CH"/>
              </w:rPr>
              <w:t>谷物</w:t>
            </w:r>
          </w:p>
        </w:tc>
        <w:tc>
          <w:tcPr>
            <w:tcW w:w="974" w:type="dxa"/>
            <w:tcBorders>
              <w:bottom w:val="nil"/>
            </w:tcBorders>
            <w:tcMar>
              <w:right w:w="0" w:type="dxa"/>
            </w:tcMar>
          </w:tcPr>
          <w:p w:rsidR="00000000" w:rsidRDefault="00000000">
            <w:pPr>
              <w:tabs>
                <w:tab w:val="decimal" w:pos="703"/>
              </w:tabs>
              <w:spacing w:before="60" w:line="320" w:lineRule="exact"/>
              <w:rPr>
                <w:spacing w:val="4"/>
                <w:sz w:val="21"/>
                <w:lang w:val="fr-CH"/>
              </w:rPr>
            </w:pPr>
            <w:r>
              <w:rPr>
                <w:spacing w:val="4"/>
                <w:sz w:val="21"/>
                <w:lang w:val="fr-CH"/>
              </w:rPr>
              <w:t>300,811</w:t>
            </w:r>
          </w:p>
        </w:tc>
        <w:tc>
          <w:tcPr>
            <w:tcW w:w="975" w:type="dxa"/>
            <w:tcBorders>
              <w:bottom w:val="nil"/>
            </w:tcBorders>
          </w:tcPr>
          <w:p w:rsidR="00000000" w:rsidRDefault="00000000">
            <w:pPr>
              <w:tabs>
                <w:tab w:val="decimal" w:pos="703"/>
              </w:tabs>
              <w:spacing w:before="60" w:line="320" w:lineRule="exact"/>
              <w:rPr>
                <w:spacing w:val="4"/>
                <w:sz w:val="21"/>
                <w:lang w:val="fr-CH"/>
              </w:rPr>
            </w:pPr>
            <w:r>
              <w:rPr>
                <w:spacing w:val="4"/>
                <w:sz w:val="21"/>
                <w:lang w:val="fr-CH"/>
              </w:rPr>
              <w:t>-</w:t>
            </w:r>
          </w:p>
        </w:tc>
        <w:tc>
          <w:tcPr>
            <w:tcW w:w="974" w:type="dxa"/>
            <w:tcBorders>
              <w:bottom w:val="nil"/>
            </w:tcBorders>
          </w:tcPr>
          <w:p w:rsidR="00000000" w:rsidRDefault="00000000">
            <w:pPr>
              <w:tabs>
                <w:tab w:val="decimal" w:pos="703"/>
              </w:tabs>
              <w:spacing w:before="60" w:line="320" w:lineRule="exact"/>
              <w:rPr>
                <w:spacing w:val="4"/>
                <w:sz w:val="21"/>
                <w:lang w:val="fr-CH"/>
              </w:rPr>
            </w:pPr>
            <w:r>
              <w:rPr>
                <w:spacing w:val="4"/>
                <w:sz w:val="21"/>
                <w:lang w:val="fr-CH"/>
              </w:rPr>
              <w:t>222,623</w:t>
            </w:r>
          </w:p>
        </w:tc>
        <w:tc>
          <w:tcPr>
            <w:tcW w:w="975" w:type="dxa"/>
            <w:tcBorders>
              <w:bottom w:val="nil"/>
            </w:tcBorders>
          </w:tcPr>
          <w:p w:rsidR="00000000" w:rsidRDefault="00000000">
            <w:pPr>
              <w:tabs>
                <w:tab w:val="decimal" w:pos="703"/>
              </w:tabs>
              <w:spacing w:before="60" w:line="320" w:lineRule="exact"/>
              <w:rPr>
                <w:spacing w:val="4"/>
                <w:sz w:val="21"/>
                <w:lang w:val="fr-CH"/>
              </w:rPr>
            </w:pPr>
            <w:r>
              <w:rPr>
                <w:spacing w:val="4"/>
                <w:sz w:val="21"/>
                <w:lang w:val="fr-CH"/>
              </w:rPr>
              <w:t>11,728</w:t>
            </w:r>
          </w:p>
        </w:tc>
        <w:tc>
          <w:tcPr>
            <w:tcW w:w="974" w:type="dxa"/>
            <w:tcBorders>
              <w:bottom w:val="nil"/>
            </w:tcBorders>
          </w:tcPr>
          <w:p w:rsidR="00000000" w:rsidRDefault="00000000">
            <w:pPr>
              <w:tabs>
                <w:tab w:val="decimal" w:pos="703"/>
              </w:tabs>
              <w:spacing w:before="60" w:line="320" w:lineRule="exact"/>
              <w:rPr>
                <w:spacing w:val="4"/>
                <w:sz w:val="21"/>
                <w:lang w:val="fr-CH"/>
              </w:rPr>
            </w:pPr>
            <w:r>
              <w:rPr>
                <w:spacing w:val="4"/>
                <w:sz w:val="21"/>
                <w:lang w:val="fr-CH"/>
              </w:rPr>
              <w:t>162,410</w:t>
            </w:r>
          </w:p>
        </w:tc>
        <w:tc>
          <w:tcPr>
            <w:tcW w:w="975" w:type="dxa"/>
            <w:tcBorders>
              <w:bottom w:val="nil"/>
            </w:tcBorders>
          </w:tcPr>
          <w:p w:rsidR="00000000" w:rsidRDefault="00000000">
            <w:pPr>
              <w:tabs>
                <w:tab w:val="decimal" w:pos="703"/>
              </w:tabs>
              <w:spacing w:before="60" w:line="320" w:lineRule="exact"/>
              <w:rPr>
                <w:spacing w:val="4"/>
                <w:sz w:val="21"/>
                <w:lang w:val="fr-CH"/>
              </w:rPr>
            </w:pPr>
            <w:r>
              <w:rPr>
                <w:spacing w:val="4"/>
                <w:sz w:val="21"/>
                <w:lang w:val="fr-CH"/>
              </w:rPr>
              <w:t>10,594</w:t>
            </w:r>
          </w:p>
        </w:tc>
        <w:tc>
          <w:tcPr>
            <w:tcW w:w="974" w:type="dxa"/>
            <w:tcBorders>
              <w:bottom w:val="nil"/>
            </w:tcBorders>
          </w:tcPr>
          <w:p w:rsidR="00000000" w:rsidRDefault="00000000">
            <w:pPr>
              <w:tabs>
                <w:tab w:val="decimal" w:pos="703"/>
              </w:tabs>
              <w:spacing w:before="60" w:line="320" w:lineRule="exact"/>
              <w:rPr>
                <w:spacing w:val="4"/>
                <w:sz w:val="21"/>
                <w:lang w:val="fr-CH"/>
              </w:rPr>
            </w:pPr>
            <w:r>
              <w:rPr>
                <w:spacing w:val="4"/>
                <w:sz w:val="21"/>
                <w:lang w:val="fr-CH"/>
              </w:rPr>
              <w:t>202,250</w:t>
            </w:r>
          </w:p>
        </w:tc>
        <w:tc>
          <w:tcPr>
            <w:tcW w:w="975" w:type="dxa"/>
            <w:tcBorders>
              <w:bottom w:val="nil"/>
            </w:tcBorders>
          </w:tcPr>
          <w:p w:rsidR="00000000" w:rsidRDefault="00000000">
            <w:pPr>
              <w:tabs>
                <w:tab w:val="decimal" w:pos="703"/>
              </w:tabs>
              <w:spacing w:before="60" w:line="320" w:lineRule="exact"/>
              <w:rPr>
                <w:spacing w:val="4"/>
                <w:sz w:val="21"/>
                <w:lang w:val="fr-CH"/>
              </w:rPr>
            </w:pPr>
            <w:r>
              <w:rPr>
                <w:spacing w:val="4"/>
                <w:sz w:val="21"/>
                <w:lang w:val="fr-CH"/>
              </w:rPr>
              <w:t>6,952</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lang w:val="fr-CH"/>
              </w:rPr>
            </w:pPr>
            <w:r>
              <w:rPr>
                <w:rFonts w:hint="eastAsia"/>
                <w:spacing w:val="4"/>
                <w:sz w:val="21"/>
                <w:lang w:val="fr-CH"/>
              </w:rPr>
              <w:t>面粉</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rPr>
            </w:pPr>
            <w:r>
              <w:rPr>
                <w:spacing w:val="4"/>
                <w:sz w:val="21"/>
              </w:rPr>
              <w:t>126,540</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1,792</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95,815</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1,688</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85,845</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3,510</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130,666</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9,648</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rPr>
            </w:pPr>
            <w:r>
              <w:rPr>
                <w:rFonts w:hint="eastAsia"/>
                <w:spacing w:val="4"/>
                <w:sz w:val="21"/>
              </w:rPr>
              <w:t>肉类</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rPr>
            </w:pPr>
            <w:r>
              <w:rPr>
                <w:spacing w:val="4"/>
                <w:sz w:val="21"/>
              </w:rPr>
              <w:t>10,396</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381</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25,252</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20,782</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22,995</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17,520</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549</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rPr>
            </w:pPr>
            <w:r>
              <w:rPr>
                <w:rFonts w:hint="eastAsia"/>
                <w:spacing w:val="4"/>
                <w:sz w:val="21"/>
              </w:rPr>
              <w:t>牛奶和奶制品</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rPr>
            </w:pPr>
            <w:r>
              <w:rPr>
                <w:spacing w:val="4"/>
                <w:sz w:val="21"/>
              </w:rPr>
              <w:t>1,943</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15</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1,960</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1,112</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16.7</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556</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36.2</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rPr>
            </w:pPr>
            <w:r>
              <w:rPr>
                <w:rFonts w:hint="eastAsia"/>
                <w:spacing w:val="4"/>
                <w:sz w:val="21"/>
              </w:rPr>
              <w:t>黄油</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rPr>
            </w:pPr>
            <w:r>
              <w:rPr>
                <w:spacing w:val="4"/>
                <w:sz w:val="21"/>
              </w:rPr>
              <w:t>2,837</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78</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4,151</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262</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2,900</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109</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1,927</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rPr>
            </w:pPr>
            <w:r>
              <w:rPr>
                <w:rFonts w:hint="eastAsia"/>
                <w:spacing w:val="4"/>
                <w:sz w:val="21"/>
              </w:rPr>
              <w:t>奶酪</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rPr>
            </w:pPr>
            <w:r>
              <w:rPr>
                <w:spacing w:val="4"/>
                <w:sz w:val="21"/>
              </w:rPr>
              <w:t>70</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50</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68</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2.5</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927</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rPr>
            </w:pPr>
            <w:r>
              <w:rPr>
                <w:rFonts w:hint="eastAsia"/>
                <w:spacing w:val="4"/>
                <w:sz w:val="21"/>
              </w:rPr>
              <w:t>鱼和鱼制品</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rPr>
            </w:pPr>
            <w:r>
              <w:rPr>
                <w:spacing w:val="4"/>
                <w:sz w:val="21"/>
              </w:rPr>
              <w:t>4,259</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1,409</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7,160</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126</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4,532</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2,638</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2,570</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103</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rPr>
            </w:pPr>
            <w:r>
              <w:rPr>
                <w:rFonts w:hint="eastAsia"/>
                <w:spacing w:val="4"/>
                <w:sz w:val="21"/>
              </w:rPr>
              <w:t>植物</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rPr>
            </w:pPr>
            <w:r>
              <w:rPr>
                <w:spacing w:val="4"/>
                <w:sz w:val="21"/>
              </w:rPr>
              <w:t>3,377</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74</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12,244</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6</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2,578</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18</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5,389</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6</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lang w:val="fr-CH"/>
              </w:rPr>
            </w:pPr>
            <w:r>
              <w:rPr>
                <w:rFonts w:hint="eastAsia"/>
                <w:spacing w:val="4"/>
                <w:sz w:val="21"/>
                <w:lang w:val="fr-CH"/>
              </w:rPr>
              <w:t>人造黄油</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lang w:val="fr-CH"/>
              </w:rPr>
            </w:pPr>
            <w:r>
              <w:rPr>
                <w:spacing w:val="4"/>
                <w:sz w:val="21"/>
                <w:lang w:val="fr-CH"/>
              </w:rPr>
              <w:t>-</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30</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3,993</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3,891</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37</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4,090</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50</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lang w:val="fr-CH"/>
              </w:rPr>
            </w:pPr>
            <w:r>
              <w:rPr>
                <w:rFonts w:hint="eastAsia"/>
                <w:spacing w:val="4"/>
                <w:sz w:val="21"/>
                <w:lang w:val="fr-CH"/>
              </w:rPr>
              <w:t>糖</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lang w:val="fr-CH"/>
              </w:rPr>
            </w:pPr>
            <w:r>
              <w:rPr>
                <w:spacing w:val="4"/>
                <w:sz w:val="21"/>
                <w:lang w:val="fr-CH"/>
              </w:rPr>
              <w:t>99,635</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300</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69,252</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6,142</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77,370</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7,950</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74,159</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10,471</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lang w:val="fr-CH"/>
              </w:rPr>
            </w:pPr>
            <w:r>
              <w:rPr>
                <w:rFonts w:hint="eastAsia"/>
                <w:spacing w:val="4"/>
                <w:sz w:val="21"/>
                <w:lang w:val="fr-CH"/>
              </w:rPr>
              <w:t>水果</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lang w:val="fr-CH"/>
              </w:rPr>
            </w:pPr>
            <w:r>
              <w:rPr>
                <w:spacing w:val="4"/>
                <w:sz w:val="21"/>
                <w:lang w:val="fr-CH"/>
              </w:rPr>
              <w:t>1,236</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27,000</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1,521</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32,000</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1,232</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13,607</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7,092</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14,001</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lang w:val="fr-CH"/>
              </w:rPr>
            </w:pPr>
            <w:r>
              <w:rPr>
                <w:rFonts w:hint="eastAsia"/>
                <w:spacing w:val="4"/>
                <w:sz w:val="21"/>
                <w:lang w:val="fr-CH"/>
              </w:rPr>
              <w:t>蔬菜</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lang w:val="fr-CH"/>
              </w:rPr>
            </w:pPr>
            <w:r>
              <w:rPr>
                <w:spacing w:val="4"/>
                <w:sz w:val="21"/>
                <w:lang w:val="fr-CH"/>
              </w:rPr>
              <w:t>6,036</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177</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7,836</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342</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2,212</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624</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2,374</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697</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lang w:val="fr-CH"/>
              </w:rPr>
            </w:pPr>
            <w:r>
              <w:rPr>
                <w:rFonts w:hint="eastAsia"/>
                <w:spacing w:val="4"/>
                <w:sz w:val="21"/>
              </w:rPr>
              <w:t>土豆</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lang w:val="fr-CH"/>
              </w:rPr>
            </w:pPr>
            <w:r>
              <w:rPr>
                <w:spacing w:val="4"/>
                <w:sz w:val="21"/>
                <w:lang w:val="fr-CH"/>
              </w:rPr>
              <w:t>21,612</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532</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12,579</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141</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9,065</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361.6</w:t>
            </w:r>
          </w:p>
        </w:tc>
        <w:tc>
          <w:tcPr>
            <w:tcW w:w="974"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4,807</w:t>
            </w:r>
          </w:p>
        </w:tc>
        <w:tc>
          <w:tcPr>
            <w:tcW w:w="975" w:type="dxa"/>
            <w:tcBorders>
              <w:top w:val="nil"/>
              <w:bottom w:val="nil"/>
            </w:tcBorders>
          </w:tcPr>
          <w:p w:rsidR="00000000" w:rsidRDefault="00000000">
            <w:pPr>
              <w:tabs>
                <w:tab w:val="decimal" w:pos="703"/>
              </w:tabs>
              <w:spacing w:before="60" w:line="320" w:lineRule="exact"/>
              <w:rPr>
                <w:spacing w:val="4"/>
                <w:sz w:val="21"/>
                <w:lang w:val="fr-CH"/>
              </w:rPr>
            </w:pPr>
            <w:r>
              <w:rPr>
                <w:spacing w:val="4"/>
                <w:sz w:val="21"/>
                <w:lang w:val="fr-CH"/>
              </w:rPr>
              <w:t>99</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lang w:val="fr-CH"/>
              </w:rPr>
            </w:pPr>
            <w:r>
              <w:rPr>
                <w:rFonts w:hint="eastAsia"/>
                <w:spacing w:val="4"/>
                <w:sz w:val="21"/>
              </w:rPr>
              <w:t>水果和蔬菜加工产品</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rPr>
            </w:pPr>
            <w:r>
              <w:rPr>
                <w:spacing w:val="4"/>
                <w:sz w:val="21"/>
              </w:rPr>
              <w:t>5,348</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3,030</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2,381</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4,284</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2,038</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4,082</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2,647</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2,653</w:t>
            </w:r>
          </w:p>
        </w:tc>
      </w:tr>
      <w:tr w:rsidR="00000000">
        <w:trPr>
          <w:cantSplit/>
        </w:trPr>
        <w:tc>
          <w:tcPr>
            <w:tcW w:w="1457" w:type="dxa"/>
            <w:tcBorders>
              <w:top w:val="nil"/>
              <w:bottom w:val="nil"/>
            </w:tcBorders>
            <w:tcMar>
              <w:left w:w="57" w:type="dxa"/>
              <w:right w:w="57" w:type="dxa"/>
            </w:tcMar>
          </w:tcPr>
          <w:p w:rsidR="00000000" w:rsidRDefault="00000000">
            <w:pPr>
              <w:tabs>
                <w:tab w:val="left" w:pos="442"/>
              </w:tabs>
              <w:spacing w:before="60" w:line="320" w:lineRule="exact"/>
              <w:rPr>
                <w:rFonts w:hint="eastAsia"/>
                <w:spacing w:val="4"/>
                <w:sz w:val="21"/>
              </w:rPr>
            </w:pPr>
            <w:r>
              <w:rPr>
                <w:rFonts w:hint="eastAsia"/>
                <w:spacing w:val="4"/>
                <w:sz w:val="21"/>
              </w:rPr>
              <w:t>糖果点心</w:t>
            </w:r>
          </w:p>
        </w:tc>
        <w:tc>
          <w:tcPr>
            <w:tcW w:w="974" w:type="dxa"/>
            <w:tcBorders>
              <w:top w:val="nil"/>
              <w:bottom w:val="nil"/>
            </w:tcBorders>
            <w:tcMar>
              <w:right w:w="0" w:type="dxa"/>
            </w:tcMar>
          </w:tcPr>
          <w:p w:rsidR="00000000" w:rsidRDefault="00000000">
            <w:pPr>
              <w:tabs>
                <w:tab w:val="decimal" w:pos="703"/>
              </w:tabs>
              <w:spacing w:before="60" w:line="320" w:lineRule="exact"/>
              <w:rPr>
                <w:spacing w:val="4"/>
                <w:sz w:val="21"/>
              </w:rPr>
            </w:pPr>
            <w:r>
              <w:rPr>
                <w:spacing w:val="4"/>
                <w:sz w:val="21"/>
              </w:rPr>
              <w:t>9,361</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129</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10,549</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4,780</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1,097</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15</w:t>
            </w:r>
          </w:p>
        </w:tc>
        <w:tc>
          <w:tcPr>
            <w:tcW w:w="974" w:type="dxa"/>
            <w:tcBorders>
              <w:top w:val="nil"/>
              <w:bottom w:val="nil"/>
            </w:tcBorders>
          </w:tcPr>
          <w:p w:rsidR="00000000" w:rsidRDefault="00000000">
            <w:pPr>
              <w:tabs>
                <w:tab w:val="decimal" w:pos="703"/>
              </w:tabs>
              <w:spacing w:before="60" w:line="320" w:lineRule="exact"/>
              <w:rPr>
                <w:spacing w:val="4"/>
                <w:sz w:val="21"/>
              </w:rPr>
            </w:pPr>
            <w:r>
              <w:rPr>
                <w:spacing w:val="4"/>
                <w:sz w:val="21"/>
              </w:rPr>
              <w:t>2,604</w:t>
            </w:r>
          </w:p>
        </w:tc>
        <w:tc>
          <w:tcPr>
            <w:tcW w:w="975" w:type="dxa"/>
            <w:tcBorders>
              <w:top w:val="nil"/>
              <w:bottom w:val="nil"/>
            </w:tcBorders>
          </w:tcPr>
          <w:p w:rsidR="00000000" w:rsidRDefault="00000000">
            <w:pPr>
              <w:tabs>
                <w:tab w:val="decimal" w:pos="703"/>
              </w:tabs>
              <w:spacing w:before="60" w:line="320" w:lineRule="exact"/>
              <w:rPr>
                <w:spacing w:val="4"/>
                <w:sz w:val="21"/>
              </w:rPr>
            </w:pPr>
            <w:r>
              <w:rPr>
                <w:spacing w:val="4"/>
                <w:sz w:val="21"/>
              </w:rPr>
              <w:t>28</w:t>
            </w:r>
          </w:p>
        </w:tc>
      </w:tr>
      <w:tr w:rsidR="00000000">
        <w:trPr>
          <w:cantSplit/>
        </w:trPr>
        <w:tc>
          <w:tcPr>
            <w:tcW w:w="1457" w:type="dxa"/>
            <w:tcBorders>
              <w:top w:val="nil"/>
            </w:tcBorders>
            <w:tcMar>
              <w:left w:w="57" w:type="dxa"/>
              <w:right w:w="57" w:type="dxa"/>
            </w:tcMar>
          </w:tcPr>
          <w:p w:rsidR="00000000" w:rsidRDefault="00000000">
            <w:pPr>
              <w:tabs>
                <w:tab w:val="left" w:pos="442"/>
              </w:tabs>
              <w:spacing w:before="60" w:line="320" w:lineRule="exact"/>
              <w:rPr>
                <w:rFonts w:hint="eastAsia"/>
                <w:spacing w:val="4"/>
                <w:sz w:val="21"/>
              </w:rPr>
            </w:pPr>
            <w:r>
              <w:rPr>
                <w:rFonts w:hint="eastAsia"/>
                <w:spacing w:val="4"/>
                <w:sz w:val="21"/>
              </w:rPr>
              <w:t>茶叶</w:t>
            </w:r>
          </w:p>
        </w:tc>
        <w:tc>
          <w:tcPr>
            <w:tcW w:w="974" w:type="dxa"/>
            <w:tcBorders>
              <w:top w:val="nil"/>
            </w:tcBorders>
            <w:tcMar>
              <w:right w:w="0" w:type="dxa"/>
            </w:tcMar>
          </w:tcPr>
          <w:p w:rsidR="00000000" w:rsidRDefault="00000000">
            <w:pPr>
              <w:tabs>
                <w:tab w:val="decimal" w:pos="703"/>
              </w:tabs>
              <w:spacing w:before="60" w:line="320" w:lineRule="exact"/>
              <w:rPr>
                <w:spacing w:val="4"/>
                <w:sz w:val="21"/>
              </w:rPr>
            </w:pPr>
            <w:r>
              <w:rPr>
                <w:spacing w:val="4"/>
                <w:sz w:val="21"/>
              </w:rPr>
              <w:t>400</w:t>
            </w:r>
          </w:p>
        </w:tc>
        <w:tc>
          <w:tcPr>
            <w:tcW w:w="975" w:type="dxa"/>
            <w:tcBorders>
              <w:top w:val="nil"/>
            </w:tcBorders>
          </w:tcPr>
          <w:p w:rsidR="00000000" w:rsidRDefault="00000000">
            <w:pPr>
              <w:tabs>
                <w:tab w:val="decimal" w:pos="703"/>
              </w:tabs>
              <w:spacing w:before="60" w:line="320" w:lineRule="exact"/>
              <w:rPr>
                <w:spacing w:val="4"/>
                <w:sz w:val="21"/>
              </w:rPr>
            </w:pPr>
            <w:r>
              <w:rPr>
                <w:spacing w:val="4"/>
                <w:sz w:val="21"/>
              </w:rPr>
              <w:t>15,007</w:t>
            </w:r>
          </w:p>
        </w:tc>
        <w:tc>
          <w:tcPr>
            <w:tcW w:w="974" w:type="dxa"/>
            <w:tcBorders>
              <w:top w:val="nil"/>
            </w:tcBorders>
          </w:tcPr>
          <w:p w:rsidR="00000000" w:rsidRDefault="00000000">
            <w:pPr>
              <w:tabs>
                <w:tab w:val="decimal" w:pos="703"/>
              </w:tabs>
              <w:spacing w:before="60" w:line="320" w:lineRule="exact"/>
              <w:rPr>
                <w:spacing w:val="4"/>
                <w:sz w:val="21"/>
              </w:rPr>
            </w:pPr>
            <w:r>
              <w:rPr>
                <w:spacing w:val="4"/>
                <w:sz w:val="21"/>
              </w:rPr>
              <w:t>4,010</w:t>
            </w:r>
          </w:p>
        </w:tc>
        <w:tc>
          <w:tcPr>
            <w:tcW w:w="975" w:type="dxa"/>
            <w:tcBorders>
              <w:top w:val="nil"/>
            </w:tcBorders>
          </w:tcPr>
          <w:p w:rsidR="00000000" w:rsidRDefault="00000000">
            <w:pPr>
              <w:tabs>
                <w:tab w:val="decimal" w:pos="703"/>
              </w:tabs>
              <w:spacing w:before="60" w:line="320" w:lineRule="exact"/>
              <w:rPr>
                <w:spacing w:val="4"/>
                <w:sz w:val="21"/>
              </w:rPr>
            </w:pPr>
            <w:r>
              <w:rPr>
                <w:spacing w:val="4"/>
                <w:sz w:val="21"/>
              </w:rPr>
              <w:t>10,060</w:t>
            </w:r>
          </w:p>
        </w:tc>
        <w:tc>
          <w:tcPr>
            <w:tcW w:w="974" w:type="dxa"/>
            <w:tcBorders>
              <w:top w:val="nil"/>
            </w:tcBorders>
          </w:tcPr>
          <w:p w:rsidR="00000000" w:rsidRDefault="00000000">
            <w:pPr>
              <w:tabs>
                <w:tab w:val="decimal" w:pos="703"/>
              </w:tabs>
              <w:spacing w:before="60" w:line="320" w:lineRule="exact"/>
              <w:rPr>
                <w:spacing w:val="4"/>
                <w:sz w:val="21"/>
              </w:rPr>
            </w:pPr>
            <w:r>
              <w:rPr>
                <w:spacing w:val="4"/>
                <w:sz w:val="21"/>
              </w:rPr>
              <w:t>2,917</w:t>
            </w:r>
          </w:p>
        </w:tc>
        <w:tc>
          <w:tcPr>
            <w:tcW w:w="975" w:type="dxa"/>
            <w:tcBorders>
              <w:top w:val="nil"/>
            </w:tcBorders>
          </w:tcPr>
          <w:p w:rsidR="00000000" w:rsidRDefault="00000000">
            <w:pPr>
              <w:tabs>
                <w:tab w:val="decimal" w:pos="703"/>
              </w:tabs>
              <w:spacing w:before="60" w:line="320" w:lineRule="exact"/>
              <w:rPr>
                <w:spacing w:val="4"/>
                <w:sz w:val="21"/>
              </w:rPr>
            </w:pPr>
            <w:r>
              <w:rPr>
                <w:spacing w:val="4"/>
                <w:sz w:val="21"/>
              </w:rPr>
              <w:t>14,322</w:t>
            </w:r>
          </w:p>
        </w:tc>
        <w:tc>
          <w:tcPr>
            <w:tcW w:w="974" w:type="dxa"/>
            <w:tcBorders>
              <w:top w:val="nil"/>
            </w:tcBorders>
          </w:tcPr>
          <w:p w:rsidR="00000000" w:rsidRDefault="00000000">
            <w:pPr>
              <w:tabs>
                <w:tab w:val="decimal" w:pos="703"/>
              </w:tabs>
              <w:spacing w:before="60" w:line="320" w:lineRule="exact"/>
              <w:rPr>
                <w:spacing w:val="4"/>
                <w:sz w:val="21"/>
              </w:rPr>
            </w:pPr>
            <w:r>
              <w:rPr>
                <w:spacing w:val="4"/>
                <w:sz w:val="21"/>
              </w:rPr>
              <w:t>661</w:t>
            </w:r>
          </w:p>
        </w:tc>
        <w:tc>
          <w:tcPr>
            <w:tcW w:w="975" w:type="dxa"/>
            <w:tcBorders>
              <w:top w:val="nil"/>
            </w:tcBorders>
          </w:tcPr>
          <w:p w:rsidR="00000000" w:rsidRDefault="00000000">
            <w:pPr>
              <w:tabs>
                <w:tab w:val="decimal" w:pos="703"/>
              </w:tabs>
              <w:spacing w:before="60" w:line="320" w:lineRule="exact"/>
              <w:rPr>
                <w:spacing w:val="4"/>
                <w:sz w:val="21"/>
              </w:rPr>
            </w:pPr>
            <w:r>
              <w:rPr>
                <w:spacing w:val="4"/>
                <w:sz w:val="21"/>
              </w:rPr>
              <w:t>9,023</w:t>
            </w:r>
          </w:p>
        </w:tc>
      </w:tr>
    </w:tbl>
    <w:p w:rsidR="00000000" w:rsidRDefault="00000000">
      <w:pPr>
        <w:spacing w:before="160"/>
        <w:rPr>
          <w:rFonts w:hint="eastAsia"/>
        </w:rPr>
      </w:pPr>
      <w:r>
        <w:rPr>
          <w:rFonts w:hint="eastAsia"/>
        </w:rPr>
        <w:tab/>
        <w:t xml:space="preserve">153.  </w:t>
      </w:r>
      <w:r>
        <w:rPr>
          <w:rFonts w:hint="eastAsia"/>
        </w:rPr>
        <w:t>以货币计算，食品产品的进出口水平如下</w:t>
      </w:r>
      <w:r>
        <w:rPr>
          <w:rFonts w:hint="eastAsia"/>
        </w:rPr>
        <w:t>(</w:t>
      </w:r>
      <w:r>
        <w:rPr>
          <w:rFonts w:hint="eastAsia"/>
        </w:rPr>
        <w:t>以百万美元计</w:t>
      </w:r>
      <w:r>
        <w:rPr>
          <w:rFonts w:hint="eastAsia"/>
        </w:rPr>
        <w:t>)</w:t>
      </w:r>
      <w:r>
        <w:rPr>
          <w:rFonts w:hint="eastAsia"/>
        </w:rPr>
        <w:t>：</w:t>
      </w:r>
    </w:p>
    <w:p w:rsidR="00000000" w:rsidRDefault="00000000">
      <w:pPr>
        <w:spacing w:line="288" w:lineRule="auto"/>
        <w:rPr>
          <w:rFonts w:hint="eastAsia"/>
        </w:rPr>
      </w:pPr>
      <w:r>
        <w:rPr>
          <w:rFonts w:hint="eastAsia"/>
        </w:rPr>
        <w:tab/>
      </w:r>
      <w:r>
        <w:rPr>
          <w:rFonts w:hint="eastAsia"/>
        </w:rPr>
        <w:tab/>
        <w:t>1997</w:t>
      </w:r>
      <w:r>
        <w:rPr>
          <w:rFonts w:hint="eastAsia"/>
        </w:rPr>
        <w:t>年：出口</w:t>
      </w:r>
      <w:r>
        <w:rPr>
          <w:rFonts w:hint="eastAsia"/>
          <w:spacing w:val="-40"/>
          <w:sz w:val="22"/>
        </w:rPr>
        <w:t>——</w:t>
      </w:r>
      <w:r>
        <w:rPr>
          <w:sz w:val="22"/>
        </w:rPr>
        <w:t xml:space="preserve"> </w:t>
      </w:r>
      <w:r>
        <w:rPr>
          <w:rFonts w:hint="eastAsia"/>
        </w:rPr>
        <w:t>79.4</w:t>
      </w:r>
      <w:r>
        <w:rPr>
          <w:rFonts w:hint="eastAsia"/>
        </w:rPr>
        <w:t>；</w:t>
      </w:r>
      <w:r>
        <w:rPr>
          <w:rFonts w:hint="eastAsia"/>
        </w:rPr>
        <w:tab/>
      </w:r>
      <w:r>
        <w:rPr>
          <w:rFonts w:hint="eastAsia"/>
        </w:rPr>
        <w:t>进口</w:t>
      </w:r>
      <w:r>
        <w:rPr>
          <w:rFonts w:hint="eastAsia"/>
          <w:spacing w:val="-40"/>
          <w:sz w:val="22"/>
        </w:rPr>
        <w:t>——</w:t>
      </w:r>
      <w:r>
        <w:rPr>
          <w:sz w:val="22"/>
        </w:rPr>
        <w:t xml:space="preserve"> </w:t>
      </w:r>
      <w:r>
        <w:rPr>
          <w:rFonts w:hint="eastAsia"/>
        </w:rPr>
        <w:t>326.8</w:t>
      </w:r>
      <w:r>
        <w:rPr>
          <w:rFonts w:hint="eastAsia"/>
        </w:rPr>
        <w:t>；</w:t>
      </w:r>
      <w:r>
        <w:rPr>
          <w:rFonts w:hint="eastAsia"/>
        </w:rPr>
        <w:tab/>
      </w:r>
      <w:r>
        <w:rPr>
          <w:rFonts w:hint="eastAsia"/>
        </w:rPr>
        <w:t>差额</w:t>
      </w:r>
      <w:r>
        <w:rPr>
          <w:rFonts w:hint="eastAsia"/>
          <w:spacing w:val="-40"/>
          <w:sz w:val="22"/>
        </w:rPr>
        <w:t>——</w:t>
      </w:r>
      <w:r>
        <w:rPr>
          <w:sz w:val="22"/>
        </w:rPr>
        <w:t xml:space="preserve"> </w:t>
      </w:r>
      <w:r>
        <w:rPr>
          <w:rFonts w:hint="eastAsia"/>
        </w:rPr>
        <w:t>负</w:t>
      </w:r>
      <w:r>
        <w:rPr>
          <w:rFonts w:hint="eastAsia"/>
        </w:rPr>
        <w:t>247.4</w:t>
      </w:r>
    </w:p>
    <w:p w:rsidR="00000000" w:rsidRDefault="00000000">
      <w:pPr>
        <w:spacing w:line="288" w:lineRule="auto"/>
        <w:rPr>
          <w:rFonts w:hint="eastAsia"/>
        </w:rPr>
      </w:pPr>
      <w:r>
        <w:rPr>
          <w:rFonts w:hint="eastAsia"/>
        </w:rPr>
        <w:tab/>
      </w:r>
      <w:r>
        <w:rPr>
          <w:rFonts w:hint="eastAsia"/>
        </w:rPr>
        <w:tab/>
        <w:t>1998</w:t>
      </w:r>
      <w:r>
        <w:rPr>
          <w:rFonts w:hint="eastAsia"/>
        </w:rPr>
        <w:t>年：出口</w:t>
      </w:r>
      <w:r>
        <w:rPr>
          <w:rFonts w:hint="eastAsia"/>
          <w:spacing w:val="-40"/>
          <w:sz w:val="22"/>
        </w:rPr>
        <w:t>——</w:t>
      </w:r>
      <w:r>
        <w:rPr>
          <w:sz w:val="22"/>
        </w:rPr>
        <w:t xml:space="preserve"> </w:t>
      </w:r>
      <w:r>
        <w:rPr>
          <w:rFonts w:hint="eastAsia"/>
        </w:rPr>
        <w:t>69.8</w:t>
      </w:r>
      <w:r>
        <w:rPr>
          <w:rFonts w:hint="eastAsia"/>
        </w:rPr>
        <w:t>；</w:t>
      </w:r>
      <w:r>
        <w:rPr>
          <w:rFonts w:hint="eastAsia"/>
        </w:rPr>
        <w:tab/>
      </w:r>
      <w:r>
        <w:rPr>
          <w:rFonts w:hint="eastAsia"/>
        </w:rPr>
        <w:t>进口</w:t>
      </w:r>
      <w:r>
        <w:rPr>
          <w:rFonts w:hint="eastAsia"/>
          <w:spacing w:val="-40"/>
          <w:sz w:val="22"/>
        </w:rPr>
        <w:t>——</w:t>
      </w:r>
      <w:r>
        <w:rPr>
          <w:sz w:val="22"/>
        </w:rPr>
        <w:t xml:space="preserve"> </w:t>
      </w:r>
      <w:r>
        <w:rPr>
          <w:rFonts w:hint="eastAsia"/>
        </w:rPr>
        <w:t>168.5</w:t>
      </w:r>
      <w:r>
        <w:rPr>
          <w:rFonts w:hint="eastAsia"/>
        </w:rPr>
        <w:t>；</w:t>
      </w:r>
      <w:r>
        <w:rPr>
          <w:rFonts w:hint="eastAsia"/>
        </w:rPr>
        <w:tab/>
      </w:r>
      <w:r>
        <w:rPr>
          <w:rFonts w:hint="eastAsia"/>
        </w:rPr>
        <w:t>差额</w:t>
      </w:r>
      <w:r>
        <w:rPr>
          <w:rFonts w:hint="eastAsia"/>
          <w:spacing w:val="-40"/>
          <w:sz w:val="22"/>
        </w:rPr>
        <w:t>——</w:t>
      </w:r>
      <w:r>
        <w:rPr>
          <w:sz w:val="22"/>
        </w:rPr>
        <w:t xml:space="preserve"> </w:t>
      </w:r>
      <w:r>
        <w:rPr>
          <w:rFonts w:hint="eastAsia"/>
        </w:rPr>
        <w:t>负</w:t>
      </w:r>
      <w:r>
        <w:rPr>
          <w:rFonts w:hint="eastAsia"/>
        </w:rPr>
        <w:t>98.7</w:t>
      </w:r>
    </w:p>
    <w:p w:rsidR="00000000" w:rsidRDefault="00000000">
      <w:pPr>
        <w:spacing w:line="288" w:lineRule="auto"/>
        <w:rPr>
          <w:rFonts w:hint="eastAsia"/>
        </w:rPr>
      </w:pPr>
      <w:r>
        <w:rPr>
          <w:rFonts w:hint="eastAsia"/>
        </w:rPr>
        <w:tab/>
      </w:r>
      <w:r>
        <w:rPr>
          <w:rFonts w:hint="eastAsia"/>
        </w:rPr>
        <w:tab/>
        <w:t>1999</w:t>
      </w:r>
      <w:r>
        <w:rPr>
          <w:rFonts w:hint="eastAsia"/>
        </w:rPr>
        <w:t>年：出口</w:t>
      </w:r>
      <w:r>
        <w:rPr>
          <w:rFonts w:hint="eastAsia"/>
          <w:spacing w:val="-40"/>
          <w:sz w:val="22"/>
        </w:rPr>
        <w:t>——</w:t>
      </w:r>
      <w:r>
        <w:rPr>
          <w:sz w:val="22"/>
        </w:rPr>
        <w:t xml:space="preserve"> </w:t>
      </w:r>
      <w:r>
        <w:rPr>
          <w:rFonts w:hint="eastAsia"/>
        </w:rPr>
        <w:t>66.2</w:t>
      </w:r>
      <w:r>
        <w:rPr>
          <w:rFonts w:hint="eastAsia"/>
        </w:rPr>
        <w:t>；</w:t>
      </w:r>
      <w:r>
        <w:rPr>
          <w:rFonts w:hint="eastAsia"/>
        </w:rPr>
        <w:tab/>
      </w:r>
      <w:r>
        <w:rPr>
          <w:rFonts w:hint="eastAsia"/>
        </w:rPr>
        <w:t>进口</w:t>
      </w:r>
      <w:r>
        <w:rPr>
          <w:rFonts w:hint="eastAsia"/>
          <w:spacing w:val="-40"/>
          <w:sz w:val="22"/>
        </w:rPr>
        <w:t>——</w:t>
      </w:r>
      <w:r>
        <w:rPr>
          <w:sz w:val="22"/>
        </w:rPr>
        <w:t xml:space="preserve"> </w:t>
      </w:r>
      <w:r>
        <w:rPr>
          <w:rFonts w:hint="eastAsia"/>
        </w:rPr>
        <w:t>138</w:t>
      </w:r>
      <w:r>
        <w:rPr>
          <w:rFonts w:hint="eastAsia"/>
        </w:rPr>
        <w:t>；</w:t>
      </w:r>
      <w:r>
        <w:rPr>
          <w:rFonts w:hint="eastAsia"/>
        </w:rPr>
        <w:tab/>
      </w:r>
      <w:r>
        <w:rPr>
          <w:rFonts w:hint="eastAsia"/>
        </w:rPr>
        <w:t>差额</w:t>
      </w:r>
      <w:r>
        <w:rPr>
          <w:rFonts w:hint="eastAsia"/>
          <w:spacing w:val="-40"/>
          <w:sz w:val="22"/>
        </w:rPr>
        <w:t>——</w:t>
      </w:r>
      <w:r>
        <w:rPr>
          <w:sz w:val="22"/>
        </w:rPr>
        <w:t xml:space="preserve"> </w:t>
      </w:r>
      <w:r>
        <w:rPr>
          <w:rFonts w:hint="eastAsia"/>
        </w:rPr>
        <w:t>负</w:t>
      </w:r>
      <w:r>
        <w:rPr>
          <w:rFonts w:hint="eastAsia"/>
        </w:rPr>
        <w:t>71.8</w:t>
      </w:r>
    </w:p>
    <w:p w:rsidR="00000000" w:rsidRDefault="00000000">
      <w:pPr>
        <w:rPr>
          <w:rFonts w:hint="eastAsia"/>
        </w:rPr>
      </w:pPr>
      <w:r>
        <w:rPr>
          <w:rFonts w:hint="eastAsia"/>
        </w:rPr>
        <w:tab/>
      </w:r>
      <w:r>
        <w:rPr>
          <w:rFonts w:hint="eastAsia"/>
        </w:rPr>
        <w:tab/>
        <w:t>2000</w:t>
      </w:r>
      <w:r>
        <w:rPr>
          <w:rFonts w:hint="eastAsia"/>
        </w:rPr>
        <w:t>年：出口</w:t>
      </w:r>
      <w:r>
        <w:rPr>
          <w:rFonts w:hint="eastAsia"/>
          <w:spacing w:val="-40"/>
          <w:sz w:val="22"/>
        </w:rPr>
        <w:t>——</w:t>
      </w:r>
      <w:r>
        <w:rPr>
          <w:sz w:val="22"/>
        </w:rPr>
        <w:t xml:space="preserve"> </w:t>
      </w:r>
      <w:r>
        <w:rPr>
          <w:rFonts w:hint="eastAsia"/>
        </w:rPr>
        <w:t>94.8</w:t>
      </w:r>
      <w:r>
        <w:rPr>
          <w:rFonts w:hint="eastAsia"/>
        </w:rPr>
        <w:t>；</w:t>
      </w:r>
      <w:r>
        <w:rPr>
          <w:rFonts w:hint="eastAsia"/>
        </w:rPr>
        <w:tab/>
      </w:r>
      <w:r>
        <w:rPr>
          <w:rFonts w:hint="eastAsia"/>
        </w:rPr>
        <w:t>进口</w:t>
      </w:r>
      <w:r>
        <w:rPr>
          <w:rFonts w:hint="eastAsia"/>
          <w:spacing w:val="-40"/>
          <w:sz w:val="22"/>
        </w:rPr>
        <w:t>——</w:t>
      </w:r>
      <w:r>
        <w:rPr>
          <w:sz w:val="22"/>
        </w:rPr>
        <w:t xml:space="preserve"> </w:t>
      </w:r>
      <w:r>
        <w:rPr>
          <w:rFonts w:hint="eastAsia"/>
        </w:rPr>
        <w:t>163.2</w:t>
      </w:r>
      <w:r>
        <w:rPr>
          <w:rFonts w:hint="eastAsia"/>
        </w:rPr>
        <w:t>；</w:t>
      </w:r>
      <w:r>
        <w:rPr>
          <w:rFonts w:hint="eastAsia"/>
        </w:rPr>
        <w:tab/>
      </w:r>
      <w:r>
        <w:rPr>
          <w:rFonts w:hint="eastAsia"/>
        </w:rPr>
        <w:t>差额</w:t>
      </w:r>
      <w:r>
        <w:rPr>
          <w:rFonts w:hint="eastAsia"/>
          <w:spacing w:val="-40"/>
          <w:sz w:val="22"/>
        </w:rPr>
        <w:t>——</w:t>
      </w:r>
      <w:r>
        <w:rPr>
          <w:sz w:val="22"/>
        </w:rPr>
        <w:t xml:space="preserve"> </w:t>
      </w:r>
      <w:r>
        <w:rPr>
          <w:rFonts w:hint="eastAsia"/>
        </w:rPr>
        <w:t>负</w:t>
      </w:r>
      <w:r>
        <w:rPr>
          <w:rFonts w:hint="eastAsia"/>
        </w:rPr>
        <w:t>68.4</w:t>
      </w:r>
    </w:p>
    <w:p w:rsidR="00000000" w:rsidRDefault="00000000">
      <w:pPr>
        <w:spacing w:after="240"/>
        <w:rPr>
          <w:rFonts w:hint="eastAsia"/>
        </w:rPr>
      </w:pPr>
      <w:r>
        <w:rPr>
          <w:rFonts w:hint="eastAsia"/>
        </w:rPr>
        <w:tab/>
        <w:t xml:space="preserve">154.  </w:t>
      </w:r>
      <w:r>
        <w:rPr>
          <w:rFonts w:hint="eastAsia"/>
        </w:rPr>
        <w:t>造成这种状况的原因可能是，未能挖掘本国的传统出口潜力，而且国内经济活动长期停滞不前。</w:t>
      </w:r>
    </w:p>
    <w:p w:rsidR="00000000" w:rsidRDefault="00000000">
      <w:pPr>
        <w:pStyle w:val="Heading4"/>
        <w:rPr>
          <w:rFonts w:hint="eastAsia"/>
        </w:rPr>
      </w:pPr>
      <w:r>
        <w:rPr>
          <w:rFonts w:hint="eastAsia"/>
        </w:rPr>
        <w:t>公众的食品</w:t>
      </w:r>
    </w:p>
    <w:p w:rsidR="00000000" w:rsidRDefault="00000000">
      <w:pPr>
        <w:rPr>
          <w:rFonts w:hint="eastAsia"/>
        </w:rPr>
      </w:pPr>
      <w:r>
        <w:rPr>
          <w:rFonts w:hint="eastAsia"/>
        </w:rPr>
        <w:tab/>
        <w:t xml:space="preserve">155.  </w:t>
      </w:r>
      <w:r>
        <w:rPr>
          <w:rFonts w:hint="eastAsia"/>
        </w:rPr>
        <w:t>正如上述统计数据所表明，当地生产商在水果、蔬菜、茶叶和土豆方面基本上满足了公众需要。黄油、奶酪和植物方面的情况差得多。几乎所有经过工业加工的肉制品、牛奶和奶制品以及糖果点心都是进口的。</w:t>
      </w:r>
    </w:p>
    <w:p w:rsidR="00000000" w:rsidRDefault="00000000">
      <w:pPr>
        <w:rPr>
          <w:rFonts w:hint="eastAsia"/>
        </w:rPr>
      </w:pPr>
      <w:r>
        <w:rPr>
          <w:rFonts w:hint="eastAsia"/>
        </w:rPr>
        <w:tab/>
        <w:t xml:space="preserve">156.  </w:t>
      </w:r>
      <w:r>
        <w:rPr>
          <w:rFonts w:hint="eastAsia"/>
        </w:rPr>
        <w:t>在评估这一问题方面，关于</w:t>
      </w:r>
      <w:r>
        <w:rPr>
          <w:rFonts w:hint="eastAsia"/>
        </w:rPr>
        <w:t>1997-1999</w:t>
      </w:r>
      <w:r>
        <w:rPr>
          <w:rFonts w:hint="eastAsia"/>
        </w:rPr>
        <w:t>年期间人均主食消费量的一些统计数据可能有助于说明问题。为了作一比较，下列表格中载列了</w:t>
      </w:r>
      <w:r>
        <w:rPr>
          <w:rFonts w:hint="eastAsia"/>
        </w:rPr>
        <w:t>1985</w:t>
      </w:r>
      <w:r>
        <w:rPr>
          <w:rFonts w:hint="eastAsia"/>
        </w:rPr>
        <w:t>年的数据和</w:t>
      </w:r>
      <w:r>
        <w:rPr>
          <w:rFonts w:hint="eastAsia"/>
        </w:rPr>
        <w:t>2005</w:t>
      </w:r>
      <w:r>
        <w:rPr>
          <w:rFonts w:hint="eastAsia"/>
        </w:rPr>
        <w:t>年的预测</w:t>
      </w:r>
      <w:r>
        <w:rPr>
          <w:rFonts w:hint="eastAsia"/>
        </w:rPr>
        <w:t>(</w:t>
      </w:r>
      <w:r>
        <w:rPr>
          <w:rFonts w:hint="eastAsia"/>
        </w:rPr>
        <w:t>以千克计</w:t>
      </w:r>
      <w:r>
        <w:rPr>
          <w:rFonts w:hint="eastAsia"/>
        </w:rPr>
        <w:t>)</w:t>
      </w:r>
      <w:r>
        <w:rPr>
          <w:rFonts w:hint="eastAsia"/>
        </w:rPr>
        <w:t>。</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521"/>
        <w:gridCol w:w="2098"/>
        <w:gridCol w:w="1344"/>
        <w:gridCol w:w="1345"/>
        <w:gridCol w:w="1345"/>
        <w:gridCol w:w="1345"/>
        <w:gridCol w:w="1345"/>
      </w:tblGrid>
      <w:tr w:rsidR="00000000">
        <w:trPr>
          <w:cantSplit/>
        </w:trPr>
        <w:tc>
          <w:tcPr>
            <w:tcW w:w="0" w:type="auto"/>
            <w:vMerge w:val="restart"/>
            <w:tcMar>
              <w:left w:w="57" w:type="dxa"/>
              <w:right w:w="28" w:type="dxa"/>
            </w:tcMar>
            <w:vAlign w:val="center"/>
          </w:tcPr>
          <w:p w:rsidR="00000000" w:rsidRDefault="00000000">
            <w:pPr>
              <w:tabs>
                <w:tab w:val="left" w:pos="442"/>
              </w:tabs>
              <w:spacing w:before="60" w:line="320" w:lineRule="exact"/>
              <w:jc w:val="center"/>
              <w:rPr>
                <w:rFonts w:hint="eastAsia"/>
                <w:spacing w:val="4"/>
                <w:sz w:val="21"/>
                <w:u w:val="single"/>
              </w:rPr>
            </w:pPr>
            <w:r>
              <w:rPr>
                <w:rFonts w:hint="eastAsia"/>
                <w:spacing w:val="4"/>
                <w:sz w:val="21"/>
                <w:u w:val="single"/>
              </w:rPr>
              <w:t>编号</w:t>
            </w:r>
          </w:p>
        </w:tc>
        <w:tc>
          <w:tcPr>
            <w:tcW w:w="2098" w:type="dxa"/>
            <w:vMerge w:val="restart"/>
            <w:tcMar>
              <w:left w:w="28" w:type="dxa"/>
              <w:right w:w="28" w:type="dxa"/>
            </w:tcMar>
            <w:vAlign w:val="center"/>
          </w:tcPr>
          <w:p w:rsidR="00000000" w:rsidRDefault="00000000">
            <w:pPr>
              <w:tabs>
                <w:tab w:val="left" w:pos="442"/>
              </w:tabs>
              <w:spacing w:before="60" w:line="320" w:lineRule="exact"/>
              <w:jc w:val="center"/>
              <w:rPr>
                <w:spacing w:val="4"/>
                <w:sz w:val="21"/>
                <w:u w:val="single"/>
              </w:rPr>
            </w:pPr>
            <w:r>
              <w:rPr>
                <w:rFonts w:hint="eastAsia"/>
                <w:spacing w:val="4"/>
                <w:sz w:val="21"/>
                <w:u w:val="single"/>
              </w:rPr>
              <w:t>食品</w:t>
            </w:r>
            <w:r>
              <w:rPr>
                <w:spacing w:val="4"/>
                <w:sz w:val="21"/>
                <w:u w:val="single"/>
              </w:rPr>
              <w:t>(</w:t>
            </w:r>
            <w:r>
              <w:rPr>
                <w:rFonts w:hint="eastAsia"/>
                <w:spacing w:val="4"/>
                <w:sz w:val="21"/>
                <w:u w:val="single"/>
              </w:rPr>
              <w:t>类型</w:t>
            </w:r>
            <w:r>
              <w:rPr>
                <w:spacing w:val="4"/>
                <w:sz w:val="21"/>
                <w:u w:val="single"/>
              </w:rPr>
              <w:t>)</w:t>
            </w:r>
          </w:p>
        </w:tc>
        <w:tc>
          <w:tcPr>
            <w:tcW w:w="1344" w:type="dxa"/>
            <w:tcMar>
              <w:left w:w="28" w:type="dxa"/>
            </w:tcMar>
          </w:tcPr>
          <w:p w:rsidR="00000000" w:rsidRDefault="00000000">
            <w:pPr>
              <w:tabs>
                <w:tab w:val="left" w:pos="442"/>
              </w:tabs>
              <w:spacing w:before="60" w:line="320" w:lineRule="exact"/>
              <w:jc w:val="center"/>
              <w:rPr>
                <w:rFonts w:hint="eastAsia"/>
                <w:spacing w:val="4"/>
                <w:sz w:val="21"/>
                <w:u w:val="single"/>
              </w:rPr>
            </w:pPr>
            <w:r>
              <w:rPr>
                <w:spacing w:val="4"/>
                <w:sz w:val="21"/>
                <w:u w:val="single"/>
              </w:rPr>
              <w:t>1985</w:t>
            </w:r>
            <w:r>
              <w:rPr>
                <w:rFonts w:hint="eastAsia"/>
                <w:spacing w:val="4"/>
                <w:sz w:val="21"/>
                <w:u w:val="single"/>
              </w:rPr>
              <w:t>年</w:t>
            </w:r>
          </w:p>
        </w:tc>
        <w:tc>
          <w:tcPr>
            <w:tcW w:w="1345" w:type="dxa"/>
            <w:tcMar>
              <w:left w:w="28" w:type="dxa"/>
            </w:tcMar>
          </w:tcPr>
          <w:p w:rsidR="00000000" w:rsidRDefault="00000000">
            <w:pPr>
              <w:tabs>
                <w:tab w:val="left" w:pos="442"/>
              </w:tabs>
              <w:spacing w:before="60" w:line="320" w:lineRule="exact"/>
              <w:jc w:val="center"/>
              <w:rPr>
                <w:rFonts w:hint="eastAsia"/>
                <w:spacing w:val="4"/>
                <w:sz w:val="21"/>
                <w:u w:val="single"/>
              </w:rPr>
            </w:pPr>
            <w:r>
              <w:rPr>
                <w:spacing w:val="4"/>
                <w:sz w:val="21"/>
                <w:u w:val="single"/>
              </w:rPr>
              <w:t>1997</w:t>
            </w:r>
            <w:r>
              <w:rPr>
                <w:rFonts w:hint="eastAsia"/>
                <w:spacing w:val="4"/>
                <w:sz w:val="21"/>
                <w:u w:val="single"/>
              </w:rPr>
              <w:t>年</w:t>
            </w:r>
          </w:p>
        </w:tc>
        <w:tc>
          <w:tcPr>
            <w:tcW w:w="1345" w:type="dxa"/>
            <w:tcMar>
              <w:left w:w="28" w:type="dxa"/>
            </w:tcMar>
          </w:tcPr>
          <w:p w:rsidR="00000000" w:rsidRDefault="00000000">
            <w:pPr>
              <w:tabs>
                <w:tab w:val="left" w:pos="442"/>
              </w:tabs>
              <w:spacing w:before="60" w:line="320" w:lineRule="exact"/>
              <w:jc w:val="center"/>
              <w:rPr>
                <w:rFonts w:hint="eastAsia"/>
                <w:spacing w:val="4"/>
                <w:sz w:val="21"/>
                <w:u w:val="single"/>
              </w:rPr>
            </w:pPr>
            <w:r>
              <w:rPr>
                <w:spacing w:val="4"/>
                <w:sz w:val="21"/>
                <w:u w:val="single"/>
              </w:rPr>
              <w:t>1998</w:t>
            </w:r>
            <w:r>
              <w:rPr>
                <w:rFonts w:hint="eastAsia"/>
                <w:spacing w:val="4"/>
                <w:sz w:val="21"/>
                <w:u w:val="single"/>
              </w:rPr>
              <w:t>年</w:t>
            </w:r>
          </w:p>
        </w:tc>
        <w:tc>
          <w:tcPr>
            <w:tcW w:w="1345" w:type="dxa"/>
            <w:tcMar>
              <w:left w:w="28" w:type="dxa"/>
            </w:tcMar>
          </w:tcPr>
          <w:p w:rsidR="00000000" w:rsidRDefault="00000000">
            <w:pPr>
              <w:tabs>
                <w:tab w:val="left" w:pos="442"/>
              </w:tabs>
              <w:spacing w:before="60" w:line="320" w:lineRule="exact"/>
              <w:jc w:val="center"/>
              <w:rPr>
                <w:rFonts w:hint="eastAsia"/>
                <w:spacing w:val="4"/>
                <w:sz w:val="21"/>
                <w:u w:val="single"/>
              </w:rPr>
            </w:pPr>
            <w:r>
              <w:rPr>
                <w:spacing w:val="4"/>
                <w:sz w:val="21"/>
                <w:u w:val="single"/>
              </w:rPr>
              <w:t>1999</w:t>
            </w:r>
            <w:r>
              <w:rPr>
                <w:rFonts w:hint="eastAsia"/>
                <w:spacing w:val="4"/>
                <w:sz w:val="21"/>
                <w:u w:val="single"/>
              </w:rPr>
              <w:t>年</w:t>
            </w:r>
          </w:p>
        </w:tc>
        <w:tc>
          <w:tcPr>
            <w:tcW w:w="1345" w:type="dxa"/>
            <w:tcMar>
              <w:left w:w="28" w:type="dxa"/>
            </w:tcMar>
          </w:tcPr>
          <w:p w:rsidR="00000000" w:rsidRDefault="00000000">
            <w:pPr>
              <w:tabs>
                <w:tab w:val="left" w:pos="442"/>
              </w:tabs>
              <w:spacing w:before="60" w:line="320" w:lineRule="exact"/>
              <w:jc w:val="center"/>
              <w:rPr>
                <w:rFonts w:hint="eastAsia"/>
                <w:spacing w:val="4"/>
                <w:sz w:val="21"/>
                <w:u w:val="single"/>
              </w:rPr>
            </w:pPr>
            <w:r>
              <w:rPr>
                <w:spacing w:val="4"/>
                <w:sz w:val="21"/>
                <w:u w:val="single"/>
              </w:rPr>
              <w:t>2005</w:t>
            </w:r>
            <w:r>
              <w:rPr>
                <w:rFonts w:hint="eastAsia"/>
                <w:spacing w:val="4"/>
                <w:sz w:val="21"/>
                <w:u w:val="single"/>
              </w:rPr>
              <w:t>年</w:t>
            </w:r>
          </w:p>
        </w:tc>
      </w:tr>
      <w:tr w:rsidR="00000000">
        <w:trPr>
          <w:cantSplit/>
        </w:trPr>
        <w:tc>
          <w:tcPr>
            <w:tcW w:w="0" w:type="auto"/>
            <w:vMerge/>
            <w:tcMar>
              <w:left w:w="57" w:type="dxa"/>
              <w:right w:w="28" w:type="dxa"/>
            </w:tcMar>
          </w:tcPr>
          <w:p w:rsidR="00000000" w:rsidRDefault="00000000">
            <w:pPr>
              <w:tabs>
                <w:tab w:val="left" w:pos="442"/>
              </w:tabs>
              <w:spacing w:before="60" w:line="320" w:lineRule="exact"/>
              <w:jc w:val="center"/>
              <w:rPr>
                <w:spacing w:val="4"/>
                <w:sz w:val="21"/>
                <w:u w:val="single"/>
              </w:rPr>
            </w:pPr>
          </w:p>
        </w:tc>
        <w:tc>
          <w:tcPr>
            <w:tcW w:w="2098" w:type="dxa"/>
            <w:vMerge/>
            <w:tcMar>
              <w:left w:w="28" w:type="dxa"/>
              <w:right w:w="28" w:type="dxa"/>
            </w:tcMar>
          </w:tcPr>
          <w:p w:rsidR="00000000" w:rsidRDefault="00000000">
            <w:pPr>
              <w:tabs>
                <w:tab w:val="left" w:pos="442"/>
              </w:tabs>
              <w:spacing w:before="60" w:line="320" w:lineRule="exact"/>
              <w:jc w:val="center"/>
              <w:rPr>
                <w:spacing w:val="4"/>
                <w:sz w:val="21"/>
                <w:u w:val="single"/>
              </w:rPr>
            </w:pPr>
          </w:p>
        </w:tc>
        <w:tc>
          <w:tcPr>
            <w:tcW w:w="1344" w:type="dxa"/>
            <w:tcMar>
              <w:left w:w="28" w:type="dxa"/>
            </w:tcMar>
          </w:tcPr>
          <w:p w:rsidR="00000000" w:rsidRDefault="00000000">
            <w:pPr>
              <w:tabs>
                <w:tab w:val="left" w:pos="442"/>
              </w:tabs>
              <w:spacing w:before="60" w:line="320" w:lineRule="exact"/>
              <w:jc w:val="center"/>
              <w:rPr>
                <w:rFonts w:hint="eastAsia"/>
                <w:spacing w:val="4"/>
                <w:sz w:val="21"/>
                <w:u w:val="single"/>
              </w:rPr>
            </w:pPr>
            <w:r>
              <w:rPr>
                <w:rFonts w:hint="eastAsia"/>
                <w:spacing w:val="4"/>
                <w:sz w:val="21"/>
                <w:u w:val="single"/>
              </w:rPr>
              <w:t>实际消费量</w:t>
            </w:r>
          </w:p>
        </w:tc>
        <w:tc>
          <w:tcPr>
            <w:tcW w:w="1345" w:type="dxa"/>
            <w:tcMar>
              <w:left w:w="28" w:type="dxa"/>
            </w:tcMar>
          </w:tcPr>
          <w:p w:rsidR="00000000" w:rsidRDefault="00000000">
            <w:pPr>
              <w:tabs>
                <w:tab w:val="left" w:pos="442"/>
              </w:tabs>
              <w:spacing w:before="60" w:line="320" w:lineRule="exact"/>
              <w:jc w:val="center"/>
              <w:rPr>
                <w:spacing w:val="4"/>
                <w:sz w:val="21"/>
                <w:u w:val="single"/>
              </w:rPr>
            </w:pPr>
            <w:r>
              <w:rPr>
                <w:rFonts w:hint="eastAsia"/>
                <w:spacing w:val="4"/>
                <w:sz w:val="21"/>
                <w:u w:val="single"/>
              </w:rPr>
              <w:t>实际消费量</w:t>
            </w:r>
          </w:p>
        </w:tc>
        <w:tc>
          <w:tcPr>
            <w:tcW w:w="1345" w:type="dxa"/>
            <w:tcMar>
              <w:left w:w="28" w:type="dxa"/>
            </w:tcMar>
          </w:tcPr>
          <w:p w:rsidR="00000000" w:rsidRDefault="00000000">
            <w:pPr>
              <w:tabs>
                <w:tab w:val="left" w:pos="442"/>
              </w:tabs>
              <w:spacing w:before="60" w:line="320" w:lineRule="exact"/>
              <w:jc w:val="center"/>
              <w:rPr>
                <w:spacing w:val="4"/>
                <w:sz w:val="21"/>
                <w:u w:val="single"/>
              </w:rPr>
            </w:pPr>
            <w:r>
              <w:rPr>
                <w:rFonts w:hint="eastAsia"/>
                <w:spacing w:val="4"/>
                <w:sz w:val="21"/>
                <w:u w:val="single"/>
              </w:rPr>
              <w:t>实际消费量</w:t>
            </w:r>
          </w:p>
        </w:tc>
        <w:tc>
          <w:tcPr>
            <w:tcW w:w="1345" w:type="dxa"/>
            <w:tcMar>
              <w:left w:w="28" w:type="dxa"/>
            </w:tcMar>
          </w:tcPr>
          <w:p w:rsidR="00000000" w:rsidRDefault="00000000">
            <w:pPr>
              <w:tabs>
                <w:tab w:val="left" w:pos="442"/>
              </w:tabs>
              <w:spacing w:before="60" w:line="320" w:lineRule="exact"/>
              <w:jc w:val="center"/>
              <w:rPr>
                <w:spacing w:val="4"/>
                <w:sz w:val="21"/>
                <w:u w:val="single"/>
              </w:rPr>
            </w:pPr>
            <w:r>
              <w:rPr>
                <w:rFonts w:hint="eastAsia"/>
                <w:spacing w:val="4"/>
                <w:sz w:val="21"/>
                <w:u w:val="single"/>
              </w:rPr>
              <w:t>实际消费量</w:t>
            </w:r>
          </w:p>
        </w:tc>
        <w:tc>
          <w:tcPr>
            <w:tcW w:w="1345" w:type="dxa"/>
            <w:tcMar>
              <w:left w:w="28" w:type="dxa"/>
            </w:tcMar>
          </w:tcPr>
          <w:p w:rsidR="00000000" w:rsidRDefault="00000000">
            <w:pPr>
              <w:tabs>
                <w:tab w:val="left" w:pos="442"/>
              </w:tabs>
              <w:spacing w:before="60" w:line="320" w:lineRule="exact"/>
              <w:jc w:val="center"/>
              <w:rPr>
                <w:spacing w:val="4"/>
                <w:sz w:val="21"/>
                <w:u w:val="single"/>
              </w:rPr>
            </w:pPr>
            <w:r>
              <w:rPr>
                <w:rFonts w:hint="eastAsia"/>
                <w:spacing w:val="4"/>
                <w:sz w:val="21"/>
                <w:u w:val="single"/>
              </w:rPr>
              <w:t>预计消费量</w:t>
            </w:r>
          </w:p>
        </w:tc>
      </w:tr>
      <w:tr w:rsidR="00000000">
        <w:tc>
          <w:tcPr>
            <w:tcW w:w="0" w:type="auto"/>
            <w:tcBorders>
              <w:bottom w:val="nil"/>
            </w:tcBorders>
            <w:tcMar>
              <w:left w:w="57" w:type="dxa"/>
              <w:right w:w="28" w:type="dxa"/>
            </w:tcMar>
          </w:tcPr>
          <w:p w:rsidR="00000000" w:rsidRDefault="00000000">
            <w:pPr>
              <w:tabs>
                <w:tab w:val="left" w:pos="442"/>
              </w:tabs>
              <w:spacing w:before="60" w:line="320" w:lineRule="exact"/>
              <w:jc w:val="center"/>
              <w:rPr>
                <w:spacing w:val="4"/>
                <w:sz w:val="21"/>
              </w:rPr>
            </w:pPr>
            <w:r>
              <w:rPr>
                <w:spacing w:val="4"/>
                <w:sz w:val="21"/>
              </w:rPr>
              <w:t>1.</w:t>
            </w:r>
          </w:p>
        </w:tc>
        <w:tc>
          <w:tcPr>
            <w:tcW w:w="2098" w:type="dxa"/>
            <w:tcBorders>
              <w:bottom w:val="nil"/>
            </w:tcBorders>
            <w:tcMar>
              <w:left w:w="28" w:type="dxa"/>
              <w:right w:w="28" w:type="dxa"/>
            </w:tcMar>
          </w:tcPr>
          <w:p w:rsidR="00000000" w:rsidRDefault="00000000">
            <w:pPr>
              <w:tabs>
                <w:tab w:val="left" w:pos="442"/>
              </w:tabs>
              <w:spacing w:before="60" w:line="320" w:lineRule="exact"/>
              <w:rPr>
                <w:rFonts w:hint="eastAsia"/>
                <w:spacing w:val="4"/>
                <w:sz w:val="21"/>
              </w:rPr>
            </w:pPr>
            <w:r>
              <w:rPr>
                <w:rFonts w:hint="eastAsia"/>
                <w:spacing w:val="4"/>
                <w:sz w:val="21"/>
              </w:rPr>
              <w:t>谷物产品，全部</w:t>
            </w:r>
            <w:r>
              <w:rPr>
                <w:rFonts w:hint="eastAsia"/>
                <w:spacing w:val="4"/>
                <w:sz w:val="21"/>
              </w:rPr>
              <w:t>(</w:t>
            </w:r>
            <w:r>
              <w:rPr>
                <w:rFonts w:hint="eastAsia"/>
                <w:spacing w:val="4"/>
                <w:sz w:val="21"/>
              </w:rPr>
              <w:t>重新计算为面粉</w:t>
            </w:r>
            <w:r>
              <w:rPr>
                <w:rFonts w:hint="eastAsia"/>
                <w:spacing w:val="4"/>
                <w:sz w:val="21"/>
              </w:rPr>
              <w:t>)</w:t>
            </w:r>
          </w:p>
        </w:tc>
        <w:tc>
          <w:tcPr>
            <w:tcW w:w="1344" w:type="dxa"/>
            <w:tcBorders>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190</w:t>
            </w:r>
          </w:p>
        </w:tc>
        <w:tc>
          <w:tcPr>
            <w:tcW w:w="1345" w:type="dxa"/>
            <w:tcBorders>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154.2</w:t>
            </w:r>
          </w:p>
        </w:tc>
        <w:tc>
          <w:tcPr>
            <w:tcW w:w="1345" w:type="dxa"/>
            <w:tcBorders>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151.4</w:t>
            </w:r>
          </w:p>
        </w:tc>
        <w:tc>
          <w:tcPr>
            <w:tcW w:w="1345" w:type="dxa"/>
            <w:tcBorders>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141.1</w:t>
            </w:r>
          </w:p>
        </w:tc>
        <w:tc>
          <w:tcPr>
            <w:tcW w:w="1345" w:type="dxa"/>
            <w:tcBorders>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126</w:t>
            </w:r>
          </w:p>
        </w:tc>
      </w:tr>
      <w:tr w:rsidR="00000000">
        <w:tc>
          <w:tcPr>
            <w:tcW w:w="0" w:type="auto"/>
            <w:tcBorders>
              <w:top w:val="nil"/>
              <w:bottom w:val="nil"/>
            </w:tcBorders>
            <w:tcMar>
              <w:left w:w="57" w:type="dxa"/>
              <w:right w:w="28" w:type="dxa"/>
            </w:tcMar>
          </w:tcPr>
          <w:p w:rsidR="00000000" w:rsidRDefault="00000000">
            <w:pPr>
              <w:tabs>
                <w:tab w:val="left" w:pos="442"/>
              </w:tabs>
              <w:spacing w:before="60" w:line="320" w:lineRule="exact"/>
              <w:jc w:val="center"/>
              <w:rPr>
                <w:spacing w:val="4"/>
                <w:sz w:val="21"/>
              </w:rPr>
            </w:pPr>
            <w:r>
              <w:rPr>
                <w:spacing w:val="4"/>
                <w:sz w:val="21"/>
              </w:rPr>
              <w:t>2.</w:t>
            </w:r>
          </w:p>
        </w:tc>
        <w:tc>
          <w:tcPr>
            <w:tcW w:w="2098" w:type="dxa"/>
            <w:tcBorders>
              <w:top w:val="nil"/>
              <w:bottom w:val="nil"/>
            </w:tcBorders>
            <w:tcMar>
              <w:left w:w="28" w:type="dxa"/>
              <w:right w:w="28" w:type="dxa"/>
            </w:tcMar>
          </w:tcPr>
          <w:p w:rsidR="00000000" w:rsidRDefault="00000000">
            <w:pPr>
              <w:tabs>
                <w:tab w:val="left" w:pos="442"/>
              </w:tabs>
              <w:spacing w:before="60" w:line="320" w:lineRule="exact"/>
              <w:rPr>
                <w:rFonts w:hint="eastAsia"/>
                <w:spacing w:val="4"/>
                <w:sz w:val="21"/>
              </w:rPr>
            </w:pPr>
            <w:r>
              <w:rPr>
                <w:rFonts w:hint="eastAsia"/>
                <w:spacing w:val="4"/>
                <w:sz w:val="21"/>
              </w:rPr>
              <w:t>蔬菜、甜瓜和葫芦属植物</w:t>
            </w:r>
          </w:p>
        </w:tc>
        <w:tc>
          <w:tcPr>
            <w:tcW w:w="1344"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87</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93.4</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58.8</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55.2</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141</w:t>
            </w:r>
          </w:p>
        </w:tc>
      </w:tr>
      <w:tr w:rsidR="00000000">
        <w:tc>
          <w:tcPr>
            <w:tcW w:w="0" w:type="auto"/>
            <w:tcBorders>
              <w:top w:val="nil"/>
              <w:bottom w:val="nil"/>
            </w:tcBorders>
            <w:tcMar>
              <w:left w:w="57" w:type="dxa"/>
              <w:right w:w="28" w:type="dxa"/>
            </w:tcMar>
          </w:tcPr>
          <w:p w:rsidR="00000000" w:rsidRDefault="00000000">
            <w:pPr>
              <w:tabs>
                <w:tab w:val="left" w:pos="442"/>
              </w:tabs>
              <w:spacing w:before="60" w:line="320" w:lineRule="exact"/>
              <w:jc w:val="center"/>
              <w:rPr>
                <w:spacing w:val="4"/>
                <w:sz w:val="21"/>
              </w:rPr>
            </w:pPr>
            <w:r>
              <w:rPr>
                <w:spacing w:val="4"/>
                <w:sz w:val="21"/>
              </w:rPr>
              <w:t>3.</w:t>
            </w:r>
          </w:p>
        </w:tc>
        <w:tc>
          <w:tcPr>
            <w:tcW w:w="2098" w:type="dxa"/>
            <w:tcBorders>
              <w:top w:val="nil"/>
              <w:bottom w:val="nil"/>
            </w:tcBorders>
            <w:tcMar>
              <w:left w:w="28" w:type="dxa"/>
              <w:right w:w="28" w:type="dxa"/>
            </w:tcMar>
          </w:tcPr>
          <w:p w:rsidR="00000000" w:rsidRDefault="00000000">
            <w:pPr>
              <w:tabs>
                <w:tab w:val="left" w:pos="442"/>
              </w:tabs>
              <w:spacing w:before="60" w:line="320" w:lineRule="exact"/>
              <w:rPr>
                <w:rFonts w:hint="eastAsia"/>
                <w:spacing w:val="4"/>
                <w:sz w:val="21"/>
              </w:rPr>
            </w:pPr>
            <w:r>
              <w:rPr>
                <w:rFonts w:hint="eastAsia"/>
                <w:spacing w:val="4"/>
                <w:sz w:val="21"/>
              </w:rPr>
              <w:t>蔬菜，全部</w:t>
            </w:r>
          </w:p>
        </w:tc>
        <w:tc>
          <w:tcPr>
            <w:tcW w:w="1344"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67</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60.2</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57.8</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43.5</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92</w:t>
            </w:r>
          </w:p>
        </w:tc>
      </w:tr>
      <w:tr w:rsidR="00000000">
        <w:tc>
          <w:tcPr>
            <w:tcW w:w="0" w:type="auto"/>
            <w:tcBorders>
              <w:top w:val="nil"/>
              <w:bottom w:val="nil"/>
            </w:tcBorders>
            <w:tcMar>
              <w:left w:w="57" w:type="dxa"/>
              <w:right w:w="28" w:type="dxa"/>
            </w:tcMar>
          </w:tcPr>
          <w:p w:rsidR="00000000" w:rsidRDefault="00000000">
            <w:pPr>
              <w:tabs>
                <w:tab w:val="left" w:pos="442"/>
              </w:tabs>
              <w:spacing w:before="60" w:line="320" w:lineRule="exact"/>
              <w:jc w:val="center"/>
              <w:rPr>
                <w:spacing w:val="4"/>
                <w:sz w:val="21"/>
              </w:rPr>
            </w:pPr>
            <w:r>
              <w:rPr>
                <w:spacing w:val="4"/>
                <w:sz w:val="21"/>
              </w:rPr>
              <w:t>4.</w:t>
            </w:r>
          </w:p>
        </w:tc>
        <w:tc>
          <w:tcPr>
            <w:tcW w:w="2098" w:type="dxa"/>
            <w:tcBorders>
              <w:top w:val="nil"/>
              <w:bottom w:val="nil"/>
            </w:tcBorders>
            <w:tcMar>
              <w:left w:w="28" w:type="dxa"/>
              <w:right w:w="28" w:type="dxa"/>
            </w:tcMar>
          </w:tcPr>
          <w:p w:rsidR="00000000" w:rsidRDefault="00000000">
            <w:pPr>
              <w:tabs>
                <w:tab w:val="left" w:pos="442"/>
              </w:tabs>
              <w:spacing w:before="60" w:line="320" w:lineRule="exact"/>
              <w:rPr>
                <w:spacing w:val="4"/>
                <w:sz w:val="21"/>
              </w:rPr>
            </w:pPr>
            <w:r>
              <w:rPr>
                <w:rFonts w:hint="eastAsia"/>
                <w:spacing w:val="4"/>
                <w:sz w:val="21"/>
              </w:rPr>
              <w:t>糖，全部</w:t>
            </w:r>
            <w:r>
              <w:rPr>
                <w:spacing w:val="4"/>
                <w:sz w:val="21"/>
              </w:rPr>
              <w:t>(</w:t>
            </w:r>
            <w:r>
              <w:rPr>
                <w:rFonts w:hint="eastAsia"/>
                <w:spacing w:val="4"/>
                <w:sz w:val="21"/>
              </w:rPr>
              <w:t>包括糖果点心和水果加工产品</w:t>
            </w:r>
            <w:r>
              <w:rPr>
                <w:rFonts w:hint="eastAsia"/>
                <w:spacing w:val="4"/>
                <w:sz w:val="21"/>
              </w:rPr>
              <w:t>)</w:t>
            </w:r>
          </w:p>
        </w:tc>
        <w:tc>
          <w:tcPr>
            <w:tcW w:w="1344"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43.5</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23.6</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25.0</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24.8</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34.5</w:t>
            </w:r>
          </w:p>
        </w:tc>
      </w:tr>
      <w:tr w:rsidR="00000000">
        <w:tc>
          <w:tcPr>
            <w:tcW w:w="0" w:type="auto"/>
            <w:tcBorders>
              <w:top w:val="nil"/>
              <w:bottom w:val="nil"/>
            </w:tcBorders>
            <w:tcMar>
              <w:left w:w="57" w:type="dxa"/>
              <w:right w:w="28" w:type="dxa"/>
            </w:tcMar>
          </w:tcPr>
          <w:p w:rsidR="00000000" w:rsidRDefault="00000000">
            <w:pPr>
              <w:tabs>
                <w:tab w:val="left" w:pos="442"/>
              </w:tabs>
              <w:spacing w:before="60" w:line="320" w:lineRule="exact"/>
              <w:jc w:val="center"/>
              <w:rPr>
                <w:spacing w:val="4"/>
                <w:sz w:val="21"/>
              </w:rPr>
            </w:pPr>
            <w:r>
              <w:rPr>
                <w:spacing w:val="4"/>
                <w:sz w:val="21"/>
              </w:rPr>
              <w:t>5.</w:t>
            </w:r>
          </w:p>
        </w:tc>
        <w:tc>
          <w:tcPr>
            <w:tcW w:w="2098" w:type="dxa"/>
            <w:tcBorders>
              <w:top w:val="nil"/>
              <w:bottom w:val="nil"/>
            </w:tcBorders>
            <w:tcMar>
              <w:left w:w="28" w:type="dxa"/>
              <w:right w:w="28" w:type="dxa"/>
            </w:tcMar>
          </w:tcPr>
          <w:p w:rsidR="00000000" w:rsidRDefault="00000000">
            <w:pPr>
              <w:tabs>
                <w:tab w:val="left" w:pos="442"/>
              </w:tabs>
              <w:spacing w:before="60" w:line="320" w:lineRule="exact"/>
              <w:rPr>
                <w:rFonts w:hint="eastAsia"/>
                <w:spacing w:val="4"/>
                <w:sz w:val="21"/>
              </w:rPr>
            </w:pPr>
            <w:r>
              <w:rPr>
                <w:rFonts w:hint="eastAsia"/>
                <w:spacing w:val="4"/>
                <w:sz w:val="21"/>
              </w:rPr>
              <w:t>肉和罐装肉，全部</w:t>
            </w:r>
          </w:p>
        </w:tc>
        <w:tc>
          <w:tcPr>
            <w:tcW w:w="1344"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47</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15.6</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20.8</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19.8</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75</w:t>
            </w:r>
          </w:p>
        </w:tc>
      </w:tr>
      <w:tr w:rsidR="00000000">
        <w:tc>
          <w:tcPr>
            <w:tcW w:w="0" w:type="auto"/>
            <w:tcBorders>
              <w:top w:val="nil"/>
              <w:bottom w:val="nil"/>
            </w:tcBorders>
            <w:tcMar>
              <w:left w:w="57" w:type="dxa"/>
              <w:right w:w="28" w:type="dxa"/>
            </w:tcMar>
          </w:tcPr>
          <w:p w:rsidR="00000000" w:rsidRDefault="00000000">
            <w:pPr>
              <w:tabs>
                <w:tab w:val="left" w:pos="442"/>
              </w:tabs>
              <w:spacing w:before="60" w:line="320" w:lineRule="exact"/>
              <w:jc w:val="center"/>
              <w:rPr>
                <w:spacing w:val="4"/>
                <w:sz w:val="21"/>
              </w:rPr>
            </w:pPr>
            <w:r>
              <w:rPr>
                <w:spacing w:val="4"/>
                <w:sz w:val="21"/>
              </w:rPr>
              <w:t>6.</w:t>
            </w:r>
          </w:p>
        </w:tc>
        <w:tc>
          <w:tcPr>
            <w:tcW w:w="2098" w:type="dxa"/>
            <w:tcBorders>
              <w:top w:val="nil"/>
              <w:bottom w:val="nil"/>
            </w:tcBorders>
            <w:tcMar>
              <w:left w:w="28" w:type="dxa"/>
              <w:right w:w="28" w:type="dxa"/>
            </w:tcMar>
          </w:tcPr>
          <w:p w:rsidR="00000000" w:rsidRDefault="00000000">
            <w:pPr>
              <w:tabs>
                <w:tab w:val="left" w:pos="442"/>
              </w:tabs>
              <w:spacing w:before="60" w:line="320" w:lineRule="exact"/>
              <w:rPr>
                <w:rFonts w:hint="eastAsia"/>
                <w:spacing w:val="4"/>
                <w:sz w:val="21"/>
              </w:rPr>
            </w:pPr>
            <w:r>
              <w:rPr>
                <w:rFonts w:hint="eastAsia"/>
                <w:spacing w:val="4"/>
                <w:sz w:val="21"/>
              </w:rPr>
              <w:t>鱼和罐装鱼，全部</w:t>
            </w:r>
          </w:p>
        </w:tc>
        <w:tc>
          <w:tcPr>
            <w:tcW w:w="1344"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9.1</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1.4</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1.8</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w:t>
            </w:r>
          </w:p>
        </w:tc>
        <w:tc>
          <w:tcPr>
            <w:tcW w:w="1345" w:type="dxa"/>
            <w:tcBorders>
              <w:top w:val="nil"/>
              <w:bottom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12.8</w:t>
            </w:r>
          </w:p>
        </w:tc>
      </w:tr>
      <w:tr w:rsidR="00000000">
        <w:tc>
          <w:tcPr>
            <w:tcW w:w="0" w:type="auto"/>
            <w:tcBorders>
              <w:top w:val="nil"/>
            </w:tcBorders>
            <w:tcMar>
              <w:left w:w="57" w:type="dxa"/>
              <w:right w:w="28" w:type="dxa"/>
            </w:tcMar>
          </w:tcPr>
          <w:p w:rsidR="00000000" w:rsidRDefault="00000000">
            <w:pPr>
              <w:tabs>
                <w:tab w:val="left" w:pos="442"/>
              </w:tabs>
              <w:spacing w:before="60" w:line="320" w:lineRule="exact"/>
              <w:jc w:val="center"/>
              <w:rPr>
                <w:spacing w:val="4"/>
                <w:sz w:val="21"/>
              </w:rPr>
            </w:pPr>
            <w:r>
              <w:rPr>
                <w:spacing w:val="4"/>
                <w:sz w:val="21"/>
              </w:rPr>
              <w:t>7.</w:t>
            </w:r>
          </w:p>
        </w:tc>
        <w:tc>
          <w:tcPr>
            <w:tcW w:w="2098" w:type="dxa"/>
            <w:tcBorders>
              <w:top w:val="nil"/>
            </w:tcBorders>
            <w:tcMar>
              <w:left w:w="28" w:type="dxa"/>
              <w:right w:w="28" w:type="dxa"/>
            </w:tcMar>
          </w:tcPr>
          <w:p w:rsidR="00000000" w:rsidRDefault="00000000">
            <w:pPr>
              <w:tabs>
                <w:tab w:val="left" w:pos="442"/>
              </w:tabs>
              <w:spacing w:before="60" w:line="320" w:lineRule="exact"/>
              <w:rPr>
                <w:rFonts w:hint="eastAsia"/>
                <w:spacing w:val="4"/>
                <w:sz w:val="21"/>
              </w:rPr>
            </w:pPr>
            <w:r>
              <w:rPr>
                <w:rFonts w:hint="eastAsia"/>
                <w:spacing w:val="4"/>
                <w:sz w:val="21"/>
              </w:rPr>
              <w:t>牛奶和奶制品，全部</w:t>
            </w:r>
            <w:r>
              <w:rPr>
                <w:rFonts w:hint="eastAsia"/>
                <w:spacing w:val="4"/>
                <w:sz w:val="21"/>
              </w:rPr>
              <w:t>(</w:t>
            </w:r>
            <w:r>
              <w:rPr>
                <w:rFonts w:hint="eastAsia"/>
                <w:spacing w:val="4"/>
                <w:sz w:val="21"/>
              </w:rPr>
              <w:t>重新计算为牛奶</w:t>
            </w:r>
            <w:r>
              <w:rPr>
                <w:rFonts w:hint="eastAsia"/>
                <w:spacing w:val="4"/>
                <w:sz w:val="21"/>
              </w:rPr>
              <w:t>)</w:t>
            </w:r>
          </w:p>
        </w:tc>
        <w:tc>
          <w:tcPr>
            <w:tcW w:w="1344" w:type="dxa"/>
            <w:tcBorders>
              <w:top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309</w:t>
            </w:r>
          </w:p>
        </w:tc>
        <w:tc>
          <w:tcPr>
            <w:tcW w:w="1345" w:type="dxa"/>
            <w:tcBorders>
              <w:top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217.8</w:t>
            </w:r>
          </w:p>
        </w:tc>
        <w:tc>
          <w:tcPr>
            <w:tcW w:w="1345" w:type="dxa"/>
            <w:tcBorders>
              <w:top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202.5</w:t>
            </w:r>
          </w:p>
        </w:tc>
        <w:tc>
          <w:tcPr>
            <w:tcW w:w="1345" w:type="dxa"/>
            <w:tcBorders>
              <w:top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209</w:t>
            </w:r>
          </w:p>
        </w:tc>
        <w:tc>
          <w:tcPr>
            <w:tcW w:w="1345" w:type="dxa"/>
            <w:tcBorders>
              <w:top w:val="nil"/>
            </w:tcBorders>
            <w:tcMar>
              <w:left w:w="28" w:type="dxa"/>
              <w:right w:w="482" w:type="dxa"/>
            </w:tcMar>
          </w:tcPr>
          <w:p w:rsidR="00000000" w:rsidRDefault="00000000">
            <w:pPr>
              <w:tabs>
                <w:tab w:val="decimal" w:pos="628"/>
              </w:tabs>
              <w:spacing w:before="60" w:line="320" w:lineRule="exact"/>
              <w:rPr>
                <w:spacing w:val="4"/>
                <w:sz w:val="21"/>
              </w:rPr>
            </w:pPr>
            <w:r>
              <w:rPr>
                <w:spacing w:val="4"/>
                <w:sz w:val="21"/>
              </w:rPr>
              <w:t>359</w:t>
            </w:r>
          </w:p>
        </w:tc>
      </w:tr>
    </w:tbl>
    <w:p w:rsidR="00000000" w:rsidRDefault="00000000">
      <w:pPr>
        <w:spacing w:before="160"/>
        <w:rPr>
          <w:rFonts w:hint="eastAsia"/>
        </w:rPr>
      </w:pPr>
      <w:r>
        <w:rPr>
          <w:rFonts w:hint="eastAsia"/>
        </w:rPr>
        <w:tab/>
        <w:t xml:space="preserve">157.  </w:t>
      </w:r>
      <w:r>
        <w:rPr>
          <w:rFonts w:hint="eastAsia"/>
        </w:rPr>
        <w:t>这些统计数据表明，在报告期间，按实物计算，几乎所有食品消费量都已下降。</w:t>
      </w:r>
    </w:p>
    <w:p w:rsidR="00000000" w:rsidRDefault="00000000">
      <w:pPr>
        <w:rPr>
          <w:rFonts w:hint="eastAsia"/>
        </w:rPr>
      </w:pPr>
      <w:r>
        <w:rPr>
          <w:rFonts w:hint="eastAsia"/>
        </w:rPr>
        <w:tab/>
        <w:t xml:space="preserve">158.  </w:t>
      </w:r>
      <w:r>
        <w:rPr>
          <w:rFonts w:hint="eastAsia"/>
        </w:rPr>
        <w:t>在这一方面，应该指出，许多人对于有利于健康的饮食的原则不甚了解，因为至少可以这样说，在提高对于这一问题的认识方面一直是缩手缩脚的。这是劳动、卫生和社会福利部的意见。</w:t>
      </w:r>
    </w:p>
    <w:p w:rsidR="00000000" w:rsidRDefault="00000000">
      <w:pPr>
        <w:rPr>
          <w:rFonts w:hint="eastAsia"/>
          <w:spacing w:val="8"/>
        </w:rPr>
      </w:pPr>
      <w:r>
        <w:rPr>
          <w:rFonts w:hint="eastAsia"/>
        </w:rPr>
        <w:tab/>
        <w:t xml:space="preserve">159. </w:t>
      </w:r>
      <w:r>
        <w:rPr>
          <w:rFonts w:hint="eastAsia"/>
          <w:spacing w:val="8"/>
        </w:rPr>
        <w:t xml:space="preserve"> </w:t>
      </w:r>
      <w:r>
        <w:rPr>
          <w:rFonts w:hint="eastAsia"/>
          <w:spacing w:val="8"/>
        </w:rPr>
        <w:t>关于政府认为为确保向最脆弱的人口阶层供应充分的粮食而必须采取的措施，应该指出，粮食安全问题是与就业、收入和资产的增长密切联系在一起的。</w:t>
      </w:r>
    </w:p>
    <w:p w:rsidR="00000000" w:rsidRDefault="00000000">
      <w:pPr>
        <w:rPr>
          <w:rFonts w:hint="eastAsia"/>
        </w:rPr>
      </w:pPr>
      <w:r>
        <w:rPr>
          <w:rFonts w:hint="eastAsia"/>
        </w:rPr>
        <w:tab/>
        <w:t xml:space="preserve">160.  </w:t>
      </w:r>
      <w:r>
        <w:rPr>
          <w:rFonts w:hint="eastAsia"/>
        </w:rPr>
        <w:t>因此，农业和粮食生产部认为，必须着眼于以下方面：</w:t>
      </w:r>
    </w:p>
    <w:p w:rsidR="00000000" w:rsidRDefault="00000000">
      <w:pPr>
        <w:pStyle w:val="a7"/>
        <w:tabs>
          <w:tab w:val="num" w:pos="1550"/>
        </w:tabs>
        <w:ind w:left="1550"/>
        <w:rPr>
          <w:rFonts w:hint="eastAsia"/>
        </w:rPr>
      </w:pPr>
      <w:r>
        <w:rPr>
          <w:rFonts w:hint="eastAsia"/>
        </w:rPr>
        <w:t>确定国内经济和贸易政策的重点；</w:t>
      </w:r>
    </w:p>
    <w:p w:rsidR="00000000" w:rsidRDefault="00000000">
      <w:pPr>
        <w:pStyle w:val="a7"/>
        <w:tabs>
          <w:tab w:val="num" w:pos="1550"/>
        </w:tabs>
        <w:ind w:left="1550"/>
        <w:rPr>
          <w:rFonts w:hint="eastAsia"/>
        </w:rPr>
      </w:pPr>
      <w:r>
        <w:rPr>
          <w:rFonts w:hint="eastAsia"/>
        </w:rPr>
        <w:t>支持有关经济部门，以便促进向公众供应当地生产的食品；</w:t>
      </w:r>
    </w:p>
    <w:p w:rsidR="00000000" w:rsidRDefault="00000000">
      <w:pPr>
        <w:pStyle w:val="a7"/>
        <w:tabs>
          <w:tab w:val="num" w:pos="1550"/>
        </w:tabs>
        <w:ind w:left="1550"/>
        <w:rPr>
          <w:rFonts w:hint="eastAsia"/>
        </w:rPr>
      </w:pPr>
      <w:r>
        <w:rPr>
          <w:rFonts w:hint="eastAsia"/>
        </w:rPr>
        <w:t>通过实际就业增长减少贫困；</w:t>
      </w:r>
    </w:p>
    <w:p w:rsidR="00000000" w:rsidRDefault="00000000">
      <w:pPr>
        <w:pStyle w:val="a7"/>
        <w:tabs>
          <w:tab w:val="num" w:pos="1550"/>
        </w:tabs>
        <w:ind w:left="1550"/>
        <w:rPr>
          <w:rFonts w:hint="eastAsia"/>
        </w:rPr>
      </w:pPr>
      <w:r>
        <w:rPr>
          <w:rFonts w:hint="eastAsia"/>
        </w:rPr>
        <w:t>最大限度地减少地下经济和国家补贴；</w:t>
      </w:r>
    </w:p>
    <w:p w:rsidR="00000000" w:rsidRDefault="00000000">
      <w:pPr>
        <w:pStyle w:val="a7"/>
        <w:tabs>
          <w:tab w:val="num" w:pos="1550"/>
        </w:tabs>
        <w:ind w:left="1550"/>
        <w:rPr>
          <w:rFonts w:hint="eastAsia"/>
        </w:rPr>
      </w:pPr>
      <w:r>
        <w:rPr>
          <w:rFonts w:hint="eastAsia"/>
        </w:rPr>
        <w:t>尽可能完善税收和关税。</w:t>
      </w:r>
    </w:p>
    <w:p w:rsidR="00000000" w:rsidRDefault="00000000">
      <w:pPr>
        <w:rPr>
          <w:rFonts w:hint="eastAsia"/>
        </w:rPr>
      </w:pPr>
      <w:r>
        <w:rPr>
          <w:rFonts w:hint="eastAsia"/>
        </w:rPr>
        <w:tab/>
        <w:t xml:space="preserve">161.  </w:t>
      </w:r>
      <w:r>
        <w:rPr>
          <w:rFonts w:hint="eastAsia"/>
        </w:rPr>
        <w:t>关于批准国家粮食安全计划重点的第</w:t>
      </w:r>
      <w:r>
        <w:rPr>
          <w:rFonts w:hint="eastAsia"/>
        </w:rPr>
        <w:t>26</w:t>
      </w:r>
      <w:r>
        <w:rPr>
          <w:rFonts w:hint="eastAsia"/>
        </w:rPr>
        <w:t>号总统令</w:t>
      </w:r>
      <w:r>
        <w:rPr>
          <w:rFonts w:hint="eastAsia"/>
        </w:rPr>
        <w:t>(2001</w:t>
      </w:r>
      <w:r>
        <w:rPr>
          <w:rFonts w:hint="eastAsia"/>
        </w:rPr>
        <w:t>年</w:t>
      </w:r>
      <w:r>
        <w:rPr>
          <w:rFonts w:hint="eastAsia"/>
        </w:rPr>
        <w:t>1</w:t>
      </w:r>
      <w:r>
        <w:rPr>
          <w:rFonts w:hint="eastAsia"/>
        </w:rPr>
        <w:t>月</w:t>
      </w:r>
      <w:r>
        <w:rPr>
          <w:rFonts w:hint="eastAsia"/>
        </w:rPr>
        <w:t>26</w:t>
      </w:r>
      <w:r>
        <w:rPr>
          <w:rFonts w:hint="eastAsia"/>
        </w:rPr>
        <w:t>日</w:t>
      </w:r>
      <w:r>
        <w:rPr>
          <w:rFonts w:hint="eastAsia"/>
        </w:rPr>
        <w:t>)</w:t>
      </w:r>
      <w:r>
        <w:rPr>
          <w:rFonts w:hint="eastAsia"/>
        </w:rPr>
        <w:t>规定了政府为了实现这一目标必须采取的主要措施。</w:t>
      </w:r>
    </w:p>
    <w:p w:rsidR="00000000" w:rsidRDefault="00000000">
      <w:r>
        <w:rPr>
          <w:rFonts w:hint="eastAsia"/>
        </w:rPr>
        <w:tab/>
        <w:t xml:space="preserve">162.  </w:t>
      </w:r>
      <w:r>
        <w:rPr>
          <w:rFonts w:hint="eastAsia"/>
        </w:rPr>
        <w:t>在这方面应该列举关于农业和粮食生产部分配</w:t>
      </w:r>
      <w:r>
        <w:rPr>
          <w:rFonts w:hint="eastAsia"/>
        </w:rPr>
        <w:t>1997-2000</w:t>
      </w:r>
      <w:r>
        <w:rPr>
          <w:rFonts w:hint="eastAsia"/>
        </w:rPr>
        <w:t>年期间取得的粮食援助的统计数据</w:t>
      </w:r>
      <w:r>
        <w:rPr>
          <w:rFonts w:hint="eastAsia"/>
        </w:rPr>
        <w:t>(</w:t>
      </w:r>
      <w:r>
        <w:rPr>
          <w:rFonts w:hint="eastAsia"/>
        </w:rPr>
        <w:t>以吨计</w:t>
      </w:r>
      <w:r>
        <w:rPr>
          <w:rFonts w:hint="eastAsia"/>
        </w:rPr>
        <w:t>)</w:t>
      </w:r>
      <w:r>
        <w:rPr>
          <w:rFonts w:hint="eastAsia"/>
        </w:rPr>
        <w:t>。</w:t>
      </w:r>
    </w:p>
    <w:tbl>
      <w:tblPr>
        <w:tblW w:w="9600" w:type="dxa"/>
        <w:tblInd w:w="-25" w:type="dxa"/>
        <w:tblBorders>
          <w:top w:val="single" w:sz="4" w:space="0" w:color="auto"/>
          <w:left w:val="single" w:sz="4" w:space="0" w:color="auto"/>
          <w:bottom w:val="single" w:sz="4" w:space="0" w:color="auto"/>
          <w:right w:val="single" w:sz="4" w:space="0" w:color="auto"/>
        </w:tblBorders>
        <w:tblLayout w:type="fixed"/>
        <w:tblCellMar>
          <w:left w:w="85" w:type="dxa"/>
          <w:right w:w="85" w:type="dxa"/>
        </w:tblCellMar>
        <w:tblLook w:val="0000" w:firstRow="0" w:lastRow="0" w:firstColumn="0" w:lastColumn="0" w:noHBand="0" w:noVBand="0"/>
      </w:tblPr>
      <w:tblGrid>
        <w:gridCol w:w="600"/>
        <w:gridCol w:w="960"/>
        <w:gridCol w:w="1080"/>
        <w:gridCol w:w="1260"/>
        <w:gridCol w:w="1140"/>
        <w:gridCol w:w="1140"/>
        <w:gridCol w:w="1140"/>
        <w:gridCol w:w="1140"/>
        <w:gridCol w:w="1140"/>
      </w:tblGrid>
      <w:tr w:rsidR="00000000">
        <w:tc>
          <w:tcPr>
            <w:tcW w:w="600" w:type="dxa"/>
            <w:tcBorders>
              <w:top w:val="single" w:sz="4" w:space="0" w:color="auto"/>
              <w:bottom w:val="single" w:sz="4" w:space="0" w:color="auto"/>
              <w:right w:val="single" w:sz="4" w:space="0" w:color="auto"/>
            </w:tcBorders>
          </w:tcPr>
          <w:p w:rsidR="00000000" w:rsidRDefault="00000000">
            <w:pPr>
              <w:tabs>
                <w:tab w:val="left" w:pos="442"/>
              </w:tabs>
              <w:spacing w:before="120" w:line="240" w:lineRule="atLeast"/>
              <w:jc w:val="center"/>
              <w:rPr>
                <w:rFonts w:hint="eastAsia"/>
                <w:spacing w:val="4"/>
                <w:sz w:val="18"/>
                <w:u w:val="single"/>
              </w:rPr>
            </w:pPr>
            <w:r>
              <w:rPr>
                <w:rFonts w:hint="eastAsia"/>
                <w:spacing w:val="4"/>
                <w:sz w:val="18"/>
                <w:u w:val="single"/>
              </w:rPr>
              <w:t>编号</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442"/>
              </w:tabs>
              <w:spacing w:before="120" w:line="240" w:lineRule="atLeast"/>
              <w:jc w:val="center"/>
              <w:rPr>
                <w:rFonts w:hint="eastAsia"/>
                <w:spacing w:val="4"/>
                <w:sz w:val="18"/>
                <w:u w:val="single"/>
              </w:rPr>
            </w:pPr>
            <w:r>
              <w:rPr>
                <w:rFonts w:hint="eastAsia"/>
                <w:spacing w:val="4"/>
                <w:sz w:val="18"/>
                <w:u w:val="single"/>
              </w:rPr>
              <w:t>食品和</w:t>
            </w:r>
            <w:r>
              <w:rPr>
                <w:spacing w:val="4"/>
                <w:sz w:val="18"/>
                <w:u w:val="single"/>
              </w:rPr>
              <w:br/>
            </w:r>
            <w:r>
              <w:rPr>
                <w:rFonts w:hint="eastAsia"/>
                <w:spacing w:val="4"/>
                <w:sz w:val="18"/>
                <w:u w:val="single"/>
              </w:rPr>
              <w:t>年度</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442"/>
              </w:tabs>
              <w:spacing w:before="120" w:line="240" w:lineRule="atLeast"/>
              <w:jc w:val="center"/>
              <w:rPr>
                <w:spacing w:val="4"/>
                <w:sz w:val="18"/>
                <w:u w:val="single"/>
              </w:rPr>
            </w:pPr>
            <w:r>
              <w:rPr>
                <w:rFonts w:hint="eastAsia"/>
                <w:spacing w:val="4"/>
                <w:sz w:val="18"/>
                <w:u w:val="single"/>
              </w:rPr>
              <w:t>收到的</w:t>
            </w:r>
            <w:r>
              <w:rPr>
                <w:spacing w:val="4"/>
                <w:sz w:val="18"/>
                <w:u w:val="single"/>
              </w:rPr>
              <w:br/>
            </w:r>
            <w:r>
              <w:rPr>
                <w:rFonts w:hint="eastAsia"/>
                <w:spacing w:val="4"/>
                <w:sz w:val="18"/>
                <w:u w:val="single"/>
              </w:rPr>
              <w:t>援助</w:t>
            </w:r>
            <w:r>
              <w:rPr>
                <w:spacing w:val="4"/>
                <w:sz w:val="18"/>
                <w:u w:val="single"/>
              </w:rPr>
              <w:t>(</w:t>
            </w:r>
            <w:r>
              <w:rPr>
                <w:rFonts w:hint="eastAsia"/>
                <w:spacing w:val="4"/>
                <w:sz w:val="18"/>
                <w:u w:val="single"/>
              </w:rPr>
              <w:t>吨</w:t>
            </w:r>
            <w:r>
              <w:rPr>
                <w:spacing w:val="4"/>
                <w:sz w:val="18"/>
                <w:u w:val="single"/>
              </w:rPr>
              <w:t>)</w:t>
            </w:r>
          </w:p>
        </w:tc>
        <w:tc>
          <w:tcPr>
            <w:tcW w:w="6960" w:type="dxa"/>
            <w:gridSpan w:val="6"/>
            <w:tcBorders>
              <w:top w:val="single" w:sz="4" w:space="0" w:color="auto"/>
              <w:left w:val="single" w:sz="4" w:space="0" w:color="auto"/>
              <w:bottom w:val="single" w:sz="4" w:space="0" w:color="auto"/>
              <w:right w:val="single" w:sz="4" w:space="0" w:color="auto"/>
            </w:tcBorders>
            <w:tcMar>
              <w:left w:w="57" w:type="dxa"/>
            </w:tcMar>
          </w:tcPr>
          <w:p w:rsidR="00000000" w:rsidRDefault="00000000">
            <w:pPr>
              <w:tabs>
                <w:tab w:val="left" w:pos="442"/>
              </w:tabs>
              <w:spacing w:before="120" w:line="240" w:lineRule="atLeast"/>
              <w:jc w:val="center"/>
              <w:rPr>
                <w:rFonts w:hint="eastAsia"/>
                <w:spacing w:val="4"/>
                <w:sz w:val="18"/>
                <w:u w:val="single"/>
              </w:rPr>
            </w:pPr>
            <w:r>
              <w:rPr>
                <w:rFonts w:hint="eastAsia"/>
                <w:spacing w:val="4"/>
                <w:sz w:val="18"/>
                <w:u w:val="single"/>
              </w:rPr>
              <w:t>按总统令进行分配</w:t>
            </w:r>
          </w:p>
        </w:tc>
      </w:tr>
      <w:tr w:rsidR="00000000">
        <w:trPr>
          <w:tblHeader/>
        </w:trPr>
        <w:tc>
          <w:tcPr>
            <w:tcW w:w="600" w:type="dxa"/>
            <w:tcBorders>
              <w:top w:val="single" w:sz="4" w:space="0" w:color="auto"/>
              <w:bottom w:val="single" w:sz="4" w:space="0" w:color="auto"/>
              <w:right w:val="single" w:sz="4" w:space="0" w:color="auto"/>
            </w:tcBorders>
          </w:tcPr>
          <w:p w:rsidR="00000000" w:rsidRDefault="00000000">
            <w:pPr>
              <w:tabs>
                <w:tab w:val="left" w:pos="442"/>
              </w:tabs>
              <w:spacing w:before="60" w:line="240" w:lineRule="auto"/>
              <w:jc w:val="center"/>
              <w:rPr>
                <w:spacing w:val="2"/>
                <w:sz w:val="18"/>
                <w:u w:val="single"/>
              </w:rPr>
            </w:pP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442"/>
              </w:tabs>
              <w:spacing w:before="60" w:line="240" w:lineRule="auto"/>
              <w:jc w:val="center"/>
              <w:rPr>
                <w:spacing w:val="2"/>
                <w:sz w:val="18"/>
                <w:u w:val="single"/>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442"/>
              </w:tabs>
              <w:spacing w:before="60" w:line="240" w:lineRule="auto"/>
              <w:jc w:val="center"/>
              <w:rPr>
                <w:spacing w:val="2"/>
                <w:sz w:val="18"/>
                <w:u w:val="single"/>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442"/>
              </w:tabs>
              <w:spacing w:before="60" w:line="240" w:lineRule="auto"/>
              <w:jc w:val="center"/>
              <w:rPr>
                <w:rFonts w:hint="eastAsia"/>
                <w:spacing w:val="2"/>
                <w:sz w:val="18"/>
                <w:u w:val="single"/>
              </w:rPr>
            </w:pPr>
            <w:r>
              <w:rPr>
                <w:rFonts w:hint="eastAsia"/>
                <w:spacing w:val="2"/>
                <w:sz w:val="18"/>
                <w:u w:val="single"/>
              </w:rPr>
              <w:t>用于满足</w:t>
            </w:r>
            <w:r>
              <w:rPr>
                <w:spacing w:val="2"/>
                <w:sz w:val="18"/>
                <w:u w:val="single"/>
              </w:rPr>
              <w:t>Kodor Gorge</w:t>
            </w:r>
            <w:r>
              <w:rPr>
                <w:rFonts w:hint="eastAsia"/>
                <w:spacing w:val="2"/>
                <w:sz w:val="18"/>
                <w:u w:val="single"/>
              </w:rPr>
              <w:t>地区人口的冬天需要</w:t>
            </w:r>
          </w:p>
        </w:tc>
        <w:tc>
          <w:tcPr>
            <w:tcW w:w="1140" w:type="dxa"/>
            <w:tcBorders>
              <w:top w:val="single" w:sz="4" w:space="0" w:color="auto"/>
              <w:left w:val="single" w:sz="4" w:space="0" w:color="auto"/>
              <w:bottom w:val="single" w:sz="4" w:space="0" w:color="auto"/>
              <w:right w:val="single" w:sz="4" w:space="0" w:color="auto"/>
            </w:tcBorders>
            <w:tcMar>
              <w:left w:w="198" w:type="dxa"/>
            </w:tcMar>
          </w:tcPr>
          <w:p w:rsidR="00000000" w:rsidRDefault="00000000">
            <w:pPr>
              <w:tabs>
                <w:tab w:val="left" w:pos="442"/>
              </w:tabs>
              <w:spacing w:before="60" w:line="240" w:lineRule="auto"/>
              <w:jc w:val="center"/>
              <w:rPr>
                <w:rFonts w:hint="eastAsia"/>
                <w:spacing w:val="2"/>
                <w:sz w:val="18"/>
                <w:u w:val="single"/>
              </w:rPr>
            </w:pPr>
            <w:r>
              <w:rPr>
                <w:rFonts w:hint="eastAsia"/>
                <w:spacing w:val="2"/>
                <w:sz w:val="18"/>
                <w:u w:val="single"/>
              </w:rPr>
              <w:t>用于流离失所者</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tabs>
                <w:tab w:val="left" w:pos="442"/>
              </w:tabs>
              <w:spacing w:before="60" w:line="240" w:lineRule="auto"/>
              <w:jc w:val="center"/>
              <w:rPr>
                <w:rFonts w:hint="eastAsia"/>
                <w:spacing w:val="2"/>
                <w:sz w:val="18"/>
                <w:u w:val="single"/>
              </w:rPr>
            </w:pPr>
            <w:r>
              <w:rPr>
                <w:rFonts w:hint="eastAsia"/>
                <w:spacing w:val="2"/>
                <w:sz w:val="18"/>
                <w:u w:val="single"/>
              </w:rPr>
              <w:t>用于国防部</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tabs>
                <w:tab w:val="left" w:pos="442"/>
              </w:tabs>
              <w:spacing w:before="60" w:line="240" w:lineRule="auto"/>
              <w:jc w:val="center"/>
              <w:rPr>
                <w:rFonts w:hint="eastAsia"/>
                <w:spacing w:val="2"/>
                <w:sz w:val="18"/>
                <w:u w:val="single"/>
              </w:rPr>
            </w:pPr>
            <w:r>
              <w:rPr>
                <w:rFonts w:hint="eastAsia"/>
                <w:spacing w:val="2"/>
                <w:sz w:val="18"/>
                <w:u w:val="single"/>
              </w:rPr>
              <w:t>用于公共资助的组织和其他组织</w:t>
            </w:r>
          </w:p>
        </w:tc>
        <w:tc>
          <w:tcPr>
            <w:tcW w:w="1140" w:type="dxa"/>
            <w:tcBorders>
              <w:top w:val="single" w:sz="4" w:space="0" w:color="auto"/>
              <w:left w:val="single" w:sz="4" w:space="0" w:color="auto"/>
              <w:bottom w:val="single" w:sz="4" w:space="0" w:color="auto"/>
              <w:right w:val="single" w:sz="4" w:space="0" w:color="auto"/>
            </w:tcBorders>
            <w:tcMar>
              <w:left w:w="57" w:type="dxa"/>
            </w:tcMar>
          </w:tcPr>
          <w:p w:rsidR="00000000" w:rsidRDefault="00000000">
            <w:pPr>
              <w:tabs>
                <w:tab w:val="left" w:pos="442"/>
              </w:tabs>
              <w:spacing w:before="60" w:line="240" w:lineRule="auto"/>
              <w:jc w:val="center"/>
              <w:rPr>
                <w:spacing w:val="2"/>
                <w:sz w:val="18"/>
                <w:u w:val="single"/>
              </w:rPr>
            </w:pPr>
            <w:r>
              <w:rPr>
                <w:rFonts w:hint="eastAsia"/>
                <w:spacing w:val="2"/>
                <w:sz w:val="18"/>
                <w:u w:val="single"/>
              </w:rPr>
              <w:t>在股票市场上出售</w:t>
            </w:r>
            <w:r>
              <w:rPr>
                <w:spacing w:val="2"/>
                <w:sz w:val="18"/>
                <w:u w:val="single"/>
              </w:rPr>
              <w:t>(</w:t>
            </w:r>
            <w:r>
              <w:rPr>
                <w:rFonts w:hint="eastAsia"/>
                <w:spacing w:val="2"/>
                <w:sz w:val="18"/>
                <w:u w:val="single"/>
              </w:rPr>
              <w:t>用于补充预算</w:t>
            </w:r>
            <w:r>
              <w:rPr>
                <w:spacing w:val="2"/>
                <w:sz w:val="18"/>
                <w:u w:val="single"/>
              </w:rPr>
              <w:t>)</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tabs>
                <w:tab w:val="left" w:pos="442"/>
              </w:tabs>
              <w:spacing w:before="60" w:line="240" w:lineRule="auto"/>
              <w:jc w:val="center"/>
              <w:rPr>
                <w:spacing w:val="2"/>
                <w:sz w:val="18"/>
                <w:u w:val="single"/>
              </w:rPr>
            </w:pPr>
            <w:r>
              <w:rPr>
                <w:rFonts w:hint="eastAsia"/>
                <w:spacing w:val="2"/>
                <w:sz w:val="18"/>
                <w:u w:val="single"/>
              </w:rPr>
              <w:t>变质并根据检查委员会的决定注销</w:t>
            </w:r>
          </w:p>
        </w:tc>
      </w:tr>
      <w:tr w:rsidR="00000000">
        <w:tc>
          <w:tcPr>
            <w:tcW w:w="600" w:type="dxa"/>
            <w:tcBorders>
              <w:top w:val="single" w:sz="4" w:space="0" w:color="auto"/>
              <w:right w:val="single" w:sz="4" w:space="0" w:color="auto"/>
            </w:tcBorders>
          </w:tcPr>
          <w:p w:rsidR="00000000" w:rsidRDefault="00000000">
            <w:pPr>
              <w:tabs>
                <w:tab w:val="left" w:pos="442"/>
              </w:tabs>
              <w:spacing w:before="120" w:line="240" w:lineRule="auto"/>
              <w:rPr>
                <w:spacing w:val="4"/>
                <w:sz w:val="18"/>
              </w:rPr>
            </w:pPr>
          </w:p>
        </w:tc>
        <w:tc>
          <w:tcPr>
            <w:tcW w:w="960" w:type="dxa"/>
            <w:tcBorders>
              <w:top w:val="single" w:sz="4" w:space="0" w:color="auto"/>
              <w:left w:val="single" w:sz="4" w:space="0" w:color="auto"/>
              <w:right w:val="single" w:sz="4" w:space="0" w:color="auto"/>
            </w:tcBorders>
          </w:tcPr>
          <w:p w:rsidR="00000000" w:rsidRDefault="00000000">
            <w:pPr>
              <w:tabs>
                <w:tab w:val="left" w:pos="442"/>
              </w:tabs>
              <w:spacing w:before="120" w:line="240" w:lineRule="auto"/>
              <w:rPr>
                <w:b/>
                <w:bCs/>
                <w:spacing w:val="4"/>
                <w:sz w:val="18"/>
              </w:rPr>
            </w:pPr>
            <w:r>
              <w:rPr>
                <w:b/>
                <w:bCs/>
                <w:spacing w:val="4"/>
                <w:sz w:val="18"/>
              </w:rPr>
              <w:t>1997</w:t>
            </w:r>
          </w:p>
        </w:tc>
        <w:tc>
          <w:tcPr>
            <w:tcW w:w="1080" w:type="dxa"/>
            <w:tcBorders>
              <w:top w:val="single" w:sz="4" w:space="0" w:color="auto"/>
              <w:left w:val="single" w:sz="4" w:space="0" w:color="auto"/>
              <w:right w:val="single" w:sz="4" w:space="0" w:color="auto"/>
            </w:tcBorders>
          </w:tcPr>
          <w:p w:rsidR="00000000" w:rsidRDefault="00000000">
            <w:pPr>
              <w:tabs>
                <w:tab w:val="decimal" w:pos="680"/>
              </w:tabs>
              <w:spacing w:before="120" w:line="240" w:lineRule="auto"/>
              <w:rPr>
                <w:spacing w:val="4"/>
                <w:sz w:val="18"/>
              </w:rPr>
            </w:pPr>
          </w:p>
        </w:tc>
        <w:tc>
          <w:tcPr>
            <w:tcW w:w="1260" w:type="dxa"/>
            <w:tcBorders>
              <w:top w:val="single" w:sz="4" w:space="0" w:color="auto"/>
              <w:left w:val="single" w:sz="4" w:space="0" w:color="auto"/>
              <w:right w:val="single" w:sz="4" w:space="0" w:color="auto"/>
            </w:tcBorders>
          </w:tcPr>
          <w:p w:rsidR="00000000" w:rsidRDefault="00000000">
            <w:pPr>
              <w:tabs>
                <w:tab w:val="decimal" w:pos="680"/>
              </w:tabs>
              <w:spacing w:before="120" w:line="240" w:lineRule="auto"/>
              <w:rPr>
                <w:spacing w:val="4"/>
                <w:sz w:val="18"/>
              </w:rPr>
            </w:pPr>
          </w:p>
        </w:tc>
        <w:tc>
          <w:tcPr>
            <w:tcW w:w="1140" w:type="dxa"/>
            <w:tcBorders>
              <w:top w:val="single" w:sz="4" w:space="0" w:color="auto"/>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p>
        </w:tc>
        <w:tc>
          <w:tcPr>
            <w:tcW w:w="1140" w:type="dxa"/>
            <w:tcBorders>
              <w:top w:val="single" w:sz="4" w:space="0" w:color="auto"/>
              <w:left w:val="single" w:sz="4" w:space="0" w:color="auto"/>
              <w:right w:val="single" w:sz="4" w:space="0" w:color="auto"/>
            </w:tcBorders>
          </w:tcPr>
          <w:p w:rsidR="00000000" w:rsidRDefault="00000000">
            <w:pPr>
              <w:tabs>
                <w:tab w:val="decimal" w:pos="680"/>
              </w:tabs>
              <w:spacing w:before="120" w:line="240" w:lineRule="auto"/>
              <w:rPr>
                <w:spacing w:val="4"/>
                <w:sz w:val="18"/>
              </w:rPr>
            </w:pPr>
          </w:p>
        </w:tc>
        <w:tc>
          <w:tcPr>
            <w:tcW w:w="1140" w:type="dxa"/>
            <w:tcBorders>
              <w:top w:val="single" w:sz="4" w:space="0" w:color="auto"/>
              <w:left w:val="single" w:sz="4" w:space="0" w:color="auto"/>
              <w:bottom w:val="nil"/>
              <w:right w:val="single" w:sz="4" w:space="0" w:color="auto"/>
            </w:tcBorders>
            <w:tcMar>
              <w:right w:w="170" w:type="dxa"/>
            </w:tcMar>
          </w:tcPr>
          <w:p w:rsidR="00000000" w:rsidRDefault="00000000">
            <w:pPr>
              <w:tabs>
                <w:tab w:val="decimal" w:pos="680"/>
              </w:tabs>
              <w:spacing w:before="120" w:line="240" w:lineRule="auto"/>
              <w:rPr>
                <w:spacing w:val="4"/>
                <w:sz w:val="18"/>
              </w:rPr>
            </w:pPr>
          </w:p>
        </w:tc>
        <w:tc>
          <w:tcPr>
            <w:tcW w:w="1140" w:type="dxa"/>
            <w:tcBorders>
              <w:top w:val="single" w:sz="4" w:space="0" w:color="auto"/>
              <w:left w:val="single" w:sz="4" w:space="0" w:color="auto"/>
              <w:right w:val="single" w:sz="4" w:space="0" w:color="auto"/>
            </w:tcBorders>
            <w:tcMar>
              <w:left w:w="57" w:type="dxa"/>
            </w:tcMar>
          </w:tcPr>
          <w:p w:rsidR="00000000" w:rsidRDefault="00000000">
            <w:pPr>
              <w:tabs>
                <w:tab w:val="decimal" w:pos="680"/>
              </w:tabs>
              <w:spacing w:before="120" w:line="240" w:lineRule="auto"/>
              <w:rPr>
                <w:spacing w:val="4"/>
                <w:sz w:val="18"/>
              </w:rPr>
            </w:pPr>
          </w:p>
        </w:tc>
        <w:tc>
          <w:tcPr>
            <w:tcW w:w="1140" w:type="dxa"/>
            <w:tcBorders>
              <w:top w:val="single" w:sz="4" w:space="0" w:color="auto"/>
              <w:left w:val="single" w:sz="4" w:space="0" w:color="auto"/>
              <w:bottom w:val="nil"/>
              <w:right w:val="single" w:sz="4" w:space="0" w:color="auto"/>
            </w:tcBorders>
            <w:tcMar>
              <w:right w:w="340" w:type="dxa"/>
            </w:tcMar>
          </w:tcPr>
          <w:p w:rsidR="00000000" w:rsidRDefault="00000000">
            <w:pPr>
              <w:tabs>
                <w:tab w:val="decimal" w:pos="680"/>
              </w:tabs>
              <w:spacing w:before="120" w:line="240" w:lineRule="auto"/>
              <w:rPr>
                <w:spacing w:val="4"/>
                <w:sz w:val="18"/>
              </w:rPr>
            </w:pPr>
          </w:p>
        </w:tc>
      </w:tr>
      <w:tr w:rsidR="00000000">
        <w:tc>
          <w:tcPr>
            <w:tcW w:w="600" w:type="dxa"/>
            <w:tcBorders>
              <w:right w:val="single" w:sz="4" w:space="0" w:color="auto"/>
            </w:tcBorders>
          </w:tcPr>
          <w:p w:rsidR="00000000" w:rsidRDefault="00000000">
            <w:pPr>
              <w:tabs>
                <w:tab w:val="left" w:pos="442"/>
              </w:tabs>
              <w:spacing w:before="120" w:line="240" w:lineRule="auto"/>
              <w:jc w:val="center"/>
              <w:rPr>
                <w:spacing w:val="4"/>
                <w:sz w:val="18"/>
              </w:rPr>
            </w:pPr>
            <w:r>
              <w:rPr>
                <w:spacing w:val="4"/>
                <w:sz w:val="18"/>
              </w:rPr>
              <w:t>1.</w:t>
            </w:r>
          </w:p>
        </w:tc>
        <w:tc>
          <w:tcPr>
            <w:tcW w:w="960" w:type="dxa"/>
            <w:tcBorders>
              <w:left w:val="single" w:sz="4" w:space="0" w:color="auto"/>
              <w:right w:val="single" w:sz="4" w:space="0" w:color="auto"/>
            </w:tcBorders>
          </w:tcPr>
          <w:p w:rsidR="00000000" w:rsidRDefault="00000000">
            <w:pPr>
              <w:tabs>
                <w:tab w:val="left" w:pos="442"/>
              </w:tabs>
              <w:spacing w:before="120" w:line="240" w:lineRule="auto"/>
              <w:rPr>
                <w:rFonts w:hint="eastAsia"/>
                <w:spacing w:val="4"/>
                <w:sz w:val="18"/>
              </w:rPr>
            </w:pPr>
            <w:r>
              <w:rPr>
                <w:rFonts w:hint="eastAsia"/>
                <w:spacing w:val="4"/>
                <w:sz w:val="18"/>
              </w:rPr>
              <w:t>小麦</w:t>
            </w:r>
          </w:p>
        </w:tc>
        <w:tc>
          <w:tcPr>
            <w:tcW w:w="108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8,576</w:t>
            </w:r>
          </w:p>
        </w:tc>
        <w:tc>
          <w:tcPr>
            <w:tcW w:w="126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170"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right w:val="single" w:sz="4" w:space="0" w:color="auto"/>
            </w:tcBorders>
            <w:tcMar>
              <w:left w:w="57" w:type="dxa"/>
            </w:tcMar>
          </w:tcPr>
          <w:p w:rsidR="00000000" w:rsidRDefault="00000000">
            <w:pPr>
              <w:tabs>
                <w:tab w:val="decimal" w:pos="680"/>
              </w:tabs>
              <w:spacing w:before="120" w:line="240" w:lineRule="auto"/>
              <w:rPr>
                <w:spacing w:val="4"/>
                <w:sz w:val="18"/>
              </w:rPr>
            </w:pPr>
            <w:r>
              <w:rPr>
                <w:spacing w:val="4"/>
                <w:sz w:val="18"/>
              </w:rPr>
              <w:t>8,576</w:t>
            </w:r>
          </w:p>
        </w:tc>
        <w:tc>
          <w:tcPr>
            <w:tcW w:w="1140" w:type="dxa"/>
            <w:tcBorders>
              <w:top w:val="nil"/>
              <w:left w:val="single" w:sz="4" w:space="0" w:color="auto"/>
              <w:bottom w:val="nil"/>
              <w:right w:val="single" w:sz="4" w:space="0" w:color="auto"/>
            </w:tcBorders>
            <w:tcMar>
              <w:right w:w="340" w:type="dxa"/>
            </w:tcMar>
          </w:tcPr>
          <w:p w:rsidR="00000000" w:rsidRDefault="00000000">
            <w:pPr>
              <w:tabs>
                <w:tab w:val="decimal" w:pos="680"/>
              </w:tabs>
              <w:spacing w:before="120" w:line="240" w:lineRule="auto"/>
              <w:rPr>
                <w:spacing w:val="4"/>
                <w:sz w:val="18"/>
              </w:rPr>
            </w:pPr>
            <w:r>
              <w:rPr>
                <w:spacing w:val="4"/>
                <w:sz w:val="18"/>
              </w:rPr>
              <w:t>-</w:t>
            </w:r>
          </w:p>
        </w:tc>
      </w:tr>
      <w:tr w:rsidR="00000000">
        <w:tc>
          <w:tcPr>
            <w:tcW w:w="600" w:type="dxa"/>
            <w:tcBorders>
              <w:right w:val="single" w:sz="4" w:space="0" w:color="auto"/>
            </w:tcBorders>
            <w:tcMar>
              <w:top w:w="85" w:type="dxa"/>
            </w:tcMar>
          </w:tcPr>
          <w:p w:rsidR="00000000" w:rsidRDefault="00000000">
            <w:pPr>
              <w:tabs>
                <w:tab w:val="left" w:pos="442"/>
              </w:tabs>
              <w:spacing w:before="120" w:line="240" w:lineRule="auto"/>
              <w:rPr>
                <w:spacing w:val="4"/>
                <w:sz w:val="18"/>
              </w:rPr>
            </w:pPr>
          </w:p>
        </w:tc>
        <w:tc>
          <w:tcPr>
            <w:tcW w:w="960" w:type="dxa"/>
            <w:tcBorders>
              <w:left w:val="single" w:sz="4" w:space="0" w:color="auto"/>
              <w:right w:val="single" w:sz="4" w:space="0" w:color="auto"/>
            </w:tcBorders>
            <w:tcMar>
              <w:top w:w="85" w:type="dxa"/>
            </w:tcMar>
          </w:tcPr>
          <w:p w:rsidR="00000000" w:rsidRDefault="00000000">
            <w:pPr>
              <w:tabs>
                <w:tab w:val="left" w:pos="442"/>
              </w:tabs>
              <w:spacing w:before="120" w:line="240" w:lineRule="auto"/>
              <w:rPr>
                <w:b/>
                <w:bCs/>
                <w:spacing w:val="4"/>
                <w:sz w:val="18"/>
              </w:rPr>
            </w:pPr>
            <w:r>
              <w:rPr>
                <w:b/>
                <w:bCs/>
                <w:spacing w:val="4"/>
                <w:sz w:val="18"/>
              </w:rPr>
              <w:t>1998</w:t>
            </w:r>
          </w:p>
        </w:tc>
        <w:tc>
          <w:tcPr>
            <w:tcW w:w="1080" w:type="dxa"/>
            <w:tcBorders>
              <w:left w:val="single" w:sz="4" w:space="0" w:color="auto"/>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260" w:type="dxa"/>
            <w:tcBorders>
              <w:left w:val="single" w:sz="4" w:space="0" w:color="auto"/>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140" w:type="dxa"/>
            <w:tcBorders>
              <w:left w:val="single" w:sz="4" w:space="0" w:color="auto"/>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right w:w="170" w:type="dxa"/>
            </w:tcMar>
          </w:tcPr>
          <w:p w:rsidR="00000000" w:rsidRDefault="00000000">
            <w:pPr>
              <w:tabs>
                <w:tab w:val="decimal" w:pos="680"/>
              </w:tabs>
              <w:spacing w:before="120" w:line="240" w:lineRule="auto"/>
              <w:rPr>
                <w:spacing w:val="4"/>
                <w:sz w:val="18"/>
              </w:rPr>
            </w:pPr>
          </w:p>
        </w:tc>
        <w:tc>
          <w:tcPr>
            <w:tcW w:w="1140" w:type="dxa"/>
            <w:tcBorders>
              <w:left w:val="single" w:sz="4" w:space="0" w:color="auto"/>
              <w:right w:val="single" w:sz="4" w:space="0" w:color="auto"/>
            </w:tcBorders>
            <w:tcMar>
              <w:top w:w="85" w:type="dxa"/>
              <w:left w:w="57"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right w:w="340" w:type="dxa"/>
            </w:tcMar>
          </w:tcPr>
          <w:p w:rsidR="00000000" w:rsidRDefault="00000000">
            <w:pPr>
              <w:tabs>
                <w:tab w:val="decimal" w:pos="680"/>
              </w:tabs>
              <w:spacing w:before="120" w:line="240" w:lineRule="auto"/>
              <w:rPr>
                <w:spacing w:val="4"/>
                <w:sz w:val="18"/>
              </w:rPr>
            </w:pPr>
          </w:p>
        </w:tc>
      </w:tr>
      <w:tr w:rsidR="00000000">
        <w:tc>
          <w:tcPr>
            <w:tcW w:w="600" w:type="dxa"/>
            <w:tcBorders>
              <w:right w:val="single" w:sz="4" w:space="0" w:color="auto"/>
            </w:tcBorders>
          </w:tcPr>
          <w:p w:rsidR="00000000" w:rsidRDefault="00000000">
            <w:pPr>
              <w:tabs>
                <w:tab w:val="left" w:pos="442"/>
              </w:tabs>
              <w:spacing w:before="120" w:line="240" w:lineRule="auto"/>
              <w:jc w:val="center"/>
              <w:rPr>
                <w:spacing w:val="4"/>
                <w:sz w:val="18"/>
              </w:rPr>
            </w:pPr>
            <w:r>
              <w:rPr>
                <w:spacing w:val="4"/>
                <w:sz w:val="18"/>
              </w:rPr>
              <w:t>1.</w:t>
            </w:r>
          </w:p>
        </w:tc>
        <w:tc>
          <w:tcPr>
            <w:tcW w:w="960" w:type="dxa"/>
            <w:tcBorders>
              <w:left w:val="single" w:sz="4" w:space="0" w:color="auto"/>
              <w:right w:val="single" w:sz="4" w:space="0" w:color="auto"/>
            </w:tcBorders>
          </w:tcPr>
          <w:p w:rsidR="00000000" w:rsidRDefault="00000000">
            <w:pPr>
              <w:tabs>
                <w:tab w:val="left" w:pos="442"/>
              </w:tabs>
              <w:spacing w:before="120" w:line="240" w:lineRule="auto"/>
              <w:rPr>
                <w:rFonts w:hint="eastAsia"/>
                <w:spacing w:val="4"/>
                <w:sz w:val="18"/>
              </w:rPr>
            </w:pPr>
            <w:r>
              <w:rPr>
                <w:rFonts w:hint="eastAsia"/>
                <w:spacing w:val="4"/>
                <w:sz w:val="18"/>
              </w:rPr>
              <w:t>大米</w:t>
            </w:r>
          </w:p>
        </w:tc>
        <w:tc>
          <w:tcPr>
            <w:tcW w:w="108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1,193.3</w:t>
            </w:r>
          </w:p>
        </w:tc>
        <w:tc>
          <w:tcPr>
            <w:tcW w:w="126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487</w:t>
            </w:r>
          </w:p>
        </w:tc>
        <w:tc>
          <w:tcPr>
            <w:tcW w:w="114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170" w:type="dxa"/>
            </w:tcMar>
          </w:tcPr>
          <w:p w:rsidR="00000000" w:rsidRDefault="00000000">
            <w:pPr>
              <w:tabs>
                <w:tab w:val="decimal" w:pos="680"/>
              </w:tabs>
              <w:spacing w:before="120" w:line="240" w:lineRule="auto"/>
              <w:rPr>
                <w:spacing w:val="4"/>
                <w:sz w:val="18"/>
              </w:rPr>
            </w:pPr>
            <w:r>
              <w:rPr>
                <w:spacing w:val="4"/>
                <w:sz w:val="18"/>
              </w:rPr>
              <w:t>304.3</w:t>
            </w:r>
          </w:p>
        </w:tc>
        <w:tc>
          <w:tcPr>
            <w:tcW w:w="1140" w:type="dxa"/>
            <w:tcBorders>
              <w:left w:val="single" w:sz="4" w:space="0" w:color="auto"/>
              <w:right w:val="single" w:sz="4" w:space="0" w:color="auto"/>
            </w:tcBorders>
            <w:tcMar>
              <w:left w:w="57" w:type="dxa"/>
            </w:tcMar>
          </w:tcPr>
          <w:p w:rsidR="00000000" w:rsidRDefault="00000000">
            <w:pPr>
              <w:tabs>
                <w:tab w:val="decimal" w:pos="680"/>
              </w:tabs>
              <w:spacing w:before="120" w:line="240" w:lineRule="auto"/>
              <w:rPr>
                <w:spacing w:val="4"/>
                <w:sz w:val="18"/>
              </w:rPr>
            </w:pPr>
            <w:r>
              <w:rPr>
                <w:spacing w:val="4"/>
                <w:sz w:val="18"/>
              </w:rPr>
              <w:t>401</w:t>
            </w:r>
          </w:p>
        </w:tc>
        <w:tc>
          <w:tcPr>
            <w:tcW w:w="1140" w:type="dxa"/>
            <w:tcBorders>
              <w:top w:val="nil"/>
              <w:left w:val="single" w:sz="4" w:space="0" w:color="auto"/>
              <w:bottom w:val="nil"/>
              <w:right w:val="single" w:sz="4" w:space="0" w:color="auto"/>
            </w:tcBorders>
            <w:tcMar>
              <w:right w:w="340" w:type="dxa"/>
            </w:tcMar>
          </w:tcPr>
          <w:p w:rsidR="00000000" w:rsidRDefault="00000000">
            <w:pPr>
              <w:tabs>
                <w:tab w:val="decimal" w:pos="680"/>
              </w:tabs>
              <w:spacing w:before="120" w:line="240" w:lineRule="auto"/>
              <w:rPr>
                <w:spacing w:val="4"/>
                <w:sz w:val="18"/>
              </w:rPr>
            </w:pPr>
            <w:r>
              <w:rPr>
                <w:spacing w:val="4"/>
                <w:sz w:val="18"/>
              </w:rPr>
              <w:t>1.3</w:t>
            </w:r>
          </w:p>
        </w:tc>
      </w:tr>
      <w:tr w:rsidR="00000000">
        <w:tc>
          <w:tcPr>
            <w:tcW w:w="600" w:type="dxa"/>
            <w:tcBorders>
              <w:bottom w:val="nil"/>
              <w:right w:val="single" w:sz="4" w:space="0" w:color="auto"/>
            </w:tcBorders>
          </w:tcPr>
          <w:p w:rsidR="00000000" w:rsidRDefault="00000000">
            <w:pPr>
              <w:tabs>
                <w:tab w:val="left" w:pos="442"/>
              </w:tabs>
              <w:spacing w:before="120" w:line="240" w:lineRule="auto"/>
              <w:jc w:val="center"/>
              <w:rPr>
                <w:spacing w:val="4"/>
                <w:sz w:val="18"/>
              </w:rPr>
            </w:pPr>
            <w:r>
              <w:rPr>
                <w:spacing w:val="4"/>
                <w:sz w:val="18"/>
              </w:rPr>
              <w:t>2.</w:t>
            </w:r>
          </w:p>
        </w:tc>
        <w:tc>
          <w:tcPr>
            <w:tcW w:w="960" w:type="dxa"/>
            <w:tcBorders>
              <w:left w:val="single" w:sz="4" w:space="0" w:color="auto"/>
              <w:bottom w:val="nil"/>
              <w:right w:val="single" w:sz="4" w:space="0" w:color="auto"/>
            </w:tcBorders>
          </w:tcPr>
          <w:p w:rsidR="00000000" w:rsidRDefault="00000000">
            <w:pPr>
              <w:tabs>
                <w:tab w:val="left" w:pos="442"/>
              </w:tabs>
              <w:spacing w:before="120" w:line="240" w:lineRule="auto"/>
              <w:rPr>
                <w:rFonts w:hint="eastAsia"/>
                <w:spacing w:val="4"/>
                <w:sz w:val="18"/>
              </w:rPr>
            </w:pPr>
            <w:r>
              <w:rPr>
                <w:rFonts w:hint="eastAsia"/>
                <w:spacing w:val="4"/>
                <w:sz w:val="18"/>
              </w:rPr>
              <w:t>土豆淀粉</w:t>
            </w:r>
          </w:p>
        </w:tc>
        <w:tc>
          <w:tcPr>
            <w:tcW w:w="1080" w:type="dxa"/>
            <w:tcBorders>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125</w:t>
            </w:r>
          </w:p>
        </w:tc>
        <w:tc>
          <w:tcPr>
            <w:tcW w:w="1260" w:type="dxa"/>
            <w:tcBorders>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60</w:t>
            </w:r>
          </w:p>
        </w:tc>
        <w:tc>
          <w:tcPr>
            <w:tcW w:w="1140" w:type="dxa"/>
            <w:tcBorders>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170" w:type="dxa"/>
            </w:tcMar>
          </w:tcPr>
          <w:p w:rsidR="00000000" w:rsidRDefault="00000000">
            <w:pPr>
              <w:tabs>
                <w:tab w:val="decimal" w:pos="680"/>
              </w:tabs>
              <w:spacing w:before="120" w:line="240" w:lineRule="auto"/>
              <w:rPr>
                <w:spacing w:val="4"/>
                <w:sz w:val="18"/>
              </w:rPr>
            </w:pPr>
            <w:r>
              <w:rPr>
                <w:spacing w:val="4"/>
                <w:sz w:val="18"/>
              </w:rPr>
              <w:t>64.5</w:t>
            </w:r>
          </w:p>
        </w:tc>
        <w:tc>
          <w:tcPr>
            <w:tcW w:w="1140" w:type="dxa"/>
            <w:tcBorders>
              <w:left w:val="single" w:sz="4" w:space="0" w:color="auto"/>
              <w:bottom w:val="nil"/>
              <w:right w:val="single" w:sz="4" w:space="0" w:color="auto"/>
            </w:tcBorders>
            <w:tcMar>
              <w:left w:w="57"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340" w:type="dxa"/>
            </w:tcMar>
          </w:tcPr>
          <w:p w:rsidR="00000000" w:rsidRDefault="00000000">
            <w:pPr>
              <w:tabs>
                <w:tab w:val="decimal" w:pos="680"/>
              </w:tabs>
              <w:spacing w:before="120" w:line="240" w:lineRule="auto"/>
              <w:rPr>
                <w:spacing w:val="4"/>
                <w:sz w:val="18"/>
              </w:rPr>
            </w:pPr>
            <w:r>
              <w:rPr>
                <w:spacing w:val="4"/>
                <w:sz w:val="18"/>
              </w:rPr>
              <w:t>0.5</w:t>
            </w:r>
          </w:p>
        </w:tc>
      </w:tr>
      <w:tr w:rsidR="00000000">
        <w:tc>
          <w:tcPr>
            <w:tcW w:w="600" w:type="dxa"/>
            <w:tcBorders>
              <w:top w:val="nil"/>
              <w:bottom w:val="nil"/>
              <w:right w:val="single" w:sz="4" w:space="0" w:color="auto"/>
            </w:tcBorders>
          </w:tcPr>
          <w:p w:rsidR="00000000" w:rsidRDefault="00000000">
            <w:pPr>
              <w:tabs>
                <w:tab w:val="left" w:pos="442"/>
              </w:tabs>
              <w:spacing w:before="120" w:line="240" w:lineRule="auto"/>
              <w:jc w:val="center"/>
              <w:rPr>
                <w:spacing w:val="4"/>
                <w:sz w:val="18"/>
              </w:rPr>
            </w:pPr>
            <w:r>
              <w:rPr>
                <w:spacing w:val="4"/>
                <w:sz w:val="18"/>
              </w:rPr>
              <w:t>3.</w:t>
            </w:r>
          </w:p>
        </w:tc>
        <w:tc>
          <w:tcPr>
            <w:tcW w:w="960" w:type="dxa"/>
            <w:tcBorders>
              <w:top w:val="nil"/>
              <w:left w:val="single" w:sz="4" w:space="0" w:color="auto"/>
              <w:bottom w:val="nil"/>
              <w:right w:val="single" w:sz="4" w:space="0" w:color="auto"/>
            </w:tcBorders>
          </w:tcPr>
          <w:p w:rsidR="00000000" w:rsidRDefault="00000000">
            <w:pPr>
              <w:tabs>
                <w:tab w:val="left" w:pos="442"/>
              </w:tabs>
              <w:spacing w:before="120" w:line="240" w:lineRule="auto"/>
              <w:rPr>
                <w:spacing w:val="4"/>
                <w:sz w:val="18"/>
              </w:rPr>
            </w:pPr>
            <w:r>
              <w:rPr>
                <w:rFonts w:hint="eastAsia"/>
                <w:spacing w:val="4"/>
                <w:sz w:val="18"/>
              </w:rPr>
              <w:t>植物</w:t>
            </w:r>
          </w:p>
        </w:tc>
        <w:tc>
          <w:tcPr>
            <w:tcW w:w="108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5,978</w:t>
            </w:r>
          </w:p>
        </w:tc>
        <w:tc>
          <w:tcPr>
            <w:tcW w:w="126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68.7</w:t>
            </w:r>
          </w:p>
        </w:tc>
        <w:tc>
          <w:tcPr>
            <w:tcW w:w="114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170"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left w:w="57" w:type="dxa"/>
            </w:tcMar>
          </w:tcPr>
          <w:p w:rsidR="00000000" w:rsidRDefault="00000000">
            <w:pPr>
              <w:tabs>
                <w:tab w:val="decimal" w:pos="680"/>
              </w:tabs>
              <w:spacing w:before="120" w:line="240" w:lineRule="auto"/>
              <w:rPr>
                <w:spacing w:val="4"/>
                <w:sz w:val="18"/>
              </w:rPr>
            </w:pPr>
            <w:r>
              <w:rPr>
                <w:spacing w:val="4"/>
                <w:sz w:val="18"/>
              </w:rPr>
              <w:t>3,074</w:t>
            </w:r>
          </w:p>
        </w:tc>
        <w:tc>
          <w:tcPr>
            <w:tcW w:w="1140" w:type="dxa"/>
            <w:tcBorders>
              <w:top w:val="nil"/>
              <w:left w:val="single" w:sz="4" w:space="0" w:color="auto"/>
              <w:bottom w:val="nil"/>
              <w:right w:val="single" w:sz="4" w:space="0" w:color="auto"/>
            </w:tcBorders>
            <w:tcMar>
              <w:right w:w="340" w:type="dxa"/>
            </w:tcMar>
          </w:tcPr>
          <w:p w:rsidR="00000000" w:rsidRDefault="00000000">
            <w:pPr>
              <w:tabs>
                <w:tab w:val="decimal" w:pos="680"/>
              </w:tabs>
              <w:spacing w:before="120" w:line="240" w:lineRule="auto"/>
              <w:rPr>
                <w:rFonts w:hint="eastAsia"/>
                <w:spacing w:val="4"/>
                <w:sz w:val="18"/>
              </w:rPr>
            </w:pPr>
            <w:r>
              <w:rPr>
                <w:spacing w:val="4"/>
                <w:sz w:val="18"/>
              </w:rPr>
              <w:t>29.5</w:t>
            </w:r>
          </w:p>
        </w:tc>
      </w:tr>
      <w:tr w:rsidR="00000000">
        <w:tc>
          <w:tcPr>
            <w:tcW w:w="600" w:type="dxa"/>
            <w:tcBorders>
              <w:top w:val="nil"/>
              <w:bottom w:val="nil"/>
              <w:right w:val="single" w:sz="4" w:space="0" w:color="auto"/>
            </w:tcBorders>
            <w:tcMar>
              <w:top w:w="85" w:type="dxa"/>
            </w:tcMar>
          </w:tcPr>
          <w:p w:rsidR="00000000" w:rsidRDefault="00000000">
            <w:pPr>
              <w:tabs>
                <w:tab w:val="left" w:pos="442"/>
              </w:tabs>
              <w:spacing w:before="120" w:line="240" w:lineRule="auto"/>
              <w:jc w:val="center"/>
              <w:rPr>
                <w:spacing w:val="4"/>
                <w:sz w:val="18"/>
              </w:rPr>
            </w:pPr>
          </w:p>
        </w:tc>
        <w:tc>
          <w:tcPr>
            <w:tcW w:w="960" w:type="dxa"/>
            <w:tcBorders>
              <w:top w:val="nil"/>
              <w:left w:val="single" w:sz="4" w:space="0" w:color="auto"/>
              <w:bottom w:val="nil"/>
              <w:right w:val="single" w:sz="4" w:space="0" w:color="auto"/>
            </w:tcBorders>
            <w:tcMar>
              <w:top w:w="85" w:type="dxa"/>
            </w:tcMar>
          </w:tcPr>
          <w:p w:rsidR="00000000" w:rsidRDefault="00000000">
            <w:pPr>
              <w:tabs>
                <w:tab w:val="left" w:pos="442"/>
              </w:tabs>
              <w:spacing w:before="120" w:line="240" w:lineRule="auto"/>
              <w:rPr>
                <w:b/>
                <w:bCs/>
                <w:spacing w:val="4"/>
                <w:sz w:val="18"/>
              </w:rPr>
            </w:pPr>
            <w:r>
              <w:rPr>
                <w:b/>
                <w:bCs/>
                <w:spacing w:val="4"/>
                <w:sz w:val="18"/>
              </w:rPr>
              <w:t>1999</w:t>
            </w:r>
          </w:p>
        </w:tc>
        <w:tc>
          <w:tcPr>
            <w:tcW w:w="1080" w:type="dxa"/>
            <w:tcBorders>
              <w:top w:val="nil"/>
              <w:left w:val="single" w:sz="4" w:space="0" w:color="auto"/>
              <w:bottom w:val="nil"/>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260" w:type="dxa"/>
            <w:tcBorders>
              <w:top w:val="nil"/>
              <w:left w:val="single" w:sz="4" w:space="0" w:color="auto"/>
              <w:bottom w:val="nil"/>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right w:w="170"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left w:w="57"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right w:w="340" w:type="dxa"/>
            </w:tcMar>
          </w:tcPr>
          <w:p w:rsidR="00000000" w:rsidRDefault="00000000">
            <w:pPr>
              <w:tabs>
                <w:tab w:val="decimal" w:pos="680"/>
              </w:tabs>
              <w:spacing w:before="120" w:line="240" w:lineRule="auto"/>
              <w:rPr>
                <w:spacing w:val="4"/>
                <w:sz w:val="18"/>
              </w:rPr>
            </w:pPr>
          </w:p>
        </w:tc>
      </w:tr>
      <w:tr w:rsidR="00000000">
        <w:tc>
          <w:tcPr>
            <w:tcW w:w="600" w:type="dxa"/>
            <w:tcBorders>
              <w:top w:val="nil"/>
              <w:right w:val="single" w:sz="4" w:space="0" w:color="auto"/>
            </w:tcBorders>
          </w:tcPr>
          <w:p w:rsidR="00000000" w:rsidRDefault="00000000">
            <w:pPr>
              <w:tabs>
                <w:tab w:val="left" w:pos="442"/>
              </w:tabs>
              <w:spacing w:before="120" w:line="240" w:lineRule="auto"/>
              <w:jc w:val="center"/>
              <w:rPr>
                <w:spacing w:val="4"/>
                <w:sz w:val="18"/>
              </w:rPr>
            </w:pPr>
            <w:r>
              <w:rPr>
                <w:spacing w:val="4"/>
                <w:sz w:val="18"/>
              </w:rPr>
              <w:t>1.</w:t>
            </w:r>
          </w:p>
        </w:tc>
        <w:tc>
          <w:tcPr>
            <w:tcW w:w="960" w:type="dxa"/>
            <w:tcBorders>
              <w:top w:val="nil"/>
              <w:left w:val="single" w:sz="4" w:space="0" w:color="auto"/>
              <w:right w:val="single" w:sz="4" w:space="0" w:color="auto"/>
            </w:tcBorders>
          </w:tcPr>
          <w:p w:rsidR="00000000" w:rsidRDefault="00000000">
            <w:pPr>
              <w:tabs>
                <w:tab w:val="left" w:pos="442"/>
              </w:tabs>
              <w:spacing w:before="120" w:line="240" w:lineRule="auto"/>
              <w:rPr>
                <w:rFonts w:hint="eastAsia"/>
                <w:spacing w:val="4"/>
                <w:sz w:val="18"/>
              </w:rPr>
            </w:pPr>
            <w:r>
              <w:rPr>
                <w:rFonts w:hint="eastAsia"/>
                <w:spacing w:val="4"/>
                <w:sz w:val="18"/>
              </w:rPr>
              <w:t>小麦</w:t>
            </w:r>
          </w:p>
        </w:tc>
        <w:tc>
          <w:tcPr>
            <w:tcW w:w="1080" w:type="dxa"/>
            <w:tcBorders>
              <w:top w:val="nil"/>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36,060</w:t>
            </w:r>
          </w:p>
        </w:tc>
        <w:tc>
          <w:tcPr>
            <w:tcW w:w="1260" w:type="dxa"/>
            <w:tcBorders>
              <w:top w:val="nil"/>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5,000</w:t>
            </w:r>
          </w:p>
        </w:tc>
        <w:tc>
          <w:tcPr>
            <w:tcW w:w="1140" w:type="dxa"/>
            <w:tcBorders>
              <w:top w:val="nil"/>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170" w:type="dxa"/>
            </w:tcMar>
          </w:tcPr>
          <w:p w:rsidR="00000000" w:rsidRDefault="00000000">
            <w:pPr>
              <w:tabs>
                <w:tab w:val="decimal" w:pos="680"/>
              </w:tabs>
              <w:spacing w:before="120" w:line="240" w:lineRule="auto"/>
              <w:rPr>
                <w:spacing w:val="4"/>
                <w:sz w:val="18"/>
              </w:rPr>
            </w:pPr>
            <w:r>
              <w:rPr>
                <w:spacing w:val="4"/>
                <w:sz w:val="18"/>
              </w:rPr>
              <w:t>140</w:t>
            </w:r>
          </w:p>
        </w:tc>
        <w:tc>
          <w:tcPr>
            <w:tcW w:w="1140" w:type="dxa"/>
            <w:tcBorders>
              <w:top w:val="nil"/>
              <w:left w:val="single" w:sz="4" w:space="0" w:color="auto"/>
              <w:right w:val="single" w:sz="4" w:space="0" w:color="auto"/>
            </w:tcBorders>
            <w:tcMar>
              <w:left w:w="57" w:type="dxa"/>
            </w:tcMar>
          </w:tcPr>
          <w:p w:rsidR="00000000" w:rsidRDefault="00000000">
            <w:pPr>
              <w:tabs>
                <w:tab w:val="decimal" w:pos="680"/>
              </w:tabs>
              <w:spacing w:before="120" w:line="240" w:lineRule="auto"/>
              <w:rPr>
                <w:spacing w:val="4"/>
                <w:sz w:val="18"/>
              </w:rPr>
            </w:pPr>
            <w:r>
              <w:rPr>
                <w:spacing w:val="4"/>
                <w:sz w:val="18"/>
              </w:rPr>
              <w:t>30,920</w:t>
            </w:r>
          </w:p>
        </w:tc>
        <w:tc>
          <w:tcPr>
            <w:tcW w:w="1140" w:type="dxa"/>
            <w:tcBorders>
              <w:top w:val="nil"/>
              <w:left w:val="single" w:sz="4" w:space="0" w:color="auto"/>
              <w:bottom w:val="nil"/>
              <w:right w:val="single" w:sz="4" w:space="0" w:color="auto"/>
            </w:tcBorders>
            <w:tcMar>
              <w:right w:w="340" w:type="dxa"/>
            </w:tcMar>
          </w:tcPr>
          <w:p w:rsidR="00000000" w:rsidRDefault="00000000">
            <w:pPr>
              <w:tabs>
                <w:tab w:val="decimal" w:pos="680"/>
              </w:tabs>
              <w:spacing w:before="120" w:line="240" w:lineRule="auto"/>
              <w:ind w:hanging="57"/>
              <w:rPr>
                <w:spacing w:val="4"/>
                <w:sz w:val="18"/>
              </w:rPr>
            </w:pPr>
            <w:r>
              <w:rPr>
                <w:spacing w:val="4"/>
                <w:sz w:val="18"/>
              </w:rPr>
              <w:t>-</w:t>
            </w:r>
          </w:p>
        </w:tc>
      </w:tr>
      <w:tr w:rsidR="00000000">
        <w:tc>
          <w:tcPr>
            <w:tcW w:w="600" w:type="dxa"/>
            <w:tcBorders>
              <w:right w:val="single" w:sz="4" w:space="0" w:color="auto"/>
            </w:tcBorders>
            <w:tcMar>
              <w:top w:w="85" w:type="dxa"/>
            </w:tcMar>
          </w:tcPr>
          <w:p w:rsidR="00000000" w:rsidRDefault="00000000">
            <w:pPr>
              <w:tabs>
                <w:tab w:val="left" w:pos="442"/>
              </w:tabs>
              <w:spacing w:before="120" w:line="240" w:lineRule="auto"/>
              <w:jc w:val="center"/>
              <w:rPr>
                <w:spacing w:val="4"/>
                <w:sz w:val="18"/>
              </w:rPr>
            </w:pPr>
          </w:p>
        </w:tc>
        <w:tc>
          <w:tcPr>
            <w:tcW w:w="960" w:type="dxa"/>
            <w:tcBorders>
              <w:left w:val="single" w:sz="4" w:space="0" w:color="auto"/>
              <w:right w:val="single" w:sz="4" w:space="0" w:color="auto"/>
            </w:tcBorders>
            <w:tcMar>
              <w:top w:w="85" w:type="dxa"/>
            </w:tcMar>
          </w:tcPr>
          <w:p w:rsidR="00000000" w:rsidRDefault="00000000">
            <w:pPr>
              <w:tabs>
                <w:tab w:val="left" w:pos="442"/>
              </w:tabs>
              <w:spacing w:before="120" w:line="240" w:lineRule="auto"/>
              <w:rPr>
                <w:b/>
                <w:bCs/>
                <w:spacing w:val="4"/>
                <w:sz w:val="18"/>
              </w:rPr>
            </w:pPr>
            <w:r>
              <w:rPr>
                <w:b/>
                <w:bCs/>
                <w:spacing w:val="4"/>
                <w:sz w:val="18"/>
              </w:rPr>
              <w:t>2000</w:t>
            </w:r>
          </w:p>
        </w:tc>
        <w:tc>
          <w:tcPr>
            <w:tcW w:w="1080" w:type="dxa"/>
            <w:tcBorders>
              <w:left w:val="single" w:sz="4" w:space="0" w:color="auto"/>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260" w:type="dxa"/>
            <w:tcBorders>
              <w:left w:val="single" w:sz="4" w:space="0" w:color="auto"/>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140" w:type="dxa"/>
            <w:tcBorders>
              <w:left w:val="single" w:sz="4" w:space="0" w:color="auto"/>
              <w:right w:val="single" w:sz="4" w:space="0" w:color="auto"/>
            </w:tcBorders>
            <w:tcMar>
              <w:top w:w="85"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right w:w="170" w:type="dxa"/>
            </w:tcMar>
          </w:tcPr>
          <w:p w:rsidR="00000000" w:rsidRDefault="00000000">
            <w:pPr>
              <w:tabs>
                <w:tab w:val="decimal" w:pos="680"/>
              </w:tabs>
              <w:spacing w:before="120" w:line="240" w:lineRule="auto"/>
              <w:rPr>
                <w:spacing w:val="4"/>
                <w:sz w:val="18"/>
              </w:rPr>
            </w:pPr>
          </w:p>
        </w:tc>
        <w:tc>
          <w:tcPr>
            <w:tcW w:w="1140" w:type="dxa"/>
            <w:tcBorders>
              <w:left w:val="single" w:sz="4" w:space="0" w:color="auto"/>
              <w:right w:val="single" w:sz="4" w:space="0" w:color="auto"/>
            </w:tcBorders>
            <w:tcMar>
              <w:top w:w="85" w:type="dxa"/>
              <w:left w:w="57" w:type="dxa"/>
            </w:tcMar>
          </w:tcPr>
          <w:p w:rsidR="00000000" w:rsidRDefault="00000000">
            <w:pPr>
              <w:tabs>
                <w:tab w:val="decimal" w:pos="680"/>
              </w:tabs>
              <w:spacing w:before="120" w:line="240" w:lineRule="auto"/>
              <w:rPr>
                <w:spacing w:val="4"/>
                <w:sz w:val="18"/>
              </w:rPr>
            </w:pPr>
          </w:p>
        </w:tc>
        <w:tc>
          <w:tcPr>
            <w:tcW w:w="1140" w:type="dxa"/>
            <w:tcBorders>
              <w:top w:val="nil"/>
              <w:left w:val="single" w:sz="4" w:space="0" w:color="auto"/>
              <w:bottom w:val="nil"/>
              <w:right w:val="single" w:sz="4" w:space="0" w:color="auto"/>
            </w:tcBorders>
            <w:tcMar>
              <w:top w:w="85" w:type="dxa"/>
              <w:right w:w="340" w:type="dxa"/>
            </w:tcMar>
          </w:tcPr>
          <w:p w:rsidR="00000000" w:rsidRDefault="00000000">
            <w:pPr>
              <w:tabs>
                <w:tab w:val="decimal" w:pos="680"/>
              </w:tabs>
              <w:spacing w:before="120" w:line="240" w:lineRule="auto"/>
              <w:rPr>
                <w:spacing w:val="4"/>
                <w:sz w:val="18"/>
              </w:rPr>
            </w:pPr>
          </w:p>
        </w:tc>
      </w:tr>
      <w:tr w:rsidR="00000000">
        <w:tc>
          <w:tcPr>
            <w:tcW w:w="600" w:type="dxa"/>
            <w:tcBorders>
              <w:right w:val="single" w:sz="4" w:space="0" w:color="auto"/>
            </w:tcBorders>
          </w:tcPr>
          <w:p w:rsidR="00000000" w:rsidRDefault="00000000">
            <w:pPr>
              <w:tabs>
                <w:tab w:val="left" w:pos="442"/>
              </w:tabs>
              <w:spacing w:before="120" w:line="240" w:lineRule="auto"/>
              <w:jc w:val="center"/>
              <w:rPr>
                <w:spacing w:val="4"/>
                <w:sz w:val="18"/>
              </w:rPr>
            </w:pPr>
            <w:r>
              <w:rPr>
                <w:spacing w:val="4"/>
                <w:sz w:val="18"/>
              </w:rPr>
              <w:t>1.</w:t>
            </w:r>
          </w:p>
        </w:tc>
        <w:tc>
          <w:tcPr>
            <w:tcW w:w="960" w:type="dxa"/>
            <w:tcBorders>
              <w:left w:val="single" w:sz="4" w:space="0" w:color="auto"/>
              <w:right w:val="single" w:sz="4" w:space="0" w:color="auto"/>
            </w:tcBorders>
          </w:tcPr>
          <w:p w:rsidR="00000000" w:rsidRDefault="00000000">
            <w:pPr>
              <w:tabs>
                <w:tab w:val="left" w:pos="442"/>
              </w:tabs>
              <w:spacing w:before="120" w:line="240" w:lineRule="auto"/>
              <w:rPr>
                <w:spacing w:val="4"/>
                <w:sz w:val="18"/>
              </w:rPr>
            </w:pPr>
            <w:r>
              <w:rPr>
                <w:rFonts w:hint="eastAsia"/>
                <w:spacing w:val="4"/>
                <w:sz w:val="18"/>
              </w:rPr>
              <w:t>小麦</w:t>
            </w:r>
            <w:r>
              <w:rPr>
                <w:rFonts w:hint="eastAsia"/>
                <w:spacing w:val="4"/>
                <w:sz w:val="18"/>
              </w:rPr>
              <w:t xml:space="preserve"> </w:t>
            </w:r>
            <w:r>
              <w:rPr>
                <w:spacing w:val="4"/>
                <w:sz w:val="18"/>
                <w:vertAlign w:val="superscript"/>
              </w:rPr>
              <w:t>1</w:t>
            </w:r>
          </w:p>
        </w:tc>
        <w:tc>
          <w:tcPr>
            <w:tcW w:w="108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40,676</w:t>
            </w:r>
          </w:p>
        </w:tc>
        <w:tc>
          <w:tcPr>
            <w:tcW w:w="126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170"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right w:val="single" w:sz="4" w:space="0" w:color="auto"/>
            </w:tcBorders>
            <w:tcMar>
              <w:left w:w="57"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340" w:type="dxa"/>
            </w:tcMar>
          </w:tcPr>
          <w:p w:rsidR="00000000" w:rsidRDefault="00000000">
            <w:pPr>
              <w:tabs>
                <w:tab w:val="decimal" w:pos="680"/>
              </w:tabs>
              <w:spacing w:before="120" w:line="240" w:lineRule="auto"/>
              <w:rPr>
                <w:spacing w:val="4"/>
                <w:sz w:val="18"/>
              </w:rPr>
            </w:pPr>
            <w:r>
              <w:rPr>
                <w:spacing w:val="4"/>
                <w:sz w:val="18"/>
              </w:rPr>
              <w:t>-</w:t>
            </w:r>
          </w:p>
        </w:tc>
      </w:tr>
      <w:tr w:rsidR="00000000">
        <w:tc>
          <w:tcPr>
            <w:tcW w:w="600" w:type="dxa"/>
            <w:tcBorders>
              <w:right w:val="single" w:sz="4" w:space="0" w:color="auto"/>
            </w:tcBorders>
          </w:tcPr>
          <w:p w:rsidR="00000000" w:rsidRDefault="00000000">
            <w:pPr>
              <w:tabs>
                <w:tab w:val="left" w:pos="442"/>
              </w:tabs>
              <w:spacing w:before="120" w:line="240" w:lineRule="auto"/>
              <w:jc w:val="center"/>
              <w:rPr>
                <w:spacing w:val="4"/>
                <w:sz w:val="18"/>
              </w:rPr>
            </w:pPr>
            <w:r>
              <w:rPr>
                <w:spacing w:val="4"/>
                <w:sz w:val="18"/>
              </w:rPr>
              <w:t>2.</w:t>
            </w:r>
          </w:p>
        </w:tc>
        <w:tc>
          <w:tcPr>
            <w:tcW w:w="960" w:type="dxa"/>
            <w:tcBorders>
              <w:left w:val="single" w:sz="4" w:space="0" w:color="auto"/>
              <w:right w:val="single" w:sz="4" w:space="0" w:color="auto"/>
            </w:tcBorders>
          </w:tcPr>
          <w:p w:rsidR="00000000" w:rsidRDefault="00000000">
            <w:pPr>
              <w:tabs>
                <w:tab w:val="left" w:pos="442"/>
              </w:tabs>
              <w:spacing w:before="120" w:line="240" w:lineRule="auto"/>
              <w:rPr>
                <w:spacing w:val="4"/>
                <w:sz w:val="18"/>
              </w:rPr>
            </w:pPr>
            <w:r>
              <w:rPr>
                <w:rFonts w:hint="eastAsia"/>
                <w:spacing w:val="4"/>
                <w:sz w:val="18"/>
              </w:rPr>
              <w:t>罐头肉</w:t>
            </w:r>
            <w:r>
              <w:rPr>
                <w:rFonts w:hint="eastAsia"/>
                <w:spacing w:val="4"/>
                <w:sz w:val="18"/>
              </w:rPr>
              <w:t xml:space="preserve"> </w:t>
            </w:r>
            <w:r>
              <w:rPr>
                <w:spacing w:val="4"/>
                <w:sz w:val="18"/>
                <w:vertAlign w:val="superscript"/>
              </w:rPr>
              <w:t>2</w:t>
            </w:r>
          </w:p>
        </w:tc>
        <w:tc>
          <w:tcPr>
            <w:tcW w:w="108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587.6</w:t>
            </w:r>
          </w:p>
        </w:tc>
        <w:tc>
          <w:tcPr>
            <w:tcW w:w="126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170"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right w:val="single" w:sz="4" w:space="0" w:color="auto"/>
            </w:tcBorders>
            <w:tcMar>
              <w:left w:w="57" w:type="dxa"/>
            </w:tcMar>
          </w:tcPr>
          <w:p w:rsidR="00000000" w:rsidRDefault="00000000">
            <w:pPr>
              <w:tabs>
                <w:tab w:val="decimal" w:pos="680"/>
              </w:tabs>
              <w:spacing w:before="120" w:line="240" w:lineRule="auto"/>
              <w:rPr>
                <w:spacing w:val="4"/>
                <w:sz w:val="18"/>
              </w:rPr>
            </w:pPr>
            <w:r>
              <w:rPr>
                <w:spacing w:val="4"/>
                <w:sz w:val="18"/>
              </w:rPr>
              <w:t>228</w:t>
            </w:r>
          </w:p>
        </w:tc>
        <w:tc>
          <w:tcPr>
            <w:tcW w:w="1140" w:type="dxa"/>
            <w:tcBorders>
              <w:top w:val="nil"/>
              <w:left w:val="single" w:sz="4" w:space="0" w:color="auto"/>
              <w:bottom w:val="nil"/>
              <w:right w:val="single" w:sz="4" w:space="0" w:color="auto"/>
            </w:tcBorders>
            <w:tcMar>
              <w:right w:w="340" w:type="dxa"/>
            </w:tcMar>
          </w:tcPr>
          <w:p w:rsidR="00000000" w:rsidRDefault="00000000">
            <w:pPr>
              <w:tabs>
                <w:tab w:val="decimal" w:pos="680"/>
              </w:tabs>
              <w:spacing w:before="120" w:line="240" w:lineRule="auto"/>
              <w:rPr>
                <w:spacing w:val="4"/>
                <w:sz w:val="18"/>
              </w:rPr>
            </w:pPr>
            <w:r>
              <w:rPr>
                <w:spacing w:val="4"/>
                <w:sz w:val="18"/>
              </w:rPr>
              <w:t>-</w:t>
            </w:r>
          </w:p>
        </w:tc>
      </w:tr>
      <w:tr w:rsidR="00000000">
        <w:tc>
          <w:tcPr>
            <w:tcW w:w="600" w:type="dxa"/>
            <w:tcBorders>
              <w:right w:val="single" w:sz="4" w:space="0" w:color="auto"/>
            </w:tcBorders>
          </w:tcPr>
          <w:p w:rsidR="00000000" w:rsidRDefault="00000000">
            <w:pPr>
              <w:tabs>
                <w:tab w:val="left" w:pos="442"/>
              </w:tabs>
              <w:spacing w:before="120" w:line="240" w:lineRule="auto"/>
              <w:jc w:val="center"/>
              <w:rPr>
                <w:spacing w:val="4"/>
                <w:sz w:val="18"/>
              </w:rPr>
            </w:pPr>
            <w:r>
              <w:rPr>
                <w:spacing w:val="4"/>
                <w:sz w:val="18"/>
              </w:rPr>
              <w:t>3.</w:t>
            </w:r>
          </w:p>
        </w:tc>
        <w:tc>
          <w:tcPr>
            <w:tcW w:w="960" w:type="dxa"/>
            <w:tcBorders>
              <w:left w:val="single" w:sz="4" w:space="0" w:color="auto"/>
              <w:right w:val="single" w:sz="4" w:space="0" w:color="auto"/>
            </w:tcBorders>
          </w:tcPr>
          <w:p w:rsidR="00000000" w:rsidRDefault="00000000">
            <w:pPr>
              <w:tabs>
                <w:tab w:val="left" w:pos="442"/>
              </w:tabs>
              <w:spacing w:before="120" w:line="240" w:lineRule="auto"/>
              <w:rPr>
                <w:spacing w:val="4"/>
                <w:sz w:val="18"/>
              </w:rPr>
            </w:pPr>
            <w:r>
              <w:rPr>
                <w:rFonts w:hint="eastAsia"/>
                <w:spacing w:val="4"/>
                <w:sz w:val="18"/>
              </w:rPr>
              <w:t>面粉</w:t>
            </w:r>
            <w:r>
              <w:rPr>
                <w:rFonts w:hint="eastAsia"/>
                <w:spacing w:val="4"/>
                <w:sz w:val="18"/>
              </w:rPr>
              <w:t xml:space="preserve"> </w:t>
            </w:r>
            <w:r>
              <w:rPr>
                <w:spacing w:val="4"/>
                <w:sz w:val="18"/>
                <w:vertAlign w:val="superscript"/>
              </w:rPr>
              <w:t>3</w:t>
            </w:r>
          </w:p>
        </w:tc>
        <w:tc>
          <w:tcPr>
            <w:tcW w:w="108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20</w:t>
            </w:r>
          </w:p>
        </w:tc>
        <w:tc>
          <w:tcPr>
            <w:tcW w:w="126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170"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right w:val="single" w:sz="4" w:space="0" w:color="auto"/>
            </w:tcBorders>
            <w:tcMar>
              <w:left w:w="57"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340" w:type="dxa"/>
            </w:tcMar>
          </w:tcPr>
          <w:p w:rsidR="00000000" w:rsidRDefault="00000000">
            <w:pPr>
              <w:tabs>
                <w:tab w:val="decimal" w:pos="680"/>
              </w:tabs>
              <w:spacing w:before="120" w:line="240" w:lineRule="auto"/>
              <w:rPr>
                <w:spacing w:val="4"/>
                <w:sz w:val="18"/>
              </w:rPr>
            </w:pPr>
            <w:r>
              <w:rPr>
                <w:spacing w:val="4"/>
                <w:sz w:val="18"/>
              </w:rPr>
              <w:t>-</w:t>
            </w:r>
          </w:p>
        </w:tc>
      </w:tr>
      <w:tr w:rsidR="00000000">
        <w:tc>
          <w:tcPr>
            <w:tcW w:w="600" w:type="dxa"/>
            <w:tcBorders>
              <w:right w:val="single" w:sz="4" w:space="0" w:color="auto"/>
            </w:tcBorders>
          </w:tcPr>
          <w:p w:rsidR="00000000" w:rsidRDefault="00000000">
            <w:pPr>
              <w:tabs>
                <w:tab w:val="left" w:pos="442"/>
              </w:tabs>
              <w:spacing w:before="120" w:line="240" w:lineRule="auto"/>
              <w:jc w:val="center"/>
              <w:rPr>
                <w:spacing w:val="4"/>
                <w:sz w:val="18"/>
              </w:rPr>
            </w:pPr>
            <w:r>
              <w:rPr>
                <w:spacing w:val="4"/>
                <w:sz w:val="18"/>
              </w:rPr>
              <w:t>4.</w:t>
            </w:r>
          </w:p>
        </w:tc>
        <w:tc>
          <w:tcPr>
            <w:tcW w:w="960" w:type="dxa"/>
            <w:tcBorders>
              <w:left w:val="single" w:sz="4" w:space="0" w:color="auto"/>
              <w:right w:val="single" w:sz="4" w:space="0" w:color="auto"/>
            </w:tcBorders>
          </w:tcPr>
          <w:p w:rsidR="00000000" w:rsidRDefault="00000000">
            <w:pPr>
              <w:tabs>
                <w:tab w:val="left" w:pos="442"/>
              </w:tabs>
              <w:spacing w:before="120" w:line="240" w:lineRule="auto"/>
              <w:rPr>
                <w:spacing w:val="4"/>
                <w:sz w:val="18"/>
              </w:rPr>
            </w:pPr>
            <w:r>
              <w:rPr>
                <w:rFonts w:hint="eastAsia"/>
                <w:spacing w:val="4"/>
                <w:sz w:val="18"/>
              </w:rPr>
              <w:t>菜油</w:t>
            </w:r>
            <w:r>
              <w:rPr>
                <w:rFonts w:hint="eastAsia"/>
                <w:spacing w:val="4"/>
                <w:sz w:val="18"/>
              </w:rPr>
              <w:t xml:space="preserve"> </w:t>
            </w:r>
            <w:r>
              <w:rPr>
                <w:spacing w:val="4"/>
                <w:sz w:val="18"/>
                <w:vertAlign w:val="superscript"/>
              </w:rPr>
              <w:t>3</w:t>
            </w:r>
          </w:p>
        </w:tc>
        <w:tc>
          <w:tcPr>
            <w:tcW w:w="108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10</w:t>
            </w:r>
          </w:p>
        </w:tc>
        <w:tc>
          <w:tcPr>
            <w:tcW w:w="126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170"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right w:val="single" w:sz="4" w:space="0" w:color="auto"/>
            </w:tcBorders>
            <w:tcMar>
              <w:left w:w="57"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nil"/>
              <w:right w:val="single" w:sz="4" w:space="0" w:color="auto"/>
            </w:tcBorders>
            <w:tcMar>
              <w:right w:w="340" w:type="dxa"/>
            </w:tcMar>
          </w:tcPr>
          <w:p w:rsidR="00000000" w:rsidRDefault="00000000">
            <w:pPr>
              <w:tabs>
                <w:tab w:val="decimal" w:pos="680"/>
              </w:tabs>
              <w:spacing w:before="120" w:line="240" w:lineRule="auto"/>
              <w:rPr>
                <w:spacing w:val="4"/>
                <w:sz w:val="18"/>
              </w:rPr>
            </w:pPr>
            <w:r>
              <w:rPr>
                <w:spacing w:val="4"/>
                <w:sz w:val="18"/>
              </w:rPr>
              <w:t>-</w:t>
            </w:r>
          </w:p>
        </w:tc>
      </w:tr>
      <w:tr w:rsidR="00000000">
        <w:tc>
          <w:tcPr>
            <w:tcW w:w="600" w:type="dxa"/>
            <w:tcBorders>
              <w:right w:val="single" w:sz="4" w:space="0" w:color="auto"/>
            </w:tcBorders>
          </w:tcPr>
          <w:p w:rsidR="00000000" w:rsidRDefault="00000000">
            <w:pPr>
              <w:tabs>
                <w:tab w:val="left" w:pos="442"/>
              </w:tabs>
              <w:spacing w:before="120" w:line="240" w:lineRule="auto"/>
              <w:jc w:val="center"/>
              <w:rPr>
                <w:spacing w:val="4"/>
                <w:sz w:val="18"/>
              </w:rPr>
            </w:pPr>
            <w:r>
              <w:rPr>
                <w:spacing w:val="4"/>
                <w:sz w:val="18"/>
              </w:rPr>
              <w:t>5.</w:t>
            </w:r>
          </w:p>
        </w:tc>
        <w:tc>
          <w:tcPr>
            <w:tcW w:w="960" w:type="dxa"/>
            <w:tcBorders>
              <w:left w:val="single" w:sz="4" w:space="0" w:color="auto"/>
              <w:bottom w:val="single" w:sz="4" w:space="0" w:color="auto"/>
              <w:right w:val="single" w:sz="4" w:space="0" w:color="auto"/>
            </w:tcBorders>
          </w:tcPr>
          <w:p w:rsidR="00000000" w:rsidRDefault="00000000">
            <w:pPr>
              <w:tabs>
                <w:tab w:val="left" w:pos="442"/>
              </w:tabs>
              <w:spacing w:before="120" w:line="240" w:lineRule="auto"/>
              <w:rPr>
                <w:spacing w:val="4"/>
                <w:sz w:val="18"/>
              </w:rPr>
            </w:pPr>
            <w:r>
              <w:rPr>
                <w:rFonts w:hint="eastAsia"/>
                <w:spacing w:val="4"/>
                <w:sz w:val="18"/>
              </w:rPr>
              <w:t>豆类</w:t>
            </w:r>
            <w:r>
              <w:rPr>
                <w:rFonts w:hint="eastAsia"/>
                <w:spacing w:val="4"/>
                <w:sz w:val="18"/>
              </w:rPr>
              <w:t xml:space="preserve"> </w:t>
            </w:r>
            <w:r>
              <w:rPr>
                <w:spacing w:val="4"/>
                <w:sz w:val="18"/>
                <w:vertAlign w:val="superscript"/>
              </w:rPr>
              <w:t>3</w:t>
            </w:r>
          </w:p>
        </w:tc>
        <w:tc>
          <w:tcPr>
            <w:tcW w:w="1080" w:type="dxa"/>
            <w:tcBorders>
              <w:left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10</w:t>
            </w:r>
          </w:p>
        </w:tc>
        <w:tc>
          <w:tcPr>
            <w:tcW w:w="1260" w:type="dxa"/>
            <w:tcBorders>
              <w:left w:val="single" w:sz="4" w:space="0" w:color="auto"/>
              <w:bottom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bottom w:val="single" w:sz="4" w:space="0" w:color="auto"/>
              <w:right w:val="single" w:sz="4" w:space="0" w:color="auto"/>
            </w:tcBorders>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single" w:sz="4" w:space="0" w:color="auto"/>
              <w:right w:val="single" w:sz="4" w:space="0" w:color="auto"/>
            </w:tcBorders>
            <w:tcMar>
              <w:right w:w="170"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left w:val="single" w:sz="4" w:space="0" w:color="auto"/>
              <w:bottom w:val="single" w:sz="4" w:space="0" w:color="auto"/>
              <w:right w:val="single" w:sz="4" w:space="0" w:color="auto"/>
            </w:tcBorders>
            <w:tcMar>
              <w:left w:w="57" w:type="dxa"/>
            </w:tcMar>
          </w:tcPr>
          <w:p w:rsidR="00000000" w:rsidRDefault="00000000">
            <w:pPr>
              <w:tabs>
                <w:tab w:val="decimal" w:pos="680"/>
              </w:tabs>
              <w:spacing w:before="120" w:line="240" w:lineRule="auto"/>
              <w:rPr>
                <w:spacing w:val="4"/>
                <w:sz w:val="18"/>
              </w:rPr>
            </w:pPr>
            <w:r>
              <w:rPr>
                <w:spacing w:val="4"/>
                <w:sz w:val="18"/>
              </w:rPr>
              <w:t>-</w:t>
            </w:r>
          </w:p>
        </w:tc>
        <w:tc>
          <w:tcPr>
            <w:tcW w:w="1140" w:type="dxa"/>
            <w:tcBorders>
              <w:top w:val="nil"/>
              <w:left w:val="single" w:sz="4" w:space="0" w:color="auto"/>
              <w:bottom w:val="single" w:sz="4" w:space="0" w:color="auto"/>
              <w:right w:val="single" w:sz="4" w:space="0" w:color="auto"/>
            </w:tcBorders>
            <w:tcMar>
              <w:right w:w="340" w:type="dxa"/>
            </w:tcMar>
          </w:tcPr>
          <w:p w:rsidR="00000000" w:rsidRDefault="00000000">
            <w:pPr>
              <w:tabs>
                <w:tab w:val="decimal" w:pos="680"/>
              </w:tabs>
              <w:spacing w:before="120" w:line="240" w:lineRule="auto"/>
              <w:rPr>
                <w:spacing w:val="4"/>
                <w:sz w:val="18"/>
              </w:rPr>
            </w:pPr>
            <w:r>
              <w:rPr>
                <w:spacing w:val="4"/>
                <w:sz w:val="18"/>
              </w:rPr>
              <w:t>-</w:t>
            </w:r>
          </w:p>
        </w:tc>
      </w:tr>
    </w:tbl>
    <w:p w:rsidR="00000000" w:rsidRDefault="00000000">
      <w:pPr>
        <w:spacing w:before="120" w:line="240" w:lineRule="auto"/>
        <w:rPr>
          <w:rFonts w:eastAsia="KaiTi_GB2312" w:hint="eastAsia"/>
          <w:spacing w:val="0"/>
          <w:sz w:val="21"/>
        </w:rPr>
      </w:pPr>
      <w:r>
        <w:rPr>
          <w:rFonts w:eastAsia="KaiTi_GB2312" w:hint="eastAsia"/>
          <w:spacing w:val="0"/>
          <w:sz w:val="21"/>
        </w:rPr>
        <w:tab/>
      </w:r>
      <w:r>
        <w:rPr>
          <w:rFonts w:eastAsia="KaiTi_GB2312" w:hint="eastAsia"/>
          <w:spacing w:val="0"/>
          <w:sz w:val="21"/>
          <w:vertAlign w:val="superscript"/>
        </w:rPr>
        <w:t>1</w:t>
      </w:r>
      <w:r>
        <w:rPr>
          <w:rFonts w:eastAsia="KaiTi_GB2312" w:hint="eastAsia"/>
          <w:spacing w:val="0"/>
          <w:sz w:val="21"/>
        </w:rPr>
        <w:t xml:space="preserve">   </w:t>
      </w:r>
      <w:r>
        <w:rPr>
          <w:rFonts w:eastAsia="KaiTi_GB2312" w:hint="eastAsia"/>
          <w:spacing w:val="0"/>
          <w:sz w:val="21"/>
        </w:rPr>
        <w:t>联合国粮食及农业组织</w:t>
      </w:r>
      <w:r>
        <w:rPr>
          <w:rFonts w:eastAsia="KaiTi_GB2312" w:hint="eastAsia"/>
          <w:spacing w:val="0"/>
          <w:sz w:val="21"/>
        </w:rPr>
        <w:t>(</w:t>
      </w:r>
      <w:r>
        <w:rPr>
          <w:rFonts w:eastAsia="KaiTi_GB2312" w:hint="eastAsia"/>
          <w:spacing w:val="0"/>
          <w:sz w:val="21"/>
        </w:rPr>
        <w:t>粮农组织</w:t>
      </w:r>
      <w:r>
        <w:rPr>
          <w:rFonts w:eastAsia="KaiTi_GB2312" w:hint="eastAsia"/>
          <w:spacing w:val="0"/>
          <w:sz w:val="21"/>
        </w:rPr>
        <w:t>)</w:t>
      </w:r>
      <w:r>
        <w:rPr>
          <w:rFonts w:eastAsia="KaiTi_GB2312" w:hint="eastAsia"/>
          <w:spacing w:val="0"/>
          <w:sz w:val="21"/>
        </w:rPr>
        <w:t>向遭受干旱的人口提供的</w:t>
      </w:r>
      <w:r>
        <w:rPr>
          <w:rFonts w:eastAsia="KaiTi_GB2312" w:hint="eastAsia"/>
          <w:spacing w:val="0"/>
          <w:sz w:val="21"/>
        </w:rPr>
        <w:t>5,676</w:t>
      </w:r>
      <w:r>
        <w:rPr>
          <w:rFonts w:eastAsia="KaiTi_GB2312" w:hint="eastAsia"/>
          <w:spacing w:val="0"/>
          <w:sz w:val="21"/>
        </w:rPr>
        <w:t>吨种苗。</w:t>
      </w:r>
    </w:p>
    <w:p w:rsidR="00000000" w:rsidRDefault="00000000">
      <w:pPr>
        <w:spacing w:line="240" w:lineRule="auto"/>
        <w:rPr>
          <w:rFonts w:eastAsia="KaiTi_GB2312" w:hint="eastAsia"/>
          <w:spacing w:val="0"/>
          <w:sz w:val="21"/>
        </w:rPr>
      </w:pPr>
      <w:r>
        <w:rPr>
          <w:rFonts w:eastAsia="KaiTi_GB2312" w:hint="eastAsia"/>
          <w:spacing w:val="0"/>
          <w:sz w:val="21"/>
        </w:rPr>
        <w:tab/>
      </w:r>
      <w:r>
        <w:rPr>
          <w:rFonts w:eastAsia="KaiTi_GB2312" w:hint="eastAsia"/>
          <w:spacing w:val="0"/>
          <w:sz w:val="21"/>
          <w:vertAlign w:val="superscript"/>
        </w:rPr>
        <w:t>2</w:t>
      </w:r>
      <w:r>
        <w:rPr>
          <w:rFonts w:eastAsia="KaiTi_GB2312" w:hint="eastAsia"/>
          <w:spacing w:val="0"/>
          <w:sz w:val="21"/>
        </w:rPr>
        <w:t xml:space="preserve">   </w:t>
      </w:r>
      <w:r>
        <w:rPr>
          <w:rFonts w:eastAsia="KaiTi_GB2312" w:hint="eastAsia"/>
          <w:spacing w:val="0"/>
          <w:sz w:val="21"/>
        </w:rPr>
        <w:t>总统命令出售的</w:t>
      </w:r>
      <w:r>
        <w:rPr>
          <w:rFonts w:eastAsia="KaiTi_GB2312" w:hint="eastAsia"/>
          <w:spacing w:val="0"/>
          <w:sz w:val="21"/>
        </w:rPr>
        <w:t>216.8</w:t>
      </w:r>
      <w:r>
        <w:rPr>
          <w:rFonts w:eastAsia="KaiTi_GB2312" w:hint="eastAsia"/>
          <w:spacing w:val="0"/>
          <w:sz w:val="21"/>
        </w:rPr>
        <w:t>吨，用于支付粮农组织的会费和格鲁吉亚驻粮农组织总部代表处的经常开支等。</w:t>
      </w:r>
    </w:p>
    <w:p w:rsidR="00000000" w:rsidRDefault="00000000">
      <w:pPr>
        <w:spacing w:line="240" w:lineRule="auto"/>
        <w:rPr>
          <w:rFonts w:eastAsia="KaiTi_GB2312" w:hint="eastAsia"/>
          <w:spacing w:val="0"/>
          <w:sz w:val="21"/>
        </w:rPr>
      </w:pPr>
      <w:r>
        <w:rPr>
          <w:rFonts w:eastAsia="KaiTi_GB2312" w:hint="eastAsia"/>
          <w:spacing w:val="0"/>
          <w:sz w:val="21"/>
        </w:rPr>
        <w:tab/>
      </w:r>
      <w:r>
        <w:rPr>
          <w:rFonts w:eastAsia="KaiTi_GB2312" w:hint="eastAsia"/>
          <w:spacing w:val="0"/>
          <w:sz w:val="21"/>
          <w:vertAlign w:val="superscript"/>
        </w:rPr>
        <w:t>3</w:t>
      </w:r>
      <w:r>
        <w:rPr>
          <w:rFonts w:eastAsia="KaiTi_GB2312" w:hint="eastAsia"/>
          <w:spacing w:val="0"/>
          <w:sz w:val="21"/>
        </w:rPr>
        <w:t xml:space="preserve">   </w:t>
      </w:r>
      <w:r>
        <w:rPr>
          <w:rFonts w:eastAsia="KaiTi_GB2312" w:hint="eastAsia"/>
          <w:spacing w:val="0"/>
          <w:sz w:val="21"/>
        </w:rPr>
        <w:t>根据总统令分配的由土耳其红新月会提供的人道主义援助。</w:t>
      </w:r>
    </w:p>
    <w:p w:rsidR="00000000" w:rsidRDefault="00000000">
      <w:pPr>
        <w:pStyle w:val="Heading4"/>
        <w:spacing w:before="320"/>
        <w:rPr>
          <w:rFonts w:hint="eastAsia"/>
        </w:rPr>
      </w:pPr>
      <w:r>
        <w:rPr>
          <w:rFonts w:hint="eastAsia"/>
        </w:rPr>
        <w:t>展开农业改革的措施</w:t>
      </w:r>
    </w:p>
    <w:p w:rsidR="00000000" w:rsidRDefault="00000000">
      <w:pPr>
        <w:rPr>
          <w:rFonts w:hint="eastAsia"/>
        </w:rPr>
      </w:pPr>
      <w:r>
        <w:rPr>
          <w:rFonts w:hint="eastAsia"/>
        </w:rPr>
        <w:tab/>
        <w:t xml:space="preserve">163.  </w:t>
      </w:r>
      <w:r>
        <w:rPr>
          <w:rFonts w:hint="eastAsia"/>
        </w:rPr>
        <w:t>格鲁吉亚农业改革的详细情况载于政府对经济、社会、文化委员会就其审议格鲁吉亚的初步报告</w:t>
      </w:r>
      <w:r>
        <w:rPr>
          <w:rFonts w:hint="eastAsia"/>
        </w:rPr>
        <w:t>(HR/CRSCR/N</w:t>
      </w:r>
      <w:r>
        <w:t>one</w:t>
      </w:r>
      <w:r>
        <w:rPr>
          <w:rFonts w:hint="eastAsia"/>
        </w:rPr>
        <w:t>/1999/15)</w:t>
      </w:r>
      <w:r>
        <w:rPr>
          <w:rFonts w:hint="eastAsia"/>
        </w:rPr>
        <w:t>拟定的问题清单作出的书面答复，特别是对问题</w:t>
      </w:r>
      <w:r>
        <w:rPr>
          <w:rFonts w:hint="eastAsia"/>
        </w:rPr>
        <w:t>15</w:t>
      </w:r>
      <w:r>
        <w:rPr>
          <w:rFonts w:hint="eastAsia"/>
        </w:rPr>
        <w:t>的答复。</w:t>
      </w:r>
    </w:p>
    <w:p w:rsidR="00000000" w:rsidRDefault="00000000">
      <w:pPr>
        <w:spacing w:after="240"/>
        <w:rPr>
          <w:rFonts w:hint="eastAsia"/>
        </w:rPr>
      </w:pPr>
      <w:r>
        <w:rPr>
          <w:rFonts w:hint="eastAsia"/>
        </w:rPr>
        <w:tab/>
        <w:t xml:space="preserve">164.  </w:t>
      </w:r>
      <w:r>
        <w:rPr>
          <w:rFonts w:hint="eastAsia"/>
        </w:rPr>
        <w:t>此外，根据最近可得资料，</w:t>
      </w:r>
      <w:r>
        <w:rPr>
          <w:rFonts w:hint="eastAsia"/>
        </w:rPr>
        <w:t>1,039,660</w:t>
      </w:r>
      <w:r>
        <w:rPr>
          <w:rFonts w:hint="eastAsia"/>
        </w:rPr>
        <w:t>户人家取得了</w:t>
      </w:r>
      <w:r>
        <w:rPr>
          <w:rFonts w:hint="eastAsia"/>
        </w:rPr>
        <w:t>930,000</w:t>
      </w:r>
      <w:r>
        <w:rPr>
          <w:rFonts w:hint="eastAsia"/>
        </w:rPr>
        <w:t>公顷农业土地的拥有权，即平均每户为</w:t>
      </w:r>
      <w:r>
        <w:rPr>
          <w:rFonts w:hint="eastAsia"/>
        </w:rPr>
        <w:t>0.9</w:t>
      </w:r>
      <w:r>
        <w:rPr>
          <w:rFonts w:hint="eastAsia"/>
        </w:rPr>
        <w:t>公顷。最近的统计数据表明，总共</w:t>
      </w:r>
      <w:r>
        <w:rPr>
          <w:rFonts w:hint="eastAsia"/>
        </w:rPr>
        <w:t>957,500</w:t>
      </w:r>
      <w:r>
        <w:rPr>
          <w:rFonts w:hint="eastAsia"/>
        </w:rPr>
        <w:t>公顷国有土地已经出租。总共有</w:t>
      </w:r>
      <w:r>
        <w:rPr>
          <w:rFonts w:hint="eastAsia"/>
        </w:rPr>
        <w:t>36,000</w:t>
      </w:r>
      <w:r>
        <w:rPr>
          <w:rFonts w:hint="eastAsia"/>
        </w:rPr>
        <w:t>个自然人和</w:t>
      </w:r>
      <w:r>
        <w:rPr>
          <w:rFonts w:hint="eastAsia"/>
        </w:rPr>
        <w:t>6,300</w:t>
      </w:r>
      <w:r>
        <w:rPr>
          <w:rFonts w:hint="eastAsia"/>
        </w:rPr>
        <w:t>个法人成为承租人。每一个自然人平均承租了</w:t>
      </w:r>
      <w:r>
        <w:rPr>
          <w:rFonts w:hint="eastAsia"/>
        </w:rPr>
        <w:t>9.3</w:t>
      </w:r>
      <w:r>
        <w:rPr>
          <w:rFonts w:hint="eastAsia"/>
        </w:rPr>
        <w:t>公顷土地，而每一个法人承租了</w:t>
      </w:r>
      <w:r>
        <w:rPr>
          <w:rFonts w:hint="eastAsia"/>
        </w:rPr>
        <w:t>97.8</w:t>
      </w:r>
      <w:r>
        <w:rPr>
          <w:rFonts w:hint="eastAsia"/>
        </w:rPr>
        <w:t>公顷。总共有</w:t>
      </w:r>
      <w:r>
        <w:rPr>
          <w:rFonts w:hint="eastAsia"/>
        </w:rPr>
        <w:t>1,719,600</w:t>
      </w:r>
      <w:r>
        <w:rPr>
          <w:rFonts w:hint="eastAsia"/>
        </w:rPr>
        <w:t>公顷农业土地</w:t>
      </w:r>
      <w:r>
        <w:rPr>
          <w:rFonts w:hint="eastAsia"/>
        </w:rPr>
        <w:t>(</w:t>
      </w:r>
      <w:r>
        <w:rPr>
          <w:rFonts w:hint="eastAsia"/>
        </w:rPr>
        <w:t>占全部土地的</w:t>
      </w:r>
      <w:r>
        <w:rPr>
          <w:rFonts w:hint="eastAsia"/>
        </w:rPr>
        <w:t>57%)</w:t>
      </w:r>
      <w:r>
        <w:rPr>
          <w:rFonts w:hint="eastAsia"/>
        </w:rPr>
        <w:t>经签署成为私人拥有或被出租。其中包括</w:t>
      </w:r>
      <w:r>
        <w:rPr>
          <w:rFonts w:hint="eastAsia"/>
        </w:rPr>
        <w:t>704,300</w:t>
      </w:r>
      <w:r>
        <w:rPr>
          <w:rFonts w:hint="eastAsia"/>
        </w:rPr>
        <w:t>公顷可耕地</w:t>
      </w:r>
      <w:r>
        <w:rPr>
          <w:rFonts w:hint="eastAsia"/>
        </w:rPr>
        <w:t>(</w:t>
      </w:r>
      <w:r>
        <w:rPr>
          <w:rFonts w:hint="eastAsia"/>
        </w:rPr>
        <w:t>所有此类土地的</w:t>
      </w:r>
      <w:r>
        <w:rPr>
          <w:rFonts w:hint="eastAsia"/>
        </w:rPr>
        <w:t>89.1%)</w:t>
      </w:r>
      <w:r>
        <w:rPr>
          <w:rFonts w:hint="eastAsia"/>
        </w:rPr>
        <w:t>；</w:t>
      </w:r>
      <w:r>
        <w:rPr>
          <w:rFonts w:hint="eastAsia"/>
        </w:rPr>
        <w:t>215,100</w:t>
      </w:r>
      <w:r>
        <w:rPr>
          <w:rFonts w:hint="eastAsia"/>
        </w:rPr>
        <w:t>公顷永久性种植园</w:t>
      </w:r>
      <w:r>
        <w:rPr>
          <w:rFonts w:hint="eastAsia"/>
        </w:rPr>
        <w:t>(79.6%)</w:t>
      </w:r>
      <w:r>
        <w:rPr>
          <w:rFonts w:hint="eastAsia"/>
        </w:rPr>
        <w:t>；</w:t>
      </w:r>
      <w:r>
        <w:rPr>
          <w:rFonts w:hint="eastAsia"/>
        </w:rPr>
        <w:t>100,600</w:t>
      </w:r>
      <w:r>
        <w:rPr>
          <w:rFonts w:hint="eastAsia"/>
        </w:rPr>
        <w:t>公顷草地</w:t>
      </w:r>
      <w:r>
        <w:rPr>
          <w:rFonts w:hint="eastAsia"/>
        </w:rPr>
        <w:t>(79.6%)</w:t>
      </w:r>
      <w:r>
        <w:rPr>
          <w:rFonts w:hint="eastAsia"/>
        </w:rPr>
        <w:t>；</w:t>
      </w:r>
      <w:r>
        <w:rPr>
          <w:rFonts w:hint="eastAsia"/>
        </w:rPr>
        <w:t>680,200</w:t>
      </w:r>
      <w:r>
        <w:rPr>
          <w:rFonts w:hint="eastAsia"/>
        </w:rPr>
        <w:t>公顷牧地</w:t>
      </w:r>
      <w:r>
        <w:rPr>
          <w:rFonts w:hint="eastAsia"/>
        </w:rPr>
        <w:t>(37.9%)</w:t>
      </w:r>
      <w:r>
        <w:rPr>
          <w:rFonts w:hint="eastAsia"/>
        </w:rPr>
        <w:t>。农业和粮食生产部认为，由于采取了这些措施，公共粮食供应得到了显著的改善。</w:t>
      </w:r>
    </w:p>
    <w:p w:rsidR="00000000" w:rsidRDefault="00000000">
      <w:pPr>
        <w:pStyle w:val="Heading4"/>
        <w:rPr>
          <w:rFonts w:hint="eastAsia"/>
        </w:rPr>
      </w:pPr>
      <w:r>
        <w:rPr>
          <w:rFonts w:hint="eastAsia"/>
        </w:rPr>
        <w:t>获得适足住房的权利</w:t>
      </w:r>
    </w:p>
    <w:p w:rsidR="00000000" w:rsidRDefault="00000000">
      <w:pPr>
        <w:rPr>
          <w:rFonts w:hint="eastAsia"/>
        </w:rPr>
      </w:pPr>
      <w:r>
        <w:rPr>
          <w:rFonts w:hint="eastAsia"/>
        </w:rPr>
        <w:tab/>
        <w:t xml:space="preserve">165.  </w:t>
      </w:r>
      <w:r>
        <w:rPr>
          <w:rFonts w:hint="eastAsia"/>
        </w:rPr>
        <w:t>关于“住房”的定义，见格鲁吉亚根据《公民权利和政治权利国际公约》提交的第二次定期报告</w:t>
      </w:r>
      <w:r>
        <w:rPr>
          <w:rFonts w:hint="eastAsia"/>
        </w:rPr>
        <w:t>(</w:t>
      </w:r>
      <w:r>
        <w:rPr>
          <w:rFonts w:hint="eastAsia"/>
        </w:rPr>
        <w:t>第</w:t>
      </w:r>
      <w:r>
        <w:rPr>
          <w:rFonts w:hint="eastAsia"/>
        </w:rPr>
        <w:t>419</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166.  </w:t>
      </w:r>
      <w:r>
        <w:rPr>
          <w:rFonts w:hint="eastAsia"/>
        </w:rPr>
        <w:t>关于对住房权的法律保障的说明，见本国根据《消除一切形式种族歧视国际公约》提交的初次报告</w:t>
      </w:r>
      <w:r>
        <w:rPr>
          <w:rFonts w:hint="eastAsia"/>
        </w:rPr>
        <w:t>(</w:t>
      </w:r>
      <w:r>
        <w:rPr>
          <w:rFonts w:hint="eastAsia"/>
        </w:rPr>
        <w:t>第</w:t>
      </w:r>
      <w:r>
        <w:rPr>
          <w:rFonts w:hint="eastAsia"/>
        </w:rPr>
        <w:t>221-230</w:t>
      </w:r>
      <w:r>
        <w:rPr>
          <w:rFonts w:hint="eastAsia"/>
        </w:rPr>
        <w:t>段</w:t>
      </w:r>
      <w:r>
        <w:rPr>
          <w:rFonts w:hint="eastAsia"/>
        </w:rPr>
        <w:t>)</w:t>
      </w:r>
      <w:r>
        <w:rPr>
          <w:rFonts w:hint="eastAsia"/>
        </w:rPr>
        <w:t>。该报告还载列了统计数据</w:t>
      </w:r>
      <w:r>
        <w:rPr>
          <w:rFonts w:hint="eastAsia"/>
        </w:rPr>
        <w:t>(</w:t>
      </w:r>
      <w:r>
        <w:rPr>
          <w:rFonts w:hint="eastAsia"/>
        </w:rPr>
        <w:t>第</w:t>
      </w:r>
      <w:r>
        <w:rPr>
          <w:rFonts w:hint="eastAsia"/>
        </w:rPr>
        <w:t>231</w:t>
      </w:r>
      <w:r>
        <w:rPr>
          <w:rFonts w:hint="eastAsia"/>
        </w:rPr>
        <w:t>段</w:t>
      </w:r>
      <w:r>
        <w:rPr>
          <w:rFonts w:hint="eastAsia"/>
        </w:rPr>
        <w:t>)</w:t>
      </w:r>
      <w:r>
        <w:rPr>
          <w:rFonts w:hint="eastAsia"/>
        </w:rPr>
        <w:t>和对格鲁吉亚目前住房情况的简要评估</w:t>
      </w:r>
      <w:r>
        <w:rPr>
          <w:rFonts w:hint="eastAsia"/>
        </w:rPr>
        <w:t>(</w:t>
      </w:r>
      <w:r>
        <w:rPr>
          <w:rFonts w:hint="eastAsia"/>
        </w:rPr>
        <w:t>第</w:t>
      </w:r>
      <w:r>
        <w:rPr>
          <w:rFonts w:hint="eastAsia"/>
        </w:rPr>
        <w:t>232</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167.  </w:t>
      </w:r>
      <w:r>
        <w:rPr>
          <w:rFonts w:hint="eastAsia"/>
        </w:rPr>
        <w:t>城镇规划与建设部和司法部提供了关于取得适足住房权利的进一步的资料，现转载如下。</w:t>
      </w:r>
    </w:p>
    <w:p w:rsidR="00000000" w:rsidRDefault="00000000">
      <w:pPr>
        <w:rPr>
          <w:rFonts w:hint="eastAsia"/>
        </w:rPr>
      </w:pPr>
      <w:r>
        <w:rPr>
          <w:rFonts w:hint="eastAsia"/>
        </w:rPr>
        <w:tab/>
        <w:t xml:space="preserve">168.  </w:t>
      </w:r>
      <w:r>
        <w:rPr>
          <w:rFonts w:hint="eastAsia"/>
        </w:rPr>
        <w:t>根据现有统计数据，格鲁吉亚现有</w:t>
      </w:r>
      <w:r>
        <w:rPr>
          <w:rFonts w:hint="eastAsia"/>
        </w:rPr>
        <w:t>1.015</w:t>
      </w:r>
      <w:r>
        <w:rPr>
          <w:rFonts w:hint="eastAsia"/>
        </w:rPr>
        <w:t>亿平方米的住房。其中，</w:t>
      </w:r>
    </w:p>
    <w:p w:rsidR="00000000" w:rsidRDefault="00000000">
      <w:pPr>
        <w:pStyle w:val="a7"/>
        <w:tabs>
          <w:tab w:val="num" w:pos="1550"/>
        </w:tabs>
        <w:ind w:left="1550"/>
        <w:rPr>
          <w:rFonts w:hint="eastAsia"/>
        </w:rPr>
      </w:pPr>
      <w:r>
        <w:rPr>
          <w:rFonts w:hint="eastAsia"/>
        </w:rPr>
        <w:t>1,850</w:t>
      </w:r>
      <w:r>
        <w:rPr>
          <w:rFonts w:hint="eastAsia"/>
        </w:rPr>
        <w:t>万平方米是地方当局拥有的</w:t>
      </w:r>
      <w:r>
        <w:rPr>
          <w:rFonts w:hint="eastAsia"/>
        </w:rPr>
        <w:t>(</w:t>
      </w:r>
      <w:r>
        <w:rPr>
          <w:rFonts w:hint="eastAsia"/>
        </w:rPr>
        <w:t>地方用房</w:t>
      </w:r>
      <w:r>
        <w:rPr>
          <w:rFonts w:hint="eastAsia"/>
        </w:rPr>
        <w:t>)</w:t>
      </w:r>
      <w:r>
        <w:rPr>
          <w:rFonts w:hint="eastAsia"/>
        </w:rPr>
        <w:t>，其中</w:t>
      </w:r>
      <w:r>
        <w:rPr>
          <w:rFonts w:hint="eastAsia"/>
        </w:rPr>
        <w:t>1,500</w:t>
      </w:r>
      <w:r>
        <w:rPr>
          <w:rFonts w:hint="eastAsia"/>
        </w:rPr>
        <w:t>万平方米，即</w:t>
      </w:r>
      <w:r>
        <w:rPr>
          <w:rFonts w:hint="eastAsia"/>
        </w:rPr>
        <w:t>280,000</w:t>
      </w:r>
      <w:r>
        <w:rPr>
          <w:rFonts w:hint="eastAsia"/>
        </w:rPr>
        <w:t>套公寓已经私营化；</w:t>
      </w:r>
    </w:p>
    <w:p w:rsidR="00000000" w:rsidRDefault="00000000">
      <w:pPr>
        <w:pStyle w:val="a7"/>
        <w:tabs>
          <w:tab w:val="num" w:pos="1550"/>
        </w:tabs>
        <w:ind w:left="1550"/>
        <w:rPr>
          <w:rFonts w:hint="eastAsia"/>
        </w:rPr>
      </w:pPr>
      <w:r>
        <w:rPr>
          <w:rFonts w:hint="eastAsia"/>
        </w:rPr>
        <w:t>450</w:t>
      </w:r>
      <w:r>
        <w:rPr>
          <w:rFonts w:hint="eastAsia"/>
        </w:rPr>
        <w:t>万平方米是行政或经济实体拥有的，其中</w:t>
      </w:r>
      <w:r>
        <w:rPr>
          <w:rFonts w:hint="eastAsia"/>
        </w:rPr>
        <w:t>200</w:t>
      </w:r>
      <w:r>
        <w:rPr>
          <w:rFonts w:hint="eastAsia"/>
        </w:rPr>
        <w:t>万平方米，即</w:t>
      </w:r>
      <w:r>
        <w:rPr>
          <w:rFonts w:hint="eastAsia"/>
        </w:rPr>
        <w:t>34,000</w:t>
      </w:r>
      <w:r>
        <w:rPr>
          <w:rFonts w:hint="eastAsia"/>
        </w:rPr>
        <w:t>套公寓房已经私营化；</w:t>
      </w:r>
    </w:p>
    <w:p w:rsidR="00000000" w:rsidRDefault="00000000">
      <w:pPr>
        <w:pStyle w:val="a7"/>
        <w:tabs>
          <w:tab w:val="num" w:pos="1550"/>
        </w:tabs>
        <w:ind w:left="1550"/>
        <w:rPr>
          <w:rFonts w:hint="eastAsia"/>
        </w:rPr>
      </w:pPr>
      <w:r>
        <w:rPr>
          <w:rFonts w:hint="eastAsia"/>
        </w:rPr>
        <w:t>450</w:t>
      </w:r>
      <w:r>
        <w:rPr>
          <w:rFonts w:hint="eastAsia"/>
        </w:rPr>
        <w:t>万平方米属于建造和贷款协会，其中</w:t>
      </w:r>
      <w:r>
        <w:rPr>
          <w:rFonts w:hint="eastAsia"/>
        </w:rPr>
        <w:t>280</w:t>
      </w:r>
      <w:r>
        <w:rPr>
          <w:rFonts w:hint="eastAsia"/>
        </w:rPr>
        <w:t>万平方米，即</w:t>
      </w:r>
      <w:r>
        <w:rPr>
          <w:rFonts w:hint="eastAsia"/>
        </w:rPr>
        <w:t>32,000</w:t>
      </w:r>
      <w:r>
        <w:rPr>
          <w:rFonts w:hint="eastAsia"/>
        </w:rPr>
        <w:t>套公寓房已经私营化；</w:t>
      </w:r>
    </w:p>
    <w:p w:rsidR="00000000" w:rsidRDefault="00000000">
      <w:pPr>
        <w:pStyle w:val="a7"/>
        <w:tabs>
          <w:tab w:val="num" w:pos="1550"/>
        </w:tabs>
        <w:ind w:left="1550"/>
        <w:rPr>
          <w:rFonts w:hint="eastAsia"/>
        </w:rPr>
      </w:pPr>
      <w:r>
        <w:rPr>
          <w:rFonts w:hint="eastAsia"/>
        </w:rPr>
        <w:t>7,400</w:t>
      </w:r>
      <w:r>
        <w:rPr>
          <w:rFonts w:hint="eastAsia"/>
        </w:rPr>
        <w:t>万平方米住房是私房，</w:t>
      </w:r>
      <w:r>
        <w:rPr>
          <w:rFonts w:hint="eastAsia"/>
        </w:rPr>
        <w:t>2,000</w:t>
      </w:r>
      <w:r>
        <w:rPr>
          <w:rFonts w:hint="eastAsia"/>
        </w:rPr>
        <w:t>万平方米在城镇里，</w:t>
      </w:r>
      <w:r>
        <w:rPr>
          <w:rFonts w:hint="eastAsia"/>
        </w:rPr>
        <w:t>5,400</w:t>
      </w:r>
      <w:r>
        <w:rPr>
          <w:rFonts w:hint="eastAsia"/>
        </w:rPr>
        <w:t>万平方米在乡村。</w:t>
      </w:r>
    </w:p>
    <w:p w:rsidR="00000000" w:rsidRDefault="00000000">
      <w:pPr>
        <w:rPr>
          <w:rFonts w:hint="eastAsia"/>
        </w:rPr>
      </w:pPr>
      <w:r>
        <w:rPr>
          <w:rFonts w:hint="eastAsia"/>
        </w:rPr>
        <w:tab/>
        <w:t xml:space="preserve">169.  </w:t>
      </w:r>
      <w:r>
        <w:rPr>
          <w:rFonts w:hint="eastAsia"/>
        </w:rPr>
        <w:t>在现有住房当中，</w:t>
      </w:r>
      <w:r>
        <w:rPr>
          <w:rFonts w:hint="eastAsia"/>
        </w:rPr>
        <w:t>2,400</w:t>
      </w:r>
      <w:r>
        <w:rPr>
          <w:rFonts w:hint="eastAsia"/>
        </w:rPr>
        <w:t>万平方米，即</w:t>
      </w:r>
      <w:r>
        <w:rPr>
          <w:rFonts w:hint="eastAsia"/>
        </w:rPr>
        <w:t>9,000</w:t>
      </w:r>
      <w:r>
        <w:rPr>
          <w:rFonts w:hint="eastAsia"/>
        </w:rPr>
        <w:t>个建筑物达不到技术标准，</w:t>
      </w:r>
      <w:r>
        <w:rPr>
          <w:rFonts w:hint="eastAsia"/>
        </w:rPr>
        <w:t>1,200</w:t>
      </w:r>
      <w:r>
        <w:rPr>
          <w:rFonts w:hint="eastAsia"/>
        </w:rPr>
        <w:t>栋建筑物已经报废。格鲁吉亚现有住房的更新费用估计为</w:t>
      </w:r>
      <w:r>
        <w:rPr>
          <w:rFonts w:hint="eastAsia"/>
        </w:rPr>
        <w:t>7.5</w:t>
      </w:r>
      <w:r>
        <w:rPr>
          <w:rFonts w:hint="eastAsia"/>
        </w:rPr>
        <w:t>亿拉里。</w:t>
      </w:r>
    </w:p>
    <w:p w:rsidR="00000000" w:rsidRDefault="00000000">
      <w:pPr>
        <w:rPr>
          <w:rFonts w:hint="eastAsia"/>
        </w:rPr>
      </w:pPr>
      <w:r>
        <w:rPr>
          <w:rFonts w:hint="eastAsia"/>
        </w:rPr>
        <w:tab/>
        <w:t xml:space="preserve">170.  </w:t>
      </w:r>
      <w:r>
        <w:rPr>
          <w:rFonts w:hint="eastAsia"/>
        </w:rPr>
        <w:t>在</w:t>
      </w:r>
      <w:r>
        <w:rPr>
          <w:rFonts w:hint="eastAsia"/>
        </w:rPr>
        <w:t>1997-2000</w:t>
      </w:r>
      <w:r>
        <w:rPr>
          <w:rFonts w:hint="eastAsia"/>
        </w:rPr>
        <w:t>期间，</w:t>
      </w:r>
      <w:r>
        <w:rPr>
          <w:rFonts w:hint="eastAsia"/>
        </w:rPr>
        <w:t>71,500</w:t>
      </w:r>
      <w:r>
        <w:rPr>
          <w:rFonts w:hint="eastAsia"/>
        </w:rPr>
        <w:t>平方米的新的住房是利用公共资金建造的，</w:t>
      </w:r>
      <w:r>
        <w:rPr>
          <w:rFonts w:hint="eastAsia"/>
        </w:rPr>
        <w:t>490,000</w:t>
      </w:r>
      <w:r>
        <w:rPr>
          <w:rFonts w:hint="eastAsia"/>
        </w:rPr>
        <w:t>平方米是由私人承包商建造的。</w:t>
      </w:r>
    </w:p>
    <w:p w:rsidR="00000000" w:rsidRDefault="00000000">
      <w:pPr>
        <w:rPr>
          <w:rFonts w:hint="eastAsia"/>
        </w:rPr>
      </w:pPr>
      <w:r>
        <w:rPr>
          <w:rFonts w:hint="eastAsia"/>
        </w:rPr>
        <w:tab/>
        <w:t xml:space="preserve">171.  </w:t>
      </w:r>
      <w:r>
        <w:rPr>
          <w:rFonts w:hint="eastAsia"/>
        </w:rPr>
        <w:t>以下是关于现有住房中生活设施的统计数据：</w:t>
      </w:r>
    </w:p>
    <w:p w:rsidR="00000000" w:rsidRDefault="00000000">
      <w:pPr>
        <w:pStyle w:val="a7"/>
        <w:tabs>
          <w:tab w:val="num" w:pos="1550"/>
        </w:tabs>
        <w:ind w:left="1550"/>
        <w:rPr>
          <w:rFonts w:hint="eastAsia"/>
        </w:rPr>
      </w:pPr>
      <w:r>
        <w:rPr>
          <w:rFonts w:hint="eastAsia"/>
        </w:rPr>
        <w:t>97.5%</w:t>
      </w:r>
      <w:r>
        <w:rPr>
          <w:rFonts w:hint="eastAsia"/>
        </w:rPr>
        <w:t>的住宅配有供水；</w:t>
      </w:r>
    </w:p>
    <w:p w:rsidR="00000000" w:rsidRDefault="00000000">
      <w:pPr>
        <w:pStyle w:val="a7"/>
        <w:tabs>
          <w:tab w:val="num" w:pos="1550"/>
        </w:tabs>
        <w:ind w:left="1550"/>
        <w:rPr>
          <w:rFonts w:hint="eastAsia"/>
        </w:rPr>
      </w:pPr>
      <w:r>
        <w:rPr>
          <w:rFonts w:hint="eastAsia"/>
        </w:rPr>
        <w:t>94.6%</w:t>
      </w:r>
      <w:r>
        <w:rPr>
          <w:rFonts w:hint="eastAsia"/>
        </w:rPr>
        <w:t>的住宅配有下水道；</w:t>
      </w:r>
    </w:p>
    <w:p w:rsidR="00000000" w:rsidRDefault="00000000">
      <w:pPr>
        <w:pStyle w:val="a7"/>
        <w:tabs>
          <w:tab w:val="num" w:pos="1550"/>
        </w:tabs>
        <w:ind w:left="1550"/>
        <w:rPr>
          <w:rFonts w:hint="eastAsia"/>
        </w:rPr>
      </w:pPr>
      <w:r>
        <w:rPr>
          <w:rFonts w:hint="eastAsia"/>
        </w:rPr>
        <w:t>86.2%</w:t>
      </w:r>
      <w:r>
        <w:rPr>
          <w:rFonts w:hint="eastAsia"/>
        </w:rPr>
        <w:t>的住宅配有卫生间；</w:t>
      </w:r>
    </w:p>
    <w:p w:rsidR="00000000" w:rsidRDefault="00000000">
      <w:pPr>
        <w:pStyle w:val="a7"/>
        <w:tabs>
          <w:tab w:val="num" w:pos="1550"/>
        </w:tabs>
        <w:ind w:left="1550"/>
        <w:rPr>
          <w:rFonts w:hint="eastAsia"/>
        </w:rPr>
      </w:pPr>
      <w:r>
        <w:rPr>
          <w:rFonts w:hint="eastAsia"/>
        </w:rPr>
        <w:t>55.5%</w:t>
      </w:r>
      <w:r>
        <w:rPr>
          <w:rFonts w:hint="eastAsia"/>
        </w:rPr>
        <w:t>的住宅配备热水；</w:t>
      </w:r>
    </w:p>
    <w:p w:rsidR="00000000" w:rsidRDefault="00000000">
      <w:pPr>
        <w:pStyle w:val="a7"/>
        <w:tabs>
          <w:tab w:val="num" w:pos="1550"/>
        </w:tabs>
        <w:ind w:left="1550"/>
        <w:rPr>
          <w:rFonts w:hint="eastAsia"/>
        </w:rPr>
      </w:pPr>
      <w:r>
        <w:rPr>
          <w:rFonts w:hint="eastAsia"/>
        </w:rPr>
        <w:t>98%</w:t>
      </w:r>
      <w:r>
        <w:rPr>
          <w:rFonts w:hint="eastAsia"/>
        </w:rPr>
        <w:t>的住宅配备中央供暖；</w:t>
      </w:r>
    </w:p>
    <w:p w:rsidR="00000000" w:rsidRDefault="00000000">
      <w:pPr>
        <w:pStyle w:val="a7"/>
        <w:tabs>
          <w:tab w:val="num" w:pos="1550"/>
        </w:tabs>
        <w:ind w:left="1550"/>
        <w:rPr>
          <w:rFonts w:hint="eastAsia"/>
        </w:rPr>
      </w:pPr>
      <w:r>
        <w:rPr>
          <w:rFonts w:hint="eastAsia"/>
        </w:rPr>
        <w:t>76%</w:t>
      </w:r>
      <w:r>
        <w:rPr>
          <w:rFonts w:hint="eastAsia"/>
        </w:rPr>
        <w:t>的住宅配备天然气；</w:t>
      </w:r>
    </w:p>
    <w:p w:rsidR="00000000" w:rsidRDefault="00000000">
      <w:pPr>
        <w:pStyle w:val="a7"/>
        <w:tabs>
          <w:tab w:val="num" w:pos="1550"/>
        </w:tabs>
        <w:ind w:left="1550"/>
        <w:rPr>
          <w:rFonts w:hint="eastAsia"/>
        </w:rPr>
      </w:pPr>
      <w:r>
        <w:rPr>
          <w:rFonts w:hint="eastAsia"/>
        </w:rPr>
        <w:t>12%</w:t>
      </w:r>
      <w:r>
        <w:rPr>
          <w:rFonts w:hint="eastAsia"/>
        </w:rPr>
        <w:t>的住宅配备电器烹调设施。</w:t>
      </w:r>
    </w:p>
    <w:p w:rsidR="00000000" w:rsidRDefault="00000000">
      <w:pPr>
        <w:rPr>
          <w:rFonts w:hint="eastAsia"/>
        </w:rPr>
      </w:pPr>
      <w:r>
        <w:rPr>
          <w:rFonts w:hint="eastAsia"/>
        </w:rPr>
        <w:tab/>
        <w:t xml:space="preserve">172.  </w:t>
      </w:r>
      <w:r>
        <w:rPr>
          <w:rFonts w:hint="eastAsia"/>
        </w:rPr>
        <w:t>作为对这些统计数据的评论，应该考虑到，由于格鲁吉亚的经济气候困难，目前几乎所有现有国家住房都没有热水和中央供暖。</w:t>
      </w:r>
    </w:p>
    <w:p w:rsidR="00000000" w:rsidRDefault="00000000">
      <w:pPr>
        <w:rPr>
          <w:rFonts w:hint="eastAsia"/>
        </w:rPr>
      </w:pPr>
      <w:r>
        <w:rPr>
          <w:rFonts w:hint="eastAsia"/>
        </w:rPr>
        <w:tab/>
        <w:t xml:space="preserve">173.  </w:t>
      </w:r>
      <w:r>
        <w:rPr>
          <w:rFonts w:hint="eastAsia"/>
        </w:rPr>
        <w:t>关于取得干净水和下水道的更详细的资料载于报告下文中关于保健问题一节。</w:t>
      </w:r>
    </w:p>
    <w:p w:rsidR="00000000" w:rsidRDefault="00000000">
      <w:pPr>
        <w:rPr>
          <w:rFonts w:hint="eastAsia"/>
        </w:rPr>
      </w:pPr>
      <w:r>
        <w:rPr>
          <w:rFonts w:hint="eastAsia"/>
        </w:rPr>
        <w:tab/>
        <w:t xml:space="preserve">174.  </w:t>
      </w:r>
      <w:r>
        <w:rPr>
          <w:rFonts w:hint="eastAsia"/>
        </w:rPr>
        <w:t>根据当局掌握的资料，目前大约有</w:t>
      </w:r>
      <w:r>
        <w:rPr>
          <w:rFonts w:hint="eastAsia"/>
        </w:rPr>
        <w:t>110,500</w:t>
      </w:r>
      <w:r>
        <w:rPr>
          <w:rFonts w:hint="eastAsia"/>
        </w:rPr>
        <w:t>个家庭，即大约</w:t>
      </w:r>
      <w:r>
        <w:rPr>
          <w:rFonts w:hint="eastAsia"/>
        </w:rPr>
        <w:t>386,750</w:t>
      </w:r>
      <w:r>
        <w:rPr>
          <w:rFonts w:hint="eastAsia"/>
        </w:rPr>
        <w:t>人无家可归。总共有</w:t>
      </w:r>
      <w:r>
        <w:rPr>
          <w:rFonts w:hint="eastAsia"/>
        </w:rPr>
        <w:t>2,050</w:t>
      </w:r>
      <w:r>
        <w:rPr>
          <w:rFonts w:hint="eastAsia"/>
        </w:rPr>
        <w:t>万平方米的住房</w:t>
      </w:r>
      <w:r>
        <w:rPr>
          <w:rFonts w:hint="eastAsia"/>
        </w:rPr>
        <w:t>(</w:t>
      </w:r>
      <w:r>
        <w:rPr>
          <w:rFonts w:hint="eastAsia"/>
        </w:rPr>
        <w:t>即占总数的</w:t>
      </w:r>
      <w:r>
        <w:rPr>
          <w:rFonts w:hint="eastAsia"/>
        </w:rPr>
        <w:t>20.2%)</w:t>
      </w:r>
      <w:r>
        <w:rPr>
          <w:rFonts w:hint="eastAsia"/>
        </w:rPr>
        <w:t>破烂不堪、不安全、需要修理或者缺少生活设施，但住了</w:t>
      </w:r>
      <w:r>
        <w:rPr>
          <w:rFonts w:hint="eastAsia"/>
        </w:rPr>
        <w:t>1,138,800</w:t>
      </w:r>
      <w:r>
        <w:rPr>
          <w:rFonts w:hint="eastAsia"/>
        </w:rPr>
        <w:t>人。</w:t>
      </w:r>
    </w:p>
    <w:p w:rsidR="00000000" w:rsidRDefault="00000000">
      <w:pPr>
        <w:rPr>
          <w:rFonts w:hint="eastAsia"/>
        </w:rPr>
      </w:pPr>
      <w:r>
        <w:rPr>
          <w:rFonts w:hint="eastAsia"/>
        </w:rPr>
        <w:tab/>
        <w:t xml:space="preserve">175.  </w:t>
      </w:r>
      <w:r>
        <w:rPr>
          <w:rFonts w:hint="eastAsia"/>
        </w:rPr>
        <w:t>大约有</w:t>
      </w:r>
      <w:r>
        <w:rPr>
          <w:rFonts w:hint="eastAsia"/>
        </w:rPr>
        <w:t>26,000</w:t>
      </w:r>
      <w:r>
        <w:rPr>
          <w:rFonts w:hint="eastAsia"/>
        </w:rPr>
        <w:t>人被定为住在“非法”的住房里。根据格鲁吉亚部长会议</w:t>
      </w:r>
      <w:r>
        <w:rPr>
          <w:rFonts w:hint="eastAsia"/>
        </w:rPr>
        <w:t>1983</w:t>
      </w:r>
      <w:r>
        <w:rPr>
          <w:rFonts w:hint="eastAsia"/>
        </w:rPr>
        <w:t>年通过并于</w:t>
      </w:r>
      <w:r>
        <w:rPr>
          <w:rFonts w:hint="eastAsia"/>
        </w:rPr>
        <w:t>1994</w:t>
      </w:r>
      <w:r>
        <w:rPr>
          <w:rFonts w:hint="eastAsia"/>
        </w:rPr>
        <w:t>年根据格鲁吉亚总理的决定加以修正的一项决定，地方当局有权登记</w:t>
      </w:r>
      <w:r>
        <w:rPr>
          <w:rFonts w:hint="eastAsia"/>
        </w:rPr>
        <w:t>1994</w:t>
      </w:r>
      <w:r>
        <w:rPr>
          <w:rFonts w:hint="eastAsia"/>
        </w:rPr>
        <w:t>年</w:t>
      </w:r>
      <w:r>
        <w:rPr>
          <w:rFonts w:hint="eastAsia"/>
        </w:rPr>
        <w:t>3</w:t>
      </w:r>
      <w:r>
        <w:rPr>
          <w:rFonts w:hint="eastAsia"/>
        </w:rPr>
        <w:t>月以前个人建造的“非法”建筑物。</w:t>
      </w:r>
    </w:p>
    <w:p w:rsidR="00000000" w:rsidRDefault="00000000">
      <w:pPr>
        <w:rPr>
          <w:rFonts w:hint="eastAsia"/>
          <w:spacing w:val="8"/>
        </w:rPr>
      </w:pPr>
      <w:r>
        <w:rPr>
          <w:rFonts w:hint="eastAsia"/>
        </w:rPr>
        <w:tab/>
        <w:t xml:space="preserve">176.  </w:t>
      </w:r>
      <w:r>
        <w:rPr>
          <w:rFonts w:hint="eastAsia"/>
          <w:spacing w:val="8"/>
        </w:rPr>
        <w:t>住房建造项目目前由公共和私营公司或由个人承包商经营。只要他们取得必要的许可证，就不会对他们设置任何障碍。建造项目的资金来自各种来源，但私人建筑公司得不到公共资金，通常是利用银行贷款</w:t>
      </w:r>
      <w:r>
        <w:rPr>
          <w:rFonts w:hint="eastAsia"/>
          <w:spacing w:val="8"/>
        </w:rPr>
        <w:t>(</w:t>
      </w:r>
      <w:r>
        <w:rPr>
          <w:rFonts w:hint="eastAsia"/>
          <w:spacing w:val="8"/>
        </w:rPr>
        <w:t>作为他们投入本身的资本</w:t>
      </w:r>
      <w:r>
        <w:rPr>
          <w:rFonts w:hint="eastAsia"/>
          <w:spacing w:val="8"/>
        </w:rPr>
        <w:t>)</w:t>
      </w:r>
      <w:r>
        <w:rPr>
          <w:rFonts w:hint="eastAsia"/>
          <w:spacing w:val="8"/>
        </w:rPr>
        <w:t>。</w:t>
      </w:r>
    </w:p>
    <w:p w:rsidR="00000000" w:rsidRDefault="00000000">
      <w:pPr>
        <w:spacing w:after="240"/>
        <w:rPr>
          <w:rFonts w:hint="eastAsia"/>
        </w:rPr>
      </w:pPr>
      <w:r>
        <w:rPr>
          <w:rFonts w:hint="eastAsia"/>
        </w:rPr>
        <w:tab/>
        <w:t xml:space="preserve">177.  </w:t>
      </w:r>
      <w:r>
        <w:rPr>
          <w:rFonts w:hint="eastAsia"/>
        </w:rPr>
        <w:t>以上情况显然表明，向社会经济地位低下的人口阶层提供住房是一个非常严重的问题。根据国家消除贫困和促进经济增长计划</w:t>
      </w:r>
      <w:r>
        <w:rPr>
          <w:rFonts w:hint="eastAsia"/>
        </w:rPr>
        <w:t>(</w:t>
      </w:r>
      <w:r>
        <w:rPr>
          <w:rFonts w:hint="eastAsia"/>
        </w:rPr>
        <w:t>本报告上文有关章节中已经提到</w:t>
      </w:r>
      <w:r>
        <w:rPr>
          <w:rFonts w:hint="eastAsia"/>
        </w:rPr>
        <w:t>)</w:t>
      </w:r>
      <w:r>
        <w:rPr>
          <w:rFonts w:hint="eastAsia"/>
        </w:rPr>
        <w:t>，城镇规划与建设部起草了一份国家住房计划草案。作为世界银行技术援助方案的一部分，该组织派遣的专家参与制定一项住房改革方案。但由于缺乏资金，该方案停止执行。</w:t>
      </w:r>
    </w:p>
    <w:p w:rsidR="00000000" w:rsidRDefault="00000000">
      <w:pPr>
        <w:pStyle w:val="Heading4"/>
        <w:rPr>
          <w:rFonts w:hint="eastAsia"/>
        </w:rPr>
      </w:pPr>
      <w:r>
        <w:rPr>
          <w:rFonts w:hint="eastAsia"/>
        </w:rPr>
        <w:t>确保落实获得适足住房的权利的法规和规章</w:t>
      </w:r>
    </w:p>
    <w:p w:rsidR="00000000" w:rsidRDefault="00000000">
      <w:pPr>
        <w:rPr>
          <w:rFonts w:hint="eastAsia"/>
          <w:spacing w:val="8"/>
        </w:rPr>
      </w:pPr>
      <w:r>
        <w:rPr>
          <w:rFonts w:hint="eastAsia"/>
        </w:rPr>
        <w:tab/>
        <w:t xml:space="preserve">178.  </w:t>
      </w:r>
      <w:r>
        <w:rPr>
          <w:rFonts w:hint="eastAsia"/>
          <w:spacing w:val="8"/>
        </w:rPr>
        <w:t>正如上文所指出，关于明文规定住房权的法规的细节载于格鲁吉亚根据《消除一切形式种族歧视国际公约》提交的初步报告。另外还应该提到以下几点。</w:t>
      </w:r>
    </w:p>
    <w:p w:rsidR="00000000" w:rsidRDefault="00000000">
      <w:pPr>
        <w:rPr>
          <w:rFonts w:hint="eastAsia"/>
        </w:rPr>
      </w:pPr>
      <w:r>
        <w:rPr>
          <w:rFonts w:hint="eastAsia"/>
        </w:rPr>
        <w:tab/>
        <w:t xml:space="preserve">179.  </w:t>
      </w:r>
      <w:r>
        <w:rPr>
          <w:rFonts w:hint="eastAsia"/>
        </w:rPr>
        <w:t>根据司法部，以下法规对土地使用、土地划分和指定、分区、土地的最高价格和对征收的赔偿问题作出了规定：</w:t>
      </w:r>
    </w:p>
    <w:p w:rsidR="00000000" w:rsidRDefault="00000000">
      <w:pPr>
        <w:pStyle w:val="a7"/>
        <w:tabs>
          <w:tab w:val="num" w:pos="1550"/>
        </w:tabs>
        <w:ind w:left="1550"/>
        <w:rPr>
          <w:rFonts w:hint="eastAsia"/>
        </w:rPr>
      </w:pPr>
      <w:r>
        <w:rPr>
          <w:rFonts w:hint="eastAsia"/>
        </w:rPr>
        <w:t>《农业土地</w:t>
      </w:r>
      <w:r>
        <w:rPr>
          <w:rFonts w:hint="eastAsia"/>
        </w:rPr>
        <w:t>(</w:t>
      </w:r>
      <w:r>
        <w:rPr>
          <w:rFonts w:hint="eastAsia"/>
        </w:rPr>
        <w:t>拥有权</w:t>
      </w:r>
      <w:r>
        <w:rPr>
          <w:rFonts w:hint="eastAsia"/>
        </w:rPr>
        <w:t>)</w:t>
      </w:r>
      <w:r>
        <w:rPr>
          <w:rFonts w:hint="eastAsia"/>
        </w:rPr>
        <w:t>法》</w:t>
      </w:r>
      <w:r>
        <w:rPr>
          <w:rFonts w:hint="eastAsia"/>
        </w:rPr>
        <w:t>(1996</w:t>
      </w:r>
      <w:r>
        <w:rPr>
          <w:rFonts w:hint="eastAsia"/>
        </w:rPr>
        <w:t>年</w:t>
      </w:r>
      <w:r>
        <w:rPr>
          <w:rFonts w:hint="eastAsia"/>
        </w:rPr>
        <w:t>3</w:t>
      </w:r>
      <w:r>
        <w:rPr>
          <w:rFonts w:hint="eastAsia"/>
        </w:rPr>
        <w:t>月</w:t>
      </w:r>
      <w:r>
        <w:rPr>
          <w:rFonts w:hint="eastAsia"/>
        </w:rPr>
        <w:t>22</w:t>
      </w:r>
      <w:r>
        <w:rPr>
          <w:rFonts w:hint="eastAsia"/>
        </w:rPr>
        <w:t>日</w:t>
      </w:r>
      <w:r>
        <w:rPr>
          <w:rFonts w:hint="eastAsia"/>
        </w:rPr>
        <w:t>)</w:t>
      </w:r>
      <w:r>
        <w:rPr>
          <w:rFonts w:hint="eastAsia"/>
        </w:rPr>
        <w:t>；</w:t>
      </w:r>
    </w:p>
    <w:p w:rsidR="00000000" w:rsidRDefault="00000000">
      <w:pPr>
        <w:pStyle w:val="a7"/>
        <w:tabs>
          <w:tab w:val="num" w:pos="1530"/>
        </w:tabs>
        <w:ind w:left="1530"/>
        <w:rPr>
          <w:rFonts w:hint="eastAsia"/>
        </w:rPr>
      </w:pPr>
      <w:r>
        <w:rPr>
          <w:rFonts w:hint="eastAsia"/>
        </w:rPr>
        <w:t>《农业土地转用于非农业用途</w:t>
      </w:r>
      <w:r>
        <w:rPr>
          <w:rFonts w:hint="eastAsia"/>
        </w:rPr>
        <w:t>(</w:t>
      </w:r>
      <w:r>
        <w:rPr>
          <w:rFonts w:hint="eastAsia"/>
        </w:rPr>
        <w:t>开发和价值与损失补偿</w:t>
      </w:r>
      <w:r>
        <w:rPr>
          <w:rFonts w:hint="eastAsia"/>
        </w:rPr>
        <w:t>)</w:t>
      </w:r>
      <w:r>
        <w:rPr>
          <w:rFonts w:hint="eastAsia"/>
        </w:rPr>
        <w:t>法》</w:t>
      </w:r>
      <w:r>
        <w:rPr>
          <w:rFonts w:hint="eastAsia"/>
        </w:rPr>
        <w:t>(1997</w:t>
      </w:r>
      <w:r>
        <w:rPr>
          <w:rFonts w:hint="eastAsia"/>
        </w:rPr>
        <w:t>年</w:t>
      </w:r>
      <w:r>
        <w:rPr>
          <w:rFonts w:hint="eastAsia"/>
        </w:rPr>
        <w:t>10</w:t>
      </w:r>
      <w:r>
        <w:rPr>
          <w:rFonts w:hint="eastAsia"/>
        </w:rPr>
        <w:t>月</w:t>
      </w:r>
      <w:r>
        <w:rPr>
          <w:rFonts w:hint="eastAsia"/>
        </w:rPr>
        <w:t>2</w:t>
      </w:r>
      <w:r>
        <w:rPr>
          <w:rFonts w:hint="eastAsia"/>
        </w:rPr>
        <w:t>日</w:t>
      </w:r>
      <w:r>
        <w:rPr>
          <w:rFonts w:hint="eastAsia"/>
        </w:rPr>
        <w:t>)</w:t>
      </w:r>
      <w:r>
        <w:rPr>
          <w:rFonts w:hint="eastAsia"/>
        </w:rPr>
        <w:t>；</w:t>
      </w:r>
    </w:p>
    <w:p w:rsidR="00000000" w:rsidRDefault="00000000">
      <w:pPr>
        <w:pStyle w:val="a7"/>
        <w:tabs>
          <w:tab w:val="num" w:pos="1530"/>
        </w:tabs>
        <w:ind w:left="1530"/>
        <w:rPr>
          <w:rFonts w:hint="eastAsia"/>
        </w:rPr>
      </w:pPr>
      <w:r>
        <w:rPr>
          <w:rFonts w:hint="eastAsia"/>
        </w:rPr>
        <w:t>《国有非农业土地</w:t>
      </w:r>
      <w:r>
        <w:rPr>
          <w:rFonts w:hint="eastAsia"/>
        </w:rPr>
        <w:t>(</w:t>
      </w:r>
      <w:r>
        <w:rPr>
          <w:rFonts w:hint="eastAsia"/>
        </w:rPr>
        <w:t>管理和处理</w:t>
      </w:r>
      <w:r>
        <w:rPr>
          <w:rFonts w:hint="eastAsia"/>
        </w:rPr>
        <w:t>)</w:t>
      </w:r>
      <w:r>
        <w:rPr>
          <w:rFonts w:hint="eastAsia"/>
        </w:rPr>
        <w:t>法》</w:t>
      </w:r>
      <w:r>
        <w:rPr>
          <w:rFonts w:hint="eastAsia"/>
        </w:rPr>
        <w:t>(1998</w:t>
      </w:r>
      <w:r>
        <w:rPr>
          <w:rFonts w:hint="eastAsia"/>
        </w:rPr>
        <w:t>年</w:t>
      </w:r>
      <w:r>
        <w:rPr>
          <w:rFonts w:hint="eastAsia"/>
        </w:rPr>
        <w:t>10</w:t>
      </w:r>
      <w:r>
        <w:rPr>
          <w:rFonts w:hint="eastAsia"/>
        </w:rPr>
        <w:t>月</w:t>
      </w:r>
      <w:r>
        <w:rPr>
          <w:rFonts w:hint="eastAsia"/>
        </w:rPr>
        <w:t>28</w:t>
      </w:r>
      <w:r>
        <w:rPr>
          <w:rFonts w:hint="eastAsia"/>
        </w:rPr>
        <w:t>日</w:t>
      </w:r>
      <w:r>
        <w:rPr>
          <w:rFonts w:hint="eastAsia"/>
        </w:rPr>
        <w:t>)</w:t>
      </w:r>
      <w:r>
        <w:rPr>
          <w:rFonts w:hint="eastAsia"/>
        </w:rPr>
        <w:t>；</w:t>
      </w:r>
    </w:p>
    <w:p w:rsidR="00000000" w:rsidRDefault="00000000">
      <w:pPr>
        <w:pStyle w:val="a7"/>
        <w:tabs>
          <w:tab w:val="num" w:pos="1530"/>
        </w:tabs>
        <w:ind w:left="1530"/>
        <w:rPr>
          <w:rFonts w:hint="eastAsia"/>
        </w:rPr>
      </w:pPr>
      <w:r>
        <w:rPr>
          <w:rFonts w:hint="eastAsia"/>
        </w:rPr>
        <w:t>《私法中自然人和法人使用非农业土地</w:t>
      </w:r>
      <w:r>
        <w:rPr>
          <w:rFonts w:hint="eastAsia"/>
        </w:rPr>
        <w:t>(</w:t>
      </w:r>
      <w:r>
        <w:rPr>
          <w:rFonts w:hint="eastAsia"/>
        </w:rPr>
        <w:t>宣告私人拥有</w:t>
      </w:r>
      <w:r>
        <w:rPr>
          <w:rFonts w:hint="eastAsia"/>
        </w:rPr>
        <w:t>)</w:t>
      </w:r>
      <w:r>
        <w:rPr>
          <w:rFonts w:hint="eastAsia"/>
        </w:rPr>
        <w:t>法》</w:t>
      </w:r>
      <w:r>
        <w:rPr>
          <w:rFonts w:hint="eastAsia"/>
        </w:rPr>
        <w:t>(1998</w:t>
      </w:r>
      <w:r>
        <w:rPr>
          <w:rFonts w:hint="eastAsia"/>
        </w:rPr>
        <w:t>年</w:t>
      </w:r>
      <w:r>
        <w:rPr>
          <w:rFonts w:hint="eastAsia"/>
        </w:rPr>
        <w:t>10</w:t>
      </w:r>
      <w:r>
        <w:rPr>
          <w:rFonts w:hint="eastAsia"/>
        </w:rPr>
        <w:t>月</w:t>
      </w:r>
      <w:r>
        <w:rPr>
          <w:rFonts w:hint="eastAsia"/>
        </w:rPr>
        <w:t>28</w:t>
      </w:r>
      <w:r>
        <w:rPr>
          <w:rFonts w:hint="eastAsia"/>
        </w:rPr>
        <w:t>日</w:t>
      </w:r>
      <w:r>
        <w:rPr>
          <w:rFonts w:hint="eastAsia"/>
        </w:rPr>
        <w:t>)</w:t>
      </w:r>
      <w:r>
        <w:rPr>
          <w:rFonts w:hint="eastAsia"/>
        </w:rPr>
        <w:t>；</w:t>
      </w:r>
    </w:p>
    <w:p w:rsidR="00000000" w:rsidRDefault="00000000">
      <w:pPr>
        <w:pStyle w:val="a7"/>
        <w:tabs>
          <w:tab w:val="num" w:pos="1530"/>
        </w:tabs>
        <w:ind w:left="1530"/>
        <w:rPr>
          <w:rFonts w:hint="eastAsia"/>
        </w:rPr>
      </w:pPr>
      <w:r>
        <w:rPr>
          <w:rFonts w:hint="eastAsia"/>
        </w:rPr>
        <w:t>《土地和有关不动产</w:t>
      </w:r>
      <w:r>
        <w:rPr>
          <w:rFonts w:hint="eastAsia"/>
        </w:rPr>
        <w:t>(</w:t>
      </w:r>
      <w:r>
        <w:rPr>
          <w:rFonts w:hint="eastAsia"/>
        </w:rPr>
        <w:t>国家登记费</w:t>
      </w:r>
      <w:r>
        <w:rPr>
          <w:rFonts w:hint="eastAsia"/>
        </w:rPr>
        <w:t>)</w:t>
      </w:r>
      <w:r>
        <w:rPr>
          <w:rFonts w:hint="eastAsia"/>
        </w:rPr>
        <w:t>法》</w:t>
      </w:r>
      <w:r>
        <w:rPr>
          <w:rFonts w:hint="eastAsia"/>
        </w:rPr>
        <w:t>(1999</w:t>
      </w:r>
      <w:r>
        <w:rPr>
          <w:rFonts w:hint="eastAsia"/>
        </w:rPr>
        <w:t>年</w:t>
      </w:r>
      <w:r>
        <w:rPr>
          <w:rFonts w:hint="eastAsia"/>
        </w:rPr>
        <w:t>4</w:t>
      </w:r>
      <w:r>
        <w:rPr>
          <w:rFonts w:hint="eastAsia"/>
        </w:rPr>
        <w:t>月</w:t>
      </w:r>
      <w:r>
        <w:rPr>
          <w:rFonts w:hint="eastAsia"/>
        </w:rPr>
        <w:t>30</w:t>
      </w:r>
      <w:r>
        <w:rPr>
          <w:rFonts w:hint="eastAsia"/>
        </w:rPr>
        <w:t>日</w:t>
      </w:r>
      <w:r>
        <w:rPr>
          <w:rFonts w:hint="eastAsia"/>
        </w:rPr>
        <w:t>)</w:t>
      </w:r>
      <w:r>
        <w:rPr>
          <w:rFonts w:hint="eastAsia"/>
        </w:rPr>
        <w:t>；</w:t>
      </w:r>
    </w:p>
    <w:p w:rsidR="00000000" w:rsidRDefault="00000000">
      <w:pPr>
        <w:pStyle w:val="a7"/>
        <w:tabs>
          <w:tab w:val="num" w:pos="1530"/>
        </w:tabs>
        <w:ind w:left="1530"/>
        <w:rPr>
          <w:rFonts w:hint="eastAsia"/>
        </w:rPr>
      </w:pPr>
      <w:r>
        <w:rPr>
          <w:rFonts w:hint="eastAsia"/>
        </w:rPr>
        <w:t>《基本公共需要</w:t>
      </w:r>
      <w:r>
        <w:rPr>
          <w:rFonts w:hint="eastAsia"/>
        </w:rPr>
        <w:t>(</w:t>
      </w:r>
      <w:r>
        <w:rPr>
          <w:rFonts w:hint="eastAsia"/>
        </w:rPr>
        <w:t>征用财产</w:t>
      </w:r>
      <w:r>
        <w:rPr>
          <w:rFonts w:hint="eastAsia"/>
        </w:rPr>
        <w:t>)</w:t>
      </w:r>
      <w:r>
        <w:rPr>
          <w:rFonts w:hint="eastAsia"/>
        </w:rPr>
        <w:t>法》</w:t>
      </w:r>
      <w:r>
        <w:rPr>
          <w:rFonts w:hint="eastAsia"/>
        </w:rPr>
        <w:t>(1999</w:t>
      </w:r>
      <w:r>
        <w:rPr>
          <w:rFonts w:hint="eastAsia"/>
        </w:rPr>
        <w:t>年</w:t>
      </w:r>
      <w:r>
        <w:rPr>
          <w:rFonts w:hint="eastAsia"/>
        </w:rPr>
        <w:t>7</w:t>
      </w:r>
      <w:r>
        <w:rPr>
          <w:rFonts w:hint="eastAsia"/>
        </w:rPr>
        <w:t>月</w:t>
      </w:r>
      <w:r>
        <w:rPr>
          <w:rFonts w:hint="eastAsia"/>
        </w:rPr>
        <w:t>23</w:t>
      </w:r>
      <w:r>
        <w:rPr>
          <w:rFonts w:hint="eastAsia"/>
        </w:rPr>
        <w:t>日</w:t>
      </w:r>
      <w:r>
        <w:rPr>
          <w:rFonts w:hint="eastAsia"/>
        </w:rPr>
        <w:t>)</w:t>
      </w:r>
      <w:r>
        <w:rPr>
          <w:rFonts w:hint="eastAsia"/>
        </w:rPr>
        <w:t>；</w:t>
      </w:r>
    </w:p>
    <w:p w:rsidR="00000000" w:rsidRDefault="00000000">
      <w:pPr>
        <w:pStyle w:val="a7"/>
        <w:tabs>
          <w:tab w:val="num" w:pos="1530"/>
        </w:tabs>
        <w:ind w:left="1530"/>
        <w:rPr>
          <w:rFonts w:hint="eastAsia"/>
        </w:rPr>
      </w:pPr>
      <w:r>
        <w:rPr>
          <w:rFonts w:hint="eastAsia"/>
        </w:rPr>
        <w:t>《土地登记法》</w:t>
      </w:r>
      <w:r>
        <w:rPr>
          <w:rFonts w:hint="eastAsia"/>
        </w:rPr>
        <w:t>(1996</w:t>
      </w:r>
      <w:r>
        <w:rPr>
          <w:rFonts w:hint="eastAsia"/>
        </w:rPr>
        <w:t>年</w:t>
      </w:r>
      <w:r>
        <w:rPr>
          <w:rFonts w:hint="eastAsia"/>
        </w:rPr>
        <w:t>11</w:t>
      </w:r>
      <w:r>
        <w:rPr>
          <w:rFonts w:hint="eastAsia"/>
        </w:rPr>
        <w:t>月</w:t>
      </w:r>
      <w:r>
        <w:rPr>
          <w:rFonts w:hint="eastAsia"/>
        </w:rPr>
        <w:t>14</w:t>
      </w:r>
      <w:r>
        <w:rPr>
          <w:rFonts w:hint="eastAsia"/>
        </w:rPr>
        <w:t>日</w:t>
      </w:r>
      <w:r>
        <w:rPr>
          <w:rFonts w:hint="eastAsia"/>
        </w:rPr>
        <w:t>)</w:t>
      </w:r>
      <w:r>
        <w:rPr>
          <w:rFonts w:hint="eastAsia"/>
        </w:rPr>
        <w:t>。</w:t>
      </w:r>
    </w:p>
    <w:p w:rsidR="00000000" w:rsidRDefault="00000000">
      <w:pPr>
        <w:rPr>
          <w:rFonts w:hint="eastAsia"/>
        </w:rPr>
      </w:pPr>
      <w:r>
        <w:rPr>
          <w:rFonts w:hint="eastAsia"/>
        </w:rPr>
        <w:tab/>
        <w:t xml:space="preserve">180.  </w:t>
      </w:r>
      <w:r>
        <w:rPr>
          <w:rFonts w:hint="eastAsia"/>
        </w:rPr>
        <w:t>《格鲁吉亚刑法》第</w:t>
      </w:r>
      <w:r>
        <w:rPr>
          <w:rFonts w:hint="eastAsia"/>
        </w:rPr>
        <w:t>160</w:t>
      </w:r>
      <w:r>
        <w:rPr>
          <w:rFonts w:hint="eastAsia"/>
        </w:rPr>
        <w:t>条规定，践踏家园或其他财产的不可侵犯性即为刑事犯罪。根据</w:t>
      </w:r>
      <w:r>
        <w:rPr>
          <w:rFonts w:hint="eastAsia"/>
        </w:rPr>
        <w:t>2001</w:t>
      </w:r>
      <w:r>
        <w:rPr>
          <w:rFonts w:hint="eastAsia"/>
        </w:rPr>
        <w:t>年</w:t>
      </w:r>
      <w:r>
        <w:rPr>
          <w:rFonts w:hint="eastAsia"/>
        </w:rPr>
        <w:t>2</w:t>
      </w:r>
      <w:r>
        <w:rPr>
          <w:rFonts w:hint="eastAsia"/>
        </w:rPr>
        <w:t>月颁布的《城镇规划和建设部命令》，</w:t>
      </w:r>
      <w:r>
        <w:rPr>
          <w:rFonts w:hint="eastAsia"/>
        </w:rPr>
        <w:t>1992</w:t>
      </w:r>
      <w:r>
        <w:rPr>
          <w:rFonts w:hint="eastAsia"/>
        </w:rPr>
        <w:t>年之前制定并批准的所有建造标准和规章和不违背格鲁吉亚法律或格鲁吉亚加入的国际条约的所有其他有关法规和规章应仍然生效。然而，应该指出，由于缺乏预算资金，为这一部门起草新的法规和规章的工作相当复杂。苏联时期的法规和规章在许多方面不再适合现代要求。</w:t>
      </w:r>
    </w:p>
    <w:p w:rsidR="00000000" w:rsidRDefault="00000000">
      <w:pPr>
        <w:rPr>
          <w:rFonts w:hint="eastAsia"/>
        </w:rPr>
      </w:pPr>
      <w:r>
        <w:rPr>
          <w:rFonts w:hint="eastAsia"/>
        </w:rPr>
        <w:tab/>
        <w:t xml:space="preserve">181.  </w:t>
      </w:r>
      <w:r>
        <w:rPr>
          <w:rFonts w:hint="eastAsia"/>
        </w:rPr>
        <w:t>以下法规规定了居民区中经济规划和公共卫生要求中的规章要求：</w:t>
      </w:r>
    </w:p>
    <w:p w:rsidR="00000000" w:rsidRDefault="00000000">
      <w:pPr>
        <w:pStyle w:val="a7"/>
        <w:tabs>
          <w:tab w:val="num" w:pos="1530"/>
        </w:tabs>
        <w:ind w:left="1530"/>
        <w:rPr>
          <w:rFonts w:hint="eastAsia"/>
        </w:rPr>
      </w:pPr>
      <w:r>
        <w:rPr>
          <w:rFonts w:hint="eastAsia"/>
        </w:rPr>
        <w:t>《建筑项目</w:t>
      </w:r>
      <w:r>
        <w:rPr>
          <w:rFonts w:hint="eastAsia"/>
        </w:rPr>
        <w:t>(</w:t>
      </w:r>
      <w:r>
        <w:rPr>
          <w:rFonts w:hint="eastAsia"/>
        </w:rPr>
        <w:t>综合国家研究和批准</w:t>
      </w:r>
      <w:r>
        <w:rPr>
          <w:rFonts w:hint="eastAsia"/>
        </w:rPr>
        <w:t>)</w:t>
      </w:r>
      <w:r>
        <w:rPr>
          <w:rFonts w:hint="eastAsia"/>
        </w:rPr>
        <w:t>法》</w:t>
      </w:r>
      <w:r>
        <w:rPr>
          <w:rFonts w:hint="eastAsia"/>
        </w:rPr>
        <w:t>(1996</w:t>
      </w:r>
      <w:r>
        <w:rPr>
          <w:rFonts w:hint="eastAsia"/>
        </w:rPr>
        <w:t>年</w:t>
      </w:r>
      <w:r>
        <w:rPr>
          <w:rFonts w:hint="eastAsia"/>
        </w:rPr>
        <w:t>4</w:t>
      </w:r>
      <w:r>
        <w:rPr>
          <w:rFonts w:hint="eastAsia"/>
        </w:rPr>
        <w:t>月</w:t>
      </w:r>
      <w:r>
        <w:rPr>
          <w:rFonts w:hint="eastAsia"/>
        </w:rPr>
        <w:t>16</w:t>
      </w:r>
      <w:r>
        <w:rPr>
          <w:rFonts w:hint="eastAsia"/>
        </w:rPr>
        <w:t>日</w:t>
      </w:r>
      <w:r>
        <w:rPr>
          <w:rFonts w:hint="eastAsia"/>
        </w:rPr>
        <w:t>)</w:t>
      </w:r>
      <w:r>
        <w:rPr>
          <w:rFonts w:hint="eastAsia"/>
        </w:rPr>
        <w:t>；</w:t>
      </w:r>
    </w:p>
    <w:p w:rsidR="00000000" w:rsidRDefault="00000000">
      <w:pPr>
        <w:pStyle w:val="a7"/>
        <w:tabs>
          <w:tab w:val="num" w:pos="1530"/>
        </w:tabs>
        <w:ind w:left="1530"/>
        <w:rPr>
          <w:rFonts w:hint="eastAsia"/>
        </w:rPr>
      </w:pPr>
      <w:r>
        <w:rPr>
          <w:rFonts w:hint="eastAsia"/>
        </w:rPr>
        <w:t>《规划许可法》</w:t>
      </w:r>
      <w:r>
        <w:rPr>
          <w:rFonts w:hint="eastAsia"/>
        </w:rPr>
        <w:t>(1999</w:t>
      </w:r>
      <w:r>
        <w:rPr>
          <w:rFonts w:hint="eastAsia"/>
        </w:rPr>
        <w:t>年</w:t>
      </w:r>
      <w:r>
        <w:rPr>
          <w:rFonts w:hint="eastAsia"/>
        </w:rPr>
        <w:t>9</w:t>
      </w:r>
      <w:r>
        <w:rPr>
          <w:rFonts w:hint="eastAsia"/>
        </w:rPr>
        <w:t>月</w:t>
      </w:r>
      <w:r>
        <w:rPr>
          <w:rFonts w:hint="eastAsia"/>
        </w:rPr>
        <w:t>9</w:t>
      </w:r>
      <w:r>
        <w:rPr>
          <w:rFonts w:hint="eastAsia"/>
        </w:rPr>
        <w:t>日</w:t>
      </w:r>
      <w:r>
        <w:rPr>
          <w:rFonts w:hint="eastAsia"/>
        </w:rPr>
        <w:t>)</w:t>
      </w:r>
      <w:r>
        <w:rPr>
          <w:rFonts w:hint="eastAsia"/>
        </w:rPr>
        <w:t>；</w:t>
      </w:r>
    </w:p>
    <w:p w:rsidR="00000000" w:rsidRDefault="00000000">
      <w:pPr>
        <w:pStyle w:val="a7"/>
        <w:tabs>
          <w:tab w:val="num" w:pos="1530"/>
        </w:tabs>
        <w:ind w:left="1530"/>
        <w:rPr>
          <w:rFonts w:hint="eastAsia"/>
        </w:rPr>
      </w:pPr>
      <w:r>
        <w:rPr>
          <w:rFonts w:hint="eastAsia"/>
        </w:rPr>
        <w:t>《建筑法》</w:t>
      </w:r>
      <w:r>
        <w:rPr>
          <w:rFonts w:hint="eastAsia"/>
        </w:rPr>
        <w:t>(2000</w:t>
      </w:r>
      <w:r>
        <w:rPr>
          <w:rFonts w:hint="eastAsia"/>
        </w:rPr>
        <w:t>年</w:t>
      </w:r>
      <w:r>
        <w:rPr>
          <w:rFonts w:hint="eastAsia"/>
        </w:rPr>
        <w:t>10</w:t>
      </w:r>
      <w:r>
        <w:rPr>
          <w:rFonts w:hint="eastAsia"/>
        </w:rPr>
        <w:t>月</w:t>
      </w:r>
      <w:r>
        <w:rPr>
          <w:rFonts w:hint="eastAsia"/>
        </w:rPr>
        <w:t>27</w:t>
      </w:r>
      <w:r>
        <w:rPr>
          <w:rFonts w:hint="eastAsia"/>
        </w:rPr>
        <w:t>日</w:t>
      </w:r>
      <w:r>
        <w:rPr>
          <w:rFonts w:hint="eastAsia"/>
        </w:rPr>
        <w:t>)</w:t>
      </w:r>
      <w:r>
        <w:rPr>
          <w:rFonts w:hint="eastAsia"/>
        </w:rPr>
        <w:t>；</w:t>
      </w:r>
    </w:p>
    <w:p w:rsidR="00000000" w:rsidRDefault="00000000">
      <w:pPr>
        <w:pStyle w:val="a7"/>
        <w:tabs>
          <w:tab w:val="num" w:pos="1530"/>
        </w:tabs>
        <w:ind w:left="1530"/>
        <w:rPr>
          <w:rFonts w:hint="eastAsia"/>
        </w:rPr>
      </w:pPr>
      <w:r>
        <w:rPr>
          <w:rFonts w:hint="eastAsia"/>
        </w:rPr>
        <w:t>《环境影响研究法》</w:t>
      </w:r>
      <w:r>
        <w:rPr>
          <w:rFonts w:hint="eastAsia"/>
        </w:rPr>
        <w:t>(1996</w:t>
      </w:r>
      <w:r>
        <w:rPr>
          <w:rFonts w:hint="eastAsia"/>
        </w:rPr>
        <w:t>年</w:t>
      </w:r>
      <w:r>
        <w:rPr>
          <w:rFonts w:hint="eastAsia"/>
        </w:rPr>
        <w:t>10</w:t>
      </w:r>
      <w:r>
        <w:rPr>
          <w:rFonts w:hint="eastAsia"/>
        </w:rPr>
        <w:t>月</w:t>
      </w:r>
      <w:r>
        <w:rPr>
          <w:rFonts w:hint="eastAsia"/>
        </w:rPr>
        <w:t>15</w:t>
      </w:r>
      <w:r>
        <w:rPr>
          <w:rFonts w:hint="eastAsia"/>
        </w:rPr>
        <w:t>日</w:t>
      </w:r>
      <w:r>
        <w:rPr>
          <w:rFonts w:hint="eastAsia"/>
        </w:rPr>
        <w:t>)</w:t>
      </w:r>
      <w:r>
        <w:rPr>
          <w:rFonts w:hint="eastAsia"/>
        </w:rPr>
        <w:t>。</w:t>
      </w:r>
    </w:p>
    <w:p w:rsidR="00000000" w:rsidRDefault="00000000">
      <w:pPr>
        <w:pStyle w:val="Heading4"/>
        <w:spacing w:before="320"/>
        <w:rPr>
          <w:rFonts w:hint="eastAsia"/>
        </w:rPr>
      </w:pPr>
      <w:r>
        <w:rPr>
          <w:rFonts w:hint="eastAsia"/>
        </w:rPr>
        <w:t>驱逐房客</w:t>
      </w:r>
    </w:p>
    <w:p w:rsidR="00000000" w:rsidRDefault="00000000">
      <w:pPr>
        <w:rPr>
          <w:rFonts w:hint="eastAsia"/>
        </w:rPr>
      </w:pPr>
      <w:r>
        <w:rPr>
          <w:rFonts w:hint="eastAsia"/>
        </w:rPr>
        <w:tab/>
        <w:t xml:space="preserve">182.  </w:t>
      </w:r>
      <w:r>
        <w:rPr>
          <w:rFonts w:hint="eastAsia"/>
        </w:rPr>
        <w:t>法律规定，只有法院有权命令驱逐房客，因此实际上排除了任意驱逐房客的可能性。在实践中，假定有关司法机构作出裁决，关于驱逐房客的事项制约于《强制执行诉讼法》第</w:t>
      </w:r>
      <w:r>
        <w:rPr>
          <w:rFonts w:hint="eastAsia"/>
        </w:rPr>
        <w:t>90</w:t>
      </w:r>
      <w:r>
        <w:rPr>
          <w:rFonts w:hint="eastAsia"/>
        </w:rPr>
        <w:t>条，这一条规定，面临驱逐的人自动有权在一段时间内</w:t>
      </w:r>
      <w:r>
        <w:rPr>
          <w:rFonts w:hint="eastAsia"/>
        </w:rPr>
        <w:t>(</w:t>
      </w:r>
      <w:r>
        <w:rPr>
          <w:rFonts w:hint="eastAsia"/>
        </w:rPr>
        <w:t>不超过一个月</w:t>
      </w:r>
      <w:r>
        <w:rPr>
          <w:rFonts w:hint="eastAsia"/>
        </w:rPr>
        <w:t>)</w:t>
      </w:r>
      <w:r>
        <w:rPr>
          <w:rFonts w:hint="eastAsia"/>
        </w:rPr>
        <w:t>执行法院的决定。被驱逐者必须支付所有驱逐费用。如果在驱逐过程中出现任何违反程序的问题，该法令第</w:t>
      </w:r>
      <w:r>
        <w:rPr>
          <w:rFonts w:hint="eastAsia"/>
        </w:rPr>
        <w:t>18</w:t>
      </w:r>
      <w:r>
        <w:rPr>
          <w:rFonts w:hint="eastAsia"/>
        </w:rPr>
        <w:t>条规定，当事方有权在提起强制执行诉讼一个月之内通过法庭对法警的行动提出上诉。</w:t>
      </w:r>
    </w:p>
    <w:p w:rsidR="00000000" w:rsidRDefault="00000000">
      <w:pPr>
        <w:spacing w:after="320"/>
        <w:rPr>
          <w:rFonts w:hint="eastAsia"/>
        </w:rPr>
      </w:pPr>
      <w:r>
        <w:rPr>
          <w:rFonts w:hint="eastAsia"/>
        </w:rPr>
        <w:tab/>
        <w:t xml:space="preserve">183.  </w:t>
      </w:r>
      <w:r>
        <w:rPr>
          <w:rFonts w:hint="eastAsia"/>
        </w:rPr>
        <w:t>根据司法部提供的资料，</w:t>
      </w:r>
      <w:r>
        <w:rPr>
          <w:rFonts w:hint="eastAsia"/>
        </w:rPr>
        <w:t>2000</w:t>
      </w:r>
      <w:r>
        <w:rPr>
          <w:rFonts w:hint="eastAsia"/>
        </w:rPr>
        <w:t>年，地区强制执行办公室处理了</w:t>
      </w:r>
      <w:r>
        <w:rPr>
          <w:rFonts w:hint="eastAsia"/>
        </w:rPr>
        <w:t>333</w:t>
      </w:r>
      <w:r>
        <w:rPr>
          <w:rFonts w:hint="eastAsia"/>
        </w:rPr>
        <w:t>起涉及驱逐房客的强制执行行动。其中</w:t>
      </w:r>
      <w:r>
        <w:rPr>
          <w:rFonts w:hint="eastAsia"/>
        </w:rPr>
        <w:t>234</w:t>
      </w:r>
      <w:r>
        <w:rPr>
          <w:rFonts w:hint="eastAsia"/>
        </w:rPr>
        <w:t>项驱逐命令得到执行，</w:t>
      </w:r>
      <w:r>
        <w:rPr>
          <w:rFonts w:hint="eastAsia"/>
        </w:rPr>
        <w:t>18</w:t>
      </w:r>
      <w:r>
        <w:rPr>
          <w:rFonts w:hint="eastAsia"/>
        </w:rPr>
        <w:t>份驱逐通知退给驱逐诉讼提起人</w:t>
      </w:r>
      <w:r>
        <w:rPr>
          <w:rFonts w:hint="eastAsia"/>
        </w:rPr>
        <w:t>(</w:t>
      </w:r>
      <w:r>
        <w:rPr>
          <w:rFonts w:hint="eastAsia"/>
        </w:rPr>
        <w:t>在成功地调解争端以后</w:t>
      </w:r>
      <w:r>
        <w:rPr>
          <w:rFonts w:hint="eastAsia"/>
        </w:rPr>
        <w:t>)</w:t>
      </w:r>
      <w:r>
        <w:rPr>
          <w:rFonts w:hint="eastAsia"/>
        </w:rPr>
        <w:t>，在</w:t>
      </w:r>
      <w:r>
        <w:rPr>
          <w:rFonts w:hint="eastAsia"/>
        </w:rPr>
        <w:t>3</w:t>
      </w:r>
      <w:r>
        <w:rPr>
          <w:rFonts w:hint="eastAsia"/>
        </w:rPr>
        <w:t>起案件中，驱逐通知是针对有关方面的。</w:t>
      </w:r>
    </w:p>
    <w:p w:rsidR="00000000" w:rsidRDefault="00000000">
      <w:pPr>
        <w:pStyle w:val="Heading4"/>
        <w:rPr>
          <w:rFonts w:hint="eastAsia"/>
        </w:rPr>
      </w:pPr>
      <w:r>
        <w:rPr>
          <w:rFonts w:hint="eastAsia"/>
        </w:rPr>
        <w:t>为确保获得适足住房的权利而应执行的措施</w:t>
      </w:r>
    </w:p>
    <w:p w:rsidR="00000000" w:rsidRDefault="00000000">
      <w:pPr>
        <w:rPr>
          <w:rFonts w:hint="eastAsia"/>
        </w:rPr>
      </w:pPr>
      <w:r>
        <w:rPr>
          <w:rFonts w:hint="eastAsia"/>
        </w:rPr>
        <w:tab/>
        <w:t xml:space="preserve">184.  </w:t>
      </w:r>
      <w:r>
        <w:rPr>
          <w:rFonts w:hint="eastAsia"/>
        </w:rPr>
        <w:t>经济、社会、文化权利委员会在其结论性意见中吁请格鲁吉亚采取适当的措施，创造条件，使国内流离失所者能够返回其原籍地</w:t>
      </w:r>
      <w:r>
        <w:rPr>
          <w:rFonts w:hint="eastAsia"/>
        </w:rPr>
        <w:t>(</w:t>
      </w:r>
      <w:r>
        <w:rPr>
          <w:rFonts w:hint="eastAsia"/>
        </w:rPr>
        <w:t>第</w:t>
      </w:r>
      <w:r>
        <w:rPr>
          <w:rFonts w:hint="eastAsia"/>
        </w:rPr>
        <w:t>29</w:t>
      </w:r>
      <w:r>
        <w:rPr>
          <w:rFonts w:hint="eastAsia"/>
        </w:rPr>
        <w:t>段</w:t>
      </w:r>
      <w:r>
        <w:rPr>
          <w:rFonts w:hint="eastAsia"/>
        </w:rPr>
        <w:t>)</w:t>
      </w:r>
      <w:r>
        <w:rPr>
          <w:rFonts w:hint="eastAsia"/>
        </w:rPr>
        <w:t>。令人遗憾的是，我们不得不指出，鉴于正如初步报告中所提到，对于冲突缺乏政治解决办法，格鲁吉亚无法在报告期间执行委员会的这项具体建议。</w:t>
      </w:r>
    </w:p>
    <w:p w:rsidR="00000000" w:rsidRDefault="00000000">
      <w:pPr>
        <w:spacing w:after="320"/>
        <w:rPr>
          <w:rFonts w:hint="eastAsia"/>
        </w:rPr>
      </w:pPr>
      <w:r>
        <w:rPr>
          <w:rFonts w:hint="eastAsia"/>
        </w:rPr>
        <w:tab/>
        <w:t xml:space="preserve">185.  </w:t>
      </w:r>
      <w:r>
        <w:rPr>
          <w:rFonts w:hint="eastAsia"/>
        </w:rPr>
        <w:t>城镇规划和建设部认为，改进立法框架是解决妨碍实现住房权和建造生活住房问题的一个关键步骤。为此目的，该部拟订了一项住宅单元法案，已提交政府审议。其他城镇规划法案和一项第比利斯建筑规章条例草案已经制定，目前正在审议。</w:t>
      </w:r>
    </w:p>
    <w:p w:rsidR="00000000" w:rsidRDefault="00000000">
      <w:pPr>
        <w:pStyle w:val="Heading4"/>
        <w:rPr>
          <w:rFonts w:hint="eastAsia"/>
        </w:rPr>
      </w:pPr>
      <w:r>
        <w:rPr>
          <w:rFonts w:hint="eastAsia"/>
        </w:rPr>
        <w:t>城镇规划和建设部的预算</w:t>
      </w:r>
    </w:p>
    <w:p w:rsidR="00000000" w:rsidRDefault="00000000">
      <w:pPr>
        <w:spacing w:after="320"/>
        <w:rPr>
          <w:rFonts w:hint="eastAsia"/>
        </w:rPr>
      </w:pPr>
      <w:r>
        <w:rPr>
          <w:rFonts w:hint="eastAsia"/>
        </w:rPr>
        <w:tab/>
        <w:t xml:space="preserve">186.  </w:t>
      </w:r>
      <w:r>
        <w:rPr>
          <w:rFonts w:hint="eastAsia"/>
        </w:rPr>
        <w:t>该部取得国家预算的拨款，这笔款项用于维持中央管理和支付日常费用。该部的预算不太多：</w:t>
      </w:r>
      <w:r>
        <w:rPr>
          <w:rFonts w:hint="eastAsia"/>
        </w:rPr>
        <w:t>2001</w:t>
      </w:r>
      <w:r>
        <w:rPr>
          <w:rFonts w:hint="eastAsia"/>
        </w:rPr>
        <w:t>年定为</w:t>
      </w:r>
      <w:r>
        <w:rPr>
          <w:rFonts w:hint="eastAsia"/>
        </w:rPr>
        <w:t>235,400</w:t>
      </w:r>
      <w:r>
        <w:rPr>
          <w:rFonts w:hint="eastAsia"/>
        </w:rPr>
        <w:t>拉里，即国家中央预算开支部分的</w:t>
      </w:r>
      <w:r>
        <w:rPr>
          <w:rFonts w:hint="eastAsia"/>
        </w:rPr>
        <w:t>0.026%</w:t>
      </w:r>
      <w:r>
        <w:rPr>
          <w:rFonts w:hint="eastAsia"/>
        </w:rPr>
        <w:t>。</w:t>
      </w:r>
    </w:p>
    <w:p w:rsidR="00000000" w:rsidRDefault="00000000">
      <w:pPr>
        <w:pStyle w:val="Heading2"/>
        <w:rPr>
          <w:rFonts w:hint="eastAsia"/>
        </w:rPr>
      </w:pPr>
      <w:r>
        <w:rPr>
          <w:rFonts w:hint="eastAsia"/>
        </w:rPr>
        <w:t>第</w:t>
      </w:r>
      <w:r>
        <w:rPr>
          <w:rFonts w:hint="eastAsia"/>
        </w:rPr>
        <w:t xml:space="preserve"> </w:t>
      </w:r>
      <w:r>
        <w:rPr>
          <w:rFonts w:hint="eastAsia"/>
        </w:rPr>
        <w:t>十二</w:t>
      </w:r>
      <w:r>
        <w:rPr>
          <w:rFonts w:hint="eastAsia"/>
        </w:rPr>
        <w:t xml:space="preserve"> </w:t>
      </w:r>
      <w:r>
        <w:rPr>
          <w:rFonts w:hint="eastAsia"/>
        </w:rPr>
        <w:t>条</w:t>
      </w:r>
    </w:p>
    <w:p w:rsidR="00000000" w:rsidRDefault="00000000">
      <w:pPr>
        <w:pStyle w:val="Heading4"/>
        <w:rPr>
          <w:rFonts w:hint="eastAsia"/>
        </w:rPr>
      </w:pPr>
      <w:r>
        <w:rPr>
          <w:rFonts w:hint="eastAsia"/>
        </w:rPr>
        <w:t>人口的身心健康</w:t>
      </w:r>
    </w:p>
    <w:p w:rsidR="00000000" w:rsidRDefault="00000000">
      <w:pPr>
        <w:rPr>
          <w:rFonts w:hint="eastAsia"/>
        </w:rPr>
      </w:pPr>
      <w:r>
        <w:rPr>
          <w:rFonts w:hint="eastAsia"/>
        </w:rPr>
        <w:tab/>
        <w:t xml:space="preserve">187.  </w:t>
      </w:r>
      <w:r>
        <w:rPr>
          <w:rFonts w:hint="eastAsia"/>
        </w:rPr>
        <w:t>格鲁吉亚人口的健康和提高普遍健康水平的必要性是本国政府的高度优先事项。说明这一点的事实是，劳动、卫生和社会福利部编写的</w:t>
      </w:r>
      <w:r>
        <w:rPr>
          <w:rFonts w:hint="eastAsia"/>
        </w:rPr>
        <w:t>1999</w:t>
      </w:r>
      <w:r>
        <w:rPr>
          <w:rFonts w:hint="eastAsia"/>
        </w:rPr>
        <w:t>年格鲁吉亚公共卫生国家报告于</w:t>
      </w:r>
      <w:r>
        <w:rPr>
          <w:rFonts w:hint="eastAsia"/>
        </w:rPr>
        <w:t>2001</w:t>
      </w:r>
      <w:r>
        <w:rPr>
          <w:rFonts w:hint="eastAsia"/>
        </w:rPr>
        <w:t>年</w:t>
      </w:r>
      <w:r>
        <w:rPr>
          <w:rFonts w:hint="eastAsia"/>
        </w:rPr>
        <w:t>3</w:t>
      </w:r>
      <w:r>
        <w:rPr>
          <w:rFonts w:hint="eastAsia"/>
        </w:rPr>
        <w:t>月由总统主持的国家安全会议进行了审查。</w:t>
      </w:r>
    </w:p>
    <w:p w:rsidR="00000000" w:rsidRDefault="00000000">
      <w:pPr>
        <w:rPr>
          <w:rFonts w:hint="eastAsia"/>
        </w:rPr>
      </w:pPr>
      <w:r>
        <w:rPr>
          <w:rFonts w:hint="eastAsia"/>
        </w:rPr>
        <w:tab/>
        <w:t xml:space="preserve">188.  </w:t>
      </w:r>
      <w:r>
        <w:rPr>
          <w:rFonts w:hint="eastAsia"/>
        </w:rPr>
        <w:t>下列表格载列了格鲁吉亚主要公共卫生指数。</w:t>
      </w:r>
    </w:p>
    <w:p w:rsidR="00000000" w:rsidRDefault="00000000">
      <w:pPr>
        <w:pStyle w:val="Heading3"/>
        <w:spacing w:before="160" w:after="160"/>
        <w:rPr>
          <w:rFonts w:hint="eastAsia"/>
        </w:rPr>
      </w:pPr>
      <w:r>
        <w:rPr>
          <w:rFonts w:hint="eastAsia"/>
        </w:rPr>
        <w:t>按年龄分列的死亡率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445"/>
        <w:gridCol w:w="1446"/>
        <w:gridCol w:w="1446"/>
        <w:gridCol w:w="1446"/>
        <w:gridCol w:w="1446"/>
      </w:tblGrid>
      <w:tr w:rsidR="00000000">
        <w:tblPrEx>
          <w:tblCellMar>
            <w:top w:w="0" w:type="dxa"/>
            <w:bottom w:w="0" w:type="dxa"/>
          </w:tblCellMar>
        </w:tblPrEx>
        <w:trPr>
          <w:cantSplit/>
        </w:trPr>
        <w:tc>
          <w:tcPr>
            <w:tcW w:w="1985" w:type="dxa"/>
            <w:vMerge w:val="restart"/>
          </w:tcPr>
          <w:p w:rsidR="00000000" w:rsidRDefault="00000000">
            <w:pPr>
              <w:pStyle w:val="FootnoteText"/>
              <w:tabs>
                <w:tab w:val="left" w:pos="442"/>
              </w:tabs>
              <w:spacing w:before="120" w:line="240" w:lineRule="exact"/>
              <w:ind w:left="113" w:right="113"/>
              <w:rPr>
                <w:rFonts w:eastAsia="SimSun"/>
                <w:snapToGrid w:val="0"/>
                <w:spacing w:val="4"/>
                <w:sz w:val="21"/>
                <w:u w:val="single"/>
              </w:rPr>
            </w:pPr>
          </w:p>
        </w:tc>
        <w:tc>
          <w:tcPr>
            <w:tcW w:w="7229" w:type="dxa"/>
            <w:gridSpan w:val="5"/>
          </w:tcPr>
          <w:p w:rsidR="00000000" w:rsidRDefault="00000000">
            <w:pPr>
              <w:pStyle w:val="FootnoteText"/>
              <w:tabs>
                <w:tab w:val="left" w:pos="442"/>
              </w:tabs>
              <w:spacing w:before="120" w:line="240" w:lineRule="exact"/>
              <w:ind w:left="113" w:right="113"/>
              <w:jc w:val="center"/>
              <w:rPr>
                <w:rFonts w:eastAsia="SimSun"/>
                <w:snapToGrid w:val="0"/>
                <w:spacing w:val="4"/>
                <w:sz w:val="21"/>
                <w:u w:val="single"/>
              </w:rPr>
            </w:pPr>
            <w:r>
              <w:rPr>
                <w:rFonts w:eastAsia="SimSun" w:hint="eastAsia"/>
                <w:snapToGrid w:val="0"/>
                <w:spacing w:val="4"/>
                <w:sz w:val="21"/>
                <w:u w:val="single"/>
              </w:rPr>
              <w:t>按年龄分列的千人死亡率</w:t>
            </w:r>
          </w:p>
        </w:tc>
      </w:tr>
      <w:tr w:rsidR="00000000">
        <w:tblPrEx>
          <w:tblCellMar>
            <w:top w:w="0" w:type="dxa"/>
            <w:bottom w:w="0" w:type="dxa"/>
          </w:tblCellMar>
        </w:tblPrEx>
        <w:trPr>
          <w:cantSplit/>
        </w:trPr>
        <w:tc>
          <w:tcPr>
            <w:tcW w:w="1985" w:type="dxa"/>
            <w:vMerge/>
            <w:tcBorders>
              <w:bottom w:val="single" w:sz="4" w:space="0" w:color="auto"/>
            </w:tcBorders>
          </w:tcPr>
          <w:p w:rsidR="00000000" w:rsidRDefault="00000000">
            <w:pPr>
              <w:pStyle w:val="FootnoteText"/>
              <w:tabs>
                <w:tab w:val="left" w:pos="442"/>
              </w:tabs>
              <w:spacing w:before="120" w:line="240" w:lineRule="exact"/>
              <w:ind w:left="113" w:right="113"/>
              <w:rPr>
                <w:rFonts w:eastAsia="SimSun"/>
                <w:snapToGrid w:val="0"/>
                <w:spacing w:val="4"/>
                <w:sz w:val="21"/>
                <w:u w:val="single"/>
              </w:rPr>
            </w:pPr>
          </w:p>
        </w:tc>
        <w:tc>
          <w:tcPr>
            <w:tcW w:w="1445" w:type="dxa"/>
            <w:tcBorders>
              <w:bottom w:val="single" w:sz="4" w:space="0" w:color="auto"/>
            </w:tcBorders>
          </w:tcPr>
          <w:p w:rsidR="00000000" w:rsidRDefault="00000000">
            <w:pPr>
              <w:pStyle w:val="FootnoteText"/>
              <w:tabs>
                <w:tab w:val="left" w:pos="442"/>
              </w:tabs>
              <w:spacing w:before="120" w:line="240" w:lineRule="exact"/>
              <w:ind w:left="113" w:right="113" w:firstLine="0"/>
              <w:jc w:val="center"/>
              <w:rPr>
                <w:rFonts w:eastAsia="SimSun"/>
                <w:snapToGrid w:val="0"/>
                <w:spacing w:val="4"/>
                <w:sz w:val="21"/>
                <w:u w:val="single"/>
              </w:rPr>
            </w:pPr>
            <w:r>
              <w:rPr>
                <w:rFonts w:eastAsia="SimSun"/>
                <w:snapToGrid w:val="0"/>
                <w:spacing w:val="4"/>
                <w:sz w:val="21"/>
                <w:u w:val="single"/>
              </w:rPr>
              <w:t>1990</w:t>
            </w:r>
          </w:p>
        </w:tc>
        <w:tc>
          <w:tcPr>
            <w:tcW w:w="1446" w:type="dxa"/>
            <w:tcBorders>
              <w:bottom w:val="single" w:sz="4" w:space="0" w:color="auto"/>
            </w:tcBorders>
          </w:tcPr>
          <w:p w:rsidR="00000000" w:rsidRDefault="00000000">
            <w:pPr>
              <w:pStyle w:val="FootnoteText"/>
              <w:tabs>
                <w:tab w:val="left" w:pos="442"/>
              </w:tabs>
              <w:spacing w:before="120" w:line="240" w:lineRule="exact"/>
              <w:ind w:left="113" w:right="113" w:firstLine="0"/>
              <w:jc w:val="center"/>
              <w:rPr>
                <w:rFonts w:eastAsia="SimSun"/>
                <w:snapToGrid w:val="0"/>
                <w:spacing w:val="4"/>
                <w:sz w:val="21"/>
                <w:u w:val="single"/>
              </w:rPr>
            </w:pPr>
            <w:r>
              <w:rPr>
                <w:rFonts w:eastAsia="SimSun"/>
                <w:snapToGrid w:val="0"/>
                <w:spacing w:val="4"/>
                <w:sz w:val="21"/>
                <w:u w:val="single"/>
              </w:rPr>
              <w:t>1996</w:t>
            </w:r>
          </w:p>
        </w:tc>
        <w:tc>
          <w:tcPr>
            <w:tcW w:w="1446" w:type="dxa"/>
            <w:tcBorders>
              <w:bottom w:val="single" w:sz="4" w:space="0" w:color="auto"/>
            </w:tcBorders>
          </w:tcPr>
          <w:p w:rsidR="00000000" w:rsidRDefault="00000000">
            <w:pPr>
              <w:pStyle w:val="FootnoteText"/>
              <w:tabs>
                <w:tab w:val="left" w:pos="442"/>
              </w:tabs>
              <w:spacing w:before="120" w:line="240" w:lineRule="exact"/>
              <w:ind w:left="113" w:right="113" w:firstLine="0"/>
              <w:jc w:val="center"/>
              <w:rPr>
                <w:rFonts w:eastAsia="SimSun"/>
                <w:snapToGrid w:val="0"/>
                <w:spacing w:val="4"/>
                <w:sz w:val="21"/>
                <w:u w:val="single"/>
              </w:rPr>
            </w:pPr>
            <w:r>
              <w:rPr>
                <w:rFonts w:eastAsia="SimSun"/>
                <w:snapToGrid w:val="0"/>
                <w:spacing w:val="4"/>
                <w:sz w:val="21"/>
                <w:u w:val="single"/>
              </w:rPr>
              <w:t>1997</w:t>
            </w:r>
          </w:p>
        </w:tc>
        <w:tc>
          <w:tcPr>
            <w:tcW w:w="1446" w:type="dxa"/>
            <w:tcBorders>
              <w:bottom w:val="single" w:sz="4" w:space="0" w:color="auto"/>
            </w:tcBorders>
          </w:tcPr>
          <w:p w:rsidR="00000000" w:rsidRDefault="00000000">
            <w:pPr>
              <w:pStyle w:val="FootnoteText"/>
              <w:tabs>
                <w:tab w:val="left" w:pos="442"/>
              </w:tabs>
              <w:spacing w:before="120" w:line="240" w:lineRule="exact"/>
              <w:ind w:left="113" w:right="113" w:firstLine="0"/>
              <w:jc w:val="center"/>
              <w:rPr>
                <w:rFonts w:eastAsia="SimSun"/>
                <w:snapToGrid w:val="0"/>
                <w:spacing w:val="4"/>
                <w:sz w:val="21"/>
                <w:u w:val="single"/>
              </w:rPr>
            </w:pPr>
            <w:r>
              <w:rPr>
                <w:rFonts w:eastAsia="SimSun"/>
                <w:snapToGrid w:val="0"/>
                <w:spacing w:val="4"/>
                <w:sz w:val="21"/>
                <w:u w:val="single"/>
              </w:rPr>
              <w:t>1998</w:t>
            </w:r>
          </w:p>
        </w:tc>
        <w:tc>
          <w:tcPr>
            <w:tcW w:w="1446" w:type="dxa"/>
            <w:tcBorders>
              <w:bottom w:val="single" w:sz="4" w:space="0" w:color="auto"/>
            </w:tcBorders>
          </w:tcPr>
          <w:p w:rsidR="00000000" w:rsidRDefault="00000000">
            <w:pPr>
              <w:pStyle w:val="FootnoteText"/>
              <w:tabs>
                <w:tab w:val="left" w:pos="442"/>
              </w:tabs>
              <w:spacing w:before="120" w:line="240" w:lineRule="exact"/>
              <w:ind w:left="113" w:right="113" w:firstLine="0"/>
              <w:jc w:val="center"/>
              <w:rPr>
                <w:rFonts w:eastAsia="SimSun"/>
                <w:snapToGrid w:val="0"/>
                <w:spacing w:val="4"/>
                <w:sz w:val="21"/>
                <w:u w:val="single"/>
              </w:rPr>
            </w:pPr>
            <w:r>
              <w:rPr>
                <w:rFonts w:eastAsia="SimSun"/>
                <w:snapToGrid w:val="0"/>
                <w:spacing w:val="4"/>
                <w:sz w:val="21"/>
                <w:u w:val="single"/>
              </w:rPr>
              <w:t>1999</w:t>
            </w:r>
          </w:p>
        </w:tc>
      </w:tr>
      <w:tr w:rsidR="00000000">
        <w:tblPrEx>
          <w:tblCellMar>
            <w:top w:w="0" w:type="dxa"/>
            <w:bottom w:w="0" w:type="dxa"/>
          </w:tblCellMar>
        </w:tblPrEx>
        <w:tc>
          <w:tcPr>
            <w:tcW w:w="1985" w:type="dxa"/>
            <w:tcBorders>
              <w:bottom w:val="nil"/>
            </w:tcBorders>
          </w:tcPr>
          <w:p w:rsidR="00000000" w:rsidRDefault="00000000">
            <w:pPr>
              <w:tabs>
                <w:tab w:val="left" w:pos="442"/>
              </w:tabs>
              <w:spacing w:before="120" w:line="240" w:lineRule="exact"/>
              <w:ind w:left="113" w:right="113"/>
              <w:rPr>
                <w:rFonts w:hint="eastAsia"/>
                <w:spacing w:val="4"/>
                <w:sz w:val="21"/>
              </w:rPr>
            </w:pPr>
            <w:r>
              <w:rPr>
                <w:rFonts w:hint="eastAsia"/>
                <w:spacing w:val="4"/>
                <w:sz w:val="21"/>
              </w:rPr>
              <w:t>总人口</w:t>
            </w:r>
          </w:p>
        </w:tc>
        <w:tc>
          <w:tcPr>
            <w:tcW w:w="1445" w:type="dxa"/>
            <w:tcBorders>
              <w:bottom w:val="nil"/>
            </w:tcBorders>
          </w:tcPr>
          <w:p w:rsidR="00000000" w:rsidRDefault="00000000">
            <w:pPr>
              <w:tabs>
                <w:tab w:val="decimal" w:pos="667"/>
              </w:tabs>
              <w:spacing w:before="120" w:line="240" w:lineRule="exact"/>
              <w:ind w:left="113" w:right="113"/>
              <w:rPr>
                <w:spacing w:val="4"/>
                <w:sz w:val="21"/>
              </w:rPr>
            </w:pPr>
            <w:r>
              <w:rPr>
                <w:spacing w:val="4"/>
                <w:sz w:val="21"/>
              </w:rPr>
              <w:t>8.5</w:t>
            </w:r>
          </w:p>
        </w:tc>
        <w:tc>
          <w:tcPr>
            <w:tcW w:w="1446" w:type="dxa"/>
            <w:tcBorders>
              <w:bottom w:val="nil"/>
            </w:tcBorders>
          </w:tcPr>
          <w:p w:rsidR="00000000" w:rsidRDefault="00000000">
            <w:pPr>
              <w:tabs>
                <w:tab w:val="decimal" w:pos="667"/>
              </w:tabs>
              <w:spacing w:before="120" w:line="240" w:lineRule="exact"/>
              <w:ind w:left="113" w:right="113"/>
              <w:rPr>
                <w:spacing w:val="4"/>
                <w:sz w:val="21"/>
              </w:rPr>
            </w:pPr>
            <w:r>
              <w:rPr>
                <w:spacing w:val="4"/>
                <w:sz w:val="21"/>
              </w:rPr>
              <w:t>6.4</w:t>
            </w:r>
          </w:p>
        </w:tc>
        <w:tc>
          <w:tcPr>
            <w:tcW w:w="1446" w:type="dxa"/>
            <w:tcBorders>
              <w:bottom w:val="nil"/>
            </w:tcBorders>
          </w:tcPr>
          <w:p w:rsidR="00000000" w:rsidRDefault="00000000">
            <w:pPr>
              <w:tabs>
                <w:tab w:val="decimal" w:pos="667"/>
              </w:tabs>
              <w:spacing w:before="120" w:line="240" w:lineRule="exact"/>
              <w:ind w:left="113" w:right="113"/>
              <w:rPr>
                <w:spacing w:val="4"/>
                <w:sz w:val="21"/>
              </w:rPr>
            </w:pPr>
            <w:r>
              <w:rPr>
                <w:spacing w:val="4"/>
                <w:sz w:val="21"/>
              </w:rPr>
              <w:t>7.0</w:t>
            </w:r>
          </w:p>
        </w:tc>
        <w:tc>
          <w:tcPr>
            <w:tcW w:w="1446" w:type="dxa"/>
            <w:tcBorders>
              <w:bottom w:val="nil"/>
            </w:tcBorders>
          </w:tcPr>
          <w:p w:rsidR="00000000" w:rsidRDefault="00000000">
            <w:pPr>
              <w:tabs>
                <w:tab w:val="decimal" w:pos="667"/>
              </w:tabs>
              <w:spacing w:before="120" w:line="240" w:lineRule="exact"/>
              <w:ind w:left="113" w:right="113"/>
              <w:rPr>
                <w:spacing w:val="4"/>
                <w:sz w:val="21"/>
              </w:rPr>
            </w:pPr>
            <w:r>
              <w:rPr>
                <w:spacing w:val="4"/>
                <w:sz w:val="21"/>
              </w:rPr>
              <w:t>7.3</w:t>
            </w:r>
          </w:p>
        </w:tc>
        <w:tc>
          <w:tcPr>
            <w:tcW w:w="1446" w:type="dxa"/>
            <w:tcBorders>
              <w:bottom w:val="nil"/>
            </w:tcBorders>
          </w:tcPr>
          <w:p w:rsidR="00000000" w:rsidRDefault="00000000">
            <w:pPr>
              <w:tabs>
                <w:tab w:val="decimal" w:pos="667"/>
              </w:tabs>
              <w:spacing w:before="120" w:line="240" w:lineRule="exact"/>
              <w:ind w:left="113" w:right="113"/>
              <w:rPr>
                <w:spacing w:val="4"/>
                <w:sz w:val="21"/>
              </w:rPr>
            </w:pPr>
            <w:r>
              <w:rPr>
                <w:spacing w:val="4"/>
                <w:sz w:val="21"/>
              </w:rPr>
              <w:t>7.9</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line="240" w:lineRule="exact"/>
              <w:ind w:left="113" w:right="113"/>
              <w:rPr>
                <w:spacing w:val="4"/>
                <w:sz w:val="21"/>
              </w:rPr>
            </w:pPr>
            <w:r>
              <w:rPr>
                <w:rFonts w:hint="eastAsia"/>
                <w:spacing w:val="4"/>
                <w:sz w:val="21"/>
              </w:rPr>
              <w:t>其中：</w:t>
            </w:r>
          </w:p>
        </w:tc>
        <w:tc>
          <w:tcPr>
            <w:tcW w:w="1445" w:type="dxa"/>
            <w:tcBorders>
              <w:top w:val="nil"/>
              <w:bottom w:val="nil"/>
            </w:tcBorders>
          </w:tcPr>
          <w:p w:rsidR="00000000" w:rsidRDefault="00000000">
            <w:pPr>
              <w:tabs>
                <w:tab w:val="decimal" w:pos="667"/>
              </w:tabs>
              <w:spacing w:line="240" w:lineRule="exact"/>
              <w:ind w:left="113" w:right="113"/>
              <w:rPr>
                <w:spacing w:val="4"/>
                <w:sz w:val="21"/>
              </w:rPr>
            </w:pPr>
          </w:p>
        </w:tc>
        <w:tc>
          <w:tcPr>
            <w:tcW w:w="1446" w:type="dxa"/>
            <w:tcBorders>
              <w:top w:val="nil"/>
              <w:bottom w:val="nil"/>
            </w:tcBorders>
          </w:tcPr>
          <w:p w:rsidR="00000000" w:rsidRDefault="00000000">
            <w:pPr>
              <w:tabs>
                <w:tab w:val="decimal" w:pos="667"/>
              </w:tabs>
              <w:spacing w:line="240" w:lineRule="exact"/>
              <w:ind w:left="113" w:right="113"/>
              <w:rPr>
                <w:spacing w:val="4"/>
                <w:sz w:val="21"/>
              </w:rPr>
            </w:pPr>
          </w:p>
        </w:tc>
        <w:tc>
          <w:tcPr>
            <w:tcW w:w="1446" w:type="dxa"/>
            <w:tcBorders>
              <w:top w:val="nil"/>
              <w:bottom w:val="nil"/>
            </w:tcBorders>
          </w:tcPr>
          <w:p w:rsidR="00000000" w:rsidRDefault="00000000">
            <w:pPr>
              <w:tabs>
                <w:tab w:val="decimal" w:pos="667"/>
              </w:tabs>
              <w:spacing w:line="240" w:lineRule="exact"/>
              <w:ind w:left="113" w:right="113"/>
              <w:rPr>
                <w:spacing w:val="4"/>
                <w:sz w:val="21"/>
              </w:rPr>
            </w:pPr>
          </w:p>
        </w:tc>
        <w:tc>
          <w:tcPr>
            <w:tcW w:w="1446" w:type="dxa"/>
            <w:tcBorders>
              <w:top w:val="nil"/>
              <w:bottom w:val="nil"/>
            </w:tcBorders>
          </w:tcPr>
          <w:p w:rsidR="00000000" w:rsidRDefault="00000000">
            <w:pPr>
              <w:tabs>
                <w:tab w:val="decimal" w:pos="667"/>
              </w:tabs>
              <w:spacing w:line="240" w:lineRule="exact"/>
              <w:ind w:left="113" w:right="113"/>
              <w:rPr>
                <w:spacing w:val="4"/>
                <w:sz w:val="21"/>
              </w:rPr>
            </w:pPr>
          </w:p>
        </w:tc>
        <w:tc>
          <w:tcPr>
            <w:tcW w:w="1446" w:type="dxa"/>
            <w:tcBorders>
              <w:top w:val="nil"/>
              <w:bottom w:val="nil"/>
            </w:tcBorders>
          </w:tcPr>
          <w:p w:rsidR="00000000" w:rsidRDefault="00000000">
            <w:pPr>
              <w:tabs>
                <w:tab w:val="decimal" w:pos="667"/>
              </w:tabs>
              <w:spacing w:line="240" w:lineRule="exact"/>
              <w:ind w:left="113" w:right="113"/>
              <w:rPr>
                <w:spacing w:val="4"/>
                <w:sz w:val="21"/>
              </w:rPr>
            </w:pP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0-4</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4.1</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3.5</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3.5</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3.1</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3.2</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5-9</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0.3</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0.2</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0.2</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0.2</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0.2</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10-14</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0.3</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0.1</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0.1</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0.2</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0.2</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15-19</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0.6</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0.3</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0.3</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0.4</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0.4</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20-24</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1.0</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0.6</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0.6</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0.7</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0.6</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25-29</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1.3</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0.9</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0.9</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0.9</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0.9</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30-34</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1.6</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1.2</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1.3</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1.2</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1.2</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35-39</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2.2</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1.7</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1.9</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1.8</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1.8</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40-44</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3.2</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2.6</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2.5</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2.6</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2.6</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45-49</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5.0</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3.4</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3.4</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3.5</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3.6</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50-54</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7.4</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5.5</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4.9</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5.2</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5.3</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55-59</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11.0</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7.9</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7.6</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7.3</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7.1</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60-64</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17.1</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11.7</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13.1</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12.8</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13.7</w:t>
            </w:r>
          </w:p>
        </w:tc>
      </w:tr>
      <w:tr w:rsidR="00000000">
        <w:tblPrEx>
          <w:tblCellMar>
            <w:top w:w="0" w:type="dxa"/>
            <w:bottom w:w="0" w:type="dxa"/>
          </w:tblCellMar>
        </w:tblPrEx>
        <w:tc>
          <w:tcPr>
            <w:tcW w:w="1985" w:type="dxa"/>
            <w:tcBorders>
              <w:top w:val="nil"/>
              <w:bottom w:val="nil"/>
            </w:tcBorders>
          </w:tcPr>
          <w:p w:rsidR="00000000" w:rsidRDefault="00000000">
            <w:pPr>
              <w:tabs>
                <w:tab w:val="left" w:pos="442"/>
              </w:tabs>
              <w:spacing w:before="60" w:after="120" w:line="240" w:lineRule="exact"/>
              <w:ind w:left="113" w:right="113"/>
              <w:jc w:val="center"/>
              <w:rPr>
                <w:spacing w:val="4"/>
                <w:sz w:val="21"/>
              </w:rPr>
            </w:pPr>
            <w:r>
              <w:rPr>
                <w:spacing w:val="4"/>
                <w:sz w:val="21"/>
              </w:rPr>
              <w:t>65-69</w:t>
            </w:r>
          </w:p>
        </w:tc>
        <w:tc>
          <w:tcPr>
            <w:tcW w:w="1445"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24.6</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17.9</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19.5</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20.9</w:t>
            </w:r>
          </w:p>
        </w:tc>
        <w:tc>
          <w:tcPr>
            <w:tcW w:w="1446" w:type="dxa"/>
            <w:tcBorders>
              <w:top w:val="nil"/>
              <w:bottom w:val="nil"/>
            </w:tcBorders>
          </w:tcPr>
          <w:p w:rsidR="00000000" w:rsidRDefault="00000000">
            <w:pPr>
              <w:tabs>
                <w:tab w:val="decimal" w:pos="667"/>
              </w:tabs>
              <w:spacing w:after="120" w:line="240" w:lineRule="exact"/>
              <w:ind w:left="113" w:right="113"/>
              <w:rPr>
                <w:spacing w:val="4"/>
                <w:sz w:val="21"/>
              </w:rPr>
            </w:pPr>
            <w:r>
              <w:rPr>
                <w:spacing w:val="4"/>
                <w:sz w:val="21"/>
              </w:rPr>
              <w:t>22.0</w:t>
            </w:r>
          </w:p>
        </w:tc>
      </w:tr>
      <w:tr w:rsidR="00000000">
        <w:tblPrEx>
          <w:tblCellMar>
            <w:top w:w="0" w:type="dxa"/>
            <w:bottom w:w="0" w:type="dxa"/>
          </w:tblCellMar>
        </w:tblPrEx>
        <w:tc>
          <w:tcPr>
            <w:tcW w:w="1985" w:type="dxa"/>
            <w:tcBorders>
              <w:top w:val="nil"/>
            </w:tcBorders>
          </w:tcPr>
          <w:p w:rsidR="00000000" w:rsidRDefault="00000000">
            <w:pPr>
              <w:tabs>
                <w:tab w:val="left" w:pos="442"/>
              </w:tabs>
              <w:spacing w:before="60" w:after="120" w:line="240" w:lineRule="exact"/>
              <w:ind w:left="113" w:right="113"/>
              <w:jc w:val="center"/>
              <w:rPr>
                <w:spacing w:val="4"/>
                <w:sz w:val="21"/>
              </w:rPr>
            </w:pPr>
            <w:r>
              <w:rPr>
                <w:spacing w:val="4"/>
                <w:sz w:val="21"/>
              </w:rPr>
              <w:t xml:space="preserve">   70+</w:t>
            </w:r>
          </w:p>
        </w:tc>
        <w:tc>
          <w:tcPr>
            <w:tcW w:w="1445" w:type="dxa"/>
            <w:tcBorders>
              <w:top w:val="nil"/>
            </w:tcBorders>
          </w:tcPr>
          <w:p w:rsidR="00000000" w:rsidRDefault="00000000">
            <w:pPr>
              <w:tabs>
                <w:tab w:val="decimal" w:pos="667"/>
              </w:tabs>
              <w:spacing w:after="120" w:line="240" w:lineRule="exact"/>
              <w:ind w:left="113" w:right="113"/>
              <w:rPr>
                <w:spacing w:val="4"/>
                <w:sz w:val="21"/>
              </w:rPr>
            </w:pPr>
            <w:r>
              <w:rPr>
                <w:spacing w:val="4"/>
                <w:sz w:val="21"/>
              </w:rPr>
              <w:t>72.6</w:t>
            </w:r>
          </w:p>
        </w:tc>
        <w:tc>
          <w:tcPr>
            <w:tcW w:w="1446" w:type="dxa"/>
            <w:tcBorders>
              <w:top w:val="nil"/>
            </w:tcBorders>
          </w:tcPr>
          <w:p w:rsidR="00000000" w:rsidRDefault="00000000">
            <w:pPr>
              <w:tabs>
                <w:tab w:val="decimal" w:pos="667"/>
              </w:tabs>
              <w:spacing w:after="120" w:line="240" w:lineRule="exact"/>
              <w:ind w:left="113" w:right="113"/>
              <w:rPr>
                <w:spacing w:val="4"/>
                <w:sz w:val="21"/>
              </w:rPr>
            </w:pPr>
            <w:r>
              <w:rPr>
                <w:spacing w:val="4"/>
                <w:sz w:val="21"/>
              </w:rPr>
              <w:t>45.0</w:t>
            </w:r>
          </w:p>
        </w:tc>
        <w:tc>
          <w:tcPr>
            <w:tcW w:w="1446" w:type="dxa"/>
            <w:tcBorders>
              <w:top w:val="nil"/>
            </w:tcBorders>
          </w:tcPr>
          <w:p w:rsidR="00000000" w:rsidRDefault="00000000">
            <w:pPr>
              <w:tabs>
                <w:tab w:val="decimal" w:pos="667"/>
              </w:tabs>
              <w:spacing w:after="120" w:line="240" w:lineRule="exact"/>
              <w:ind w:left="113" w:right="113"/>
              <w:rPr>
                <w:spacing w:val="4"/>
                <w:sz w:val="21"/>
              </w:rPr>
            </w:pPr>
            <w:r>
              <w:rPr>
                <w:spacing w:val="4"/>
                <w:sz w:val="21"/>
              </w:rPr>
              <w:t>68.0</w:t>
            </w:r>
          </w:p>
        </w:tc>
        <w:tc>
          <w:tcPr>
            <w:tcW w:w="1446" w:type="dxa"/>
            <w:tcBorders>
              <w:top w:val="nil"/>
            </w:tcBorders>
          </w:tcPr>
          <w:p w:rsidR="00000000" w:rsidRDefault="00000000">
            <w:pPr>
              <w:tabs>
                <w:tab w:val="decimal" w:pos="667"/>
              </w:tabs>
              <w:spacing w:after="120" w:line="240" w:lineRule="exact"/>
              <w:ind w:left="113" w:right="113"/>
              <w:rPr>
                <w:spacing w:val="4"/>
                <w:sz w:val="21"/>
              </w:rPr>
            </w:pPr>
            <w:r>
              <w:rPr>
                <w:spacing w:val="4"/>
                <w:sz w:val="21"/>
              </w:rPr>
              <w:t>48.1</w:t>
            </w:r>
          </w:p>
        </w:tc>
        <w:tc>
          <w:tcPr>
            <w:tcW w:w="1446" w:type="dxa"/>
            <w:tcBorders>
              <w:top w:val="nil"/>
            </w:tcBorders>
          </w:tcPr>
          <w:p w:rsidR="00000000" w:rsidRDefault="00000000">
            <w:pPr>
              <w:tabs>
                <w:tab w:val="decimal" w:pos="667"/>
              </w:tabs>
              <w:spacing w:after="120" w:line="240" w:lineRule="exact"/>
              <w:ind w:left="113" w:right="113"/>
              <w:rPr>
                <w:spacing w:val="4"/>
                <w:sz w:val="21"/>
              </w:rPr>
            </w:pPr>
            <w:r>
              <w:rPr>
                <w:spacing w:val="4"/>
                <w:sz w:val="21"/>
              </w:rPr>
              <w:t>52.4</w:t>
            </w:r>
          </w:p>
        </w:tc>
      </w:tr>
    </w:tbl>
    <w:p w:rsidR="00000000" w:rsidRDefault="00000000">
      <w:pPr>
        <w:pStyle w:val="FootnoteText"/>
        <w:spacing w:before="160"/>
        <w:rPr>
          <w:rFonts w:hint="eastAsia"/>
        </w:rPr>
      </w:pPr>
      <w:r>
        <w:rPr>
          <w:rFonts w:hint="eastAsia"/>
          <w:u w:val="single"/>
        </w:rPr>
        <w:t>资料来源</w:t>
      </w:r>
      <w:r>
        <w:rPr>
          <w:rFonts w:hint="eastAsia"/>
        </w:rPr>
        <w:t>：国家统计局发表的《格鲁吉亚统计年鉴</w:t>
      </w:r>
      <w:r>
        <w:rPr>
          <w:rFonts w:hint="eastAsia"/>
        </w:rPr>
        <w:t>(2000</w:t>
      </w:r>
      <w:r>
        <w:rPr>
          <w:rFonts w:hint="eastAsia"/>
        </w:rPr>
        <w:t>年</w:t>
      </w:r>
      <w:r>
        <w:rPr>
          <w:rFonts w:hint="eastAsia"/>
        </w:rPr>
        <w:t>)</w:t>
      </w:r>
      <w:r>
        <w:rPr>
          <w:rFonts w:hint="eastAsia"/>
        </w:rPr>
        <w:t>》。</w:t>
      </w:r>
    </w:p>
    <w:p w:rsidR="00000000" w:rsidRDefault="00000000">
      <w:pPr>
        <w:pStyle w:val="Heading3"/>
        <w:rPr>
          <w:rFonts w:hint="eastAsia"/>
        </w:rPr>
      </w:pPr>
      <w:r>
        <w:rPr>
          <w:rFonts w:hint="eastAsia"/>
        </w:rPr>
        <w:t>主要类型疾病发病率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10"/>
        <w:gridCol w:w="1149"/>
        <w:gridCol w:w="1149"/>
        <w:gridCol w:w="1149"/>
        <w:gridCol w:w="1149"/>
        <w:gridCol w:w="1149"/>
      </w:tblGrid>
      <w:tr w:rsidR="00000000">
        <w:tblPrEx>
          <w:tblCellMar>
            <w:top w:w="0" w:type="dxa"/>
            <w:bottom w:w="0" w:type="dxa"/>
          </w:tblCellMar>
        </w:tblPrEx>
        <w:trPr>
          <w:tblHeader/>
        </w:trPr>
        <w:tc>
          <w:tcPr>
            <w:tcW w:w="3610" w:type="dxa"/>
            <w:tcBorders>
              <w:bottom w:val="single" w:sz="4" w:space="0" w:color="auto"/>
            </w:tcBorders>
          </w:tcPr>
          <w:p w:rsidR="00000000" w:rsidRDefault="00000000">
            <w:pPr>
              <w:tabs>
                <w:tab w:val="left" w:pos="442"/>
              </w:tabs>
              <w:spacing w:before="60" w:line="240" w:lineRule="atLeast"/>
              <w:rPr>
                <w:spacing w:val="4"/>
                <w:sz w:val="21"/>
                <w:u w:val="single"/>
              </w:rPr>
            </w:pPr>
          </w:p>
        </w:tc>
        <w:tc>
          <w:tcPr>
            <w:tcW w:w="1149" w:type="dxa"/>
            <w:tcBorders>
              <w:bottom w:val="single" w:sz="4" w:space="0" w:color="auto"/>
            </w:tcBorders>
          </w:tcPr>
          <w:p w:rsidR="00000000" w:rsidRDefault="00000000">
            <w:pPr>
              <w:tabs>
                <w:tab w:val="left" w:pos="442"/>
              </w:tabs>
              <w:spacing w:before="60" w:after="120" w:line="240" w:lineRule="atLeast"/>
              <w:jc w:val="center"/>
              <w:rPr>
                <w:spacing w:val="4"/>
                <w:sz w:val="21"/>
                <w:u w:val="single"/>
              </w:rPr>
            </w:pPr>
            <w:r>
              <w:rPr>
                <w:spacing w:val="4"/>
                <w:sz w:val="21"/>
                <w:u w:val="single"/>
              </w:rPr>
              <w:t>1995</w:t>
            </w:r>
          </w:p>
        </w:tc>
        <w:tc>
          <w:tcPr>
            <w:tcW w:w="1149" w:type="dxa"/>
            <w:tcBorders>
              <w:bottom w:val="single" w:sz="4" w:space="0" w:color="auto"/>
            </w:tcBorders>
          </w:tcPr>
          <w:p w:rsidR="00000000" w:rsidRDefault="00000000">
            <w:pPr>
              <w:tabs>
                <w:tab w:val="left" w:pos="442"/>
              </w:tabs>
              <w:spacing w:before="60" w:after="120" w:line="240" w:lineRule="atLeast"/>
              <w:jc w:val="center"/>
              <w:rPr>
                <w:spacing w:val="4"/>
                <w:sz w:val="21"/>
                <w:u w:val="single"/>
              </w:rPr>
            </w:pPr>
            <w:r>
              <w:rPr>
                <w:spacing w:val="4"/>
                <w:sz w:val="21"/>
                <w:u w:val="single"/>
              </w:rPr>
              <w:t>1996</w:t>
            </w:r>
          </w:p>
        </w:tc>
        <w:tc>
          <w:tcPr>
            <w:tcW w:w="1149" w:type="dxa"/>
            <w:tcBorders>
              <w:bottom w:val="single" w:sz="4" w:space="0" w:color="auto"/>
            </w:tcBorders>
          </w:tcPr>
          <w:p w:rsidR="00000000" w:rsidRDefault="00000000">
            <w:pPr>
              <w:tabs>
                <w:tab w:val="left" w:pos="442"/>
              </w:tabs>
              <w:spacing w:before="60" w:after="120" w:line="240" w:lineRule="atLeast"/>
              <w:jc w:val="center"/>
              <w:rPr>
                <w:spacing w:val="4"/>
                <w:sz w:val="21"/>
                <w:u w:val="single"/>
              </w:rPr>
            </w:pPr>
            <w:r>
              <w:rPr>
                <w:spacing w:val="4"/>
                <w:sz w:val="21"/>
                <w:u w:val="single"/>
              </w:rPr>
              <w:t>1997</w:t>
            </w:r>
          </w:p>
        </w:tc>
        <w:tc>
          <w:tcPr>
            <w:tcW w:w="1149" w:type="dxa"/>
            <w:tcBorders>
              <w:bottom w:val="single" w:sz="4" w:space="0" w:color="auto"/>
            </w:tcBorders>
          </w:tcPr>
          <w:p w:rsidR="00000000" w:rsidRDefault="00000000">
            <w:pPr>
              <w:tabs>
                <w:tab w:val="left" w:pos="442"/>
              </w:tabs>
              <w:spacing w:before="60" w:after="120" w:line="240" w:lineRule="atLeast"/>
              <w:jc w:val="center"/>
              <w:rPr>
                <w:spacing w:val="4"/>
                <w:sz w:val="21"/>
                <w:u w:val="single"/>
              </w:rPr>
            </w:pPr>
            <w:r>
              <w:rPr>
                <w:spacing w:val="4"/>
                <w:sz w:val="21"/>
                <w:u w:val="single"/>
              </w:rPr>
              <w:t>1998</w:t>
            </w:r>
          </w:p>
        </w:tc>
        <w:tc>
          <w:tcPr>
            <w:tcW w:w="1149" w:type="dxa"/>
            <w:tcBorders>
              <w:bottom w:val="single" w:sz="4" w:space="0" w:color="auto"/>
            </w:tcBorders>
          </w:tcPr>
          <w:p w:rsidR="00000000" w:rsidRDefault="00000000">
            <w:pPr>
              <w:tabs>
                <w:tab w:val="left" w:pos="442"/>
              </w:tabs>
              <w:spacing w:before="60" w:after="120" w:line="240" w:lineRule="atLeast"/>
              <w:jc w:val="center"/>
              <w:rPr>
                <w:spacing w:val="4"/>
                <w:sz w:val="21"/>
                <w:u w:val="single"/>
              </w:rPr>
            </w:pPr>
            <w:r>
              <w:rPr>
                <w:spacing w:val="4"/>
                <w:sz w:val="21"/>
                <w:u w:val="single"/>
              </w:rPr>
              <w:t>1999</w:t>
            </w:r>
          </w:p>
        </w:tc>
      </w:tr>
      <w:tr w:rsidR="00000000">
        <w:tblPrEx>
          <w:tblCellMar>
            <w:top w:w="0" w:type="dxa"/>
            <w:bottom w:w="0" w:type="dxa"/>
          </w:tblCellMar>
        </w:tblPrEx>
        <w:tc>
          <w:tcPr>
            <w:tcW w:w="3610" w:type="dxa"/>
            <w:tcBorders>
              <w:bottom w:val="nil"/>
            </w:tcBorders>
          </w:tcPr>
          <w:p w:rsidR="00000000" w:rsidRDefault="00000000">
            <w:pPr>
              <w:tabs>
                <w:tab w:val="left" w:pos="442"/>
              </w:tabs>
              <w:spacing w:before="120" w:after="120" w:line="240" w:lineRule="atLeast"/>
              <w:rPr>
                <w:spacing w:val="4"/>
                <w:sz w:val="21"/>
              </w:rPr>
            </w:pPr>
            <w:r>
              <w:rPr>
                <w:rFonts w:hint="eastAsia"/>
                <w:spacing w:val="4"/>
                <w:sz w:val="21"/>
              </w:rPr>
              <w:t>发病率</w:t>
            </w:r>
            <w:r>
              <w:rPr>
                <w:spacing w:val="4"/>
                <w:sz w:val="21"/>
              </w:rPr>
              <w:t xml:space="preserve"> (</w:t>
            </w:r>
            <w:r>
              <w:rPr>
                <w:rFonts w:hint="eastAsia"/>
                <w:spacing w:val="4"/>
                <w:sz w:val="21"/>
              </w:rPr>
              <w:t>第一次诊断</w:t>
            </w:r>
            <w:r>
              <w:rPr>
                <w:spacing w:val="4"/>
                <w:sz w:val="21"/>
              </w:rPr>
              <w:t>) (</w:t>
            </w:r>
            <w:r>
              <w:rPr>
                <w:rFonts w:hint="eastAsia"/>
                <w:spacing w:val="4"/>
                <w:sz w:val="21"/>
              </w:rPr>
              <w:t>千病率</w:t>
            </w:r>
            <w:r>
              <w:rPr>
                <w:spacing w:val="4"/>
                <w:sz w:val="21"/>
              </w:rPr>
              <w:t>)</w:t>
            </w:r>
          </w:p>
        </w:tc>
        <w:tc>
          <w:tcPr>
            <w:tcW w:w="1149" w:type="dxa"/>
            <w:tcBorders>
              <w:bottom w:val="nil"/>
            </w:tcBorders>
          </w:tcPr>
          <w:p w:rsidR="00000000" w:rsidRDefault="00000000">
            <w:pPr>
              <w:tabs>
                <w:tab w:val="decimal" w:pos="482"/>
              </w:tabs>
              <w:spacing w:before="60" w:after="120" w:line="240" w:lineRule="atLeast"/>
              <w:rPr>
                <w:spacing w:val="4"/>
                <w:sz w:val="21"/>
              </w:rPr>
            </w:pPr>
            <w:r>
              <w:rPr>
                <w:spacing w:val="4"/>
                <w:sz w:val="21"/>
              </w:rPr>
              <w:t>778.5</w:t>
            </w:r>
          </w:p>
        </w:tc>
        <w:tc>
          <w:tcPr>
            <w:tcW w:w="1149" w:type="dxa"/>
            <w:tcBorders>
              <w:bottom w:val="nil"/>
            </w:tcBorders>
          </w:tcPr>
          <w:p w:rsidR="00000000" w:rsidRDefault="00000000">
            <w:pPr>
              <w:tabs>
                <w:tab w:val="decimal" w:pos="482"/>
              </w:tabs>
              <w:spacing w:before="60" w:after="120" w:line="240" w:lineRule="atLeast"/>
              <w:rPr>
                <w:spacing w:val="4"/>
                <w:sz w:val="21"/>
              </w:rPr>
            </w:pPr>
            <w:r>
              <w:rPr>
                <w:spacing w:val="4"/>
                <w:sz w:val="21"/>
              </w:rPr>
              <w:t>401.5</w:t>
            </w:r>
          </w:p>
        </w:tc>
        <w:tc>
          <w:tcPr>
            <w:tcW w:w="1149" w:type="dxa"/>
            <w:tcBorders>
              <w:bottom w:val="nil"/>
            </w:tcBorders>
          </w:tcPr>
          <w:p w:rsidR="00000000" w:rsidRDefault="00000000">
            <w:pPr>
              <w:tabs>
                <w:tab w:val="decimal" w:pos="482"/>
              </w:tabs>
              <w:spacing w:before="60" w:after="120" w:line="240" w:lineRule="atLeast"/>
              <w:rPr>
                <w:spacing w:val="4"/>
                <w:sz w:val="21"/>
              </w:rPr>
            </w:pPr>
            <w:r>
              <w:rPr>
                <w:spacing w:val="4"/>
                <w:sz w:val="21"/>
              </w:rPr>
              <w:t>366.6</w:t>
            </w:r>
          </w:p>
        </w:tc>
        <w:tc>
          <w:tcPr>
            <w:tcW w:w="1149" w:type="dxa"/>
            <w:tcBorders>
              <w:bottom w:val="nil"/>
            </w:tcBorders>
          </w:tcPr>
          <w:p w:rsidR="00000000" w:rsidRDefault="00000000">
            <w:pPr>
              <w:tabs>
                <w:tab w:val="decimal" w:pos="482"/>
              </w:tabs>
              <w:spacing w:before="60" w:after="120" w:line="240" w:lineRule="atLeast"/>
              <w:rPr>
                <w:spacing w:val="4"/>
                <w:sz w:val="21"/>
              </w:rPr>
            </w:pPr>
            <w:r>
              <w:rPr>
                <w:spacing w:val="4"/>
                <w:sz w:val="21"/>
              </w:rPr>
              <w:t>433.7</w:t>
            </w:r>
          </w:p>
        </w:tc>
        <w:tc>
          <w:tcPr>
            <w:tcW w:w="1149" w:type="dxa"/>
            <w:tcBorders>
              <w:bottom w:val="nil"/>
            </w:tcBorders>
          </w:tcPr>
          <w:p w:rsidR="00000000" w:rsidRDefault="00000000">
            <w:pPr>
              <w:tabs>
                <w:tab w:val="decimal" w:pos="482"/>
              </w:tabs>
              <w:spacing w:before="60" w:after="120" w:line="240" w:lineRule="atLeast"/>
              <w:rPr>
                <w:spacing w:val="4"/>
                <w:sz w:val="21"/>
              </w:rPr>
            </w:pPr>
            <w:r>
              <w:rPr>
                <w:spacing w:val="4"/>
                <w:sz w:val="21"/>
              </w:rPr>
              <w:t>440.1</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spacing w:val="4"/>
                <w:sz w:val="21"/>
              </w:rPr>
            </w:pPr>
            <w:r>
              <w:rPr>
                <w:rFonts w:hint="eastAsia"/>
                <w:spacing w:val="4"/>
                <w:sz w:val="21"/>
              </w:rPr>
              <w:t>其中</w:t>
            </w:r>
            <w:r>
              <w:rPr>
                <w:spacing w:val="4"/>
                <w:sz w:val="21"/>
              </w:rPr>
              <w:t>：</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p>
        </w:tc>
        <w:tc>
          <w:tcPr>
            <w:tcW w:w="1149" w:type="dxa"/>
            <w:tcBorders>
              <w:top w:val="nil"/>
              <w:bottom w:val="nil"/>
            </w:tcBorders>
          </w:tcPr>
          <w:p w:rsidR="00000000" w:rsidRDefault="00000000">
            <w:pPr>
              <w:tabs>
                <w:tab w:val="decimal" w:pos="482"/>
              </w:tabs>
              <w:spacing w:before="60" w:after="120" w:line="240" w:lineRule="atLeast"/>
              <w:rPr>
                <w:spacing w:val="4"/>
                <w:sz w:val="21"/>
              </w:rPr>
            </w:pPr>
          </w:p>
        </w:tc>
        <w:tc>
          <w:tcPr>
            <w:tcW w:w="1149" w:type="dxa"/>
            <w:tcBorders>
              <w:top w:val="nil"/>
              <w:bottom w:val="nil"/>
            </w:tcBorders>
          </w:tcPr>
          <w:p w:rsidR="00000000" w:rsidRDefault="00000000">
            <w:pPr>
              <w:tabs>
                <w:tab w:val="decimal" w:pos="482"/>
              </w:tabs>
              <w:spacing w:before="60" w:after="120" w:line="240" w:lineRule="atLeast"/>
              <w:rPr>
                <w:spacing w:val="4"/>
                <w:sz w:val="21"/>
              </w:rPr>
            </w:pPr>
          </w:p>
        </w:tc>
        <w:tc>
          <w:tcPr>
            <w:tcW w:w="1149" w:type="dxa"/>
            <w:tcBorders>
              <w:top w:val="nil"/>
              <w:bottom w:val="nil"/>
            </w:tcBorders>
          </w:tcPr>
          <w:p w:rsidR="00000000" w:rsidRDefault="00000000">
            <w:pPr>
              <w:tabs>
                <w:tab w:val="decimal" w:pos="482"/>
              </w:tabs>
              <w:spacing w:before="60" w:after="120" w:line="240" w:lineRule="atLeast"/>
              <w:rPr>
                <w:spacing w:val="4"/>
                <w:sz w:val="21"/>
              </w:rPr>
            </w:pPr>
          </w:p>
        </w:tc>
        <w:tc>
          <w:tcPr>
            <w:tcW w:w="1149" w:type="dxa"/>
            <w:tcBorders>
              <w:top w:val="nil"/>
              <w:bottom w:val="nil"/>
            </w:tcBorders>
          </w:tcPr>
          <w:p w:rsidR="00000000" w:rsidRDefault="00000000">
            <w:pPr>
              <w:tabs>
                <w:tab w:val="decimal" w:pos="482"/>
              </w:tabs>
              <w:spacing w:before="60" w:after="120" w:line="240" w:lineRule="atLeast"/>
              <w:rPr>
                <w:spacing w:val="4"/>
                <w:sz w:val="21"/>
              </w:rPr>
            </w:pP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传染病和寄生虫病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19.4</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35.5</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38.1</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37.6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33.0</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肿瘤</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3.2</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3.8</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4.2</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5.6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6.2</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内分泌疾病、新陈代谢紊乱</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9.3</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14.8</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25.4</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42.6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33.9</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血液和造血器官疾病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3.5</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5.0</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4.8</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6.0</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6.7</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精神病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2.9</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3.1</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4.2</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6.9</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6.5</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神经系统和感觉器官疾病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19.3</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19.2</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23.7</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33.3</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36.0</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循环系统疾病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23.6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17.1</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27.0</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51.6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47.4</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呼吸器官疾病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172.5</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160.3</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122.7</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130.4</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151.8</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消化系统疾病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128.3</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79.8</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52.6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44.5</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41.4</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泌尿生殖系统疾病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15.5</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15.6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15.7</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18.1</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24.4</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怀孕、分娩和产后期并发症</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2.2</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2.7</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4.1</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4.1</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5.2</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皮肤和皮下细胞组织疾病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27.5</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15.6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14.4</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18.8</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15.1</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肌骨骼系统和连接组织疾病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4.4</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5.0</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7.4</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7.9</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先天缺损</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0.6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0.7</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1.1</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1.7</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1.5</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特定产期疾病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0.2</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0.7</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1.4</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2.6</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3.1</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症状、征兆和难以确定的疾病</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0.7</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1.1</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0.4</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1.7</w:t>
            </w:r>
          </w:p>
        </w:tc>
        <w:tc>
          <w:tcPr>
            <w:tcW w:w="1149" w:type="dxa"/>
            <w:tcBorders>
              <w:top w:val="nil"/>
              <w:bottom w:val="nil"/>
            </w:tcBorders>
          </w:tcPr>
          <w:p w:rsidR="00000000" w:rsidRDefault="00000000">
            <w:pPr>
              <w:tabs>
                <w:tab w:val="decimal" w:pos="482"/>
              </w:tabs>
              <w:spacing w:before="60" w:after="120" w:line="240" w:lineRule="atLeast"/>
              <w:rPr>
                <w:spacing w:val="4"/>
                <w:sz w:val="21"/>
              </w:rPr>
            </w:pPr>
            <w:r>
              <w:rPr>
                <w:spacing w:val="4"/>
                <w:sz w:val="21"/>
              </w:rPr>
              <w:t>1.3</w:t>
            </w:r>
          </w:p>
        </w:tc>
      </w:tr>
      <w:tr w:rsidR="00000000">
        <w:tblPrEx>
          <w:tblCellMar>
            <w:top w:w="0" w:type="dxa"/>
            <w:bottom w:w="0" w:type="dxa"/>
          </w:tblCellMar>
        </w:tblPrEx>
        <w:tc>
          <w:tcPr>
            <w:tcW w:w="3610" w:type="dxa"/>
            <w:tcBorders>
              <w:top w:val="nil"/>
            </w:tcBorders>
          </w:tcPr>
          <w:p w:rsidR="00000000" w:rsidRDefault="00000000">
            <w:pPr>
              <w:tabs>
                <w:tab w:val="left" w:pos="442"/>
              </w:tabs>
              <w:spacing w:before="60" w:after="120" w:line="240" w:lineRule="atLeast"/>
              <w:rPr>
                <w:rFonts w:hint="eastAsia"/>
                <w:spacing w:val="4"/>
                <w:sz w:val="21"/>
              </w:rPr>
            </w:pPr>
            <w:r>
              <w:rPr>
                <w:rFonts w:hint="eastAsia"/>
                <w:spacing w:val="4"/>
                <w:sz w:val="21"/>
              </w:rPr>
              <w:t>受伤、中毒</w:t>
            </w:r>
          </w:p>
        </w:tc>
        <w:tc>
          <w:tcPr>
            <w:tcW w:w="1149" w:type="dxa"/>
            <w:tcBorders>
              <w:top w:val="nil"/>
            </w:tcBorders>
          </w:tcPr>
          <w:p w:rsidR="00000000" w:rsidRDefault="00000000">
            <w:pPr>
              <w:tabs>
                <w:tab w:val="decimal" w:pos="482"/>
              </w:tabs>
              <w:spacing w:before="60" w:after="120" w:line="240" w:lineRule="atLeast"/>
              <w:rPr>
                <w:spacing w:val="4"/>
                <w:sz w:val="21"/>
              </w:rPr>
            </w:pPr>
            <w:r>
              <w:rPr>
                <w:spacing w:val="4"/>
                <w:sz w:val="21"/>
              </w:rPr>
              <w:t>45.4</w:t>
            </w:r>
          </w:p>
        </w:tc>
        <w:tc>
          <w:tcPr>
            <w:tcW w:w="1149" w:type="dxa"/>
            <w:tcBorders>
              <w:top w:val="nil"/>
            </w:tcBorders>
          </w:tcPr>
          <w:p w:rsidR="00000000" w:rsidRDefault="00000000">
            <w:pPr>
              <w:tabs>
                <w:tab w:val="decimal" w:pos="482"/>
              </w:tabs>
              <w:spacing w:before="60" w:after="120" w:line="240" w:lineRule="atLeast"/>
              <w:rPr>
                <w:spacing w:val="4"/>
                <w:sz w:val="21"/>
              </w:rPr>
            </w:pPr>
            <w:r>
              <w:rPr>
                <w:spacing w:val="4"/>
                <w:sz w:val="21"/>
              </w:rPr>
              <w:t>22.9</w:t>
            </w:r>
          </w:p>
        </w:tc>
        <w:tc>
          <w:tcPr>
            <w:tcW w:w="1149" w:type="dxa"/>
            <w:tcBorders>
              <w:top w:val="nil"/>
            </w:tcBorders>
          </w:tcPr>
          <w:p w:rsidR="00000000" w:rsidRDefault="00000000">
            <w:pPr>
              <w:tabs>
                <w:tab w:val="decimal" w:pos="482"/>
              </w:tabs>
              <w:spacing w:before="60" w:after="120" w:line="240" w:lineRule="atLeast"/>
              <w:rPr>
                <w:spacing w:val="4"/>
                <w:sz w:val="21"/>
              </w:rPr>
            </w:pPr>
            <w:r>
              <w:rPr>
                <w:spacing w:val="4"/>
                <w:sz w:val="21"/>
              </w:rPr>
              <w:t>21.8</w:t>
            </w:r>
          </w:p>
        </w:tc>
        <w:tc>
          <w:tcPr>
            <w:tcW w:w="1149" w:type="dxa"/>
            <w:tcBorders>
              <w:top w:val="nil"/>
            </w:tcBorders>
          </w:tcPr>
          <w:p w:rsidR="00000000" w:rsidRDefault="00000000">
            <w:pPr>
              <w:tabs>
                <w:tab w:val="decimal" w:pos="482"/>
              </w:tabs>
              <w:spacing w:before="60" w:after="120" w:line="240" w:lineRule="atLeast"/>
              <w:rPr>
                <w:spacing w:val="4"/>
                <w:sz w:val="21"/>
              </w:rPr>
            </w:pPr>
            <w:r>
              <w:rPr>
                <w:spacing w:val="4"/>
                <w:sz w:val="21"/>
              </w:rPr>
              <w:t>20.8</w:t>
            </w:r>
          </w:p>
        </w:tc>
        <w:tc>
          <w:tcPr>
            <w:tcW w:w="1149" w:type="dxa"/>
            <w:tcBorders>
              <w:top w:val="nil"/>
            </w:tcBorders>
          </w:tcPr>
          <w:p w:rsidR="00000000" w:rsidRDefault="00000000">
            <w:pPr>
              <w:tabs>
                <w:tab w:val="decimal" w:pos="482"/>
              </w:tabs>
              <w:spacing w:before="60" w:after="120" w:line="240" w:lineRule="atLeast"/>
              <w:rPr>
                <w:spacing w:val="4"/>
                <w:sz w:val="21"/>
              </w:rPr>
            </w:pPr>
            <w:r>
              <w:rPr>
                <w:spacing w:val="4"/>
                <w:sz w:val="21"/>
              </w:rPr>
              <w:t>19.1</w:t>
            </w:r>
          </w:p>
        </w:tc>
      </w:tr>
    </w:tbl>
    <w:p w:rsidR="00000000" w:rsidRDefault="00000000">
      <w:pPr>
        <w:spacing w:line="240" w:lineRule="auto"/>
        <w:rPr>
          <w:rFonts w:hint="eastAsia"/>
        </w:rPr>
      </w:pPr>
    </w:p>
    <w:p w:rsidR="00000000" w:rsidRDefault="00000000">
      <w:pPr>
        <w:pStyle w:val="FootnoteText"/>
        <w:rPr>
          <w:rFonts w:hint="eastAsia"/>
        </w:rPr>
      </w:pPr>
      <w:r>
        <w:rPr>
          <w:rFonts w:hint="eastAsia"/>
          <w:u w:val="single"/>
        </w:rPr>
        <w:t>资料来源</w:t>
      </w:r>
      <w:r>
        <w:rPr>
          <w:rFonts w:hint="eastAsia"/>
        </w:rPr>
        <w:t>：国家统计局发表的《格鲁吉亚统计年鉴</w:t>
      </w:r>
      <w:r>
        <w:rPr>
          <w:rFonts w:hint="eastAsia"/>
        </w:rPr>
        <w:t>(2000</w:t>
      </w:r>
      <w:r>
        <w:rPr>
          <w:rFonts w:hint="eastAsia"/>
        </w:rPr>
        <w:t>年</w:t>
      </w:r>
      <w:r>
        <w:rPr>
          <w:rFonts w:hint="eastAsia"/>
        </w:rPr>
        <w:t>)</w:t>
      </w:r>
      <w:r>
        <w:rPr>
          <w:rFonts w:hint="eastAsia"/>
        </w:rPr>
        <w:t>》。</w:t>
      </w:r>
    </w:p>
    <w:p w:rsidR="00000000" w:rsidRDefault="00000000">
      <w:pPr>
        <w:rPr>
          <w:u w:val="single"/>
        </w:rPr>
      </w:pPr>
    </w:p>
    <w:p w:rsidR="00000000" w:rsidRDefault="00000000">
      <w:pPr>
        <w:pStyle w:val="Heading3"/>
        <w:pageBreakBefore/>
        <w:spacing w:after="160"/>
        <w:rPr>
          <w:rFonts w:hint="eastAsia"/>
        </w:rPr>
      </w:pPr>
      <w:r>
        <w:rPr>
          <w:rFonts w:hint="eastAsia"/>
        </w:rPr>
        <w:t>0</w:t>
      </w:r>
      <w:r>
        <w:rPr>
          <w:rFonts w:hint="eastAsia"/>
        </w:rPr>
        <w:t>至</w:t>
      </w:r>
      <w:r>
        <w:rPr>
          <w:rFonts w:hint="eastAsia"/>
        </w:rPr>
        <w:t>14</w:t>
      </w:r>
      <w:r>
        <w:rPr>
          <w:rFonts w:hint="eastAsia"/>
        </w:rPr>
        <w:t>岁儿童主要类型疾病发病率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10"/>
        <w:gridCol w:w="1149"/>
        <w:gridCol w:w="1149"/>
        <w:gridCol w:w="1149"/>
        <w:gridCol w:w="1149"/>
        <w:gridCol w:w="1149"/>
      </w:tblGrid>
      <w:tr w:rsidR="00000000">
        <w:tblPrEx>
          <w:tblCellMar>
            <w:top w:w="0" w:type="dxa"/>
            <w:bottom w:w="0" w:type="dxa"/>
          </w:tblCellMar>
        </w:tblPrEx>
        <w:trPr>
          <w:tblHeader/>
        </w:trPr>
        <w:tc>
          <w:tcPr>
            <w:tcW w:w="3610" w:type="dxa"/>
            <w:tcBorders>
              <w:bottom w:val="single" w:sz="4" w:space="0" w:color="auto"/>
            </w:tcBorders>
          </w:tcPr>
          <w:p w:rsidR="00000000" w:rsidRDefault="00000000">
            <w:pPr>
              <w:tabs>
                <w:tab w:val="left" w:pos="442"/>
              </w:tabs>
              <w:spacing w:before="60" w:after="120" w:line="240" w:lineRule="auto"/>
              <w:rPr>
                <w:spacing w:val="4"/>
                <w:sz w:val="21"/>
                <w:u w:val="single"/>
              </w:rPr>
            </w:pPr>
          </w:p>
        </w:tc>
        <w:tc>
          <w:tcPr>
            <w:tcW w:w="1149" w:type="dxa"/>
            <w:tcBorders>
              <w:bottom w:val="single" w:sz="4" w:space="0" w:color="auto"/>
            </w:tcBorders>
          </w:tcPr>
          <w:p w:rsidR="00000000" w:rsidRDefault="00000000">
            <w:pPr>
              <w:tabs>
                <w:tab w:val="left" w:pos="442"/>
              </w:tabs>
              <w:spacing w:before="60" w:after="120" w:line="240" w:lineRule="auto"/>
              <w:jc w:val="center"/>
              <w:rPr>
                <w:spacing w:val="4"/>
                <w:sz w:val="21"/>
                <w:u w:val="single"/>
              </w:rPr>
            </w:pPr>
            <w:r>
              <w:rPr>
                <w:spacing w:val="4"/>
                <w:sz w:val="21"/>
                <w:u w:val="single"/>
              </w:rPr>
              <w:t>1995</w:t>
            </w:r>
          </w:p>
        </w:tc>
        <w:tc>
          <w:tcPr>
            <w:tcW w:w="1149" w:type="dxa"/>
            <w:tcBorders>
              <w:bottom w:val="single" w:sz="4" w:space="0" w:color="auto"/>
            </w:tcBorders>
          </w:tcPr>
          <w:p w:rsidR="00000000" w:rsidRDefault="00000000">
            <w:pPr>
              <w:tabs>
                <w:tab w:val="left" w:pos="442"/>
              </w:tabs>
              <w:spacing w:before="60" w:after="120" w:line="240" w:lineRule="auto"/>
              <w:jc w:val="center"/>
              <w:rPr>
                <w:spacing w:val="4"/>
                <w:sz w:val="21"/>
                <w:u w:val="single"/>
              </w:rPr>
            </w:pPr>
            <w:r>
              <w:rPr>
                <w:spacing w:val="4"/>
                <w:sz w:val="21"/>
                <w:u w:val="single"/>
              </w:rPr>
              <w:t>1996</w:t>
            </w:r>
          </w:p>
        </w:tc>
        <w:tc>
          <w:tcPr>
            <w:tcW w:w="1149" w:type="dxa"/>
            <w:tcBorders>
              <w:bottom w:val="single" w:sz="4" w:space="0" w:color="auto"/>
            </w:tcBorders>
          </w:tcPr>
          <w:p w:rsidR="00000000" w:rsidRDefault="00000000">
            <w:pPr>
              <w:tabs>
                <w:tab w:val="left" w:pos="442"/>
              </w:tabs>
              <w:spacing w:before="60" w:after="120" w:line="240" w:lineRule="auto"/>
              <w:jc w:val="center"/>
              <w:rPr>
                <w:spacing w:val="4"/>
                <w:sz w:val="21"/>
                <w:u w:val="single"/>
              </w:rPr>
            </w:pPr>
            <w:r>
              <w:rPr>
                <w:spacing w:val="4"/>
                <w:sz w:val="21"/>
                <w:u w:val="single"/>
              </w:rPr>
              <w:t>1997</w:t>
            </w:r>
          </w:p>
        </w:tc>
        <w:tc>
          <w:tcPr>
            <w:tcW w:w="1149" w:type="dxa"/>
            <w:tcBorders>
              <w:bottom w:val="single" w:sz="4" w:space="0" w:color="auto"/>
            </w:tcBorders>
          </w:tcPr>
          <w:p w:rsidR="00000000" w:rsidRDefault="00000000">
            <w:pPr>
              <w:tabs>
                <w:tab w:val="left" w:pos="442"/>
              </w:tabs>
              <w:spacing w:before="60" w:after="120" w:line="240" w:lineRule="auto"/>
              <w:jc w:val="center"/>
              <w:rPr>
                <w:spacing w:val="4"/>
                <w:sz w:val="21"/>
                <w:u w:val="single"/>
              </w:rPr>
            </w:pPr>
            <w:r>
              <w:rPr>
                <w:spacing w:val="4"/>
                <w:sz w:val="21"/>
                <w:u w:val="single"/>
              </w:rPr>
              <w:t>1998</w:t>
            </w:r>
          </w:p>
        </w:tc>
        <w:tc>
          <w:tcPr>
            <w:tcW w:w="1149" w:type="dxa"/>
            <w:tcBorders>
              <w:bottom w:val="single" w:sz="4" w:space="0" w:color="auto"/>
            </w:tcBorders>
          </w:tcPr>
          <w:p w:rsidR="00000000" w:rsidRDefault="00000000">
            <w:pPr>
              <w:tabs>
                <w:tab w:val="left" w:pos="442"/>
              </w:tabs>
              <w:spacing w:before="60" w:after="120" w:line="240" w:lineRule="auto"/>
              <w:jc w:val="center"/>
              <w:rPr>
                <w:spacing w:val="4"/>
                <w:sz w:val="21"/>
                <w:u w:val="single"/>
              </w:rPr>
            </w:pPr>
            <w:r>
              <w:rPr>
                <w:spacing w:val="4"/>
                <w:sz w:val="21"/>
                <w:u w:val="single"/>
              </w:rPr>
              <w:t>1999</w:t>
            </w:r>
          </w:p>
        </w:tc>
      </w:tr>
      <w:tr w:rsidR="00000000">
        <w:tblPrEx>
          <w:tblCellMar>
            <w:top w:w="0" w:type="dxa"/>
            <w:bottom w:w="0" w:type="dxa"/>
          </w:tblCellMar>
        </w:tblPrEx>
        <w:tc>
          <w:tcPr>
            <w:tcW w:w="3610" w:type="dxa"/>
            <w:tcBorders>
              <w:bottom w:val="nil"/>
            </w:tcBorders>
          </w:tcPr>
          <w:p w:rsidR="00000000" w:rsidRDefault="00000000">
            <w:pPr>
              <w:tabs>
                <w:tab w:val="left" w:pos="442"/>
              </w:tabs>
              <w:spacing w:before="120" w:after="120" w:line="240" w:lineRule="auto"/>
              <w:rPr>
                <w:spacing w:val="4"/>
                <w:sz w:val="21"/>
              </w:rPr>
            </w:pPr>
            <w:r>
              <w:rPr>
                <w:rFonts w:hint="eastAsia"/>
                <w:spacing w:val="4"/>
                <w:sz w:val="21"/>
              </w:rPr>
              <w:t>发病率</w:t>
            </w:r>
            <w:r>
              <w:rPr>
                <w:spacing w:val="4"/>
                <w:sz w:val="21"/>
              </w:rPr>
              <w:t xml:space="preserve"> (</w:t>
            </w:r>
            <w:r>
              <w:rPr>
                <w:rFonts w:hint="eastAsia"/>
                <w:spacing w:val="4"/>
                <w:sz w:val="21"/>
              </w:rPr>
              <w:t>第一次诊断</w:t>
            </w:r>
            <w:r>
              <w:rPr>
                <w:spacing w:val="4"/>
                <w:sz w:val="21"/>
              </w:rPr>
              <w:t>) (</w:t>
            </w:r>
            <w:r>
              <w:rPr>
                <w:rFonts w:hint="eastAsia"/>
                <w:spacing w:val="4"/>
                <w:sz w:val="21"/>
              </w:rPr>
              <w:t>千病例</w:t>
            </w:r>
            <w:r>
              <w:rPr>
                <w:spacing w:val="4"/>
                <w:sz w:val="21"/>
              </w:rPr>
              <w:t>)</w:t>
            </w:r>
          </w:p>
        </w:tc>
        <w:tc>
          <w:tcPr>
            <w:tcW w:w="1149" w:type="dxa"/>
            <w:tcBorders>
              <w:bottom w:val="nil"/>
            </w:tcBorders>
          </w:tcPr>
          <w:p w:rsidR="00000000" w:rsidRDefault="00000000">
            <w:pPr>
              <w:tabs>
                <w:tab w:val="decimal" w:pos="482"/>
              </w:tabs>
              <w:spacing w:before="120" w:after="120" w:line="240" w:lineRule="auto"/>
              <w:rPr>
                <w:spacing w:val="4"/>
                <w:sz w:val="21"/>
              </w:rPr>
            </w:pPr>
            <w:r>
              <w:rPr>
                <w:spacing w:val="4"/>
                <w:sz w:val="21"/>
              </w:rPr>
              <w:t>204.6</w:t>
            </w:r>
          </w:p>
        </w:tc>
        <w:tc>
          <w:tcPr>
            <w:tcW w:w="1149" w:type="dxa"/>
            <w:tcBorders>
              <w:bottom w:val="nil"/>
            </w:tcBorders>
          </w:tcPr>
          <w:p w:rsidR="00000000" w:rsidRDefault="00000000">
            <w:pPr>
              <w:tabs>
                <w:tab w:val="decimal" w:pos="482"/>
              </w:tabs>
              <w:spacing w:before="120" w:after="120" w:line="240" w:lineRule="auto"/>
              <w:rPr>
                <w:spacing w:val="4"/>
                <w:sz w:val="21"/>
              </w:rPr>
            </w:pPr>
            <w:r>
              <w:rPr>
                <w:spacing w:val="4"/>
                <w:sz w:val="21"/>
              </w:rPr>
              <w:t>196.5</w:t>
            </w:r>
          </w:p>
        </w:tc>
        <w:tc>
          <w:tcPr>
            <w:tcW w:w="1149" w:type="dxa"/>
            <w:tcBorders>
              <w:bottom w:val="nil"/>
            </w:tcBorders>
          </w:tcPr>
          <w:p w:rsidR="00000000" w:rsidRDefault="00000000">
            <w:pPr>
              <w:tabs>
                <w:tab w:val="decimal" w:pos="482"/>
              </w:tabs>
              <w:spacing w:before="120" w:after="120" w:line="240" w:lineRule="auto"/>
              <w:rPr>
                <w:spacing w:val="4"/>
                <w:sz w:val="21"/>
              </w:rPr>
            </w:pPr>
            <w:r>
              <w:rPr>
                <w:spacing w:val="4"/>
                <w:sz w:val="21"/>
              </w:rPr>
              <w:t>148.7</w:t>
            </w:r>
          </w:p>
        </w:tc>
        <w:tc>
          <w:tcPr>
            <w:tcW w:w="1149" w:type="dxa"/>
            <w:tcBorders>
              <w:bottom w:val="nil"/>
            </w:tcBorders>
          </w:tcPr>
          <w:p w:rsidR="00000000" w:rsidRDefault="00000000">
            <w:pPr>
              <w:tabs>
                <w:tab w:val="decimal" w:pos="482"/>
              </w:tabs>
              <w:spacing w:before="120" w:after="120" w:line="240" w:lineRule="auto"/>
              <w:rPr>
                <w:spacing w:val="4"/>
                <w:sz w:val="21"/>
              </w:rPr>
            </w:pPr>
            <w:r>
              <w:rPr>
                <w:spacing w:val="4"/>
                <w:sz w:val="21"/>
              </w:rPr>
              <w:t>151.8</w:t>
            </w:r>
          </w:p>
        </w:tc>
        <w:tc>
          <w:tcPr>
            <w:tcW w:w="1149" w:type="dxa"/>
            <w:tcBorders>
              <w:bottom w:val="nil"/>
            </w:tcBorders>
          </w:tcPr>
          <w:p w:rsidR="00000000" w:rsidRDefault="00000000">
            <w:pPr>
              <w:tabs>
                <w:tab w:val="decimal" w:pos="482"/>
              </w:tabs>
              <w:spacing w:before="120" w:after="120" w:line="240" w:lineRule="auto"/>
              <w:rPr>
                <w:spacing w:val="4"/>
                <w:sz w:val="21"/>
              </w:rPr>
            </w:pPr>
            <w:r>
              <w:rPr>
                <w:spacing w:val="4"/>
                <w:sz w:val="21"/>
              </w:rPr>
              <w:t>139.5</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spacing w:val="4"/>
                <w:sz w:val="21"/>
              </w:rPr>
            </w:pPr>
            <w:r>
              <w:rPr>
                <w:rFonts w:hint="eastAsia"/>
                <w:spacing w:val="4"/>
                <w:sz w:val="21"/>
              </w:rPr>
              <w:t>其中</w:t>
            </w:r>
            <w:r>
              <w:rPr>
                <w:spacing w:val="4"/>
                <w:sz w:val="21"/>
              </w:rPr>
              <w:t>：</w:t>
            </w:r>
          </w:p>
        </w:tc>
        <w:tc>
          <w:tcPr>
            <w:tcW w:w="1149" w:type="dxa"/>
            <w:tcBorders>
              <w:top w:val="nil"/>
              <w:bottom w:val="nil"/>
            </w:tcBorders>
          </w:tcPr>
          <w:p w:rsidR="00000000" w:rsidRDefault="00000000">
            <w:pPr>
              <w:tabs>
                <w:tab w:val="decimal" w:pos="482"/>
              </w:tabs>
              <w:spacing w:before="60" w:after="120" w:line="240" w:lineRule="auto"/>
              <w:rPr>
                <w:spacing w:val="4"/>
                <w:sz w:val="21"/>
              </w:rPr>
            </w:pPr>
          </w:p>
        </w:tc>
        <w:tc>
          <w:tcPr>
            <w:tcW w:w="1149" w:type="dxa"/>
            <w:tcBorders>
              <w:top w:val="nil"/>
              <w:bottom w:val="nil"/>
            </w:tcBorders>
          </w:tcPr>
          <w:p w:rsidR="00000000" w:rsidRDefault="00000000">
            <w:pPr>
              <w:tabs>
                <w:tab w:val="decimal" w:pos="482"/>
              </w:tabs>
              <w:spacing w:before="60" w:after="120" w:line="240" w:lineRule="auto"/>
              <w:rPr>
                <w:spacing w:val="4"/>
                <w:sz w:val="21"/>
              </w:rPr>
            </w:pPr>
          </w:p>
        </w:tc>
        <w:tc>
          <w:tcPr>
            <w:tcW w:w="1149" w:type="dxa"/>
            <w:tcBorders>
              <w:top w:val="nil"/>
              <w:bottom w:val="nil"/>
            </w:tcBorders>
          </w:tcPr>
          <w:p w:rsidR="00000000" w:rsidRDefault="00000000">
            <w:pPr>
              <w:tabs>
                <w:tab w:val="decimal" w:pos="482"/>
              </w:tabs>
              <w:spacing w:before="60" w:after="120" w:line="240" w:lineRule="auto"/>
              <w:rPr>
                <w:spacing w:val="4"/>
                <w:sz w:val="21"/>
              </w:rPr>
            </w:pPr>
          </w:p>
        </w:tc>
        <w:tc>
          <w:tcPr>
            <w:tcW w:w="1149" w:type="dxa"/>
            <w:tcBorders>
              <w:top w:val="nil"/>
              <w:bottom w:val="nil"/>
            </w:tcBorders>
          </w:tcPr>
          <w:p w:rsidR="00000000" w:rsidRDefault="00000000">
            <w:pPr>
              <w:tabs>
                <w:tab w:val="decimal" w:pos="482"/>
              </w:tabs>
              <w:spacing w:before="60" w:after="120" w:line="240" w:lineRule="auto"/>
              <w:rPr>
                <w:spacing w:val="4"/>
                <w:sz w:val="21"/>
              </w:rPr>
            </w:pPr>
          </w:p>
        </w:tc>
        <w:tc>
          <w:tcPr>
            <w:tcW w:w="1149" w:type="dxa"/>
            <w:tcBorders>
              <w:top w:val="nil"/>
              <w:bottom w:val="nil"/>
            </w:tcBorders>
          </w:tcPr>
          <w:p w:rsidR="00000000" w:rsidRDefault="00000000">
            <w:pPr>
              <w:tabs>
                <w:tab w:val="decimal" w:pos="482"/>
              </w:tabs>
              <w:spacing w:before="60" w:after="120" w:line="240" w:lineRule="auto"/>
              <w:rPr>
                <w:spacing w:val="4"/>
                <w:sz w:val="21"/>
              </w:rPr>
            </w:pP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传染病和寄生虫病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8.5</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19.5</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19.2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17.2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14.4</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肿瘤</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0.1</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0.0</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0.8</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0.1</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内分泌疾病、新陈代谢紊乱</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3.0</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6.4</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7.7</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13.6</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9.1</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血液和造血器官疾病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2.6</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3.3</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3.1</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3.1</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2.8</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精神病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0.3</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0.6</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0.6</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神经系统和感觉器官疾病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6.5</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9.2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11.6</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13.9</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12.1</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循环系统疾病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0.9</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1.6</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1.3</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1.5</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呼吸器官疾病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100.9</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97.4</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79.8</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72.5</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73.9</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消化系统疾病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55.7</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42.6</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7.3</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10.3</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6.3</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泌尿生殖系统疾病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2.0</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2.4</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2.7</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2.8</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3.0</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皮肤和皮下细胞组织疾病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7.2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5.0</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5.2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5.7</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5.0</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肌骨骼系统和连接组织疾病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1.0</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1.5</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0.8</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0.2</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spacing w:val="4"/>
                <w:sz w:val="21"/>
              </w:rPr>
            </w:pPr>
            <w:r>
              <w:rPr>
                <w:rFonts w:hint="eastAsia"/>
                <w:spacing w:val="4"/>
                <w:sz w:val="21"/>
              </w:rPr>
              <w:t>先天缺损</w:t>
            </w:r>
            <w:r>
              <w:rPr>
                <w:spacing w:val="4"/>
                <w:sz w:val="21"/>
              </w:rPr>
              <w:t>(</w:t>
            </w:r>
            <w:r>
              <w:rPr>
                <w:rFonts w:hint="eastAsia"/>
                <w:spacing w:val="4"/>
                <w:sz w:val="21"/>
              </w:rPr>
              <w:t>发育失调</w:t>
            </w:r>
            <w:r>
              <w:rPr>
                <w:spacing w:val="4"/>
                <w:sz w:val="21"/>
              </w:rPr>
              <w:t>)</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0.5</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0.5</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0.6</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1.3</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1.2</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特定的产期疾病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0.3</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0.2</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0.5</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2.6</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3.0</w:t>
            </w:r>
          </w:p>
        </w:tc>
      </w:tr>
      <w:tr w:rsidR="00000000">
        <w:tblPrEx>
          <w:tblCellMar>
            <w:top w:w="0" w:type="dxa"/>
            <w:bottom w:w="0" w:type="dxa"/>
          </w:tblCellMar>
        </w:tblPrEx>
        <w:tc>
          <w:tcPr>
            <w:tcW w:w="3610" w:type="dxa"/>
            <w:tcBorders>
              <w:top w:val="nil"/>
              <w:bottom w:val="nil"/>
            </w:tcBorders>
          </w:tcPr>
          <w:p w:rsidR="00000000" w:rsidRDefault="00000000">
            <w:pPr>
              <w:tabs>
                <w:tab w:val="left" w:pos="442"/>
              </w:tabs>
              <w:spacing w:before="60" w:after="120" w:line="240" w:lineRule="auto"/>
              <w:rPr>
                <w:rFonts w:hint="eastAsia"/>
                <w:spacing w:val="4"/>
                <w:sz w:val="21"/>
              </w:rPr>
            </w:pPr>
            <w:r>
              <w:rPr>
                <w:rFonts w:hint="eastAsia"/>
                <w:spacing w:val="4"/>
                <w:sz w:val="21"/>
              </w:rPr>
              <w:t>症状、征兆和难以确定的疾病</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1.1</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0.6</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0.6</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1.4</w:t>
            </w:r>
          </w:p>
        </w:tc>
        <w:tc>
          <w:tcPr>
            <w:tcW w:w="1149" w:type="dxa"/>
            <w:tcBorders>
              <w:top w:val="nil"/>
              <w:bottom w:val="nil"/>
            </w:tcBorders>
          </w:tcPr>
          <w:p w:rsidR="00000000" w:rsidRDefault="00000000">
            <w:pPr>
              <w:tabs>
                <w:tab w:val="decimal" w:pos="482"/>
              </w:tabs>
              <w:spacing w:before="60" w:after="120" w:line="240" w:lineRule="auto"/>
              <w:rPr>
                <w:spacing w:val="4"/>
                <w:sz w:val="21"/>
              </w:rPr>
            </w:pPr>
            <w:r>
              <w:rPr>
                <w:spacing w:val="4"/>
                <w:sz w:val="21"/>
              </w:rPr>
              <w:t>1.1</w:t>
            </w:r>
          </w:p>
        </w:tc>
      </w:tr>
      <w:tr w:rsidR="00000000">
        <w:tblPrEx>
          <w:tblCellMar>
            <w:top w:w="0" w:type="dxa"/>
            <w:bottom w:w="0" w:type="dxa"/>
          </w:tblCellMar>
        </w:tblPrEx>
        <w:tc>
          <w:tcPr>
            <w:tcW w:w="3610" w:type="dxa"/>
            <w:tcBorders>
              <w:top w:val="nil"/>
              <w:bottom w:val="single" w:sz="4" w:space="0" w:color="auto"/>
            </w:tcBorders>
          </w:tcPr>
          <w:p w:rsidR="00000000" w:rsidRDefault="00000000">
            <w:pPr>
              <w:tabs>
                <w:tab w:val="left" w:pos="442"/>
              </w:tabs>
              <w:spacing w:before="60" w:after="120" w:line="240" w:lineRule="auto"/>
              <w:rPr>
                <w:rFonts w:hint="eastAsia"/>
                <w:spacing w:val="4"/>
                <w:sz w:val="21"/>
              </w:rPr>
            </w:pPr>
            <w:r>
              <w:rPr>
                <w:rFonts w:hint="eastAsia"/>
                <w:spacing w:val="4"/>
                <w:sz w:val="21"/>
              </w:rPr>
              <w:t>受伤、中毒</w:t>
            </w:r>
          </w:p>
        </w:tc>
        <w:tc>
          <w:tcPr>
            <w:tcW w:w="1149" w:type="dxa"/>
            <w:tcBorders>
              <w:top w:val="nil"/>
              <w:bottom w:val="single" w:sz="4" w:space="0" w:color="auto"/>
            </w:tcBorders>
          </w:tcPr>
          <w:p w:rsidR="00000000" w:rsidRDefault="00000000">
            <w:pPr>
              <w:tabs>
                <w:tab w:val="decimal" w:pos="482"/>
              </w:tabs>
              <w:spacing w:before="60" w:after="120" w:line="240" w:lineRule="auto"/>
              <w:rPr>
                <w:spacing w:val="4"/>
                <w:sz w:val="21"/>
              </w:rPr>
            </w:pPr>
            <w:r>
              <w:rPr>
                <w:spacing w:val="4"/>
                <w:sz w:val="21"/>
              </w:rPr>
              <w:t>13.9</w:t>
            </w:r>
          </w:p>
        </w:tc>
        <w:tc>
          <w:tcPr>
            <w:tcW w:w="1149" w:type="dxa"/>
            <w:tcBorders>
              <w:top w:val="nil"/>
              <w:bottom w:val="single" w:sz="4" w:space="0" w:color="auto"/>
            </w:tcBorders>
          </w:tcPr>
          <w:p w:rsidR="00000000" w:rsidRDefault="00000000">
            <w:pPr>
              <w:tabs>
                <w:tab w:val="decimal" w:pos="482"/>
              </w:tabs>
              <w:spacing w:before="60" w:after="120" w:line="240" w:lineRule="auto"/>
              <w:rPr>
                <w:spacing w:val="4"/>
                <w:sz w:val="21"/>
              </w:rPr>
            </w:pPr>
            <w:r>
              <w:rPr>
                <w:spacing w:val="4"/>
                <w:sz w:val="21"/>
              </w:rPr>
              <w:t>7.0</w:t>
            </w:r>
          </w:p>
        </w:tc>
        <w:tc>
          <w:tcPr>
            <w:tcW w:w="1149" w:type="dxa"/>
            <w:tcBorders>
              <w:top w:val="nil"/>
              <w:bottom w:val="single" w:sz="4" w:space="0" w:color="auto"/>
            </w:tcBorders>
          </w:tcPr>
          <w:p w:rsidR="00000000" w:rsidRDefault="00000000">
            <w:pPr>
              <w:tabs>
                <w:tab w:val="decimal" w:pos="482"/>
              </w:tabs>
              <w:spacing w:before="60" w:after="120" w:line="240" w:lineRule="auto"/>
              <w:rPr>
                <w:spacing w:val="4"/>
                <w:sz w:val="21"/>
              </w:rPr>
            </w:pPr>
            <w:r>
              <w:rPr>
                <w:spacing w:val="4"/>
                <w:sz w:val="21"/>
              </w:rPr>
              <w:t>6.2</w:t>
            </w:r>
          </w:p>
        </w:tc>
        <w:tc>
          <w:tcPr>
            <w:tcW w:w="1149" w:type="dxa"/>
            <w:tcBorders>
              <w:top w:val="nil"/>
              <w:bottom w:val="single" w:sz="4" w:space="0" w:color="auto"/>
            </w:tcBorders>
          </w:tcPr>
          <w:p w:rsidR="00000000" w:rsidRDefault="00000000">
            <w:pPr>
              <w:tabs>
                <w:tab w:val="decimal" w:pos="482"/>
              </w:tabs>
              <w:spacing w:before="60" w:after="120" w:line="240" w:lineRule="auto"/>
              <w:rPr>
                <w:spacing w:val="4"/>
                <w:sz w:val="21"/>
              </w:rPr>
            </w:pPr>
            <w:r>
              <w:rPr>
                <w:spacing w:val="4"/>
                <w:sz w:val="21"/>
              </w:rPr>
              <w:t>4.5</w:t>
            </w:r>
          </w:p>
        </w:tc>
        <w:tc>
          <w:tcPr>
            <w:tcW w:w="1149" w:type="dxa"/>
            <w:tcBorders>
              <w:top w:val="nil"/>
              <w:bottom w:val="single" w:sz="4" w:space="0" w:color="auto"/>
            </w:tcBorders>
          </w:tcPr>
          <w:p w:rsidR="00000000" w:rsidRDefault="00000000">
            <w:pPr>
              <w:tabs>
                <w:tab w:val="decimal" w:pos="482"/>
              </w:tabs>
              <w:spacing w:before="60" w:after="120" w:line="240" w:lineRule="auto"/>
              <w:rPr>
                <w:spacing w:val="4"/>
                <w:sz w:val="21"/>
              </w:rPr>
            </w:pPr>
            <w:r>
              <w:rPr>
                <w:spacing w:val="4"/>
                <w:sz w:val="21"/>
              </w:rPr>
              <w:t>4.2</w:t>
            </w:r>
          </w:p>
        </w:tc>
      </w:tr>
    </w:tbl>
    <w:p w:rsidR="00000000" w:rsidRDefault="00000000">
      <w:pPr>
        <w:pStyle w:val="FootnoteText"/>
        <w:spacing w:before="160"/>
        <w:rPr>
          <w:rFonts w:hint="eastAsia"/>
        </w:rPr>
      </w:pPr>
      <w:r>
        <w:rPr>
          <w:rFonts w:hint="eastAsia"/>
          <w:u w:val="single"/>
        </w:rPr>
        <w:t>资料来源</w:t>
      </w:r>
      <w:r>
        <w:rPr>
          <w:rFonts w:hint="eastAsia"/>
        </w:rPr>
        <w:t>：国家统计局发表的《格鲁吉亚统计年鉴</w:t>
      </w:r>
      <w:r>
        <w:rPr>
          <w:rFonts w:hint="eastAsia"/>
        </w:rPr>
        <w:t>(2000</w:t>
      </w:r>
      <w:r>
        <w:rPr>
          <w:rFonts w:hint="eastAsia"/>
        </w:rPr>
        <w:t>年</w:t>
      </w:r>
      <w:r>
        <w:rPr>
          <w:rFonts w:hint="eastAsia"/>
        </w:rPr>
        <w:t>)</w:t>
      </w:r>
      <w:r>
        <w:rPr>
          <w:rFonts w:hint="eastAsia"/>
        </w:rPr>
        <w:t>》。</w:t>
      </w:r>
    </w:p>
    <w:p w:rsidR="00000000" w:rsidRDefault="00000000"/>
    <w:p w:rsidR="00000000" w:rsidRDefault="00000000">
      <w:pPr>
        <w:pStyle w:val="Heading4"/>
        <w:rPr>
          <w:rFonts w:hint="eastAsia"/>
        </w:rPr>
      </w:pPr>
      <w:r>
        <w:rPr>
          <w:rFonts w:hint="eastAsia"/>
        </w:rPr>
        <w:t>国家保健政策</w:t>
      </w:r>
    </w:p>
    <w:p w:rsidR="00000000" w:rsidRDefault="00000000">
      <w:pPr>
        <w:spacing w:after="320"/>
        <w:rPr>
          <w:rFonts w:hint="eastAsia"/>
        </w:rPr>
      </w:pPr>
      <w:r>
        <w:rPr>
          <w:rFonts w:hint="eastAsia"/>
        </w:rPr>
        <w:tab/>
      </w:r>
      <w:r>
        <w:t>189.</w:t>
      </w:r>
      <w:r>
        <w:rPr>
          <w:rFonts w:hint="eastAsia"/>
        </w:rPr>
        <w:t xml:space="preserve">  </w:t>
      </w:r>
      <w:r>
        <w:rPr>
          <w:rFonts w:hint="eastAsia"/>
        </w:rPr>
        <w:t>关于执行格鲁吉亚社会发展基础概念的紧急措施的第</w:t>
      </w:r>
      <w:r>
        <w:rPr>
          <w:rFonts w:hint="eastAsia"/>
        </w:rPr>
        <w:t>179</w:t>
      </w:r>
      <w:r>
        <w:rPr>
          <w:rFonts w:hint="eastAsia"/>
        </w:rPr>
        <w:t>号总统令</w:t>
      </w:r>
      <w:r>
        <w:rPr>
          <w:rFonts w:hint="eastAsia"/>
        </w:rPr>
        <w:t>(2000</w:t>
      </w:r>
      <w:r>
        <w:rPr>
          <w:rFonts w:hint="eastAsia"/>
        </w:rPr>
        <w:t>年</w:t>
      </w:r>
      <w:r>
        <w:rPr>
          <w:rFonts w:hint="eastAsia"/>
        </w:rPr>
        <w:t>5</w:t>
      </w:r>
      <w:r>
        <w:rPr>
          <w:rFonts w:hint="eastAsia"/>
        </w:rPr>
        <w:t>月</w:t>
      </w:r>
      <w:r>
        <w:rPr>
          <w:rFonts w:hint="eastAsia"/>
        </w:rPr>
        <w:t>7</w:t>
      </w:r>
      <w:r>
        <w:rPr>
          <w:rFonts w:hint="eastAsia"/>
        </w:rPr>
        <w:t>日</w:t>
      </w:r>
      <w:r>
        <w:rPr>
          <w:rFonts w:hint="eastAsia"/>
        </w:rPr>
        <w:t>)</w:t>
      </w:r>
      <w:r>
        <w:rPr>
          <w:rFonts w:hint="eastAsia"/>
        </w:rPr>
        <w:t>批准了以下举措：首先是一项国家保健政策；其次是一项在</w:t>
      </w:r>
      <w:r>
        <w:rPr>
          <w:rFonts w:hint="eastAsia"/>
        </w:rPr>
        <w:t>2000</w:t>
      </w:r>
      <w:r>
        <w:rPr>
          <w:rFonts w:hint="eastAsia"/>
        </w:rPr>
        <w:t>－</w:t>
      </w:r>
      <w:r>
        <w:rPr>
          <w:rFonts w:hint="eastAsia"/>
        </w:rPr>
        <w:t>2009</w:t>
      </w:r>
      <w:r>
        <w:rPr>
          <w:rFonts w:hint="eastAsia"/>
        </w:rPr>
        <w:t>年期间发展格鲁吉亚保健的战略计划。目前正在评估该战略计划第一年取得的成果。该计划是根据经济事务部</w:t>
      </w:r>
      <w:r>
        <w:rPr>
          <w:rFonts w:hint="eastAsia"/>
        </w:rPr>
        <w:t>1999</w:t>
      </w:r>
      <w:r>
        <w:rPr>
          <w:rFonts w:hint="eastAsia"/>
        </w:rPr>
        <w:t>年作出的长期宏观经济预测制定的，而这种预测本身在过去一年中经过了重大的修正。因此目前正在重新制定战略计划中的财政构成部分，使之符合预测中经修订的宏观经济指数。</w:t>
      </w:r>
    </w:p>
    <w:p w:rsidR="00000000" w:rsidRDefault="00000000">
      <w:pPr>
        <w:pStyle w:val="Heading4"/>
        <w:rPr>
          <w:rFonts w:hint="eastAsia"/>
        </w:rPr>
      </w:pPr>
      <w:r>
        <w:rPr>
          <w:rFonts w:hint="eastAsia"/>
        </w:rPr>
        <w:t>公共卫生预算</w:t>
      </w:r>
    </w:p>
    <w:p w:rsidR="00000000" w:rsidRDefault="00000000">
      <w:pPr>
        <w:spacing w:after="160"/>
        <w:rPr>
          <w:rFonts w:hint="eastAsia"/>
        </w:rPr>
      </w:pPr>
      <w:r>
        <w:rPr>
          <w:rFonts w:hint="eastAsia"/>
        </w:rPr>
        <w:tab/>
        <w:t xml:space="preserve">190.  </w:t>
      </w:r>
      <w:r>
        <w:rPr>
          <w:rFonts w:hint="eastAsia"/>
        </w:rPr>
        <w:t>以下表格载列了</w:t>
      </w:r>
      <w:r>
        <w:t>1997-2000</w:t>
      </w:r>
      <w:r>
        <w:rPr>
          <w:rFonts w:hint="eastAsia"/>
        </w:rPr>
        <w:t>期间中央向保健计划提供资金的水平。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年</w:t>
            </w:r>
            <w:r>
              <w:rPr>
                <w:rFonts w:hint="eastAsia"/>
                <w:spacing w:val="4"/>
                <w:sz w:val="21"/>
                <w:u w:val="single"/>
              </w:rPr>
              <w:t xml:space="preserve">  </w:t>
            </w:r>
            <w:r>
              <w:rPr>
                <w:rFonts w:hint="eastAsia"/>
                <w:spacing w:val="4"/>
                <w:sz w:val="21"/>
                <w:u w:val="single"/>
              </w:rPr>
              <w:t>度</w:t>
            </w:r>
          </w:p>
        </w:tc>
        <w:tc>
          <w:tcPr>
            <w:tcW w:w="3190"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规划指数</w:t>
            </w:r>
            <w:r>
              <w:rPr>
                <w:rFonts w:hint="eastAsia"/>
                <w:spacing w:val="4"/>
                <w:sz w:val="21"/>
                <w:u w:val="single"/>
              </w:rPr>
              <w:t>(</w:t>
            </w:r>
            <w:r>
              <w:rPr>
                <w:rFonts w:hint="eastAsia"/>
                <w:spacing w:val="4"/>
                <w:sz w:val="21"/>
                <w:u w:val="single"/>
              </w:rPr>
              <w:t>千拉里</w:t>
            </w:r>
            <w:r>
              <w:rPr>
                <w:rFonts w:hint="eastAsia"/>
                <w:spacing w:val="4"/>
                <w:sz w:val="21"/>
                <w:u w:val="single"/>
              </w:rPr>
              <w:t>)</w:t>
            </w:r>
          </w:p>
        </w:tc>
        <w:tc>
          <w:tcPr>
            <w:tcW w:w="3084"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已执行的百分比</w:t>
            </w:r>
          </w:p>
        </w:tc>
      </w:tr>
      <w:tr w:rsidR="00000000">
        <w:tblPrEx>
          <w:tblCellMar>
            <w:top w:w="0" w:type="dxa"/>
            <w:bottom w:w="0" w:type="dxa"/>
          </w:tblCellMar>
        </w:tblPrEx>
        <w:tc>
          <w:tcPr>
            <w:tcW w:w="3082"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1997</w:t>
            </w:r>
          </w:p>
        </w:tc>
        <w:tc>
          <w:tcPr>
            <w:tcW w:w="3190"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49 313</w:t>
            </w:r>
          </w:p>
        </w:tc>
        <w:tc>
          <w:tcPr>
            <w:tcW w:w="3084"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56.5</w:t>
            </w:r>
          </w:p>
        </w:tc>
      </w:tr>
      <w:tr w:rsidR="00000000">
        <w:tblPrEx>
          <w:tblCellMar>
            <w:top w:w="0" w:type="dxa"/>
            <w:bottom w:w="0" w:type="dxa"/>
          </w:tblCellMar>
        </w:tblPrEx>
        <w:tc>
          <w:tcPr>
            <w:tcW w:w="3082" w:type="dxa"/>
            <w:tcBorders>
              <w:top w:val="nil"/>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1998</w:t>
            </w:r>
          </w:p>
        </w:tc>
        <w:tc>
          <w:tcPr>
            <w:tcW w:w="3190" w:type="dxa"/>
            <w:tcBorders>
              <w:top w:val="nil"/>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54 220</w:t>
            </w:r>
          </w:p>
        </w:tc>
        <w:tc>
          <w:tcPr>
            <w:tcW w:w="3084" w:type="dxa"/>
            <w:tcBorders>
              <w:top w:val="nil"/>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58.0</w:t>
            </w:r>
          </w:p>
        </w:tc>
      </w:tr>
      <w:tr w:rsidR="00000000">
        <w:tblPrEx>
          <w:tblCellMar>
            <w:top w:w="0" w:type="dxa"/>
            <w:bottom w:w="0" w:type="dxa"/>
          </w:tblCellMar>
        </w:tblPrEx>
        <w:tc>
          <w:tcPr>
            <w:tcW w:w="3082" w:type="dxa"/>
            <w:tcBorders>
              <w:top w:val="nil"/>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1999</w:t>
            </w:r>
          </w:p>
        </w:tc>
        <w:tc>
          <w:tcPr>
            <w:tcW w:w="3190" w:type="dxa"/>
            <w:tcBorders>
              <w:top w:val="nil"/>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52 800</w:t>
            </w:r>
          </w:p>
        </w:tc>
        <w:tc>
          <w:tcPr>
            <w:tcW w:w="3084" w:type="dxa"/>
            <w:tcBorders>
              <w:top w:val="nil"/>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55.3</w:t>
            </w:r>
          </w:p>
        </w:tc>
      </w:tr>
      <w:tr w:rsidR="00000000">
        <w:tblPrEx>
          <w:tblCellMar>
            <w:top w:w="0" w:type="dxa"/>
            <w:bottom w:w="0" w:type="dxa"/>
          </w:tblCellMar>
        </w:tblPrEx>
        <w:tc>
          <w:tcPr>
            <w:tcW w:w="3082"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2000</w:t>
            </w:r>
          </w:p>
        </w:tc>
        <w:tc>
          <w:tcPr>
            <w:tcW w:w="3190"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48 000</w:t>
            </w:r>
          </w:p>
        </w:tc>
        <w:tc>
          <w:tcPr>
            <w:tcW w:w="3084"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80.9</w:t>
            </w:r>
          </w:p>
        </w:tc>
      </w:tr>
    </w:tbl>
    <w:p w:rsidR="00000000" w:rsidRDefault="00000000"/>
    <w:p w:rsidR="00000000" w:rsidRDefault="00000000">
      <w:pPr>
        <w:pStyle w:val="Heading4"/>
        <w:spacing w:before="320"/>
        <w:rPr>
          <w:rFonts w:hint="eastAsia"/>
        </w:rPr>
      </w:pPr>
      <w:r>
        <w:rPr>
          <w:rFonts w:hint="eastAsia"/>
        </w:rPr>
        <w:t>关于世界卫生组织</w:t>
      </w:r>
      <w:r>
        <w:rPr>
          <w:rFonts w:hint="eastAsia"/>
        </w:rPr>
        <w:t>(</w:t>
      </w:r>
      <w:r>
        <w:rPr>
          <w:rFonts w:hint="eastAsia"/>
        </w:rPr>
        <w:t>卫生组织</w:t>
      </w:r>
      <w:r>
        <w:rPr>
          <w:rFonts w:hint="eastAsia"/>
        </w:rPr>
        <w:t>)</w:t>
      </w:r>
      <w:r>
        <w:rPr>
          <w:rFonts w:hint="eastAsia"/>
        </w:rPr>
        <w:t>指数的统计数据</w:t>
      </w:r>
    </w:p>
    <w:p w:rsidR="00000000" w:rsidRDefault="00000000">
      <w:pPr>
        <w:pStyle w:val="Heading4"/>
        <w:ind w:left="500"/>
        <w:rPr>
          <w:rFonts w:hint="eastAsia"/>
        </w:rPr>
      </w:pPr>
      <w:r>
        <w:rPr>
          <w:u w:val="none"/>
        </w:rPr>
        <w:t>(a)</w:t>
      </w:r>
      <w:r>
        <w:rPr>
          <w:u w:val="none"/>
        </w:rPr>
        <w:tab/>
      </w:r>
      <w:r>
        <w:rPr>
          <w:rFonts w:hint="eastAsia"/>
        </w:rPr>
        <w:t>婴儿死亡率</w:t>
      </w:r>
    </w:p>
    <w:p w:rsidR="00000000" w:rsidRDefault="00000000">
      <w:r>
        <w:rPr>
          <w:rFonts w:hint="eastAsia"/>
        </w:rPr>
        <w:tab/>
      </w:r>
      <w:r>
        <w:t>191.</w:t>
      </w:r>
      <w:r>
        <w:rPr>
          <w:rFonts w:hint="eastAsia"/>
        </w:rPr>
        <w:t xml:space="preserve">  </w:t>
      </w:r>
      <w:r>
        <w:rPr>
          <w:rFonts w:hint="eastAsia"/>
        </w:rPr>
        <w:t>见以下表格。</w:t>
      </w:r>
    </w:p>
    <w:p w:rsidR="00000000" w:rsidRDefault="00000000">
      <w:pPr>
        <w:pStyle w:val="Heading3"/>
        <w:spacing w:after="160"/>
        <w:rPr>
          <w:rFonts w:hint="eastAsia"/>
        </w:rPr>
      </w:pPr>
      <w:r>
        <w:rPr>
          <w:rFonts w:hint="eastAsia"/>
        </w:rPr>
        <w:t>1</w:t>
      </w:r>
      <w:r>
        <w:rPr>
          <w:rFonts w:hint="eastAsia"/>
        </w:rPr>
        <w:t>岁以下的婴儿死亡率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593"/>
      </w:tblGrid>
      <w:tr w:rsidR="00000000">
        <w:tblPrEx>
          <w:tblCellMar>
            <w:top w:w="0" w:type="dxa"/>
            <w:bottom w:w="0" w:type="dxa"/>
          </w:tblCellMar>
        </w:tblPrEx>
        <w:tc>
          <w:tcPr>
            <w:tcW w:w="1487"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年</w:t>
            </w:r>
            <w:r>
              <w:rPr>
                <w:rFonts w:hint="eastAsia"/>
                <w:spacing w:val="4"/>
                <w:sz w:val="21"/>
                <w:u w:val="single"/>
              </w:rPr>
              <w:t xml:space="preserve"> </w:t>
            </w:r>
            <w:r>
              <w:rPr>
                <w:rFonts w:hint="eastAsia"/>
                <w:spacing w:val="4"/>
                <w:sz w:val="21"/>
                <w:u w:val="single"/>
              </w:rPr>
              <w:t>度</w:t>
            </w:r>
          </w:p>
        </w:tc>
        <w:tc>
          <w:tcPr>
            <w:tcW w:w="1595"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总</w:t>
            </w:r>
            <w:r>
              <w:rPr>
                <w:rFonts w:hint="eastAsia"/>
                <w:spacing w:val="4"/>
                <w:sz w:val="21"/>
                <w:u w:val="single"/>
              </w:rPr>
              <w:t xml:space="preserve"> </w:t>
            </w:r>
            <w:r>
              <w:rPr>
                <w:rFonts w:hint="eastAsia"/>
                <w:spacing w:val="4"/>
                <w:sz w:val="21"/>
                <w:u w:val="single"/>
              </w:rPr>
              <w:t>共</w:t>
            </w:r>
          </w:p>
        </w:tc>
        <w:tc>
          <w:tcPr>
            <w:tcW w:w="1595"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男</w:t>
            </w:r>
            <w:r>
              <w:rPr>
                <w:rFonts w:hint="eastAsia"/>
                <w:spacing w:val="4"/>
                <w:sz w:val="21"/>
                <w:u w:val="single"/>
              </w:rPr>
              <w:t xml:space="preserve"> </w:t>
            </w:r>
            <w:r>
              <w:rPr>
                <w:rFonts w:hint="eastAsia"/>
                <w:spacing w:val="4"/>
                <w:sz w:val="21"/>
                <w:u w:val="single"/>
              </w:rPr>
              <w:t>婴</w:t>
            </w:r>
          </w:p>
        </w:tc>
        <w:tc>
          <w:tcPr>
            <w:tcW w:w="1595"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女</w:t>
            </w:r>
            <w:r>
              <w:rPr>
                <w:rFonts w:hint="eastAsia"/>
                <w:spacing w:val="4"/>
                <w:sz w:val="21"/>
                <w:u w:val="single"/>
              </w:rPr>
              <w:t xml:space="preserve"> </w:t>
            </w:r>
            <w:r>
              <w:rPr>
                <w:rFonts w:hint="eastAsia"/>
                <w:spacing w:val="4"/>
                <w:sz w:val="21"/>
                <w:u w:val="single"/>
              </w:rPr>
              <w:t>婴</w:t>
            </w:r>
          </w:p>
        </w:tc>
        <w:tc>
          <w:tcPr>
            <w:tcW w:w="1595"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城</w:t>
            </w:r>
            <w:r>
              <w:rPr>
                <w:rFonts w:hint="eastAsia"/>
                <w:spacing w:val="4"/>
                <w:sz w:val="21"/>
                <w:u w:val="single"/>
              </w:rPr>
              <w:t xml:space="preserve"> </w:t>
            </w:r>
            <w:r>
              <w:rPr>
                <w:rFonts w:hint="eastAsia"/>
                <w:spacing w:val="4"/>
                <w:sz w:val="21"/>
                <w:u w:val="single"/>
              </w:rPr>
              <w:t>镇</w:t>
            </w:r>
          </w:p>
        </w:tc>
        <w:tc>
          <w:tcPr>
            <w:tcW w:w="1593"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乡</w:t>
            </w:r>
            <w:r>
              <w:rPr>
                <w:rFonts w:hint="eastAsia"/>
                <w:spacing w:val="4"/>
                <w:sz w:val="21"/>
                <w:u w:val="single"/>
              </w:rPr>
              <w:t xml:space="preserve"> </w:t>
            </w:r>
            <w:r>
              <w:rPr>
                <w:rFonts w:hint="eastAsia"/>
                <w:spacing w:val="4"/>
                <w:sz w:val="21"/>
                <w:u w:val="single"/>
              </w:rPr>
              <w:t>村</w:t>
            </w:r>
          </w:p>
        </w:tc>
      </w:tr>
      <w:tr w:rsidR="00000000">
        <w:tblPrEx>
          <w:tblCellMar>
            <w:top w:w="0" w:type="dxa"/>
            <w:bottom w:w="0" w:type="dxa"/>
          </w:tblCellMar>
        </w:tblPrEx>
        <w:tc>
          <w:tcPr>
            <w:tcW w:w="1487"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1998</w:t>
            </w:r>
          </w:p>
        </w:tc>
        <w:tc>
          <w:tcPr>
            <w:tcW w:w="1595"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710</w:t>
            </w:r>
          </w:p>
        </w:tc>
        <w:tc>
          <w:tcPr>
            <w:tcW w:w="1595"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437</w:t>
            </w:r>
          </w:p>
        </w:tc>
        <w:tc>
          <w:tcPr>
            <w:tcW w:w="1595"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273</w:t>
            </w:r>
          </w:p>
        </w:tc>
        <w:tc>
          <w:tcPr>
            <w:tcW w:w="1595"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629</w:t>
            </w:r>
          </w:p>
        </w:tc>
        <w:tc>
          <w:tcPr>
            <w:tcW w:w="1593"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81</w:t>
            </w:r>
          </w:p>
        </w:tc>
      </w:tr>
      <w:tr w:rsidR="00000000">
        <w:tblPrEx>
          <w:tblCellMar>
            <w:top w:w="0" w:type="dxa"/>
            <w:bottom w:w="0" w:type="dxa"/>
          </w:tblCellMar>
        </w:tblPrEx>
        <w:tc>
          <w:tcPr>
            <w:tcW w:w="1487"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1999</w:t>
            </w:r>
          </w:p>
        </w:tc>
        <w:tc>
          <w:tcPr>
            <w:tcW w:w="1595"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713</w:t>
            </w:r>
          </w:p>
        </w:tc>
        <w:tc>
          <w:tcPr>
            <w:tcW w:w="1595"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430</w:t>
            </w:r>
          </w:p>
        </w:tc>
        <w:tc>
          <w:tcPr>
            <w:tcW w:w="1595"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283</w:t>
            </w:r>
          </w:p>
        </w:tc>
        <w:tc>
          <w:tcPr>
            <w:tcW w:w="1595"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641</w:t>
            </w:r>
          </w:p>
        </w:tc>
        <w:tc>
          <w:tcPr>
            <w:tcW w:w="1593"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72</w:t>
            </w:r>
          </w:p>
        </w:tc>
      </w:tr>
    </w:tbl>
    <w:p w:rsidR="00000000" w:rsidRDefault="00000000"/>
    <w:p w:rsidR="00000000" w:rsidRDefault="00000000">
      <w:pPr>
        <w:pStyle w:val="Heading3"/>
        <w:spacing w:after="160"/>
        <w:rPr>
          <w:rFonts w:hint="eastAsia"/>
        </w:rPr>
      </w:pPr>
      <w:r>
        <w:rPr>
          <w:rFonts w:hint="eastAsia"/>
        </w:rPr>
        <w:t>5</w:t>
      </w:r>
      <w:r>
        <w:rPr>
          <w:rFonts w:hint="eastAsia"/>
        </w:rPr>
        <w:t>岁以下的婴儿死亡率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593"/>
      </w:tblGrid>
      <w:tr w:rsidR="00000000">
        <w:tblPrEx>
          <w:tblCellMar>
            <w:top w:w="0" w:type="dxa"/>
            <w:bottom w:w="0" w:type="dxa"/>
          </w:tblCellMar>
        </w:tblPrEx>
        <w:tc>
          <w:tcPr>
            <w:tcW w:w="1487"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年</w:t>
            </w:r>
            <w:r>
              <w:rPr>
                <w:rFonts w:hint="eastAsia"/>
                <w:spacing w:val="4"/>
                <w:sz w:val="21"/>
                <w:u w:val="single"/>
              </w:rPr>
              <w:t xml:space="preserve"> </w:t>
            </w:r>
            <w:r>
              <w:rPr>
                <w:rFonts w:hint="eastAsia"/>
                <w:spacing w:val="4"/>
                <w:sz w:val="21"/>
                <w:u w:val="single"/>
              </w:rPr>
              <w:t>度</w:t>
            </w:r>
          </w:p>
        </w:tc>
        <w:tc>
          <w:tcPr>
            <w:tcW w:w="1595"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总</w:t>
            </w:r>
            <w:r>
              <w:rPr>
                <w:rFonts w:hint="eastAsia"/>
                <w:spacing w:val="4"/>
                <w:sz w:val="21"/>
                <w:u w:val="single"/>
              </w:rPr>
              <w:t xml:space="preserve"> </w:t>
            </w:r>
            <w:r>
              <w:rPr>
                <w:rFonts w:hint="eastAsia"/>
                <w:spacing w:val="4"/>
                <w:sz w:val="21"/>
                <w:u w:val="single"/>
              </w:rPr>
              <w:t>共</w:t>
            </w:r>
          </w:p>
        </w:tc>
        <w:tc>
          <w:tcPr>
            <w:tcW w:w="1595"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男</w:t>
            </w:r>
            <w:r>
              <w:rPr>
                <w:rFonts w:hint="eastAsia"/>
                <w:spacing w:val="4"/>
                <w:sz w:val="21"/>
                <w:u w:val="single"/>
              </w:rPr>
              <w:t xml:space="preserve"> </w:t>
            </w:r>
            <w:r>
              <w:rPr>
                <w:rFonts w:hint="eastAsia"/>
                <w:spacing w:val="4"/>
                <w:sz w:val="21"/>
                <w:u w:val="single"/>
              </w:rPr>
              <w:t>婴</w:t>
            </w:r>
          </w:p>
        </w:tc>
        <w:tc>
          <w:tcPr>
            <w:tcW w:w="1595"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女</w:t>
            </w:r>
            <w:r>
              <w:rPr>
                <w:rFonts w:hint="eastAsia"/>
                <w:spacing w:val="4"/>
                <w:sz w:val="21"/>
                <w:u w:val="single"/>
              </w:rPr>
              <w:t xml:space="preserve"> </w:t>
            </w:r>
            <w:r>
              <w:rPr>
                <w:rFonts w:hint="eastAsia"/>
                <w:spacing w:val="4"/>
                <w:sz w:val="21"/>
                <w:u w:val="single"/>
              </w:rPr>
              <w:t>婴</w:t>
            </w:r>
          </w:p>
        </w:tc>
        <w:tc>
          <w:tcPr>
            <w:tcW w:w="1595"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城</w:t>
            </w:r>
            <w:r>
              <w:rPr>
                <w:rFonts w:hint="eastAsia"/>
                <w:spacing w:val="4"/>
                <w:sz w:val="21"/>
                <w:u w:val="single"/>
              </w:rPr>
              <w:t xml:space="preserve"> </w:t>
            </w:r>
            <w:r>
              <w:rPr>
                <w:rFonts w:hint="eastAsia"/>
                <w:spacing w:val="4"/>
                <w:sz w:val="21"/>
                <w:u w:val="single"/>
              </w:rPr>
              <w:t>镇</w:t>
            </w:r>
          </w:p>
        </w:tc>
        <w:tc>
          <w:tcPr>
            <w:tcW w:w="1593"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乡</w:t>
            </w:r>
            <w:r>
              <w:rPr>
                <w:rFonts w:hint="eastAsia"/>
                <w:spacing w:val="4"/>
                <w:sz w:val="21"/>
                <w:u w:val="single"/>
              </w:rPr>
              <w:t xml:space="preserve"> </w:t>
            </w:r>
            <w:r>
              <w:rPr>
                <w:rFonts w:hint="eastAsia"/>
                <w:spacing w:val="4"/>
                <w:sz w:val="21"/>
                <w:u w:val="single"/>
              </w:rPr>
              <w:t>村</w:t>
            </w:r>
          </w:p>
        </w:tc>
      </w:tr>
      <w:tr w:rsidR="00000000">
        <w:tblPrEx>
          <w:tblCellMar>
            <w:top w:w="0" w:type="dxa"/>
            <w:bottom w:w="0" w:type="dxa"/>
          </w:tblCellMar>
        </w:tblPrEx>
        <w:tc>
          <w:tcPr>
            <w:tcW w:w="1487"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1998</w:t>
            </w:r>
          </w:p>
        </w:tc>
        <w:tc>
          <w:tcPr>
            <w:tcW w:w="1595"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820</w:t>
            </w:r>
          </w:p>
        </w:tc>
        <w:tc>
          <w:tcPr>
            <w:tcW w:w="1595"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503</w:t>
            </w:r>
          </w:p>
        </w:tc>
        <w:tc>
          <w:tcPr>
            <w:tcW w:w="1595"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317</w:t>
            </w:r>
          </w:p>
        </w:tc>
        <w:tc>
          <w:tcPr>
            <w:tcW w:w="1595"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684</w:t>
            </w:r>
          </w:p>
        </w:tc>
        <w:tc>
          <w:tcPr>
            <w:tcW w:w="1593" w:type="dxa"/>
            <w:tcBorders>
              <w:bottom w:val="nil"/>
            </w:tcBorders>
          </w:tcPr>
          <w:p w:rsidR="00000000" w:rsidRDefault="00000000">
            <w:pPr>
              <w:tabs>
                <w:tab w:val="left" w:pos="442"/>
              </w:tabs>
              <w:spacing w:before="60" w:after="120" w:line="320" w:lineRule="exact"/>
              <w:ind w:left="113" w:right="113"/>
              <w:jc w:val="center"/>
              <w:rPr>
                <w:spacing w:val="4"/>
                <w:sz w:val="21"/>
              </w:rPr>
            </w:pPr>
            <w:r>
              <w:rPr>
                <w:spacing w:val="4"/>
                <w:sz w:val="21"/>
              </w:rPr>
              <w:t>136</w:t>
            </w:r>
          </w:p>
        </w:tc>
      </w:tr>
      <w:tr w:rsidR="00000000">
        <w:tblPrEx>
          <w:tblCellMar>
            <w:top w:w="0" w:type="dxa"/>
            <w:bottom w:w="0" w:type="dxa"/>
          </w:tblCellMar>
        </w:tblPrEx>
        <w:tc>
          <w:tcPr>
            <w:tcW w:w="1487"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1999</w:t>
            </w:r>
          </w:p>
        </w:tc>
        <w:tc>
          <w:tcPr>
            <w:tcW w:w="1595"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796</w:t>
            </w:r>
          </w:p>
        </w:tc>
        <w:tc>
          <w:tcPr>
            <w:tcW w:w="1595"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481</w:t>
            </w:r>
          </w:p>
        </w:tc>
        <w:tc>
          <w:tcPr>
            <w:tcW w:w="1595"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315</w:t>
            </w:r>
          </w:p>
        </w:tc>
        <w:tc>
          <w:tcPr>
            <w:tcW w:w="1595"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683</w:t>
            </w:r>
          </w:p>
        </w:tc>
        <w:tc>
          <w:tcPr>
            <w:tcW w:w="1593" w:type="dxa"/>
            <w:tcBorders>
              <w:top w:val="nil"/>
            </w:tcBorders>
          </w:tcPr>
          <w:p w:rsidR="00000000" w:rsidRDefault="00000000">
            <w:pPr>
              <w:tabs>
                <w:tab w:val="left" w:pos="442"/>
              </w:tabs>
              <w:spacing w:before="60" w:after="120" w:line="320" w:lineRule="exact"/>
              <w:ind w:left="113" w:right="113"/>
              <w:jc w:val="center"/>
              <w:rPr>
                <w:spacing w:val="4"/>
                <w:sz w:val="21"/>
              </w:rPr>
            </w:pPr>
            <w:r>
              <w:rPr>
                <w:spacing w:val="4"/>
                <w:sz w:val="21"/>
              </w:rPr>
              <w:t>113</w:t>
            </w:r>
          </w:p>
        </w:tc>
      </w:tr>
    </w:tbl>
    <w:p w:rsidR="00000000" w:rsidRDefault="00000000"/>
    <w:p w:rsidR="00000000" w:rsidRDefault="00000000">
      <w:pPr>
        <w:pStyle w:val="Heading3"/>
        <w:spacing w:after="160"/>
        <w:rPr>
          <w:rFonts w:hint="eastAsia"/>
        </w:rPr>
      </w:pPr>
      <w:r>
        <w:rPr>
          <w:rFonts w:hint="eastAsia"/>
        </w:rPr>
        <w:t>按地区分列的婴儿死亡率</w:t>
      </w:r>
      <w:r>
        <w:rPr>
          <w:rFonts w:hint="eastAsia"/>
        </w:rPr>
        <w:t>(1</w:t>
      </w:r>
      <w:r>
        <w:rPr>
          <w:rFonts w:hint="eastAsia"/>
        </w:rPr>
        <w:t>岁以下</w:t>
      </w:r>
      <w:r>
        <w:rPr>
          <w:rFonts w:hint="eastAsia"/>
        </w:rPr>
        <w:t>)</w:t>
      </w:r>
      <w:r>
        <w:rPr>
          <w:rFonts w:hint="eastAsia"/>
        </w:rPr>
        <w:t>明细表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1701"/>
        <w:gridCol w:w="1559"/>
        <w:gridCol w:w="1701"/>
      </w:tblGrid>
      <w:tr w:rsidR="00000000">
        <w:tblPrEx>
          <w:tblCellMar>
            <w:top w:w="0" w:type="dxa"/>
            <w:bottom w:w="0" w:type="dxa"/>
          </w:tblCellMar>
        </w:tblPrEx>
        <w:tc>
          <w:tcPr>
            <w:tcW w:w="4395" w:type="dxa"/>
            <w:tcBorders>
              <w:bottom w:val="single" w:sz="4" w:space="0" w:color="auto"/>
            </w:tcBorders>
          </w:tcPr>
          <w:p w:rsidR="00000000" w:rsidRDefault="00000000">
            <w:pPr>
              <w:tabs>
                <w:tab w:val="left" w:pos="442"/>
              </w:tabs>
              <w:spacing w:before="120" w:after="160" w:line="320" w:lineRule="exact"/>
              <w:ind w:left="113" w:right="113"/>
              <w:jc w:val="center"/>
              <w:rPr>
                <w:rFonts w:hint="eastAsia"/>
                <w:spacing w:val="4"/>
                <w:sz w:val="21"/>
                <w:u w:val="single"/>
                <w:lang w:val="fr-CH"/>
              </w:rPr>
            </w:pPr>
            <w:r>
              <w:rPr>
                <w:rFonts w:hint="eastAsia"/>
                <w:spacing w:val="4"/>
                <w:sz w:val="21"/>
                <w:u w:val="single"/>
                <w:lang w:val="fr-CH"/>
              </w:rPr>
              <w:t>地</w:t>
            </w:r>
            <w:r>
              <w:rPr>
                <w:rFonts w:hint="eastAsia"/>
                <w:spacing w:val="4"/>
                <w:sz w:val="21"/>
                <w:u w:val="single"/>
                <w:lang w:val="fr-CH"/>
              </w:rPr>
              <w:t xml:space="preserve">  </w:t>
            </w:r>
            <w:r>
              <w:rPr>
                <w:rFonts w:hint="eastAsia"/>
                <w:spacing w:val="4"/>
                <w:sz w:val="21"/>
                <w:u w:val="single"/>
                <w:lang w:val="fr-CH"/>
              </w:rPr>
              <w:t>区</w:t>
            </w:r>
          </w:p>
        </w:tc>
        <w:tc>
          <w:tcPr>
            <w:tcW w:w="1701" w:type="dxa"/>
            <w:tcBorders>
              <w:bottom w:val="single" w:sz="4" w:space="0" w:color="auto"/>
            </w:tcBorders>
          </w:tcPr>
          <w:p w:rsidR="00000000" w:rsidRDefault="00000000">
            <w:pPr>
              <w:tabs>
                <w:tab w:val="left" w:pos="442"/>
              </w:tabs>
              <w:spacing w:before="120" w:after="160" w:line="320" w:lineRule="exact"/>
              <w:ind w:left="113" w:right="113"/>
              <w:jc w:val="center"/>
              <w:rPr>
                <w:spacing w:val="4"/>
                <w:sz w:val="21"/>
                <w:u w:val="single"/>
                <w:lang w:val="fr-CH"/>
              </w:rPr>
            </w:pPr>
            <w:r>
              <w:rPr>
                <w:spacing w:val="4"/>
                <w:sz w:val="21"/>
                <w:u w:val="single"/>
                <w:lang w:val="fr-CH"/>
              </w:rPr>
              <w:t>1997</w:t>
            </w:r>
          </w:p>
        </w:tc>
        <w:tc>
          <w:tcPr>
            <w:tcW w:w="1559" w:type="dxa"/>
            <w:tcBorders>
              <w:bottom w:val="single" w:sz="4" w:space="0" w:color="auto"/>
            </w:tcBorders>
          </w:tcPr>
          <w:p w:rsidR="00000000" w:rsidRDefault="00000000">
            <w:pPr>
              <w:tabs>
                <w:tab w:val="left" w:pos="442"/>
              </w:tabs>
              <w:spacing w:before="120" w:after="160" w:line="320" w:lineRule="exact"/>
              <w:ind w:left="113" w:right="113"/>
              <w:jc w:val="center"/>
              <w:rPr>
                <w:spacing w:val="4"/>
                <w:sz w:val="21"/>
                <w:u w:val="single"/>
                <w:lang w:val="fr-CH"/>
              </w:rPr>
            </w:pPr>
            <w:r>
              <w:rPr>
                <w:spacing w:val="4"/>
                <w:sz w:val="21"/>
                <w:u w:val="single"/>
                <w:lang w:val="fr-CH"/>
              </w:rPr>
              <w:t>1998</w:t>
            </w:r>
          </w:p>
        </w:tc>
        <w:tc>
          <w:tcPr>
            <w:tcW w:w="1701" w:type="dxa"/>
            <w:tcBorders>
              <w:bottom w:val="single" w:sz="4" w:space="0" w:color="auto"/>
            </w:tcBorders>
          </w:tcPr>
          <w:p w:rsidR="00000000" w:rsidRDefault="00000000">
            <w:pPr>
              <w:tabs>
                <w:tab w:val="left" w:pos="442"/>
              </w:tabs>
              <w:spacing w:before="120" w:after="160" w:line="320" w:lineRule="exact"/>
              <w:ind w:left="113" w:right="113"/>
              <w:jc w:val="center"/>
              <w:rPr>
                <w:spacing w:val="4"/>
                <w:sz w:val="21"/>
                <w:u w:val="single"/>
                <w:lang w:val="fr-CH"/>
              </w:rPr>
            </w:pPr>
            <w:r>
              <w:rPr>
                <w:spacing w:val="4"/>
                <w:sz w:val="21"/>
                <w:u w:val="single"/>
                <w:lang w:val="fr-CH"/>
              </w:rPr>
              <w:t>1999</w:t>
            </w:r>
          </w:p>
        </w:tc>
      </w:tr>
      <w:tr w:rsidR="00000000">
        <w:tblPrEx>
          <w:tblCellMar>
            <w:top w:w="0" w:type="dxa"/>
            <w:bottom w:w="0" w:type="dxa"/>
          </w:tblCellMar>
        </w:tblPrEx>
        <w:tc>
          <w:tcPr>
            <w:tcW w:w="4395" w:type="dxa"/>
            <w:tcBorders>
              <w:bottom w:val="nil"/>
            </w:tcBorders>
          </w:tcPr>
          <w:p w:rsidR="00000000" w:rsidRDefault="00000000">
            <w:pPr>
              <w:tabs>
                <w:tab w:val="left" w:pos="442"/>
              </w:tabs>
              <w:spacing w:after="60" w:line="320" w:lineRule="exact"/>
              <w:ind w:left="113" w:right="113"/>
              <w:rPr>
                <w:rFonts w:hint="eastAsia"/>
                <w:spacing w:val="4"/>
                <w:sz w:val="21"/>
                <w:lang w:val="fr-CH"/>
              </w:rPr>
            </w:pPr>
            <w:r>
              <w:rPr>
                <w:rFonts w:hint="eastAsia"/>
                <w:spacing w:val="4"/>
                <w:sz w:val="21"/>
                <w:lang w:val="fr-CH"/>
              </w:rPr>
              <w:t>第比利斯</w:t>
            </w:r>
          </w:p>
        </w:tc>
        <w:tc>
          <w:tcPr>
            <w:tcW w:w="1701" w:type="dxa"/>
            <w:tcBorders>
              <w:bottom w:val="nil"/>
            </w:tcBorders>
          </w:tcPr>
          <w:p w:rsidR="00000000" w:rsidRDefault="00000000">
            <w:pPr>
              <w:tabs>
                <w:tab w:val="decimal" w:pos="777"/>
              </w:tabs>
              <w:spacing w:after="60" w:line="320" w:lineRule="exact"/>
              <w:ind w:left="113" w:right="113"/>
              <w:rPr>
                <w:spacing w:val="4"/>
                <w:sz w:val="21"/>
                <w:lang w:val="fr-CH"/>
              </w:rPr>
            </w:pPr>
            <w:r>
              <w:rPr>
                <w:spacing w:val="4"/>
                <w:sz w:val="21"/>
                <w:lang w:val="fr-CH"/>
              </w:rPr>
              <w:t>26.0</w:t>
            </w:r>
          </w:p>
        </w:tc>
        <w:tc>
          <w:tcPr>
            <w:tcW w:w="1559" w:type="dxa"/>
            <w:tcBorders>
              <w:bottom w:val="nil"/>
            </w:tcBorders>
          </w:tcPr>
          <w:p w:rsidR="00000000" w:rsidRDefault="00000000">
            <w:pPr>
              <w:tabs>
                <w:tab w:val="decimal" w:pos="777"/>
              </w:tabs>
              <w:spacing w:after="60" w:line="320" w:lineRule="exact"/>
              <w:ind w:left="113" w:right="113"/>
              <w:rPr>
                <w:spacing w:val="4"/>
                <w:sz w:val="21"/>
                <w:lang w:val="fr-CH"/>
              </w:rPr>
            </w:pPr>
            <w:r>
              <w:rPr>
                <w:spacing w:val="4"/>
                <w:sz w:val="21"/>
                <w:lang w:val="fr-CH"/>
              </w:rPr>
              <w:t>29.4</w:t>
            </w:r>
          </w:p>
        </w:tc>
        <w:tc>
          <w:tcPr>
            <w:tcW w:w="1701" w:type="dxa"/>
            <w:tcBorders>
              <w:bottom w:val="nil"/>
            </w:tcBorders>
          </w:tcPr>
          <w:p w:rsidR="00000000" w:rsidRDefault="00000000">
            <w:pPr>
              <w:tabs>
                <w:tab w:val="decimal" w:pos="777"/>
              </w:tabs>
              <w:spacing w:after="60" w:line="320" w:lineRule="exact"/>
              <w:ind w:left="113" w:right="113"/>
              <w:rPr>
                <w:spacing w:val="4"/>
                <w:sz w:val="21"/>
                <w:lang w:val="fr-CH"/>
              </w:rPr>
            </w:pPr>
            <w:r>
              <w:rPr>
                <w:spacing w:val="4"/>
                <w:sz w:val="21"/>
                <w:lang w:val="fr-CH"/>
              </w:rPr>
              <w:t>42.9</w:t>
            </w:r>
          </w:p>
        </w:tc>
      </w:tr>
      <w:tr w:rsidR="00000000">
        <w:tblPrEx>
          <w:tblCellMar>
            <w:top w:w="0" w:type="dxa"/>
            <w:bottom w:w="0" w:type="dxa"/>
          </w:tblCellMar>
        </w:tblPrEx>
        <w:tc>
          <w:tcPr>
            <w:tcW w:w="4395" w:type="dxa"/>
            <w:tcBorders>
              <w:top w:val="nil"/>
              <w:bottom w:val="nil"/>
            </w:tcBorders>
          </w:tcPr>
          <w:p w:rsidR="00000000" w:rsidRDefault="00000000">
            <w:pPr>
              <w:tabs>
                <w:tab w:val="left" w:pos="442"/>
              </w:tabs>
              <w:spacing w:after="60" w:line="320" w:lineRule="exact"/>
              <w:ind w:left="113" w:right="113"/>
              <w:rPr>
                <w:spacing w:val="4"/>
                <w:sz w:val="21"/>
                <w:lang w:val="fr-CH"/>
              </w:rPr>
            </w:pPr>
            <w:r>
              <w:rPr>
                <w:spacing w:val="4"/>
                <w:sz w:val="21"/>
                <w:lang w:val="fr-CH"/>
              </w:rPr>
              <w:t>Ajara</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lang w:val="fr-CH"/>
              </w:rPr>
            </w:pPr>
            <w:r>
              <w:rPr>
                <w:spacing w:val="4"/>
                <w:sz w:val="21"/>
                <w:lang w:val="fr-CH"/>
              </w:rPr>
              <w:t>23.4</w:t>
            </w:r>
          </w:p>
        </w:tc>
        <w:tc>
          <w:tcPr>
            <w:tcW w:w="1559" w:type="dxa"/>
            <w:tcBorders>
              <w:top w:val="nil"/>
              <w:bottom w:val="nil"/>
            </w:tcBorders>
          </w:tcPr>
          <w:p w:rsidR="00000000" w:rsidRDefault="00000000">
            <w:pPr>
              <w:tabs>
                <w:tab w:val="decimal" w:pos="777"/>
              </w:tabs>
              <w:spacing w:after="60" w:line="320" w:lineRule="exact"/>
              <w:ind w:left="113" w:right="113"/>
              <w:rPr>
                <w:spacing w:val="4"/>
                <w:sz w:val="21"/>
                <w:lang w:val="fr-CH"/>
              </w:rPr>
            </w:pPr>
            <w:r>
              <w:rPr>
                <w:spacing w:val="4"/>
                <w:sz w:val="21"/>
                <w:lang w:val="fr-CH"/>
              </w:rPr>
              <w:t>24.0</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lang w:val="fr-CH"/>
              </w:rPr>
            </w:pPr>
            <w:r>
              <w:rPr>
                <w:spacing w:val="4"/>
                <w:sz w:val="21"/>
                <w:lang w:val="fr-CH"/>
              </w:rPr>
              <w:t>23.4</w:t>
            </w:r>
          </w:p>
        </w:tc>
      </w:tr>
      <w:tr w:rsidR="00000000">
        <w:tblPrEx>
          <w:tblCellMar>
            <w:top w:w="0" w:type="dxa"/>
            <w:bottom w:w="0" w:type="dxa"/>
          </w:tblCellMar>
        </w:tblPrEx>
        <w:tc>
          <w:tcPr>
            <w:tcW w:w="4395" w:type="dxa"/>
            <w:tcBorders>
              <w:top w:val="nil"/>
              <w:bottom w:val="nil"/>
            </w:tcBorders>
          </w:tcPr>
          <w:p w:rsidR="00000000" w:rsidRDefault="00000000">
            <w:pPr>
              <w:tabs>
                <w:tab w:val="left" w:pos="442"/>
              </w:tabs>
              <w:spacing w:after="60" w:line="320" w:lineRule="exact"/>
              <w:ind w:left="113" w:right="113"/>
              <w:rPr>
                <w:spacing w:val="4"/>
                <w:sz w:val="21"/>
                <w:lang w:val="fr-CH"/>
              </w:rPr>
            </w:pPr>
            <w:r>
              <w:rPr>
                <w:spacing w:val="4"/>
                <w:sz w:val="21"/>
                <w:lang w:val="fr-CH"/>
              </w:rPr>
              <w:t>Guria</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lang w:val="fr-CH"/>
              </w:rPr>
            </w:pPr>
            <w:r>
              <w:rPr>
                <w:spacing w:val="4"/>
                <w:sz w:val="21"/>
                <w:lang w:val="fr-CH"/>
              </w:rPr>
              <w:t>6.6</w:t>
            </w:r>
          </w:p>
        </w:tc>
        <w:tc>
          <w:tcPr>
            <w:tcW w:w="1559" w:type="dxa"/>
            <w:tcBorders>
              <w:top w:val="nil"/>
              <w:bottom w:val="nil"/>
            </w:tcBorders>
          </w:tcPr>
          <w:p w:rsidR="00000000" w:rsidRDefault="00000000">
            <w:pPr>
              <w:tabs>
                <w:tab w:val="decimal" w:pos="777"/>
              </w:tabs>
              <w:spacing w:after="60" w:line="320" w:lineRule="exact"/>
              <w:ind w:left="113" w:right="113"/>
              <w:rPr>
                <w:spacing w:val="4"/>
                <w:sz w:val="21"/>
                <w:lang w:val="fr-CH"/>
              </w:rPr>
            </w:pPr>
            <w:r>
              <w:rPr>
                <w:spacing w:val="4"/>
                <w:sz w:val="21"/>
                <w:lang w:val="fr-CH"/>
              </w:rPr>
              <w:t>8.0</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lang w:val="fr-CH"/>
              </w:rPr>
            </w:pPr>
            <w:r>
              <w:rPr>
                <w:spacing w:val="4"/>
                <w:sz w:val="21"/>
                <w:lang w:val="fr-CH"/>
              </w:rPr>
              <w:t>12.2</w:t>
            </w:r>
          </w:p>
        </w:tc>
      </w:tr>
      <w:tr w:rsidR="00000000">
        <w:tblPrEx>
          <w:tblCellMar>
            <w:top w:w="0" w:type="dxa"/>
            <w:bottom w:w="0" w:type="dxa"/>
          </w:tblCellMar>
        </w:tblPrEx>
        <w:tc>
          <w:tcPr>
            <w:tcW w:w="4395" w:type="dxa"/>
            <w:tcBorders>
              <w:top w:val="nil"/>
              <w:bottom w:val="nil"/>
            </w:tcBorders>
          </w:tcPr>
          <w:p w:rsidR="00000000" w:rsidRDefault="00000000">
            <w:pPr>
              <w:tabs>
                <w:tab w:val="left" w:pos="442"/>
              </w:tabs>
              <w:spacing w:after="60" w:line="320" w:lineRule="exact"/>
              <w:ind w:left="113" w:right="113"/>
              <w:rPr>
                <w:spacing w:val="4"/>
                <w:sz w:val="21"/>
                <w:lang w:val="fr-CH"/>
              </w:rPr>
            </w:pPr>
            <w:r>
              <w:rPr>
                <w:spacing w:val="4"/>
                <w:sz w:val="21"/>
                <w:lang w:val="fr-CH"/>
              </w:rPr>
              <w:t xml:space="preserve">Racha-Lechkhumi </w:t>
            </w:r>
            <w:r>
              <w:rPr>
                <w:rFonts w:hint="eastAsia"/>
                <w:spacing w:val="4"/>
                <w:sz w:val="21"/>
              </w:rPr>
              <w:t>和</w:t>
            </w:r>
            <w:r>
              <w:rPr>
                <w:spacing w:val="4"/>
                <w:sz w:val="21"/>
                <w:lang w:val="fr-CH"/>
              </w:rPr>
              <w:t xml:space="preserve"> Kvemo Svaneti</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14.1</w:t>
            </w:r>
          </w:p>
        </w:tc>
        <w:tc>
          <w:tcPr>
            <w:tcW w:w="1559"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8.2</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7.2</w:t>
            </w:r>
          </w:p>
        </w:tc>
      </w:tr>
      <w:tr w:rsidR="00000000">
        <w:tblPrEx>
          <w:tblCellMar>
            <w:top w:w="0" w:type="dxa"/>
            <w:bottom w:w="0" w:type="dxa"/>
          </w:tblCellMar>
        </w:tblPrEx>
        <w:tc>
          <w:tcPr>
            <w:tcW w:w="4395" w:type="dxa"/>
            <w:tcBorders>
              <w:top w:val="nil"/>
              <w:bottom w:val="nil"/>
            </w:tcBorders>
          </w:tcPr>
          <w:p w:rsidR="00000000" w:rsidRDefault="00000000">
            <w:pPr>
              <w:tabs>
                <w:tab w:val="left" w:pos="442"/>
              </w:tabs>
              <w:spacing w:after="60" w:line="320" w:lineRule="exact"/>
              <w:ind w:left="113" w:right="113"/>
              <w:rPr>
                <w:spacing w:val="4"/>
                <w:sz w:val="21"/>
              </w:rPr>
            </w:pPr>
            <w:r>
              <w:rPr>
                <w:spacing w:val="4"/>
                <w:sz w:val="21"/>
              </w:rPr>
              <w:t xml:space="preserve">Samegrelo </w:t>
            </w:r>
            <w:r>
              <w:rPr>
                <w:rFonts w:hint="eastAsia"/>
                <w:spacing w:val="4"/>
                <w:sz w:val="21"/>
              </w:rPr>
              <w:t>和</w:t>
            </w:r>
            <w:r>
              <w:rPr>
                <w:spacing w:val="4"/>
                <w:sz w:val="21"/>
              </w:rPr>
              <w:t xml:space="preserve"> Zemo Svaneti</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10.6</w:t>
            </w:r>
          </w:p>
        </w:tc>
        <w:tc>
          <w:tcPr>
            <w:tcW w:w="1559"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10.1</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6.1</w:t>
            </w:r>
          </w:p>
        </w:tc>
      </w:tr>
      <w:tr w:rsidR="00000000">
        <w:tblPrEx>
          <w:tblCellMar>
            <w:top w:w="0" w:type="dxa"/>
            <w:bottom w:w="0" w:type="dxa"/>
          </w:tblCellMar>
        </w:tblPrEx>
        <w:tc>
          <w:tcPr>
            <w:tcW w:w="4395" w:type="dxa"/>
            <w:tcBorders>
              <w:top w:val="nil"/>
              <w:bottom w:val="nil"/>
            </w:tcBorders>
          </w:tcPr>
          <w:p w:rsidR="00000000" w:rsidRDefault="00000000">
            <w:pPr>
              <w:tabs>
                <w:tab w:val="left" w:pos="442"/>
              </w:tabs>
              <w:spacing w:after="60" w:line="320" w:lineRule="exact"/>
              <w:ind w:left="113" w:right="113"/>
              <w:rPr>
                <w:spacing w:val="4"/>
                <w:sz w:val="21"/>
              </w:rPr>
            </w:pPr>
            <w:r>
              <w:rPr>
                <w:spacing w:val="4"/>
                <w:sz w:val="21"/>
              </w:rPr>
              <w:t>Mtskheta-Tianeti</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5.7</w:t>
            </w:r>
          </w:p>
        </w:tc>
        <w:tc>
          <w:tcPr>
            <w:tcW w:w="1559"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3.7</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17.1</w:t>
            </w:r>
          </w:p>
        </w:tc>
      </w:tr>
      <w:tr w:rsidR="00000000">
        <w:tblPrEx>
          <w:tblCellMar>
            <w:top w:w="0" w:type="dxa"/>
            <w:bottom w:w="0" w:type="dxa"/>
          </w:tblCellMar>
        </w:tblPrEx>
        <w:tc>
          <w:tcPr>
            <w:tcW w:w="4395" w:type="dxa"/>
            <w:tcBorders>
              <w:top w:val="nil"/>
              <w:bottom w:val="nil"/>
            </w:tcBorders>
          </w:tcPr>
          <w:p w:rsidR="00000000" w:rsidRDefault="00000000">
            <w:pPr>
              <w:tabs>
                <w:tab w:val="left" w:pos="442"/>
              </w:tabs>
              <w:spacing w:after="60" w:line="320" w:lineRule="exact"/>
              <w:ind w:left="113" w:right="113"/>
              <w:rPr>
                <w:spacing w:val="4"/>
                <w:sz w:val="21"/>
              </w:rPr>
            </w:pPr>
            <w:r>
              <w:rPr>
                <w:spacing w:val="4"/>
                <w:sz w:val="21"/>
              </w:rPr>
              <w:t>Samtskhe-Djavakheti</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12.4</w:t>
            </w:r>
          </w:p>
        </w:tc>
        <w:tc>
          <w:tcPr>
            <w:tcW w:w="1559"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9.2</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12.6</w:t>
            </w:r>
          </w:p>
        </w:tc>
      </w:tr>
      <w:tr w:rsidR="00000000">
        <w:tblPrEx>
          <w:tblCellMar>
            <w:top w:w="0" w:type="dxa"/>
            <w:bottom w:w="0" w:type="dxa"/>
          </w:tblCellMar>
        </w:tblPrEx>
        <w:tc>
          <w:tcPr>
            <w:tcW w:w="4395" w:type="dxa"/>
            <w:tcBorders>
              <w:top w:val="nil"/>
              <w:bottom w:val="nil"/>
            </w:tcBorders>
          </w:tcPr>
          <w:p w:rsidR="00000000" w:rsidRDefault="00000000">
            <w:pPr>
              <w:tabs>
                <w:tab w:val="left" w:pos="442"/>
              </w:tabs>
              <w:spacing w:after="60" w:line="320" w:lineRule="exact"/>
              <w:ind w:left="113" w:right="113"/>
              <w:rPr>
                <w:spacing w:val="4"/>
                <w:sz w:val="21"/>
              </w:rPr>
            </w:pPr>
            <w:r>
              <w:rPr>
                <w:spacing w:val="4"/>
                <w:sz w:val="21"/>
              </w:rPr>
              <w:t>Kvemo Kartli</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10.0</w:t>
            </w:r>
          </w:p>
        </w:tc>
        <w:tc>
          <w:tcPr>
            <w:tcW w:w="1559"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6.0</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9.9</w:t>
            </w:r>
          </w:p>
        </w:tc>
      </w:tr>
      <w:tr w:rsidR="00000000">
        <w:tblPrEx>
          <w:tblCellMar>
            <w:top w:w="0" w:type="dxa"/>
            <w:bottom w:w="0" w:type="dxa"/>
          </w:tblCellMar>
        </w:tblPrEx>
        <w:tc>
          <w:tcPr>
            <w:tcW w:w="4395" w:type="dxa"/>
            <w:tcBorders>
              <w:top w:val="nil"/>
              <w:bottom w:val="nil"/>
            </w:tcBorders>
          </w:tcPr>
          <w:p w:rsidR="00000000" w:rsidRDefault="00000000">
            <w:pPr>
              <w:tabs>
                <w:tab w:val="left" w:pos="442"/>
              </w:tabs>
              <w:spacing w:after="60" w:line="320" w:lineRule="exact"/>
              <w:ind w:left="113" w:right="113"/>
              <w:rPr>
                <w:spacing w:val="4"/>
                <w:sz w:val="21"/>
              </w:rPr>
            </w:pPr>
            <w:r>
              <w:rPr>
                <w:spacing w:val="4"/>
                <w:sz w:val="21"/>
              </w:rPr>
              <w:t>Imereti</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10.7</w:t>
            </w:r>
          </w:p>
        </w:tc>
        <w:tc>
          <w:tcPr>
            <w:tcW w:w="1559"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9.3</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21.2</w:t>
            </w:r>
          </w:p>
        </w:tc>
      </w:tr>
      <w:tr w:rsidR="00000000">
        <w:tblPrEx>
          <w:tblCellMar>
            <w:top w:w="0" w:type="dxa"/>
            <w:bottom w:w="0" w:type="dxa"/>
          </w:tblCellMar>
        </w:tblPrEx>
        <w:tc>
          <w:tcPr>
            <w:tcW w:w="4395" w:type="dxa"/>
            <w:tcBorders>
              <w:top w:val="nil"/>
              <w:bottom w:val="nil"/>
            </w:tcBorders>
          </w:tcPr>
          <w:p w:rsidR="00000000" w:rsidRDefault="00000000">
            <w:pPr>
              <w:tabs>
                <w:tab w:val="left" w:pos="442"/>
              </w:tabs>
              <w:spacing w:after="60" w:line="320" w:lineRule="exact"/>
              <w:ind w:left="113" w:right="113"/>
              <w:rPr>
                <w:spacing w:val="4"/>
                <w:sz w:val="21"/>
              </w:rPr>
            </w:pPr>
            <w:r>
              <w:rPr>
                <w:spacing w:val="4"/>
                <w:sz w:val="21"/>
              </w:rPr>
              <w:t>Kakheti</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8.7</w:t>
            </w:r>
          </w:p>
        </w:tc>
        <w:tc>
          <w:tcPr>
            <w:tcW w:w="1559"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12.7</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17.1</w:t>
            </w:r>
          </w:p>
        </w:tc>
      </w:tr>
      <w:tr w:rsidR="00000000">
        <w:tblPrEx>
          <w:tblCellMar>
            <w:top w:w="0" w:type="dxa"/>
            <w:bottom w:w="0" w:type="dxa"/>
          </w:tblCellMar>
        </w:tblPrEx>
        <w:tc>
          <w:tcPr>
            <w:tcW w:w="4395" w:type="dxa"/>
            <w:tcBorders>
              <w:top w:val="nil"/>
              <w:bottom w:val="nil"/>
            </w:tcBorders>
          </w:tcPr>
          <w:p w:rsidR="00000000" w:rsidRDefault="00000000">
            <w:pPr>
              <w:tabs>
                <w:tab w:val="left" w:pos="442"/>
              </w:tabs>
              <w:spacing w:after="60" w:line="320" w:lineRule="exact"/>
              <w:ind w:left="113" w:right="113"/>
              <w:rPr>
                <w:spacing w:val="4"/>
                <w:sz w:val="21"/>
              </w:rPr>
            </w:pPr>
            <w:r>
              <w:rPr>
                <w:spacing w:val="4"/>
                <w:sz w:val="21"/>
              </w:rPr>
              <w:t>Shida Kartli</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14.7</w:t>
            </w:r>
          </w:p>
        </w:tc>
        <w:tc>
          <w:tcPr>
            <w:tcW w:w="1559"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11.9</w:t>
            </w:r>
          </w:p>
        </w:tc>
        <w:tc>
          <w:tcPr>
            <w:tcW w:w="1701" w:type="dxa"/>
            <w:tcBorders>
              <w:top w:val="nil"/>
              <w:bottom w:val="nil"/>
            </w:tcBorders>
          </w:tcPr>
          <w:p w:rsidR="00000000" w:rsidRDefault="00000000">
            <w:pPr>
              <w:tabs>
                <w:tab w:val="decimal" w:pos="777"/>
              </w:tabs>
              <w:spacing w:after="60" w:line="320" w:lineRule="exact"/>
              <w:ind w:left="113" w:right="113"/>
              <w:rPr>
                <w:spacing w:val="4"/>
                <w:sz w:val="21"/>
              </w:rPr>
            </w:pPr>
            <w:r>
              <w:rPr>
                <w:spacing w:val="4"/>
                <w:sz w:val="21"/>
              </w:rPr>
              <w:t>15.4</w:t>
            </w:r>
          </w:p>
        </w:tc>
      </w:tr>
      <w:tr w:rsidR="00000000">
        <w:tblPrEx>
          <w:tblCellMar>
            <w:top w:w="0" w:type="dxa"/>
            <w:bottom w:w="0" w:type="dxa"/>
          </w:tblCellMar>
        </w:tblPrEx>
        <w:tc>
          <w:tcPr>
            <w:tcW w:w="4395" w:type="dxa"/>
            <w:tcBorders>
              <w:top w:val="nil"/>
            </w:tcBorders>
          </w:tcPr>
          <w:p w:rsidR="00000000" w:rsidRDefault="00000000">
            <w:pPr>
              <w:tabs>
                <w:tab w:val="left" w:pos="442"/>
              </w:tabs>
              <w:spacing w:after="60" w:line="320" w:lineRule="exact"/>
              <w:ind w:left="113" w:right="113"/>
              <w:rPr>
                <w:rFonts w:hint="eastAsia"/>
                <w:spacing w:val="4"/>
                <w:sz w:val="21"/>
              </w:rPr>
            </w:pPr>
            <w:r>
              <w:rPr>
                <w:rFonts w:hint="eastAsia"/>
                <w:spacing w:val="4"/>
                <w:sz w:val="21"/>
              </w:rPr>
              <w:t>格鲁吉亚</w:t>
            </w:r>
          </w:p>
        </w:tc>
        <w:tc>
          <w:tcPr>
            <w:tcW w:w="1701" w:type="dxa"/>
            <w:tcBorders>
              <w:top w:val="nil"/>
            </w:tcBorders>
          </w:tcPr>
          <w:p w:rsidR="00000000" w:rsidRDefault="00000000">
            <w:pPr>
              <w:tabs>
                <w:tab w:val="decimal" w:pos="777"/>
              </w:tabs>
              <w:spacing w:after="60" w:line="320" w:lineRule="exact"/>
              <w:ind w:left="113" w:right="113"/>
              <w:rPr>
                <w:spacing w:val="4"/>
                <w:sz w:val="21"/>
              </w:rPr>
            </w:pPr>
            <w:r>
              <w:rPr>
                <w:spacing w:val="4"/>
                <w:sz w:val="21"/>
              </w:rPr>
              <w:t>15.3</w:t>
            </w:r>
          </w:p>
        </w:tc>
        <w:tc>
          <w:tcPr>
            <w:tcW w:w="1559" w:type="dxa"/>
            <w:tcBorders>
              <w:top w:val="nil"/>
            </w:tcBorders>
          </w:tcPr>
          <w:p w:rsidR="00000000" w:rsidRDefault="00000000">
            <w:pPr>
              <w:tabs>
                <w:tab w:val="decimal" w:pos="777"/>
              </w:tabs>
              <w:spacing w:after="60" w:line="320" w:lineRule="exact"/>
              <w:ind w:left="113" w:right="113"/>
              <w:rPr>
                <w:spacing w:val="4"/>
                <w:sz w:val="21"/>
              </w:rPr>
            </w:pPr>
            <w:r>
              <w:rPr>
                <w:spacing w:val="4"/>
                <w:sz w:val="21"/>
              </w:rPr>
              <w:t>15.2</w:t>
            </w:r>
          </w:p>
        </w:tc>
        <w:tc>
          <w:tcPr>
            <w:tcW w:w="1701" w:type="dxa"/>
            <w:tcBorders>
              <w:top w:val="nil"/>
            </w:tcBorders>
          </w:tcPr>
          <w:p w:rsidR="00000000" w:rsidRDefault="00000000">
            <w:pPr>
              <w:tabs>
                <w:tab w:val="decimal" w:pos="777"/>
              </w:tabs>
              <w:spacing w:after="60" w:line="320" w:lineRule="exact"/>
              <w:ind w:left="113" w:right="113"/>
              <w:rPr>
                <w:spacing w:val="4"/>
                <w:sz w:val="21"/>
              </w:rPr>
            </w:pPr>
            <w:r>
              <w:rPr>
                <w:spacing w:val="4"/>
                <w:sz w:val="21"/>
              </w:rPr>
              <w:t>17.5</w:t>
            </w:r>
          </w:p>
        </w:tc>
      </w:tr>
    </w:tbl>
    <w:p w:rsidR="00000000" w:rsidRDefault="00000000"/>
    <w:p w:rsidR="00000000" w:rsidRDefault="00000000">
      <w:pPr>
        <w:pStyle w:val="Heading4"/>
        <w:ind w:left="500"/>
        <w:rPr>
          <w:rFonts w:hint="eastAsia"/>
        </w:rPr>
      </w:pPr>
      <w:r>
        <w:rPr>
          <w:u w:val="none"/>
        </w:rPr>
        <w:t xml:space="preserve">(b)  </w:t>
      </w:r>
      <w:r>
        <w:rPr>
          <w:rFonts w:hint="eastAsia"/>
        </w:rPr>
        <w:t>获得饮用水</w:t>
      </w:r>
    </w:p>
    <w:p w:rsidR="00000000" w:rsidRDefault="00000000">
      <w:pPr>
        <w:rPr>
          <w:rFonts w:hint="eastAsia"/>
        </w:rPr>
      </w:pPr>
      <w:r>
        <w:rPr>
          <w:rFonts w:hint="eastAsia"/>
        </w:rPr>
        <w:tab/>
        <w:t xml:space="preserve">192.  </w:t>
      </w:r>
      <w:r>
        <w:rPr>
          <w:rFonts w:hint="eastAsia"/>
        </w:rPr>
        <w:t>最近几年里，格鲁吉亚公众得不到足够的安全和高质量的饮用水。干净的家用饮用水供应方面的主要问题在于人为的污染、饮用水短缺和基础设施维持不善。</w:t>
      </w:r>
    </w:p>
    <w:p w:rsidR="00000000" w:rsidRDefault="00000000">
      <w:pPr>
        <w:rPr>
          <w:rFonts w:hint="eastAsia"/>
        </w:rPr>
      </w:pPr>
      <w:r>
        <w:rPr>
          <w:rFonts w:hint="eastAsia"/>
        </w:rPr>
        <w:tab/>
        <w:t xml:space="preserve">193.  </w:t>
      </w:r>
      <w:r>
        <w:rPr>
          <w:rFonts w:hint="eastAsia"/>
        </w:rPr>
        <w:t>尽管</w:t>
      </w:r>
      <w:r>
        <w:rPr>
          <w:rFonts w:hint="eastAsia"/>
        </w:rPr>
        <w:t>70%</w:t>
      </w:r>
      <w:r>
        <w:rPr>
          <w:rFonts w:hint="eastAsia"/>
        </w:rPr>
        <w:t>的人口取得了管道饮用水</w:t>
      </w:r>
      <w:r>
        <w:rPr>
          <w:rFonts w:hint="eastAsia"/>
        </w:rPr>
        <w:t>(</w:t>
      </w:r>
      <w:r>
        <w:rPr>
          <w:rFonts w:hint="eastAsia"/>
        </w:rPr>
        <w:t>城镇为</w:t>
      </w:r>
      <w:r>
        <w:rPr>
          <w:rFonts w:hint="eastAsia"/>
        </w:rPr>
        <w:t>95%</w:t>
      </w:r>
      <w:r>
        <w:rPr>
          <w:rFonts w:hint="eastAsia"/>
        </w:rPr>
        <w:t>，而乡村为</w:t>
      </w:r>
      <w:r>
        <w:rPr>
          <w:rFonts w:hint="eastAsia"/>
        </w:rPr>
        <w:t>35%)</w:t>
      </w:r>
      <w:r>
        <w:rPr>
          <w:rFonts w:hint="eastAsia"/>
        </w:rPr>
        <w:t>，但向许多人口提供的水并没有达到现行的健康和卫生标准。在格鲁吉亚，由于氯这种添加剂短缺，供应的饮用水往往未经氯化处理。因此</w:t>
      </w:r>
      <w:r>
        <w:rPr>
          <w:rFonts w:hint="eastAsia"/>
        </w:rPr>
        <w:t>1999</w:t>
      </w:r>
      <w:r>
        <w:rPr>
          <w:rFonts w:hint="eastAsia"/>
        </w:rPr>
        <w:t>年，国内</w:t>
      </w:r>
      <w:r>
        <w:rPr>
          <w:rFonts w:hint="eastAsia"/>
        </w:rPr>
        <w:t>8</w:t>
      </w:r>
      <w:r>
        <w:rPr>
          <w:rFonts w:hint="eastAsia"/>
        </w:rPr>
        <w:t>个地区的供水未经氯化处理。</w:t>
      </w:r>
    </w:p>
    <w:p w:rsidR="00000000" w:rsidRDefault="00000000">
      <w:pPr>
        <w:rPr>
          <w:rFonts w:hint="eastAsia"/>
        </w:rPr>
      </w:pPr>
      <w:r>
        <w:rPr>
          <w:rFonts w:hint="eastAsia"/>
        </w:rPr>
        <w:tab/>
        <w:t xml:space="preserve">194.  </w:t>
      </w:r>
      <w:r>
        <w:rPr>
          <w:rFonts w:hint="eastAsia"/>
        </w:rPr>
        <w:t>饮用水的供应由于停电而往往很不正常。例如</w:t>
      </w:r>
      <w:r>
        <w:rPr>
          <w:rFonts w:hint="eastAsia"/>
        </w:rPr>
        <w:t>1999</w:t>
      </w:r>
      <w:r>
        <w:rPr>
          <w:rFonts w:hint="eastAsia"/>
        </w:rPr>
        <w:t>年，格鲁吉亚</w:t>
      </w:r>
      <w:r>
        <w:rPr>
          <w:rFonts w:hint="eastAsia"/>
        </w:rPr>
        <w:t>6</w:t>
      </w:r>
      <w:r>
        <w:rPr>
          <w:rFonts w:hint="eastAsia"/>
        </w:rPr>
        <w:t>个地区和首都的几个区每天仅仅供应</w:t>
      </w:r>
      <w:r>
        <w:rPr>
          <w:rFonts w:hint="eastAsia"/>
        </w:rPr>
        <w:t>3</w:t>
      </w:r>
      <w:r>
        <w:rPr>
          <w:rFonts w:hint="eastAsia"/>
        </w:rPr>
        <w:t>到</w:t>
      </w:r>
      <w:r>
        <w:rPr>
          <w:rFonts w:hint="eastAsia"/>
        </w:rPr>
        <w:t>5</w:t>
      </w:r>
      <w:r>
        <w:rPr>
          <w:rFonts w:hint="eastAsia"/>
        </w:rPr>
        <w:t>小时的饮用水。</w:t>
      </w:r>
    </w:p>
    <w:p w:rsidR="00000000" w:rsidRDefault="00000000">
      <w:pPr>
        <w:spacing w:after="320"/>
        <w:rPr>
          <w:rFonts w:hint="eastAsia"/>
        </w:rPr>
      </w:pPr>
      <w:r>
        <w:rPr>
          <w:rFonts w:hint="eastAsia"/>
        </w:rPr>
        <w:tab/>
        <w:t>195.  1999</w:t>
      </w:r>
      <w:r>
        <w:rPr>
          <w:rFonts w:hint="eastAsia"/>
        </w:rPr>
        <w:t>年，格鲁吉亚一些城镇和地区的中央配水系统需经过化学和细菌检测。另外还测试了进水口。测试表明，必须采取适当的保护性措施，因为许多采样未能达到现行标准。</w:t>
      </w:r>
    </w:p>
    <w:p w:rsidR="00000000" w:rsidRDefault="00000000">
      <w:pPr>
        <w:pStyle w:val="Heading4"/>
        <w:ind w:left="500"/>
        <w:rPr>
          <w:rFonts w:hint="eastAsia"/>
        </w:rPr>
      </w:pPr>
      <w:r>
        <w:rPr>
          <w:u w:val="none"/>
        </w:rPr>
        <w:t>(c)</w:t>
      </w:r>
      <w:r>
        <w:rPr>
          <w:rFonts w:hint="eastAsia"/>
          <w:u w:val="none"/>
        </w:rPr>
        <w:t xml:space="preserve">  </w:t>
      </w:r>
      <w:r>
        <w:rPr>
          <w:rFonts w:hint="eastAsia"/>
        </w:rPr>
        <w:t>取得卫生设施</w:t>
      </w:r>
    </w:p>
    <w:p w:rsidR="00000000" w:rsidRDefault="00000000">
      <w:pPr>
        <w:rPr>
          <w:rFonts w:hint="eastAsia"/>
        </w:rPr>
      </w:pPr>
      <w:r>
        <w:rPr>
          <w:rFonts w:hint="eastAsia"/>
        </w:rPr>
        <w:tab/>
        <w:t xml:space="preserve">196.  </w:t>
      </w:r>
      <w:r>
        <w:rPr>
          <w:rFonts w:hint="eastAsia"/>
        </w:rPr>
        <w:t>据劳动、卫生和社会福利部称，国内</w:t>
      </w:r>
      <w:r>
        <w:rPr>
          <w:rFonts w:hint="eastAsia"/>
        </w:rPr>
        <w:t>45</w:t>
      </w:r>
      <w:r>
        <w:rPr>
          <w:rFonts w:hint="eastAsia"/>
        </w:rPr>
        <w:t>个城镇的公共下水道的状况很差。由于陈旧和老化，</w:t>
      </w:r>
      <w:r>
        <w:rPr>
          <w:rFonts w:hint="eastAsia"/>
        </w:rPr>
        <w:t>1,800</w:t>
      </w:r>
      <w:r>
        <w:rPr>
          <w:rFonts w:hint="eastAsia"/>
        </w:rPr>
        <w:t>公里的污水管道</w:t>
      </w:r>
      <w:r>
        <w:rPr>
          <w:rFonts w:hint="eastAsia"/>
        </w:rPr>
        <w:t>(</w:t>
      </w:r>
      <w:r>
        <w:rPr>
          <w:rFonts w:hint="eastAsia"/>
        </w:rPr>
        <w:t>总共为</w:t>
      </w:r>
      <w:r>
        <w:rPr>
          <w:rFonts w:hint="eastAsia"/>
        </w:rPr>
        <w:t>4,100</w:t>
      </w:r>
      <w:r>
        <w:rPr>
          <w:rFonts w:hint="eastAsia"/>
        </w:rPr>
        <w:t>公里</w:t>
      </w:r>
      <w:r>
        <w:rPr>
          <w:rFonts w:hint="eastAsia"/>
        </w:rPr>
        <w:t>)</w:t>
      </w:r>
      <w:r>
        <w:rPr>
          <w:rFonts w:hint="eastAsia"/>
        </w:rPr>
        <w:t>需要彻底大修。污水和废水处理设施也必须修理和更新。只有第比利斯和</w:t>
      </w:r>
      <w:r>
        <w:rPr>
          <w:rFonts w:hint="eastAsia"/>
        </w:rPr>
        <w:t>5</w:t>
      </w:r>
      <w:r>
        <w:rPr>
          <w:rFonts w:hint="eastAsia"/>
        </w:rPr>
        <w:t>个主要城市的废水处理达到了令人满意的标准。</w:t>
      </w:r>
    </w:p>
    <w:p w:rsidR="00000000" w:rsidRDefault="00000000">
      <w:pPr>
        <w:spacing w:after="320"/>
        <w:rPr>
          <w:rFonts w:hint="eastAsia"/>
        </w:rPr>
      </w:pPr>
      <w:r>
        <w:rPr>
          <w:rFonts w:hint="eastAsia"/>
        </w:rPr>
        <w:tab/>
        <w:t xml:space="preserve">197.  </w:t>
      </w:r>
      <w:r>
        <w:rPr>
          <w:rFonts w:hint="eastAsia"/>
        </w:rPr>
        <w:t>由于从卫生工程角度来看，现有污水处理场和下水道的质量达不到标准，服务和处理的整体水准相当低。因此实际上有可能出现疾病蔓延。</w:t>
      </w:r>
    </w:p>
    <w:p w:rsidR="00000000" w:rsidRDefault="00000000">
      <w:pPr>
        <w:pStyle w:val="Heading4"/>
        <w:ind w:left="500"/>
        <w:rPr>
          <w:rFonts w:hint="eastAsia"/>
        </w:rPr>
      </w:pPr>
      <w:r>
        <w:rPr>
          <w:u w:val="none"/>
        </w:rPr>
        <w:t>(d)</w:t>
      </w:r>
      <w:r>
        <w:rPr>
          <w:rFonts w:hint="eastAsia"/>
          <w:u w:val="none"/>
        </w:rPr>
        <w:t xml:space="preserve">  </w:t>
      </w:r>
      <w:r>
        <w:rPr>
          <w:rFonts w:hint="eastAsia"/>
        </w:rPr>
        <w:t>儿童免疫接种</w:t>
      </w:r>
    </w:p>
    <w:p w:rsidR="00000000" w:rsidRDefault="00000000">
      <w:pPr>
        <w:rPr>
          <w:rFonts w:hint="eastAsia"/>
        </w:rPr>
      </w:pPr>
      <w:r>
        <w:rPr>
          <w:rFonts w:hint="eastAsia"/>
        </w:rPr>
        <w:tab/>
        <w:t xml:space="preserve">198.  </w:t>
      </w:r>
      <w:r>
        <w:rPr>
          <w:rFonts w:hint="eastAsia"/>
        </w:rPr>
        <w:t>见以下表格：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1440"/>
        <w:gridCol w:w="1800"/>
        <w:gridCol w:w="1368"/>
        <w:gridCol w:w="1521"/>
      </w:tblGrid>
      <w:tr w:rsidR="00000000">
        <w:tblPrEx>
          <w:tblCellMar>
            <w:top w:w="0" w:type="dxa"/>
            <w:bottom w:w="0" w:type="dxa"/>
          </w:tblCellMar>
        </w:tblPrEx>
        <w:trPr>
          <w:cantSplit/>
        </w:trPr>
        <w:tc>
          <w:tcPr>
            <w:tcW w:w="3227" w:type="dxa"/>
            <w:vMerge w:val="restart"/>
          </w:tcPr>
          <w:p w:rsidR="00000000" w:rsidRDefault="00000000">
            <w:pPr>
              <w:tabs>
                <w:tab w:val="left" w:pos="442"/>
              </w:tabs>
              <w:spacing w:before="320" w:line="320" w:lineRule="exact"/>
              <w:ind w:left="113" w:right="113"/>
              <w:jc w:val="center"/>
              <w:rPr>
                <w:rFonts w:hint="eastAsia"/>
                <w:spacing w:val="4"/>
                <w:sz w:val="21"/>
                <w:u w:val="single"/>
              </w:rPr>
            </w:pPr>
            <w:r>
              <w:rPr>
                <w:rFonts w:hint="eastAsia"/>
                <w:spacing w:val="4"/>
                <w:sz w:val="21"/>
                <w:u w:val="single"/>
              </w:rPr>
              <w:t>疫</w:t>
            </w:r>
            <w:r>
              <w:rPr>
                <w:rFonts w:hint="eastAsia"/>
                <w:spacing w:val="4"/>
                <w:sz w:val="21"/>
                <w:u w:val="single"/>
              </w:rPr>
              <w:t xml:space="preserve">  </w:t>
            </w:r>
            <w:r>
              <w:rPr>
                <w:rFonts w:hint="eastAsia"/>
                <w:spacing w:val="4"/>
                <w:sz w:val="21"/>
                <w:u w:val="single"/>
              </w:rPr>
              <w:t>苗</w:t>
            </w:r>
          </w:p>
        </w:tc>
        <w:tc>
          <w:tcPr>
            <w:tcW w:w="3240" w:type="dxa"/>
            <w:gridSpan w:val="2"/>
          </w:tcPr>
          <w:p w:rsidR="00000000" w:rsidRDefault="00000000">
            <w:pPr>
              <w:tabs>
                <w:tab w:val="left" w:pos="442"/>
              </w:tabs>
              <w:spacing w:before="60" w:after="120" w:line="320" w:lineRule="exact"/>
              <w:ind w:left="113" w:right="113"/>
              <w:jc w:val="center"/>
              <w:rPr>
                <w:spacing w:val="4"/>
                <w:sz w:val="21"/>
                <w:u w:val="single"/>
              </w:rPr>
            </w:pPr>
            <w:r>
              <w:rPr>
                <w:b/>
                <w:spacing w:val="4"/>
                <w:sz w:val="21"/>
                <w:u w:val="single"/>
              </w:rPr>
              <w:t>1998</w:t>
            </w:r>
          </w:p>
        </w:tc>
        <w:tc>
          <w:tcPr>
            <w:tcW w:w="2889" w:type="dxa"/>
            <w:gridSpan w:val="2"/>
          </w:tcPr>
          <w:p w:rsidR="00000000" w:rsidRDefault="00000000">
            <w:pPr>
              <w:tabs>
                <w:tab w:val="left" w:pos="442"/>
              </w:tabs>
              <w:spacing w:before="60" w:after="120" w:line="320" w:lineRule="exact"/>
              <w:ind w:left="113" w:right="113"/>
              <w:jc w:val="center"/>
              <w:rPr>
                <w:spacing w:val="4"/>
                <w:sz w:val="21"/>
                <w:u w:val="single"/>
              </w:rPr>
            </w:pPr>
            <w:r>
              <w:rPr>
                <w:b/>
                <w:spacing w:val="4"/>
                <w:sz w:val="21"/>
                <w:u w:val="single"/>
              </w:rPr>
              <w:t>1999</w:t>
            </w:r>
          </w:p>
        </w:tc>
      </w:tr>
      <w:tr w:rsidR="00000000">
        <w:tblPrEx>
          <w:tblCellMar>
            <w:top w:w="0" w:type="dxa"/>
            <w:bottom w:w="0" w:type="dxa"/>
          </w:tblCellMar>
        </w:tblPrEx>
        <w:trPr>
          <w:cantSplit/>
        </w:trPr>
        <w:tc>
          <w:tcPr>
            <w:tcW w:w="3227" w:type="dxa"/>
            <w:vMerge/>
            <w:tcBorders>
              <w:bottom w:val="single" w:sz="4" w:space="0" w:color="auto"/>
            </w:tcBorders>
          </w:tcPr>
          <w:p w:rsidR="00000000" w:rsidRDefault="00000000">
            <w:pPr>
              <w:tabs>
                <w:tab w:val="left" w:pos="442"/>
              </w:tabs>
              <w:spacing w:before="60" w:line="320" w:lineRule="exact"/>
              <w:ind w:left="113" w:right="113"/>
              <w:rPr>
                <w:spacing w:val="4"/>
                <w:sz w:val="21"/>
                <w:u w:val="single"/>
              </w:rPr>
            </w:pPr>
          </w:p>
        </w:tc>
        <w:tc>
          <w:tcPr>
            <w:tcW w:w="1440"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接种人数</w:t>
            </w:r>
          </w:p>
        </w:tc>
        <w:tc>
          <w:tcPr>
            <w:tcW w:w="1800"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覆盖率</w:t>
            </w:r>
            <w:r>
              <w:rPr>
                <w:rFonts w:hint="eastAsia"/>
                <w:spacing w:val="4"/>
                <w:sz w:val="21"/>
                <w:u w:val="single"/>
              </w:rPr>
              <w:t>(%)</w:t>
            </w:r>
          </w:p>
        </w:tc>
        <w:tc>
          <w:tcPr>
            <w:tcW w:w="1368"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接种人数</w:t>
            </w:r>
          </w:p>
        </w:tc>
        <w:tc>
          <w:tcPr>
            <w:tcW w:w="1521" w:type="dxa"/>
            <w:tcBorders>
              <w:bottom w:val="single" w:sz="4" w:space="0" w:color="auto"/>
            </w:tcBorders>
          </w:tcPr>
          <w:p w:rsidR="00000000" w:rsidRDefault="00000000">
            <w:pPr>
              <w:tabs>
                <w:tab w:val="left" w:pos="442"/>
              </w:tabs>
              <w:spacing w:before="60" w:after="120" w:line="320" w:lineRule="exact"/>
              <w:ind w:left="113" w:right="113"/>
              <w:jc w:val="center"/>
              <w:rPr>
                <w:rFonts w:hint="eastAsia"/>
                <w:spacing w:val="4"/>
                <w:sz w:val="21"/>
                <w:u w:val="single"/>
              </w:rPr>
            </w:pPr>
            <w:r>
              <w:rPr>
                <w:rFonts w:hint="eastAsia"/>
                <w:spacing w:val="4"/>
                <w:sz w:val="21"/>
                <w:u w:val="single"/>
              </w:rPr>
              <w:t>覆盖率</w:t>
            </w:r>
            <w:r>
              <w:rPr>
                <w:rFonts w:hint="eastAsia"/>
                <w:spacing w:val="4"/>
                <w:sz w:val="21"/>
                <w:u w:val="single"/>
              </w:rPr>
              <w:t>(%)</w:t>
            </w:r>
          </w:p>
        </w:tc>
      </w:tr>
      <w:tr w:rsidR="00000000">
        <w:tblPrEx>
          <w:tblCellMar>
            <w:top w:w="0" w:type="dxa"/>
            <w:bottom w:w="0" w:type="dxa"/>
          </w:tblCellMar>
        </w:tblPrEx>
        <w:tc>
          <w:tcPr>
            <w:tcW w:w="3227" w:type="dxa"/>
            <w:tcBorders>
              <w:bottom w:val="nil"/>
            </w:tcBorders>
          </w:tcPr>
          <w:p w:rsidR="00000000" w:rsidRDefault="00000000">
            <w:pPr>
              <w:tabs>
                <w:tab w:val="left" w:pos="442"/>
              </w:tabs>
              <w:spacing w:before="120" w:after="120" w:line="240" w:lineRule="exact"/>
              <w:ind w:left="113" w:right="113"/>
              <w:rPr>
                <w:rFonts w:hint="eastAsia"/>
                <w:spacing w:val="4"/>
                <w:sz w:val="21"/>
              </w:rPr>
            </w:pPr>
            <w:r>
              <w:rPr>
                <w:rFonts w:hint="eastAsia"/>
                <w:spacing w:val="4"/>
                <w:sz w:val="21"/>
              </w:rPr>
              <w:t>白喉、破伤风、百日咳</w:t>
            </w:r>
          </w:p>
        </w:tc>
        <w:tc>
          <w:tcPr>
            <w:tcW w:w="1440" w:type="dxa"/>
            <w:tcBorders>
              <w:bottom w:val="nil"/>
            </w:tcBorders>
          </w:tcPr>
          <w:p w:rsidR="00000000" w:rsidRDefault="00000000">
            <w:pPr>
              <w:tabs>
                <w:tab w:val="left" w:pos="442"/>
              </w:tabs>
              <w:spacing w:before="120" w:after="120" w:line="240" w:lineRule="exact"/>
              <w:ind w:left="113" w:right="113"/>
              <w:jc w:val="center"/>
              <w:rPr>
                <w:spacing w:val="4"/>
                <w:sz w:val="21"/>
                <w:lang w:val="fr-CH"/>
              </w:rPr>
            </w:pPr>
            <w:r>
              <w:rPr>
                <w:spacing w:val="4"/>
                <w:sz w:val="21"/>
                <w:lang w:val="fr-CH"/>
              </w:rPr>
              <w:t>45 629</w:t>
            </w:r>
          </w:p>
        </w:tc>
        <w:tc>
          <w:tcPr>
            <w:tcW w:w="1800" w:type="dxa"/>
            <w:tcBorders>
              <w:bottom w:val="nil"/>
            </w:tcBorders>
          </w:tcPr>
          <w:p w:rsidR="00000000" w:rsidRDefault="00000000">
            <w:pPr>
              <w:tabs>
                <w:tab w:val="left" w:pos="442"/>
              </w:tabs>
              <w:spacing w:before="120" w:after="120" w:line="240" w:lineRule="exact"/>
              <w:ind w:left="113" w:right="113"/>
              <w:rPr>
                <w:spacing w:val="4"/>
                <w:sz w:val="21"/>
                <w:lang w:val="fr-CH"/>
              </w:rPr>
            </w:pPr>
            <w:r>
              <w:rPr>
                <w:spacing w:val="4"/>
                <w:sz w:val="21"/>
                <w:lang w:val="fr-CH"/>
              </w:rPr>
              <w:t>89.2</w:t>
            </w:r>
          </w:p>
        </w:tc>
        <w:tc>
          <w:tcPr>
            <w:tcW w:w="1368" w:type="dxa"/>
            <w:tcBorders>
              <w:bottom w:val="nil"/>
            </w:tcBorders>
          </w:tcPr>
          <w:p w:rsidR="00000000" w:rsidRDefault="00000000">
            <w:pPr>
              <w:tabs>
                <w:tab w:val="left" w:pos="442"/>
              </w:tabs>
              <w:spacing w:before="120" w:after="120" w:line="240" w:lineRule="exact"/>
              <w:ind w:left="113" w:right="113"/>
              <w:jc w:val="center"/>
              <w:rPr>
                <w:spacing w:val="4"/>
                <w:sz w:val="21"/>
                <w:lang w:val="fr-CH"/>
              </w:rPr>
            </w:pPr>
            <w:r>
              <w:rPr>
                <w:spacing w:val="4"/>
                <w:sz w:val="21"/>
                <w:lang w:val="fr-CH"/>
              </w:rPr>
              <w:t>47 709</w:t>
            </w:r>
          </w:p>
        </w:tc>
        <w:tc>
          <w:tcPr>
            <w:tcW w:w="1521" w:type="dxa"/>
            <w:tcBorders>
              <w:bottom w:val="nil"/>
            </w:tcBorders>
          </w:tcPr>
          <w:p w:rsidR="00000000" w:rsidRDefault="00000000">
            <w:pPr>
              <w:tabs>
                <w:tab w:val="left" w:pos="442"/>
              </w:tabs>
              <w:spacing w:before="120" w:after="120" w:line="240" w:lineRule="exact"/>
              <w:ind w:left="113" w:right="113"/>
              <w:jc w:val="center"/>
              <w:rPr>
                <w:spacing w:val="4"/>
                <w:sz w:val="21"/>
                <w:lang w:val="fr-CH"/>
              </w:rPr>
            </w:pPr>
            <w:r>
              <w:rPr>
                <w:spacing w:val="4"/>
                <w:sz w:val="21"/>
                <w:lang w:val="fr-CH"/>
              </w:rPr>
              <w:t>97.7</w:t>
            </w:r>
          </w:p>
        </w:tc>
      </w:tr>
      <w:tr w:rsidR="00000000">
        <w:tblPrEx>
          <w:tblCellMar>
            <w:top w:w="0" w:type="dxa"/>
            <w:bottom w:w="0" w:type="dxa"/>
          </w:tblCellMar>
        </w:tblPrEx>
        <w:tc>
          <w:tcPr>
            <w:tcW w:w="3227" w:type="dxa"/>
            <w:tcBorders>
              <w:top w:val="nil"/>
              <w:bottom w:val="nil"/>
            </w:tcBorders>
          </w:tcPr>
          <w:p w:rsidR="00000000" w:rsidRDefault="00000000">
            <w:pPr>
              <w:tabs>
                <w:tab w:val="left" w:pos="442"/>
              </w:tabs>
              <w:spacing w:before="60" w:after="120" w:line="240" w:lineRule="exact"/>
              <w:ind w:left="113" w:right="113"/>
              <w:rPr>
                <w:rFonts w:hint="eastAsia"/>
                <w:spacing w:val="4"/>
                <w:sz w:val="21"/>
                <w:lang w:val="fr-CH"/>
              </w:rPr>
            </w:pPr>
            <w:r>
              <w:rPr>
                <w:rFonts w:hint="eastAsia"/>
                <w:spacing w:val="4"/>
                <w:sz w:val="21"/>
                <w:lang w:val="fr-CH"/>
              </w:rPr>
              <w:t>风疹</w:t>
            </w:r>
          </w:p>
        </w:tc>
        <w:tc>
          <w:tcPr>
            <w:tcW w:w="1440" w:type="dxa"/>
            <w:tcBorders>
              <w:top w:val="nil"/>
              <w:bottom w:val="nil"/>
            </w:tcBorders>
          </w:tcPr>
          <w:p w:rsidR="00000000" w:rsidRDefault="00000000">
            <w:pPr>
              <w:tabs>
                <w:tab w:val="left" w:pos="442"/>
              </w:tabs>
              <w:spacing w:before="60" w:after="120" w:line="240" w:lineRule="exact"/>
              <w:ind w:left="113" w:right="113"/>
              <w:jc w:val="center"/>
              <w:rPr>
                <w:spacing w:val="4"/>
                <w:sz w:val="21"/>
                <w:lang w:val="fr-CH"/>
              </w:rPr>
            </w:pPr>
            <w:r>
              <w:rPr>
                <w:spacing w:val="4"/>
                <w:sz w:val="21"/>
                <w:lang w:val="fr-CH"/>
              </w:rPr>
              <w:t>53 098</w:t>
            </w:r>
          </w:p>
        </w:tc>
        <w:tc>
          <w:tcPr>
            <w:tcW w:w="1800" w:type="dxa"/>
            <w:tcBorders>
              <w:top w:val="nil"/>
              <w:bottom w:val="nil"/>
            </w:tcBorders>
          </w:tcPr>
          <w:p w:rsidR="00000000" w:rsidRDefault="00000000">
            <w:pPr>
              <w:tabs>
                <w:tab w:val="left" w:pos="442"/>
              </w:tabs>
              <w:spacing w:before="60" w:after="120" w:line="240" w:lineRule="exact"/>
              <w:ind w:left="113" w:right="113"/>
              <w:rPr>
                <w:spacing w:val="4"/>
                <w:sz w:val="21"/>
                <w:lang w:val="fr-CH"/>
              </w:rPr>
            </w:pPr>
            <w:r>
              <w:rPr>
                <w:spacing w:val="4"/>
                <w:sz w:val="21"/>
                <w:lang w:val="fr-CH"/>
              </w:rPr>
              <w:t>95.5</w:t>
            </w:r>
          </w:p>
        </w:tc>
        <w:tc>
          <w:tcPr>
            <w:tcW w:w="1368" w:type="dxa"/>
            <w:tcBorders>
              <w:top w:val="nil"/>
              <w:bottom w:val="nil"/>
            </w:tcBorders>
          </w:tcPr>
          <w:p w:rsidR="00000000" w:rsidRDefault="00000000">
            <w:pPr>
              <w:tabs>
                <w:tab w:val="left" w:pos="442"/>
              </w:tabs>
              <w:spacing w:before="60" w:after="120" w:line="240" w:lineRule="exact"/>
              <w:ind w:left="113" w:right="113"/>
              <w:jc w:val="center"/>
              <w:rPr>
                <w:spacing w:val="4"/>
                <w:sz w:val="21"/>
                <w:lang w:val="fr-CH"/>
              </w:rPr>
            </w:pPr>
            <w:r>
              <w:rPr>
                <w:spacing w:val="4"/>
                <w:sz w:val="21"/>
                <w:lang w:val="fr-CH"/>
              </w:rPr>
              <w:t>54 029</w:t>
            </w:r>
          </w:p>
        </w:tc>
        <w:tc>
          <w:tcPr>
            <w:tcW w:w="1521" w:type="dxa"/>
            <w:tcBorders>
              <w:top w:val="nil"/>
              <w:bottom w:val="nil"/>
            </w:tcBorders>
          </w:tcPr>
          <w:p w:rsidR="00000000" w:rsidRDefault="00000000">
            <w:pPr>
              <w:tabs>
                <w:tab w:val="left" w:pos="442"/>
              </w:tabs>
              <w:spacing w:before="60" w:after="120" w:line="240" w:lineRule="exact"/>
              <w:ind w:left="113" w:right="113"/>
              <w:jc w:val="center"/>
              <w:rPr>
                <w:spacing w:val="4"/>
                <w:sz w:val="21"/>
                <w:lang w:val="fr-CH"/>
              </w:rPr>
            </w:pPr>
            <w:r>
              <w:rPr>
                <w:spacing w:val="4"/>
                <w:sz w:val="21"/>
                <w:lang w:val="fr-CH"/>
              </w:rPr>
              <w:t>97.0</w:t>
            </w:r>
          </w:p>
        </w:tc>
      </w:tr>
      <w:tr w:rsidR="00000000">
        <w:tblPrEx>
          <w:tblCellMar>
            <w:top w:w="0" w:type="dxa"/>
            <w:bottom w:w="0" w:type="dxa"/>
          </w:tblCellMar>
        </w:tblPrEx>
        <w:tc>
          <w:tcPr>
            <w:tcW w:w="3227" w:type="dxa"/>
            <w:tcBorders>
              <w:top w:val="nil"/>
              <w:bottom w:val="nil"/>
            </w:tcBorders>
          </w:tcPr>
          <w:p w:rsidR="00000000" w:rsidRDefault="00000000">
            <w:pPr>
              <w:tabs>
                <w:tab w:val="left" w:pos="442"/>
              </w:tabs>
              <w:spacing w:before="60" w:after="120" w:line="240" w:lineRule="exact"/>
              <w:ind w:left="113" w:right="113"/>
              <w:rPr>
                <w:rFonts w:hint="eastAsia"/>
                <w:spacing w:val="4"/>
                <w:sz w:val="21"/>
                <w:lang w:val="fr-CH"/>
              </w:rPr>
            </w:pPr>
            <w:r>
              <w:rPr>
                <w:rFonts w:hint="eastAsia"/>
                <w:spacing w:val="4"/>
                <w:sz w:val="21"/>
                <w:lang w:val="fr-CH"/>
              </w:rPr>
              <w:t>肺结核</w:t>
            </w:r>
          </w:p>
        </w:tc>
        <w:tc>
          <w:tcPr>
            <w:tcW w:w="1440" w:type="dxa"/>
            <w:tcBorders>
              <w:top w:val="nil"/>
              <w:bottom w:val="nil"/>
            </w:tcBorders>
          </w:tcPr>
          <w:p w:rsidR="00000000" w:rsidRDefault="00000000">
            <w:pPr>
              <w:tabs>
                <w:tab w:val="left" w:pos="442"/>
              </w:tabs>
              <w:spacing w:before="60" w:after="120" w:line="240" w:lineRule="exact"/>
              <w:ind w:left="113" w:right="113"/>
              <w:jc w:val="center"/>
              <w:rPr>
                <w:spacing w:val="4"/>
                <w:sz w:val="21"/>
                <w:lang w:val="fr-CH"/>
              </w:rPr>
            </w:pPr>
            <w:r>
              <w:rPr>
                <w:spacing w:val="4"/>
                <w:sz w:val="21"/>
                <w:lang w:val="fr-CH"/>
              </w:rPr>
              <w:t>48 199</w:t>
            </w:r>
          </w:p>
        </w:tc>
        <w:tc>
          <w:tcPr>
            <w:tcW w:w="1800" w:type="dxa"/>
            <w:tcBorders>
              <w:top w:val="nil"/>
              <w:bottom w:val="nil"/>
            </w:tcBorders>
          </w:tcPr>
          <w:p w:rsidR="00000000" w:rsidRDefault="00000000">
            <w:pPr>
              <w:tabs>
                <w:tab w:val="left" w:pos="442"/>
              </w:tabs>
              <w:spacing w:before="60" w:after="120" w:line="240" w:lineRule="exact"/>
              <w:ind w:left="113" w:right="113"/>
              <w:rPr>
                <w:spacing w:val="4"/>
                <w:sz w:val="21"/>
                <w:lang w:val="fr-CH"/>
              </w:rPr>
            </w:pPr>
            <w:r>
              <w:rPr>
                <w:spacing w:val="4"/>
                <w:sz w:val="21"/>
                <w:lang w:val="fr-CH"/>
              </w:rPr>
              <w:t>73.9</w:t>
            </w:r>
          </w:p>
        </w:tc>
        <w:tc>
          <w:tcPr>
            <w:tcW w:w="1368" w:type="dxa"/>
            <w:tcBorders>
              <w:top w:val="nil"/>
              <w:bottom w:val="nil"/>
            </w:tcBorders>
          </w:tcPr>
          <w:p w:rsidR="00000000" w:rsidRDefault="00000000">
            <w:pPr>
              <w:tabs>
                <w:tab w:val="left" w:pos="442"/>
              </w:tabs>
              <w:spacing w:before="60" w:after="120" w:line="240" w:lineRule="exact"/>
              <w:ind w:left="113" w:right="113"/>
              <w:jc w:val="center"/>
              <w:rPr>
                <w:spacing w:val="4"/>
                <w:sz w:val="21"/>
                <w:lang w:val="fr-CH"/>
              </w:rPr>
            </w:pPr>
            <w:r>
              <w:rPr>
                <w:spacing w:val="4"/>
                <w:sz w:val="21"/>
                <w:lang w:val="fr-CH"/>
              </w:rPr>
              <w:t>44 581</w:t>
            </w:r>
          </w:p>
        </w:tc>
        <w:tc>
          <w:tcPr>
            <w:tcW w:w="1521" w:type="dxa"/>
            <w:tcBorders>
              <w:top w:val="nil"/>
              <w:bottom w:val="nil"/>
            </w:tcBorders>
          </w:tcPr>
          <w:p w:rsidR="00000000" w:rsidRDefault="00000000">
            <w:pPr>
              <w:tabs>
                <w:tab w:val="left" w:pos="442"/>
              </w:tabs>
              <w:spacing w:before="60" w:after="120" w:line="240" w:lineRule="exact"/>
              <w:ind w:left="113" w:right="113"/>
              <w:jc w:val="center"/>
              <w:rPr>
                <w:spacing w:val="4"/>
                <w:sz w:val="21"/>
                <w:lang w:val="fr-CH"/>
              </w:rPr>
            </w:pPr>
            <w:r>
              <w:rPr>
                <w:spacing w:val="4"/>
                <w:sz w:val="21"/>
                <w:lang w:val="fr-CH"/>
              </w:rPr>
              <w:t>95.2</w:t>
            </w:r>
          </w:p>
        </w:tc>
      </w:tr>
      <w:tr w:rsidR="00000000">
        <w:tblPrEx>
          <w:tblCellMar>
            <w:top w:w="0" w:type="dxa"/>
            <w:bottom w:w="0" w:type="dxa"/>
          </w:tblCellMar>
        </w:tblPrEx>
        <w:tc>
          <w:tcPr>
            <w:tcW w:w="3227" w:type="dxa"/>
            <w:tcBorders>
              <w:top w:val="nil"/>
            </w:tcBorders>
          </w:tcPr>
          <w:p w:rsidR="00000000" w:rsidRDefault="00000000">
            <w:pPr>
              <w:tabs>
                <w:tab w:val="left" w:pos="442"/>
              </w:tabs>
              <w:spacing w:before="60" w:after="120" w:line="240" w:lineRule="exact"/>
              <w:ind w:left="113" w:right="113"/>
              <w:rPr>
                <w:rFonts w:hint="eastAsia"/>
                <w:spacing w:val="4"/>
                <w:sz w:val="21"/>
                <w:lang w:val="fr-CH"/>
              </w:rPr>
            </w:pPr>
            <w:r>
              <w:rPr>
                <w:rFonts w:hint="eastAsia"/>
                <w:spacing w:val="4"/>
                <w:sz w:val="21"/>
                <w:lang w:val="fr-CH"/>
              </w:rPr>
              <w:t>小儿麻痹症</w:t>
            </w:r>
          </w:p>
        </w:tc>
        <w:tc>
          <w:tcPr>
            <w:tcW w:w="1440" w:type="dxa"/>
            <w:tcBorders>
              <w:top w:val="nil"/>
            </w:tcBorders>
          </w:tcPr>
          <w:p w:rsidR="00000000" w:rsidRDefault="00000000">
            <w:pPr>
              <w:tabs>
                <w:tab w:val="left" w:pos="442"/>
              </w:tabs>
              <w:spacing w:before="60" w:after="120" w:line="240" w:lineRule="exact"/>
              <w:ind w:left="113" w:right="113"/>
              <w:jc w:val="center"/>
              <w:rPr>
                <w:spacing w:val="4"/>
                <w:sz w:val="21"/>
              </w:rPr>
            </w:pPr>
            <w:r>
              <w:rPr>
                <w:spacing w:val="4"/>
                <w:sz w:val="21"/>
              </w:rPr>
              <w:t>48 622</w:t>
            </w:r>
          </w:p>
        </w:tc>
        <w:tc>
          <w:tcPr>
            <w:tcW w:w="1800" w:type="dxa"/>
            <w:tcBorders>
              <w:top w:val="nil"/>
            </w:tcBorders>
          </w:tcPr>
          <w:p w:rsidR="00000000" w:rsidRDefault="00000000">
            <w:pPr>
              <w:tabs>
                <w:tab w:val="left" w:pos="442"/>
              </w:tabs>
              <w:spacing w:before="60" w:after="120" w:line="240" w:lineRule="exact"/>
              <w:ind w:left="113" w:right="113"/>
              <w:rPr>
                <w:spacing w:val="4"/>
                <w:sz w:val="21"/>
              </w:rPr>
            </w:pPr>
            <w:r>
              <w:rPr>
                <w:spacing w:val="4"/>
                <w:sz w:val="21"/>
              </w:rPr>
              <w:t>95.0</w:t>
            </w:r>
          </w:p>
        </w:tc>
        <w:tc>
          <w:tcPr>
            <w:tcW w:w="1368" w:type="dxa"/>
            <w:tcBorders>
              <w:top w:val="nil"/>
            </w:tcBorders>
          </w:tcPr>
          <w:p w:rsidR="00000000" w:rsidRDefault="00000000">
            <w:pPr>
              <w:tabs>
                <w:tab w:val="left" w:pos="442"/>
              </w:tabs>
              <w:spacing w:before="60" w:after="120" w:line="240" w:lineRule="exact"/>
              <w:ind w:left="113" w:right="113"/>
              <w:jc w:val="center"/>
              <w:rPr>
                <w:spacing w:val="4"/>
                <w:sz w:val="21"/>
              </w:rPr>
            </w:pPr>
            <w:r>
              <w:rPr>
                <w:spacing w:val="4"/>
                <w:sz w:val="21"/>
              </w:rPr>
              <w:t>49 858</w:t>
            </w:r>
          </w:p>
        </w:tc>
        <w:tc>
          <w:tcPr>
            <w:tcW w:w="1521" w:type="dxa"/>
            <w:tcBorders>
              <w:top w:val="nil"/>
            </w:tcBorders>
          </w:tcPr>
          <w:p w:rsidR="00000000" w:rsidRDefault="00000000">
            <w:pPr>
              <w:tabs>
                <w:tab w:val="left" w:pos="442"/>
              </w:tabs>
              <w:spacing w:before="60" w:after="120" w:line="240" w:lineRule="exact"/>
              <w:ind w:left="113" w:right="113"/>
              <w:jc w:val="center"/>
              <w:rPr>
                <w:spacing w:val="4"/>
                <w:sz w:val="21"/>
              </w:rPr>
            </w:pPr>
            <w:r>
              <w:rPr>
                <w:spacing w:val="4"/>
                <w:sz w:val="21"/>
              </w:rPr>
              <w:t>98.0</w:t>
            </w:r>
          </w:p>
        </w:tc>
      </w:tr>
    </w:tbl>
    <w:p w:rsidR="00000000" w:rsidRDefault="00000000">
      <w:pPr>
        <w:rPr>
          <w:rFonts w:hint="eastAsia"/>
        </w:rPr>
      </w:pPr>
    </w:p>
    <w:p w:rsidR="00000000" w:rsidRDefault="00000000">
      <w:pPr>
        <w:pStyle w:val="Heading4"/>
        <w:ind w:left="500"/>
        <w:rPr>
          <w:rFonts w:hint="eastAsia"/>
        </w:rPr>
      </w:pPr>
      <w:r>
        <w:rPr>
          <w:u w:val="none"/>
        </w:rPr>
        <w:t>(e)</w:t>
      </w:r>
      <w:r>
        <w:rPr>
          <w:u w:val="none"/>
        </w:rPr>
        <w:tab/>
      </w:r>
      <w:r>
        <w:rPr>
          <w:rFonts w:hint="eastAsia"/>
        </w:rPr>
        <w:t>预期寿命</w:t>
      </w:r>
    </w:p>
    <w:p w:rsidR="00000000" w:rsidRDefault="00000000">
      <w:pPr>
        <w:rPr>
          <w:rFonts w:hint="eastAsia"/>
        </w:rPr>
      </w:pPr>
      <w:r>
        <w:rPr>
          <w:rFonts w:hint="eastAsia"/>
        </w:rPr>
        <w:tab/>
        <w:t xml:space="preserve">199.  </w:t>
      </w:r>
      <w:r>
        <w:rPr>
          <w:rFonts w:hint="eastAsia"/>
        </w:rPr>
        <w:t>根据卫生组织</w:t>
      </w:r>
      <w:r>
        <w:rPr>
          <w:rFonts w:hint="eastAsia"/>
        </w:rPr>
        <w:t>1994</w:t>
      </w:r>
      <w:r>
        <w:rPr>
          <w:rFonts w:hint="eastAsia"/>
        </w:rPr>
        <w:t>年的统计数据，格鲁吉亚人民的平均预期寿命为</w:t>
      </w:r>
      <w:r>
        <w:rPr>
          <w:rFonts w:hint="eastAsia"/>
        </w:rPr>
        <w:t>73.5</w:t>
      </w:r>
      <w:r>
        <w:rPr>
          <w:rFonts w:hint="eastAsia"/>
        </w:rPr>
        <w:t>岁。根据独立专家</w:t>
      </w:r>
      <w:r>
        <w:rPr>
          <w:rFonts w:hint="eastAsia"/>
        </w:rPr>
        <w:t>1997</w:t>
      </w:r>
      <w:r>
        <w:rPr>
          <w:rFonts w:hint="eastAsia"/>
        </w:rPr>
        <w:t>年进行的研究，格鲁吉亚的女性的平均预期寿命为</w:t>
      </w:r>
      <w:r>
        <w:rPr>
          <w:rFonts w:hint="eastAsia"/>
        </w:rPr>
        <w:t>73</w:t>
      </w:r>
      <w:r>
        <w:rPr>
          <w:rFonts w:hint="eastAsia"/>
        </w:rPr>
        <w:t>岁，男性为</w:t>
      </w:r>
      <w:r>
        <w:rPr>
          <w:rFonts w:hint="eastAsia"/>
        </w:rPr>
        <w:t>66</w:t>
      </w:r>
      <w:r>
        <w:rPr>
          <w:rFonts w:hint="eastAsia"/>
        </w:rPr>
        <w:t>岁。</w:t>
      </w:r>
    </w:p>
    <w:p w:rsidR="00000000" w:rsidRDefault="00000000">
      <w:pPr>
        <w:rPr>
          <w:rFonts w:hint="eastAsia"/>
        </w:rPr>
      </w:pPr>
      <w:r>
        <w:rPr>
          <w:rFonts w:hint="eastAsia"/>
        </w:rPr>
        <w:tab/>
        <w:t xml:space="preserve">200.  </w:t>
      </w:r>
      <w:r>
        <w:rPr>
          <w:rFonts w:hint="eastAsia"/>
        </w:rPr>
        <w:t>以上资料是劳动、卫生和社会福利部提供的。此外，汇编《</w:t>
      </w:r>
      <w:r>
        <w:rPr>
          <w:rFonts w:hint="eastAsia"/>
        </w:rPr>
        <w:t>1999</w:t>
      </w:r>
      <w:r>
        <w:rPr>
          <w:rFonts w:hint="eastAsia"/>
        </w:rPr>
        <w:t>年格鲁吉亚男女》</w:t>
      </w:r>
      <w:r>
        <w:rPr>
          <w:rFonts w:hint="eastAsia"/>
        </w:rPr>
        <w:t>(</w:t>
      </w:r>
      <w:r>
        <w:rPr>
          <w:rFonts w:hint="eastAsia"/>
        </w:rPr>
        <w:t>国家统计局出版物，</w:t>
      </w:r>
      <w:r>
        <w:rPr>
          <w:rFonts w:hint="eastAsia"/>
        </w:rPr>
        <w:t>2000</w:t>
      </w:r>
      <w:r>
        <w:rPr>
          <w:rFonts w:hint="eastAsia"/>
        </w:rPr>
        <w:t>年</w:t>
      </w:r>
      <w:r>
        <w:rPr>
          <w:rFonts w:hint="eastAsia"/>
        </w:rPr>
        <w:t>)</w:t>
      </w:r>
      <w:r>
        <w:rPr>
          <w:rFonts w:hint="eastAsia"/>
        </w:rPr>
        <w:t>表明，女子的预期寿命指数为</w:t>
      </w:r>
      <w:r>
        <w:rPr>
          <w:rFonts w:hint="eastAsia"/>
        </w:rPr>
        <w:t>77</w:t>
      </w:r>
      <w:r>
        <w:rPr>
          <w:rFonts w:hint="eastAsia"/>
        </w:rPr>
        <w:t>岁，而男子为</w:t>
      </w:r>
      <w:r>
        <w:rPr>
          <w:rFonts w:hint="eastAsia"/>
        </w:rPr>
        <w:t>69</w:t>
      </w:r>
      <w:r>
        <w:rPr>
          <w:rFonts w:hint="eastAsia"/>
        </w:rPr>
        <w:t>岁。该资料来源表明，城市和农村地区男女的平均预期寿命基本上保持不变</w:t>
      </w:r>
      <w:r>
        <w:rPr>
          <w:rFonts w:hint="eastAsia"/>
        </w:rPr>
        <w:t>(</w:t>
      </w:r>
      <w:r>
        <w:rPr>
          <w:rFonts w:hint="eastAsia"/>
        </w:rPr>
        <w:t>根据对</w:t>
      </w:r>
      <w:r>
        <w:rPr>
          <w:rFonts w:hint="eastAsia"/>
        </w:rPr>
        <w:t>1980</w:t>
      </w:r>
      <w:r>
        <w:rPr>
          <w:rFonts w:hint="eastAsia"/>
        </w:rPr>
        <w:t>－</w:t>
      </w:r>
      <w:r>
        <w:rPr>
          <w:rFonts w:hint="eastAsia"/>
        </w:rPr>
        <w:t>1999</w:t>
      </w:r>
      <w:r>
        <w:rPr>
          <w:rFonts w:hint="eastAsia"/>
        </w:rPr>
        <w:t>年期间趋势的研究</w:t>
      </w:r>
      <w:r>
        <w:rPr>
          <w:rFonts w:hint="eastAsia"/>
        </w:rPr>
        <w:t>)</w:t>
      </w:r>
      <w:r>
        <w:rPr>
          <w:rFonts w:hint="eastAsia"/>
        </w:rPr>
        <w:t>。</w:t>
      </w:r>
    </w:p>
    <w:p w:rsidR="00000000" w:rsidRDefault="00000000">
      <w:pPr>
        <w:pStyle w:val="Heading4"/>
        <w:tabs>
          <w:tab w:val="left" w:pos="720"/>
        </w:tabs>
        <w:spacing w:before="320"/>
        <w:ind w:left="1100" w:hanging="600"/>
        <w:rPr>
          <w:rFonts w:hint="eastAsia"/>
        </w:rPr>
      </w:pPr>
      <w:r>
        <w:rPr>
          <w:u w:val="none"/>
        </w:rPr>
        <w:t>(f)</w:t>
      </w:r>
      <w:r>
        <w:rPr>
          <w:rFonts w:hint="eastAsia"/>
          <w:u w:val="none"/>
        </w:rPr>
        <w:t xml:space="preserve">  </w:t>
      </w:r>
      <w:r>
        <w:rPr>
          <w:rFonts w:hint="eastAsia"/>
        </w:rPr>
        <w:t>在一小时步行或驾车范围内获得常见伤病专业治疗和</w:t>
      </w:r>
      <w:r>
        <w:br/>
      </w:r>
      <w:r>
        <w:rPr>
          <w:rFonts w:hint="eastAsia"/>
        </w:rPr>
        <w:t>20</w:t>
      </w:r>
      <w:r>
        <w:rPr>
          <w:rFonts w:hint="eastAsia"/>
        </w:rPr>
        <w:t>种基本药品的人口比例</w:t>
      </w:r>
    </w:p>
    <w:p w:rsidR="00000000" w:rsidRDefault="00000000">
      <w:pPr>
        <w:spacing w:after="320"/>
        <w:rPr>
          <w:rFonts w:hint="eastAsia"/>
        </w:rPr>
      </w:pPr>
      <w:r>
        <w:rPr>
          <w:rFonts w:hint="eastAsia"/>
        </w:rPr>
        <w:tab/>
        <w:t xml:space="preserve">201.  </w:t>
      </w:r>
      <w:r>
        <w:rPr>
          <w:rFonts w:hint="eastAsia"/>
        </w:rPr>
        <w:t>人口的</w:t>
      </w:r>
      <w:r>
        <w:rPr>
          <w:rFonts w:hint="eastAsia"/>
        </w:rPr>
        <w:t>95%</w:t>
      </w:r>
      <w:r>
        <w:rPr>
          <w:rFonts w:hint="eastAsia"/>
        </w:rPr>
        <w:t>。</w:t>
      </w:r>
    </w:p>
    <w:p w:rsidR="00000000" w:rsidRDefault="00000000">
      <w:pPr>
        <w:pStyle w:val="Heading4"/>
        <w:ind w:left="500"/>
        <w:rPr>
          <w:rFonts w:hint="eastAsia"/>
        </w:rPr>
      </w:pPr>
      <w:r>
        <w:rPr>
          <w:u w:val="none"/>
        </w:rPr>
        <w:t>(g)</w:t>
      </w:r>
      <w:r>
        <w:rPr>
          <w:rFonts w:hint="eastAsia"/>
          <w:u w:val="none"/>
        </w:rPr>
        <w:t xml:space="preserve">  </w:t>
      </w:r>
      <w:r>
        <w:rPr>
          <w:rFonts w:hint="eastAsia"/>
        </w:rPr>
        <w:t>分娩时得到专业护理的妇女比例。产妇死亡率</w:t>
      </w:r>
    </w:p>
    <w:p w:rsidR="00000000" w:rsidRDefault="00000000">
      <w:r>
        <w:rPr>
          <w:rFonts w:hint="eastAsia"/>
        </w:rPr>
        <w:tab/>
      </w:r>
      <w:r>
        <w:t>202.</w:t>
      </w:r>
      <w:r>
        <w:rPr>
          <w:rFonts w:hint="eastAsia"/>
        </w:rPr>
        <w:t xml:space="preserve">  </w:t>
      </w:r>
      <w:r>
        <w:rPr>
          <w:rFonts w:hint="eastAsia"/>
        </w:rPr>
        <w:t>见以下表格：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1985"/>
        <w:gridCol w:w="1985"/>
        <w:gridCol w:w="1985"/>
        <w:gridCol w:w="1985"/>
      </w:tblGrid>
      <w:tr w:rsidR="00000000">
        <w:tblPrEx>
          <w:tblCellMar>
            <w:top w:w="0" w:type="dxa"/>
            <w:bottom w:w="0" w:type="dxa"/>
          </w:tblCellMar>
        </w:tblPrEx>
        <w:tc>
          <w:tcPr>
            <w:tcW w:w="1440" w:type="dxa"/>
            <w:tcBorders>
              <w:bottom w:val="single" w:sz="4" w:space="0" w:color="auto"/>
            </w:tcBorders>
          </w:tcPr>
          <w:p w:rsidR="00000000" w:rsidRDefault="00000000">
            <w:pPr>
              <w:tabs>
                <w:tab w:val="left" w:pos="442"/>
              </w:tabs>
              <w:spacing w:before="120" w:after="120" w:line="240" w:lineRule="exact"/>
              <w:ind w:left="113" w:right="113"/>
              <w:jc w:val="center"/>
              <w:rPr>
                <w:rFonts w:hint="eastAsia"/>
                <w:spacing w:val="4"/>
                <w:sz w:val="21"/>
                <w:u w:val="single"/>
              </w:rPr>
            </w:pPr>
            <w:r>
              <w:rPr>
                <w:rFonts w:hint="eastAsia"/>
                <w:spacing w:val="4"/>
                <w:sz w:val="21"/>
                <w:u w:val="single"/>
              </w:rPr>
              <w:t>年度</w:t>
            </w:r>
          </w:p>
        </w:tc>
        <w:tc>
          <w:tcPr>
            <w:tcW w:w="1985" w:type="dxa"/>
            <w:tcBorders>
              <w:bottom w:val="single" w:sz="4" w:space="0" w:color="auto"/>
            </w:tcBorders>
          </w:tcPr>
          <w:p w:rsidR="00000000" w:rsidRDefault="00000000">
            <w:pPr>
              <w:tabs>
                <w:tab w:val="left" w:pos="442"/>
              </w:tabs>
              <w:spacing w:before="120" w:after="120" w:line="240" w:lineRule="exact"/>
              <w:ind w:left="113" w:right="113"/>
              <w:jc w:val="center"/>
              <w:rPr>
                <w:rFonts w:hint="eastAsia"/>
                <w:spacing w:val="4"/>
                <w:sz w:val="21"/>
                <w:u w:val="single"/>
              </w:rPr>
            </w:pPr>
            <w:r>
              <w:rPr>
                <w:rFonts w:hint="eastAsia"/>
                <w:spacing w:val="4"/>
                <w:sz w:val="21"/>
                <w:u w:val="single"/>
              </w:rPr>
              <w:t>产妇总数</w:t>
            </w:r>
          </w:p>
        </w:tc>
        <w:tc>
          <w:tcPr>
            <w:tcW w:w="1985" w:type="dxa"/>
            <w:tcBorders>
              <w:bottom w:val="single" w:sz="4" w:space="0" w:color="auto"/>
            </w:tcBorders>
          </w:tcPr>
          <w:p w:rsidR="00000000" w:rsidRDefault="00000000">
            <w:pPr>
              <w:tabs>
                <w:tab w:val="left" w:pos="442"/>
              </w:tabs>
              <w:spacing w:before="120" w:after="120" w:line="240" w:lineRule="exact"/>
              <w:ind w:left="113" w:right="113"/>
              <w:jc w:val="center"/>
              <w:rPr>
                <w:rFonts w:hint="eastAsia"/>
                <w:spacing w:val="4"/>
                <w:sz w:val="21"/>
                <w:u w:val="single"/>
              </w:rPr>
            </w:pPr>
            <w:r>
              <w:rPr>
                <w:rFonts w:hint="eastAsia"/>
                <w:spacing w:val="4"/>
                <w:sz w:val="21"/>
                <w:u w:val="single"/>
              </w:rPr>
              <w:t>在产院里</w:t>
            </w:r>
          </w:p>
        </w:tc>
        <w:tc>
          <w:tcPr>
            <w:tcW w:w="1985" w:type="dxa"/>
            <w:tcBorders>
              <w:bottom w:val="single" w:sz="4" w:space="0" w:color="auto"/>
            </w:tcBorders>
          </w:tcPr>
          <w:p w:rsidR="00000000" w:rsidRDefault="00000000">
            <w:pPr>
              <w:tabs>
                <w:tab w:val="left" w:pos="442"/>
              </w:tabs>
              <w:spacing w:before="120" w:after="120" w:line="240" w:lineRule="exact"/>
              <w:ind w:left="113" w:right="113"/>
              <w:jc w:val="center"/>
              <w:rPr>
                <w:rFonts w:hint="eastAsia"/>
                <w:spacing w:val="4"/>
                <w:sz w:val="21"/>
                <w:u w:val="single"/>
              </w:rPr>
            </w:pPr>
            <w:r>
              <w:rPr>
                <w:rFonts w:hint="eastAsia"/>
                <w:spacing w:val="4"/>
                <w:sz w:val="21"/>
                <w:u w:val="single"/>
              </w:rPr>
              <w:t>在家里</w:t>
            </w:r>
          </w:p>
        </w:tc>
        <w:tc>
          <w:tcPr>
            <w:tcW w:w="1985" w:type="dxa"/>
            <w:tcBorders>
              <w:bottom w:val="single" w:sz="4" w:space="0" w:color="auto"/>
            </w:tcBorders>
          </w:tcPr>
          <w:p w:rsidR="00000000" w:rsidRDefault="00000000">
            <w:pPr>
              <w:tabs>
                <w:tab w:val="left" w:pos="442"/>
              </w:tabs>
              <w:spacing w:before="120" w:after="120" w:line="240" w:lineRule="exact"/>
              <w:ind w:left="113" w:right="113"/>
              <w:jc w:val="center"/>
              <w:rPr>
                <w:rFonts w:hint="eastAsia"/>
                <w:spacing w:val="4"/>
                <w:sz w:val="21"/>
                <w:u w:val="single"/>
              </w:rPr>
            </w:pPr>
            <w:r>
              <w:rPr>
                <w:rFonts w:hint="eastAsia"/>
                <w:spacing w:val="4"/>
                <w:sz w:val="21"/>
                <w:u w:val="single"/>
              </w:rPr>
              <w:t>死亡率</w:t>
            </w:r>
            <w:r>
              <w:rPr>
                <w:spacing w:val="4"/>
                <w:sz w:val="21"/>
                <w:u w:val="single"/>
              </w:rPr>
              <w:br/>
            </w:r>
            <w:r>
              <w:rPr>
                <w:rFonts w:hint="eastAsia"/>
                <w:spacing w:val="4"/>
                <w:sz w:val="21"/>
                <w:u w:val="single"/>
              </w:rPr>
              <w:t>(</w:t>
            </w:r>
            <w:r>
              <w:rPr>
                <w:rFonts w:hint="eastAsia"/>
                <w:spacing w:val="4"/>
                <w:sz w:val="21"/>
                <w:u w:val="single"/>
              </w:rPr>
              <w:t>每</w:t>
            </w:r>
            <w:r>
              <w:rPr>
                <w:rFonts w:hint="eastAsia"/>
                <w:b/>
                <w:spacing w:val="4"/>
                <w:sz w:val="21"/>
                <w:u w:val="single"/>
              </w:rPr>
              <w:t>1,000</w:t>
            </w:r>
            <w:r>
              <w:rPr>
                <w:rFonts w:hint="eastAsia"/>
                <w:spacing w:val="4"/>
                <w:sz w:val="21"/>
                <w:u w:val="single"/>
              </w:rPr>
              <w:t>活产</w:t>
            </w:r>
            <w:r>
              <w:rPr>
                <w:rFonts w:hint="eastAsia"/>
                <w:spacing w:val="4"/>
                <w:sz w:val="21"/>
                <w:u w:val="single"/>
              </w:rPr>
              <w:t>)</w:t>
            </w:r>
          </w:p>
        </w:tc>
      </w:tr>
      <w:tr w:rsidR="00000000">
        <w:tblPrEx>
          <w:tblCellMar>
            <w:top w:w="0" w:type="dxa"/>
            <w:bottom w:w="0" w:type="dxa"/>
          </w:tblCellMar>
        </w:tblPrEx>
        <w:tc>
          <w:tcPr>
            <w:tcW w:w="1440" w:type="dxa"/>
            <w:tcBorders>
              <w:bottom w:val="nil"/>
            </w:tcBorders>
          </w:tcPr>
          <w:p w:rsidR="00000000" w:rsidRDefault="00000000">
            <w:pPr>
              <w:tabs>
                <w:tab w:val="left" w:pos="442"/>
              </w:tabs>
              <w:spacing w:before="120" w:after="120" w:line="240" w:lineRule="exact"/>
              <w:ind w:left="113" w:right="113"/>
              <w:jc w:val="center"/>
              <w:rPr>
                <w:spacing w:val="4"/>
                <w:sz w:val="21"/>
              </w:rPr>
            </w:pPr>
            <w:r>
              <w:rPr>
                <w:spacing w:val="4"/>
                <w:sz w:val="21"/>
              </w:rPr>
              <w:t>1998</w:t>
            </w:r>
          </w:p>
        </w:tc>
        <w:tc>
          <w:tcPr>
            <w:tcW w:w="1985" w:type="dxa"/>
            <w:tcBorders>
              <w:bottom w:val="nil"/>
            </w:tcBorders>
          </w:tcPr>
          <w:p w:rsidR="00000000" w:rsidRDefault="00000000">
            <w:pPr>
              <w:tabs>
                <w:tab w:val="left" w:pos="442"/>
              </w:tabs>
              <w:spacing w:before="120" w:after="120" w:line="240" w:lineRule="exact"/>
              <w:ind w:left="113" w:right="113"/>
              <w:jc w:val="center"/>
              <w:rPr>
                <w:rFonts w:hint="eastAsia"/>
                <w:spacing w:val="4"/>
                <w:sz w:val="21"/>
              </w:rPr>
            </w:pPr>
            <w:r>
              <w:rPr>
                <w:spacing w:val="4"/>
                <w:sz w:val="21"/>
              </w:rPr>
              <w:t>50,177</w:t>
            </w:r>
          </w:p>
        </w:tc>
        <w:tc>
          <w:tcPr>
            <w:tcW w:w="1985" w:type="dxa"/>
            <w:tcBorders>
              <w:bottom w:val="nil"/>
            </w:tcBorders>
          </w:tcPr>
          <w:p w:rsidR="00000000" w:rsidRDefault="00000000">
            <w:pPr>
              <w:tabs>
                <w:tab w:val="left" w:pos="442"/>
              </w:tabs>
              <w:spacing w:before="120" w:after="120" w:line="240" w:lineRule="exact"/>
              <w:ind w:left="113" w:right="113"/>
              <w:jc w:val="center"/>
              <w:rPr>
                <w:spacing w:val="4"/>
                <w:sz w:val="21"/>
              </w:rPr>
            </w:pPr>
            <w:r>
              <w:rPr>
                <w:spacing w:val="4"/>
                <w:sz w:val="21"/>
              </w:rPr>
              <w:t>48,532</w:t>
            </w:r>
          </w:p>
        </w:tc>
        <w:tc>
          <w:tcPr>
            <w:tcW w:w="1985" w:type="dxa"/>
            <w:tcBorders>
              <w:bottom w:val="nil"/>
            </w:tcBorders>
          </w:tcPr>
          <w:p w:rsidR="00000000" w:rsidRDefault="00000000">
            <w:pPr>
              <w:tabs>
                <w:tab w:val="left" w:pos="442"/>
              </w:tabs>
              <w:spacing w:before="120" w:after="120" w:line="240" w:lineRule="exact"/>
              <w:ind w:left="113" w:right="113"/>
              <w:jc w:val="center"/>
              <w:rPr>
                <w:spacing w:val="4"/>
                <w:sz w:val="21"/>
              </w:rPr>
            </w:pPr>
            <w:r>
              <w:rPr>
                <w:spacing w:val="4"/>
                <w:sz w:val="21"/>
              </w:rPr>
              <w:t>1,646</w:t>
            </w:r>
          </w:p>
        </w:tc>
        <w:tc>
          <w:tcPr>
            <w:tcW w:w="1985" w:type="dxa"/>
            <w:tcBorders>
              <w:bottom w:val="nil"/>
            </w:tcBorders>
          </w:tcPr>
          <w:p w:rsidR="00000000" w:rsidRDefault="00000000">
            <w:pPr>
              <w:tabs>
                <w:tab w:val="left" w:pos="442"/>
              </w:tabs>
              <w:spacing w:before="120" w:after="120" w:line="240" w:lineRule="exact"/>
              <w:ind w:left="113" w:right="113"/>
              <w:jc w:val="center"/>
              <w:rPr>
                <w:spacing w:val="4"/>
                <w:sz w:val="21"/>
              </w:rPr>
            </w:pPr>
            <w:r>
              <w:rPr>
                <w:spacing w:val="4"/>
                <w:sz w:val="21"/>
              </w:rPr>
              <w:t>68.56</w:t>
            </w:r>
          </w:p>
        </w:tc>
      </w:tr>
      <w:tr w:rsidR="00000000">
        <w:tblPrEx>
          <w:tblCellMar>
            <w:top w:w="0" w:type="dxa"/>
            <w:bottom w:w="0" w:type="dxa"/>
          </w:tblCellMar>
        </w:tblPrEx>
        <w:tc>
          <w:tcPr>
            <w:tcW w:w="1440" w:type="dxa"/>
            <w:tcBorders>
              <w:top w:val="nil"/>
            </w:tcBorders>
          </w:tcPr>
          <w:p w:rsidR="00000000" w:rsidRDefault="00000000">
            <w:pPr>
              <w:tabs>
                <w:tab w:val="left" w:pos="442"/>
              </w:tabs>
              <w:spacing w:before="60" w:after="120" w:line="240" w:lineRule="exact"/>
              <w:ind w:left="113" w:right="113"/>
              <w:jc w:val="center"/>
              <w:rPr>
                <w:spacing w:val="4"/>
                <w:sz w:val="21"/>
              </w:rPr>
            </w:pPr>
            <w:r>
              <w:rPr>
                <w:spacing w:val="4"/>
                <w:sz w:val="21"/>
              </w:rPr>
              <w:t>1999</w:t>
            </w:r>
          </w:p>
        </w:tc>
        <w:tc>
          <w:tcPr>
            <w:tcW w:w="1985" w:type="dxa"/>
            <w:tcBorders>
              <w:top w:val="nil"/>
            </w:tcBorders>
          </w:tcPr>
          <w:p w:rsidR="00000000" w:rsidRDefault="00000000">
            <w:pPr>
              <w:tabs>
                <w:tab w:val="left" w:pos="442"/>
              </w:tabs>
              <w:spacing w:before="60" w:after="120" w:line="240" w:lineRule="exact"/>
              <w:ind w:left="113" w:right="113"/>
              <w:jc w:val="center"/>
              <w:rPr>
                <w:spacing w:val="4"/>
                <w:sz w:val="21"/>
              </w:rPr>
            </w:pPr>
            <w:r>
              <w:rPr>
                <w:spacing w:val="4"/>
                <w:sz w:val="21"/>
              </w:rPr>
              <w:t>47,669</w:t>
            </w:r>
          </w:p>
        </w:tc>
        <w:tc>
          <w:tcPr>
            <w:tcW w:w="1985" w:type="dxa"/>
            <w:tcBorders>
              <w:top w:val="nil"/>
            </w:tcBorders>
          </w:tcPr>
          <w:p w:rsidR="00000000" w:rsidRDefault="00000000">
            <w:pPr>
              <w:tabs>
                <w:tab w:val="left" w:pos="442"/>
              </w:tabs>
              <w:spacing w:before="60" w:after="120" w:line="240" w:lineRule="exact"/>
              <w:ind w:left="113" w:right="113"/>
              <w:jc w:val="center"/>
              <w:rPr>
                <w:spacing w:val="4"/>
                <w:sz w:val="21"/>
              </w:rPr>
            </w:pPr>
            <w:r>
              <w:rPr>
                <w:spacing w:val="4"/>
                <w:sz w:val="21"/>
              </w:rPr>
              <w:t>45,801</w:t>
            </w:r>
          </w:p>
        </w:tc>
        <w:tc>
          <w:tcPr>
            <w:tcW w:w="1985" w:type="dxa"/>
            <w:tcBorders>
              <w:top w:val="nil"/>
            </w:tcBorders>
          </w:tcPr>
          <w:p w:rsidR="00000000" w:rsidRDefault="00000000">
            <w:pPr>
              <w:tabs>
                <w:tab w:val="left" w:pos="442"/>
              </w:tabs>
              <w:spacing w:before="60" w:after="120" w:line="240" w:lineRule="exact"/>
              <w:ind w:left="113" w:right="113"/>
              <w:jc w:val="center"/>
              <w:rPr>
                <w:spacing w:val="4"/>
                <w:sz w:val="21"/>
              </w:rPr>
            </w:pPr>
            <w:r>
              <w:rPr>
                <w:spacing w:val="4"/>
                <w:sz w:val="21"/>
              </w:rPr>
              <w:t>1,868</w:t>
            </w:r>
          </w:p>
        </w:tc>
        <w:tc>
          <w:tcPr>
            <w:tcW w:w="1985" w:type="dxa"/>
            <w:tcBorders>
              <w:top w:val="nil"/>
            </w:tcBorders>
          </w:tcPr>
          <w:p w:rsidR="00000000" w:rsidRDefault="00000000">
            <w:pPr>
              <w:tabs>
                <w:tab w:val="left" w:pos="442"/>
              </w:tabs>
              <w:spacing w:before="60" w:after="120" w:line="240" w:lineRule="exact"/>
              <w:ind w:left="113" w:right="113"/>
              <w:jc w:val="center"/>
              <w:rPr>
                <w:spacing w:val="4"/>
                <w:sz w:val="21"/>
              </w:rPr>
            </w:pPr>
            <w:r>
              <w:rPr>
                <w:spacing w:val="4"/>
                <w:sz w:val="21"/>
              </w:rPr>
              <w:t>51.25</w:t>
            </w:r>
          </w:p>
        </w:tc>
      </w:tr>
    </w:tbl>
    <w:p w:rsidR="00000000" w:rsidRDefault="00000000"/>
    <w:p w:rsidR="00000000" w:rsidRDefault="00000000">
      <w:pPr>
        <w:pStyle w:val="Heading4"/>
        <w:ind w:left="500"/>
        <w:rPr>
          <w:rFonts w:hint="eastAsia"/>
        </w:rPr>
      </w:pPr>
      <w:r>
        <w:rPr>
          <w:u w:val="none"/>
        </w:rPr>
        <w:t>(h)</w:t>
      </w:r>
      <w:r>
        <w:rPr>
          <w:rFonts w:hint="eastAsia"/>
          <w:u w:val="none"/>
        </w:rPr>
        <w:t xml:space="preserve">  </w:t>
      </w:r>
      <w:r>
        <w:rPr>
          <w:rFonts w:hint="eastAsia"/>
        </w:rPr>
        <w:t>得到专业医疗的儿童的比例</w:t>
      </w:r>
    </w:p>
    <w:p w:rsidR="00000000" w:rsidRDefault="00000000">
      <w:pPr>
        <w:spacing w:after="320"/>
        <w:rPr>
          <w:rFonts w:hint="eastAsia"/>
        </w:rPr>
      </w:pPr>
      <w:r>
        <w:rPr>
          <w:rFonts w:hint="eastAsia"/>
        </w:rPr>
        <w:tab/>
        <w:t xml:space="preserve">203.  </w:t>
      </w:r>
      <w:r>
        <w:rPr>
          <w:rFonts w:hint="eastAsia"/>
        </w:rPr>
        <w:t>根据劳动、卫生和社会福利部提供的统计数据，</w:t>
      </w:r>
      <w:r>
        <w:rPr>
          <w:rFonts w:hint="eastAsia"/>
        </w:rPr>
        <w:t>1998</w:t>
      </w:r>
      <w:r>
        <w:rPr>
          <w:rFonts w:hint="eastAsia"/>
        </w:rPr>
        <w:t>年，格鲁吉亚的门诊诊所和保健中心接待了</w:t>
      </w:r>
      <w:r>
        <w:rPr>
          <w:rFonts w:hint="eastAsia"/>
        </w:rPr>
        <w:t>1,247,275</w:t>
      </w:r>
      <w:r>
        <w:rPr>
          <w:rFonts w:hint="eastAsia"/>
        </w:rPr>
        <w:t>名儿童和</w:t>
      </w:r>
      <w:r>
        <w:rPr>
          <w:rFonts w:hint="eastAsia"/>
        </w:rPr>
        <w:t>18</w:t>
      </w:r>
      <w:r>
        <w:rPr>
          <w:rFonts w:hint="eastAsia"/>
        </w:rPr>
        <w:t>岁以下的少年。其中</w:t>
      </w:r>
      <w:r>
        <w:rPr>
          <w:rFonts w:hint="eastAsia"/>
        </w:rPr>
        <w:t>1,017,678</w:t>
      </w:r>
      <w:r>
        <w:rPr>
          <w:rFonts w:hint="eastAsia"/>
        </w:rPr>
        <w:t>人是</w:t>
      </w:r>
      <w:r>
        <w:rPr>
          <w:rFonts w:hint="eastAsia"/>
        </w:rPr>
        <w:t>14</w:t>
      </w:r>
      <w:r>
        <w:rPr>
          <w:rFonts w:hint="eastAsia"/>
        </w:rPr>
        <w:t>岁以下的儿童，</w:t>
      </w:r>
      <w:r>
        <w:rPr>
          <w:rFonts w:hint="eastAsia"/>
        </w:rPr>
        <w:t>49,891</w:t>
      </w:r>
      <w:r>
        <w:rPr>
          <w:rFonts w:hint="eastAsia"/>
        </w:rPr>
        <w:t>人是</w:t>
      </w:r>
      <w:r>
        <w:rPr>
          <w:rFonts w:hint="eastAsia"/>
        </w:rPr>
        <w:t>1</w:t>
      </w:r>
      <w:r>
        <w:rPr>
          <w:rFonts w:hint="eastAsia"/>
        </w:rPr>
        <w:t>岁以下婴儿。</w:t>
      </w:r>
      <w:r>
        <w:rPr>
          <w:rFonts w:hint="eastAsia"/>
        </w:rPr>
        <w:t>1999</w:t>
      </w:r>
      <w:r>
        <w:rPr>
          <w:rFonts w:hint="eastAsia"/>
        </w:rPr>
        <w:t>年，这些指数分别为</w:t>
      </w:r>
      <w:r>
        <w:rPr>
          <w:rFonts w:hint="eastAsia"/>
        </w:rPr>
        <w:t>1,123,346</w:t>
      </w:r>
      <w:r>
        <w:rPr>
          <w:rFonts w:hint="eastAsia"/>
        </w:rPr>
        <w:t>名儿童和少年、</w:t>
      </w:r>
      <w:r>
        <w:rPr>
          <w:rFonts w:hint="eastAsia"/>
        </w:rPr>
        <w:t>990,859</w:t>
      </w:r>
      <w:r>
        <w:rPr>
          <w:rFonts w:hint="eastAsia"/>
        </w:rPr>
        <w:t>名儿童和</w:t>
      </w:r>
      <w:r>
        <w:rPr>
          <w:rFonts w:hint="eastAsia"/>
        </w:rPr>
        <w:t>47,537</w:t>
      </w:r>
      <w:r>
        <w:rPr>
          <w:rFonts w:hint="eastAsia"/>
        </w:rPr>
        <w:t>名婴儿。</w:t>
      </w:r>
    </w:p>
    <w:p w:rsidR="00000000" w:rsidRDefault="00000000">
      <w:pPr>
        <w:pStyle w:val="Heading4"/>
        <w:rPr>
          <w:rFonts w:hint="eastAsia"/>
        </w:rPr>
      </w:pPr>
      <w:r>
        <w:rPr>
          <w:rFonts w:hint="eastAsia"/>
        </w:rPr>
        <w:t>最脆弱人口阶层的保健</w:t>
      </w:r>
    </w:p>
    <w:p w:rsidR="00000000" w:rsidRDefault="00000000">
      <w:pPr>
        <w:rPr>
          <w:rFonts w:hint="eastAsia"/>
        </w:rPr>
      </w:pPr>
      <w:r>
        <w:rPr>
          <w:rFonts w:hint="eastAsia"/>
        </w:rPr>
        <w:tab/>
        <w:t xml:space="preserve">204.  </w:t>
      </w:r>
      <w:r>
        <w:rPr>
          <w:rFonts w:hint="eastAsia"/>
        </w:rPr>
        <w:t>这一类包括往往连基本的医疗也得不到的最贫困的人口阶层。格鲁吉亚根据《公约》提交的初步报告</w:t>
      </w:r>
      <w:r>
        <w:rPr>
          <w:rFonts w:hint="eastAsia"/>
        </w:rPr>
        <w:t>(</w:t>
      </w:r>
      <w:r>
        <w:rPr>
          <w:rFonts w:hint="eastAsia"/>
        </w:rPr>
        <w:t>第</w:t>
      </w:r>
      <w:r>
        <w:rPr>
          <w:rFonts w:hint="eastAsia"/>
        </w:rPr>
        <w:t>242</w:t>
      </w:r>
      <w:r>
        <w:rPr>
          <w:rFonts w:hint="eastAsia"/>
        </w:rPr>
        <w:t>－</w:t>
      </w:r>
      <w:r>
        <w:rPr>
          <w:rFonts w:hint="eastAsia"/>
        </w:rPr>
        <w:t>247</w:t>
      </w:r>
      <w:r>
        <w:rPr>
          <w:rFonts w:hint="eastAsia"/>
        </w:rPr>
        <w:t>段</w:t>
      </w:r>
      <w:r>
        <w:rPr>
          <w:rFonts w:hint="eastAsia"/>
        </w:rPr>
        <w:t>)</w:t>
      </w:r>
      <w:r>
        <w:rPr>
          <w:rFonts w:hint="eastAsia"/>
        </w:rPr>
        <w:t>叙述了这些阶层的状况。作为格鲁吉亚保健系统改组整顿的初步阶段，国家保证执行扩展公共保健方案。其中最值得注意的是向贫困者提供补充医疗的国家方案，其目的是保障社会经济地位底下群体取得医疗援助。</w:t>
      </w:r>
    </w:p>
    <w:p w:rsidR="00000000" w:rsidRDefault="00000000">
      <w:pPr>
        <w:rPr>
          <w:rFonts w:hint="eastAsia"/>
        </w:rPr>
      </w:pPr>
      <w:r>
        <w:rPr>
          <w:rFonts w:hint="eastAsia"/>
        </w:rPr>
        <w:tab/>
        <w:t xml:space="preserve">205.  </w:t>
      </w:r>
      <w:r>
        <w:t>Racha-Lechkhumi (Kvemo Svaneti)</w:t>
      </w:r>
      <w:r>
        <w:rPr>
          <w:rFonts w:hint="eastAsia"/>
        </w:rPr>
        <w:t>、</w:t>
      </w:r>
      <w:r>
        <w:t>Zemo Svaneti</w:t>
      </w:r>
      <w:r>
        <w:rPr>
          <w:rFonts w:hint="eastAsia"/>
          <w:lang w:val="fr-CH"/>
        </w:rPr>
        <w:t>地区和波季市是公共卫生条件很差的地区</w:t>
      </w:r>
      <w:r>
        <w:rPr>
          <w:rFonts w:hint="eastAsia"/>
        </w:rPr>
        <w:t>，</w:t>
      </w:r>
      <w:r>
        <w:rPr>
          <w:rFonts w:hint="eastAsia"/>
          <w:lang w:val="fr-CH"/>
        </w:rPr>
        <w:t>当地死亡率指数高于全国平均数。</w:t>
      </w:r>
    </w:p>
    <w:p w:rsidR="00000000" w:rsidRDefault="00000000">
      <w:pPr>
        <w:spacing w:after="320"/>
        <w:rPr>
          <w:rFonts w:hint="eastAsia"/>
          <w:lang w:val="fr-CH"/>
        </w:rPr>
      </w:pPr>
      <w:r>
        <w:rPr>
          <w:rFonts w:hint="eastAsia"/>
        </w:rPr>
        <w:tab/>
      </w:r>
      <w:r>
        <w:rPr>
          <w:rFonts w:hint="eastAsia"/>
          <w:lang w:val="fr-CH"/>
        </w:rPr>
        <w:t xml:space="preserve">206.  </w:t>
      </w:r>
      <w:r>
        <w:rPr>
          <w:rFonts w:hint="eastAsia"/>
          <w:lang w:val="fr-CH"/>
        </w:rPr>
        <w:t>提高公共卫生水准与象样的工作和休闲条件直接关联。以下因素在创造这种条件方面发挥重大作用：首先是卫生食品和饮用水；第二是有利于健康的生活方式；第三是提高公众基本医疗知识和技能；第四是缓解社会紧张关系。劳动、卫生和社会福利部报告说，有关国家方案对执行这些措施作出了规定。对于每一项措施都是根据适当制定的指数来评估其结果。但应该指出，鉴于格鲁吉亚的目前状况</w:t>
      </w:r>
      <w:r>
        <w:rPr>
          <w:rFonts w:hint="eastAsia"/>
          <w:lang w:val="fr-CH"/>
        </w:rPr>
        <w:t>(</w:t>
      </w:r>
      <w:r>
        <w:rPr>
          <w:rFonts w:hint="eastAsia"/>
          <w:lang w:val="fr-CH"/>
        </w:rPr>
        <w:t>本报告在一定程度上反映了这种状况</w:t>
      </w:r>
      <w:r>
        <w:rPr>
          <w:rFonts w:hint="eastAsia"/>
          <w:lang w:val="fr-CH"/>
        </w:rPr>
        <w:t>)</w:t>
      </w:r>
      <w:r>
        <w:rPr>
          <w:rFonts w:hint="eastAsia"/>
          <w:lang w:val="fr-CH"/>
        </w:rPr>
        <w:t>，现在难以预计这一方面的重大改善。</w:t>
      </w:r>
    </w:p>
    <w:p w:rsidR="00000000" w:rsidRDefault="00000000">
      <w:pPr>
        <w:pStyle w:val="Heading4"/>
        <w:rPr>
          <w:rFonts w:hint="eastAsia"/>
          <w:lang w:val="fr-CH"/>
        </w:rPr>
      </w:pPr>
      <w:r>
        <w:rPr>
          <w:rFonts w:hint="eastAsia"/>
          <w:lang w:val="fr-CH"/>
        </w:rPr>
        <w:t>减少死产和降低婴儿</w:t>
      </w:r>
      <w:r>
        <w:rPr>
          <w:rFonts w:hint="eastAsia"/>
        </w:rPr>
        <w:t>死亡率</w:t>
      </w:r>
    </w:p>
    <w:p w:rsidR="00000000" w:rsidRDefault="00000000">
      <w:pPr>
        <w:rPr>
          <w:rFonts w:hint="eastAsia"/>
          <w:lang w:val="fr-CH"/>
        </w:rPr>
      </w:pPr>
      <w:r>
        <w:rPr>
          <w:rFonts w:hint="eastAsia"/>
          <w:lang w:val="fr-CH"/>
        </w:rPr>
        <w:tab/>
        <w:t xml:space="preserve">207.  </w:t>
      </w:r>
      <w:r>
        <w:rPr>
          <w:rFonts w:hint="eastAsia"/>
          <w:lang w:val="fr-CH"/>
        </w:rPr>
        <w:t>关于这一问题，见格鲁吉亚根据《公民权利和政治权利国际公约》提交的第二次定期报告</w:t>
      </w:r>
      <w:r>
        <w:rPr>
          <w:rFonts w:hint="eastAsia"/>
          <w:lang w:val="fr-CH"/>
        </w:rPr>
        <w:t>(</w:t>
      </w:r>
      <w:r>
        <w:rPr>
          <w:rFonts w:hint="eastAsia"/>
          <w:lang w:val="fr-CH"/>
        </w:rPr>
        <w:t>第</w:t>
      </w:r>
      <w:r>
        <w:rPr>
          <w:rFonts w:hint="eastAsia"/>
          <w:lang w:val="fr-CH"/>
        </w:rPr>
        <w:t>90</w:t>
      </w:r>
      <w:r>
        <w:rPr>
          <w:rFonts w:hint="eastAsia"/>
          <w:lang w:val="fr-CH"/>
        </w:rPr>
        <w:t>、</w:t>
      </w:r>
      <w:r>
        <w:rPr>
          <w:rFonts w:hint="eastAsia"/>
          <w:lang w:val="fr-CH"/>
        </w:rPr>
        <w:t>91</w:t>
      </w:r>
      <w:r>
        <w:rPr>
          <w:rFonts w:hint="eastAsia"/>
          <w:lang w:val="fr-CH"/>
        </w:rPr>
        <w:t>和</w:t>
      </w:r>
      <w:r>
        <w:rPr>
          <w:rFonts w:hint="eastAsia"/>
          <w:lang w:val="fr-CH"/>
        </w:rPr>
        <w:t>94</w:t>
      </w:r>
      <w:r>
        <w:rPr>
          <w:rFonts w:hint="eastAsia"/>
          <w:lang w:val="fr-CH"/>
        </w:rPr>
        <w:t>－</w:t>
      </w:r>
      <w:r>
        <w:rPr>
          <w:rFonts w:hint="eastAsia"/>
          <w:lang w:val="fr-CH"/>
        </w:rPr>
        <w:t>96</w:t>
      </w:r>
      <w:r>
        <w:rPr>
          <w:rFonts w:hint="eastAsia"/>
          <w:lang w:val="fr-CH"/>
        </w:rPr>
        <w:t>段</w:t>
      </w:r>
      <w:r>
        <w:rPr>
          <w:rFonts w:hint="eastAsia"/>
          <w:lang w:val="fr-CH"/>
        </w:rPr>
        <w:t>)</w:t>
      </w:r>
      <w:r>
        <w:rPr>
          <w:rFonts w:hint="eastAsia"/>
          <w:lang w:val="fr-CH"/>
        </w:rPr>
        <w:t>。</w:t>
      </w:r>
    </w:p>
    <w:p w:rsidR="00000000" w:rsidRDefault="00000000">
      <w:pPr>
        <w:spacing w:after="320"/>
        <w:rPr>
          <w:rFonts w:hint="eastAsia"/>
          <w:lang w:val="fr-CH"/>
        </w:rPr>
      </w:pPr>
      <w:r>
        <w:rPr>
          <w:rFonts w:hint="eastAsia"/>
          <w:lang w:val="fr-CH"/>
        </w:rPr>
        <w:tab/>
        <w:t xml:space="preserve">208.  </w:t>
      </w:r>
      <w:r>
        <w:rPr>
          <w:rFonts w:hint="eastAsia"/>
          <w:lang w:val="fr-CH"/>
        </w:rPr>
        <w:t>为了降低</w:t>
      </w:r>
      <w:r>
        <w:rPr>
          <w:rFonts w:hint="eastAsia"/>
          <w:lang w:val="fr-CH"/>
        </w:rPr>
        <w:t>1</w:t>
      </w:r>
      <w:r>
        <w:rPr>
          <w:rFonts w:hint="eastAsia"/>
          <w:lang w:val="fr-CH"/>
        </w:rPr>
        <w:t>岁以下婴儿的死亡率，</w:t>
      </w:r>
      <w:r>
        <w:rPr>
          <w:rFonts w:hint="eastAsia"/>
          <w:lang w:val="fr-CH"/>
        </w:rPr>
        <w:t>1999</w:t>
      </w:r>
      <w:r>
        <w:rPr>
          <w:rFonts w:hint="eastAsia"/>
          <w:lang w:val="fr-CH"/>
        </w:rPr>
        <w:t>年采取了一些措施。这些措施主要是发起孕妇、分娩和产后期妇女以及新生婴儿转诊介绍系统，以及对每一起死亡事件进行调查。劳动、卫生和社会福利部认为，向新生儿提供的医疗护理的质量因此得到了改进，对新生儿住院手续作出了适当的规定，并重新安排了新生儿死亡记载系统。关于在满一周岁之前死亡的婴儿的人数的统计数据，请参阅本报告有关章节</w:t>
      </w:r>
      <w:r>
        <w:rPr>
          <w:rFonts w:hint="eastAsia"/>
          <w:lang w:val="fr-CH"/>
        </w:rPr>
        <w:t>(</w:t>
      </w:r>
      <w:r>
        <w:rPr>
          <w:rFonts w:hint="eastAsia"/>
          <w:lang w:val="fr-CH"/>
        </w:rPr>
        <w:t>见上文</w:t>
      </w:r>
      <w:r>
        <w:rPr>
          <w:rFonts w:hint="eastAsia"/>
          <w:lang w:val="fr-CH"/>
        </w:rPr>
        <w:t>)</w:t>
      </w:r>
      <w:r>
        <w:rPr>
          <w:rFonts w:hint="eastAsia"/>
          <w:lang w:val="fr-CH"/>
        </w:rPr>
        <w:t>。</w:t>
      </w:r>
    </w:p>
    <w:p w:rsidR="00000000" w:rsidRDefault="00000000">
      <w:pPr>
        <w:pStyle w:val="Heading4"/>
        <w:rPr>
          <w:rFonts w:hint="eastAsia"/>
          <w:lang w:val="fr-CH"/>
        </w:rPr>
      </w:pPr>
      <w:r>
        <w:rPr>
          <w:rFonts w:hint="eastAsia"/>
          <w:lang w:val="fr-CH"/>
        </w:rPr>
        <w:t>改进职业保健和安全的措施</w:t>
      </w:r>
    </w:p>
    <w:p w:rsidR="00000000" w:rsidRDefault="00000000">
      <w:pPr>
        <w:rPr>
          <w:rFonts w:hint="eastAsia"/>
        </w:rPr>
      </w:pPr>
      <w:r>
        <w:rPr>
          <w:rFonts w:hint="eastAsia"/>
          <w:lang w:val="fr-CH"/>
        </w:rPr>
        <w:tab/>
      </w:r>
      <w:r>
        <w:rPr>
          <w:rFonts w:hint="eastAsia"/>
        </w:rPr>
        <w:t xml:space="preserve">209.  </w:t>
      </w:r>
      <w:r>
        <w:rPr>
          <w:rFonts w:hint="eastAsia"/>
        </w:rPr>
        <w:t>为了改进工业工作条件，已经采取了以下列步骤：</w:t>
      </w:r>
    </w:p>
    <w:p w:rsidR="00000000" w:rsidRDefault="00000000">
      <w:pPr>
        <w:pStyle w:val="a7"/>
        <w:tabs>
          <w:tab w:val="num" w:pos="1530"/>
        </w:tabs>
        <w:ind w:left="1530"/>
        <w:rPr>
          <w:rFonts w:hint="eastAsia"/>
        </w:rPr>
      </w:pPr>
      <w:r>
        <w:rPr>
          <w:rFonts w:hint="eastAsia"/>
        </w:rPr>
        <w:t>对工作条件和雇员健康进行系统的调查，以便查明最“有害的”工作场所；</w:t>
      </w:r>
    </w:p>
    <w:p w:rsidR="00000000" w:rsidRDefault="00000000">
      <w:pPr>
        <w:pStyle w:val="a7"/>
        <w:tabs>
          <w:tab w:val="num" w:pos="1530"/>
        </w:tabs>
        <w:ind w:left="1530"/>
        <w:rPr>
          <w:rFonts w:hint="eastAsia"/>
        </w:rPr>
      </w:pPr>
      <w:r>
        <w:rPr>
          <w:rFonts w:hint="eastAsia"/>
        </w:rPr>
        <w:t>对最“有害的”工作场所的工作条件进行进一步的分析；</w:t>
      </w:r>
    </w:p>
    <w:p w:rsidR="00000000" w:rsidRDefault="00000000">
      <w:pPr>
        <w:pStyle w:val="a7"/>
        <w:tabs>
          <w:tab w:val="num" w:pos="1530"/>
        </w:tabs>
        <w:ind w:left="1530"/>
        <w:rPr>
          <w:rFonts w:hint="eastAsia"/>
        </w:rPr>
      </w:pPr>
      <w:r>
        <w:rPr>
          <w:rFonts w:hint="eastAsia"/>
        </w:rPr>
        <w:t>目前正在对劳动力的健康和发病率造成暂时丧失工作能力的情况进行研究；因此在工作条件和雇员的健康状况之间建立了因果联系；</w:t>
      </w:r>
    </w:p>
    <w:p w:rsidR="00000000" w:rsidRDefault="00000000">
      <w:pPr>
        <w:pStyle w:val="a7"/>
        <w:tabs>
          <w:tab w:val="num" w:pos="1530"/>
        </w:tabs>
        <w:ind w:left="1530"/>
        <w:rPr>
          <w:rFonts w:hint="eastAsia"/>
        </w:rPr>
      </w:pPr>
      <w:r>
        <w:rPr>
          <w:rFonts w:hint="eastAsia"/>
        </w:rPr>
        <w:t>根据这项研究，制定了具体的措施，以改进职业保健和安全以及医疗服务的安排和质量；</w:t>
      </w:r>
    </w:p>
    <w:p w:rsidR="00000000" w:rsidRDefault="00000000">
      <w:pPr>
        <w:pStyle w:val="a7"/>
        <w:tabs>
          <w:tab w:val="num" w:pos="1530"/>
        </w:tabs>
        <w:ind w:left="1530"/>
        <w:rPr>
          <w:rFonts w:hint="eastAsia"/>
        </w:rPr>
      </w:pPr>
      <w:r>
        <w:rPr>
          <w:rFonts w:hint="eastAsia"/>
        </w:rPr>
        <w:t>研究的结果已转交给有关企业的管理部门和这些企业隶属的机构，并转交给向它们提供预防治疗的医疗机构和劳动、卫生和社会福利部的有关部门。</w:t>
      </w:r>
    </w:p>
    <w:p w:rsidR="00000000" w:rsidRDefault="00000000">
      <w:pPr>
        <w:rPr>
          <w:rFonts w:hint="eastAsia"/>
        </w:rPr>
      </w:pPr>
      <w:r>
        <w:rPr>
          <w:rFonts w:hint="eastAsia"/>
        </w:rPr>
        <w:tab/>
        <w:t xml:space="preserve">210.  </w:t>
      </w:r>
      <w:r>
        <w:rPr>
          <w:rFonts w:hint="eastAsia"/>
        </w:rPr>
        <w:t>此外，为了为适当监督职业保健和卫生铺平道路，正在制定准则和培训材料，以改进所有方面和各工业部门的职业保健和安全。这种材料随后将提交劳动、卫生和社会福利部最后批准。</w:t>
      </w:r>
    </w:p>
    <w:p w:rsidR="00000000" w:rsidRDefault="00000000">
      <w:pPr>
        <w:rPr>
          <w:rFonts w:hint="eastAsia"/>
        </w:rPr>
      </w:pPr>
      <w:r>
        <w:rPr>
          <w:rFonts w:hint="eastAsia"/>
        </w:rPr>
        <w:tab/>
        <w:t xml:space="preserve">211.  </w:t>
      </w:r>
      <w:r>
        <w:rPr>
          <w:rFonts w:hint="eastAsia"/>
        </w:rPr>
        <w:t>由于格鲁吉亚社会经济状况普遍很困难，最近几年里，暂时性病残情况登记机制已经中断，因此难以确定工作条件和劳力健康状况之间必然的因果联系。这反过来又阻碍了在劳力中适当安排和制定特定预防性措施。</w:t>
      </w:r>
    </w:p>
    <w:p w:rsidR="00000000" w:rsidRDefault="00000000">
      <w:pPr>
        <w:pStyle w:val="Heading4"/>
        <w:spacing w:before="320"/>
        <w:rPr>
          <w:rFonts w:hint="eastAsia"/>
        </w:rPr>
      </w:pPr>
      <w:r>
        <w:rPr>
          <w:rFonts w:hint="eastAsia"/>
        </w:rPr>
        <w:t>防治地方病、流行病和其他疾病的努力</w:t>
      </w:r>
    </w:p>
    <w:p w:rsidR="00000000" w:rsidRDefault="00000000">
      <w:pPr>
        <w:rPr>
          <w:rFonts w:hint="eastAsia"/>
        </w:rPr>
      </w:pPr>
      <w:r>
        <w:rPr>
          <w:rFonts w:hint="eastAsia"/>
        </w:rPr>
        <w:tab/>
        <w:t xml:space="preserve">212.  </w:t>
      </w:r>
      <w:r>
        <w:rPr>
          <w:rFonts w:hint="eastAsia"/>
        </w:rPr>
        <w:t>自</w:t>
      </w:r>
      <w:r>
        <w:rPr>
          <w:rFonts w:hint="eastAsia"/>
        </w:rPr>
        <w:t>1995</w:t>
      </w:r>
      <w:r>
        <w:rPr>
          <w:rFonts w:hint="eastAsia"/>
        </w:rPr>
        <w:t>年起，一直在执行一项方案，除了流行病监督以外，还监测可予隔离的疾病，特别是危险传染病和其他类似传染病。</w:t>
      </w:r>
    </w:p>
    <w:p w:rsidR="00000000" w:rsidRDefault="00000000">
      <w:pPr>
        <w:pStyle w:val="Heading4"/>
        <w:spacing w:before="320"/>
        <w:rPr>
          <w:rFonts w:hint="eastAsia"/>
        </w:rPr>
      </w:pPr>
      <w:r>
        <w:rPr>
          <w:rFonts w:hint="eastAsia"/>
        </w:rPr>
        <w:t>人人得到保健</w:t>
      </w:r>
    </w:p>
    <w:p w:rsidR="00000000" w:rsidRDefault="00000000">
      <w:pPr>
        <w:rPr>
          <w:rFonts w:hint="eastAsia"/>
        </w:rPr>
      </w:pPr>
      <w:r>
        <w:rPr>
          <w:rFonts w:hint="eastAsia"/>
        </w:rPr>
        <w:tab/>
        <w:t xml:space="preserve">213.  </w:t>
      </w:r>
      <w:r>
        <w:rPr>
          <w:rFonts w:hint="eastAsia"/>
        </w:rPr>
        <w:t>正如初步报告中所提到并在本文中重申的那样，全国和城市方案规定根据国家批准的门诊病人和住院病人的标准向格鲁吉亚所有居民提供普遍的医疗。与此同时，应该指出，超出规定标准的医疗和药品价格仍然不属于国家管制范围。</w:t>
      </w:r>
    </w:p>
    <w:p w:rsidR="00000000" w:rsidRDefault="00000000">
      <w:pPr>
        <w:pStyle w:val="Heading4"/>
        <w:spacing w:before="320"/>
        <w:rPr>
          <w:rFonts w:hint="eastAsia"/>
        </w:rPr>
      </w:pPr>
      <w:r>
        <w:rPr>
          <w:rFonts w:hint="eastAsia"/>
        </w:rPr>
        <w:t>安排基础医疗</w:t>
      </w:r>
    </w:p>
    <w:p w:rsidR="00000000" w:rsidRDefault="00000000">
      <w:pPr>
        <w:rPr>
          <w:rFonts w:hint="eastAsia"/>
        </w:rPr>
      </w:pPr>
      <w:r>
        <w:rPr>
          <w:rFonts w:hint="eastAsia"/>
        </w:rPr>
        <w:tab/>
        <w:t xml:space="preserve">214.  </w:t>
      </w:r>
      <w:r>
        <w:rPr>
          <w:rFonts w:hint="eastAsia"/>
        </w:rPr>
        <w:t>公共保健服务范围内的基础医疗的目的首先是作为人口和医疗与社会服务之间的第一接触点，这种服务应该尽可能接近服务对象，基础医疗的目的还在于为连续不断的健康监督奠定基础。</w:t>
      </w:r>
    </w:p>
    <w:p w:rsidR="00000000" w:rsidRDefault="00000000">
      <w:pPr>
        <w:rPr>
          <w:rFonts w:hint="eastAsia"/>
        </w:rPr>
      </w:pPr>
      <w:r>
        <w:rPr>
          <w:rFonts w:hint="eastAsia"/>
        </w:rPr>
        <w:tab/>
        <w:t xml:space="preserve">215.  </w:t>
      </w:r>
      <w:r>
        <w:rPr>
          <w:rFonts w:hint="eastAsia"/>
        </w:rPr>
        <w:t>基础医疗的根本战略在于促使公众转向家庭保健并创立家庭医生的机制。</w:t>
      </w:r>
    </w:p>
    <w:p w:rsidR="00000000" w:rsidRDefault="00000000">
      <w:pPr>
        <w:rPr>
          <w:rFonts w:hint="eastAsia"/>
        </w:rPr>
      </w:pPr>
      <w:r>
        <w:rPr>
          <w:rFonts w:hint="eastAsia"/>
        </w:rPr>
        <w:tab/>
        <w:t xml:space="preserve">216.  </w:t>
      </w:r>
      <w:r>
        <w:rPr>
          <w:rFonts w:hint="eastAsia"/>
        </w:rPr>
        <w:t>基础医疗范围内的预防性医疗措施是通过国营和私营乡村门诊诊所、保健诊所和药房等适当的机构执行的。劳动、卫生和社会福利部公共保健司被赋予制定这一方面政策和战略的任务。除了其他事项以外，该部还规定医疗服务的全国标准、批准治疗和预防设施并监督医疗和业务训练的质量。在地方一级</w:t>
      </w:r>
      <w:r>
        <w:rPr>
          <w:rFonts w:hint="eastAsia"/>
        </w:rPr>
        <w:t>(</w:t>
      </w:r>
      <w:r>
        <w:rPr>
          <w:rFonts w:hint="eastAsia"/>
        </w:rPr>
        <w:t>在国内各地理单位内</w:t>
      </w:r>
      <w:r>
        <w:rPr>
          <w:rFonts w:hint="eastAsia"/>
        </w:rPr>
        <w:t>)</w:t>
      </w:r>
      <w:r>
        <w:rPr>
          <w:rFonts w:hint="eastAsia"/>
        </w:rPr>
        <w:t>、基础保健系统的工作由地方当局加以监测。</w:t>
      </w:r>
    </w:p>
    <w:p w:rsidR="00000000" w:rsidRDefault="00000000">
      <w:pPr>
        <w:rPr>
          <w:rFonts w:hint="eastAsia"/>
        </w:rPr>
      </w:pPr>
      <w:r>
        <w:rPr>
          <w:rFonts w:hint="eastAsia"/>
        </w:rPr>
        <w:tab/>
        <w:t xml:space="preserve">217.  </w:t>
      </w:r>
      <w:r>
        <w:rPr>
          <w:rFonts w:hint="eastAsia"/>
        </w:rPr>
        <w:t>基础保健的资金主要来自以下来源：</w:t>
      </w:r>
    </w:p>
    <w:p w:rsidR="00000000" w:rsidRDefault="00000000">
      <w:pPr>
        <w:pStyle w:val="a7"/>
        <w:tabs>
          <w:tab w:val="num" w:pos="1550"/>
        </w:tabs>
        <w:ind w:left="1550"/>
        <w:rPr>
          <w:rFonts w:hint="eastAsia"/>
        </w:rPr>
      </w:pPr>
      <w:r>
        <w:rPr>
          <w:rFonts w:hint="eastAsia"/>
        </w:rPr>
        <w:t>国家治疗和预防方案；</w:t>
      </w:r>
    </w:p>
    <w:p w:rsidR="00000000" w:rsidRDefault="00000000">
      <w:pPr>
        <w:pStyle w:val="a7"/>
        <w:tabs>
          <w:tab w:val="num" w:pos="1550"/>
        </w:tabs>
        <w:ind w:left="1550"/>
        <w:rPr>
          <w:rFonts w:hint="eastAsia"/>
        </w:rPr>
      </w:pPr>
      <w:r>
        <w:rPr>
          <w:rFonts w:hint="eastAsia"/>
        </w:rPr>
        <w:t>地方治疗和预防方案；</w:t>
      </w:r>
    </w:p>
    <w:p w:rsidR="00000000" w:rsidRDefault="00000000">
      <w:pPr>
        <w:pStyle w:val="a7"/>
        <w:tabs>
          <w:tab w:val="num" w:pos="1550"/>
        </w:tabs>
        <w:ind w:left="1550"/>
        <w:rPr>
          <w:rFonts w:hint="eastAsia"/>
        </w:rPr>
      </w:pPr>
      <w:r>
        <w:rPr>
          <w:rFonts w:hint="eastAsia"/>
        </w:rPr>
        <w:t>按照内部标准向上述方案覆盖范围以外的人口提供的服务产生的收入；</w:t>
      </w:r>
    </w:p>
    <w:p w:rsidR="00000000" w:rsidRDefault="00000000">
      <w:pPr>
        <w:pStyle w:val="a7"/>
        <w:tabs>
          <w:tab w:val="num" w:pos="1550"/>
        </w:tabs>
        <w:ind w:left="1550"/>
        <w:rPr>
          <w:rFonts w:hint="eastAsia"/>
        </w:rPr>
      </w:pPr>
      <w:r>
        <w:rPr>
          <w:rFonts w:hint="eastAsia"/>
        </w:rPr>
        <w:t>任何其他批准活动产生的收入。</w:t>
      </w:r>
    </w:p>
    <w:p w:rsidR="00000000" w:rsidRDefault="00000000">
      <w:pPr>
        <w:pStyle w:val="Heading4"/>
        <w:spacing w:before="320"/>
        <w:rPr>
          <w:rFonts w:hint="eastAsia"/>
        </w:rPr>
      </w:pPr>
      <w:r>
        <w:rPr>
          <w:rFonts w:hint="eastAsia"/>
        </w:rPr>
        <w:t>格鲁吉亚在保健领域里的国际联系和合作</w:t>
      </w:r>
    </w:p>
    <w:p w:rsidR="00000000" w:rsidRDefault="00000000">
      <w:pPr>
        <w:rPr>
          <w:rFonts w:hint="eastAsia"/>
        </w:rPr>
      </w:pPr>
      <w:r>
        <w:rPr>
          <w:rFonts w:hint="eastAsia"/>
        </w:rPr>
        <w:tab/>
        <w:t xml:space="preserve">218.  </w:t>
      </w:r>
      <w:r>
        <w:rPr>
          <w:rFonts w:hint="eastAsia"/>
        </w:rPr>
        <w:t>在过去五年里，劳动、卫生和社会福利部与以某种形式涉及保健领域人权问题的国际组织结成了相当密切的合作关系。</w:t>
      </w:r>
    </w:p>
    <w:p w:rsidR="00000000" w:rsidRDefault="00000000">
      <w:pPr>
        <w:rPr>
          <w:rFonts w:hint="eastAsia"/>
        </w:rPr>
      </w:pPr>
      <w:r>
        <w:rPr>
          <w:rFonts w:hint="eastAsia"/>
        </w:rPr>
        <w:tab/>
        <w:t xml:space="preserve">219.  </w:t>
      </w:r>
      <w:r>
        <w:rPr>
          <w:rFonts w:hint="eastAsia"/>
        </w:rPr>
        <w:t>该部处理这些问题的另一个部门是国家保健中心法律和生物伦理学股，其主要目标之一是使格鲁吉亚保健立法符合国际人权标准。为此目的，该股寻求在立法过程中可加以利用的有关国际文书并将其分类，安排外国专家审评法案和规章草案，并定期向有关国际组织提供保健领域人权情况的最新资料。</w:t>
      </w:r>
    </w:p>
    <w:p w:rsidR="00000000" w:rsidRDefault="00000000">
      <w:pPr>
        <w:rPr>
          <w:rFonts w:hint="eastAsia"/>
        </w:rPr>
      </w:pPr>
      <w:r>
        <w:rPr>
          <w:rFonts w:hint="eastAsia"/>
        </w:rPr>
        <w:tab/>
        <w:t xml:space="preserve">220.  </w:t>
      </w:r>
      <w:r>
        <w:rPr>
          <w:rFonts w:hint="eastAsia"/>
        </w:rPr>
        <w:t>法律和生物伦理学股与一些国际组织合作，例如卫生组织欧洲区域办事处</w:t>
      </w:r>
      <w:r>
        <w:rPr>
          <w:rFonts w:hint="eastAsia"/>
        </w:rPr>
        <w:t>(</w:t>
      </w:r>
      <w:r>
        <w:rPr>
          <w:rFonts w:hint="eastAsia"/>
        </w:rPr>
        <w:t>卫生系统组织和管理股和卫生组织欧洲病人权利和公民能力伙伴关系项目</w:t>
      </w:r>
      <w:r>
        <w:rPr>
          <w:rFonts w:hint="eastAsia"/>
        </w:rPr>
        <w:t>)</w:t>
      </w:r>
      <w:r>
        <w:rPr>
          <w:rFonts w:hint="eastAsia"/>
        </w:rPr>
        <w:t>、国际医学组织理事会、欧洲生物伦理学指导委员会理事会和世界医学协会。</w:t>
      </w:r>
    </w:p>
    <w:p w:rsidR="00000000" w:rsidRDefault="00000000">
      <w:pPr>
        <w:rPr>
          <w:rFonts w:hint="eastAsia"/>
        </w:rPr>
      </w:pPr>
      <w:r>
        <w:rPr>
          <w:rFonts w:hint="eastAsia"/>
        </w:rPr>
        <w:tab/>
        <w:t xml:space="preserve">221.  </w:t>
      </w:r>
      <w:r>
        <w:rPr>
          <w:rFonts w:hint="eastAsia"/>
        </w:rPr>
        <w:t>经过这种努力，劳动、卫生和社会福利部现在拥有一整套保健领域人权问题国际文书。多数这些文书已经在格鲁吉亚翻译、出版并在保健专业人员中间传播。这些文书包括《欧洲人权和生物药剂学公约》、联合国各项文书、以及世界医学协会关于人权和保健的一些建议和宣言。</w:t>
      </w:r>
    </w:p>
    <w:p w:rsidR="00000000" w:rsidRDefault="00000000">
      <w:pPr>
        <w:rPr>
          <w:rFonts w:hint="eastAsia"/>
        </w:rPr>
      </w:pPr>
      <w:r>
        <w:rPr>
          <w:rFonts w:hint="eastAsia"/>
        </w:rPr>
        <w:tab/>
        <w:t xml:space="preserve">222.  </w:t>
      </w:r>
      <w:r>
        <w:rPr>
          <w:rFonts w:hint="eastAsia"/>
        </w:rPr>
        <w:t>劳动、卫生和社会福利部发起了签署和批准《人权和生物药剂学公约》及其关于禁止克隆人的《附加议定书》的进程。这些文书于</w:t>
      </w:r>
      <w:r>
        <w:rPr>
          <w:rFonts w:hint="eastAsia"/>
        </w:rPr>
        <w:t>2001</w:t>
      </w:r>
      <w:r>
        <w:rPr>
          <w:rFonts w:hint="eastAsia"/>
        </w:rPr>
        <w:t>年</w:t>
      </w:r>
      <w:r>
        <w:rPr>
          <w:rFonts w:hint="eastAsia"/>
        </w:rPr>
        <w:t>3</w:t>
      </w:r>
      <w:r>
        <w:rPr>
          <w:rFonts w:hint="eastAsia"/>
        </w:rPr>
        <w:t>月</w:t>
      </w:r>
      <w:r>
        <w:rPr>
          <w:rFonts w:hint="eastAsia"/>
        </w:rPr>
        <w:t>1</w:t>
      </w:r>
      <w:r>
        <w:rPr>
          <w:rFonts w:hint="eastAsia"/>
        </w:rPr>
        <w:t>日起在格鲁吉亚生效。应该指出，格鲁吉亚在签署了关于禁止克隆的议定书以后，成了该文书已经生效的仅有的五个欧洲国家之一。</w:t>
      </w:r>
    </w:p>
    <w:p w:rsidR="00000000" w:rsidRDefault="00000000">
      <w:pPr>
        <w:rPr>
          <w:rFonts w:hint="eastAsia"/>
        </w:rPr>
      </w:pPr>
      <w:r>
        <w:rPr>
          <w:rFonts w:hint="eastAsia"/>
        </w:rPr>
        <w:tab/>
        <w:t xml:space="preserve">223.  </w:t>
      </w:r>
      <w:r>
        <w:rPr>
          <w:rFonts w:hint="eastAsia"/>
        </w:rPr>
        <w:t>国际上向格鲁吉亚提供了极其大量的援助，帮助它改进其立法。因此以下专家审查了关于病人权利的法案：卫生组织欧洲区域办事处的专家、参与制定美国律师协会中欧和东欧法律倡议的专家和加拿大多伦多大学的一位专家。作为欧洲理事会法律事务总局提供的支持的一部分，曾经起草《人权和生物药剂学公约》的著名专家审查了关于人类医学和生物学研究的法案。他们得出结论说，格鲁吉亚这一方面的立法符合关于卫生部门人权的国际文书的规定。</w:t>
      </w:r>
    </w:p>
    <w:p w:rsidR="00000000" w:rsidRDefault="00000000">
      <w:pPr>
        <w:rPr>
          <w:rFonts w:hint="eastAsia"/>
        </w:rPr>
      </w:pPr>
      <w:r>
        <w:rPr>
          <w:rFonts w:hint="eastAsia"/>
        </w:rPr>
        <w:tab/>
        <w:t xml:space="preserve">224.  </w:t>
      </w:r>
      <w:r>
        <w:rPr>
          <w:rFonts w:hint="eastAsia"/>
        </w:rPr>
        <w:t>有关国际组织定期取得关于格鲁吉亚卫生部门人权情况的最新资料。因此卫生组织欧洲区域办事处</w:t>
      </w:r>
      <w:r>
        <w:rPr>
          <w:rFonts w:hint="eastAsia"/>
        </w:rPr>
        <w:t>1998</w:t>
      </w:r>
      <w:r>
        <w:rPr>
          <w:rFonts w:hint="eastAsia"/>
        </w:rPr>
        <w:t>年</w:t>
      </w:r>
      <w:r>
        <w:rPr>
          <w:rFonts w:hint="eastAsia"/>
        </w:rPr>
        <w:t>12</w:t>
      </w:r>
      <w:r>
        <w:rPr>
          <w:rFonts w:hint="eastAsia"/>
        </w:rPr>
        <w:t>月发表的卫生组织文件《欧洲病人权利的发展动态》载有格鲁吉亚病人权利法律的详细资料。欧洲理事会生物伦理学指导委员会发表的</w:t>
      </w:r>
      <w:r>
        <w:rPr>
          <w:rFonts w:hint="eastAsia"/>
        </w:rPr>
        <w:t>1999-2000</w:t>
      </w:r>
      <w:r>
        <w:rPr>
          <w:rFonts w:hint="eastAsia"/>
        </w:rPr>
        <w:t>年的材料中摘引了格鲁吉亚在人权和生物药剂学方面的成就的资料。</w:t>
      </w:r>
    </w:p>
    <w:p w:rsidR="00000000" w:rsidRDefault="00000000">
      <w:pPr>
        <w:pStyle w:val="Heading4"/>
        <w:spacing w:before="320"/>
        <w:rPr>
          <w:rFonts w:hint="eastAsia"/>
        </w:rPr>
      </w:pPr>
      <w:r>
        <w:rPr>
          <w:rFonts w:hint="eastAsia"/>
        </w:rPr>
        <w:t>关于实现达到尽可能高标准身心健康的权利的进一步统计数据</w:t>
      </w:r>
    </w:p>
    <w:p w:rsidR="00000000" w:rsidRDefault="00000000">
      <w:pPr>
        <w:pStyle w:val="Heading3"/>
        <w:spacing w:after="160"/>
        <w:rPr>
          <w:rFonts w:hint="eastAsia"/>
        </w:rPr>
      </w:pPr>
      <w:r>
        <w:rPr>
          <w:rFonts w:hint="eastAsia"/>
        </w:rPr>
        <w:t>1997-1999</w:t>
      </w:r>
      <w:r>
        <w:rPr>
          <w:rFonts w:hint="eastAsia"/>
        </w:rPr>
        <w:t>年格鲁吉亚主要公共卫生服务指数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8"/>
        <w:gridCol w:w="1680"/>
        <w:gridCol w:w="1611"/>
        <w:gridCol w:w="1611"/>
      </w:tblGrid>
      <w:tr w:rsidR="00000000">
        <w:tblPrEx>
          <w:tblCellMar>
            <w:top w:w="0" w:type="dxa"/>
            <w:bottom w:w="0" w:type="dxa"/>
          </w:tblCellMar>
        </w:tblPrEx>
        <w:tc>
          <w:tcPr>
            <w:tcW w:w="4668" w:type="dxa"/>
            <w:tcBorders>
              <w:bottom w:val="single" w:sz="4" w:space="0" w:color="auto"/>
            </w:tcBorders>
          </w:tcPr>
          <w:p w:rsidR="00000000" w:rsidRDefault="00000000">
            <w:pPr>
              <w:tabs>
                <w:tab w:val="left" w:pos="442"/>
              </w:tabs>
              <w:spacing w:before="120" w:line="240" w:lineRule="auto"/>
              <w:ind w:left="113" w:right="113"/>
              <w:jc w:val="center"/>
              <w:rPr>
                <w:rFonts w:hint="eastAsia"/>
                <w:spacing w:val="4"/>
                <w:sz w:val="21"/>
                <w:u w:val="single"/>
              </w:rPr>
            </w:pPr>
          </w:p>
        </w:tc>
        <w:tc>
          <w:tcPr>
            <w:tcW w:w="1680" w:type="dxa"/>
            <w:tcBorders>
              <w:bottom w:val="single" w:sz="4" w:space="0" w:color="auto"/>
            </w:tcBorders>
          </w:tcPr>
          <w:p w:rsidR="00000000" w:rsidRDefault="00000000">
            <w:pPr>
              <w:tabs>
                <w:tab w:val="left" w:pos="442"/>
              </w:tabs>
              <w:spacing w:before="120" w:line="240" w:lineRule="auto"/>
              <w:ind w:left="113" w:right="113"/>
              <w:jc w:val="center"/>
              <w:rPr>
                <w:rFonts w:hint="eastAsia"/>
                <w:spacing w:val="4"/>
                <w:sz w:val="21"/>
                <w:u w:val="single"/>
              </w:rPr>
            </w:pPr>
            <w:r>
              <w:rPr>
                <w:rFonts w:hint="eastAsia"/>
                <w:spacing w:val="4"/>
                <w:sz w:val="21"/>
                <w:u w:val="single"/>
              </w:rPr>
              <w:t>1997</w:t>
            </w:r>
          </w:p>
        </w:tc>
        <w:tc>
          <w:tcPr>
            <w:tcW w:w="1611" w:type="dxa"/>
            <w:tcBorders>
              <w:bottom w:val="single" w:sz="4" w:space="0" w:color="auto"/>
            </w:tcBorders>
          </w:tcPr>
          <w:p w:rsidR="00000000" w:rsidRDefault="00000000">
            <w:pPr>
              <w:tabs>
                <w:tab w:val="left" w:pos="442"/>
              </w:tabs>
              <w:spacing w:before="120" w:line="240" w:lineRule="auto"/>
              <w:ind w:left="113" w:right="113"/>
              <w:jc w:val="center"/>
              <w:rPr>
                <w:rFonts w:hint="eastAsia"/>
                <w:spacing w:val="4"/>
                <w:sz w:val="21"/>
                <w:u w:val="single"/>
              </w:rPr>
            </w:pPr>
            <w:r>
              <w:rPr>
                <w:rFonts w:hint="eastAsia"/>
                <w:spacing w:val="4"/>
                <w:sz w:val="21"/>
                <w:u w:val="single"/>
              </w:rPr>
              <w:t>1998</w:t>
            </w:r>
          </w:p>
        </w:tc>
        <w:tc>
          <w:tcPr>
            <w:tcW w:w="1611" w:type="dxa"/>
            <w:tcBorders>
              <w:bottom w:val="single" w:sz="4" w:space="0" w:color="auto"/>
            </w:tcBorders>
          </w:tcPr>
          <w:p w:rsidR="00000000" w:rsidRDefault="00000000">
            <w:pPr>
              <w:tabs>
                <w:tab w:val="left" w:pos="442"/>
              </w:tabs>
              <w:spacing w:before="120" w:line="240" w:lineRule="auto"/>
              <w:ind w:left="113" w:right="113"/>
              <w:jc w:val="center"/>
              <w:rPr>
                <w:rFonts w:hint="eastAsia"/>
                <w:spacing w:val="4"/>
                <w:sz w:val="21"/>
                <w:u w:val="single"/>
              </w:rPr>
            </w:pPr>
            <w:r>
              <w:rPr>
                <w:rFonts w:hint="eastAsia"/>
                <w:spacing w:val="4"/>
                <w:sz w:val="21"/>
                <w:u w:val="single"/>
              </w:rPr>
              <w:t>1999</w:t>
            </w:r>
          </w:p>
        </w:tc>
      </w:tr>
      <w:tr w:rsidR="00000000">
        <w:tblPrEx>
          <w:tblCellMar>
            <w:top w:w="0" w:type="dxa"/>
            <w:bottom w:w="0" w:type="dxa"/>
          </w:tblCellMar>
        </w:tblPrEx>
        <w:tc>
          <w:tcPr>
            <w:tcW w:w="4668" w:type="dxa"/>
            <w:tcBorders>
              <w:bottom w:val="nil"/>
            </w:tcBorders>
          </w:tcPr>
          <w:p w:rsidR="00000000" w:rsidRDefault="00000000">
            <w:pPr>
              <w:tabs>
                <w:tab w:val="left" w:pos="442"/>
              </w:tabs>
              <w:spacing w:before="120" w:line="240" w:lineRule="auto"/>
              <w:ind w:left="113" w:right="113"/>
              <w:rPr>
                <w:rFonts w:hint="eastAsia"/>
                <w:spacing w:val="4"/>
                <w:sz w:val="21"/>
              </w:rPr>
            </w:pPr>
            <w:r>
              <w:rPr>
                <w:rFonts w:hint="eastAsia"/>
                <w:spacing w:val="4"/>
                <w:sz w:val="21"/>
              </w:rPr>
              <w:t>所有各科医生的人数</w:t>
            </w:r>
            <w:r>
              <w:rPr>
                <w:rFonts w:hint="eastAsia"/>
                <w:spacing w:val="4"/>
                <w:sz w:val="21"/>
              </w:rPr>
              <w:t>(</w:t>
            </w:r>
            <w:r>
              <w:rPr>
                <w:rFonts w:hint="eastAsia"/>
                <w:spacing w:val="4"/>
                <w:sz w:val="21"/>
              </w:rPr>
              <w:t>以千计</w:t>
            </w:r>
            <w:r>
              <w:rPr>
                <w:rFonts w:hint="eastAsia"/>
                <w:spacing w:val="4"/>
                <w:sz w:val="21"/>
              </w:rPr>
              <w:t>)</w:t>
            </w:r>
          </w:p>
        </w:tc>
        <w:tc>
          <w:tcPr>
            <w:tcW w:w="1680" w:type="dxa"/>
            <w:tcBorders>
              <w:bottom w:val="nil"/>
            </w:tcBorders>
          </w:tcPr>
          <w:p w:rsidR="00000000" w:rsidRDefault="00000000">
            <w:pPr>
              <w:tabs>
                <w:tab w:val="decimal" w:pos="852"/>
              </w:tabs>
              <w:spacing w:before="120" w:line="240" w:lineRule="auto"/>
              <w:ind w:left="113" w:right="113"/>
              <w:rPr>
                <w:spacing w:val="4"/>
                <w:sz w:val="21"/>
              </w:rPr>
            </w:pPr>
            <w:r>
              <w:rPr>
                <w:spacing w:val="4"/>
                <w:sz w:val="21"/>
              </w:rPr>
              <w:t>21.8</w:t>
            </w:r>
          </w:p>
        </w:tc>
        <w:tc>
          <w:tcPr>
            <w:tcW w:w="1611" w:type="dxa"/>
            <w:tcBorders>
              <w:bottom w:val="nil"/>
            </w:tcBorders>
          </w:tcPr>
          <w:p w:rsidR="00000000" w:rsidRDefault="00000000">
            <w:pPr>
              <w:tabs>
                <w:tab w:val="decimal" w:pos="852"/>
              </w:tabs>
              <w:spacing w:before="120" w:line="240" w:lineRule="auto"/>
              <w:ind w:left="113" w:right="113"/>
              <w:rPr>
                <w:spacing w:val="4"/>
                <w:sz w:val="21"/>
              </w:rPr>
            </w:pPr>
            <w:r>
              <w:rPr>
                <w:spacing w:val="4"/>
                <w:sz w:val="21"/>
              </w:rPr>
              <w:t>20.8</w:t>
            </w:r>
          </w:p>
        </w:tc>
        <w:tc>
          <w:tcPr>
            <w:tcW w:w="1611" w:type="dxa"/>
            <w:tcBorders>
              <w:bottom w:val="nil"/>
            </w:tcBorders>
          </w:tcPr>
          <w:p w:rsidR="00000000" w:rsidRDefault="00000000">
            <w:pPr>
              <w:tabs>
                <w:tab w:val="decimal" w:pos="852"/>
              </w:tabs>
              <w:spacing w:before="120" w:line="240" w:lineRule="auto"/>
              <w:ind w:left="113" w:right="113"/>
              <w:rPr>
                <w:spacing w:val="4"/>
                <w:sz w:val="21"/>
              </w:rPr>
            </w:pPr>
            <w:r>
              <w:rPr>
                <w:spacing w:val="4"/>
                <w:sz w:val="21"/>
              </w:rPr>
              <w:t>21.5</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120" w:line="240" w:lineRule="auto"/>
              <w:ind w:left="113" w:right="113"/>
              <w:rPr>
                <w:rFonts w:hint="eastAsia"/>
                <w:spacing w:val="4"/>
                <w:sz w:val="21"/>
              </w:rPr>
            </w:pPr>
            <w:r>
              <w:rPr>
                <w:rFonts w:hint="eastAsia"/>
                <w:spacing w:val="4"/>
                <w:sz w:val="21"/>
              </w:rPr>
              <w:t>每</w:t>
            </w:r>
            <w:r>
              <w:rPr>
                <w:rFonts w:hint="eastAsia"/>
                <w:spacing w:val="4"/>
                <w:sz w:val="21"/>
              </w:rPr>
              <w:t>10,000</w:t>
            </w:r>
            <w:r>
              <w:rPr>
                <w:rFonts w:hint="eastAsia"/>
                <w:spacing w:val="4"/>
                <w:sz w:val="21"/>
              </w:rPr>
              <w:t>人的医生人数</w:t>
            </w:r>
          </w:p>
        </w:tc>
        <w:tc>
          <w:tcPr>
            <w:tcW w:w="1680"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40.0</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38.0</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45.0</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120" w:line="240" w:lineRule="auto"/>
              <w:ind w:left="113" w:right="113"/>
              <w:rPr>
                <w:rFonts w:hint="eastAsia"/>
                <w:spacing w:val="4"/>
                <w:sz w:val="21"/>
              </w:rPr>
            </w:pPr>
            <w:r>
              <w:rPr>
                <w:rFonts w:hint="eastAsia"/>
                <w:spacing w:val="4"/>
                <w:sz w:val="21"/>
              </w:rPr>
              <w:t>中级医务人员人数</w:t>
            </w:r>
            <w:r>
              <w:rPr>
                <w:rFonts w:hint="eastAsia"/>
                <w:spacing w:val="4"/>
                <w:sz w:val="21"/>
              </w:rPr>
              <w:t>(</w:t>
            </w:r>
            <w:r>
              <w:rPr>
                <w:rFonts w:hint="eastAsia"/>
                <w:spacing w:val="4"/>
                <w:sz w:val="21"/>
              </w:rPr>
              <w:t>以千计</w:t>
            </w:r>
            <w:r>
              <w:rPr>
                <w:rFonts w:hint="eastAsia"/>
                <w:spacing w:val="4"/>
                <w:sz w:val="21"/>
              </w:rPr>
              <w:t>)</w:t>
            </w:r>
          </w:p>
        </w:tc>
        <w:tc>
          <w:tcPr>
            <w:tcW w:w="1680"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29.8</w:t>
            </w:r>
          </w:p>
        </w:tc>
        <w:tc>
          <w:tcPr>
            <w:tcW w:w="1611" w:type="dxa"/>
            <w:tcBorders>
              <w:top w:val="nil"/>
              <w:bottom w:val="nil"/>
            </w:tcBorders>
          </w:tcPr>
          <w:p w:rsidR="00000000" w:rsidRDefault="00000000">
            <w:pPr>
              <w:tabs>
                <w:tab w:val="decimal" w:pos="852"/>
              </w:tabs>
              <w:spacing w:before="120" w:line="240" w:lineRule="auto"/>
              <w:ind w:left="113" w:right="113"/>
              <w:rPr>
                <w:rFonts w:hint="eastAsia"/>
                <w:spacing w:val="4"/>
                <w:sz w:val="21"/>
              </w:rPr>
            </w:pPr>
            <w:r>
              <w:rPr>
                <w:spacing w:val="4"/>
                <w:sz w:val="21"/>
              </w:rPr>
              <w:t>28.6</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28.6</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120" w:line="240" w:lineRule="auto"/>
              <w:ind w:left="113" w:right="113"/>
              <w:rPr>
                <w:rFonts w:hint="eastAsia"/>
                <w:spacing w:val="4"/>
                <w:sz w:val="21"/>
              </w:rPr>
            </w:pPr>
            <w:r>
              <w:rPr>
                <w:rFonts w:hint="eastAsia"/>
                <w:spacing w:val="4"/>
                <w:sz w:val="21"/>
              </w:rPr>
              <w:t>每</w:t>
            </w:r>
            <w:r>
              <w:rPr>
                <w:rFonts w:hint="eastAsia"/>
                <w:spacing w:val="4"/>
                <w:sz w:val="21"/>
              </w:rPr>
              <w:t>10,000</w:t>
            </w:r>
            <w:r>
              <w:rPr>
                <w:rFonts w:hint="eastAsia"/>
                <w:spacing w:val="4"/>
                <w:sz w:val="21"/>
              </w:rPr>
              <w:t>人的中级医务人员人数</w:t>
            </w:r>
          </w:p>
        </w:tc>
        <w:tc>
          <w:tcPr>
            <w:tcW w:w="1680"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54.9</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52.0</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62.0</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120" w:line="240" w:lineRule="auto"/>
              <w:ind w:left="113" w:right="113"/>
              <w:rPr>
                <w:rFonts w:hint="eastAsia"/>
                <w:spacing w:val="4"/>
                <w:sz w:val="21"/>
              </w:rPr>
            </w:pPr>
            <w:r>
              <w:rPr>
                <w:rFonts w:hint="eastAsia"/>
                <w:spacing w:val="4"/>
                <w:sz w:val="21"/>
              </w:rPr>
              <w:t>医院数量</w:t>
            </w:r>
          </w:p>
        </w:tc>
        <w:tc>
          <w:tcPr>
            <w:tcW w:w="1680"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298</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288</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246</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120" w:line="240" w:lineRule="auto"/>
              <w:ind w:left="113" w:right="113"/>
              <w:rPr>
                <w:rFonts w:hint="eastAsia"/>
                <w:spacing w:val="4"/>
                <w:sz w:val="21"/>
              </w:rPr>
            </w:pPr>
            <w:r>
              <w:rPr>
                <w:rFonts w:hint="eastAsia"/>
                <w:spacing w:val="4"/>
                <w:sz w:val="21"/>
              </w:rPr>
              <w:t>医院床位数量</w:t>
            </w:r>
            <w:r>
              <w:rPr>
                <w:rFonts w:hint="eastAsia"/>
                <w:spacing w:val="4"/>
                <w:sz w:val="21"/>
              </w:rPr>
              <w:t>(</w:t>
            </w:r>
            <w:r>
              <w:rPr>
                <w:rFonts w:hint="eastAsia"/>
                <w:spacing w:val="4"/>
                <w:sz w:val="21"/>
              </w:rPr>
              <w:t>以千计</w:t>
            </w:r>
            <w:r>
              <w:rPr>
                <w:rFonts w:hint="eastAsia"/>
                <w:spacing w:val="4"/>
                <w:sz w:val="21"/>
              </w:rPr>
              <w:t>)</w:t>
            </w:r>
          </w:p>
        </w:tc>
        <w:tc>
          <w:tcPr>
            <w:tcW w:w="1680"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24.4</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23.5</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22.5</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120" w:line="240" w:lineRule="auto"/>
              <w:ind w:left="113" w:right="113"/>
              <w:rPr>
                <w:rFonts w:hint="eastAsia"/>
                <w:spacing w:val="4"/>
                <w:sz w:val="21"/>
              </w:rPr>
            </w:pPr>
            <w:r>
              <w:rPr>
                <w:rFonts w:hint="eastAsia"/>
                <w:spacing w:val="4"/>
                <w:sz w:val="21"/>
              </w:rPr>
              <w:t>平均住院时间</w:t>
            </w:r>
            <w:r>
              <w:rPr>
                <w:rFonts w:hint="eastAsia"/>
                <w:spacing w:val="4"/>
                <w:sz w:val="21"/>
              </w:rPr>
              <w:t>(</w:t>
            </w:r>
            <w:r>
              <w:rPr>
                <w:rFonts w:hint="eastAsia"/>
                <w:spacing w:val="4"/>
                <w:sz w:val="21"/>
              </w:rPr>
              <w:t>天</w:t>
            </w:r>
            <w:r>
              <w:rPr>
                <w:rFonts w:hint="eastAsia"/>
                <w:spacing w:val="4"/>
                <w:sz w:val="21"/>
              </w:rPr>
              <w:t>)</w:t>
            </w:r>
          </w:p>
        </w:tc>
        <w:tc>
          <w:tcPr>
            <w:tcW w:w="1680"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10.5</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11.7</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10.7</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120" w:line="240" w:lineRule="auto"/>
              <w:ind w:left="113" w:right="113"/>
              <w:rPr>
                <w:rFonts w:hint="eastAsia"/>
                <w:spacing w:val="4"/>
                <w:sz w:val="21"/>
              </w:rPr>
            </w:pPr>
            <w:r>
              <w:rPr>
                <w:rFonts w:hint="eastAsia"/>
                <w:spacing w:val="4"/>
                <w:sz w:val="21"/>
              </w:rPr>
              <w:t>门诊诊所数量</w:t>
            </w:r>
          </w:p>
        </w:tc>
        <w:tc>
          <w:tcPr>
            <w:tcW w:w="1680"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1,109</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1,009</w:t>
            </w:r>
          </w:p>
        </w:tc>
        <w:tc>
          <w:tcPr>
            <w:tcW w:w="1611" w:type="dxa"/>
            <w:tcBorders>
              <w:top w:val="nil"/>
              <w:bottom w:val="nil"/>
            </w:tcBorders>
          </w:tcPr>
          <w:p w:rsidR="00000000" w:rsidRDefault="00000000">
            <w:pPr>
              <w:tabs>
                <w:tab w:val="decimal" w:pos="852"/>
              </w:tabs>
              <w:spacing w:before="120" w:line="240" w:lineRule="auto"/>
              <w:ind w:left="113" w:right="113"/>
              <w:rPr>
                <w:spacing w:val="4"/>
                <w:sz w:val="21"/>
              </w:rPr>
            </w:pPr>
            <w:r>
              <w:rPr>
                <w:spacing w:val="4"/>
                <w:sz w:val="21"/>
              </w:rPr>
              <w:t>1,073</w:t>
            </w:r>
          </w:p>
        </w:tc>
      </w:tr>
      <w:tr w:rsidR="00000000">
        <w:tblPrEx>
          <w:tblCellMar>
            <w:top w:w="0" w:type="dxa"/>
            <w:bottom w:w="0" w:type="dxa"/>
          </w:tblCellMar>
        </w:tblPrEx>
        <w:tc>
          <w:tcPr>
            <w:tcW w:w="4668" w:type="dxa"/>
            <w:tcBorders>
              <w:top w:val="nil"/>
            </w:tcBorders>
          </w:tcPr>
          <w:p w:rsidR="00000000" w:rsidRDefault="00000000">
            <w:pPr>
              <w:tabs>
                <w:tab w:val="left" w:pos="442"/>
              </w:tabs>
              <w:spacing w:before="120" w:line="240" w:lineRule="auto"/>
              <w:ind w:left="113" w:right="113"/>
              <w:rPr>
                <w:spacing w:val="4"/>
                <w:sz w:val="21"/>
                <w:lang w:val="fr-CH"/>
              </w:rPr>
            </w:pPr>
            <w:r>
              <w:rPr>
                <w:rFonts w:hint="eastAsia"/>
                <w:spacing w:val="4"/>
                <w:sz w:val="21"/>
              </w:rPr>
              <w:t>门诊诊所的能力</w:t>
            </w:r>
            <w:r>
              <w:rPr>
                <w:rFonts w:hint="eastAsia"/>
                <w:spacing w:val="4"/>
                <w:sz w:val="21"/>
              </w:rPr>
              <w:t>(</w:t>
            </w:r>
            <w:r>
              <w:rPr>
                <w:rFonts w:hint="eastAsia"/>
                <w:spacing w:val="4"/>
                <w:sz w:val="21"/>
              </w:rPr>
              <w:t>每班次接纳人数，以千计</w:t>
            </w:r>
            <w:r>
              <w:rPr>
                <w:rFonts w:hint="eastAsia"/>
                <w:spacing w:val="4"/>
                <w:sz w:val="21"/>
              </w:rPr>
              <w:t>)</w:t>
            </w:r>
          </w:p>
        </w:tc>
        <w:tc>
          <w:tcPr>
            <w:tcW w:w="1680" w:type="dxa"/>
            <w:tcBorders>
              <w:top w:val="nil"/>
            </w:tcBorders>
          </w:tcPr>
          <w:p w:rsidR="00000000" w:rsidRDefault="00000000">
            <w:pPr>
              <w:tabs>
                <w:tab w:val="decimal" w:pos="852"/>
              </w:tabs>
              <w:spacing w:before="120" w:line="240" w:lineRule="auto"/>
              <w:ind w:left="113" w:right="113"/>
              <w:rPr>
                <w:spacing w:val="4"/>
                <w:sz w:val="21"/>
              </w:rPr>
            </w:pPr>
            <w:r>
              <w:rPr>
                <w:spacing w:val="4"/>
                <w:sz w:val="21"/>
              </w:rPr>
              <w:t>97.7</w:t>
            </w:r>
          </w:p>
        </w:tc>
        <w:tc>
          <w:tcPr>
            <w:tcW w:w="1611" w:type="dxa"/>
            <w:tcBorders>
              <w:top w:val="nil"/>
            </w:tcBorders>
          </w:tcPr>
          <w:p w:rsidR="00000000" w:rsidRDefault="00000000">
            <w:pPr>
              <w:tabs>
                <w:tab w:val="decimal" w:pos="852"/>
              </w:tabs>
              <w:spacing w:before="120" w:line="240" w:lineRule="auto"/>
              <w:ind w:left="113" w:right="113"/>
              <w:rPr>
                <w:spacing w:val="4"/>
                <w:sz w:val="21"/>
              </w:rPr>
            </w:pPr>
            <w:r>
              <w:rPr>
                <w:spacing w:val="4"/>
                <w:sz w:val="21"/>
              </w:rPr>
              <w:t>100.0</w:t>
            </w:r>
          </w:p>
        </w:tc>
        <w:tc>
          <w:tcPr>
            <w:tcW w:w="1611" w:type="dxa"/>
            <w:tcBorders>
              <w:top w:val="nil"/>
            </w:tcBorders>
          </w:tcPr>
          <w:p w:rsidR="00000000" w:rsidRDefault="00000000">
            <w:pPr>
              <w:tabs>
                <w:tab w:val="decimal" w:pos="852"/>
              </w:tabs>
              <w:spacing w:before="120" w:line="240" w:lineRule="auto"/>
              <w:ind w:left="113" w:right="113"/>
              <w:rPr>
                <w:spacing w:val="4"/>
                <w:sz w:val="21"/>
              </w:rPr>
            </w:pPr>
            <w:r>
              <w:rPr>
                <w:spacing w:val="4"/>
                <w:sz w:val="21"/>
              </w:rPr>
              <w:t>97.2</w:t>
            </w:r>
          </w:p>
        </w:tc>
      </w:tr>
    </w:tbl>
    <w:p w:rsidR="00000000" w:rsidRDefault="00000000"/>
    <w:p w:rsidR="00000000" w:rsidRDefault="00000000">
      <w:pPr>
        <w:pStyle w:val="Heading3"/>
        <w:spacing w:after="160"/>
        <w:rPr>
          <w:rFonts w:hint="eastAsia"/>
        </w:rPr>
      </w:pPr>
      <w:r>
        <w:rPr>
          <w:rFonts w:hint="eastAsia"/>
        </w:rPr>
        <w:t>急诊服务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
        <w:gridCol w:w="1680"/>
        <w:gridCol w:w="1560"/>
        <w:gridCol w:w="1800"/>
        <w:gridCol w:w="1680"/>
        <w:gridCol w:w="1896"/>
      </w:tblGrid>
      <w:tr w:rsidR="00000000">
        <w:tblPrEx>
          <w:tblCellMar>
            <w:top w:w="0" w:type="dxa"/>
            <w:bottom w:w="0" w:type="dxa"/>
          </w:tblCellMar>
        </w:tblPrEx>
        <w:trPr>
          <w:cantSplit/>
        </w:trPr>
        <w:tc>
          <w:tcPr>
            <w:tcW w:w="948" w:type="dxa"/>
            <w:vMerge w:val="restart"/>
          </w:tcPr>
          <w:p w:rsidR="00000000" w:rsidRDefault="00000000">
            <w:pPr>
              <w:tabs>
                <w:tab w:val="left" w:pos="442"/>
              </w:tabs>
              <w:spacing w:before="320" w:line="240" w:lineRule="exact"/>
              <w:jc w:val="center"/>
              <w:rPr>
                <w:rFonts w:hint="eastAsia"/>
                <w:spacing w:val="4"/>
                <w:sz w:val="21"/>
                <w:u w:val="single"/>
              </w:rPr>
            </w:pPr>
            <w:r>
              <w:rPr>
                <w:rFonts w:hint="eastAsia"/>
                <w:spacing w:val="4"/>
                <w:sz w:val="21"/>
                <w:u w:val="single"/>
              </w:rPr>
              <w:t>年度</w:t>
            </w:r>
          </w:p>
        </w:tc>
        <w:tc>
          <w:tcPr>
            <w:tcW w:w="1680" w:type="dxa"/>
            <w:vMerge w:val="restart"/>
          </w:tcPr>
          <w:p w:rsidR="00000000" w:rsidRDefault="00000000">
            <w:pPr>
              <w:tabs>
                <w:tab w:val="left" w:pos="442"/>
              </w:tabs>
              <w:spacing w:before="320" w:line="240" w:lineRule="exact"/>
              <w:jc w:val="center"/>
              <w:rPr>
                <w:spacing w:val="4"/>
                <w:sz w:val="21"/>
                <w:u w:val="single"/>
                <w:lang w:val="fr-CH"/>
              </w:rPr>
            </w:pPr>
            <w:r>
              <w:rPr>
                <w:rFonts w:hint="eastAsia"/>
                <w:spacing w:val="4"/>
                <w:sz w:val="21"/>
                <w:u w:val="single"/>
              </w:rPr>
              <w:t>受到急救的</w:t>
            </w:r>
            <w:r>
              <w:rPr>
                <w:spacing w:val="4"/>
                <w:sz w:val="21"/>
                <w:u w:val="single"/>
              </w:rPr>
              <w:br/>
            </w:r>
            <w:r>
              <w:rPr>
                <w:rFonts w:hint="eastAsia"/>
                <w:spacing w:val="4"/>
                <w:sz w:val="21"/>
                <w:u w:val="single"/>
              </w:rPr>
              <w:t>人数</w:t>
            </w:r>
          </w:p>
        </w:tc>
        <w:tc>
          <w:tcPr>
            <w:tcW w:w="6936" w:type="dxa"/>
            <w:gridSpan w:val="4"/>
          </w:tcPr>
          <w:p w:rsidR="00000000" w:rsidRDefault="00000000">
            <w:pPr>
              <w:tabs>
                <w:tab w:val="left" w:pos="442"/>
              </w:tabs>
              <w:spacing w:before="120" w:line="240" w:lineRule="exact"/>
              <w:jc w:val="center"/>
              <w:rPr>
                <w:rFonts w:hint="eastAsia"/>
                <w:spacing w:val="4"/>
                <w:sz w:val="21"/>
                <w:u w:val="single"/>
                <w:lang w:val="fr-CH"/>
              </w:rPr>
            </w:pPr>
            <w:r>
              <w:rPr>
                <w:rFonts w:hint="eastAsia"/>
                <w:spacing w:val="4"/>
                <w:sz w:val="21"/>
                <w:u w:val="single"/>
              </w:rPr>
              <w:t>其</w:t>
            </w:r>
            <w:r>
              <w:rPr>
                <w:spacing w:val="4"/>
                <w:sz w:val="21"/>
                <w:u w:val="single"/>
                <w:lang w:val="fr-CH"/>
              </w:rPr>
              <w:t xml:space="preserve">  </w:t>
            </w:r>
            <w:r>
              <w:rPr>
                <w:rFonts w:hint="eastAsia"/>
                <w:spacing w:val="4"/>
                <w:sz w:val="21"/>
                <w:u w:val="single"/>
              </w:rPr>
              <w:t>中</w:t>
            </w:r>
          </w:p>
        </w:tc>
      </w:tr>
      <w:tr w:rsidR="00000000">
        <w:tblPrEx>
          <w:tblCellMar>
            <w:top w:w="0" w:type="dxa"/>
            <w:bottom w:w="0" w:type="dxa"/>
          </w:tblCellMar>
        </w:tblPrEx>
        <w:trPr>
          <w:cantSplit/>
        </w:trPr>
        <w:tc>
          <w:tcPr>
            <w:tcW w:w="948" w:type="dxa"/>
            <w:vMerge/>
            <w:tcBorders>
              <w:bottom w:val="single" w:sz="4" w:space="0" w:color="auto"/>
            </w:tcBorders>
          </w:tcPr>
          <w:p w:rsidR="00000000" w:rsidRDefault="00000000">
            <w:pPr>
              <w:tabs>
                <w:tab w:val="left" w:pos="442"/>
              </w:tabs>
              <w:spacing w:before="120" w:line="240" w:lineRule="exact"/>
              <w:jc w:val="center"/>
              <w:rPr>
                <w:rFonts w:hint="eastAsia"/>
                <w:spacing w:val="4"/>
                <w:sz w:val="21"/>
                <w:u w:val="single"/>
                <w:lang w:val="fr-CH"/>
              </w:rPr>
            </w:pPr>
          </w:p>
        </w:tc>
        <w:tc>
          <w:tcPr>
            <w:tcW w:w="1680" w:type="dxa"/>
            <w:vMerge/>
            <w:tcBorders>
              <w:bottom w:val="single" w:sz="4" w:space="0" w:color="auto"/>
            </w:tcBorders>
          </w:tcPr>
          <w:p w:rsidR="00000000" w:rsidRDefault="00000000">
            <w:pPr>
              <w:tabs>
                <w:tab w:val="left" w:pos="442"/>
              </w:tabs>
              <w:spacing w:before="120" w:line="240" w:lineRule="exact"/>
              <w:jc w:val="center"/>
              <w:rPr>
                <w:rFonts w:hint="eastAsia"/>
                <w:spacing w:val="4"/>
                <w:sz w:val="21"/>
                <w:u w:val="single"/>
                <w:lang w:val="fr-CH"/>
              </w:rPr>
            </w:pPr>
          </w:p>
        </w:tc>
        <w:tc>
          <w:tcPr>
            <w:tcW w:w="1560" w:type="dxa"/>
            <w:tcBorders>
              <w:bottom w:val="single" w:sz="4" w:space="0" w:color="auto"/>
            </w:tcBorders>
          </w:tcPr>
          <w:p w:rsidR="00000000" w:rsidRDefault="00000000">
            <w:pPr>
              <w:tabs>
                <w:tab w:val="left" w:pos="442"/>
              </w:tabs>
              <w:spacing w:before="120" w:line="240" w:lineRule="exact"/>
              <w:jc w:val="center"/>
              <w:rPr>
                <w:rFonts w:hint="eastAsia"/>
                <w:spacing w:val="4"/>
                <w:sz w:val="21"/>
                <w:u w:val="single"/>
                <w:lang w:val="fr-CH"/>
              </w:rPr>
            </w:pPr>
            <w:r>
              <w:rPr>
                <w:rFonts w:hint="eastAsia"/>
                <w:spacing w:val="4"/>
                <w:sz w:val="21"/>
                <w:u w:val="single"/>
              </w:rPr>
              <w:t>事</w:t>
            </w:r>
            <w:r>
              <w:rPr>
                <w:spacing w:val="4"/>
                <w:sz w:val="21"/>
                <w:u w:val="single"/>
                <w:lang w:val="fr-CH"/>
              </w:rPr>
              <w:t xml:space="preserve">  </w:t>
            </w:r>
            <w:r>
              <w:rPr>
                <w:rFonts w:hint="eastAsia"/>
                <w:spacing w:val="4"/>
                <w:sz w:val="21"/>
                <w:u w:val="single"/>
              </w:rPr>
              <w:t>故</w:t>
            </w:r>
          </w:p>
        </w:tc>
        <w:tc>
          <w:tcPr>
            <w:tcW w:w="1800" w:type="dxa"/>
            <w:tcBorders>
              <w:bottom w:val="single" w:sz="4" w:space="0" w:color="auto"/>
            </w:tcBorders>
          </w:tcPr>
          <w:p w:rsidR="00000000" w:rsidRDefault="00000000">
            <w:pPr>
              <w:tabs>
                <w:tab w:val="left" w:pos="442"/>
              </w:tabs>
              <w:spacing w:before="120" w:line="240" w:lineRule="exact"/>
              <w:jc w:val="center"/>
              <w:rPr>
                <w:rFonts w:hint="eastAsia"/>
                <w:spacing w:val="4"/>
                <w:sz w:val="21"/>
                <w:u w:val="single"/>
              </w:rPr>
            </w:pPr>
            <w:r>
              <w:rPr>
                <w:rFonts w:hint="eastAsia"/>
                <w:spacing w:val="4"/>
                <w:sz w:val="21"/>
                <w:u w:val="single"/>
              </w:rPr>
              <w:t>突发疾病</w:t>
            </w:r>
          </w:p>
        </w:tc>
        <w:tc>
          <w:tcPr>
            <w:tcW w:w="1680" w:type="dxa"/>
            <w:tcBorders>
              <w:bottom w:val="single" w:sz="4" w:space="0" w:color="auto"/>
            </w:tcBorders>
          </w:tcPr>
          <w:p w:rsidR="00000000" w:rsidRDefault="00000000">
            <w:pPr>
              <w:tabs>
                <w:tab w:val="left" w:pos="442"/>
              </w:tabs>
              <w:spacing w:before="120" w:line="240" w:lineRule="exact"/>
              <w:jc w:val="center"/>
              <w:rPr>
                <w:rFonts w:hint="eastAsia"/>
                <w:spacing w:val="4"/>
                <w:sz w:val="21"/>
                <w:u w:val="single"/>
              </w:rPr>
            </w:pPr>
            <w:r>
              <w:rPr>
                <w:rFonts w:hint="eastAsia"/>
                <w:spacing w:val="4"/>
                <w:sz w:val="21"/>
                <w:u w:val="single"/>
              </w:rPr>
              <w:t>分娩和妊娠</w:t>
            </w:r>
            <w:r>
              <w:rPr>
                <w:spacing w:val="4"/>
                <w:sz w:val="21"/>
                <w:u w:val="single"/>
              </w:rPr>
              <w:br/>
            </w:r>
            <w:r>
              <w:rPr>
                <w:rFonts w:hint="eastAsia"/>
                <w:spacing w:val="4"/>
                <w:sz w:val="21"/>
                <w:u w:val="single"/>
              </w:rPr>
              <w:t>并发症</w:t>
            </w:r>
          </w:p>
        </w:tc>
        <w:tc>
          <w:tcPr>
            <w:tcW w:w="1896" w:type="dxa"/>
            <w:tcBorders>
              <w:bottom w:val="single" w:sz="4" w:space="0" w:color="auto"/>
            </w:tcBorders>
          </w:tcPr>
          <w:p w:rsidR="00000000" w:rsidRDefault="00000000">
            <w:pPr>
              <w:tabs>
                <w:tab w:val="left" w:pos="442"/>
              </w:tabs>
              <w:spacing w:before="120" w:line="240" w:lineRule="exact"/>
              <w:jc w:val="center"/>
              <w:rPr>
                <w:spacing w:val="4"/>
                <w:sz w:val="21"/>
                <w:u w:val="single"/>
                <w:lang w:val="fr-CH"/>
              </w:rPr>
            </w:pPr>
            <w:r>
              <w:rPr>
                <w:rFonts w:hint="eastAsia"/>
                <w:spacing w:val="4"/>
                <w:sz w:val="21"/>
                <w:u w:val="single"/>
              </w:rPr>
              <w:t>运送病人、产妇和新生儿</w:t>
            </w:r>
          </w:p>
        </w:tc>
      </w:tr>
      <w:tr w:rsidR="00000000">
        <w:tblPrEx>
          <w:tblCellMar>
            <w:top w:w="0" w:type="dxa"/>
            <w:bottom w:w="0" w:type="dxa"/>
          </w:tblCellMar>
        </w:tblPrEx>
        <w:tc>
          <w:tcPr>
            <w:tcW w:w="948" w:type="dxa"/>
            <w:tcBorders>
              <w:bottom w:val="nil"/>
            </w:tcBorders>
          </w:tcPr>
          <w:p w:rsidR="00000000" w:rsidRDefault="00000000">
            <w:pPr>
              <w:tabs>
                <w:tab w:val="left" w:pos="442"/>
              </w:tabs>
              <w:spacing w:before="120" w:line="240" w:lineRule="exact"/>
              <w:jc w:val="center"/>
              <w:rPr>
                <w:spacing w:val="4"/>
                <w:sz w:val="21"/>
              </w:rPr>
            </w:pPr>
            <w:r>
              <w:rPr>
                <w:spacing w:val="4"/>
                <w:sz w:val="21"/>
              </w:rPr>
              <w:t>1996</w:t>
            </w:r>
          </w:p>
        </w:tc>
        <w:tc>
          <w:tcPr>
            <w:tcW w:w="1680" w:type="dxa"/>
            <w:tcBorders>
              <w:bottom w:val="nil"/>
            </w:tcBorders>
          </w:tcPr>
          <w:p w:rsidR="00000000" w:rsidRDefault="00000000">
            <w:pPr>
              <w:tabs>
                <w:tab w:val="left" w:pos="442"/>
              </w:tabs>
              <w:spacing w:before="120" w:line="240" w:lineRule="exact"/>
              <w:jc w:val="center"/>
              <w:rPr>
                <w:spacing w:val="4"/>
                <w:sz w:val="21"/>
              </w:rPr>
            </w:pPr>
            <w:r>
              <w:rPr>
                <w:spacing w:val="4"/>
                <w:sz w:val="21"/>
              </w:rPr>
              <w:t>152,344</w:t>
            </w:r>
          </w:p>
        </w:tc>
        <w:tc>
          <w:tcPr>
            <w:tcW w:w="1560" w:type="dxa"/>
            <w:tcBorders>
              <w:bottom w:val="nil"/>
            </w:tcBorders>
          </w:tcPr>
          <w:p w:rsidR="00000000" w:rsidRDefault="00000000">
            <w:pPr>
              <w:tabs>
                <w:tab w:val="decimal" w:pos="1092"/>
              </w:tabs>
              <w:spacing w:before="120" w:line="240" w:lineRule="exact"/>
              <w:rPr>
                <w:spacing w:val="4"/>
                <w:sz w:val="21"/>
              </w:rPr>
            </w:pPr>
            <w:r>
              <w:rPr>
                <w:spacing w:val="4"/>
                <w:sz w:val="21"/>
              </w:rPr>
              <w:t>7,701</w:t>
            </w:r>
          </w:p>
        </w:tc>
        <w:tc>
          <w:tcPr>
            <w:tcW w:w="1800" w:type="dxa"/>
            <w:tcBorders>
              <w:bottom w:val="nil"/>
            </w:tcBorders>
          </w:tcPr>
          <w:p w:rsidR="00000000" w:rsidRDefault="00000000">
            <w:pPr>
              <w:tabs>
                <w:tab w:val="decimal" w:pos="1092"/>
              </w:tabs>
              <w:spacing w:before="120" w:line="240" w:lineRule="exact"/>
              <w:rPr>
                <w:spacing w:val="4"/>
                <w:sz w:val="21"/>
              </w:rPr>
            </w:pPr>
            <w:r>
              <w:rPr>
                <w:spacing w:val="4"/>
                <w:sz w:val="21"/>
              </w:rPr>
              <w:t>139,734</w:t>
            </w:r>
          </w:p>
        </w:tc>
        <w:tc>
          <w:tcPr>
            <w:tcW w:w="1680" w:type="dxa"/>
            <w:tcBorders>
              <w:bottom w:val="nil"/>
            </w:tcBorders>
          </w:tcPr>
          <w:p w:rsidR="00000000" w:rsidRDefault="00000000">
            <w:pPr>
              <w:tabs>
                <w:tab w:val="decimal" w:pos="1092"/>
              </w:tabs>
              <w:spacing w:before="120" w:line="240" w:lineRule="exact"/>
              <w:rPr>
                <w:spacing w:val="4"/>
                <w:sz w:val="21"/>
              </w:rPr>
            </w:pPr>
            <w:r>
              <w:rPr>
                <w:spacing w:val="4"/>
                <w:sz w:val="21"/>
              </w:rPr>
              <w:t>959</w:t>
            </w:r>
          </w:p>
        </w:tc>
        <w:tc>
          <w:tcPr>
            <w:tcW w:w="1896" w:type="dxa"/>
            <w:tcBorders>
              <w:bottom w:val="nil"/>
            </w:tcBorders>
          </w:tcPr>
          <w:p w:rsidR="00000000" w:rsidRDefault="00000000">
            <w:pPr>
              <w:tabs>
                <w:tab w:val="decimal" w:pos="1092"/>
              </w:tabs>
              <w:spacing w:before="120" w:line="240" w:lineRule="exact"/>
              <w:rPr>
                <w:spacing w:val="4"/>
                <w:sz w:val="21"/>
              </w:rPr>
            </w:pPr>
            <w:r>
              <w:rPr>
                <w:spacing w:val="4"/>
                <w:sz w:val="21"/>
              </w:rPr>
              <w:t>3,950</w:t>
            </w:r>
          </w:p>
        </w:tc>
      </w:tr>
      <w:tr w:rsidR="00000000">
        <w:tblPrEx>
          <w:tblCellMar>
            <w:top w:w="0" w:type="dxa"/>
            <w:bottom w:w="0" w:type="dxa"/>
          </w:tblCellMar>
        </w:tblPrEx>
        <w:tc>
          <w:tcPr>
            <w:tcW w:w="948" w:type="dxa"/>
            <w:tcBorders>
              <w:top w:val="nil"/>
              <w:bottom w:val="nil"/>
            </w:tcBorders>
          </w:tcPr>
          <w:p w:rsidR="00000000" w:rsidRDefault="00000000">
            <w:pPr>
              <w:tabs>
                <w:tab w:val="left" w:pos="442"/>
              </w:tabs>
              <w:spacing w:before="120" w:line="240" w:lineRule="exact"/>
              <w:jc w:val="center"/>
              <w:rPr>
                <w:spacing w:val="4"/>
                <w:sz w:val="21"/>
              </w:rPr>
            </w:pPr>
            <w:r>
              <w:rPr>
                <w:spacing w:val="4"/>
                <w:sz w:val="21"/>
              </w:rPr>
              <w:t>1997</w:t>
            </w:r>
          </w:p>
        </w:tc>
        <w:tc>
          <w:tcPr>
            <w:tcW w:w="1680" w:type="dxa"/>
            <w:tcBorders>
              <w:top w:val="nil"/>
              <w:bottom w:val="nil"/>
            </w:tcBorders>
          </w:tcPr>
          <w:p w:rsidR="00000000" w:rsidRDefault="00000000">
            <w:pPr>
              <w:tabs>
                <w:tab w:val="left" w:pos="442"/>
              </w:tabs>
              <w:spacing w:before="120" w:line="240" w:lineRule="exact"/>
              <w:jc w:val="center"/>
              <w:rPr>
                <w:spacing w:val="4"/>
                <w:sz w:val="21"/>
              </w:rPr>
            </w:pPr>
            <w:r>
              <w:rPr>
                <w:spacing w:val="4"/>
                <w:sz w:val="21"/>
              </w:rPr>
              <w:t>117,734</w:t>
            </w:r>
          </w:p>
        </w:tc>
        <w:tc>
          <w:tcPr>
            <w:tcW w:w="1560" w:type="dxa"/>
            <w:tcBorders>
              <w:top w:val="nil"/>
              <w:bottom w:val="nil"/>
            </w:tcBorders>
          </w:tcPr>
          <w:p w:rsidR="00000000" w:rsidRDefault="00000000">
            <w:pPr>
              <w:tabs>
                <w:tab w:val="decimal" w:pos="1092"/>
              </w:tabs>
              <w:spacing w:before="120" w:line="240" w:lineRule="exact"/>
              <w:rPr>
                <w:spacing w:val="4"/>
                <w:sz w:val="21"/>
              </w:rPr>
            </w:pPr>
            <w:r>
              <w:rPr>
                <w:spacing w:val="4"/>
                <w:sz w:val="21"/>
              </w:rPr>
              <w:t>7,295</w:t>
            </w:r>
          </w:p>
        </w:tc>
        <w:tc>
          <w:tcPr>
            <w:tcW w:w="1800" w:type="dxa"/>
            <w:tcBorders>
              <w:top w:val="nil"/>
              <w:bottom w:val="nil"/>
            </w:tcBorders>
          </w:tcPr>
          <w:p w:rsidR="00000000" w:rsidRDefault="00000000">
            <w:pPr>
              <w:tabs>
                <w:tab w:val="decimal" w:pos="1092"/>
              </w:tabs>
              <w:spacing w:before="120" w:line="240" w:lineRule="exact"/>
              <w:rPr>
                <w:spacing w:val="4"/>
                <w:sz w:val="21"/>
              </w:rPr>
            </w:pPr>
            <w:r>
              <w:rPr>
                <w:spacing w:val="4"/>
                <w:sz w:val="21"/>
              </w:rPr>
              <w:t>105,932</w:t>
            </w:r>
          </w:p>
        </w:tc>
        <w:tc>
          <w:tcPr>
            <w:tcW w:w="1680" w:type="dxa"/>
            <w:tcBorders>
              <w:top w:val="nil"/>
              <w:bottom w:val="nil"/>
            </w:tcBorders>
          </w:tcPr>
          <w:p w:rsidR="00000000" w:rsidRDefault="00000000">
            <w:pPr>
              <w:tabs>
                <w:tab w:val="decimal" w:pos="1092"/>
              </w:tabs>
              <w:spacing w:before="120" w:line="240" w:lineRule="exact"/>
              <w:rPr>
                <w:spacing w:val="4"/>
                <w:sz w:val="21"/>
              </w:rPr>
            </w:pPr>
            <w:r>
              <w:rPr>
                <w:spacing w:val="4"/>
                <w:sz w:val="21"/>
              </w:rPr>
              <w:t>780</w:t>
            </w:r>
          </w:p>
        </w:tc>
        <w:tc>
          <w:tcPr>
            <w:tcW w:w="1896" w:type="dxa"/>
            <w:tcBorders>
              <w:top w:val="nil"/>
              <w:bottom w:val="nil"/>
            </w:tcBorders>
          </w:tcPr>
          <w:p w:rsidR="00000000" w:rsidRDefault="00000000">
            <w:pPr>
              <w:tabs>
                <w:tab w:val="decimal" w:pos="1092"/>
              </w:tabs>
              <w:spacing w:before="120" w:line="240" w:lineRule="exact"/>
              <w:rPr>
                <w:spacing w:val="4"/>
                <w:sz w:val="21"/>
              </w:rPr>
            </w:pPr>
            <w:r>
              <w:rPr>
                <w:spacing w:val="4"/>
                <w:sz w:val="21"/>
              </w:rPr>
              <w:t>3,727</w:t>
            </w:r>
          </w:p>
        </w:tc>
      </w:tr>
      <w:tr w:rsidR="00000000">
        <w:tblPrEx>
          <w:tblCellMar>
            <w:top w:w="0" w:type="dxa"/>
            <w:bottom w:w="0" w:type="dxa"/>
          </w:tblCellMar>
        </w:tblPrEx>
        <w:tc>
          <w:tcPr>
            <w:tcW w:w="948" w:type="dxa"/>
            <w:tcBorders>
              <w:top w:val="nil"/>
              <w:bottom w:val="nil"/>
            </w:tcBorders>
          </w:tcPr>
          <w:p w:rsidR="00000000" w:rsidRDefault="00000000">
            <w:pPr>
              <w:tabs>
                <w:tab w:val="left" w:pos="442"/>
              </w:tabs>
              <w:spacing w:before="120" w:line="240" w:lineRule="exact"/>
              <w:jc w:val="center"/>
              <w:rPr>
                <w:spacing w:val="4"/>
                <w:sz w:val="21"/>
              </w:rPr>
            </w:pPr>
            <w:r>
              <w:rPr>
                <w:spacing w:val="4"/>
                <w:sz w:val="21"/>
              </w:rPr>
              <w:t>1998</w:t>
            </w:r>
          </w:p>
        </w:tc>
        <w:tc>
          <w:tcPr>
            <w:tcW w:w="1680" w:type="dxa"/>
            <w:tcBorders>
              <w:top w:val="nil"/>
              <w:bottom w:val="nil"/>
            </w:tcBorders>
          </w:tcPr>
          <w:p w:rsidR="00000000" w:rsidRDefault="00000000">
            <w:pPr>
              <w:tabs>
                <w:tab w:val="left" w:pos="442"/>
              </w:tabs>
              <w:spacing w:before="120" w:line="240" w:lineRule="exact"/>
              <w:jc w:val="center"/>
              <w:rPr>
                <w:spacing w:val="4"/>
                <w:sz w:val="21"/>
              </w:rPr>
            </w:pPr>
            <w:r>
              <w:rPr>
                <w:spacing w:val="4"/>
                <w:sz w:val="21"/>
              </w:rPr>
              <w:t>123,582</w:t>
            </w:r>
          </w:p>
        </w:tc>
        <w:tc>
          <w:tcPr>
            <w:tcW w:w="1560" w:type="dxa"/>
            <w:tcBorders>
              <w:top w:val="nil"/>
              <w:bottom w:val="nil"/>
            </w:tcBorders>
          </w:tcPr>
          <w:p w:rsidR="00000000" w:rsidRDefault="00000000">
            <w:pPr>
              <w:tabs>
                <w:tab w:val="decimal" w:pos="1092"/>
              </w:tabs>
              <w:spacing w:before="120" w:line="240" w:lineRule="exact"/>
              <w:rPr>
                <w:spacing w:val="4"/>
                <w:sz w:val="21"/>
              </w:rPr>
            </w:pPr>
            <w:r>
              <w:rPr>
                <w:spacing w:val="4"/>
                <w:sz w:val="21"/>
              </w:rPr>
              <w:t>7,794</w:t>
            </w:r>
          </w:p>
        </w:tc>
        <w:tc>
          <w:tcPr>
            <w:tcW w:w="1800" w:type="dxa"/>
            <w:tcBorders>
              <w:top w:val="nil"/>
              <w:bottom w:val="nil"/>
            </w:tcBorders>
          </w:tcPr>
          <w:p w:rsidR="00000000" w:rsidRDefault="00000000">
            <w:pPr>
              <w:tabs>
                <w:tab w:val="decimal" w:pos="1092"/>
              </w:tabs>
              <w:spacing w:before="120" w:line="240" w:lineRule="exact"/>
              <w:rPr>
                <w:spacing w:val="4"/>
                <w:sz w:val="21"/>
              </w:rPr>
            </w:pPr>
            <w:r>
              <w:rPr>
                <w:spacing w:val="4"/>
                <w:sz w:val="21"/>
              </w:rPr>
              <w:t>111,410</w:t>
            </w:r>
          </w:p>
        </w:tc>
        <w:tc>
          <w:tcPr>
            <w:tcW w:w="1680" w:type="dxa"/>
            <w:tcBorders>
              <w:top w:val="nil"/>
              <w:bottom w:val="nil"/>
            </w:tcBorders>
          </w:tcPr>
          <w:p w:rsidR="00000000" w:rsidRDefault="00000000">
            <w:pPr>
              <w:tabs>
                <w:tab w:val="decimal" w:pos="1092"/>
              </w:tabs>
              <w:spacing w:before="120" w:line="240" w:lineRule="exact"/>
              <w:rPr>
                <w:spacing w:val="4"/>
                <w:sz w:val="21"/>
              </w:rPr>
            </w:pPr>
            <w:r>
              <w:rPr>
                <w:spacing w:val="4"/>
                <w:sz w:val="21"/>
              </w:rPr>
              <w:t>1,337</w:t>
            </w:r>
          </w:p>
        </w:tc>
        <w:tc>
          <w:tcPr>
            <w:tcW w:w="1896" w:type="dxa"/>
            <w:tcBorders>
              <w:top w:val="nil"/>
              <w:bottom w:val="nil"/>
            </w:tcBorders>
          </w:tcPr>
          <w:p w:rsidR="00000000" w:rsidRDefault="00000000">
            <w:pPr>
              <w:tabs>
                <w:tab w:val="decimal" w:pos="1092"/>
              </w:tabs>
              <w:spacing w:before="120" w:line="240" w:lineRule="exact"/>
              <w:rPr>
                <w:spacing w:val="4"/>
                <w:sz w:val="21"/>
              </w:rPr>
            </w:pPr>
            <w:r>
              <w:rPr>
                <w:spacing w:val="4"/>
                <w:sz w:val="21"/>
              </w:rPr>
              <w:t>3,041</w:t>
            </w:r>
          </w:p>
        </w:tc>
      </w:tr>
      <w:tr w:rsidR="00000000">
        <w:tblPrEx>
          <w:tblCellMar>
            <w:top w:w="0" w:type="dxa"/>
            <w:bottom w:w="0" w:type="dxa"/>
          </w:tblCellMar>
        </w:tblPrEx>
        <w:tc>
          <w:tcPr>
            <w:tcW w:w="948" w:type="dxa"/>
            <w:tcBorders>
              <w:top w:val="nil"/>
            </w:tcBorders>
          </w:tcPr>
          <w:p w:rsidR="00000000" w:rsidRDefault="00000000">
            <w:pPr>
              <w:tabs>
                <w:tab w:val="left" w:pos="442"/>
              </w:tabs>
              <w:spacing w:before="120" w:line="240" w:lineRule="exact"/>
              <w:jc w:val="center"/>
              <w:rPr>
                <w:spacing w:val="4"/>
                <w:sz w:val="21"/>
              </w:rPr>
            </w:pPr>
            <w:r>
              <w:rPr>
                <w:spacing w:val="4"/>
                <w:sz w:val="21"/>
              </w:rPr>
              <w:t>1999</w:t>
            </w:r>
          </w:p>
        </w:tc>
        <w:tc>
          <w:tcPr>
            <w:tcW w:w="1680" w:type="dxa"/>
            <w:tcBorders>
              <w:top w:val="nil"/>
            </w:tcBorders>
          </w:tcPr>
          <w:p w:rsidR="00000000" w:rsidRDefault="00000000">
            <w:pPr>
              <w:tabs>
                <w:tab w:val="left" w:pos="442"/>
              </w:tabs>
              <w:spacing w:before="120" w:line="240" w:lineRule="exact"/>
              <w:jc w:val="center"/>
              <w:rPr>
                <w:spacing w:val="4"/>
                <w:sz w:val="21"/>
              </w:rPr>
            </w:pPr>
            <w:r>
              <w:rPr>
                <w:spacing w:val="4"/>
                <w:sz w:val="21"/>
              </w:rPr>
              <w:t>142,695</w:t>
            </w:r>
          </w:p>
        </w:tc>
        <w:tc>
          <w:tcPr>
            <w:tcW w:w="1560" w:type="dxa"/>
            <w:tcBorders>
              <w:top w:val="nil"/>
            </w:tcBorders>
          </w:tcPr>
          <w:p w:rsidR="00000000" w:rsidRDefault="00000000">
            <w:pPr>
              <w:tabs>
                <w:tab w:val="decimal" w:pos="1092"/>
              </w:tabs>
              <w:spacing w:before="120" w:line="240" w:lineRule="exact"/>
              <w:rPr>
                <w:spacing w:val="4"/>
                <w:sz w:val="21"/>
              </w:rPr>
            </w:pPr>
            <w:r>
              <w:rPr>
                <w:spacing w:val="4"/>
                <w:sz w:val="21"/>
              </w:rPr>
              <w:t>10,219</w:t>
            </w:r>
          </w:p>
        </w:tc>
        <w:tc>
          <w:tcPr>
            <w:tcW w:w="1800" w:type="dxa"/>
            <w:tcBorders>
              <w:top w:val="nil"/>
            </w:tcBorders>
          </w:tcPr>
          <w:p w:rsidR="00000000" w:rsidRDefault="00000000">
            <w:pPr>
              <w:tabs>
                <w:tab w:val="decimal" w:pos="1092"/>
              </w:tabs>
              <w:spacing w:before="120" w:line="240" w:lineRule="exact"/>
              <w:rPr>
                <w:spacing w:val="4"/>
                <w:sz w:val="21"/>
              </w:rPr>
            </w:pPr>
            <w:r>
              <w:rPr>
                <w:spacing w:val="4"/>
                <w:sz w:val="21"/>
              </w:rPr>
              <w:t>126,644</w:t>
            </w:r>
          </w:p>
        </w:tc>
        <w:tc>
          <w:tcPr>
            <w:tcW w:w="1680" w:type="dxa"/>
            <w:tcBorders>
              <w:top w:val="nil"/>
            </w:tcBorders>
          </w:tcPr>
          <w:p w:rsidR="00000000" w:rsidRDefault="00000000">
            <w:pPr>
              <w:tabs>
                <w:tab w:val="decimal" w:pos="1092"/>
              </w:tabs>
              <w:spacing w:before="120" w:line="240" w:lineRule="exact"/>
              <w:rPr>
                <w:spacing w:val="4"/>
                <w:sz w:val="21"/>
              </w:rPr>
            </w:pPr>
            <w:r>
              <w:rPr>
                <w:spacing w:val="4"/>
                <w:sz w:val="21"/>
              </w:rPr>
              <w:t>1,856</w:t>
            </w:r>
          </w:p>
        </w:tc>
        <w:tc>
          <w:tcPr>
            <w:tcW w:w="1896" w:type="dxa"/>
            <w:tcBorders>
              <w:top w:val="nil"/>
            </w:tcBorders>
          </w:tcPr>
          <w:p w:rsidR="00000000" w:rsidRDefault="00000000">
            <w:pPr>
              <w:tabs>
                <w:tab w:val="decimal" w:pos="1092"/>
              </w:tabs>
              <w:spacing w:before="120" w:line="240" w:lineRule="exact"/>
              <w:rPr>
                <w:spacing w:val="4"/>
                <w:sz w:val="21"/>
              </w:rPr>
            </w:pPr>
            <w:r>
              <w:rPr>
                <w:spacing w:val="4"/>
                <w:sz w:val="21"/>
              </w:rPr>
              <w:t>3,976</w:t>
            </w:r>
          </w:p>
        </w:tc>
      </w:tr>
    </w:tbl>
    <w:p w:rsidR="00000000" w:rsidRDefault="00000000"/>
    <w:p w:rsidR="00000000" w:rsidRDefault="00000000">
      <w:pPr>
        <w:pStyle w:val="Heading3"/>
        <w:rPr>
          <w:rFonts w:hint="eastAsia"/>
        </w:rPr>
      </w:pPr>
      <w:r>
        <w:rPr>
          <w:rFonts w:hint="eastAsia"/>
        </w:rPr>
        <w:t>按致残原因分列的初次确定残疾人身份的残疾人明细表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8"/>
        <w:gridCol w:w="1680"/>
        <w:gridCol w:w="1611"/>
        <w:gridCol w:w="1611"/>
      </w:tblGrid>
      <w:tr w:rsidR="00000000">
        <w:tblPrEx>
          <w:tblCellMar>
            <w:top w:w="0" w:type="dxa"/>
            <w:bottom w:w="0" w:type="dxa"/>
          </w:tblCellMar>
        </w:tblPrEx>
        <w:tc>
          <w:tcPr>
            <w:tcW w:w="4668" w:type="dxa"/>
            <w:tcBorders>
              <w:bottom w:val="single" w:sz="4" w:space="0" w:color="auto"/>
            </w:tcBorders>
          </w:tcPr>
          <w:p w:rsidR="00000000" w:rsidRDefault="00000000">
            <w:pPr>
              <w:tabs>
                <w:tab w:val="left" w:pos="442"/>
              </w:tabs>
              <w:spacing w:before="60" w:after="160" w:line="320" w:lineRule="exact"/>
              <w:ind w:left="113" w:right="113"/>
              <w:jc w:val="center"/>
              <w:rPr>
                <w:rFonts w:hint="eastAsia"/>
                <w:spacing w:val="4"/>
                <w:sz w:val="21"/>
                <w:u w:val="single"/>
              </w:rPr>
            </w:pPr>
          </w:p>
        </w:tc>
        <w:tc>
          <w:tcPr>
            <w:tcW w:w="1680" w:type="dxa"/>
            <w:tcBorders>
              <w:bottom w:val="single" w:sz="4" w:space="0" w:color="auto"/>
            </w:tcBorders>
          </w:tcPr>
          <w:p w:rsidR="00000000" w:rsidRDefault="00000000">
            <w:pPr>
              <w:tabs>
                <w:tab w:val="left" w:pos="442"/>
              </w:tabs>
              <w:spacing w:before="60" w:after="160" w:line="320" w:lineRule="exact"/>
              <w:ind w:left="113" w:right="113"/>
              <w:jc w:val="center"/>
              <w:rPr>
                <w:rFonts w:hint="eastAsia"/>
                <w:spacing w:val="4"/>
                <w:sz w:val="21"/>
                <w:u w:val="single"/>
              </w:rPr>
            </w:pPr>
            <w:r>
              <w:rPr>
                <w:rFonts w:hint="eastAsia"/>
                <w:spacing w:val="4"/>
                <w:sz w:val="21"/>
                <w:u w:val="single"/>
              </w:rPr>
              <w:t>1997</w:t>
            </w:r>
          </w:p>
        </w:tc>
        <w:tc>
          <w:tcPr>
            <w:tcW w:w="1611" w:type="dxa"/>
            <w:tcBorders>
              <w:bottom w:val="single" w:sz="4" w:space="0" w:color="auto"/>
            </w:tcBorders>
          </w:tcPr>
          <w:p w:rsidR="00000000" w:rsidRDefault="00000000">
            <w:pPr>
              <w:tabs>
                <w:tab w:val="left" w:pos="442"/>
              </w:tabs>
              <w:spacing w:before="60" w:after="160" w:line="320" w:lineRule="exact"/>
              <w:ind w:left="113" w:right="113"/>
              <w:jc w:val="center"/>
              <w:rPr>
                <w:rFonts w:hint="eastAsia"/>
                <w:spacing w:val="4"/>
                <w:sz w:val="21"/>
                <w:u w:val="single"/>
              </w:rPr>
            </w:pPr>
            <w:r>
              <w:rPr>
                <w:rFonts w:hint="eastAsia"/>
                <w:spacing w:val="4"/>
                <w:sz w:val="21"/>
                <w:u w:val="single"/>
              </w:rPr>
              <w:t>1998</w:t>
            </w:r>
          </w:p>
        </w:tc>
        <w:tc>
          <w:tcPr>
            <w:tcW w:w="1611" w:type="dxa"/>
            <w:tcBorders>
              <w:bottom w:val="single" w:sz="4" w:space="0" w:color="auto"/>
            </w:tcBorders>
          </w:tcPr>
          <w:p w:rsidR="00000000" w:rsidRDefault="00000000">
            <w:pPr>
              <w:tabs>
                <w:tab w:val="left" w:pos="442"/>
              </w:tabs>
              <w:spacing w:before="60" w:after="160" w:line="320" w:lineRule="exact"/>
              <w:ind w:left="113" w:right="113"/>
              <w:jc w:val="center"/>
              <w:rPr>
                <w:rFonts w:hint="eastAsia"/>
                <w:spacing w:val="4"/>
                <w:sz w:val="21"/>
                <w:u w:val="single"/>
              </w:rPr>
            </w:pPr>
            <w:r>
              <w:rPr>
                <w:rFonts w:hint="eastAsia"/>
                <w:spacing w:val="4"/>
                <w:sz w:val="21"/>
                <w:u w:val="single"/>
              </w:rPr>
              <w:t>1999</w:t>
            </w:r>
          </w:p>
        </w:tc>
      </w:tr>
      <w:tr w:rsidR="00000000">
        <w:tblPrEx>
          <w:tblCellMar>
            <w:top w:w="0" w:type="dxa"/>
            <w:bottom w:w="0" w:type="dxa"/>
          </w:tblCellMar>
        </w:tblPrEx>
        <w:tc>
          <w:tcPr>
            <w:tcW w:w="4668" w:type="dxa"/>
            <w:tcBorders>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初次确定残疾身份的残疾人总数</w:t>
            </w:r>
          </w:p>
        </w:tc>
        <w:tc>
          <w:tcPr>
            <w:tcW w:w="1680" w:type="dxa"/>
            <w:tcBorders>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10,852</w:t>
            </w:r>
          </w:p>
        </w:tc>
        <w:tc>
          <w:tcPr>
            <w:tcW w:w="1611" w:type="dxa"/>
            <w:tcBorders>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12,721</w:t>
            </w:r>
          </w:p>
        </w:tc>
        <w:tc>
          <w:tcPr>
            <w:tcW w:w="1611" w:type="dxa"/>
            <w:tcBorders>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11,567</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其中女性</w:t>
            </w:r>
          </w:p>
        </w:tc>
        <w:tc>
          <w:tcPr>
            <w:tcW w:w="1680"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5,137</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6,081</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5,146</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残疾性质</w:t>
            </w:r>
          </w:p>
        </w:tc>
        <w:tc>
          <w:tcPr>
            <w:tcW w:w="1680"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工伤事故、职业病</w:t>
            </w:r>
          </w:p>
        </w:tc>
        <w:tc>
          <w:tcPr>
            <w:tcW w:w="1680"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48</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47</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55</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一般疾病</w:t>
            </w:r>
          </w:p>
        </w:tc>
        <w:tc>
          <w:tcPr>
            <w:tcW w:w="1680"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9,593</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11,046</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10,155</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军事</w:t>
            </w:r>
          </w:p>
        </w:tc>
        <w:tc>
          <w:tcPr>
            <w:tcW w:w="1680"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209</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553</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517</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童年残疾</w:t>
            </w:r>
          </w:p>
        </w:tc>
        <w:tc>
          <w:tcPr>
            <w:tcW w:w="1680"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1,002</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1,075</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840</w:t>
            </w:r>
          </w:p>
        </w:tc>
      </w:tr>
      <w:tr w:rsidR="00000000">
        <w:tblPrEx>
          <w:tblCellMar>
            <w:top w:w="0" w:type="dxa"/>
            <w:bottom w:w="0" w:type="dxa"/>
          </w:tblCellMar>
        </w:tblPrEx>
        <w:tc>
          <w:tcPr>
            <w:tcW w:w="4668" w:type="dxa"/>
            <w:tcBorders>
              <w:top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核证的永久性残疾</w:t>
            </w:r>
          </w:p>
        </w:tc>
        <w:tc>
          <w:tcPr>
            <w:tcW w:w="1680" w:type="dxa"/>
            <w:tcBorders>
              <w:top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2,553</w:t>
            </w:r>
          </w:p>
        </w:tc>
        <w:tc>
          <w:tcPr>
            <w:tcW w:w="1611" w:type="dxa"/>
            <w:tcBorders>
              <w:top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3,208</w:t>
            </w:r>
          </w:p>
        </w:tc>
        <w:tc>
          <w:tcPr>
            <w:tcW w:w="1611" w:type="dxa"/>
            <w:tcBorders>
              <w:top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3,513</w:t>
            </w:r>
          </w:p>
        </w:tc>
      </w:tr>
    </w:tbl>
    <w:p w:rsidR="00000000" w:rsidRDefault="00000000">
      <w:pPr>
        <w:rPr>
          <w:rFonts w:hint="eastAsia"/>
        </w:rPr>
      </w:pPr>
    </w:p>
    <w:p w:rsidR="00000000" w:rsidRDefault="00000000">
      <w:pPr>
        <w:pStyle w:val="Heading3"/>
        <w:rPr>
          <w:rFonts w:hint="eastAsia"/>
        </w:rPr>
      </w:pPr>
      <w:r>
        <w:rPr>
          <w:rFonts w:hint="eastAsia"/>
        </w:rPr>
        <w:t>堕</w:t>
      </w:r>
      <w:r>
        <w:rPr>
          <w:rFonts w:hint="eastAsia"/>
        </w:rPr>
        <w:t xml:space="preserve">  </w:t>
      </w:r>
      <w:r>
        <w:rPr>
          <w:rFonts w:hint="eastAsia"/>
        </w:rPr>
        <w:t>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8"/>
        <w:gridCol w:w="1680"/>
        <w:gridCol w:w="1611"/>
        <w:gridCol w:w="1611"/>
      </w:tblGrid>
      <w:tr w:rsidR="00000000">
        <w:tblPrEx>
          <w:tblCellMar>
            <w:top w:w="0" w:type="dxa"/>
            <w:bottom w:w="0" w:type="dxa"/>
          </w:tblCellMar>
        </w:tblPrEx>
        <w:tc>
          <w:tcPr>
            <w:tcW w:w="4668" w:type="dxa"/>
            <w:tcBorders>
              <w:bottom w:val="single" w:sz="4" w:space="0" w:color="auto"/>
            </w:tcBorders>
          </w:tcPr>
          <w:p w:rsidR="00000000" w:rsidRDefault="00000000">
            <w:pPr>
              <w:tabs>
                <w:tab w:val="left" w:pos="442"/>
              </w:tabs>
              <w:spacing w:before="60" w:after="160" w:line="320" w:lineRule="exact"/>
              <w:ind w:left="113" w:right="113"/>
              <w:jc w:val="center"/>
              <w:rPr>
                <w:rFonts w:hint="eastAsia"/>
                <w:spacing w:val="4"/>
                <w:sz w:val="21"/>
                <w:u w:val="single"/>
              </w:rPr>
            </w:pPr>
          </w:p>
        </w:tc>
        <w:tc>
          <w:tcPr>
            <w:tcW w:w="1680" w:type="dxa"/>
            <w:tcBorders>
              <w:bottom w:val="single" w:sz="4" w:space="0" w:color="auto"/>
            </w:tcBorders>
          </w:tcPr>
          <w:p w:rsidR="00000000" w:rsidRDefault="00000000">
            <w:pPr>
              <w:tabs>
                <w:tab w:val="left" w:pos="442"/>
              </w:tabs>
              <w:spacing w:before="60" w:after="160" w:line="320" w:lineRule="exact"/>
              <w:ind w:left="113" w:right="113"/>
              <w:jc w:val="center"/>
              <w:rPr>
                <w:rFonts w:hint="eastAsia"/>
                <w:spacing w:val="4"/>
                <w:sz w:val="21"/>
                <w:u w:val="single"/>
              </w:rPr>
            </w:pPr>
            <w:r>
              <w:rPr>
                <w:rFonts w:hint="eastAsia"/>
                <w:spacing w:val="4"/>
                <w:sz w:val="21"/>
                <w:u w:val="single"/>
              </w:rPr>
              <w:t>1997</w:t>
            </w:r>
          </w:p>
        </w:tc>
        <w:tc>
          <w:tcPr>
            <w:tcW w:w="1611" w:type="dxa"/>
            <w:tcBorders>
              <w:bottom w:val="single" w:sz="4" w:space="0" w:color="auto"/>
            </w:tcBorders>
          </w:tcPr>
          <w:p w:rsidR="00000000" w:rsidRDefault="00000000">
            <w:pPr>
              <w:tabs>
                <w:tab w:val="left" w:pos="442"/>
              </w:tabs>
              <w:spacing w:before="60" w:after="160" w:line="320" w:lineRule="exact"/>
              <w:ind w:left="113" w:right="113"/>
              <w:jc w:val="center"/>
              <w:rPr>
                <w:rFonts w:hint="eastAsia"/>
                <w:spacing w:val="4"/>
                <w:sz w:val="21"/>
                <w:u w:val="single"/>
              </w:rPr>
            </w:pPr>
            <w:r>
              <w:rPr>
                <w:rFonts w:hint="eastAsia"/>
                <w:spacing w:val="4"/>
                <w:sz w:val="21"/>
                <w:u w:val="single"/>
              </w:rPr>
              <w:t>1998</w:t>
            </w:r>
          </w:p>
        </w:tc>
        <w:tc>
          <w:tcPr>
            <w:tcW w:w="1611" w:type="dxa"/>
            <w:tcBorders>
              <w:bottom w:val="single" w:sz="4" w:space="0" w:color="auto"/>
            </w:tcBorders>
          </w:tcPr>
          <w:p w:rsidR="00000000" w:rsidRDefault="00000000">
            <w:pPr>
              <w:tabs>
                <w:tab w:val="left" w:pos="442"/>
              </w:tabs>
              <w:spacing w:before="60" w:after="160" w:line="320" w:lineRule="exact"/>
              <w:ind w:left="113" w:right="113"/>
              <w:jc w:val="center"/>
              <w:rPr>
                <w:rFonts w:hint="eastAsia"/>
                <w:spacing w:val="4"/>
                <w:sz w:val="21"/>
                <w:u w:val="single"/>
              </w:rPr>
            </w:pPr>
            <w:r>
              <w:rPr>
                <w:rFonts w:hint="eastAsia"/>
                <w:spacing w:val="4"/>
                <w:sz w:val="21"/>
                <w:u w:val="single"/>
              </w:rPr>
              <w:t>1999</w:t>
            </w:r>
          </w:p>
        </w:tc>
      </w:tr>
      <w:tr w:rsidR="00000000">
        <w:tblPrEx>
          <w:tblCellMar>
            <w:top w:w="0" w:type="dxa"/>
            <w:bottom w:w="0" w:type="dxa"/>
          </w:tblCellMar>
        </w:tblPrEx>
        <w:tc>
          <w:tcPr>
            <w:tcW w:w="4668" w:type="dxa"/>
            <w:tcBorders>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堕胎总数</w:t>
            </w:r>
            <w:r>
              <w:rPr>
                <w:rFonts w:hint="eastAsia"/>
                <w:spacing w:val="4"/>
                <w:sz w:val="21"/>
              </w:rPr>
              <w:t>(</w:t>
            </w:r>
            <w:r>
              <w:rPr>
                <w:rFonts w:hint="eastAsia"/>
                <w:spacing w:val="4"/>
                <w:sz w:val="21"/>
              </w:rPr>
              <w:t>以千计</w:t>
            </w:r>
            <w:r>
              <w:rPr>
                <w:rFonts w:hint="eastAsia"/>
                <w:spacing w:val="4"/>
                <w:sz w:val="21"/>
              </w:rPr>
              <w:t>)</w:t>
            </w:r>
          </w:p>
        </w:tc>
        <w:tc>
          <w:tcPr>
            <w:tcW w:w="1680" w:type="dxa"/>
            <w:tcBorders>
              <w:bottom w:val="nil"/>
            </w:tcBorders>
          </w:tcPr>
          <w:p w:rsidR="00000000" w:rsidRDefault="00000000">
            <w:pPr>
              <w:tabs>
                <w:tab w:val="decimal" w:pos="732"/>
              </w:tabs>
              <w:spacing w:before="60" w:line="320" w:lineRule="exact"/>
              <w:ind w:left="113" w:right="113"/>
              <w:rPr>
                <w:rFonts w:hint="eastAsia"/>
                <w:spacing w:val="4"/>
                <w:sz w:val="21"/>
              </w:rPr>
            </w:pPr>
            <w:r>
              <w:rPr>
                <w:rFonts w:hint="eastAsia"/>
                <w:spacing w:val="4"/>
                <w:sz w:val="21"/>
              </w:rPr>
              <w:t>23.4</w:t>
            </w:r>
          </w:p>
        </w:tc>
        <w:tc>
          <w:tcPr>
            <w:tcW w:w="1611" w:type="dxa"/>
            <w:tcBorders>
              <w:bottom w:val="nil"/>
            </w:tcBorders>
          </w:tcPr>
          <w:p w:rsidR="00000000" w:rsidRDefault="00000000">
            <w:pPr>
              <w:tabs>
                <w:tab w:val="decimal" w:pos="732"/>
              </w:tabs>
              <w:spacing w:before="60" w:line="320" w:lineRule="exact"/>
              <w:ind w:left="113" w:right="113"/>
              <w:rPr>
                <w:rFonts w:hint="eastAsia"/>
                <w:spacing w:val="4"/>
                <w:sz w:val="21"/>
              </w:rPr>
            </w:pPr>
            <w:r>
              <w:rPr>
                <w:rFonts w:hint="eastAsia"/>
                <w:spacing w:val="4"/>
                <w:sz w:val="21"/>
              </w:rPr>
              <w:t>21.0</w:t>
            </w:r>
          </w:p>
        </w:tc>
        <w:tc>
          <w:tcPr>
            <w:tcW w:w="1611" w:type="dxa"/>
            <w:tcBorders>
              <w:bottom w:val="nil"/>
            </w:tcBorders>
          </w:tcPr>
          <w:p w:rsidR="00000000" w:rsidRDefault="00000000">
            <w:pPr>
              <w:tabs>
                <w:tab w:val="decimal" w:pos="732"/>
              </w:tabs>
              <w:spacing w:before="60" w:line="320" w:lineRule="exact"/>
              <w:ind w:left="113" w:right="113"/>
              <w:rPr>
                <w:rFonts w:hint="eastAsia"/>
                <w:spacing w:val="4"/>
                <w:sz w:val="21"/>
              </w:rPr>
            </w:pPr>
            <w:r>
              <w:rPr>
                <w:rFonts w:hint="eastAsia"/>
                <w:spacing w:val="4"/>
                <w:sz w:val="21"/>
              </w:rPr>
              <w:t>18.3</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其中，早期安全人工流产</w:t>
            </w:r>
            <w:r>
              <w:rPr>
                <w:rFonts w:hint="eastAsia"/>
                <w:spacing w:val="4"/>
                <w:sz w:val="21"/>
              </w:rPr>
              <w:t>(</w:t>
            </w:r>
            <w:r>
              <w:rPr>
                <w:rFonts w:hint="eastAsia"/>
                <w:spacing w:val="4"/>
                <w:sz w:val="21"/>
              </w:rPr>
              <w:t>小产</w:t>
            </w:r>
            <w:r>
              <w:rPr>
                <w:rFonts w:hint="eastAsia"/>
                <w:spacing w:val="4"/>
                <w:sz w:val="21"/>
              </w:rPr>
              <w:t>)(</w:t>
            </w:r>
            <w:r>
              <w:rPr>
                <w:rFonts w:hint="eastAsia"/>
                <w:spacing w:val="4"/>
                <w:sz w:val="21"/>
              </w:rPr>
              <w:t>以千计</w:t>
            </w:r>
            <w:r>
              <w:rPr>
                <w:rFonts w:hint="eastAsia"/>
                <w:spacing w:val="4"/>
                <w:sz w:val="21"/>
              </w:rPr>
              <w:t>)</w:t>
            </w:r>
          </w:p>
        </w:tc>
        <w:tc>
          <w:tcPr>
            <w:tcW w:w="1680" w:type="dxa"/>
            <w:tcBorders>
              <w:top w:val="nil"/>
              <w:bottom w:val="nil"/>
            </w:tcBorders>
          </w:tcPr>
          <w:p w:rsidR="00000000" w:rsidRDefault="00000000">
            <w:pPr>
              <w:tabs>
                <w:tab w:val="decimal" w:pos="732"/>
              </w:tabs>
              <w:spacing w:before="60" w:line="320" w:lineRule="exact"/>
              <w:ind w:left="113" w:right="113"/>
              <w:rPr>
                <w:rFonts w:hint="eastAsia"/>
                <w:spacing w:val="4"/>
                <w:sz w:val="21"/>
              </w:rPr>
            </w:pPr>
            <w:r>
              <w:rPr>
                <w:rFonts w:hint="eastAsia"/>
                <w:spacing w:val="4"/>
                <w:sz w:val="21"/>
              </w:rPr>
              <w:t>5.5</w:t>
            </w:r>
          </w:p>
        </w:tc>
        <w:tc>
          <w:tcPr>
            <w:tcW w:w="1611" w:type="dxa"/>
            <w:tcBorders>
              <w:top w:val="nil"/>
              <w:bottom w:val="nil"/>
            </w:tcBorders>
          </w:tcPr>
          <w:p w:rsidR="00000000" w:rsidRDefault="00000000">
            <w:pPr>
              <w:tabs>
                <w:tab w:val="decimal" w:pos="732"/>
              </w:tabs>
              <w:spacing w:before="60" w:line="320" w:lineRule="exact"/>
              <w:ind w:left="113" w:right="113"/>
              <w:rPr>
                <w:rFonts w:hint="eastAsia"/>
                <w:spacing w:val="4"/>
                <w:sz w:val="21"/>
              </w:rPr>
            </w:pPr>
            <w:r>
              <w:rPr>
                <w:rFonts w:hint="eastAsia"/>
                <w:spacing w:val="4"/>
                <w:sz w:val="21"/>
              </w:rPr>
              <w:t>6.8</w:t>
            </w:r>
          </w:p>
        </w:tc>
        <w:tc>
          <w:tcPr>
            <w:tcW w:w="1611" w:type="dxa"/>
            <w:tcBorders>
              <w:top w:val="nil"/>
              <w:bottom w:val="nil"/>
            </w:tcBorders>
          </w:tcPr>
          <w:p w:rsidR="00000000" w:rsidRDefault="00000000">
            <w:pPr>
              <w:tabs>
                <w:tab w:val="decimal" w:pos="732"/>
              </w:tabs>
              <w:spacing w:before="60" w:line="320" w:lineRule="exact"/>
              <w:ind w:left="113" w:right="113"/>
              <w:rPr>
                <w:rFonts w:hint="eastAsia"/>
                <w:spacing w:val="4"/>
                <w:sz w:val="21"/>
              </w:rPr>
            </w:pPr>
            <w:r>
              <w:rPr>
                <w:rFonts w:hint="eastAsia"/>
                <w:spacing w:val="4"/>
                <w:sz w:val="21"/>
              </w:rPr>
              <w:t>6.5</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按年龄组分列的堕胎次数：</w:t>
            </w:r>
          </w:p>
        </w:tc>
        <w:tc>
          <w:tcPr>
            <w:tcW w:w="1680"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15</w:t>
            </w:r>
            <w:r>
              <w:rPr>
                <w:rFonts w:hint="eastAsia"/>
                <w:spacing w:val="4"/>
                <w:sz w:val="21"/>
              </w:rPr>
              <w:t>岁以下</w:t>
            </w:r>
          </w:p>
        </w:tc>
        <w:tc>
          <w:tcPr>
            <w:tcW w:w="1680"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2</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14</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3</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15-19</w:t>
            </w:r>
            <w:r>
              <w:rPr>
                <w:rFonts w:hint="eastAsia"/>
                <w:spacing w:val="4"/>
                <w:sz w:val="21"/>
              </w:rPr>
              <w:t>岁</w:t>
            </w:r>
          </w:p>
        </w:tc>
        <w:tc>
          <w:tcPr>
            <w:tcW w:w="1680"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1,320</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1,009</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866</w:t>
            </w:r>
          </w:p>
        </w:tc>
      </w:tr>
      <w:tr w:rsidR="00000000">
        <w:tblPrEx>
          <w:tblCellMar>
            <w:top w:w="0" w:type="dxa"/>
            <w:bottom w:w="0" w:type="dxa"/>
          </w:tblCellMar>
        </w:tblPrEx>
        <w:tc>
          <w:tcPr>
            <w:tcW w:w="466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20-34</w:t>
            </w:r>
            <w:r>
              <w:rPr>
                <w:rFonts w:hint="eastAsia"/>
                <w:spacing w:val="4"/>
                <w:sz w:val="21"/>
              </w:rPr>
              <w:t>岁</w:t>
            </w:r>
          </w:p>
        </w:tc>
        <w:tc>
          <w:tcPr>
            <w:tcW w:w="1680"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17,690</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15,919</w:t>
            </w:r>
          </w:p>
        </w:tc>
        <w:tc>
          <w:tcPr>
            <w:tcW w:w="1611" w:type="dxa"/>
            <w:tcBorders>
              <w:top w:val="nil"/>
              <w:bottom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14,271</w:t>
            </w:r>
          </w:p>
        </w:tc>
      </w:tr>
      <w:tr w:rsidR="00000000">
        <w:tblPrEx>
          <w:tblCellMar>
            <w:top w:w="0" w:type="dxa"/>
            <w:bottom w:w="0" w:type="dxa"/>
          </w:tblCellMar>
        </w:tblPrEx>
        <w:tc>
          <w:tcPr>
            <w:tcW w:w="4668" w:type="dxa"/>
            <w:tcBorders>
              <w:top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34</w:t>
            </w:r>
            <w:r>
              <w:rPr>
                <w:rFonts w:hint="eastAsia"/>
                <w:spacing w:val="4"/>
                <w:sz w:val="21"/>
              </w:rPr>
              <w:t>岁以上</w:t>
            </w:r>
          </w:p>
        </w:tc>
        <w:tc>
          <w:tcPr>
            <w:tcW w:w="1680" w:type="dxa"/>
            <w:tcBorders>
              <w:top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4,388</w:t>
            </w:r>
          </w:p>
        </w:tc>
        <w:tc>
          <w:tcPr>
            <w:tcW w:w="1611" w:type="dxa"/>
            <w:tcBorders>
              <w:top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4,076</w:t>
            </w:r>
          </w:p>
        </w:tc>
        <w:tc>
          <w:tcPr>
            <w:tcW w:w="1611" w:type="dxa"/>
            <w:tcBorders>
              <w:top w:val="nil"/>
            </w:tcBorders>
          </w:tcPr>
          <w:p w:rsidR="00000000" w:rsidRDefault="00000000">
            <w:pPr>
              <w:tabs>
                <w:tab w:val="decimal" w:pos="972"/>
              </w:tabs>
              <w:spacing w:before="60" w:line="320" w:lineRule="exact"/>
              <w:ind w:left="113" w:right="113"/>
              <w:rPr>
                <w:rFonts w:hint="eastAsia"/>
                <w:spacing w:val="4"/>
                <w:sz w:val="21"/>
              </w:rPr>
            </w:pPr>
            <w:r>
              <w:rPr>
                <w:rFonts w:hint="eastAsia"/>
                <w:spacing w:val="4"/>
                <w:sz w:val="21"/>
              </w:rPr>
              <w:t>3,166</w:t>
            </w:r>
          </w:p>
        </w:tc>
      </w:tr>
    </w:tbl>
    <w:p w:rsidR="00000000" w:rsidRDefault="00000000">
      <w:pPr>
        <w:rPr>
          <w:rFonts w:hint="eastAsia"/>
        </w:rPr>
      </w:pPr>
    </w:p>
    <w:p w:rsidR="00000000" w:rsidRDefault="00000000">
      <w:pPr>
        <w:spacing w:after="320"/>
        <w:rPr>
          <w:rFonts w:hint="eastAsia"/>
        </w:rPr>
      </w:pPr>
      <w:r>
        <w:rPr>
          <w:rFonts w:hint="eastAsia"/>
        </w:rPr>
        <w:tab/>
        <w:t xml:space="preserve">225.  </w:t>
      </w:r>
      <w:r>
        <w:rPr>
          <w:rFonts w:hint="eastAsia"/>
        </w:rPr>
        <w:t>就计划生育而言，应该指出，在过去一年里，格鲁吉亚各城镇设立了</w:t>
      </w:r>
      <w:r>
        <w:rPr>
          <w:rFonts w:hint="eastAsia"/>
        </w:rPr>
        <w:t>30</w:t>
      </w:r>
      <w:r>
        <w:rPr>
          <w:rFonts w:hint="eastAsia"/>
        </w:rPr>
        <w:t>多个生殖卫生咨询中心。这些中心向来访者提供了避孕药具和计划生育问题和避孕法方面的信息和咨询。这一项目是格鲁吉亚的一个非政府组织与美利坚合众国约翰斯·霍普金斯大学合作的成果。格鲁吉亚生殖卫生研究所也参与了这一项目。</w:t>
      </w:r>
    </w:p>
    <w:p w:rsidR="00000000" w:rsidRDefault="00000000">
      <w:pPr>
        <w:pStyle w:val="Heading2"/>
        <w:rPr>
          <w:rFonts w:hint="eastAsia"/>
        </w:rPr>
      </w:pPr>
      <w:r>
        <w:rPr>
          <w:rFonts w:hint="eastAsia"/>
        </w:rPr>
        <w:t>第十三条</w:t>
      </w:r>
    </w:p>
    <w:p w:rsidR="00000000" w:rsidRDefault="00000000">
      <w:pPr>
        <w:pStyle w:val="Heading4"/>
        <w:rPr>
          <w:rFonts w:hint="eastAsia"/>
        </w:rPr>
      </w:pPr>
      <w:r>
        <w:rPr>
          <w:rFonts w:hint="eastAsia"/>
        </w:rPr>
        <w:t>报告所涉期间的一般教育指数</w:t>
      </w:r>
    </w:p>
    <w:p w:rsidR="00000000" w:rsidRDefault="00000000">
      <w:pPr>
        <w:rPr>
          <w:rFonts w:hint="eastAsia"/>
        </w:rPr>
      </w:pPr>
      <w:r>
        <w:rPr>
          <w:rFonts w:hint="eastAsia"/>
        </w:rPr>
        <w:tab/>
        <w:t xml:space="preserve">226.  </w:t>
      </w:r>
      <w:r>
        <w:rPr>
          <w:rFonts w:hint="eastAsia"/>
        </w:rPr>
        <w:t>关于这一问题，应该参阅格鲁吉亚提交消除种族歧视委员会的初步报告，因为该报告详细说明了教育问题立法</w:t>
      </w:r>
      <w:r>
        <w:rPr>
          <w:rFonts w:hint="eastAsia"/>
        </w:rPr>
        <w:t>(</w:t>
      </w:r>
      <w:r>
        <w:rPr>
          <w:rFonts w:hint="eastAsia"/>
        </w:rPr>
        <w:t>第</w:t>
      </w:r>
      <w:r>
        <w:rPr>
          <w:rFonts w:hint="eastAsia"/>
        </w:rPr>
        <w:t>253-265</w:t>
      </w:r>
      <w:r>
        <w:rPr>
          <w:rFonts w:hint="eastAsia"/>
        </w:rPr>
        <w:t>段</w:t>
      </w:r>
      <w:r>
        <w:rPr>
          <w:rFonts w:hint="eastAsia"/>
        </w:rPr>
        <w:t>)</w:t>
      </w:r>
      <w:r>
        <w:rPr>
          <w:rFonts w:hint="eastAsia"/>
        </w:rPr>
        <w:t>和到</w:t>
      </w:r>
      <w:r>
        <w:rPr>
          <w:rFonts w:hint="eastAsia"/>
        </w:rPr>
        <w:t>1998</w:t>
      </w:r>
      <w:r>
        <w:rPr>
          <w:rFonts w:hint="eastAsia"/>
        </w:rPr>
        <w:t>年底为止的统计数据</w:t>
      </w:r>
      <w:r>
        <w:rPr>
          <w:rFonts w:hint="eastAsia"/>
        </w:rPr>
        <w:t>(</w:t>
      </w:r>
      <w:r>
        <w:rPr>
          <w:rFonts w:hint="eastAsia"/>
        </w:rPr>
        <w:t>第</w:t>
      </w:r>
      <w:r>
        <w:rPr>
          <w:rFonts w:hint="eastAsia"/>
        </w:rPr>
        <w:t>266-271</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227.  </w:t>
      </w:r>
      <w:r>
        <w:rPr>
          <w:rFonts w:hint="eastAsia"/>
        </w:rPr>
        <w:t>此外，关于受教育的权利的重要资料载于对儿童权利委员会在审议格鲁吉亚初次报告时拟定的问题清单的答复</w:t>
      </w:r>
      <w:r>
        <w:rPr>
          <w:rFonts w:hint="eastAsia"/>
        </w:rPr>
        <w:t>(CRC/C/Q/GEO/1)</w:t>
      </w:r>
      <w:r>
        <w:rPr>
          <w:rFonts w:hint="eastAsia"/>
        </w:rPr>
        <w:t>。该报告是</w:t>
      </w:r>
      <w:r>
        <w:rPr>
          <w:rFonts w:hint="eastAsia"/>
        </w:rPr>
        <w:t>2000</w:t>
      </w:r>
      <w:r>
        <w:rPr>
          <w:rFonts w:hint="eastAsia"/>
        </w:rPr>
        <w:t>年</w:t>
      </w:r>
      <w:r>
        <w:rPr>
          <w:rFonts w:hint="eastAsia"/>
        </w:rPr>
        <w:t>5</w:t>
      </w:r>
      <w:r>
        <w:rPr>
          <w:rFonts w:hint="eastAsia"/>
        </w:rPr>
        <w:t>月提出的。</w:t>
      </w:r>
    </w:p>
    <w:p w:rsidR="00000000" w:rsidRDefault="00000000">
      <w:pPr>
        <w:rPr>
          <w:rFonts w:hint="eastAsia"/>
        </w:rPr>
      </w:pPr>
      <w:r>
        <w:rPr>
          <w:rFonts w:hint="eastAsia"/>
        </w:rPr>
        <w:tab/>
        <w:t xml:space="preserve">228.  </w:t>
      </w:r>
      <w:r>
        <w:rPr>
          <w:rFonts w:hint="eastAsia"/>
        </w:rPr>
        <w:t>正如本报告前面部分所提到，格鲁吉亚对经济、社会、文化委员会拟定的问题清单的答复</w:t>
      </w:r>
      <w:r>
        <w:rPr>
          <w:rFonts w:hint="eastAsia"/>
        </w:rPr>
        <w:t>(E/C.12/Q/GEO/1)</w:t>
      </w:r>
      <w:r>
        <w:rPr>
          <w:rFonts w:hint="eastAsia"/>
        </w:rPr>
        <w:t>中也谈到受教育权利的具体方面。有关统计数据和其他资料载于对该文件中问题</w:t>
      </w:r>
      <w:r>
        <w:rPr>
          <w:rFonts w:hint="eastAsia"/>
        </w:rPr>
        <w:t>42-46</w:t>
      </w:r>
      <w:r>
        <w:rPr>
          <w:rFonts w:hint="eastAsia"/>
        </w:rPr>
        <w:t>的答复。</w:t>
      </w:r>
    </w:p>
    <w:p w:rsidR="00000000" w:rsidRDefault="00000000">
      <w:pPr>
        <w:rPr>
          <w:rFonts w:hint="eastAsia"/>
        </w:rPr>
      </w:pPr>
      <w:r>
        <w:rPr>
          <w:rFonts w:hint="eastAsia"/>
        </w:rPr>
        <w:tab/>
        <w:t xml:space="preserve">229.  </w:t>
      </w:r>
      <w:r>
        <w:rPr>
          <w:rFonts w:hint="eastAsia"/>
        </w:rPr>
        <w:t>鉴于上述情况并考虑到上述文件提交了不到一年，我们提议在此仅仅援引在上述文件中无法找到的那些统计数据并标出任何变化。</w:t>
      </w:r>
    </w:p>
    <w:p w:rsidR="00000000" w:rsidRDefault="00000000">
      <w:pPr>
        <w:spacing w:after="320"/>
      </w:pPr>
      <w:r>
        <w:rPr>
          <w:rFonts w:hint="eastAsia"/>
        </w:rPr>
        <w:tab/>
        <w:t xml:space="preserve">230.  </w:t>
      </w:r>
      <w:r>
        <w:rPr>
          <w:rFonts w:hint="eastAsia"/>
        </w:rPr>
        <w:t>以下是关于格鲁吉亚教育部门概况的统计数据。</w:t>
      </w:r>
    </w:p>
    <w:p w:rsidR="00000000" w:rsidRDefault="00000000">
      <w:pPr>
        <w:pStyle w:val="Heading3"/>
        <w:rPr>
          <w:rFonts w:hint="eastAsia"/>
        </w:rPr>
      </w:pPr>
      <w:r>
        <w:rPr>
          <w:rFonts w:hint="eastAsia"/>
        </w:rPr>
        <w:t>人口的教育水平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8"/>
        <w:gridCol w:w="1394"/>
        <w:gridCol w:w="1394"/>
        <w:gridCol w:w="1394"/>
      </w:tblGrid>
      <w:tr w:rsidR="00000000">
        <w:tblPrEx>
          <w:tblCellMar>
            <w:top w:w="0" w:type="dxa"/>
            <w:bottom w:w="0" w:type="dxa"/>
          </w:tblCellMar>
        </w:tblPrEx>
        <w:tc>
          <w:tcPr>
            <w:tcW w:w="5388" w:type="dxa"/>
            <w:tcBorders>
              <w:bottom w:val="single" w:sz="4" w:space="0" w:color="auto"/>
            </w:tcBorders>
          </w:tcPr>
          <w:p w:rsidR="00000000" w:rsidRDefault="00000000">
            <w:pPr>
              <w:tabs>
                <w:tab w:val="left" w:pos="442"/>
              </w:tabs>
              <w:spacing w:before="60" w:line="320" w:lineRule="exact"/>
              <w:ind w:left="113" w:right="113"/>
              <w:jc w:val="center"/>
              <w:rPr>
                <w:rFonts w:hint="eastAsia"/>
                <w:spacing w:val="4"/>
                <w:sz w:val="21"/>
                <w:u w:val="single"/>
              </w:rPr>
            </w:pPr>
          </w:p>
        </w:tc>
        <w:tc>
          <w:tcPr>
            <w:tcW w:w="1394" w:type="dxa"/>
            <w:tcBorders>
              <w:bottom w:val="single" w:sz="4" w:space="0" w:color="auto"/>
            </w:tcBorders>
          </w:tcPr>
          <w:p w:rsidR="00000000" w:rsidRDefault="00000000">
            <w:pPr>
              <w:tabs>
                <w:tab w:val="left" w:pos="442"/>
              </w:tabs>
              <w:spacing w:before="60" w:line="320" w:lineRule="exact"/>
              <w:ind w:left="113" w:right="113"/>
              <w:jc w:val="center"/>
              <w:rPr>
                <w:rFonts w:hint="eastAsia"/>
                <w:spacing w:val="4"/>
                <w:sz w:val="21"/>
                <w:u w:val="single"/>
              </w:rPr>
            </w:pPr>
            <w:r>
              <w:rPr>
                <w:rFonts w:hint="eastAsia"/>
                <w:spacing w:val="4"/>
                <w:sz w:val="21"/>
                <w:u w:val="single"/>
              </w:rPr>
              <w:t>1979</w:t>
            </w:r>
          </w:p>
        </w:tc>
        <w:tc>
          <w:tcPr>
            <w:tcW w:w="1394" w:type="dxa"/>
            <w:tcBorders>
              <w:bottom w:val="single" w:sz="4" w:space="0" w:color="auto"/>
            </w:tcBorders>
          </w:tcPr>
          <w:p w:rsidR="00000000" w:rsidRDefault="00000000">
            <w:pPr>
              <w:tabs>
                <w:tab w:val="left" w:pos="442"/>
              </w:tabs>
              <w:spacing w:before="60" w:line="320" w:lineRule="exact"/>
              <w:ind w:left="113" w:right="113"/>
              <w:jc w:val="center"/>
              <w:rPr>
                <w:rFonts w:hint="eastAsia"/>
                <w:spacing w:val="4"/>
                <w:sz w:val="21"/>
                <w:u w:val="single"/>
              </w:rPr>
            </w:pPr>
            <w:r>
              <w:rPr>
                <w:rFonts w:hint="eastAsia"/>
                <w:spacing w:val="4"/>
                <w:sz w:val="21"/>
                <w:u w:val="single"/>
              </w:rPr>
              <w:t>1989</w:t>
            </w:r>
          </w:p>
        </w:tc>
        <w:tc>
          <w:tcPr>
            <w:tcW w:w="1394" w:type="dxa"/>
            <w:tcBorders>
              <w:bottom w:val="single" w:sz="4" w:space="0" w:color="auto"/>
            </w:tcBorders>
          </w:tcPr>
          <w:p w:rsidR="00000000" w:rsidRDefault="00000000">
            <w:pPr>
              <w:tabs>
                <w:tab w:val="left" w:pos="442"/>
              </w:tabs>
              <w:spacing w:before="60" w:line="320" w:lineRule="exact"/>
              <w:ind w:left="113" w:right="113"/>
              <w:jc w:val="center"/>
              <w:rPr>
                <w:rFonts w:hint="eastAsia"/>
                <w:spacing w:val="4"/>
                <w:sz w:val="21"/>
                <w:u w:val="single"/>
              </w:rPr>
            </w:pPr>
            <w:r>
              <w:rPr>
                <w:rFonts w:hint="eastAsia"/>
                <w:spacing w:val="4"/>
                <w:sz w:val="21"/>
                <w:u w:val="single"/>
              </w:rPr>
              <w:t>1999</w:t>
            </w:r>
          </w:p>
        </w:tc>
      </w:tr>
      <w:tr w:rsidR="00000000">
        <w:tblPrEx>
          <w:tblCellMar>
            <w:top w:w="0" w:type="dxa"/>
            <w:bottom w:w="0" w:type="dxa"/>
          </w:tblCellMar>
        </w:tblPrEx>
        <w:tc>
          <w:tcPr>
            <w:tcW w:w="5388" w:type="dxa"/>
            <w:tcBorders>
              <w:bottom w:val="nil"/>
            </w:tcBorders>
          </w:tcPr>
          <w:p w:rsidR="00000000" w:rsidRDefault="00000000">
            <w:pPr>
              <w:tabs>
                <w:tab w:val="left" w:pos="442"/>
              </w:tabs>
              <w:spacing w:before="60" w:line="320" w:lineRule="exact"/>
              <w:ind w:left="442" w:right="113" w:hanging="329"/>
              <w:rPr>
                <w:spacing w:val="4"/>
                <w:sz w:val="21"/>
                <w:lang w:val="fr-CH"/>
              </w:rPr>
            </w:pPr>
            <w:r>
              <w:rPr>
                <w:rFonts w:hint="eastAsia"/>
                <w:spacing w:val="4"/>
                <w:sz w:val="21"/>
              </w:rPr>
              <w:t>受过完全和不完全高等或中等教育的</w:t>
            </w:r>
            <w:r>
              <w:rPr>
                <w:rFonts w:hint="eastAsia"/>
                <w:spacing w:val="4"/>
                <w:sz w:val="21"/>
              </w:rPr>
              <w:t>10</w:t>
            </w:r>
            <w:r>
              <w:rPr>
                <w:rFonts w:hint="eastAsia"/>
                <w:spacing w:val="4"/>
                <w:sz w:val="21"/>
              </w:rPr>
              <w:t>岁和</w:t>
            </w:r>
            <w:r>
              <w:rPr>
                <w:rFonts w:hint="eastAsia"/>
                <w:spacing w:val="4"/>
                <w:sz w:val="21"/>
              </w:rPr>
              <w:t>10</w:t>
            </w:r>
            <w:r>
              <w:rPr>
                <w:rFonts w:hint="eastAsia"/>
                <w:spacing w:val="4"/>
                <w:sz w:val="21"/>
              </w:rPr>
              <w:t>岁以上的人的总数</w:t>
            </w:r>
            <w:r>
              <w:rPr>
                <w:rFonts w:hint="eastAsia"/>
                <w:spacing w:val="4"/>
                <w:sz w:val="21"/>
              </w:rPr>
              <w:t>(</w:t>
            </w:r>
            <w:r>
              <w:rPr>
                <w:rFonts w:hint="eastAsia"/>
                <w:spacing w:val="4"/>
                <w:sz w:val="21"/>
              </w:rPr>
              <w:t>每一千名这种年龄范围内的人</w:t>
            </w:r>
            <w:r>
              <w:rPr>
                <w:rFonts w:hint="eastAsia"/>
                <w:spacing w:val="4"/>
                <w:sz w:val="21"/>
              </w:rPr>
              <w:t>)</w:t>
            </w:r>
          </w:p>
        </w:tc>
        <w:tc>
          <w:tcPr>
            <w:tcW w:w="1394" w:type="dxa"/>
            <w:tcBorders>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698</w:t>
            </w:r>
          </w:p>
        </w:tc>
        <w:tc>
          <w:tcPr>
            <w:tcW w:w="1394" w:type="dxa"/>
            <w:tcBorders>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798</w:t>
            </w:r>
          </w:p>
        </w:tc>
        <w:tc>
          <w:tcPr>
            <w:tcW w:w="1394" w:type="dxa"/>
            <w:tcBorders>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871</w:t>
            </w:r>
          </w:p>
        </w:tc>
      </w:tr>
      <w:tr w:rsidR="00000000">
        <w:tblPrEx>
          <w:tblCellMar>
            <w:top w:w="0" w:type="dxa"/>
            <w:bottom w:w="0" w:type="dxa"/>
          </w:tblCellMar>
        </w:tblPrEx>
        <w:tc>
          <w:tcPr>
            <w:tcW w:w="538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以下部分在这一总数中的比例：</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p>
        </w:tc>
      </w:tr>
      <w:tr w:rsidR="00000000">
        <w:tblPrEx>
          <w:tblCellMar>
            <w:top w:w="0" w:type="dxa"/>
            <w:bottom w:w="0" w:type="dxa"/>
          </w:tblCellMar>
        </w:tblPrEx>
        <w:tc>
          <w:tcPr>
            <w:tcW w:w="538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高等教育</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103</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137</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201</w:t>
            </w:r>
          </w:p>
        </w:tc>
      </w:tr>
      <w:tr w:rsidR="00000000">
        <w:tblPrEx>
          <w:tblCellMar>
            <w:top w:w="0" w:type="dxa"/>
            <w:bottom w:w="0" w:type="dxa"/>
          </w:tblCellMar>
        </w:tblPrEx>
        <w:tc>
          <w:tcPr>
            <w:tcW w:w="538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不完全的高等教育</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19</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22</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40</w:t>
            </w:r>
          </w:p>
        </w:tc>
      </w:tr>
      <w:tr w:rsidR="00000000">
        <w:tblPrEx>
          <w:tblCellMar>
            <w:top w:w="0" w:type="dxa"/>
            <w:bottom w:w="0" w:type="dxa"/>
          </w:tblCellMar>
        </w:tblPrEx>
        <w:tc>
          <w:tcPr>
            <w:tcW w:w="538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中专教育</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100</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169</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174</w:t>
            </w:r>
          </w:p>
        </w:tc>
      </w:tr>
      <w:tr w:rsidR="00000000">
        <w:tblPrEx>
          <w:tblCellMar>
            <w:top w:w="0" w:type="dxa"/>
            <w:bottom w:w="0" w:type="dxa"/>
          </w:tblCellMar>
        </w:tblPrEx>
        <w:tc>
          <w:tcPr>
            <w:tcW w:w="538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普通中等教育</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292</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328</w:t>
            </w:r>
          </w:p>
        </w:tc>
        <w:tc>
          <w:tcPr>
            <w:tcW w:w="1394" w:type="dxa"/>
            <w:tcBorders>
              <w:top w:val="nil"/>
              <w:bottom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330</w:t>
            </w:r>
          </w:p>
        </w:tc>
      </w:tr>
      <w:tr w:rsidR="00000000">
        <w:tblPrEx>
          <w:tblCellMar>
            <w:top w:w="0" w:type="dxa"/>
            <w:bottom w:w="0" w:type="dxa"/>
          </w:tblCellMar>
        </w:tblPrEx>
        <w:tc>
          <w:tcPr>
            <w:tcW w:w="5388" w:type="dxa"/>
            <w:tcBorders>
              <w:top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不完全的中等教育</w:t>
            </w:r>
          </w:p>
        </w:tc>
        <w:tc>
          <w:tcPr>
            <w:tcW w:w="1394" w:type="dxa"/>
            <w:tcBorders>
              <w:top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184</w:t>
            </w:r>
          </w:p>
        </w:tc>
        <w:tc>
          <w:tcPr>
            <w:tcW w:w="1394" w:type="dxa"/>
            <w:tcBorders>
              <w:top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142</w:t>
            </w:r>
          </w:p>
        </w:tc>
        <w:tc>
          <w:tcPr>
            <w:tcW w:w="1394" w:type="dxa"/>
            <w:tcBorders>
              <w:top w:val="nil"/>
            </w:tcBorders>
          </w:tcPr>
          <w:p w:rsidR="00000000" w:rsidRDefault="00000000">
            <w:pPr>
              <w:tabs>
                <w:tab w:val="left" w:pos="442"/>
              </w:tabs>
              <w:spacing w:before="60" w:line="320" w:lineRule="exact"/>
              <w:ind w:left="113" w:right="113"/>
              <w:jc w:val="right"/>
              <w:rPr>
                <w:rFonts w:hint="eastAsia"/>
                <w:spacing w:val="4"/>
                <w:sz w:val="21"/>
              </w:rPr>
            </w:pPr>
            <w:r>
              <w:rPr>
                <w:rFonts w:hint="eastAsia"/>
                <w:spacing w:val="4"/>
                <w:sz w:val="21"/>
              </w:rPr>
              <w:t>125</w:t>
            </w:r>
          </w:p>
        </w:tc>
      </w:tr>
    </w:tbl>
    <w:p w:rsidR="00000000" w:rsidRDefault="00000000">
      <w:pPr>
        <w:rPr>
          <w:rFonts w:hint="eastAsia"/>
        </w:rPr>
      </w:pPr>
    </w:p>
    <w:p w:rsidR="00000000" w:rsidRDefault="00000000">
      <w:pPr>
        <w:pStyle w:val="Heading3"/>
        <w:pageBreakBefore/>
        <w:rPr>
          <w:rFonts w:hint="eastAsia"/>
        </w:rPr>
      </w:pPr>
      <w:r>
        <w:rPr>
          <w:rFonts w:hint="eastAsia"/>
        </w:rPr>
        <w:t>教育机构：学生人数</w:t>
      </w:r>
      <w:r>
        <w:rPr>
          <w:rFonts w:hint="eastAsia"/>
        </w:rPr>
        <w:t>(</w:t>
      </w:r>
      <w:r>
        <w:rPr>
          <w:rFonts w:hint="eastAsia"/>
        </w:rPr>
        <w:t>学年开始时</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9"/>
        <w:gridCol w:w="1162"/>
        <w:gridCol w:w="1162"/>
        <w:gridCol w:w="1162"/>
        <w:gridCol w:w="1162"/>
        <w:gridCol w:w="1162"/>
        <w:gridCol w:w="1162"/>
      </w:tblGrid>
      <w:tr w:rsidR="00000000">
        <w:tblPrEx>
          <w:tblCellMar>
            <w:top w:w="0" w:type="dxa"/>
            <w:bottom w:w="0" w:type="dxa"/>
          </w:tblCellMar>
        </w:tblPrEx>
        <w:trPr>
          <w:cantSplit/>
        </w:trPr>
        <w:tc>
          <w:tcPr>
            <w:tcW w:w="2599" w:type="dxa"/>
          </w:tcPr>
          <w:p w:rsidR="00000000" w:rsidRDefault="00000000">
            <w:pPr>
              <w:tabs>
                <w:tab w:val="left" w:pos="442"/>
              </w:tabs>
              <w:spacing w:before="60" w:line="320" w:lineRule="exact"/>
              <w:jc w:val="center"/>
              <w:rPr>
                <w:rFonts w:hint="eastAsia"/>
                <w:spacing w:val="4"/>
                <w:sz w:val="18"/>
                <w:u w:val="single"/>
              </w:rPr>
            </w:pPr>
          </w:p>
        </w:tc>
        <w:tc>
          <w:tcPr>
            <w:tcW w:w="3486" w:type="dxa"/>
            <w:gridSpan w:val="3"/>
          </w:tcPr>
          <w:p w:rsidR="00000000" w:rsidRDefault="00000000">
            <w:pPr>
              <w:tabs>
                <w:tab w:val="left" w:pos="442"/>
              </w:tabs>
              <w:spacing w:before="60" w:line="320" w:lineRule="exact"/>
              <w:jc w:val="center"/>
              <w:rPr>
                <w:rFonts w:hint="eastAsia"/>
                <w:spacing w:val="4"/>
                <w:sz w:val="18"/>
                <w:u w:val="single"/>
                <w:lang w:val="fr-CH"/>
              </w:rPr>
            </w:pPr>
            <w:r>
              <w:rPr>
                <w:rFonts w:hint="eastAsia"/>
                <w:spacing w:val="4"/>
                <w:sz w:val="18"/>
                <w:u w:val="single"/>
                <w:lang w:val="fr-CH"/>
              </w:rPr>
              <w:t>机构数目</w:t>
            </w:r>
          </w:p>
        </w:tc>
        <w:tc>
          <w:tcPr>
            <w:tcW w:w="3486" w:type="dxa"/>
            <w:gridSpan w:val="3"/>
          </w:tcPr>
          <w:p w:rsidR="00000000" w:rsidRDefault="00000000">
            <w:pPr>
              <w:tabs>
                <w:tab w:val="left" w:pos="442"/>
              </w:tabs>
              <w:spacing w:before="60" w:line="320" w:lineRule="exact"/>
              <w:jc w:val="center"/>
              <w:rPr>
                <w:rFonts w:hint="eastAsia"/>
                <w:spacing w:val="4"/>
                <w:sz w:val="18"/>
                <w:u w:val="single"/>
              </w:rPr>
            </w:pPr>
            <w:r>
              <w:rPr>
                <w:rFonts w:hint="eastAsia"/>
                <w:spacing w:val="4"/>
                <w:sz w:val="18"/>
                <w:u w:val="single"/>
              </w:rPr>
              <w:t>学生人数</w:t>
            </w:r>
            <w:r>
              <w:rPr>
                <w:rFonts w:hint="eastAsia"/>
                <w:spacing w:val="4"/>
                <w:sz w:val="18"/>
                <w:u w:val="single"/>
              </w:rPr>
              <w:t>(</w:t>
            </w:r>
            <w:r>
              <w:rPr>
                <w:rFonts w:hint="eastAsia"/>
                <w:spacing w:val="4"/>
                <w:sz w:val="18"/>
                <w:u w:val="single"/>
              </w:rPr>
              <w:t>以千计</w:t>
            </w:r>
            <w:r>
              <w:rPr>
                <w:rFonts w:hint="eastAsia"/>
                <w:spacing w:val="4"/>
                <w:sz w:val="18"/>
                <w:u w:val="single"/>
              </w:rPr>
              <w:t>)</w:t>
            </w:r>
          </w:p>
        </w:tc>
      </w:tr>
      <w:tr w:rsidR="00000000">
        <w:tblPrEx>
          <w:tblCellMar>
            <w:top w:w="0" w:type="dxa"/>
            <w:bottom w:w="0" w:type="dxa"/>
          </w:tblCellMar>
        </w:tblPrEx>
        <w:tc>
          <w:tcPr>
            <w:tcW w:w="2599" w:type="dxa"/>
          </w:tcPr>
          <w:p w:rsidR="00000000" w:rsidRDefault="00000000">
            <w:pPr>
              <w:tabs>
                <w:tab w:val="left" w:pos="442"/>
              </w:tabs>
              <w:spacing w:before="60" w:line="320" w:lineRule="exact"/>
              <w:jc w:val="center"/>
              <w:rPr>
                <w:rFonts w:hint="eastAsia"/>
                <w:spacing w:val="4"/>
                <w:sz w:val="18"/>
                <w:u w:val="single"/>
              </w:rPr>
            </w:pPr>
          </w:p>
        </w:tc>
        <w:tc>
          <w:tcPr>
            <w:tcW w:w="1162" w:type="dxa"/>
          </w:tcPr>
          <w:p w:rsidR="00000000" w:rsidRDefault="00000000">
            <w:pPr>
              <w:tabs>
                <w:tab w:val="left" w:pos="442"/>
              </w:tabs>
              <w:spacing w:before="60" w:line="320" w:lineRule="exact"/>
              <w:jc w:val="center"/>
              <w:rPr>
                <w:rFonts w:hint="eastAsia"/>
                <w:spacing w:val="4"/>
                <w:sz w:val="18"/>
                <w:u w:val="single"/>
              </w:rPr>
            </w:pPr>
            <w:r>
              <w:rPr>
                <w:rFonts w:hint="eastAsia"/>
                <w:spacing w:val="4"/>
                <w:sz w:val="18"/>
                <w:u w:val="single"/>
              </w:rPr>
              <w:t>1997/1998</w:t>
            </w:r>
          </w:p>
        </w:tc>
        <w:tc>
          <w:tcPr>
            <w:tcW w:w="1162" w:type="dxa"/>
          </w:tcPr>
          <w:p w:rsidR="00000000" w:rsidRDefault="00000000">
            <w:pPr>
              <w:tabs>
                <w:tab w:val="left" w:pos="442"/>
              </w:tabs>
              <w:spacing w:before="60" w:line="320" w:lineRule="exact"/>
              <w:jc w:val="center"/>
              <w:rPr>
                <w:rFonts w:hint="eastAsia"/>
                <w:spacing w:val="4"/>
                <w:sz w:val="18"/>
                <w:u w:val="single"/>
              </w:rPr>
            </w:pPr>
            <w:r>
              <w:rPr>
                <w:rFonts w:hint="eastAsia"/>
                <w:spacing w:val="4"/>
                <w:sz w:val="18"/>
                <w:u w:val="single"/>
              </w:rPr>
              <w:t>1998/1999</w:t>
            </w:r>
          </w:p>
        </w:tc>
        <w:tc>
          <w:tcPr>
            <w:tcW w:w="1162" w:type="dxa"/>
          </w:tcPr>
          <w:p w:rsidR="00000000" w:rsidRDefault="00000000">
            <w:pPr>
              <w:tabs>
                <w:tab w:val="left" w:pos="442"/>
              </w:tabs>
              <w:spacing w:before="60" w:line="320" w:lineRule="exact"/>
              <w:jc w:val="center"/>
              <w:rPr>
                <w:rFonts w:hint="eastAsia"/>
                <w:spacing w:val="4"/>
                <w:sz w:val="18"/>
                <w:u w:val="single"/>
              </w:rPr>
            </w:pPr>
            <w:r>
              <w:rPr>
                <w:rFonts w:hint="eastAsia"/>
                <w:spacing w:val="4"/>
                <w:sz w:val="18"/>
                <w:u w:val="single"/>
              </w:rPr>
              <w:t>1999/2000</w:t>
            </w:r>
          </w:p>
        </w:tc>
        <w:tc>
          <w:tcPr>
            <w:tcW w:w="1162" w:type="dxa"/>
          </w:tcPr>
          <w:p w:rsidR="00000000" w:rsidRDefault="00000000">
            <w:pPr>
              <w:tabs>
                <w:tab w:val="left" w:pos="442"/>
              </w:tabs>
              <w:spacing w:before="60" w:line="320" w:lineRule="exact"/>
              <w:jc w:val="center"/>
              <w:rPr>
                <w:rFonts w:hint="eastAsia"/>
                <w:spacing w:val="4"/>
                <w:sz w:val="18"/>
                <w:u w:val="single"/>
              </w:rPr>
            </w:pPr>
            <w:r>
              <w:rPr>
                <w:rFonts w:hint="eastAsia"/>
                <w:spacing w:val="4"/>
                <w:sz w:val="18"/>
                <w:u w:val="single"/>
              </w:rPr>
              <w:t>1997/1998</w:t>
            </w:r>
          </w:p>
        </w:tc>
        <w:tc>
          <w:tcPr>
            <w:tcW w:w="1162" w:type="dxa"/>
          </w:tcPr>
          <w:p w:rsidR="00000000" w:rsidRDefault="00000000">
            <w:pPr>
              <w:tabs>
                <w:tab w:val="left" w:pos="442"/>
              </w:tabs>
              <w:spacing w:before="60" w:line="320" w:lineRule="exact"/>
              <w:jc w:val="center"/>
              <w:rPr>
                <w:rFonts w:hint="eastAsia"/>
                <w:spacing w:val="4"/>
                <w:sz w:val="18"/>
                <w:u w:val="single"/>
              </w:rPr>
            </w:pPr>
            <w:r>
              <w:rPr>
                <w:rFonts w:hint="eastAsia"/>
                <w:spacing w:val="4"/>
                <w:sz w:val="18"/>
                <w:u w:val="single"/>
              </w:rPr>
              <w:t>1998/1999</w:t>
            </w:r>
          </w:p>
        </w:tc>
        <w:tc>
          <w:tcPr>
            <w:tcW w:w="1162" w:type="dxa"/>
          </w:tcPr>
          <w:p w:rsidR="00000000" w:rsidRDefault="00000000">
            <w:pPr>
              <w:tabs>
                <w:tab w:val="left" w:pos="442"/>
              </w:tabs>
              <w:spacing w:before="60" w:line="320" w:lineRule="exact"/>
              <w:jc w:val="center"/>
              <w:rPr>
                <w:rFonts w:hint="eastAsia"/>
                <w:spacing w:val="4"/>
                <w:sz w:val="18"/>
                <w:u w:val="single"/>
              </w:rPr>
            </w:pPr>
            <w:r>
              <w:rPr>
                <w:rFonts w:hint="eastAsia"/>
                <w:spacing w:val="4"/>
                <w:sz w:val="18"/>
                <w:u w:val="single"/>
              </w:rPr>
              <w:t>1999/2000</w:t>
            </w:r>
          </w:p>
        </w:tc>
      </w:tr>
      <w:tr w:rsidR="00000000">
        <w:tblPrEx>
          <w:tblCellMar>
            <w:top w:w="0" w:type="dxa"/>
            <w:bottom w:w="0" w:type="dxa"/>
          </w:tblCellMar>
        </w:tblPrEx>
        <w:tc>
          <w:tcPr>
            <w:tcW w:w="2599" w:type="dxa"/>
          </w:tcPr>
          <w:p w:rsidR="00000000" w:rsidRDefault="00000000">
            <w:pPr>
              <w:tabs>
                <w:tab w:val="left" w:pos="442"/>
              </w:tabs>
              <w:spacing w:before="60" w:line="320" w:lineRule="exact"/>
              <w:rPr>
                <w:rFonts w:hint="eastAsia"/>
                <w:spacing w:val="4"/>
                <w:sz w:val="18"/>
              </w:rPr>
            </w:pPr>
            <w:r>
              <w:rPr>
                <w:rFonts w:hint="eastAsia"/>
                <w:spacing w:val="4"/>
                <w:sz w:val="18"/>
              </w:rPr>
              <w:t>学前机构</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1,224</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1,241</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1,229</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74.9</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74.2</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74.0</w:t>
            </w:r>
          </w:p>
        </w:tc>
      </w:tr>
      <w:tr w:rsidR="00000000">
        <w:tblPrEx>
          <w:tblCellMar>
            <w:top w:w="0" w:type="dxa"/>
            <w:bottom w:w="0" w:type="dxa"/>
          </w:tblCellMar>
        </w:tblPrEx>
        <w:tc>
          <w:tcPr>
            <w:tcW w:w="2599" w:type="dxa"/>
          </w:tcPr>
          <w:p w:rsidR="00000000" w:rsidRDefault="00000000">
            <w:pPr>
              <w:tabs>
                <w:tab w:val="left" w:pos="442"/>
              </w:tabs>
              <w:spacing w:before="60" w:line="320" w:lineRule="exact"/>
              <w:rPr>
                <w:rFonts w:hint="eastAsia"/>
                <w:spacing w:val="4"/>
                <w:sz w:val="18"/>
              </w:rPr>
            </w:pPr>
            <w:r>
              <w:rPr>
                <w:rFonts w:hint="eastAsia"/>
                <w:spacing w:val="4"/>
                <w:sz w:val="18"/>
              </w:rPr>
              <w:t>国立普通教育学校</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3,223</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3,237</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3,201</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721.8</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722.5</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714.4</w:t>
            </w:r>
          </w:p>
        </w:tc>
      </w:tr>
      <w:tr w:rsidR="00000000">
        <w:tblPrEx>
          <w:tblCellMar>
            <w:top w:w="0" w:type="dxa"/>
            <w:bottom w:w="0" w:type="dxa"/>
          </w:tblCellMar>
        </w:tblPrEx>
        <w:tc>
          <w:tcPr>
            <w:tcW w:w="2599" w:type="dxa"/>
          </w:tcPr>
          <w:p w:rsidR="00000000" w:rsidRDefault="00000000">
            <w:pPr>
              <w:tabs>
                <w:tab w:val="left" w:pos="442"/>
              </w:tabs>
              <w:spacing w:before="60" w:line="320" w:lineRule="exact"/>
              <w:rPr>
                <w:rFonts w:hint="eastAsia"/>
                <w:spacing w:val="4"/>
                <w:sz w:val="18"/>
              </w:rPr>
            </w:pPr>
            <w:r>
              <w:rPr>
                <w:rFonts w:hint="eastAsia"/>
                <w:spacing w:val="4"/>
                <w:sz w:val="18"/>
              </w:rPr>
              <w:t>基础职业和行业学校</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99</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98</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84</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17.8</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18.4</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16.8</w:t>
            </w:r>
          </w:p>
        </w:tc>
      </w:tr>
      <w:tr w:rsidR="00000000">
        <w:tblPrEx>
          <w:tblCellMar>
            <w:top w:w="0" w:type="dxa"/>
            <w:bottom w:w="0" w:type="dxa"/>
          </w:tblCellMar>
        </w:tblPrEx>
        <w:tc>
          <w:tcPr>
            <w:tcW w:w="2599" w:type="dxa"/>
          </w:tcPr>
          <w:p w:rsidR="00000000" w:rsidRDefault="00000000">
            <w:pPr>
              <w:tabs>
                <w:tab w:val="left" w:pos="442"/>
              </w:tabs>
              <w:spacing w:before="60" w:line="320" w:lineRule="exact"/>
              <w:rPr>
                <w:rFonts w:hint="eastAsia"/>
                <w:spacing w:val="4"/>
                <w:sz w:val="18"/>
              </w:rPr>
            </w:pPr>
            <w:r>
              <w:rPr>
                <w:rFonts w:hint="eastAsia"/>
                <w:spacing w:val="4"/>
                <w:sz w:val="18"/>
              </w:rPr>
              <w:t>国立中专教育机构</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81</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83</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85</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30.7</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32.4</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29.9</w:t>
            </w:r>
          </w:p>
        </w:tc>
      </w:tr>
      <w:tr w:rsidR="00000000">
        <w:tblPrEx>
          <w:tblCellMar>
            <w:top w:w="0" w:type="dxa"/>
            <w:bottom w:w="0" w:type="dxa"/>
          </w:tblCellMar>
        </w:tblPrEx>
        <w:tc>
          <w:tcPr>
            <w:tcW w:w="2599" w:type="dxa"/>
          </w:tcPr>
          <w:p w:rsidR="00000000" w:rsidRDefault="00000000">
            <w:pPr>
              <w:tabs>
                <w:tab w:val="left" w:pos="442"/>
              </w:tabs>
              <w:spacing w:before="60" w:line="320" w:lineRule="exact"/>
              <w:rPr>
                <w:spacing w:val="4"/>
                <w:sz w:val="18"/>
              </w:rPr>
            </w:pPr>
            <w:r>
              <w:rPr>
                <w:rFonts w:hint="eastAsia"/>
                <w:spacing w:val="4"/>
                <w:sz w:val="18"/>
              </w:rPr>
              <w:t>私立</w:t>
            </w:r>
            <w:r>
              <w:rPr>
                <w:rFonts w:hint="eastAsia"/>
                <w:spacing w:val="4"/>
                <w:sz w:val="18"/>
              </w:rPr>
              <w:t>(</w:t>
            </w:r>
            <w:r>
              <w:rPr>
                <w:rFonts w:hint="eastAsia"/>
                <w:spacing w:val="4"/>
                <w:sz w:val="18"/>
              </w:rPr>
              <w:t>付费</w:t>
            </w:r>
            <w:r>
              <w:rPr>
                <w:rFonts w:hint="eastAsia"/>
                <w:spacing w:val="4"/>
                <w:sz w:val="18"/>
              </w:rPr>
              <w:t>)</w:t>
            </w:r>
            <w:r>
              <w:rPr>
                <w:rFonts w:hint="eastAsia"/>
                <w:spacing w:val="4"/>
                <w:sz w:val="18"/>
              </w:rPr>
              <w:t>中专教育机构</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47</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58</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58</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5.2</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7.2</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6.8</w:t>
            </w:r>
          </w:p>
        </w:tc>
      </w:tr>
      <w:tr w:rsidR="00000000">
        <w:tblPrEx>
          <w:tblCellMar>
            <w:top w:w="0" w:type="dxa"/>
            <w:bottom w:w="0" w:type="dxa"/>
          </w:tblCellMar>
        </w:tblPrEx>
        <w:tc>
          <w:tcPr>
            <w:tcW w:w="2599" w:type="dxa"/>
          </w:tcPr>
          <w:p w:rsidR="00000000" w:rsidRDefault="00000000">
            <w:pPr>
              <w:tabs>
                <w:tab w:val="left" w:pos="442"/>
              </w:tabs>
              <w:spacing w:before="60" w:line="320" w:lineRule="exact"/>
              <w:rPr>
                <w:rFonts w:hint="eastAsia"/>
                <w:spacing w:val="4"/>
                <w:sz w:val="18"/>
              </w:rPr>
            </w:pPr>
            <w:r>
              <w:rPr>
                <w:rFonts w:hint="eastAsia"/>
                <w:spacing w:val="4"/>
                <w:sz w:val="18"/>
              </w:rPr>
              <w:t>国立高等教育机构</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23</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24</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24</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87.3</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90.1</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95.0</w:t>
            </w:r>
          </w:p>
        </w:tc>
      </w:tr>
      <w:tr w:rsidR="00000000">
        <w:tblPrEx>
          <w:tblCellMar>
            <w:top w:w="0" w:type="dxa"/>
            <w:bottom w:w="0" w:type="dxa"/>
          </w:tblCellMar>
        </w:tblPrEx>
        <w:tc>
          <w:tcPr>
            <w:tcW w:w="2599" w:type="dxa"/>
          </w:tcPr>
          <w:p w:rsidR="00000000" w:rsidRDefault="00000000">
            <w:pPr>
              <w:tabs>
                <w:tab w:val="left" w:pos="442"/>
              </w:tabs>
              <w:spacing w:before="60" w:line="320" w:lineRule="exact"/>
              <w:rPr>
                <w:rFonts w:hint="eastAsia"/>
                <w:spacing w:val="4"/>
                <w:sz w:val="18"/>
              </w:rPr>
            </w:pPr>
            <w:r>
              <w:rPr>
                <w:rFonts w:hint="eastAsia"/>
                <w:spacing w:val="4"/>
                <w:sz w:val="18"/>
              </w:rPr>
              <w:t>私立</w:t>
            </w:r>
            <w:r>
              <w:rPr>
                <w:rFonts w:hint="eastAsia"/>
                <w:spacing w:val="4"/>
                <w:sz w:val="18"/>
              </w:rPr>
              <w:t>(</w:t>
            </w:r>
            <w:r>
              <w:rPr>
                <w:rFonts w:hint="eastAsia"/>
                <w:spacing w:val="4"/>
                <w:sz w:val="18"/>
              </w:rPr>
              <w:t>收费</w:t>
            </w:r>
            <w:r>
              <w:rPr>
                <w:rFonts w:hint="eastAsia"/>
                <w:spacing w:val="4"/>
                <w:sz w:val="18"/>
              </w:rPr>
              <w:t>)</w:t>
            </w:r>
            <w:r>
              <w:rPr>
                <w:rFonts w:hint="eastAsia"/>
                <w:spacing w:val="4"/>
                <w:sz w:val="18"/>
              </w:rPr>
              <w:t>高等教育机构</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159</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154</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162</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40.2</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38.3</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40.1</w:t>
            </w:r>
          </w:p>
        </w:tc>
      </w:tr>
      <w:tr w:rsidR="00000000">
        <w:tblPrEx>
          <w:tblCellMar>
            <w:top w:w="0" w:type="dxa"/>
            <w:bottom w:w="0" w:type="dxa"/>
          </w:tblCellMar>
        </w:tblPrEx>
        <w:tc>
          <w:tcPr>
            <w:tcW w:w="2599" w:type="dxa"/>
          </w:tcPr>
          <w:p w:rsidR="00000000" w:rsidRDefault="00000000">
            <w:pPr>
              <w:tabs>
                <w:tab w:val="left" w:pos="442"/>
              </w:tabs>
              <w:spacing w:before="60" w:line="320" w:lineRule="exact"/>
              <w:rPr>
                <w:rFonts w:hint="eastAsia"/>
                <w:spacing w:val="4"/>
                <w:sz w:val="18"/>
              </w:rPr>
            </w:pPr>
            <w:r>
              <w:rPr>
                <w:rFonts w:hint="eastAsia"/>
                <w:spacing w:val="4"/>
                <w:sz w:val="18"/>
              </w:rPr>
              <w:t>研究生机构</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66</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66</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69</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1.9</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1.8</w:t>
            </w:r>
          </w:p>
        </w:tc>
        <w:tc>
          <w:tcPr>
            <w:tcW w:w="1162" w:type="dxa"/>
          </w:tcPr>
          <w:p w:rsidR="00000000" w:rsidRDefault="00000000">
            <w:pPr>
              <w:tabs>
                <w:tab w:val="decimal" w:pos="641"/>
              </w:tabs>
              <w:spacing w:before="60" w:line="320" w:lineRule="exact"/>
              <w:rPr>
                <w:rFonts w:hint="eastAsia"/>
                <w:spacing w:val="4"/>
                <w:sz w:val="18"/>
              </w:rPr>
            </w:pPr>
            <w:r>
              <w:rPr>
                <w:rFonts w:hint="eastAsia"/>
                <w:spacing w:val="4"/>
                <w:sz w:val="18"/>
              </w:rPr>
              <w:t>1.8</w:t>
            </w:r>
          </w:p>
        </w:tc>
      </w:tr>
    </w:tbl>
    <w:p w:rsidR="00000000" w:rsidRDefault="00000000">
      <w:pPr>
        <w:rPr>
          <w:rFonts w:hint="eastAsia"/>
        </w:rPr>
      </w:pPr>
    </w:p>
    <w:p w:rsidR="00000000" w:rsidRDefault="00000000">
      <w:pPr>
        <w:rPr>
          <w:rFonts w:hint="eastAsia"/>
        </w:rPr>
      </w:pPr>
      <w:r>
        <w:rPr>
          <w:rFonts w:hint="eastAsia"/>
        </w:rPr>
        <w:tab/>
        <w:t xml:space="preserve">231.  </w:t>
      </w:r>
      <w:r>
        <w:rPr>
          <w:rFonts w:hint="eastAsia"/>
        </w:rPr>
        <w:t>最近几年里，普通中学和中专的在校学生人数</w:t>
      </w:r>
      <w:r>
        <w:rPr>
          <w:rFonts w:hint="eastAsia"/>
        </w:rPr>
        <w:t>(</w:t>
      </w:r>
      <w:r>
        <w:rPr>
          <w:rFonts w:hint="eastAsia"/>
        </w:rPr>
        <w:t>按每一千人计算</w:t>
      </w:r>
      <w:r>
        <w:rPr>
          <w:rFonts w:hint="eastAsia"/>
        </w:rPr>
        <w:t>)</w:t>
      </w:r>
      <w:r>
        <w:rPr>
          <w:rFonts w:hint="eastAsia"/>
        </w:rPr>
        <w:t>仍然比较稳定，而高等教育机构的在校学生人数大幅度增加。</w:t>
      </w:r>
    </w:p>
    <w:p w:rsidR="00000000" w:rsidRDefault="00000000">
      <w:pPr>
        <w:rPr>
          <w:rFonts w:hint="eastAsia"/>
        </w:rPr>
      </w:pPr>
      <w:r>
        <w:rPr>
          <w:rFonts w:hint="eastAsia"/>
        </w:rPr>
        <w:tab/>
        <w:t xml:space="preserve">232.  </w:t>
      </w:r>
      <w:r>
        <w:rPr>
          <w:rFonts w:hint="eastAsia"/>
        </w:rPr>
        <w:t>同一时期里，从高等和中等专门教育机构毕业的专门人员人数</w:t>
      </w:r>
      <w:r>
        <w:rPr>
          <w:rFonts w:hint="eastAsia"/>
        </w:rPr>
        <w:t>(</w:t>
      </w:r>
      <w:r>
        <w:rPr>
          <w:rFonts w:hint="eastAsia"/>
        </w:rPr>
        <w:t>每一千人口</w:t>
      </w:r>
      <w:r>
        <w:rPr>
          <w:rFonts w:hint="eastAsia"/>
        </w:rPr>
        <w:t>)</w:t>
      </w:r>
      <w:r>
        <w:rPr>
          <w:rFonts w:hint="eastAsia"/>
        </w:rPr>
        <w:t>起伏变化，但总体上略有增加。因此中专毕业生指数从</w:t>
      </w:r>
      <w:r>
        <w:rPr>
          <w:rFonts w:hint="eastAsia"/>
        </w:rPr>
        <w:t>1997/1998</w:t>
      </w:r>
      <w:r>
        <w:rPr>
          <w:rFonts w:hint="eastAsia"/>
        </w:rPr>
        <w:t>的</w:t>
      </w:r>
      <w:r>
        <w:rPr>
          <w:rFonts w:hint="eastAsia"/>
        </w:rPr>
        <w:t>13</w:t>
      </w:r>
      <w:r>
        <w:rPr>
          <w:rFonts w:hint="eastAsia"/>
        </w:rPr>
        <w:t>增加到</w:t>
      </w:r>
      <w:r>
        <w:rPr>
          <w:rFonts w:hint="eastAsia"/>
        </w:rPr>
        <w:t>1999/2000</w:t>
      </w:r>
      <w:r>
        <w:rPr>
          <w:rFonts w:hint="eastAsia"/>
        </w:rPr>
        <w:t>年的</w:t>
      </w:r>
      <w:r>
        <w:rPr>
          <w:rFonts w:hint="eastAsia"/>
        </w:rPr>
        <w:t>21,</w:t>
      </w:r>
      <w:r>
        <w:rPr>
          <w:rFonts w:hint="eastAsia"/>
        </w:rPr>
        <w:t>而这一时期的高等教育机构的毕业生指数分别为</w:t>
      </w:r>
      <w:r>
        <w:rPr>
          <w:rFonts w:hint="eastAsia"/>
        </w:rPr>
        <w:t>40</w:t>
      </w:r>
      <w:r>
        <w:rPr>
          <w:rFonts w:hint="eastAsia"/>
        </w:rPr>
        <w:t>和</w:t>
      </w:r>
      <w:r>
        <w:rPr>
          <w:rFonts w:hint="eastAsia"/>
        </w:rPr>
        <w:t>45</w:t>
      </w:r>
      <w:r>
        <w:rPr>
          <w:rFonts w:hint="eastAsia"/>
        </w:rPr>
        <w:t>。</w:t>
      </w:r>
    </w:p>
    <w:p w:rsidR="00000000" w:rsidRDefault="00000000">
      <w:pPr>
        <w:rPr>
          <w:rFonts w:hint="eastAsia"/>
        </w:rPr>
      </w:pPr>
      <w:r>
        <w:rPr>
          <w:rFonts w:hint="eastAsia"/>
        </w:rPr>
        <w:tab/>
        <w:t xml:space="preserve">233.  </w:t>
      </w:r>
      <w:r>
        <w:rPr>
          <w:rFonts w:hint="eastAsia"/>
        </w:rPr>
        <w:t>表格表明，在报告期间，国立普通中等教育机构和夜校的数目和这两类机构的学生人数有所下降。学生与教师的平均比率保持不变。仍然为</w:t>
      </w:r>
      <w:r>
        <w:rPr>
          <w:rFonts w:hint="eastAsia"/>
        </w:rPr>
        <w:t>10</w:t>
      </w:r>
      <w:r>
        <w:rPr>
          <w:rFonts w:hint="eastAsia"/>
        </w:rPr>
        <w:t>比</w:t>
      </w:r>
      <w:r>
        <w:rPr>
          <w:rFonts w:hint="eastAsia"/>
        </w:rPr>
        <w:t>1</w:t>
      </w:r>
      <w:r>
        <w:rPr>
          <w:rFonts w:hint="eastAsia"/>
        </w:rPr>
        <w:t>。</w:t>
      </w:r>
    </w:p>
    <w:p w:rsidR="00000000" w:rsidRDefault="00000000">
      <w:pPr>
        <w:pStyle w:val="Heading3"/>
        <w:spacing w:before="320"/>
        <w:rPr>
          <w:rFonts w:hint="eastAsia"/>
        </w:rPr>
      </w:pPr>
      <w:r>
        <w:rPr>
          <w:rFonts w:hint="eastAsia"/>
        </w:rPr>
        <w:t>按教学语言分列的普通教育日校学生明细表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8"/>
        <w:gridCol w:w="2074"/>
        <w:gridCol w:w="2074"/>
        <w:gridCol w:w="2074"/>
      </w:tblGrid>
      <w:tr w:rsidR="00000000">
        <w:tblPrEx>
          <w:tblCellMar>
            <w:top w:w="0" w:type="dxa"/>
            <w:bottom w:w="0" w:type="dxa"/>
          </w:tblCellMar>
        </w:tblPrEx>
        <w:tc>
          <w:tcPr>
            <w:tcW w:w="3348" w:type="dxa"/>
            <w:tcBorders>
              <w:bottom w:val="single" w:sz="4" w:space="0" w:color="auto"/>
            </w:tcBorders>
          </w:tcPr>
          <w:p w:rsidR="00000000" w:rsidRDefault="00000000">
            <w:pPr>
              <w:tabs>
                <w:tab w:val="left" w:pos="442"/>
              </w:tabs>
              <w:spacing w:before="60" w:line="320" w:lineRule="exact"/>
              <w:ind w:left="113" w:right="113"/>
              <w:jc w:val="center"/>
              <w:rPr>
                <w:rFonts w:hint="eastAsia"/>
                <w:spacing w:val="4"/>
                <w:sz w:val="21"/>
                <w:u w:val="single"/>
              </w:rPr>
            </w:pPr>
          </w:p>
        </w:tc>
        <w:tc>
          <w:tcPr>
            <w:tcW w:w="2074" w:type="dxa"/>
            <w:tcBorders>
              <w:bottom w:val="single" w:sz="4" w:space="0" w:color="auto"/>
            </w:tcBorders>
          </w:tcPr>
          <w:p w:rsidR="00000000" w:rsidRDefault="00000000">
            <w:pPr>
              <w:tabs>
                <w:tab w:val="left" w:pos="442"/>
              </w:tabs>
              <w:spacing w:before="60" w:line="320" w:lineRule="exact"/>
              <w:ind w:left="113" w:right="113"/>
              <w:jc w:val="center"/>
              <w:rPr>
                <w:spacing w:val="4"/>
                <w:sz w:val="21"/>
                <w:u w:val="single"/>
              </w:rPr>
            </w:pPr>
            <w:r>
              <w:rPr>
                <w:spacing w:val="4"/>
                <w:sz w:val="21"/>
                <w:u w:val="single"/>
              </w:rPr>
              <w:t>1997/1998</w:t>
            </w:r>
          </w:p>
        </w:tc>
        <w:tc>
          <w:tcPr>
            <w:tcW w:w="2074" w:type="dxa"/>
            <w:tcBorders>
              <w:bottom w:val="single" w:sz="4" w:space="0" w:color="auto"/>
            </w:tcBorders>
          </w:tcPr>
          <w:p w:rsidR="00000000" w:rsidRDefault="00000000">
            <w:pPr>
              <w:tabs>
                <w:tab w:val="left" w:pos="442"/>
              </w:tabs>
              <w:spacing w:before="60" w:line="320" w:lineRule="exact"/>
              <w:ind w:left="113" w:right="113"/>
              <w:jc w:val="center"/>
              <w:rPr>
                <w:spacing w:val="4"/>
                <w:sz w:val="21"/>
                <w:u w:val="single"/>
              </w:rPr>
            </w:pPr>
            <w:r>
              <w:rPr>
                <w:spacing w:val="4"/>
                <w:sz w:val="21"/>
                <w:u w:val="single"/>
              </w:rPr>
              <w:t>1998/1999</w:t>
            </w:r>
          </w:p>
        </w:tc>
        <w:tc>
          <w:tcPr>
            <w:tcW w:w="2074" w:type="dxa"/>
            <w:tcBorders>
              <w:bottom w:val="single" w:sz="4" w:space="0" w:color="auto"/>
            </w:tcBorders>
          </w:tcPr>
          <w:p w:rsidR="00000000" w:rsidRDefault="00000000">
            <w:pPr>
              <w:tabs>
                <w:tab w:val="left" w:pos="442"/>
              </w:tabs>
              <w:spacing w:before="60" w:line="320" w:lineRule="exact"/>
              <w:ind w:left="113" w:right="113"/>
              <w:jc w:val="center"/>
              <w:rPr>
                <w:spacing w:val="4"/>
                <w:sz w:val="21"/>
                <w:u w:val="single"/>
              </w:rPr>
            </w:pPr>
            <w:r>
              <w:rPr>
                <w:spacing w:val="4"/>
                <w:sz w:val="21"/>
                <w:u w:val="single"/>
              </w:rPr>
              <w:t>1999/2000</w:t>
            </w:r>
          </w:p>
        </w:tc>
      </w:tr>
      <w:tr w:rsidR="00000000">
        <w:tblPrEx>
          <w:tblCellMar>
            <w:top w:w="0" w:type="dxa"/>
            <w:bottom w:w="0" w:type="dxa"/>
          </w:tblCellMar>
        </w:tblPrEx>
        <w:tc>
          <w:tcPr>
            <w:tcW w:w="3348" w:type="dxa"/>
            <w:tcBorders>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学生总数</w:t>
            </w:r>
            <w:r>
              <w:rPr>
                <w:rFonts w:hint="eastAsia"/>
                <w:spacing w:val="4"/>
                <w:sz w:val="21"/>
              </w:rPr>
              <w:t>(</w:t>
            </w:r>
            <w:r>
              <w:rPr>
                <w:rFonts w:hint="eastAsia"/>
                <w:spacing w:val="4"/>
                <w:sz w:val="21"/>
              </w:rPr>
              <w:t>以千计</w:t>
            </w:r>
            <w:r>
              <w:rPr>
                <w:rFonts w:hint="eastAsia"/>
                <w:spacing w:val="4"/>
                <w:sz w:val="21"/>
              </w:rPr>
              <w:t>)</w:t>
            </w:r>
          </w:p>
        </w:tc>
        <w:tc>
          <w:tcPr>
            <w:tcW w:w="2074" w:type="dxa"/>
            <w:tcBorders>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714.6</w:t>
            </w:r>
          </w:p>
        </w:tc>
        <w:tc>
          <w:tcPr>
            <w:tcW w:w="2074" w:type="dxa"/>
            <w:tcBorders>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715.8</w:t>
            </w:r>
          </w:p>
        </w:tc>
        <w:tc>
          <w:tcPr>
            <w:tcW w:w="2074" w:type="dxa"/>
            <w:tcBorders>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707.6</w:t>
            </w:r>
          </w:p>
        </w:tc>
      </w:tr>
      <w:tr w:rsidR="00000000">
        <w:tblPrEx>
          <w:tblCellMar>
            <w:top w:w="0" w:type="dxa"/>
            <w:bottom w:w="0" w:type="dxa"/>
          </w:tblCellMar>
        </w:tblPrEx>
        <w:tc>
          <w:tcPr>
            <w:tcW w:w="3348" w:type="dxa"/>
            <w:tcBorders>
              <w:top w:val="nil"/>
              <w:bottom w:val="nil"/>
            </w:tcBorders>
          </w:tcPr>
          <w:p w:rsidR="00000000" w:rsidRDefault="00000000">
            <w:pPr>
              <w:tabs>
                <w:tab w:val="left" w:pos="442"/>
              </w:tabs>
              <w:spacing w:before="60" w:line="320" w:lineRule="exact"/>
              <w:ind w:left="113" w:right="113"/>
              <w:rPr>
                <w:rFonts w:hint="eastAsia"/>
                <w:spacing w:val="4"/>
                <w:sz w:val="21"/>
              </w:rPr>
            </w:pPr>
            <w:r>
              <w:rPr>
                <w:rFonts w:hint="eastAsia"/>
                <w:spacing w:val="4"/>
                <w:sz w:val="21"/>
              </w:rPr>
              <w:t>其中教学语言：</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p>
        </w:tc>
      </w:tr>
      <w:tr w:rsidR="00000000">
        <w:tblPrEx>
          <w:tblCellMar>
            <w:top w:w="0" w:type="dxa"/>
            <w:bottom w:w="0" w:type="dxa"/>
          </w:tblCellMar>
        </w:tblPrEx>
        <w:tc>
          <w:tcPr>
            <w:tcW w:w="3348" w:type="dxa"/>
            <w:tcBorders>
              <w:top w:val="nil"/>
              <w:bottom w:val="nil"/>
            </w:tcBorders>
          </w:tcPr>
          <w:p w:rsidR="00000000" w:rsidRDefault="00000000">
            <w:pPr>
              <w:tabs>
                <w:tab w:val="left" w:pos="442"/>
              </w:tabs>
              <w:spacing w:before="60" w:line="320" w:lineRule="exact"/>
              <w:ind w:left="373" w:right="113"/>
              <w:rPr>
                <w:rFonts w:hint="eastAsia"/>
                <w:spacing w:val="4"/>
                <w:sz w:val="21"/>
              </w:rPr>
            </w:pPr>
            <w:r>
              <w:rPr>
                <w:rFonts w:hint="eastAsia"/>
                <w:spacing w:val="4"/>
                <w:sz w:val="21"/>
              </w:rPr>
              <w:t>格鲁吉亚语</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600.0</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603.1</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600.4</w:t>
            </w:r>
          </w:p>
        </w:tc>
      </w:tr>
      <w:tr w:rsidR="00000000">
        <w:tblPrEx>
          <w:tblCellMar>
            <w:top w:w="0" w:type="dxa"/>
            <w:bottom w:w="0" w:type="dxa"/>
          </w:tblCellMar>
        </w:tblPrEx>
        <w:tc>
          <w:tcPr>
            <w:tcW w:w="3348" w:type="dxa"/>
            <w:tcBorders>
              <w:top w:val="nil"/>
              <w:bottom w:val="nil"/>
            </w:tcBorders>
          </w:tcPr>
          <w:p w:rsidR="00000000" w:rsidRDefault="00000000">
            <w:pPr>
              <w:tabs>
                <w:tab w:val="left" w:pos="442"/>
              </w:tabs>
              <w:spacing w:before="60" w:line="320" w:lineRule="exact"/>
              <w:ind w:left="373" w:right="113"/>
              <w:rPr>
                <w:rFonts w:hint="eastAsia"/>
                <w:spacing w:val="4"/>
                <w:sz w:val="21"/>
              </w:rPr>
            </w:pPr>
            <w:r>
              <w:rPr>
                <w:rFonts w:hint="eastAsia"/>
                <w:spacing w:val="4"/>
                <w:sz w:val="21"/>
              </w:rPr>
              <w:t>俄语</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44.4</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43.7</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40.8</w:t>
            </w:r>
          </w:p>
        </w:tc>
      </w:tr>
      <w:tr w:rsidR="00000000">
        <w:tblPrEx>
          <w:tblCellMar>
            <w:top w:w="0" w:type="dxa"/>
            <w:bottom w:w="0" w:type="dxa"/>
          </w:tblCellMar>
        </w:tblPrEx>
        <w:tc>
          <w:tcPr>
            <w:tcW w:w="3348" w:type="dxa"/>
            <w:tcBorders>
              <w:top w:val="nil"/>
              <w:bottom w:val="nil"/>
            </w:tcBorders>
          </w:tcPr>
          <w:p w:rsidR="00000000" w:rsidRDefault="00000000">
            <w:pPr>
              <w:tabs>
                <w:tab w:val="left" w:pos="442"/>
              </w:tabs>
              <w:spacing w:before="60" w:line="320" w:lineRule="exact"/>
              <w:ind w:left="373" w:right="113"/>
              <w:rPr>
                <w:rFonts w:hint="eastAsia"/>
                <w:spacing w:val="4"/>
                <w:sz w:val="21"/>
              </w:rPr>
            </w:pPr>
            <w:r>
              <w:rPr>
                <w:rFonts w:hint="eastAsia"/>
                <w:spacing w:val="4"/>
                <w:sz w:val="21"/>
              </w:rPr>
              <w:t>阿塞拜疆语</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41.9</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41.0</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39.6</w:t>
            </w:r>
          </w:p>
        </w:tc>
      </w:tr>
      <w:tr w:rsidR="00000000">
        <w:tblPrEx>
          <w:tblCellMar>
            <w:top w:w="0" w:type="dxa"/>
            <w:bottom w:w="0" w:type="dxa"/>
          </w:tblCellMar>
        </w:tblPrEx>
        <w:tc>
          <w:tcPr>
            <w:tcW w:w="3348" w:type="dxa"/>
            <w:tcBorders>
              <w:top w:val="nil"/>
              <w:bottom w:val="nil"/>
            </w:tcBorders>
          </w:tcPr>
          <w:p w:rsidR="00000000" w:rsidRDefault="00000000">
            <w:pPr>
              <w:tabs>
                <w:tab w:val="left" w:pos="442"/>
              </w:tabs>
              <w:spacing w:before="60" w:line="320" w:lineRule="exact"/>
              <w:ind w:left="373" w:right="113"/>
              <w:rPr>
                <w:rFonts w:hint="eastAsia"/>
                <w:spacing w:val="4"/>
                <w:sz w:val="21"/>
              </w:rPr>
            </w:pPr>
            <w:r>
              <w:rPr>
                <w:rFonts w:hint="eastAsia"/>
                <w:spacing w:val="4"/>
                <w:sz w:val="21"/>
              </w:rPr>
              <w:t>亚美尼亚语</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28.0</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27.8</w:t>
            </w:r>
          </w:p>
        </w:tc>
        <w:tc>
          <w:tcPr>
            <w:tcW w:w="2074" w:type="dxa"/>
            <w:tcBorders>
              <w:top w:val="nil"/>
              <w:bottom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26.7</w:t>
            </w:r>
          </w:p>
        </w:tc>
      </w:tr>
      <w:tr w:rsidR="00000000">
        <w:tblPrEx>
          <w:tblCellMar>
            <w:top w:w="0" w:type="dxa"/>
            <w:bottom w:w="0" w:type="dxa"/>
          </w:tblCellMar>
        </w:tblPrEx>
        <w:tc>
          <w:tcPr>
            <w:tcW w:w="3348" w:type="dxa"/>
            <w:tcBorders>
              <w:top w:val="nil"/>
            </w:tcBorders>
          </w:tcPr>
          <w:p w:rsidR="00000000" w:rsidRDefault="00000000">
            <w:pPr>
              <w:tabs>
                <w:tab w:val="left" w:pos="442"/>
              </w:tabs>
              <w:spacing w:before="60" w:line="320" w:lineRule="exact"/>
              <w:ind w:left="373" w:right="113"/>
              <w:rPr>
                <w:rFonts w:hint="eastAsia"/>
                <w:spacing w:val="4"/>
                <w:sz w:val="21"/>
              </w:rPr>
            </w:pPr>
            <w:r>
              <w:rPr>
                <w:rFonts w:hint="eastAsia"/>
                <w:spacing w:val="4"/>
                <w:sz w:val="21"/>
              </w:rPr>
              <w:t>奥塞特语</w:t>
            </w:r>
          </w:p>
        </w:tc>
        <w:tc>
          <w:tcPr>
            <w:tcW w:w="2074" w:type="dxa"/>
            <w:tcBorders>
              <w:top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0.2</w:t>
            </w:r>
          </w:p>
        </w:tc>
        <w:tc>
          <w:tcPr>
            <w:tcW w:w="2074" w:type="dxa"/>
            <w:tcBorders>
              <w:top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0.2</w:t>
            </w:r>
          </w:p>
        </w:tc>
        <w:tc>
          <w:tcPr>
            <w:tcW w:w="2074" w:type="dxa"/>
            <w:tcBorders>
              <w:top w:val="nil"/>
            </w:tcBorders>
          </w:tcPr>
          <w:p w:rsidR="00000000" w:rsidRDefault="00000000">
            <w:pPr>
              <w:tabs>
                <w:tab w:val="decimal" w:pos="1092"/>
              </w:tabs>
              <w:spacing w:before="60" w:line="320" w:lineRule="exact"/>
              <w:ind w:left="113" w:right="113"/>
              <w:rPr>
                <w:rFonts w:hint="eastAsia"/>
                <w:spacing w:val="4"/>
                <w:sz w:val="21"/>
              </w:rPr>
            </w:pPr>
            <w:r>
              <w:rPr>
                <w:rFonts w:hint="eastAsia"/>
                <w:spacing w:val="4"/>
                <w:sz w:val="21"/>
              </w:rPr>
              <w:t>0.2</w:t>
            </w:r>
          </w:p>
        </w:tc>
      </w:tr>
    </w:tbl>
    <w:p w:rsidR="00000000" w:rsidRDefault="00000000">
      <w:pPr>
        <w:rPr>
          <w:rFonts w:hint="eastAsia"/>
        </w:rPr>
      </w:pPr>
    </w:p>
    <w:p w:rsidR="00000000" w:rsidRDefault="00000000">
      <w:pPr>
        <w:pStyle w:val="Heading4"/>
        <w:spacing w:after="160"/>
        <w:rPr>
          <w:rFonts w:hint="eastAsia"/>
        </w:rPr>
      </w:pPr>
      <w:r>
        <w:rPr>
          <w:rFonts w:hint="eastAsia"/>
        </w:rPr>
        <w:t>基础职业和行业教育</w:t>
      </w:r>
    </w:p>
    <w:p w:rsidR="00000000" w:rsidRDefault="00000000">
      <w:pPr>
        <w:spacing w:after="320"/>
        <w:rPr>
          <w:rFonts w:hint="eastAsia"/>
        </w:rPr>
      </w:pPr>
      <w:r>
        <w:rPr>
          <w:rFonts w:hint="eastAsia"/>
        </w:rPr>
        <w:tab/>
        <w:t xml:space="preserve">234.  </w:t>
      </w:r>
      <w:r>
        <w:rPr>
          <w:rFonts w:hint="eastAsia"/>
        </w:rPr>
        <w:t>在报告期间，这一类教育机构中的人数有所下降，另外职业学校就读或毕业的学生人数也有所下降。在</w:t>
      </w:r>
      <w:r>
        <w:rPr>
          <w:rFonts w:hint="eastAsia"/>
        </w:rPr>
        <w:t>1997-1999</w:t>
      </w:r>
      <w:r>
        <w:rPr>
          <w:rFonts w:hint="eastAsia"/>
        </w:rPr>
        <w:t>年期间，这一类教育机构的数目从</w:t>
      </w:r>
      <w:r>
        <w:rPr>
          <w:rFonts w:hint="eastAsia"/>
        </w:rPr>
        <w:t>99</w:t>
      </w:r>
      <w:r>
        <w:rPr>
          <w:rFonts w:hint="eastAsia"/>
        </w:rPr>
        <w:t>个下降到</w:t>
      </w:r>
      <w:r>
        <w:rPr>
          <w:rFonts w:hint="eastAsia"/>
        </w:rPr>
        <w:t>84</w:t>
      </w:r>
      <w:r>
        <w:rPr>
          <w:rFonts w:hint="eastAsia"/>
        </w:rPr>
        <w:t>个，学生人数从</w:t>
      </w:r>
      <w:r>
        <w:rPr>
          <w:rFonts w:hint="eastAsia"/>
        </w:rPr>
        <w:t>19,600</w:t>
      </w:r>
      <w:r>
        <w:rPr>
          <w:rFonts w:hint="eastAsia"/>
        </w:rPr>
        <w:t>人下降到</w:t>
      </w:r>
      <w:r>
        <w:rPr>
          <w:rFonts w:hint="eastAsia"/>
        </w:rPr>
        <w:t>16,800</w:t>
      </w:r>
      <w:r>
        <w:rPr>
          <w:rFonts w:hint="eastAsia"/>
        </w:rPr>
        <w:t>人。每年招生人数从</w:t>
      </w:r>
      <w:r>
        <w:rPr>
          <w:rFonts w:hint="eastAsia"/>
        </w:rPr>
        <w:t>11,100</w:t>
      </w:r>
      <w:r>
        <w:rPr>
          <w:rFonts w:hint="eastAsia"/>
        </w:rPr>
        <w:t>人下降到</w:t>
      </w:r>
      <w:r>
        <w:rPr>
          <w:rFonts w:hint="eastAsia"/>
        </w:rPr>
        <w:t>7,100</w:t>
      </w:r>
      <w:r>
        <w:rPr>
          <w:rFonts w:hint="eastAsia"/>
        </w:rPr>
        <w:t>人，完成学业的人数从</w:t>
      </w:r>
      <w:r>
        <w:rPr>
          <w:rFonts w:hint="eastAsia"/>
        </w:rPr>
        <w:t>10,100</w:t>
      </w:r>
      <w:r>
        <w:rPr>
          <w:rFonts w:hint="eastAsia"/>
        </w:rPr>
        <w:t>人下降到</w:t>
      </w:r>
      <w:r>
        <w:rPr>
          <w:rFonts w:hint="eastAsia"/>
        </w:rPr>
        <w:t>7,200</w:t>
      </w:r>
      <w:r>
        <w:rPr>
          <w:rFonts w:hint="eastAsia"/>
        </w:rPr>
        <w:t>人。</w:t>
      </w:r>
    </w:p>
    <w:p w:rsidR="00000000" w:rsidRDefault="00000000">
      <w:pPr>
        <w:pStyle w:val="Heading4"/>
        <w:spacing w:after="160"/>
        <w:rPr>
          <w:rFonts w:hint="eastAsia"/>
        </w:rPr>
      </w:pPr>
      <w:r>
        <w:rPr>
          <w:rFonts w:hint="eastAsia"/>
        </w:rPr>
        <w:t>中专教育</w:t>
      </w:r>
    </w:p>
    <w:p w:rsidR="00000000" w:rsidRDefault="00000000">
      <w:pPr>
        <w:spacing w:after="160"/>
        <w:rPr>
          <w:rFonts w:hint="eastAsia"/>
        </w:rPr>
      </w:pPr>
      <w:r>
        <w:rPr>
          <w:rFonts w:hint="eastAsia"/>
        </w:rPr>
        <w:tab/>
        <w:t xml:space="preserve">235.  </w:t>
      </w:r>
      <w:r>
        <w:rPr>
          <w:rFonts w:hint="eastAsia"/>
        </w:rPr>
        <w:t>在报告期间，国立中专教育机构的数目从</w:t>
      </w:r>
      <w:r>
        <w:rPr>
          <w:rFonts w:hint="eastAsia"/>
        </w:rPr>
        <w:t>1997</w:t>
      </w:r>
      <w:r>
        <w:rPr>
          <w:rFonts w:hint="eastAsia"/>
        </w:rPr>
        <w:t>年的</w:t>
      </w:r>
      <w:r>
        <w:rPr>
          <w:rFonts w:hint="eastAsia"/>
        </w:rPr>
        <w:t>81</w:t>
      </w:r>
      <w:r>
        <w:rPr>
          <w:rFonts w:hint="eastAsia"/>
        </w:rPr>
        <w:t>个增加到</w:t>
      </w:r>
      <w:r>
        <w:rPr>
          <w:rFonts w:hint="eastAsia"/>
        </w:rPr>
        <w:t>1999</w:t>
      </w:r>
      <w:r>
        <w:rPr>
          <w:rFonts w:hint="eastAsia"/>
        </w:rPr>
        <w:t>年</w:t>
      </w:r>
      <w:r>
        <w:rPr>
          <w:rFonts w:hint="eastAsia"/>
        </w:rPr>
        <w:t>85</w:t>
      </w:r>
      <w:r>
        <w:rPr>
          <w:rFonts w:hint="eastAsia"/>
        </w:rPr>
        <w:t>个。与此同时，学生人数从</w:t>
      </w:r>
      <w:r>
        <w:rPr>
          <w:rFonts w:hint="eastAsia"/>
        </w:rPr>
        <w:t>1997</w:t>
      </w:r>
      <w:r>
        <w:rPr>
          <w:rFonts w:hint="eastAsia"/>
        </w:rPr>
        <w:t>年的</w:t>
      </w:r>
      <w:r>
        <w:rPr>
          <w:rFonts w:hint="eastAsia"/>
        </w:rPr>
        <w:t>30,770</w:t>
      </w:r>
      <w:r>
        <w:rPr>
          <w:rFonts w:hint="eastAsia"/>
        </w:rPr>
        <w:t>人下降到</w:t>
      </w:r>
      <w:r>
        <w:rPr>
          <w:rFonts w:hint="eastAsia"/>
        </w:rPr>
        <w:t>1999</w:t>
      </w:r>
      <w:r>
        <w:rPr>
          <w:rFonts w:hint="eastAsia"/>
        </w:rPr>
        <w:t>年的</w:t>
      </w:r>
      <w:r>
        <w:rPr>
          <w:rFonts w:hint="eastAsia"/>
        </w:rPr>
        <w:t>29,900</w:t>
      </w:r>
      <w:r>
        <w:rPr>
          <w:rFonts w:hint="eastAsia"/>
        </w:rPr>
        <w:t>人，主要原因是参加远距离教育课程学生人数有所下降。这一类私立学校的数目从</w:t>
      </w:r>
      <w:r>
        <w:rPr>
          <w:rFonts w:hint="eastAsia"/>
        </w:rPr>
        <w:t>47</w:t>
      </w:r>
      <w:r>
        <w:rPr>
          <w:rFonts w:hint="eastAsia"/>
        </w:rPr>
        <w:t>个增加到</w:t>
      </w:r>
      <w:r>
        <w:rPr>
          <w:rFonts w:hint="eastAsia"/>
        </w:rPr>
        <w:t>58</w:t>
      </w:r>
      <w:r>
        <w:rPr>
          <w:rFonts w:hint="eastAsia"/>
        </w:rPr>
        <w:t>个，而入学学生人数也有所增加</w:t>
      </w:r>
      <w:r>
        <w:rPr>
          <w:rFonts w:hint="eastAsia"/>
        </w:rPr>
        <w:t>(</w:t>
      </w:r>
      <w:r>
        <w:rPr>
          <w:rFonts w:hint="eastAsia"/>
        </w:rPr>
        <w:t>从</w:t>
      </w:r>
      <w:r>
        <w:rPr>
          <w:rFonts w:hint="eastAsia"/>
        </w:rPr>
        <w:t>5,800</w:t>
      </w:r>
      <w:r>
        <w:rPr>
          <w:rFonts w:hint="eastAsia"/>
        </w:rPr>
        <w:t>人增加到</w:t>
      </w:r>
      <w:r>
        <w:rPr>
          <w:rFonts w:hint="eastAsia"/>
        </w:rPr>
        <w:t>6,800</w:t>
      </w:r>
      <w:r>
        <w:rPr>
          <w:rFonts w:hint="eastAsia"/>
        </w:rPr>
        <w:t>人</w:t>
      </w:r>
      <w:r>
        <w:rPr>
          <w:rFonts w:hint="eastAsia"/>
        </w:rPr>
        <w:t>)</w:t>
      </w:r>
      <w:r>
        <w:rPr>
          <w:rFonts w:hint="eastAsia"/>
        </w:rPr>
        <w:t>。付费课程只是在日间提供。</w:t>
      </w:r>
    </w:p>
    <w:p w:rsidR="00000000" w:rsidRDefault="00000000">
      <w:pPr>
        <w:pStyle w:val="Heading4"/>
        <w:spacing w:after="160"/>
        <w:rPr>
          <w:rFonts w:hint="eastAsia"/>
        </w:rPr>
      </w:pPr>
      <w:r>
        <w:rPr>
          <w:rFonts w:hint="eastAsia"/>
        </w:rPr>
        <w:t>高等教育</w:t>
      </w:r>
    </w:p>
    <w:p w:rsidR="00000000" w:rsidRDefault="00000000">
      <w:pPr>
        <w:rPr>
          <w:rFonts w:hint="eastAsia"/>
        </w:rPr>
      </w:pPr>
      <w:r>
        <w:rPr>
          <w:rFonts w:hint="eastAsia"/>
        </w:rPr>
        <w:tab/>
        <w:t xml:space="preserve">236.  </w:t>
      </w:r>
      <w:r>
        <w:rPr>
          <w:rFonts w:hint="eastAsia"/>
        </w:rPr>
        <w:t>在</w:t>
      </w:r>
      <w:r>
        <w:rPr>
          <w:rFonts w:hint="eastAsia"/>
        </w:rPr>
        <w:t>1997-199</w:t>
      </w:r>
      <w:r>
        <w:rPr>
          <w:rFonts w:hint="eastAsia"/>
        </w:rPr>
        <w:t>年期间，国立高等教育机构的学生人数从</w:t>
      </w:r>
      <w:r>
        <w:rPr>
          <w:rFonts w:hint="eastAsia"/>
        </w:rPr>
        <w:t>87,300</w:t>
      </w:r>
      <w:r>
        <w:rPr>
          <w:rFonts w:hint="eastAsia"/>
        </w:rPr>
        <w:t>人增加到</w:t>
      </w:r>
      <w:r>
        <w:rPr>
          <w:rFonts w:hint="eastAsia"/>
        </w:rPr>
        <w:t>95,000</w:t>
      </w:r>
      <w:r>
        <w:rPr>
          <w:rFonts w:hint="eastAsia"/>
        </w:rPr>
        <w:t>人。日间课程招生人数有所增加，而夜课招生人数下降了</w:t>
      </w:r>
      <w:r>
        <w:rPr>
          <w:rFonts w:hint="eastAsia"/>
        </w:rPr>
        <w:t>40%</w:t>
      </w:r>
      <w:r>
        <w:rPr>
          <w:rFonts w:hint="eastAsia"/>
        </w:rPr>
        <w:t>；上远距离教育课程的学生总数基本上保持不变。在学生人数波动不定的情况下，私立高等教育机构的人数有小幅度的增加。只有上远距离教育课程的学生人数显著下降，从</w:t>
      </w:r>
      <w:r>
        <w:rPr>
          <w:rFonts w:hint="eastAsia"/>
        </w:rPr>
        <w:t>3,000</w:t>
      </w:r>
      <w:r>
        <w:rPr>
          <w:rFonts w:hint="eastAsia"/>
        </w:rPr>
        <w:t>人减少到</w:t>
      </w:r>
      <w:r>
        <w:rPr>
          <w:rFonts w:hint="eastAsia"/>
        </w:rPr>
        <w:t>2,100</w:t>
      </w:r>
      <w:r>
        <w:rPr>
          <w:rFonts w:hint="eastAsia"/>
        </w:rPr>
        <w:t>人。</w:t>
      </w:r>
    </w:p>
    <w:p w:rsidR="00000000" w:rsidRDefault="00000000">
      <w:pPr>
        <w:spacing w:after="160"/>
        <w:rPr>
          <w:rFonts w:hint="eastAsia"/>
        </w:rPr>
      </w:pPr>
      <w:r>
        <w:rPr>
          <w:rFonts w:hint="eastAsia"/>
        </w:rPr>
        <w:tab/>
        <w:t xml:space="preserve">237.  </w:t>
      </w:r>
      <w:r>
        <w:rPr>
          <w:rFonts w:hint="eastAsia"/>
        </w:rPr>
        <w:t>培养教育专家的国立和私立高等教育机构占此类机构的多数。因此绝大多数学生集中在这些机构里。从学生人数来讲，第二大类教育机构是农业、工业、建筑、经济学、法律和医学专门院校。</w:t>
      </w:r>
    </w:p>
    <w:p w:rsidR="00000000" w:rsidRDefault="00000000">
      <w:pPr>
        <w:pStyle w:val="Heading4"/>
        <w:spacing w:after="160"/>
        <w:rPr>
          <w:rFonts w:hint="eastAsia"/>
        </w:rPr>
      </w:pPr>
      <w:r>
        <w:rPr>
          <w:rFonts w:hint="eastAsia"/>
        </w:rPr>
        <w:t>研究生学习</w:t>
      </w:r>
    </w:p>
    <w:p w:rsidR="00000000" w:rsidRDefault="00000000">
      <w:pPr>
        <w:rPr>
          <w:rFonts w:hint="eastAsia"/>
        </w:rPr>
      </w:pPr>
      <w:r>
        <w:rPr>
          <w:rFonts w:hint="eastAsia"/>
        </w:rPr>
        <w:tab/>
        <w:t xml:space="preserve">238.  </w:t>
      </w:r>
      <w:r>
        <w:rPr>
          <w:rFonts w:hint="eastAsia"/>
        </w:rPr>
        <w:t>有关数据载于以下表格：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8"/>
        <w:gridCol w:w="1994"/>
        <w:gridCol w:w="1994"/>
        <w:gridCol w:w="1994"/>
      </w:tblGrid>
      <w:tr w:rsidR="00000000">
        <w:tblPrEx>
          <w:tblCellMar>
            <w:top w:w="0" w:type="dxa"/>
            <w:bottom w:w="0" w:type="dxa"/>
          </w:tblCellMar>
        </w:tblPrEx>
        <w:tc>
          <w:tcPr>
            <w:tcW w:w="3588" w:type="dxa"/>
          </w:tcPr>
          <w:p w:rsidR="00000000" w:rsidRDefault="00000000">
            <w:pPr>
              <w:tabs>
                <w:tab w:val="left" w:pos="442"/>
              </w:tabs>
              <w:spacing w:before="60" w:line="320" w:lineRule="exact"/>
              <w:ind w:left="113" w:right="113"/>
              <w:jc w:val="center"/>
              <w:rPr>
                <w:spacing w:val="4"/>
                <w:sz w:val="21"/>
                <w:u w:val="single"/>
                <w:lang w:val="fr-CH"/>
              </w:rPr>
            </w:pPr>
          </w:p>
        </w:tc>
        <w:tc>
          <w:tcPr>
            <w:tcW w:w="1994" w:type="dxa"/>
          </w:tcPr>
          <w:p w:rsidR="00000000" w:rsidRDefault="00000000">
            <w:pPr>
              <w:tabs>
                <w:tab w:val="left" w:pos="442"/>
              </w:tabs>
              <w:spacing w:before="60" w:line="320" w:lineRule="exact"/>
              <w:ind w:left="113" w:right="113"/>
              <w:jc w:val="center"/>
              <w:rPr>
                <w:spacing w:val="4"/>
                <w:sz w:val="21"/>
                <w:u w:val="single"/>
              </w:rPr>
            </w:pPr>
            <w:r>
              <w:rPr>
                <w:spacing w:val="4"/>
                <w:sz w:val="21"/>
                <w:u w:val="single"/>
              </w:rPr>
              <w:t>1997</w:t>
            </w:r>
          </w:p>
        </w:tc>
        <w:tc>
          <w:tcPr>
            <w:tcW w:w="1994" w:type="dxa"/>
          </w:tcPr>
          <w:p w:rsidR="00000000" w:rsidRDefault="00000000">
            <w:pPr>
              <w:tabs>
                <w:tab w:val="left" w:pos="442"/>
              </w:tabs>
              <w:spacing w:before="60" w:line="320" w:lineRule="exact"/>
              <w:ind w:left="113" w:right="113"/>
              <w:jc w:val="center"/>
              <w:rPr>
                <w:spacing w:val="4"/>
                <w:sz w:val="21"/>
                <w:u w:val="single"/>
              </w:rPr>
            </w:pPr>
            <w:r>
              <w:rPr>
                <w:spacing w:val="4"/>
                <w:sz w:val="21"/>
                <w:u w:val="single"/>
              </w:rPr>
              <w:t>1998</w:t>
            </w:r>
          </w:p>
        </w:tc>
        <w:tc>
          <w:tcPr>
            <w:tcW w:w="1994" w:type="dxa"/>
          </w:tcPr>
          <w:p w:rsidR="00000000" w:rsidRDefault="00000000">
            <w:pPr>
              <w:tabs>
                <w:tab w:val="left" w:pos="442"/>
              </w:tabs>
              <w:spacing w:before="60" w:line="320" w:lineRule="exact"/>
              <w:ind w:left="113" w:right="113"/>
              <w:jc w:val="center"/>
              <w:rPr>
                <w:spacing w:val="4"/>
                <w:sz w:val="21"/>
                <w:u w:val="single"/>
              </w:rPr>
            </w:pPr>
            <w:r>
              <w:rPr>
                <w:spacing w:val="4"/>
                <w:sz w:val="21"/>
                <w:u w:val="single"/>
              </w:rPr>
              <w:t>1999</w:t>
            </w:r>
          </w:p>
        </w:tc>
      </w:tr>
      <w:tr w:rsidR="00000000">
        <w:tblPrEx>
          <w:tblCellMar>
            <w:top w:w="0" w:type="dxa"/>
            <w:bottom w:w="0" w:type="dxa"/>
          </w:tblCellMar>
        </w:tblPrEx>
        <w:tc>
          <w:tcPr>
            <w:tcW w:w="3588" w:type="dxa"/>
          </w:tcPr>
          <w:p w:rsidR="00000000" w:rsidRDefault="00000000">
            <w:pPr>
              <w:tabs>
                <w:tab w:val="left" w:pos="442"/>
              </w:tabs>
              <w:spacing w:before="60" w:line="320" w:lineRule="exact"/>
              <w:ind w:left="113" w:right="113"/>
              <w:rPr>
                <w:rFonts w:hint="eastAsia"/>
                <w:spacing w:val="4"/>
                <w:sz w:val="21"/>
              </w:rPr>
            </w:pPr>
            <w:r>
              <w:rPr>
                <w:rFonts w:hint="eastAsia"/>
                <w:spacing w:val="4"/>
                <w:sz w:val="21"/>
              </w:rPr>
              <w:t>研究生招生总数</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655</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602</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584</w:t>
            </w:r>
          </w:p>
        </w:tc>
      </w:tr>
      <w:tr w:rsidR="00000000">
        <w:tblPrEx>
          <w:tblCellMar>
            <w:top w:w="0" w:type="dxa"/>
            <w:bottom w:w="0" w:type="dxa"/>
          </w:tblCellMar>
        </w:tblPrEx>
        <w:tc>
          <w:tcPr>
            <w:tcW w:w="3588" w:type="dxa"/>
          </w:tcPr>
          <w:p w:rsidR="00000000" w:rsidRDefault="00000000">
            <w:pPr>
              <w:tabs>
                <w:tab w:val="left" w:pos="442"/>
              </w:tabs>
              <w:spacing w:before="60" w:line="320" w:lineRule="exact"/>
              <w:ind w:left="113" w:right="113"/>
              <w:rPr>
                <w:rFonts w:hint="eastAsia"/>
                <w:spacing w:val="4"/>
                <w:sz w:val="21"/>
              </w:rPr>
            </w:pPr>
            <w:r>
              <w:rPr>
                <w:rFonts w:hint="eastAsia"/>
                <w:spacing w:val="4"/>
                <w:sz w:val="21"/>
              </w:rPr>
              <w:t>研究生总数</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1,911</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1,824</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1,826</w:t>
            </w:r>
          </w:p>
        </w:tc>
      </w:tr>
      <w:tr w:rsidR="00000000">
        <w:tblPrEx>
          <w:tblCellMar>
            <w:top w:w="0" w:type="dxa"/>
            <w:bottom w:w="0" w:type="dxa"/>
          </w:tblCellMar>
        </w:tblPrEx>
        <w:tc>
          <w:tcPr>
            <w:tcW w:w="3588" w:type="dxa"/>
          </w:tcPr>
          <w:p w:rsidR="00000000" w:rsidRDefault="00000000">
            <w:pPr>
              <w:tabs>
                <w:tab w:val="left" w:pos="442"/>
              </w:tabs>
              <w:spacing w:before="60" w:line="320" w:lineRule="exact"/>
              <w:ind w:left="113" w:right="113"/>
              <w:rPr>
                <w:rFonts w:hint="eastAsia"/>
                <w:spacing w:val="4"/>
                <w:sz w:val="21"/>
              </w:rPr>
            </w:pPr>
            <w:r>
              <w:rPr>
                <w:rFonts w:hint="eastAsia"/>
                <w:spacing w:val="4"/>
                <w:sz w:val="21"/>
              </w:rPr>
              <w:t>研究生毕业总数</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489</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536</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596</w:t>
            </w:r>
          </w:p>
        </w:tc>
      </w:tr>
      <w:tr w:rsidR="00000000">
        <w:tblPrEx>
          <w:tblCellMar>
            <w:top w:w="0" w:type="dxa"/>
            <w:bottom w:w="0" w:type="dxa"/>
          </w:tblCellMar>
        </w:tblPrEx>
        <w:tc>
          <w:tcPr>
            <w:tcW w:w="3588" w:type="dxa"/>
          </w:tcPr>
          <w:p w:rsidR="00000000" w:rsidRDefault="00000000">
            <w:pPr>
              <w:tabs>
                <w:tab w:val="left" w:pos="442"/>
              </w:tabs>
              <w:spacing w:before="60" w:line="320" w:lineRule="exact"/>
              <w:ind w:left="113" w:right="113"/>
              <w:rPr>
                <w:rFonts w:hint="eastAsia"/>
                <w:spacing w:val="4"/>
                <w:sz w:val="21"/>
              </w:rPr>
            </w:pPr>
            <w:r>
              <w:rPr>
                <w:rFonts w:hint="eastAsia"/>
                <w:spacing w:val="4"/>
                <w:sz w:val="21"/>
              </w:rPr>
              <w:t>提交论文的研究生毕业生总数</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14</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19</w:t>
            </w:r>
          </w:p>
        </w:tc>
        <w:tc>
          <w:tcPr>
            <w:tcW w:w="1994" w:type="dxa"/>
          </w:tcPr>
          <w:p w:rsidR="00000000" w:rsidRDefault="00000000">
            <w:pPr>
              <w:tabs>
                <w:tab w:val="decimal" w:pos="1212"/>
              </w:tabs>
              <w:spacing w:before="60" w:line="320" w:lineRule="exact"/>
              <w:ind w:left="113" w:right="113"/>
              <w:rPr>
                <w:rFonts w:hint="eastAsia"/>
                <w:spacing w:val="4"/>
                <w:sz w:val="21"/>
              </w:rPr>
            </w:pPr>
            <w:r>
              <w:rPr>
                <w:rFonts w:hint="eastAsia"/>
                <w:spacing w:val="4"/>
                <w:sz w:val="21"/>
              </w:rPr>
              <w:t>32</w:t>
            </w:r>
          </w:p>
        </w:tc>
      </w:tr>
    </w:tbl>
    <w:p w:rsidR="00000000" w:rsidRDefault="00000000">
      <w:pPr>
        <w:rPr>
          <w:rFonts w:hint="eastAsia"/>
        </w:rPr>
      </w:pPr>
    </w:p>
    <w:p w:rsidR="00000000" w:rsidRDefault="00000000">
      <w:pPr>
        <w:pStyle w:val="Heading4"/>
        <w:rPr>
          <w:rFonts w:hint="eastAsia"/>
        </w:rPr>
      </w:pPr>
      <w:r>
        <w:rPr>
          <w:rFonts w:hint="eastAsia"/>
        </w:rPr>
        <w:t>身心残疾儿童学校</w:t>
      </w:r>
    </w:p>
    <w:p w:rsidR="00000000" w:rsidRDefault="00000000">
      <w:pPr>
        <w:spacing w:after="320"/>
        <w:rPr>
          <w:rFonts w:hint="eastAsia"/>
        </w:rPr>
      </w:pPr>
      <w:r>
        <w:rPr>
          <w:rFonts w:hint="eastAsia"/>
        </w:rPr>
        <w:tab/>
        <w:t xml:space="preserve">239.  </w:t>
      </w:r>
      <w:r>
        <w:rPr>
          <w:rFonts w:hint="eastAsia"/>
        </w:rPr>
        <w:t>此类儿童的教育由</w:t>
      </w:r>
      <w:r>
        <w:rPr>
          <w:rFonts w:hint="eastAsia"/>
        </w:rPr>
        <w:t>14</w:t>
      </w:r>
      <w:r>
        <w:rPr>
          <w:rFonts w:hint="eastAsia"/>
        </w:rPr>
        <w:t>个住读学校提供，总共招生</w:t>
      </w:r>
      <w:r>
        <w:rPr>
          <w:rFonts w:hint="eastAsia"/>
        </w:rPr>
        <w:t>2,460</w:t>
      </w:r>
      <w:r>
        <w:rPr>
          <w:rFonts w:hint="eastAsia"/>
        </w:rPr>
        <w:t>名</w:t>
      </w:r>
      <w:r>
        <w:rPr>
          <w:rFonts w:hint="eastAsia"/>
        </w:rPr>
        <w:t>7</w:t>
      </w:r>
      <w:r>
        <w:rPr>
          <w:rFonts w:hint="eastAsia"/>
        </w:rPr>
        <w:t>岁至</w:t>
      </w:r>
      <w:r>
        <w:rPr>
          <w:rFonts w:hint="eastAsia"/>
        </w:rPr>
        <w:t>18</w:t>
      </w:r>
      <w:r>
        <w:rPr>
          <w:rFonts w:hint="eastAsia"/>
        </w:rPr>
        <w:t>岁的儿童</w:t>
      </w:r>
      <w:r>
        <w:rPr>
          <w:rFonts w:hint="eastAsia"/>
        </w:rPr>
        <w:t>(1,151</w:t>
      </w:r>
      <w:r>
        <w:rPr>
          <w:rFonts w:hint="eastAsia"/>
        </w:rPr>
        <w:t>名女生，</w:t>
      </w:r>
      <w:r>
        <w:rPr>
          <w:rFonts w:hint="eastAsia"/>
        </w:rPr>
        <w:t>1,309</w:t>
      </w:r>
      <w:r>
        <w:rPr>
          <w:rFonts w:hint="eastAsia"/>
        </w:rPr>
        <w:t>名男生</w:t>
      </w:r>
      <w:r>
        <w:rPr>
          <w:rFonts w:hint="eastAsia"/>
        </w:rPr>
        <w:t>)</w:t>
      </w:r>
      <w:r>
        <w:rPr>
          <w:rFonts w:hint="eastAsia"/>
        </w:rPr>
        <w:t>。对最近的数据的分析表明，住读学校中的儿童的人数稳步增加，从</w:t>
      </w:r>
      <w:r>
        <w:rPr>
          <w:rFonts w:hint="eastAsia"/>
        </w:rPr>
        <w:t>1997</w:t>
      </w:r>
      <w:r>
        <w:rPr>
          <w:rFonts w:hint="eastAsia"/>
        </w:rPr>
        <w:t>年的</w:t>
      </w:r>
      <w:r>
        <w:rPr>
          <w:rFonts w:hint="eastAsia"/>
        </w:rPr>
        <w:t>1,551</w:t>
      </w:r>
      <w:r>
        <w:rPr>
          <w:rFonts w:hint="eastAsia"/>
        </w:rPr>
        <w:t>人增加到</w:t>
      </w:r>
      <w:r>
        <w:rPr>
          <w:rFonts w:hint="eastAsia"/>
        </w:rPr>
        <w:t>2000</w:t>
      </w:r>
      <w:r>
        <w:rPr>
          <w:rFonts w:hint="eastAsia"/>
        </w:rPr>
        <w:t>年的</w:t>
      </w:r>
      <w:r>
        <w:rPr>
          <w:rFonts w:hint="eastAsia"/>
        </w:rPr>
        <w:t>2,460</w:t>
      </w:r>
      <w:r>
        <w:rPr>
          <w:rFonts w:hint="eastAsia"/>
        </w:rPr>
        <w:t>人。</w:t>
      </w:r>
    </w:p>
    <w:p w:rsidR="00000000" w:rsidRDefault="00000000">
      <w:pPr>
        <w:pStyle w:val="Heading4"/>
        <w:rPr>
          <w:rFonts w:hint="eastAsia"/>
        </w:rPr>
      </w:pPr>
      <w:r>
        <w:rPr>
          <w:rFonts w:hint="eastAsia"/>
        </w:rPr>
        <w:t>对教育的公共资助</w:t>
      </w:r>
    </w:p>
    <w:p w:rsidR="00000000" w:rsidRDefault="00000000">
      <w:pPr>
        <w:rPr>
          <w:rFonts w:hint="eastAsia"/>
        </w:rPr>
      </w:pPr>
      <w:r>
        <w:rPr>
          <w:rFonts w:hint="eastAsia"/>
        </w:rPr>
        <w:tab/>
        <w:t xml:space="preserve">240.  </w:t>
      </w:r>
      <w:r>
        <w:rPr>
          <w:rFonts w:hint="eastAsia"/>
        </w:rPr>
        <w:t>从各种来源收到的资料表明，在报告期间，教育方面的公共开支不断下降。</w:t>
      </w:r>
      <w:r>
        <w:rPr>
          <w:rFonts w:hint="eastAsia"/>
        </w:rPr>
        <w:t>1999</w:t>
      </w:r>
      <w:r>
        <w:rPr>
          <w:rFonts w:hint="eastAsia"/>
        </w:rPr>
        <w:t>年，对教育的预算拨款不超过国内生产总值的</w:t>
      </w:r>
      <w:r>
        <w:rPr>
          <w:rFonts w:hint="eastAsia"/>
        </w:rPr>
        <w:t>2.2%</w:t>
      </w:r>
      <w:r>
        <w:rPr>
          <w:rFonts w:hint="eastAsia"/>
        </w:rPr>
        <w:t>。从绝对数字来说，这笔款项略低于</w:t>
      </w:r>
      <w:r>
        <w:rPr>
          <w:rFonts w:hint="eastAsia"/>
        </w:rPr>
        <w:t>3,000</w:t>
      </w:r>
      <w:r>
        <w:rPr>
          <w:rFonts w:hint="eastAsia"/>
        </w:rPr>
        <w:t>万拉里。正如联合国开发计划署</w:t>
      </w:r>
      <w:r>
        <w:rPr>
          <w:rFonts w:hint="eastAsia"/>
        </w:rPr>
        <w:t>(</w:t>
      </w:r>
      <w:r>
        <w:rPr>
          <w:rFonts w:hint="eastAsia"/>
        </w:rPr>
        <w:t>开发署</w:t>
      </w:r>
      <w:r>
        <w:rPr>
          <w:rFonts w:hint="eastAsia"/>
        </w:rPr>
        <w:t>)</w:t>
      </w:r>
      <w:r>
        <w:rPr>
          <w:rFonts w:hint="eastAsia"/>
        </w:rPr>
        <w:t>编写的《</w:t>
      </w:r>
      <w:r>
        <w:rPr>
          <w:rFonts w:hint="eastAsia"/>
        </w:rPr>
        <w:t>2000</w:t>
      </w:r>
      <w:r>
        <w:rPr>
          <w:rFonts w:hint="eastAsia"/>
        </w:rPr>
        <w:t>年格鲁吉亚人的发展报告》中所指出的那样，在教育系统资金长期不足的背景下，围绕着一种非正式付款制度形成了有利的条件，即格鲁吉亚各家庭自费资助教育机构的大部分预算。他们捐助所谓的“学校资金”并提供学校大楼冬天取暖用的燃料等。此外，私立中等和高等教育机构按官方收费。</w:t>
      </w:r>
    </w:p>
    <w:p w:rsidR="00000000" w:rsidRDefault="00000000">
      <w:pPr>
        <w:rPr>
          <w:rFonts w:hint="eastAsia"/>
        </w:rPr>
      </w:pPr>
      <w:r>
        <w:rPr>
          <w:rFonts w:hint="eastAsia"/>
        </w:rPr>
        <w:tab/>
        <w:t xml:space="preserve">241.  </w:t>
      </w:r>
      <w:r>
        <w:rPr>
          <w:rFonts w:hint="eastAsia"/>
        </w:rPr>
        <w:t>经过自</w:t>
      </w:r>
      <w:r>
        <w:rPr>
          <w:rFonts w:hint="eastAsia"/>
        </w:rPr>
        <w:t>1998</w:t>
      </w:r>
      <w:r>
        <w:rPr>
          <w:rFonts w:hint="eastAsia"/>
        </w:rPr>
        <w:t>年以来一直进行的谈判，签署了一项协议，根据该协议，世界银行承诺向格鲁吉亚教育部提供</w:t>
      </w:r>
      <w:r>
        <w:rPr>
          <w:rFonts w:hint="eastAsia"/>
        </w:rPr>
        <w:t>6,000</w:t>
      </w:r>
      <w:r>
        <w:rPr>
          <w:rFonts w:hint="eastAsia"/>
        </w:rPr>
        <w:t>万美元的贷款。这笔款项将专门用于中学系统。以下优先事项已经选定：</w:t>
      </w:r>
    </w:p>
    <w:p w:rsidR="00000000" w:rsidRDefault="00000000">
      <w:pPr>
        <w:pStyle w:val="a7"/>
        <w:tabs>
          <w:tab w:val="num" w:pos="1550"/>
        </w:tabs>
        <w:ind w:left="1550"/>
        <w:rPr>
          <w:rFonts w:hint="eastAsia"/>
        </w:rPr>
      </w:pPr>
      <w:r>
        <w:rPr>
          <w:rFonts w:hint="eastAsia"/>
        </w:rPr>
        <w:t>制定国家标准和课程；编写和采用符合国家标准和课程的新的教科书，并向学校提供教学辅助材料；</w:t>
      </w:r>
    </w:p>
    <w:p w:rsidR="00000000" w:rsidRDefault="00000000">
      <w:pPr>
        <w:pStyle w:val="a7"/>
        <w:tabs>
          <w:tab w:val="num" w:pos="1550"/>
        </w:tabs>
        <w:ind w:left="1550"/>
        <w:rPr>
          <w:rFonts w:hint="eastAsia"/>
        </w:rPr>
      </w:pPr>
      <w:r>
        <w:rPr>
          <w:rFonts w:hint="eastAsia"/>
        </w:rPr>
        <w:t>按照新的标准增强教师培训和进修班；</w:t>
      </w:r>
    </w:p>
    <w:p w:rsidR="00000000" w:rsidRDefault="00000000">
      <w:pPr>
        <w:pStyle w:val="a7"/>
        <w:tabs>
          <w:tab w:val="num" w:pos="1550"/>
        </w:tabs>
        <w:ind w:left="1550"/>
        <w:rPr>
          <w:rFonts w:hint="eastAsia"/>
        </w:rPr>
      </w:pPr>
      <w:r>
        <w:rPr>
          <w:rFonts w:hint="eastAsia"/>
        </w:rPr>
        <w:t>修改中学的评估系统；采用计算机化管理系统并制定教育领域管理政策；</w:t>
      </w:r>
    </w:p>
    <w:p w:rsidR="00000000" w:rsidRDefault="00000000">
      <w:pPr>
        <w:pStyle w:val="a7"/>
        <w:tabs>
          <w:tab w:val="num" w:pos="1550"/>
        </w:tabs>
        <w:ind w:left="1550"/>
        <w:rPr>
          <w:rFonts w:hint="eastAsia"/>
        </w:rPr>
      </w:pPr>
      <w:r>
        <w:rPr>
          <w:rFonts w:hint="eastAsia"/>
        </w:rPr>
        <w:t>优化教师工资模式。应该指出，在执行贷款项目时，有一种机制确保对资金预定用途进行公开审查。</w:t>
      </w:r>
    </w:p>
    <w:p w:rsidR="00000000" w:rsidRDefault="00000000">
      <w:pPr>
        <w:spacing w:after="320"/>
        <w:rPr>
          <w:rFonts w:hint="eastAsia"/>
        </w:rPr>
      </w:pPr>
      <w:r>
        <w:rPr>
          <w:rFonts w:hint="eastAsia"/>
        </w:rPr>
        <w:tab/>
        <w:t xml:space="preserve">242.  </w:t>
      </w:r>
      <w:r>
        <w:rPr>
          <w:rFonts w:hint="eastAsia"/>
        </w:rPr>
        <w:t>这种监督可以由非政府组织执行。当格鲁吉亚提交其第三次定期报告时，我们可以宣布在执行这些项目时取得的成果。</w:t>
      </w:r>
    </w:p>
    <w:p w:rsidR="00000000" w:rsidRDefault="00000000">
      <w:pPr>
        <w:pStyle w:val="Heading2"/>
        <w:rPr>
          <w:rFonts w:hint="eastAsia"/>
        </w:rPr>
      </w:pPr>
      <w:r>
        <w:rPr>
          <w:rFonts w:hint="eastAsia"/>
        </w:rPr>
        <w:t>第十五条</w:t>
      </w:r>
    </w:p>
    <w:p w:rsidR="00000000" w:rsidRDefault="00000000">
      <w:pPr>
        <w:pStyle w:val="Heading4"/>
        <w:rPr>
          <w:rFonts w:hint="eastAsia"/>
        </w:rPr>
      </w:pPr>
      <w:r>
        <w:rPr>
          <w:rFonts w:hint="eastAsia"/>
        </w:rPr>
        <w:t>参加文化生活的权利</w:t>
      </w:r>
    </w:p>
    <w:p w:rsidR="00000000" w:rsidRDefault="00000000">
      <w:pPr>
        <w:rPr>
          <w:rFonts w:hint="eastAsia"/>
        </w:rPr>
      </w:pPr>
      <w:r>
        <w:rPr>
          <w:rFonts w:hint="eastAsia"/>
        </w:rPr>
        <w:tab/>
        <w:t xml:space="preserve">243.  </w:t>
      </w:r>
      <w:r>
        <w:rPr>
          <w:rFonts w:hint="eastAsia"/>
        </w:rPr>
        <w:t>关于平等享受这项权利的问题，见格鲁吉亚提交消除种族歧视委员会的初步报告第</w:t>
      </w:r>
      <w:r>
        <w:rPr>
          <w:rFonts w:hint="eastAsia"/>
        </w:rPr>
        <w:t>272-279</w:t>
      </w:r>
      <w:r>
        <w:rPr>
          <w:rFonts w:hint="eastAsia"/>
        </w:rPr>
        <w:t>段。这一问题还可参阅对经济、社会、文化权利委员会就其审议格鲁吉亚根据《公约》提交的初次报告拟定的问题清单的书面答复</w:t>
      </w:r>
      <w:r>
        <w:rPr>
          <w:rFonts w:hint="eastAsia"/>
        </w:rPr>
        <w:t>(HR/CESCR/N</w:t>
      </w:r>
      <w:r>
        <w:t>one/1999/15,</w:t>
      </w:r>
      <w:r>
        <w:rPr>
          <w:rFonts w:hint="eastAsia"/>
        </w:rPr>
        <w:t>对问题</w:t>
      </w:r>
      <w:r>
        <w:rPr>
          <w:rFonts w:hint="eastAsia"/>
        </w:rPr>
        <w:t>47-50</w:t>
      </w:r>
      <w:r>
        <w:rPr>
          <w:rFonts w:hint="eastAsia"/>
        </w:rPr>
        <w:t>的答复</w:t>
      </w:r>
      <w:r>
        <w:rPr>
          <w:rFonts w:hint="eastAsia"/>
        </w:rPr>
        <w:t>)</w:t>
      </w:r>
      <w:r>
        <w:rPr>
          <w:rFonts w:hint="eastAsia"/>
        </w:rPr>
        <w:t>。</w:t>
      </w:r>
    </w:p>
    <w:p w:rsidR="00000000" w:rsidRDefault="00000000">
      <w:pPr>
        <w:rPr>
          <w:rFonts w:hint="eastAsia"/>
        </w:rPr>
      </w:pPr>
      <w:r>
        <w:rPr>
          <w:rFonts w:hint="eastAsia"/>
        </w:rPr>
        <w:tab/>
        <w:t xml:space="preserve">244.  </w:t>
      </w:r>
      <w:r>
        <w:rPr>
          <w:rFonts w:hint="eastAsia"/>
        </w:rPr>
        <w:t>除了这种资料以外，下文转载文化部提供的有关数据。</w:t>
      </w:r>
    </w:p>
    <w:p w:rsidR="00000000" w:rsidRDefault="00000000">
      <w:pPr>
        <w:rPr>
          <w:rFonts w:hint="eastAsia"/>
        </w:rPr>
      </w:pPr>
      <w:r>
        <w:rPr>
          <w:rFonts w:hint="eastAsia"/>
        </w:rPr>
        <w:tab/>
        <w:t xml:space="preserve">245.  </w:t>
      </w:r>
      <w:r>
        <w:rPr>
          <w:rFonts w:hint="eastAsia"/>
        </w:rPr>
        <w:t>格鲁吉亚目前有两个基金主要负责文化发展和鼓励所有人口阶层创造性地参与这一进程。这两个基金分别是文化遗产基金和文化发展与普及基金。</w:t>
      </w:r>
    </w:p>
    <w:p w:rsidR="00000000" w:rsidRDefault="00000000">
      <w:pPr>
        <w:rPr>
          <w:rFonts w:hint="eastAsia"/>
        </w:rPr>
      </w:pPr>
      <w:r>
        <w:rPr>
          <w:rFonts w:hint="eastAsia"/>
        </w:rPr>
        <w:tab/>
        <w:t xml:space="preserve">246.  </w:t>
      </w:r>
      <w:r>
        <w:rPr>
          <w:rFonts w:hint="eastAsia"/>
        </w:rPr>
        <w:t>在报告期间，文化部直接掌管</w:t>
      </w:r>
      <w:r>
        <w:rPr>
          <w:rFonts w:hint="eastAsia"/>
        </w:rPr>
        <w:t>11</w:t>
      </w:r>
      <w:r>
        <w:rPr>
          <w:rFonts w:hint="eastAsia"/>
        </w:rPr>
        <w:t>个文化中心，</w:t>
      </w:r>
      <w:r>
        <w:rPr>
          <w:rFonts w:hint="eastAsia"/>
        </w:rPr>
        <w:t>478</w:t>
      </w:r>
      <w:r>
        <w:rPr>
          <w:rFonts w:hint="eastAsia"/>
        </w:rPr>
        <w:t>个文化之家和</w:t>
      </w:r>
      <w:r>
        <w:rPr>
          <w:rFonts w:hint="eastAsia"/>
        </w:rPr>
        <w:t>849</w:t>
      </w:r>
      <w:r>
        <w:rPr>
          <w:rFonts w:hint="eastAsia"/>
        </w:rPr>
        <w:t>个俱乐部。多数这些机构需要实际翻修；它们设在不适宜的房舍内，冬天没有暖气，家具和设备破旧不堪。</w:t>
      </w:r>
      <w:r>
        <w:rPr>
          <w:rFonts w:hint="eastAsia"/>
        </w:rPr>
        <w:t>14</w:t>
      </w:r>
      <w:r>
        <w:rPr>
          <w:rFonts w:hint="eastAsia"/>
        </w:rPr>
        <w:t>个文化和娱乐公园多数需要翻新：需要种植新的树木和灌木，而露天游乐场现在已经完全过时。现在没有财力来进行修复工作或购置新的设施。</w:t>
      </w:r>
    </w:p>
    <w:p w:rsidR="00000000" w:rsidRDefault="00000000">
      <w:pPr>
        <w:rPr>
          <w:rFonts w:hint="eastAsia"/>
        </w:rPr>
      </w:pPr>
      <w:r>
        <w:rPr>
          <w:rFonts w:hint="eastAsia"/>
        </w:rPr>
        <w:tab/>
        <w:t xml:space="preserve">247.  </w:t>
      </w:r>
      <w:r>
        <w:rPr>
          <w:rFonts w:hint="eastAsia"/>
        </w:rPr>
        <w:t>格鲁吉亚</w:t>
      </w:r>
      <w:r>
        <w:rPr>
          <w:rFonts w:hint="eastAsia"/>
        </w:rPr>
        <w:t>72</w:t>
      </w:r>
      <w:r>
        <w:rPr>
          <w:rFonts w:hint="eastAsia"/>
        </w:rPr>
        <w:t>个业余戏剧团体</w:t>
      </w:r>
      <w:r>
        <w:rPr>
          <w:rFonts w:hint="eastAsia"/>
        </w:rPr>
        <w:t>(20</w:t>
      </w:r>
      <w:r>
        <w:rPr>
          <w:rFonts w:hint="eastAsia"/>
        </w:rPr>
        <w:t>个木偶剧院和</w:t>
      </w:r>
      <w:r>
        <w:rPr>
          <w:rFonts w:hint="eastAsia"/>
        </w:rPr>
        <w:t>52</w:t>
      </w:r>
      <w:r>
        <w:rPr>
          <w:rFonts w:hint="eastAsia"/>
        </w:rPr>
        <w:t>个民间歌舞剧院</w:t>
      </w:r>
      <w:r>
        <w:rPr>
          <w:rFonts w:hint="eastAsia"/>
        </w:rPr>
        <w:t>)</w:t>
      </w:r>
      <w:r>
        <w:rPr>
          <w:rFonts w:hint="eastAsia"/>
        </w:rPr>
        <w:t>周期性地上演节目。</w:t>
      </w:r>
      <w:r>
        <w:rPr>
          <w:rFonts w:hint="eastAsia"/>
        </w:rPr>
        <w:t>1998</w:t>
      </w:r>
      <w:r>
        <w:rPr>
          <w:rFonts w:hint="eastAsia"/>
        </w:rPr>
        <w:t>年组织了一次业余戏剧节。由于财政困难，此后再也无法组织一次类似的戏剧节。但现已预订于</w:t>
      </w:r>
      <w:r>
        <w:rPr>
          <w:rFonts w:hint="eastAsia"/>
        </w:rPr>
        <w:t>2002</w:t>
      </w:r>
      <w:r>
        <w:rPr>
          <w:rFonts w:hint="eastAsia"/>
        </w:rPr>
        <w:t>年再举行一次业余戏剧节，这一戏剧节将取得国际地位。</w:t>
      </w:r>
    </w:p>
    <w:p w:rsidR="00000000" w:rsidRDefault="00000000">
      <w:pPr>
        <w:rPr>
          <w:rFonts w:hint="eastAsia"/>
        </w:rPr>
      </w:pPr>
      <w:r>
        <w:rPr>
          <w:rFonts w:hint="eastAsia"/>
        </w:rPr>
        <w:tab/>
        <w:t xml:space="preserve">248.  </w:t>
      </w:r>
      <w:r>
        <w:rPr>
          <w:rFonts w:hint="eastAsia"/>
        </w:rPr>
        <w:t>格鲁吉亚以</w:t>
      </w:r>
      <w:r>
        <w:rPr>
          <w:rFonts w:hint="eastAsia"/>
        </w:rPr>
        <w:t>1,650</w:t>
      </w:r>
      <w:r>
        <w:rPr>
          <w:rFonts w:hint="eastAsia"/>
        </w:rPr>
        <w:t>个业余民间歌舞团感到自豪。</w:t>
      </w:r>
      <w:r>
        <w:rPr>
          <w:rFonts w:hint="eastAsia"/>
        </w:rPr>
        <w:t>1997</w:t>
      </w:r>
      <w:r>
        <w:rPr>
          <w:rFonts w:hint="eastAsia"/>
        </w:rPr>
        <w:t>年举行了一次民间歌舞奥林匹克竞赛，并计划每两年举行一次这种活动。但由于缺乏资金还是无法将这一项目转变成事实，一个国际民间歌舞节首次预定于今年举行。民间歌舞团面临的主要问题是缺乏财力，这意味着，许多团体甚至买不起戏装。尽管多次被邀请参加国际民间艺术组织发起的研讨会和会议，但格鲁吉亚代表由于缺乏资金而一直无法出席。</w:t>
      </w:r>
    </w:p>
    <w:p w:rsidR="00000000" w:rsidRDefault="00000000">
      <w:pPr>
        <w:rPr>
          <w:rFonts w:hint="eastAsia"/>
        </w:rPr>
      </w:pPr>
      <w:r>
        <w:rPr>
          <w:rFonts w:hint="eastAsia"/>
        </w:rPr>
        <w:tab/>
        <w:t xml:space="preserve">249.  </w:t>
      </w:r>
      <w:r>
        <w:rPr>
          <w:rFonts w:hint="eastAsia"/>
        </w:rPr>
        <w:t>关于格鲁吉亚少数民族的业余文化活动，在</w:t>
      </w:r>
      <w:r>
        <w:rPr>
          <w:rFonts w:hint="eastAsia"/>
        </w:rPr>
        <w:t>A</w:t>
      </w:r>
      <w:r>
        <w:t>khaltsikhe</w:t>
      </w:r>
      <w:r>
        <w:rPr>
          <w:rFonts w:hint="eastAsia"/>
        </w:rPr>
        <w:t>地区</w:t>
      </w:r>
      <w:r>
        <w:rPr>
          <w:rFonts w:hint="eastAsia"/>
        </w:rPr>
        <w:t>(S</w:t>
      </w:r>
      <w:r>
        <w:t>adzelisi</w:t>
      </w:r>
      <w:r>
        <w:rPr>
          <w:rFonts w:hint="eastAsia"/>
          <w:lang w:val="fr-CH"/>
        </w:rPr>
        <w:t>村</w:t>
      </w:r>
      <w:r>
        <w:rPr>
          <w:rFonts w:hint="eastAsia"/>
        </w:rPr>
        <w:t>)</w:t>
      </w:r>
      <w:r>
        <w:rPr>
          <w:rFonts w:hint="eastAsia"/>
          <w:lang w:val="fr-CH"/>
        </w:rPr>
        <w:t>、</w:t>
      </w:r>
      <w:r>
        <w:rPr>
          <w:rFonts w:hint="eastAsia"/>
        </w:rPr>
        <w:t>A</w:t>
      </w:r>
      <w:r>
        <w:t>khalkalaki</w:t>
      </w:r>
      <w:r>
        <w:rPr>
          <w:rFonts w:hint="eastAsia"/>
          <w:lang w:val="fr-CH"/>
        </w:rPr>
        <w:t>和</w:t>
      </w:r>
      <w:r>
        <w:t>Ninotsminda</w:t>
      </w:r>
      <w:r>
        <w:rPr>
          <w:rFonts w:hint="eastAsia"/>
          <w:lang w:val="fr-CH"/>
        </w:rPr>
        <w:t>有业余亚美尼亚剧院</w:t>
      </w:r>
      <w:r>
        <w:rPr>
          <w:rFonts w:hint="eastAsia"/>
        </w:rPr>
        <w:t>，在鲁斯塔维文化之家有一个俄罗斯民族剧院。</w:t>
      </w:r>
      <w:r>
        <w:rPr>
          <w:rFonts w:hint="eastAsia"/>
        </w:rPr>
        <w:t>D</w:t>
      </w:r>
      <w:r>
        <w:rPr>
          <w:lang w:val="fr-CH"/>
        </w:rPr>
        <w:t>aiomakh</w:t>
      </w:r>
      <w:r>
        <w:rPr>
          <w:rFonts w:hint="eastAsia"/>
          <w:lang w:val="fr-CH"/>
        </w:rPr>
        <w:t>民间歌舞团设在</w:t>
      </w:r>
      <w:r>
        <w:rPr>
          <w:rFonts w:hint="eastAsia"/>
          <w:lang w:val="fr-CH"/>
        </w:rPr>
        <w:t>A</w:t>
      </w:r>
      <w:r>
        <w:rPr>
          <w:lang w:val="fr-CH"/>
        </w:rPr>
        <w:t>khmeta</w:t>
      </w:r>
      <w:r>
        <w:rPr>
          <w:rFonts w:hint="eastAsia"/>
          <w:lang w:val="fr-CH"/>
        </w:rPr>
        <w:t>地区</w:t>
      </w:r>
      <w:r>
        <w:rPr>
          <w:lang w:val="fr-CH"/>
        </w:rPr>
        <w:t> </w:t>
      </w:r>
      <w:r>
        <w:rPr>
          <w:rFonts w:hint="eastAsia"/>
          <w:lang w:val="fr-CH"/>
        </w:rPr>
        <w:t>；</w:t>
      </w:r>
      <w:r>
        <w:rPr>
          <w:lang w:val="fr-CH"/>
        </w:rPr>
        <w:t>Tetri</w:t>
      </w:r>
      <w:r>
        <w:rPr>
          <w:rFonts w:hint="eastAsia"/>
          <w:lang w:val="fr-CH"/>
        </w:rPr>
        <w:t>－</w:t>
      </w:r>
      <w:r>
        <w:rPr>
          <w:lang w:val="fr-CH"/>
        </w:rPr>
        <w:t>Tskaro</w:t>
      </w:r>
      <w:r>
        <w:rPr>
          <w:rFonts w:hint="eastAsia"/>
          <w:lang w:val="fr-CH"/>
        </w:rPr>
        <w:t>有一个亚述民间歌舞团</w:t>
      </w:r>
      <w:r>
        <w:rPr>
          <w:lang w:val="fr-CH"/>
        </w:rPr>
        <w:t> </w:t>
      </w:r>
      <w:r>
        <w:rPr>
          <w:rFonts w:hint="eastAsia"/>
          <w:lang w:val="fr-CH"/>
        </w:rPr>
        <w:t>；</w:t>
      </w:r>
      <w:r>
        <w:rPr>
          <w:rFonts w:hint="eastAsia"/>
        </w:rPr>
        <w:t>A</w:t>
      </w:r>
      <w:r>
        <w:t>khalkalaki</w:t>
      </w:r>
      <w:r>
        <w:rPr>
          <w:rFonts w:hint="eastAsia"/>
          <w:lang w:val="fr-CH"/>
        </w:rPr>
        <w:t>和</w:t>
      </w:r>
      <w:r>
        <w:t>Ninotsminda</w:t>
      </w:r>
      <w:r>
        <w:rPr>
          <w:rFonts w:hint="eastAsia"/>
        </w:rPr>
        <w:t>有一些亚美尼亚民间歌舞团。</w:t>
      </w:r>
    </w:p>
    <w:p w:rsidR="00000000" w:rsidRDefault="00000000">
      <w:pPr>
        <w:rPr>
          <w:rFonts w:hint="eastAsia"/>
        </w:rPr>
      </w:pPr>
      <w:r>
        <w:rPr>
          <w:rFonts w:hint="eastAsia"/>
        </w:rPr>
        <w:tab/>
        <w:t xml:space="preserve">250.  </w:t>
      </w:r>
      <w:r>
        <w:rPr>
          <w:rFonts w:hint="eastAsia"/>
        </w:rPr>
        <w:t>以下表格载列了关于报告所涉时期格鲁吉亚文化基础设施的存在和运作的统计数据。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8"/>
        <w:gridCol w:w="1754"/>
        <w:gridCol w:w="1754"/>
        <w:gridCol w:w="1755"/>
      </w:tblGrid>
      <w:tr w:rsidR="00000000">
        <w:tblPrEx>
          <w:tblCellMar>
            <w:top w:w="0" w:type="dxa"/>
            <w:bottom w:w="0" w:type="dxa"/>
          </w:tblCellMar>
        </w:tblPrEx>
        <w:tc>
          <w:tcPr>
            <w:tcW w:w="4308" w:type="dxa"/>
            <w:tcBorders>
              <w:bottom w:val="single" w:sz="4" w:space="0" w:color="auto"/>
            </w:tcBorders>
          </w:tcPr>
          <w:p w:rsidR="00000000" w:rsidRDefault="00000000">
            <w:pPr>
              <w:tabs>
                <w:tab w:val="left" w:pos="227"/>
              </w:tabs>
              <w:spacing w:before="60" w:line="320" w:lineRule="exact"/>
              <w:ind w:left="113" w:right="113"/>
              <w:jc w:val="center"/>
              <w:rPr>
                <w:rFonts w:hint="eastAsia"/>
                <w:spacing w:val="4"/>
                <w:sz w:val="21"/>
                <w:u w:val="single"/>
                <w:lang w:val="fr-CH"/>
              </w:rPr>
            </w:pPr>
          </w:p>
        </w:tc>
        <w:tc>
          <w:tcPr>
            <w:tcW w:w="1754" w:type="dxa"/>
            <w:tcBorders>
              <w:bottom w:val="single" w:sz="4" w:space="0" w:color="auto"/>
            </w:tcBorders>
          </w:tcPr>
          <w:p w:rsidR="00000000" w:rsidRDefault="00000000">
            <w:pPr>
              <w:tabs>
                <w:tab w:val="left" w:pos="227"/>
              </w:tabs>
              <w:spacing w:before="60" w:line="320" w:lineRule="exact"/>
              <w:ind w:left="113" w:right="113"/>
              <w:jc w:val="center"/>
              <w:rPr>
                <w:spacing w:val="4"/>
                <w:sz w:val="21"/>
                <w:u w:val="single"/>
                <w:lang w:val="fr-CH"/>
              </w:rPr>
            </w:pPr>
            <w:r>
              <w:rPr>
                <w:spacing w:val="4"/>
                <w:sz w:val="21"/>
                <w:u w:val="single"/>
                <w:lang w:val="fr-CH"/>
              </w:rPr>
              <w:t>1997</w:t>
            </w:r>
          </w:p>
        </w:tc>
        <w:tc>
          <w:tcPr>
            <w:tcW w:w="1754" w:type="dxa"/>
            <w:tcBorders>
              <w:bottom w:val="single" w:sz="4" w:space="0" w:color="auto"/>
            </w:tcBorders>
          </w:tcPr>
          <w:p w:rsidR="00000000" w:rsidRDefault="00000000">
            <w:pPr>
              <w:tabs>
                <w:tab w:val="left" w:pos="227"/>
              </w:tabs>
              <w:spacing w:before="60" w:line="320" w:lineRule="exact"/>
              <w:ind w:left="113" w:right="113"/>
              <w:jc w:val="center"/>
              <w:rPr>
                <w:spacing w:val="4"/>
                <w:sz w:val="21"/>
                <w:u w:val="single"/>
                <w:lang w:val="fr-CH"/>
              </w:rPr>
            </w:pPr>
            <w:r>
              <w:rPr>
                <w:spacing w:val="4"/>
                <w:sz w:val="21"/>
                <w:u w:val="single"/>
                <w:lang w:val="fr-CH"/>
              </w:rPr>
              <w:t>1998</w:t>
            </w:r>
          </w:p>
        </w:tc>
        <w:tc>
          <w:tcPr>
            <w:tcW w:w="1755" w:type="dxa"/>
            <w:tcBorders>
              <w:bottom w:val="single" w:sz="4" w:space="0" w:color="auto"/>
            </w:tcBorders>
          </w:tcPr>
          <w:p w:rsidR="00000000" w:rsidRDefault="00000000">
            <w:pPr>
              <w:tabs>
                <w:tab w:val="left" w:pos="227"/>
              </w:tabs>
              <w:spacing w:before="60" w:line="320" w:lineRule="exact"/>
              <w:ind w:left="113" w:right="113"/>
              <w:jc w:val="center"/>
              <w:rPr>
                <w:spacing w:val="4"/>
                <w:sz w:val="21"/>
                <w:u w:val="single"/>
              </w:rPr>
            </w:pPr>
            <w:r>
              <w:rPr>
                <w:spacing w:val="4"/>
                <w:sz w:val="21"/>
                <w:u w:val="single"/>
                <w:lang w:val="fr-CH"/>
              </w:rPr>
              <w:t>1999</w:t>
            </w:r>
          </w:p>
        </w:tc>
      </w:tr>
      <w:tr w:rsidR="00000000">
        <w:tblPrEx>
          <w:tblCellMar>
            <w:top w:w="0" w:type="dxa"/>
            <w:bottom w:w="0" w:type="dxa"/>
          </w:tblCellMar>
        </w:tblPrEx>
        <w:tc>
          <w:tcPr>
            <w:tcW w:w="4308" w:type="dxa"/>
            <w:tcBorders>
              <w:bottom w:val="nil"/>
            </w:tcBorders>
          </w:tcPr>
          <w:p w:rsidR="00000000" w:rsidRDefault="00000000">
            <w:pPr>
              <w:tabs>
                <w:tab w:val="left" w:pos="227"/>
              </w:tabs>
              <w:spacing w:before="60" w:line="320" w:lineRule="exact"/>
              <w:ind w:left="113" w:right="113"/>
              <w:rPr>
                <w:rFonts w:hint="eastAsia"/>
                <w:spacing w:val="4"/>
                <w:sz w:val="21"/>
                <w:lang w:val="fr-CH"/>
              </w:rPr>
            </w:pPr>
            <w:r>
              <w:rPr>
                <w:rFonts w:hint="eastAsia"/>
                <w:spacing w:val="4"/>
                <w:sz w:val="21"/>
                <w:lang w:val="fr-CH"/>
              </w:rPr>
              <w:t>博物馆</w:t>
            </w:r>
            <w:r>
              <w:rPr>
                <w:rFonts w:hint="eastAsia"/>
                <w:spacing w:val="4"/>
                <w:sz w:val="21"/>
                <w:lang w:val="fr-CH"/>
              </w:rPr>
              <w:t>(</w:t>
            </w:r>
            <w:r>
              <w:rPr>
                <w:rFonts w:hint="eastAsia"/>
                <w:spacing w:val="4"/>
                <w:sz w:val="21"/>
                <w:lang w:val="fr-CH"/>
              </w:rPr>
              <w:t>总数</w:t>
            </w:r>
            <w:r>
              <w:rPr>
                <w:rFonts w:hint="eastAsia"/>
                <w:spacing w:val="4"/>
                <w:sz w:val="21"/>
                <w:lang w:val="fr-CH"/>
              </w:rPr>
              <w:t>)</w:t>
            </w:r>
          </w:p>
        </w:tc>
        <w:tc>
          <w:tcPr>
            <w:tcW w:w="1754" w:type="dxa"/>
            <w:tcBorders>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96</w:t>
            </w:r>
          </w:p>
        </w:tc>
        <w:tc>
          <w:tcPr>
            <w:tcW w:w="1754" w:type="dxa"/>
            <w:tcBorders>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97</w:t>
            </w:r>
          </w:p>
        </w:tc>
        <w:tc>
          <w:tcPr>
            <w:tcW w:w="1755" w:type="dxa"/>
            <w:tcBorders>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98</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113" w:right="113"/>
              <w:rPr>
                <w:rFonts w:hint="eastAsia"/>
                <w:spacing w:val="4"/>
                <w:sz w:val="21"/>
                <w:lang w:val="fr-CH"/>
              </w:rPr>
            </w:pPr>
            <w:r>
              <w:rPr>
                <w:rFonts w:hint="eastAsia"/>
                <w:spacing w:val="4"/>
                <w:sz w:val="21"/>
                <w:lang w:val="fr-CH"/>
              </w:rPr>
              <w:t>其中</w:t>
            </w:r>
            <w:r>
              <w:rPr>
                <w:spacing w:val="4"/>
                <w:sz w:val="21"/>
                <w:lang w:val="fr-CH"/>
              </w:rPr>
              <w:t> </w:t>
            </w:r>
            <w:r>
              <w:rPr>
                <w:rFonts w:hint="eastAsia"/>
                <w:spacing w:val="4"/>
                <w:sz w:val="21"/>
                <w:lang w:val="fr-CH"/>
              </w:rPr>
              <w:t>：</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113" w:right="113"/>
              <w:rPr>
                <w:rFonts w:hint="eastAsia"/>
                <w:spacing w:val="4"/>
                <w:sz w:val="21"/>
                <w:lang w:val="fr-CH"/>
              </w:rPr>
            </w:pPr>
            <w:r>
              <w:rPr>
                <w:rFonts w:hint="eastAsia"/>
                <w:spacing w:val="4"/>
                <w:sz w:val="21"/>
                <w:lang w:val="fr-CH"/>
              </w:rPr>
              <w:t>历史</w:t>
            </w:r>
            <w:r>
              <w:rPr>
                <w:rFonts w:hint="eastAsia"/>
                <w:spacing w:val="4"/>
                <w:sz w:val="21"/>
                <w:lang w:val="fr-CH"/>
              </w:rPr>
              <w:t>/</w:t>
            </w:r>
            <w:r>
              <w:rPr>
                <w:rFonts w:hint="eastAsia"/>
                <w:spacing w:val="4"/>
                <w:sz w:val="21"/>
                <w:lang w:val="fr-CH"/>
              </w:rPr>
              <w:t>考古博物馆</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13</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12</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13</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113" w:right="113"/>
              <w:rPr>
                <w:rFonts w:hint="eastAsia"/>
                <w:spacing w:val="4"/>
                <w:sz w:val="21"/>
                <w:lang w:val="fr-CH"/>
              </w:rPr>
            </w:pPr>
            <w:r>
              <w:rPr>
                <w:rFonts w:hint="eastAsia"/>
                <w:spacing w:val="4"/>
                <w:sz w:val="21"/>
                <w:lang w:val="fr-CH"/>
              </w:rPr>
              <w:t>纪念博物馆</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32</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33</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34</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113" w:right="113"/>
              <w:rPr>
                <w:rFonts w:hint="eastAsia"/>
                <w:spacing w:val="4"/>
                <w:sz w:val="21"/>
                <w:lang w:val="fr-CH"/>
              </w:rPr>
            </w:pPr>
            <w:r>
              <w:rPr>
                <w:rFonts w:hint="eastAsia"/>
                <w:spacing w:val="4"/>
                <w:sz w:val="21"/>
                <w:lang w:val="fr-CH"/>
              </w:rPr>
              <w:t>地区名胜博物馆</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36</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36</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35</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113" w:right="113"/>
              <w:rPr>
                <w:rFonts w:hint="eastAsia"/>
                <w:spacing w:val="4"/>
                <w:sz w:val="21"/>
                <w:lang w:val="fr-CH"/>
              </w:rPr>
            </w:pPr>
            <w:r>
              <w:rPr>
                <w:rFonts w:hint="eastAsia"/>
                <w:spacing w:val="4"/>
                <w:sz w:val="21"/>
                <w:lang w:val="fr-CH"/>
              </w:rPr>
              <w:t>艺术博物馆</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11</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12</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11</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113" w:right="113"/>
              <w:rPr>
                <w:rFonts w:hint="eastAsia"/>
                <w:spacing w:val="4"/>
                <w:sz w:val="21"/>
                <w:lang w:val="fr-CH"/>
              </w:rPr>
            </w:pPr>
            <w:r>
              <w:rPr>
                <w:rFonts w:hint="eastAsia"/>
                <w:spacing w:val="4"/>
                <w:sz w:val="21"/>
                <w:lang w:val="fr-CH"/>
              </w:rPr>
              <w:t>文学博物馆</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113" w:right="113"/>
              <w:rPr>
                <w:rFonts w:hint="eastAsia"/>
                <w:spacing w:val="4"/>
                <w:sz w:val="21"/>
                <w:lang w:val="fr-CH"/>
              </w:rPr>
            </w:pPr>
            <w:r>
              <w:rPr>
                <w:rFonts w:hint="eastAsia"/>
                <w:spacing w:val="4"/>
                <w:sz w:val="21"/>
                <w:lang w:val="fr-CH"/>
              </w:rPr>
              <w:t>工业遗产博物馆</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113" w:right="113"/>
              <w:rPr>
                <w:rFonts w:hint="eastAsia"/>
                <w:spacing w:val="4"/>
                <w:sz w:val="21"/>
                <w:lang w:val="fr-CH"/>
              </w:rPr>
            </w:pPr>
            <w:r>
              <w:rPr>
                <w:rFonts w:hint="eastAsia"/>
                <w:spacing w:val="4"/>
                <w:sz w:val="21"/>
                <w:lang w:val="fr-CH"/>
              </w:rPr>
              <w:t>参观人数</w:t>
            </w:r>
            <w:r>
              <w:rPr>
                <w:rFonts w:hint="eastAsia"/>
                <w:spacing w:val="4"/>
                <w:sz w:val="21"/>
                <w:lang w:val="fr-CH"/>
              </w:rPr>
              <w:t>(</w:t>
            </w:r>
            <w:r>
              <w:rPr>
                <w:rFonts w:hint="eastAsia"/>
                <w:spacing w:val="4"/>
                <w:sz w:val="21"/>
                <w:lang w:val="fr-CH"/>
              </w:rPr>
              <w:t>以千计</w:t>
            </w:r>
            <w:r>
              <w:rPr>
                <w:rFonts w:hint="eastAsia"/>
                <w:spacing w:val="4"/>
                <w:sz w:val="21"/>
                <w:lang w:val="fr-CH"/>
              </w:rPr>
              <w:t>)</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368.4</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324.1</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326.4</w:t>
            </w:r>
          </w:p>
        </w:tc>
      </w:tr>
      <w:tr w:rsidR="00000000">
        <w:tblPrEx>
          <w:tblCellMar>
            <w:top w:w="0" w:type="dxa"/>
            <w:bottom w:w="0" w:type="dxa"/>
          </w:tblCellMar>
        </w:tblPrEx>
        <w:tc>
          <w:tcPr>
            <w:tcW w:w="4308" w:type="dxa"/>
            <w:tcBorders>
              <w:top w:val="nil"/>
            </w:tcBorders>
          </w:tcPr>
          <w:p w:rsidR="00000000" w:rsidRDefault="00000000">
            <w:pPr>
              <w:tabs>
                <w:tab w:val="left" w:pos="227"/>
              </w:tabs>
              <w:spacing w:before="60" w:line="320" w:lineRule="exact"/>
              <w:ind w:left="113" w:right="113"/>
              <w:rPr>
                <w:rFonts w:hint="eastAsia"/>
                <w:spacing w:val="4"/>
                <w:sz w:val="21"/>
                <w:lang w:val="fr-CH"/>
              </w:rPr>
            </w:pPr>
            <w:r>
              <w:rPr>
                <w:rFonts w:hint="eastAsia"/>
                <w:spacing w:val="4"/>
                <w:sz w:val="21"/>
                <w:lang w:val="fr-CH"/>
              </w:rPr>
              <w:t>展览会次数</w:t>
            </w:r>
          </w:p>
        </w:tc>
        <w:tc>
          <w:tcPr>
            <w:tcW w:w="1754" w:type="dxa"/>
            <w:tcBorders>
              <w:top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363</w:t>
            </w:r>
          </w:p>
        </w:tc>
        <w:tc>
          <w:tcPr>
            <w:tcW w:w="1754" w:type="dxa"/>
            <w:tcBorders>
              <w:top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337</w:t>
            </w:r>
          </w:p>
        </w:tc>
        <w:tc>
          <w:tcPr>
            <w:tcW w:w="1755" w:type="dxa"/>
            <w:tcBorders>
              <w:top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385</w:t>
            </w:r>
          </w:p>
        </w:tc>
      </w:tr>
    </w:tbl>
    <w:p w:rsidR="00000000" w:rsidRDefault="00000000">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8"/>
        <w:gridCol w:w="1754"/>
        <w:gridCol w:w="1754"/>
        <w:gridCol w:w="1755"/>
      </w:tblGrid>
      <w:tr w:rsidR="00000000">
        <w:tblPrEx>
          <w:tblCellMar>
            <w:top w:w="0" w:type="dxa"/>
            <w:bottom w:w="0" w:type="dxa"/>
          </w:tblCellMar>
        </w:tblPrEx>
        <w:tc>
          <w:tcPr>
            <w:tcW w:w="4308" w:type="dxa"/>
            <w:tcBorders>
              <w:bottom w:val="single" w:sz="4" w:space="0" w:color="auto"/>
            </w:tcBorders>
          </w:tcPr>
          <w:p w:rsidR="00000000" w:rsidRDefault="00000000">
            <w:pPr>
              <w:tabs>
                <w:tab w:val="left" w:pos="227"/>
              </w:tabs>
              <w:spacing w:before="60" w:line="320" w:lineRule="exact"/>
              <w:ind w:left="57" w:right="57"/>
              <w:rPr>
                <w:rFonts w:hint="eastAsia"/>
                <w:spacing w:val="4"/>
                <w:sz w:val="21"/>
                <w:u w:val="single"/>
                <w:lang w:val="fr-CH"/>
              </w:rPr>
            </w:pPr>
          </w:p>
        </w:tc>
        <w:tc>
          <w:tcPr>
            <w:tcW w:w="1754" w:type="dxa"/>
            <w:tcBorders>
              <w:bottom w:val="single" w:sz="4" w:space="0" w:color="auto"/>
            </w:tcBorders>
          </w:tcPr>
          <w:p w:rsidR="00000000" w:rsidRDefault="00000000">
            <w:pPr>
              <w:tabs>
                <w:tab w:val="left" w:pos="227"/>
              </w:tabs>
              <w:spacing w:before="60" w:line="320" w:lineRule="exact"/>
              <w:ind w:left="57" w:right="57"/>
              <w:jc w:val="center"/>
              <w:rPr>
                <w:spacing w:val="4"/>
                <w:sz w:val="21"/>
                <w:u w:val="single"/>
                <w:lang w:val="fr-CH"/>
              </w:rPr>
            </w:pPr>
            <w:r>
              <w:rPr>
                <w:spacing w:val="4"/>
                <w:sz w:val="21"/>
                <w:u w:val="single"/>
                <w:lang w:val="fr-CH"/>
              </w:rPr>
              <w:t>1997</w:t>
            </w:r>
          </w:p>
        </w:tc>
        <w:tc>
          <w:tcPr>
            <w:tcW w:w="1754" w:type="dxa"/>
            <w:tcBorders>
              <w:bottom w:val="single" w:sz="4" w:space="0" w:color="auto"/>
            </w:tcBorders>
          </w:tcPr>
          <w:p w:rsidR="00000000" w:rsidRDefault="00000000">
            <w:pPr>
              <w:tabs>
                <w:tab w:val="left" w:pos="227"/>
              </w:tabs>
              <w:spacing w:before="60" w:line="320" w:lineRule="exact"/>
              <w:ind w:left="57" w:right="57"/>
              <w:jc w:val="center"/>
              <w:rPr>
                <w:spacing w:val="4"/>
                <w:sz w:val="21"/>
                <w:u w:val="single"/>
                <w:lang w:val="fr-CH"/>
              </w:rPr>
            </w:pPr>
            <w:r>
              <w:rPr>
                <w:spacing w:val="4"/>
                <w:sz w:val="21"/>
                <w:u w:val="single"/>
                <w:lang w:val="fr-CH"/>
              </w:rPr>
              <w:t>1998</w:t>
            </w:r>
          </w:p>
        </w:tc>
        <w:tc>
          <w:tcPr>
            <w:tcW w:w="1755" w:type="dxa"/>
            <w:tcBorders>
              <w:bottom w:val="single" w:sz="4" w:space="0" w:color="auto"/>
            </w:tcBorders>
          </w:tcPr>
          <w:p w:rsidR="00000000" w:rsidRDefault="00000000">
            <w:pPr>
              <w:tabs>
                <w:tab w:val="left" w:pos="227"/>
              </w:tabs>
              <w:spacing w:before="60" w:line="320" w:lineRule="exact"/>
              <w:ind w:left="57" w:right="57"/>
              <w:jc w:val="center"/>
              <w:rPr>
                <w:spacing w:val="4"/>
                <w:sz w:val="21"/>
                <w:u w:val="single"/>
              </w:rPr>
            </w:pPr>
            <w:r>
              <w:rPr>
                <w:spacing w:val="4"/>
                <w:sz w:val="21"/>
                <w:u w:val="single"/>
                <w:lang w:val="fr-CH"/>
              </w:rPr>
              <w:t>1999</w:t>
            </w:r>
          </w:p>
        </w:tc>
      </w:tr>
      <w:tr w:rsidR="00000000">
        <w:tblPrEx>
          <w:tblCellMar>
            <w:top w:w="0" w:type="dxa"/>
            <w:bottom w:w="0" w:type="dxa"/>
          </w:tblCellMar>
        </w:tblPrEx>
        <w:tc>
          <w:tcPr>
            <w:tcW w:w="4308" w:type="dxa"/>
            <w:tcBorders>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公共图书馆</w:t>
            </w:r>
          </w:p>
        </w:tc>
        <w:tc>
          <w:tcPr>
            <w:tcW w:w="1754" w:type="dxa"/>
            <w:tcBorders>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2,425</w:t>
            </w:r>
          </w:p>
        </w:tc>
        <w:tc>
          <w:tcPr>
            <w:tcW w:w="1754" w:type="dxa"/>
            <w:tcBorders>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2,301</w:t>
            </w:r>
          </w:p>
        </w:tc>
        <w:tc>
          <w:tcPr>
            <w:tcW w:w="1755" w:type="dxa"/>
            <w:tcBorders>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2,251</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读者人数</w:t>
            </w:r>
            <w:r>
              <w:rPr>
                <w:rFonts w:hint="eastAsia"/>
                <w:spacing w:val="4"/>
                <w:sz w:val="21"/>
                <w:lang w:val="fr-CH"/>
              </w:rPr>
              <w:t>(</w:t>
            </w:r>
            <w:r>
              <w:rPr>
                <w:rFonts w:hint="eastAsia"/>
                <w:spacing w:val="4"/>
                <w:sz w:val="21"/>
                <w:lang w:val="fr-CH"/>
              </w:rPr>
              <w:t>以千计</w:t>
            </w:r>
            <w:r>
              <w:rPr>
                <w:rFonts w:hint="eastAsia"/>
                <w:spacing w:val="4"/>
                <w:sz w:val="21"/>
                <w:lang w:val="fr-CH"/>
              </w:rPr>
              <w:t>)</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2,191.5</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2,753.3</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2,480.3</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每个图书馆平均读者人数</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903.7</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1,196.6</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1,101.9</w:t>
            </w:r>
          </w:p>
        </w:tc>
      </w:tr>
      <w:tr w:rsidR="00000000">
        <w:tblPrEx>
          <w:tblCellMar>
            <w:top w:w="0" w:type="dxa"/>
            <w:bottom w:w="0" w:type="dxa"/>
          </w:tblCellMar>
        </w:tblPrEx>
        <w:tc>
          <w:tcPr>
            <w:tcW w:w="4308" w:type="dxa"/>
            <w:tcBorders>
              <w:top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书籍数目</w:t>
            </w:r>
            <w:r>
              <w:rPr>
                <w:rFonts w:hint="eastAsia"/>
                <w:spacing w:val="4"/>
                <w:sz w:val="21"/>
                <w:lang w:val="fr-CH"/>
              </w:rPr>
              <w:t>(</w:t>
            </w:r>
            <w:r>
              <w:rPr>
                <w:rFonts w:hint="eastAsia"/>
                <w:spacing w:val="4"/>
                <w:sz w:val="21"/>
                <w:lang w:val="fr-CH"/>
              </w:rPr>
              <w:t>以百万计</w:t>
            </w:r>
            <w:r>
              <w:rPr>
                <w:rFonts w:hint="eastAsia"/>
                <w:spacing w:val="4"/>
                <w:sz w:val="21"/>
                <w:lang w:val="fr-CH"/>
              </w:rPr>
              <w:t>)</w:t>
            </w:r>
          </w:p>
        </w:tc>
        <w:tc>
          <w:tcPr>
            <w:tcW w:w="1754" w:type="dxa"/>
            <w:tcBorders>
              <w:top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25.9</w:t>
            </w:r>
          </w:p>
        </w:tc>
        <w:tc>
          <w:tcPr>
            <w:tcW w:w="1754" w:type="dxa"/>
            <w:tcBorders>
              <w:top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24.5</w:t>
            </w:r>
          </w:p>
        </w:tc>
        <w:tc>
          <w:tcPr>
            <w:tcW w:w="1755" w:type="dxa"/>
            <w:tcBorders>
              <w:top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31.6</w:t>
            </w:r>
          </w:p>
        </w:tc>
      </w:tr>
    </w:tbl>
    <w:p w:rsidR="00000000" w:rsidRDefault="00000000">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8"/>
        <w:gridCol w:w="1754"/>
        <w:gridCol w:w="1754"/>
        <w:gridCol w:w="1755"/>
      </w:tblGrid>
      <w:tr w:rsidR="00000000">
        <w:tblPrEx>
          <w:tblCellMar>
            <w:top w:w="0" w:type="dxa"/>
            <w:bottom w:w="0" w:type="dxa"/>
          </w:tblCellMar>
        </w:tblPrEx>
        <w:tc>
          <w:tcPr>
            <w:tcW w:w="4308" w:type="dxa"/>
            <w:tcBorders>
              <w:bottom w:val="single" w:sz="4" w:space="0" w:color="auto"/>
            </w:tcBorders>
          </w:tcPr>
          <w:p w:rsidR="00000000" w:rsidRDefault="00000000">
            <w:pPr>
              <w:tabs>
                <w:tab w:val="left" w:pos="227"/>
              </w:tabs>
              <w:spacing w:before="60" w:line="320" w:lineRule="exact"/>
              <w:ind w:left="57" w:right="57"/>
              <w:rPr>
                <w:rFonts w:hint="eastAsia"/>
                <w:spacing w:val="4"/>
                <w:sz w:val="21"/>
                <w:u w:val="single"/>
                <w:lang w:val="fr-CH"/>
              </w:rPr>
            </w:pPr>
          </w:p>
        </w:tc>
        <w:tc>
          <w:tcPr>
            <w:tcW w:w="1754" w:type="dxa"/>
            <w:tcBorders>
              <w:bottom w:val="single" w:sz="4" w:space="0" w:color="auto"/>
            </w:tcBorders>
          </w:tcPr>
          <w:p w:rsidR="00000000" w:rsidRDefault="00000000">
            <w:pPr>
              <w:tabs>
                <w:tab w:val="left" w:pos="227"/>
              </w:tabs>
              <w:spacing w:before="60" w:line="320" w:lineRule="exact"/>
              <w:ind w:left="57" w:right="57"/>
              <w:jc w:val="center"/>
              <w:rPr>
                <w:spacing w:val="4"/>
                <w:sz w:val="21"/>
                <w:u w:val="single"/>
                <w:lang w:val="fr-CH"/>
              </w:rPr>
            </w:pPr>
            <w:r>
              <w:rPr>
                <w:spacing w:val="4"/>
                <w:sz w:val="21"/>
                <w:u w:val="single"/>
                <w:lang w:val="fr-CH"/>
              </w:rPr>
              <w:t>1997</w:t>
            </w:r>
          </w:p>
        </w:tc>
        <w:tc>
          <w:tcPr>
            <w:tcW w:w="1754" w:type="dxa"/>
            <w:tcBorders>
              <w:bottom w:val="single" w:sz="4" w:space="0" w:color="auto"/>
            </w:tcBorders>
          </w:tcPr>
          <w:p w:rsidR="00000000" w:rsidRDefault="00000000">
            <w:pPr>
              <w:tabs>
                <w:tab w:val="left" w:pos="227"/>
              </w:tabs>
              <w:spacing w:before="60" w:line="320" w:lineRule="exact"/>
              <w:ind w:left="57" w:right="57"/>
              <w:jc w:val="center"/>
              <w:rPr>
                <w:spacing w:val="4"/>
                <w:sz w:val="21"/>
                <w:u w:val="single"/>
                <w:lang w:val="fr-CH"/>
              </w:rPr>
            </w:pPr>
            <w:r>
              <w:rPr>
                <w:spacing w:val="4"/>
                <w:sz w:val="21"/>
                <w:u w:val="single"/>
                <w:lang w:val="fr-CH"/>
              </w:rPr>
              <w:t>1998</w:t>
            </w:r>
          </w:p>
        </w:tc>
        <w:tc>
          <w:tcPr>
            <w:tcW w:w="1755" w:type="dxa"/>
            <w:tcBorders>
              <w:bottom w:val="single" w:sz="4" w:space="0" w:color="auto"/>
            </w:tcBorders>
          </w:tcPr>
          <w:p w:rsidR="00000000" w:rsidRDefault="00000000">
            <w:pPr>
              <w:tabs>
                <w:tab w:val="left" w:pos="227"/>
              </w:tabs>
              <w:spacing w:before="60" w:line="320" w:lineRule="exact"/>
              <w:ind w:left="57" w:right="57"/>
              <w:jc w:val="center"/>
              <w:rPr>
                <w:spacing w:val="4"/>
                <w:sz w:val="21"/>
                <w:u w:val="single"/>
              </w:rPr>
            </w:pPr>
            <w:r>
              <w:rPr>
                <w:spacing w:val="4"/>
                <w:sz w:val="21"/>
                <w:u w:val="single"/>
                <w:lang w:val="fr-CH"/>
              </w:rPr>
              <w:t>1999</w:t>
            </w:r>
          </w:p>
        </w:tc>
      </w:tr>
      <w:tr w:rsidR="00000000">
        <w:tblPrEx>
          <w:tblCellMar>
            <w:top w:w="0" w:type="dxa"/>
            <w:bottom w:w="0" w:type="dxa"/>
          </w:tblCellMar>
        </w:tblPrEx>
        <w:tc>
          <w:tcPr>
            <w:tcW w:w="4308" w:type="dxa"/>
            <w:tcBorders>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专业性剧院</w:t>
            </w:r>
            <w:r>
              <w:rPr>
                <w:rFonts w:hint="eastAsia"/>
                <w:spacing w:val="4"/>
                <w:sz w:val="21"/>
                <w:lang w:val="fr-CH"/>
              </w:rPr>
              <w:t>(</w:t>
            </w:r>
            <w:r>
              <w:rPr>
                <w:rFonts w:hint="eastAsia"/>
                <w:spacing w:val="4"/>
                <w:sz w:val="21"/>
                <w:lang w:val="fr-CH"/>
              </w:rPr>
              <w:t>总数</w:t>
            </w:r>
            <w:r>
              <w:rPr>
                <w:rFonts w:hint="eastAsia"/>
                <w:spacing w:val="4"/>
                <w:sz w:val="21"/>
                <w:lang w:val="fr-CH"/>
              </w:rPr>
              <w:t>)</w:t>
            </w:r>
          </w:p>
        </w:tc>
        <w:tc>
          <w:tcPr>
            <w:tcW w:w="1754" w:type="dxa"/>
            <w:tcBorders>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32</w:t>
            </w:r>
          </w:p>
        </w:tc>
        <w:tc>
          <w:tcPr>
            <w:tcW w:w="1754" w:type="dxa"/>
            <w:tcBorders>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32</w:t>
            </w:r>
          </w:p>
        </w:tc>
        <w:tc>
          <w:tcPr>
            <w:tcW w:w="1755" w:type="dxa"/>
            <w:tcBorders>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32</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其中</w:t>
            </w:r>
            <w:r>
              <w:rPr>
                <w:spacing w:val="4"/>
                <w:sz w:val="21"/>
                <w:lang w:val="fr-CH"/>
              </w:rPr>
              <w:t> </w:t>
            </w:r>
            <w:r>
              <w:rPr>
                <w:rFonts w:hint="eastAsia"/>
                <w:spacing w:val="4"/>
                <w:sz w:val="21"/>
                <w:lang w:val="fr-CH"/>
              </w:rPr>
              <w:t>：</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歌剧院和芭蕾舞剧院</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戏剧、音乐剧、短剧剧院等</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22</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22</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22</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儿童剧院</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木偶剧院</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6</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6</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6</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观众人数</w:t>
            </w:r>
            <w:r>
              <w:rPr>
                <w:rFonts w:hint="eastAsia"/>
                <w:spacing w:val="4"/>
                <w:sz w:val="21"/>
                <w:lang w:val="fr-CH"/>
              </w:rPr>
              <w:t>(</w:t>
            </w:r>
            <w:r>
              <w:rPr>
                <w:rFonts w:hint="eastAsia"/>
                <w:spacing w:val="4"/>
                <w:sz w:val="21"/>
                <w:lang w:val="fr-CH"/>
              </w:rPr>
              <w:t>以千计</w:t>
            </w:r>
            <w:r>
              <w:rPr>
                <w:rFonts w:hint="eastAsia"/>
                <w:spacing w:val="4"/>
                <w:sz w:val="21"/>
                <w:lang w:val="fr-CH"/>
              </w:rPr>
              <w:t>)</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479.0</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421.6</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352.6</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演出场数</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2,686</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1,995</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2,206</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座位数目</w:t>
            </w:r>
            <w:r>
              <w:rPr>
                <w:rFonts w:hint="eastAsia"/>
                <w:spacing w:val="4"/>
                <w:sz w:val="21"/>
                <w:lang w:val="fr-CH"/>
              </w:rPr>
              <w:t>(</w:t>
            </w:r>
            <w:r>
              <w:rPr>
                <w:rFonts w:hint="eastAsia"/>
                <w:spacing w:val="4"/>
                <w:sz w:val="21"/>
                <w:lang w:val="fr-CH"/>
              </w:rPr>
              <w:t>以千计</w:t>
            </w:r>
            <w:r>
              <w:rPr>
                <w:rFonts w:hint="eastAsia"/>
                <w:spacing w:val="4"/>
                <w:sz w:val="21"/>
                <w:lang w:val="fr-CH"/>
              </w:rPr>
              <w:t>)</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14.4</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14.0</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14.6</w:t>
            </w:r>
          </w:p>
        </w:tc>
      </w:tr>
      <w:tr w:rsidR="00000000">
        <w:tblPrEx>
          <w:tblCellMar>
            <w:top w:w="0" w:type="dxa"/>
            <w:bottom w:w="0" w:type="dxa"/>
          </w:tblCellMar>
        </w:tblPrEx>
        <w:tc>
          <w:tcPr>
            <w:tcW w:w="4308" w:type="dxa"/>
            <w:tcBorders>
              <w:top w:val="nil"/>
              <w:bottom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新的演出</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75</w:t>
            </w:r>
          </w:p>
        </w:tc>
        <w:tc>
          <w:tcPr>
            <w:tcW w:w="1754"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73</w:t>
            </w:r>
          </w:p>
        </w:tc>
        <w:tc>
          <w:tcPr>
            <w:tcW w:w="1755" w:type="dxa"/>
            <w:tcBorders>
              <w:top w:val="nil"/>
              <w:bottom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51</w:t>
            </w:r>
          </w:p>
        </w:tc>
      </w:tr>
      <w:tr w:rsidR="00000000">
        <w:tblPrEx>
          <w:tblCellMar>
            <w:top w:w="0" w:type="dxa"/>
            <w:bottom w:w="0" w:type="dxa"/>
          </w:tblCellMar>
        </w:tblPrEx>
        <w:tc>
          <w:tcPr>
            <w:tcW w:w="4308" w:type="dxa"/>
            <w:tcBorders>
              <w:top w:val="nil"/>
            </w:tcBorders>
          </w:tcPr>
          <w:p w:rsidR="00000000" w:rsidRDefault="00000000">
            <w:pPr>
              <w:tabs>
                <w:tab w:val="left" w:pos="227"/>
              </w:tabs>
              <w:spacing w:before="60" w:line="320" w:lineRule="exact"/>
              <w:ind w:left="57" w:right="57"/>
              <w:rPr>
                <w:rFonts w:hint="eastAsia"/>
                <w:spacing w:val="4"/>
                <w:sz w:val="21"/>
                <w:lang w:val="fr-CH"/>
              </w:rPr>
            </w:pPr>
            <w:r>
              <w:rPr>
                <w:rFonts w:hint="eastAsia"/>
                <w:spacing w:val="4"/>
                <w:sz w:val="21"/>
                <w:lang w:val="fr-CH"/>
              </w:rPr>
              <w:t>每场演出平均观众人数</w:t>
            </w:r>
            <w:r>
              <w:rPr>
                <w:rFonts w:hint="eastAsia"/>
                <w:spacing w:val="4"/>
                <w:sz w:val="21"/>
                <w:lang w:val="fr-CH"/>
              </w:rPr>
              <w:t>(</w:t>
            </w:r>
            <w:r>
              <w:rPr>
                <w:rFonts w:hint="eastAsia"/>
                <w:spacing w:val="4"/>
                <w:sz w:val="21"/>
                <w:lang w:val="fr-CH"/>
              </w:rPr>
              <w:t>以千计</w:t>
            </w:r>
            <w:r>
              <w:rPr>
                <w:rFonts w:hint="eastAsia"/>
                <w:spacing w:val="4"/>
                <w:sz w:val="21"/>
                <w:lang w:val="fr-CH"/>
              </w:rPr>
              <w:t>)</w:t>
            </w:r>
          </w:p>
        </w:tc>
        <w:tc>
          <w:tcPr>
            <w:tcW w:w="1754" w:type="dxa"/>
            <w:tcBorders>
              <w:top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0.2</w:t>
            </w:r>
          </w:p>
        </w:tc>
        <w:tc>
          <w:tcPr>
            <w:tcW w:w="1754" w:type="dxa"/>
            <w:tcBorders>
              <w:top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0.2</w:t>
            </w:r>
          </w:p>
        </w:tc>
        <w:tc>
          <w:tcPr>
            <w:tcW w:w="1755" w:type="dxa"/>
            <w:tcBorders>
              <w:top w:val="nil"/>
            </w:tcBorders>
          </w:tcPr>
          <w:p w:rsidR="00000000" w:rsidRDefault="00000000">
            <w:pPr>
              <w:tabs>
                <w:tab w:val="decimal" w:pos="972"/>
              </w:tabs>
              <w:spacing w:before="60" w:line="320" w:lineRule="exact"/>
              <w:ind w:left="113" w:right="113"/>
              <w:rPr>
                <w:rFonts w:hint="eastAsia"/>
                <w:spacing w:val="4"/>
                <w:sz w:val="21"/>
                <w:lang w:val="fr-CH"/>
              </w:rPr>
            </w:pPr>
            <w:r>
              <w:rPr>
                <w:rFonts w:hint="eastAsia"/>
                <w:spacing w:val="4"/>
                <w:sz w:val="21"/>
                <w:lang w:val="fr-CH"/>
              </w:rPr>
              <w:t>0.2</w:t>
            </w:r>
          </w:p>
        </w:tc>
      </w:tr>
    </w:tbl>
    <w:p w:rsidR="00000000" w:rsidRDefault="00000000">
      <w:pPr>
        <w:rPr>
          <w:rFonts w:hint="eastAsia"/>
          <w:lang w:val="fr-CH"/>
        </w:rPr>
      </w:pPr>
    </w:p>
    <w:p w:rsidR="00000000" w:rsidRDefault="00000000">
      <w:pPr>
        <w:rPr>
          <w:rFonts w:hint="eastAsia"/>
          <w:lang w:val="fr-CH"/>
        </w:rPr>
      </w:pPr>
      <w:r>
        <w:rPr>
          <w:rFonts w:hint="eastAsia"/>
          <w:lang w:val="fr-CH"/>
        </w:rPr>
        <w:tab/>
        <w:t xml:space="preserve">251.  </w:t>
      </w:r>
      <w:r>
        <w:rPr>
          <w:rFonts w:hint="eastAsia"/>
          <w:lang w:val="fr-CH"/>
        </w:rPr>
        <w:t>格鲁吉亚敏感地关注少数群体文化和这些文化的著名代表作。以下事例将证明这一点。</w:t>
      </w:r>
    </w:p>
    <w:p w:rsidR="00000000" w:rsidRDefault="00000000">
      <w:pPr>
        <w:rPr>
          <w:rFonts w:hint="eastAsia"/>
        </w:rPr>
      </w:pPr>
      <w:r>
        <w:rPr>
          <w:rFonts w:hint="eastAsia"/>
        </w:rPr>
        <w:tab/>
        <w:t>25</w:t>
      </w:r>
      <w:r>
        <w:t>2.</w:t>
      </w:r>
      <w:r>
        <w:rPr>
          <w:rFonts w:hint="eastAsia"/>
        </w:rPr>
        <w:t xml:space="preserve">  </w:t>
      </w:r>
      <w:r>
        <w:rPr>
          <w:rFonts w:hint="eastAsia"/>
        </w:rPr>
        <w:t>为了纪念亚历山大·普希金诞辰</w:t>
      </w:r>
      <w:r>
        <w:rPr>
          <w:rFonts w:hint="eastAsia"/>
        </w:rPr>
        <w:t>200</w:t>
      </w:r>
      <w:r>
        <w:rPr>
          <w:rFonts w:hint="eastAsia"/>
        </w:rPr>
        <w:t>周年</w:t>
      </w:r>
      <w:r>
        <w:rPr>
          <w:rFonts w:hint="eastAsia"/>
        </w:rPr>
        <w:t>(</w:t>
      </w:r>
      <w:r>
        <w:rPr>
          <w:rFonts w:hint="eastAsia"/>
        </w:rPr>
        <w:t>第比利斯有一座普希金纪念博物馆</w:t>
      </w:r>
      <w:r>
        <w:rPr>
          <w:rFonts w:hint="eastAsia"/>
        </w:rPr>
        <w:t>)</w:t>
      </w:r>
      <w:r>
        <w:rPr>
          <w:rFonts w:hint="eastAsia"/>
        </w:rPr>
        <w:t>，国家艺术馆和文学博物馆展出了与这位伟大的俄罗斯诗人的一生有关的档案材料和绘画。在第比利斯组织了一次国际会议来庆祝普希金纪念日。</w:t>
      </w:r>
    </w:p>
    <w:p w:rsidR="00000000" w:rsidRDefault="00000000">
      <w:r>
        <w:rPr>
          <w:rFonts w:hint="eastAsia"/>
        </w:rPr>
        <w:tab/>
        <w:t>25</w:t>
      </w:r>
      <w:r>
        <w:t>3.</w:t>
      </w:r>
      <w:r>
        <w:rPr>
          <w:rFonts w:hint="eastAsia"/>
        </w:rPr>
        <w:t xml:space="preserve">  2000</w:t>
      </w:r>
      <w:r>
        <w:rPr>
          <w:rFonts w:hint="eastAsia"/>
        </w:rPr>
        <w:t>年，举行了一次展览会，展出了旅居格鲁吉亚的著名美国艺术家和电影导演</w:t>
      </w:r>
      <w:r>
        <w:t>Sergei Parajanov</w:t>
      </w:r>
      <w:r>
        <w:rPr>
          <w:rFonts w:hint="eastAsia"/>
        </w:rPr>
        <w:t>的作品。同一年还组织了纪念帕斯捷尔纳克一生的活动，包括出版他的著作《笔记》</w:t>
      </w:r>
      <w:r>
        <w:rPr>
          <w:rFonts w:hint="eastAsia"/>
        </w:rPr>
        <w:t>(</w:t>
      </w:r>
      <w:r>
        <w:t>Notebook)</w:t>
      </w:r>
      <w:r>
        <w:rPr>
          <w:rFonts w:hint="eastAsia"/>
        </w:rPr>
        <w:t>。</w:t>
      </w:r>
    </w:p>
    <w:p w:rsidR="00000000" w:rsidRDefault="00000000">
      <w:pPr>
        <w:rPr>
          <w:rFonts w:hint="eastAsia"/>
        </w:rPr>
      </w:pPr>
      <w:r>
        <w:rPr>
          <w:rFonts w:hint="eastAsia"/>
        </w:rPr>
        <w:tab/>
        <w:t xml:space="preserve">254.  </w:t>
      </w:r>
      <w:r>
        <w:rPr>
          <w:rFonts w:hint="eastAsia"/>
        </w:rPr>
        <w:t>国家民间装潢艺术博物馆组织了一次展览会，纪念拉脱维亚艺术家</w:t>
      </w:r>
      <w:r>
        <w:t>Janis Straume</w:t>
      </w:r>
      <w:r>
        <w:rPr>
          <w:rFonts w:hint="eastAsia"/>
        </w:rPr>
        <w:t>诞辰</w:t>
      </w:r>
      <w:r>
        <w:rPr>
          <w:rFonts w:hint="eastAsia"/>
        </w:rPr>
        <w:t>100</w:t>
      </w:r>
      <w:r>
        <w:rPr>
          <w:rFonts w:hint="eastAsia"/>
        </w:rPr>
        <w:t>周年。这次展览会是在拉脱维亚的同人合作下组织起来的，除此之外，还组织了一次研讨会来庆祝这一周年纪念。</w:t>
      </w:r>
    </w:p>
    <w:p w:rsidR="00000000" w:rsidRDefault="00000000">
      <w:pPr>
        <w:rPr>
          <w:rFonts w:hint="eastAsia"/>
        </w:rPr>
      </w:pPr>
      <w:r>
        <w:rPr>
          <w:rFonts w:hint="eastAsia"/>
        </w:rPr>
        <w:tab/>
        <w:t xml:space="preserve">255.  </w:t>
      </w:r>
      <w:r>
        <w:rPr>
          <w:rFonts w:hint="eastAsia"/>
        </w:rPr>
        <w:t>在</w:t>
      </w:r>
      <w:r>
        <w:t>Marneuli</w:t>
      </w:r>
      <w:r>
        <w:rPr>
          <w:rFonts w:hint="eastAsia"/>
        </w:rPr>
        <w:t>地区的作曲家之家开办了一个著名美国指挥</w:t>
      </w:r>
      <w:r>
        <w:t>Aleksandr Melnik-Pashaey</w:t>
      </w:r>
      <w:r>
        <w:rPr>
          <w:rFonts w:hint="eastAsia"/>
        </w:rPr>
        <w:t>专门博物馆，作为经常举办音乐会和纪念性晚会活动的一个场所。</w:t>
      </w:r>
      <w:r>
        <w:t>Bagdadi</w:t>
      </w:r>
      <w:r>
        <w:rPr>
          <w:rFonts w:hint="eastAsia"/>
        </w:rPr>
        <w:t>诗人之家中的马雅可夫斯基博物馆形成了一种举办该诗人崇拜者座谈会的传统。</w:t>
      </w:r>
    </w:p>
    <w:p w:rsidR="00000000" w:rsidRDefault="00000000">
      <w:pPr>
        <w:rPr>
          <w:rFonts w:hint="eastAsia"/>
        </w:rPr>
      </w:pPr>
      <w:r>
        <w:rPr>
          <w:rFonts w:hint="eastAsia"/>
        </w:rPr>
        <w:tab/>
        <w:t xml:space="preserve">256.  </w:t>
      </w:r>
      <w:r>
        <w:rPr>
          <w:rFonts w:hint="eastAsia"/>
        </w:rPr>
        <w:t>如同其他文化中心一样，格鲁吉亚各个博物馆面临的主要问题是物质资源不足和资金不够。</w:t>
      </w:r>
    </w:p>
    <w:p w:rsidR="00000000" w:rsidRDefault="00000000">
      <w:pPr>
        <w:rPr>
          <w:rFonts w:hint="eastAsia"/>
        </w:rPr>
      </w:pPr>
      <w:r>
        <w:rPr>
          <w:rFonts w:hint="eastAsia"/>
        </w:rPr>
        <w:tab/>
        <w:t xml:space="preserve">257.  </w:t>
      </w:r>
      <w:r>
        <w:rPr>
          <w:rFonts w:hint="eastAsia"/>
        </w:rPr>
        <w:t>在格鲁吉亚所有开放的图书馆中，</w:t>
      </w:r>
      <w:r>
        <w:rPr>
          <w:rFonts w:hint="eastAsia"/>
        </w:rPr>
        <w:t>120</w:t>
      </w:r>
      <w:r>
        <w:rPr>
          <w:rFonts w:hint="eastAsia"/>
        </w:rPr>
        <w:t>个是儿童专门图书馆，</w:t>
      </w:r>
      <w:r>
        <w:rPr>
          <w:rFonts w:hint="eastAsia"/>
        </w:rPr>
        <w:t>9</w:t>
      </w:r>
      <w:r>
        <w:rPr>
          <w:rFonts w:hint="eastAsia"/>
        </w:rPr>
        <w:t>个是青年图书馆。第比利斯和巴统有两个国立中央图书馆，第比利斯还有一个国立中央青年图书馆。</w:t>
      </w:r>
    </w:p>
    <w:p w:rsidR="00000000" w:rsidRDefault="00000000">
      <w:pPr>
        <w:rPr>
          <w:rFonts w:hint="eastAsia"/>
        </w:rPr>
      </w:pPr>
      <w:r>
        <w:rPr>
          <w:rFonts w:hint="eastAsia"/>
        </w:rPr>
        <w:tab/>
        <w:t xml:space="preserve">258.  </w:t>
      </w:r>
      <w:r>
        <w:rPr>
          <w:rFonts w:hint="eastAsia"/>
        </w:rPr>
        <w:t>图书馆读者中几乎有所有社会和族裔人口阶层。各图书馆通常藏有各种原文外国文献及其译本。有少数民族大量居住的地区中的图书馆藏书包括当地语言的文献。这些图书馆成为知识分子和国内少数民族创造性艺术代表的汇聚场所和联合举办各种活动的场所。</w:t>
      </w:r>
    </w:p>
    <w:p w:rsidR="00000000" w:rsidRDefault="00000000">
      <w:pPr>
        <w:rPr>
          <w:rFonts w:hint="eastAsia"/>
        </w:rPr>
      </w:pPr>
      <w:r>
        <w:rPr>
          <w:rFonts w:hint="eastAsia"/>
        </w:rPr>
        <w:tab/>
        <w:t xml:space="preserve">259.  </w:t>
      </w:r>
      <w:r>
        <w:rPr>
          <w:rFonts w:hint="eastAsia"/>
        </w:rPr>
        <w:t>根据文化部起草的一个方案，计划于</w:t>
      </w:r>
      <w:r>
        <w:rPr>
          <w:rFonts w:hint="eastAsia"/>
        </w:rPr>
        <w:t>2002</w:t>
      </w:r>
      <w:r>
        <w:rPr>
          <w:rFonts w:hint="eastAsia"/>
        </w:rPr>
        <w:t>年翻新格鲁吉亚的图书馆，并补充图书馆藏书。</w:t>
      </w:r>
      <w:r>
        <w:rPr>
          <w:rFonts w:hint="eastAsia"/>
        </w:rPr>
        <w:t>2000</w:t>
      </w:r>
      <w:r>
        <w:rPr>
          <w:rFonts w:hint="eastAsia"/>
        </w:rPr>
        <w:t>年</w:t>
      </w:r>
      <w:r>
        <w:rPr>
          <w:rFonts w:hint="eastAsia"/>
        </w:rPr>
        <w:t>1</w:t>
      </w:r>
      <w:r>
        <w:rPr>
          <w:rFonts w:hint="eastAsia"/>
        </w:rPr>
        <w:t>月，格鲁吉亚政府讨论了改进图书馆工作的措施，根据当时通过的一项决定，这些图书馆将按照一个国家方案运作。</w:t>
      </w:r>
    </w:p>
    <w:p w:rsidR="00000000" w:rsidRDefault="00000000">
      <w:pPr>
        <w:rPr>
          <w:rFonts w:hint="eastAsia"/>
        </w:rPr>
      </w:pPr>
      <w:r>
        <w:rPr>
          <w:rFonts w:hint="eastAsia"/>
        </w:rPr>
        <w:tab/>
        <w:t xml:space="preserve">260.  </w:t>
      </w:r>
      <w:r>
        <w:rPr>
          <w:rFonts w:hint="eastAsia"/>
        </w:rPr>
        <w:t>图书馆面临的问题主要是缺乏专职图书馆员。地方预算资金不足，这意味着，图书馆藏书未能补充新书。许多图书馆设在不安全的建筑物里。最新设备简直是不可思议的。</w:t>
      </w:r>
    </w:p>
    <w:p w:rsidR="00000000" w:rsidRDefault="00000000">
      <w:pPr>
        <w:rPr>
          <w:rFonts w:hint="eastAsia"/>
        </w:rPr>
      </w:pPr>
      <w:r>
        <w:rPr>
          <w:rFonts w:hint="eastAsia"/>
        </w:rPr>
        <w:tab/>
        <w:t xml:space="preserve">261.  </w:t>
      </w:r>
      <w:r>
        <w:rPr>
          <w:rFonts w:hint="eastAsia"/>
        </w:rPr>
        <w:t>在格鲁吉亚目前开放的专业性剧院里，三个剧院是以俄语演出的，并各有一个剧院以亚美尼亚语、阿布哈兹语和奥塞特语演出。目前仍然在筹备在首都建立一个阿塞拜疆国家剧院。格鲁吉亚还涌现了五个独立的专业性戏剧公司。</w:t>
      </w:r>
    </w:p>
    <w:p w:rsidR="00000000" w:rsidRDefault="00000000">
      <w:pPr>
        <w:rPr>
          <w:rFonts w:hint="eastAsia"/>
        </w:rPr>
      </w:pPr>
      <w:r>
        <w:rPr>
          <w:rFonts w:hint="eastAsia"/>
        </w:rPr>
        <w:tab/>
        <w:t xml:space="preserve">262.  </w:t>
      </w:r>
      <w:r>
        <w:rPr>
          <w:rFonts w:hint="eastAsia"/>
        </w:rPr>
        <w:t>所有剧院面临的普遍问题是无力上演和组织巡回演出，而且对当代世界戏剧趋势一无所知。例如，无法筹集资金来翻译和出版当代戏剧最佳作品。尽管遇到了这些障碍，但以上表格表明，在报告期间，没有任何剧院停业。</w:t>
      </w:r>
    </w:p>
    <w:p w:rsidR="00000000" w:rsidRDefault="00000000">
      <w:pPr>
        <w:rPr>
          <w:rFonts w:hint="eastAsia"/>
        </w:rPr>
      </w:pPr>
      <w:r>
        <w:rPr>
          <w:rFonts w:hint="eastAsia"/>
        </w:rPr>
        <w:tab/>
        <w:t xml:space="preserve">263.  </w:t>
      </w:r>
      <w:r>
        <w:rPr>
          <w:rFonts w:hint="eastAsia"/>
        </w:rPr>
        <w:t>尽管遇到了以上列举的问题，但在报告期间还是举行了两次庆祝节</w:t>
      </w:r>
      <w:r>
        <w:rPr>
          <w:rFonts w:hint="eastAsia"/>
          <w:spacing w:val="-40"/>
          <w:sz w:val="22"/>
        </w:rPr>
        <w:t>——</w:t>
      </w:r>
      <w:r>
        <w:rPr>
          <w:sz w:val="22"/>
        </w:rPr>
        <w:t xml:space="preserve"> </w:t>
      </w:r>
      <w:r>
        <w:rPr>
          <w:rFonts w:hint="eastAsia"/>
        </w:rPr>
        <w:t>鲁斯塔维的金面具国际戏剧节和纪念</w:t>
      </w:r>
      <w:r>
        <w:t>Mikhail Tumanishvili</w:t>
      </w:r>
      <w:r>
        <w:rPr>
          <w:rFonts w:hint="eastAsia"/>
        </w:rPr>
        <w:t>的“天才”国际艺术节。</w:t>
      </w:r>
    </w:p>
    <w:p w:rsidR="00000000" w:rsidRDefault="00000000">
      <w:pPr>
        <w:rPr>
          <w:rFonts w:hint="eastAsia"/>
        </w:rPr>
      </w:pPr>
      <w:r>
        <w:rPr>
          <w:rFonts w:hint="eastAsia"/>
        </w:rPr>
        <w:tab/>
        <w:t xml:space="preserve">264.  </w:t>
      </w:r>
      <w:r>
        <w:rPr>
          <w:rFonts w:hint="eastAsia"/>
        </w:rPr>
        <w:t>除了为格鲁吉亚语剧院所作的努力以外，国家还向少数民族戏剧公司尽可能提供各种援助，协助它们组织巡回演出和参加国际戏剧节和竞赛等。</w:t>
      </w:r>
    </w:p>
    <w:p w:rsidR="00000000" w:rsidRDefault="00000000">
      <w:pPr>
        <w:spacing w:after="240"/>
        <w:rPr>
          <w:rFonts w:hint="eastAsia"/>
        </w:rPr>
      </w:pPr>
      <w:r>
        <w:rPr>
          <w:rFonts w:hint="eastAsia"/>
        </w:rPr>
        <w:tab/>
        <w:t xml:space="preserve">265.  </w:t>
      </w:r>
      <w:r>
        <w:rPr>
          <w:rFonts w:hint="eastAsia"/>
        </w:rPr>
        <w:t>令人遗憾的是，由于缺乏财力，在格鲁吉亚展现世界文化遗产的机会受到了严重的阻碍。由于同样的原因，往往非常难以确保格鲁吉亚文化人士参加国际竞赛和展出。天才歌唱家、音乐家和舞蹈家不断离开格鲁吉亚。</w:t>
      </w:r>
    </w:p>
    <w:p w:rsidR="00000000" w:rsidRDefault="00000000">
      <w:pPr>
        <w:pStyle w:val="Heading4"/>
        <w:rPr>
          <w:rFonts w:hint="eastAsia"/>
        </w:rPr>
      </w:pPr>
      <w:r>
        <w:rPr>
          <w:rFonts w:hint="eastAsia"/>
        </w:rPr>
        <w:t>文化教育</w:t>
      </w:r>
    </w:p>
    <w:p w:rsidR="00000000" w:rsidRDefault="00000000">
      <w:pPr>
        <w:rPr>
          <w:rFonts w:hint="eastAsia"/>
        </w:rPr>
      </w:pPr>
      <w:r>
        <w:rPr>
          <w:rFonts w:hint="eastAsia"/>
        </w:rPr>
        <w:tab/>
        <w:t xml:space="preserve">266.  </w:t>
      </w:r>
      <w:r>
        <w:rPr>
          <w:rFonts w:hint="eastAsia"/>
        </w:rPr>
        <w:t>格鲁吉亚艺术教育系统包括三个层次：基础</w:t>
      </w:r>
      <w:r>
        <w:rPr>
          <w:rFonts w:hint="eastAsia"/>
        </w:rPr>
        <w:t>(</w:t>
      </w:r>
      <w:r>
        <w:rPr>
          <w:rFonts w:hint="eastAsia"/>
        </w:rPr>
        <w:t>音乐和艺术学校等</w:t>
      </w:r>
      <w:r>
        <w:rPr>
          <w:rFonts w:hint="eastAsia"/>
        </w:rPr>
        <w:t>)</w:t>
      </w:r>
      <w:r>
        <w:rPr>
          <w:rFonts w:hint="eastAsia"/>
        </w:rPr>
        <w:t>、中专</w:t>
      </w:r>
      <w:r>
        <w:rPr>
          <w:rFonts w:hint="eastAsia"/>
        </w:rPr>
        <w:t>(</w:t>
      </w:r>
      <w:r>
        <w:rPr>
          <w:rFonts w:hint="eastAsia"/>
        </w:rPr>
        <w:t>艺术专科学校</w:t>
      </w:r>
      <w:r>
        <w:rPr>
          <w:rFonts w:hint="eastAsia"/>
        </w:rPr>
        <w:t>)</w:t>
      </w:r>
      <w:r>
        <w:rPr>
          <w:rFonts w:hint="eastAsia"/>
        </w:rPr>
        <w:t>、高等职业学校</w:t>
      </w:r>
      <w:r>
        <w:rPr>
          <w:rFonts w:hint="eastAsia"/>
        </w:rPr>
        <w:t>(</w:t>
      </w:r>
      <w:r>
        <w:rPr>
          <w:rFonts w:hint="eastAsia"/>
        </w:rPr>
        <w:t>艺术学校、音乐学院、戏剧和电影学院、文化学院</w:t>
      </w:r>
      <w:r>
        <w:rPr>
          <w:rFonts w:hint="eastAsia"/>
        </w:rPr>
        <w:t>)</w:t>
      </w:r>
      <w:r>
        <w:rPr>
          <w:rFonts w:hint="eastAsia"/>
        </w:rPr>
        <w:t>和高等学校</w:t>
      </w:r>
      <w:r>
        <w:rPr>
          <w:rFonts w:hint="eastAsia"/>
        </w:rPr>
        <w:t>(</w:t>
      </w:r>
      <w:r>
        <w:rPr>
          <w:rFonts w:hint="eastAsia"/>
        </w:rPr>
        <w:t>硕士学位、研究生学习、培训</w:t>
      </w:r>
      <w:r>
        <w:rPr>
          <w:rFonts w:hint="eastAsia"/>
        </w:rPr>
        <w:t>)</w:t>
      </w:r>
      <w:r>
        <w:rPr>
          <w:rFonts w:hint="eastAsia"/>
        </w:rPr>
        <w:t>。</w:t>
      </w:r>
    </w:p>
    <w:p w:rsidR="00000000" w:rsidRDefault="00000000">
      <w:pPr>
        <w:rPr>
          <w:rFonts w:hint="eastAsia"/>
        </w:rPr>
      </w:pPr>
      <w:r>
        <w:rPr>
          <w:rFonts w:hint="eastAsia"/>
        </w:rPr>
        <w:tab/>
        <w:t xml:space="preserve">267.  </w:t>
      </w:r>
      <w:r>
        <w:rPr>
          <w:rFonts w:hint="eastAsia"/>
        </w:rPr>
        <w:t>基础教育由地方预算提供资金，并由家长部分出资，而中等和高等职业教育通过国家资助征用教育场所来进行。</w:t>
      </w:r>
    </w:p>
    <w:p w:rsidR="00000000" w:rsidRDefault="00000000">
      <w:pPr>
        <w:rPr>
          <w:rFonts w:hint="eastAsia"/>
        </w:rPr>
      </w:pPr>
      <w:r>
        <w:rPr>
          <w:rFonts w:hint="eastAsia"/>
        </w:rPr>
        <w:tab/>
        <w:t xml:space="preserve">268.  </w:t>
      </w:r>
      <w:r>
        <w:rPr>
          <w:rFonts w:hint="eastAsia"/>
        </w:rPr>
        <w:t>尽管《文化法》提出了要求，但格鲁吉亚许多地区的地方当局自行发起了要求基础艺术学校完全自负盈亏的进程，实际上敲响了它们的丧钟。因此许多来自社会经济地位低下阶层的天才儿童被剥夺了学习艺术的机会，而这种机会原先是国家向他们提供的。</w:t>
      </w:r>
    </w:p>
    <w:p w:rsidR="00000000" w:rsidRDefault="00000000">
      <w:pPr>
        <w:rPr>
          <w:rFonts w:hint="eastAsia"/>
        </w:rPr>
      </w:pPr>
      <w:r>
        <w:rPr>
          <w:rFonts w:hint="eastAsia"/>
        </w:rPr>
        <w:tab/>
        <w:t xml:space="preserve">269.  </w:t>
      </w:r>
      <w:r>
        <w:rPr>
          <w:rFonts w:hint="eastAsia"/>
        </w:rPr>
        <w:t>现在已经采取了一些步骤来纠正这种状况：已经起草了一项艺术教育法案，文化部也起草了一个发展艺术教育的特别方案。</w:t>
      </w:r>
      <w:r>
        <w:rPr>
          <w:rFonts w:hint="eastAsia"/>
        </w:rPr>
        <w:t>2001</w:t>
      </w:r>
      <w:r>
        <w:rPr>
          <w:rFonts w:hint="eastAsia"/>
        </w:rPr>
        <w:t>年</w:t>
      </w:r>
      <w:r>
        <w:rPr>
          <w:rFonts w:hint="eastAsia"/>
        </w:rPr>
        <w:t>12</w:t>
      </w:r>
      <w:r>
        <w:rPr>
          <w:rFonts w:hint="eastAsia"/>
        </w:rPr>
        <w:t>月，格鲁吉亚政府将审议整个促进艺术教育措施的问题。文化部目前正在研究这一问题。</w:t>
      </w:r>
    </w:p>
    <w:p w:rsidR="00000000" w:rsidRDefault="00000000">
      <w:pPr>
        <w:spacing w:after="240"/>
        <w:rPr>
          <w:rFonts w:hint="eastAsia"/>
        </w:rPr>
      </w:pPr>
      <w:r>
        <w:rPr>
          <w:rFonts w:hint="eastAsia"/>
        </w:rPr>
        <w:tab/>
        <w:t>270.  2001</w:t>
      </w:r>
      <w:r>
        <w:rPr>
          <w:rFonts w:hint="eastAsia"/>
        </w:rPr>
        <w:t>年</w:t>
      </w:r>
      <w:r>
        <w:rPr>
          <w:rFonts w:hint="eastAsia"/>
        </w:rPr>
        <w:t>1</w:t>
      </w:r>
      <w:r>
        <w:rPr>
          <w:rFonts w:hint="eastAsia"/>
        </w:rPr>
        <w:t>月，对《格鲁吉亚税法》作了修正，专家们认为，该法令将对艺术教育机构产生不可避免的不利后果，例如人员培训不足，教学人员削减，对教育大纲作不当的修改，在许多情况下由于缺少教师而取消科目。因此，文化部请求总统、议会议长和税收部长审查《税法》的这些错误的规定</w:t>
      </w:r>
      <w:r>
        <w:rPr>
          <w:rFonts w:hint="eastAsia"/>
        </w:rPr>
        <w:t>(</w:t>
      </w:r>
      <w:r>
        <w:rPr>
          <w:rFonts w:hint="eastAsia"/>
        </w:rPr>
        <w:t>第</w:t>
      </w:r>
      <w:r>
        <w:rPr>
          <w:rFonts w:hint="eastAsia"/>
        </w:rPr>
        <w:t>29</w:t>
      </w:r>
      <w:r>
        <w:rPr>
          <w:rFonts w:hint="eastAsia"/>
        </w:rPr>
        <w:t>章第</w:t>
      </w:r>
      <w:r>
        <w:rPr>
          <w:rFonts w:hint="eastAsia"/>
        </w:rPr>
        <w:t>188</w:t>
      </w:r>
      <w:r>
        <w:rPr>
          <w:rFonts w:hint="eastAsia"/>
        </w:rPr>
        <w:t>条</w:t>
      </w:r>
      <w:r>
        <w:rPr>
          <w:rFonts w:hint="eastAsia"/>
        </w:rPr>
        <w:t>)</w:t>
      </w:r>
      <w:r>
        <w:rPr>
          <w:rFonts w:hint="eastAsia"/>
        </w:rPr>
        <w:t>。</w:t>
      </w:r>
    </w:p>
    <w:p w:rsidR="00000000" w:rsidRDefault="00000000">
      <w:pPr>
        <w:pStyle w:val="Heading4"/>
        <w:rPr>
          <w:rFonts w:hint="eastAsia"/>
        </w:rPr>
      </w:pPr>
      <w:r>
        <w:rPr>
          <w:rFonts w:hint="eastAsia"/>
        </w:rPr>
        <w:t>享受科学进步利益的权利</w:t>
      </w:r>
    </w:p>
    <w:p w:rsidR="00000000" w:rsidRDefault="00000000">
      <w:pPr>
        <w:rPr>
          <w:rFonts w:hint="eastAsia"/>
        </w:rPr>
      </w:pPr>
      <w:r>
        <w:rPr>
          <w:rFonts w:hint="eastAsia"/>
        </w:rPr>
        <w:tab/>
        <w:t xml:space="preserve">271.  </w:t>
      </w:r>
      <w:r>
        <w:rPr>
          <w:rFonts w:hint="eastAsia"/>
        </w:rPr>
        <w:t>根据格鲁吉亚科学院提供的资料，在报告期间采取了一些立法步骤，保护和促进科学，并确保不受妨碍地享受科学进步的利益。最重要的发展动态可能是设立了一个保护知识产权法律基金会。关于这一方面的主要法规于</w:t>
      </w:r>
      <w:r>
        <w:rPr>
          <w:rFonts w:hint="eastAsia"/>
        </w:rPr>
        <w:t>1999</w:t>
      </w:r>
      <w:r>
        <w:rPr>
          <w:rFonts w:hint="eastAsia"/>
        </w:rPr>
        <w:t>年获得通过。这些法规也为提高该系统各部门保护知识产权工作的效率铺平了道路。</w:t>
      </w:r>
    </w:p>
    <w:p w:rsidR="00000000" w:rsidRDefault="00000000">
      <w:pPr>
        <w:rPr>
          <w:rFonts w:hint="eastAsia"/>
        </w:rPr>
      </w:pPr>
      <w:r>
        <w:rPr>
          <w:rFonts w:hint="eastAsia"/>
        </w:rPr>
        <w:tab/>
        <w:t>272.  1999</w:t>
      </w:r>
      <w:r>
        <w:rPr>
          <w:rFonts w:hint="eastAsia"/>
        </w:rPr>
        <w:t>年通过了下列法规：《版权及有关权利法》、《专利法》、《集成微型电路设计法》和《知识产权</w:t>
      </w:r>
      <w:r>
        <w:rPr>
          <w:rFonts w:hint="eastAsia"/>
        </w:rPr>
        <w:t>(</w:t>
      </w:r>
      <w:r>
        <w:rPr>
          <w:rFonts w:hint="eastAsia"/>
        </w:rPr>
        <w:t>边境措施</w:t>
      </w:r>
      <w:r>
        <w:rPr>
          <w:rFonts w:hint="eastAsia"/>
        </w:rPr>
        <w:t>)</w:t>
      </w:r>
      <w:r>
        <w:rPr>
          <w:rFonts w:hint="eastAsia"/>
        </w:rPr>
        <w:t>法》。</w:t>
      </w:r>
    </w:p>
    <w:p w:rsidR="00000000" w:rsidRDefault="00000000">
      <w:pPr>
        <w:rPr>
          <w:rFonts w:hint="eastAsia"/>
        </w:rPr>
      </w:pPr>
      <w:r>
        <w:rPr>
          <w:rFonts w:hint="eastAsia"/>
        </w:rPr>
        <w:tab/>
        <w:t xml:space="preserve">273.  </w:t>
      </w:r>
      <w:r>
        <w:rPr>
          <w:rFonts w:hint="eastAsia"/>
        </w:rPr>
        <w:t>已经通过的另一个非常重要的法规是《作物品种和优良种子与种苗</w:t>
      </w:r>
      <w:r>
        <w:rPr>
          <w:rFonts w:hint="eastAsia"/>
        </w:rPr>
        <w:t>(</w:t>
      </w:r>
      <w:r>
        <w:rPr>
          <w:rFonts w:hint="eastAsia"/>
        </w:rPr>
        <w:t>认可繁殖</w:t>
      </w:r>
      <w:r>
        <w:rPr>
          <w:rFonts w:hint="eastAsia"/>
        </w:rPr>
        <w:t>)</w:t>
      </w:r>
      <w:r>
        <w:rPr>
          <w:rFonts w:hint="eastAsia"/>
        </w:rPr>
        <w:t>法》。</w:t>
      </w:r>
    </w:p>
    <w:p w:rsidR="00000000" w:rsidRDefault="00000000">
      <w:pPr>
        <w:rPr>
          <w:rFonts w:hint="eastAsia"/>
        </w:rPr>
      </w:pPr>
      <w:r>
        <w:rPr>
          <w:rFonts w:hint="eastAsia"/>
        </w:rPr>
        <w:tab/>
        <w:t xml:space="preserve">274.  </w:t>
      </w:r>
      <w:r>
        <w:rPr>
          <w:rFonts w:hint="eastAsia"/>
        </w:rPr>
        <w:t>科学作品的发展和利用的问题制约于《版权及有关权利法》，其中第三章详细载列了作者和其他有关人员对免费使用作品</w:t>
      </w:r>
      <w:r>
        <w:rPr>
          <w:rFonts w:hint="eastAsia"/>
        </w:rPr>
        <w:t>(</w:t>
      </w:r>
      <w:r>
        <w:rPr>
          <w:rFonts w:hint="eastAsia"/>
        </w:rPr>
        <w:t>包括科学作品</w:t>
      </w:r>
      <w:r>
        <w:rPr>
          <w:rFonts w:hint="eastAsia"/>
        </w:rPr>
        <w:t>)</w:t>
      </w:r>
      <w:r>
        <w:rPr>
          <w:rFonts w:hint="eastAsia"/>
        </w:rPr>
        <w:t>的限制</w:t>
      </w:r>
      <w:r>
        <w:rPr>
          <w:rFonts w:hint="eastAsia"/>
        </w:rPr>
        <w:t>(</w:t>
      </w:r>
      <w:r>
        <w:rPr>
          <w:rFonts w:hint="eastAsia"/>
        </w:rPr>
        <w:t>第</w:t>
      </w:r>
      <w:r>
        <w:rPr>
          <w:rFonts w:hint="eastAsia"/>
        </w:rPr>
        <w:t>21-30</w:t>
      </w:r>
      <w:r>
        <w:rPr>
          <w:rFonts w:hint="eastAsia"/>
        </w:rPr>
        <w:t>条</w:t>
      </w:r>
      <w:r>
        <w:rPr>
          <w:rFonts w:hint="eastAsia"/>
        </w:rPr>
        <w:t>)</w:t>
      </w:r>
      <w:r>
        <w:rPr>
          <w:rFonts w:hint="eastAsia"/>
        </w:rPr>
        <w:t>。该法规保护科学版权。除了其他事项以外，《版权及有关权利法》开列了适用和不适用版权的科学作品</w:t>
      </w:r>
      <w:r>
        <w:rPr>
          <w:rFonts w:hint="eastAsia"/>
        </w:rPr>
        <w:t>(</w:t>
      </w:r>
      <w:r>
        <w:rPr>
          <w:rFonts w:hint="eastAsia"/>
        </w:rPr>
        <w:t>第</w:t>
      </w:r>
      <w:r>
        <w:rPr>
          <w:rFonts w:hint="eastAsia"/>
        </w:rPr>
        <w:t>5</w:t>
      </w:r>
      <w:r>
        <w:rPr>
          <w:rFonts w:hint="eastAsia"/>
        </w:rPr>
        <w:t>条和第</w:t>
      </w:r>
      <w:r>
        <w:rPr>
          <w:rFonts w:hint="eastAsia"/>
        </w:rPr>
        <w:t>6</w:t>
      </w:r>
      <w:r>
        <w:rPr>
          <w:rFonts w:hint="eastAsia"/>
        </w:rPr>
        <w:t>条</w:t>
      </w:r>
      <w:r>
        <w:rPr>
          <w:rFonts w:hint="eastAsia"/>
        </w:rPr>
        <w:t>)</w:t>
      </w:r>
      <w:r>
        <w:rPr>
          <w:rFonts w:hint="eastAsia"/>
        </w:rPr>
        <w:t>，确保了发表人的专属权利</w:t>
      </w:r>
      <w:r>
        <w:rPr>
          <w:rFonts w:hint="eastAsia"/>
        </w:rPr>
        <w:t>(</w:t>
      </w:r>
      <w:r>
        <w:rPr>
          <w:rFonts w:hint="eastAsia"/>
        </w:rPr>
        <w:t>第</w:t>
      </w:r>
      <w:r>
        <w:rPr>
          <w:rFonts w:hint="eastAsia"/>
        </w:rPr>
        <w:t>14</w:t>
      </w:r>
      <w:r>
        <w:rPr>
          <w:rFonts w:hint="eastAsia"/>
        </w:rPr>
        <w:t>条</w:t>
      </w:r>
      <w:r>
        <w:rPr>
          <w:rFonts w:hint="eastAsia"/>
        </w:rPr>
        <w:t>)</w:t>
      </w:r>
      <w:r>
        <w:rPr>
          <w:rFonts w:hint="eastAsia"/>
        </w:rPr>
        <w:t>并提出了科学作品产生的个人经济和道德权利</w:t>
      </w:r>
      <w:r>
        <w:rPr>
          <w:rFonts w:hint="eastAsia"/>
        </w:rPr>
        <w:t>(</w:t>
      </w:r>
      <w:r>
        <w:rPr>
          <w:rFonts w:hint="eastAsia"/>
        </w:rPr>
        <w:t>第</w:t>
      </w:r>
      <w:r>
        <w:rPr>
          <w:rFonts w:hint="eastAsia"/>
        </w:rPr>
        <w:t>17</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275.  </w:t>
      </w:r>
      <w:r>
        <w:rPr>
          <w:rFonts w:hint="eastAsia"/>
        </w:rPr>
        <w:t>应该指出，根据《刑法》第</w:t>
      </w:r>
      <w:r>
        <w:rPr>
          <w:rFonts w:hint="eastAsia"/>
        </w:rPr>
        <w:t>156</w:t>
      </w:r>
      <w:r>
        <w:rPr>
          <w:rFonts w:hint="eastAsia"/>
        </w:rPr>
        <w:t>条，由于某人的科学作品而对其进行骚扰是一种罪行。</w:t>
      </w:r>
    </w:p>
    <w:p w:rsidR="00000000" w:rsidRDefault="00000000">
      <w:pPr>
        <w:rPr>
          <w:rFonts w:hint="eastAsia"/>
        </w:rPr>
      </w:pPr>
      <w:r>
        <w:rPr>
          <w:rFonts w:hint="eastAsia"/>
        </w:rPr>
        <w:tab/>
        <w:t xml:space="preserve">276.  </w:t>
      </w:r>
      <w:r>
        <w:rPr>
          <w:rFonts w:hint="eastAsia"/>
        </w:rPr>
        <w:t>为了说明格鲁吉亚实际上采取何种措施来促进科学</w:t>
      </w:r>
      <w:r>
        <w:rPr>
          <w:rFonts w:hint="eastAsia"/>
        </w:rPr>
        <w:t>(</w:t>
      </w:r>
      <w:r>
        <w:rPr>
          <w:rFonts w:hint="eastAsia"/>
        </w:rPr>
        <w:t>从最广泛的意义上界定科学</w:t>
      </w:r>
      <w:r>
        <w:rPr>
          <w:rFonts w:hint="eastAsia"/>
        </w:rPr>
        <w:t>)</w:t>
      </w:r>
      <w:r>
        <w:rPr>
          <w:rFonts w:hint="eastAsia"/>
        </w:rPr>
        <w:t>，我们在此列举涉及这一问题的总统法令和命令：</w:t>
      </w:r>
    </w:p>
    <w:p w:rsidR="00000000" w:rsidRDefault="00000000">
      <w:pPr>
        <w:pStyle w:val="a7"/>
        <w:tabs>
          <w:tab w:val="num" w:pos="1550"/>
        </w:tabs>
        <w:ind w:left="1550"/>
        <w:rPr>
          <w:rFonts w:hint="eastAsia"/>
        </w:rPr>
      </w:pPr>
      <w:r>
        <w:rPr>
          <w:rFonts w:hint="eastAsia"/>
        </w:rPr>
        <w:t>批准向青年科学家授予总统奖的条件的总统令</w:t>
      </w:r>
      <w:r>
        <w:rPr>
          <w:rFonts w:hint="eastAsia"/>
        </w:rPr>
        <w:t>(1997</w:t>
      </w:r>
      <w:r>
        <w:rPr>
          <w:rFonts w:hint="eastAsia"/>
        </w:rPr>
        <w:t>年</w:t>
      </w:r>
      <w:r>
        <w:rPr>
          <w:rFonts w:hint="eastAsia"/>
        </w:rPr>
        <w:t>9</w:t>
      </w:r>
      <w:r>
        <w:rPr>
          <w:rFonts w:hint="eastAsia"/>
        </w:rPr>
        <w:t>月</w:t>
      </w:r>
      <w:r>
        <w:rPr>
          <w:rFonts w:hint="eastAsia"/>
        </w:rPr>
        <w:t>)</w:t>
      </w:r>
      <w:r>
        <w:rPr>
          <w:rFonts w:hint="eastAsia"/>
        </w:rPr>
        <w:t>；</w:t>
      </w:r>
    </w:p>
    <w:p w:rsidR="00000000" w:rsidRDefault="00000000">
      <w:pPr>
        <w:pStyle w:val="a7"/>
        <w:tabs>
          <w:tab w:val="num" w:pos="1550"/>
        </w:tabs>
        <w:ind w:left="1550"/>
        <w:rPr>
          <w:rFonts w:hint="eastAsia"/>
        </w:rPr>
      </w:pPr>
      <w:r>
        <w:rPr>
          <w:rFonts w:hint="eastAsia"/>
        </w:rPr>
        <w:t>关于资助在第比利斯国立</w:t>
      </w:r>
      <w:r>
        <w:rPr>
          <w:rFonts w:hint="eastAsia"/>
        </w:rPr>
        <w:t xml:space="preserve">I. </w:t>
      </w:r>
      <w:r>
        <w:t>Djavakhishvili</w:t>
      </w:r>
      <w:r>
        <w:rPr>
          <w:rFonts w:hint="eastAsia"/>
        </w:rPr>
        <w:t>大学建立雅典格鲁吉亚</w:t>
      </w:r>
      <w:r>
        <w:rPr>
          <w:rFonts w:hint="eastAsia"/>
          <w:spacing w:val="-40"/>
          <w:sz w:val="22"/>
        </w:rPr>
        <w:t>——</w:t>
      </w:r>
      <w:r>
        <w:rPr>
          <w:sz w:val="22"/>
        </w:rPr>
        <w:t xml:space="preserve"> </w:t>
      </w:r>
      <w:r>
        <w:rPr>
          <w:rFonts w:hint="eastAsia"/>
        </w:rPr>
        <w:t>希腊研究所的总统令</w:t>
      </w:r>
      <w:r>
        <w:rPr>
          <w:rFonts w:hint="eastAsia"/>
        </w:rPr>
        <w:t>(1997</w:t>
      </w:r>
      <w:r>
        <w:rPr>
          <w:rFonts w:hint="eastAsia"/>
        </w:rPr>
        <w:t>年</w:t>
      </w:r>
      <w:r>
        <w:rPr>
          <w:rFonts w:hint="eastAsia"/>
        </w:rPr>
        <w:t>9</w:t>
      </w:r>
      <w:r>
        <w:rPr>
          <w:rFonts w:hint="eastAsia"/>
        </w:rPr>
        <w:t>月</w:t>
      </w:r>
      <w:r>
        <w:rPr>
          <w:rFonts w:hint="eastAsia"/>
        </w:rPr>
        <w:t>)</w:t>
      </w:r>
      <w:r>
        <w:rPr>
          <w:rFonts w:hint="eastAsia"/>
        </w:rPr>
        <w:t>；</w:t>
      </w:r>
    </w:p>
    <w:p w:rsidR="00000000" w:rsidRDefault="00000000">
      <w:pPr>
        <w:pStyle w:val="a7"/>
        <w:tabs>
          <w:tab w:val="num" w:pos="1550"/>
        </w:tabs>
        <w:ind w:left="1550"/>
        <w:rPr>
          <w:rFonts w:hint="eastAsia"/>
        </w:rPr>
      </w:pPr>
      <w:r>
        <w:rPr>
          <w:rFonts w:hint="eastAsia"/>
        </w:rPr>
        <w:t>关于国家支助有特殊天赋的儿童和青年的总统令</w:t>
      </w:r>
      <w:r>
        <w:rPr>
          <w:rFonts w:hint="eastAsia"/>
        </w:rPr>
        <w:t>(1997</w:t>
      </w:r>
      <w:r>
        <w:rPr>
          <w:rFonts w:hint="eastAsia"/>
        </w:rPr>
        <w:t>年</w:t>
      </w:r>
      <w:r>
        <w:rPr>
          <w:rFonts w:hint="eastAsia"/>
        </w:rPr>
        <w:t>10</w:t>
      </w:r>
      <w:r>
        <w:rPr>
          <w:rFonts w:hint="eastAsia"/>
        </w:rPr>
        <w:t>月</w:t>
      </w:r>
      <w:r>
        <w:rPr>
          <w:rFonts w:hint="eastAsia"/>
        </w:rPr>
        <w:t>)</w:t>
      </w:r>
      <w:r>
        <w:rPr>
          <w:rFonts w:hint="eastAsia"/>
        </w:rPr>
        <w:t>；</w:t>
      </w:r>
    </w:p>
    <w:p w:rsidR="00000000" w:rsidRDefault="00000000">
      <w:pPr>
        <w:pStyle w:val="a7"/>
        <w:tabs>
          <w:tab w:val="num" w:pos="1550"/>
        </w:tabs>
        <w:ind w:left="1550"/>
        <w:rPr>
          <w:rFonts w:hint="eastAsia"/>
        </w:rPr>
      </w:pPr>
      <w:r>
        <w:rPr>
          <w:rFonts w:hint="eastAsia"/>
        </w:rPr>
        <w:t>关于向青年科学家颁发总统奖的总统令</w:t>
      </w:r>
      <w:r>
        <w:rPr>
          <w:rFonts w:hint="eastAsia"/>
        </w:rPr>
        <w:t>(1997</w:t>
      </w:r>
      <w:r>
        <w:rPr>
          <w:rFonts w:hint="eastAsia"/>
        </w:rPr>
        <w:t>年</w:t>
      </w:r>
      <w:r>
        <w:rPr>
          <w:rFonts w:hint="eastAsia"/>
        </w:rPr>
        <w:t>11</w:t>
      </w:r>
      <w:r>
        <w:rPr>
          <w:rFonts w:hint="eastAsia"/>
        </w:rPr>
        <w:t>月</w:t>
      </w:r>
      <w:r>
        <w:rPr>
          <w:rFonts w:hint="eastAsia"/>
        </w:rPr>
        <w:t>)</w:t>
      </w:r>
      <w:r>
        <w:rPr>
          <w:rFonts w:hint="eastAsia"/>
        </w:rPr>
        <w:t>；</w:t>
      </w:r>
    </w:p>
    <w:p w:rsidR="00000000" w:rsidRDefault="00000000">
      <w:pPr>
        <w:pStyle w:val="a7"/>
        <w:tabs>
          <w:tab w:val="num" w:pos="1550"/>
        </w:tabs>
        <w:ind w:left="1550"/>
        <w:rPr>
          <w:rFonts w:hint="eastAsia"/>
        </w:rPr>
      </w:pPr>
      <w:r>
        <w:rPr>
          <w:rFonts w:hint="eastAsia"/>
        </w:rPr>
        <w:t>关于</w:t>
      </w:r>
      <w:r>
        <w:rPr>
          <w:rFonts w:hint="eastAsia"/>
        </w:rPr>
        <w:t>1998-1999</w:t>
      </w:r>
      <w:r>
        <w:rPr>
          <w:rFonts w:hint="eastAsia"/>
        </w:rPr>
        <w:t>年期间在美利坚合众国组织以格鲁吉亚为主题的展览会和科学与文化活动的总统令。</w:t>
      </w:r>
    </w:p>
    <w:p w:rsidR="00000000" w:rsidRDefault="00000000">
      <w:pPr>
        <w:rPr>
          <w:rFonts w:hint="eastAsia"/>
        </w:rPr>
      </w:pPr>
      <w:r>
        <w:rPr>
          <w:rFonts w:hint="eastAsia"/>
        </w:rPr>
        <w:tab/>
        <w:t xml:space="preserve">277.  </w:t>
      </w:r>
      <w:r>
        <w:rPr>
          <w:rFonts w:hint="eastAsia"/>
        </w:rPr>
        <w:t>格鲁吉亚科学院于</w:t>
      </w:r>
      <w:r>
        <w:rPr>
          <w:rFonts w:hint="eastAsia"/>
        </w:rPr>
        <w:t>1991</w:t>
      </w:r>
      <w:r>
        <w:rPr>
          <w:rFonts w:hint="eastAsia"/>
        </w:rPr>
        <w:t>年开始同国外学术机构和科学中心建立国际联系。与此同时，科学院下属各研究所获准同国外伙伴订立单独的安排，展开联合科学研究。科学院已经同阿塞拜疆、亚美尼亚、俄罗斯联邦、乌兹别克斯坦和乌克兰的科学院订立了合作协定和科学家交流协定。根据将前苏联各加盟共和国的科学院联合起来的《科学院国际协会条约》，格鲁吉亚同独立国家联合体的其他国家展开了合作。就前苏联以外的国家而言，格鲁吉亚科学院同一些科学社团缔结了协定，例如英国科学院、伦敦皇家学会、奥地利、匈牙利和波兰科学院、以色列科学和人文学科研究院、意大利国家科学研究委员会、联合国教育、科学及文化组织</w:t>
      </w:r>
      <w:r>
        <w:rPr>
          <w:rFonts w:hint="eastAsia"/>
        </w:rPr>
        <w:t>(</w:t>
      </w:r>
      <w:r>
        <w:rPr>
          <w:rFonts w:hint="eastAsia"/>
        </w:rPr>
        <w:t>教科文组织</w:t>
      </w:r>
      <w:r>
        <w:rPr>
          <w:rFonts w:hint="eastAsia"/>
        </w:rPr>
        <w:t>)</w:t>
      </w:r>
      <w:r>
        <w:rPr>
          <w:rFonts w:hint="eastAsia"/>
        </w:rPr>
        <w:t>和其他机构。</w:t>
      </w:r>
    </w:p>
    <w:p w:rsidR="00000000" w:rsidRDefault="00000000">
      <w:pPr>
        <w:rPr>
          <w:rFonts w:hint="eastAsia"/>
        </w:rPr>
      </w:pPr>
      <w:r>
        <w:rPr>
          <w:rFonts w:hint="eastAsia"/>
        </w:rPr>
        <w:tab/>
        <w:t xml:space="preserve">278.  </w:t>
      </w:r>
      <w:r>
        <w:rPr>
          <w:rFonts w:hint="eastAsia"/>
        </w:rPr>
        <w:t>格鲁吉亚各机构和科学中心还同其国外相应机构缔结了伙伴关系协定。因此</w:t>
      </w:r>
      <w:r>
        <w:rPr>
          <w:rFonts w:hint="eastAsia"/>
        </w:rPr>
        <w:t>A</w:t>
      </w:r>
      <w:r>
        <w:t>bastumani</w:t>
      </w:r>
      <w:r>
        <w:rPr>
          <w:rFonts w:hint="eastAsia"/>
        </w:rPr>
        <w:t>天体物理天文台和国立第比利斯大学同西安大略大学</w:t>
      </w:r>
      <w:r>
        <w:rPr>
          <w:rFonts w:hint="eastAsia"/>
        </w:rPr>
        <w:t>(</w:t>
      </w:r>
      <w:r>
        <w:rPr>
          <w:rFonts w:hint="eastAsia"/>
        </w:rPr>
        <w:t>加拿大</w:t>
      </w:r>
      <w:r>
        <w:rPr>
          <w:rFonts w:hint="eastAsia"/>
        </w:rPr>
        <w:t>)</w:t>
      </w:r>
      <w:r>
        <w:rPr>
          <w:rFonts w:hint="eastAsia"/>
        </w:rPr>
        <w:t>签订了协定；制药化学研究所同地中海大学</w:t>
      </w:r>
      <w:r>
        <w:rPr>
          <w:rFonts w:hint="eastAsia"/>
        </w:rPr>
        <w:t>(</w:t>
      </w:r>
      <w:r>
        <w:rPr>
          <w:rFonts w:hint="eastAsia"/>
        </w:rPr>
        <w:t>法国</w:t>
      </w:r>
      <w:r>
        <w:rPr>
          <w:rFonts w:hint="eastAsia"/>
        </w:rPr>
        <w:t>)</w:t>
      </w:r>
      <w:r>
        <w:rPr>
          <w:rFonts w:hint="eastAsia"/>
        </w:rPr>
        <w:t>签订了协定；古生物学研究所同波兰科学院植物研究所签订了协定；生理学研究所同洛杉矶肿瘤学研究所</w:t>
      </w:r>
      <w:r>
        <w:rPr>
          <w:rFonts w:hint="eastAsia"/>
        </w:rPr>
        <w:t>(</w:t>
      </w:r>
      <w:r>
        <w:rPr>
          <w:rFonts w:hint="eastAsia"/>
        </w:rPr>
        <w:t>美利坚合众国</w:t>
      </w:r>
      <w:r>
        <w:rPr>
          <w:rFonts w:hint="eastAsia"/>
        </w:rPr>
        <w:t>)</w:t>
      </w:r>
      <w:r>
        <w:rPr>
          <w:rFonts w:hint="eastAsia"/>
        </w:rPr>
        <w:t>签订了协定。</w:t>
      </w:r>
    </w:p>
    <w:p w:rsidR="00000000" w:rsidRDefault="00000000">
      <w:pPr>
        <w:rPr>
          <w:rFonts w:hint="eastAsia"/>
        </w:rPr>
      </w:pPr>
      <w:r>
        <w:rPr>
          <w:rFonts w:hint="eastAsia"/>
        </w:rPr>
        <w:tab/>
        <w:t xml:space="preserve">279.  </w:t>
      </w:r>
      <w:r>
        <w:rPr>
          <w:rFonts w:hint="eastAsia"/>
        </w:rPr>
        <w:t>在报告所涉时期，格鲁吉亚学术研究机构参加了其他形式的联合研究和国际联系；费用由外国伙伴支付或通过赠款支付。例如，英国科学院和皇家学会意识到格鲁吉亚科学院财力有限，因此尽管格鲁吉亚根据协定负有义务，但它们承担了格鲁吉亚学术研究人员访问的所有费用。</w:t>
      </w:r>
    </w:p>
    <w:p w:rsidR="00000000" w:rsidRDefault="00000000">
      <w:pPr>
        <w:rPr>
          <w:rFonts w:hint="eastAsia"/>
        </w:rPr>
      </w:pPr>
      <w:r>
        <w:rPr>
          <w:rFonts w:hint="eastAsia"/>
        </w:rPr>
        <w:tab/>
        <w:t xml:space="preserve">280.  </w:t>
      </w:r>
      <w:r>
        <w:rPr>
          <w:rFonts w:hint="eastAsia"/>
        </w:rPr>
        <w:t>通过同样的方式使格鲁吉亚学术研究人员得以出席各种国际会议、座谈会和大会。例如同</w:t>
      </w:r>
      <w:r>
        <w:rPr>
          <w:rFonts w:hint="eastAsia"/>
        </w:rPr>
        <w:t>1980</w:t>
      </w:r>
      <w:r>
        <w:rPr>
          <w:rFonts w:hint="eastAsia"/>
        </w:rPr>
        <w:t>年代后期相比较，前往国外访问的格鲁吉亚学术研究人员的人数大大增加。</w:t>
      </w:r>
      <w:r>
        <w:rPr>
          <w:rFonts w:hint="eastAsia"/>
        </w:rPr>
        <w:t>1989</w:t>
      </w:r>
      <w:r>
        <w:rPr>
          <w:rFonts w:hint="eastAsia"/>
        </w:rPr>
        <w:t>年，大约</w:t>
      </w:r>
      <w:r>
        <w:rPr>
          <w:rFonts w:hint="eastAsia"/>
        </w:rPr>
        <w:t>300</w:t>
      </w:r>
      <w:r>
        <w:rPr>
          <w:rFonts w:hint="eastAsia"/>
        </w:rPr>
        <w:t>名格鲁吉亚学术研究人员前往国外访问，但</w:t>
      </w:r>
      <w:r>
        <w:rPr>
          <w:rFonts w:hint="eastAsia"/>
        </w:rPr>
        <w:t>2000</w:t>
      </w:r>
      <w:r>
        <w:rPr>
          <w:rFonts w:hint="eastAsia"/>
        </w:rPr>
        <w:t>年，仅仅科学院的数学家和物理学家就进行了大约</w:t>
      </w:r>
      <w:r>
        <w:rPr>
          <w:rFonts w:hint="eastAsia"/>
        </w:rPr>
        <w:t>180</w:t>
      </w:r>
      <w:r>
        <w:rPr>
          <w:rFonts w:hint="eastAsia"/>
        </w:rPr>
        <w:t>次此类访问。平均来说，科学院其他部门也有几乎相等的人员前往国外访问。最经常访问的国家是奥地利、法国、德国、意大利、俄罗斯联邦、瑞士和联合王国，但格鲁吉亚学术研究人员访问了世界上</w:t>
      </w:r>
      <w:r>
        <w:rPr>
          <w:rFonts w:hint="eastAsia"/>
        </w:rPr>
        <w:t>20</w:t>
      </w:r>
      <w:r>
        <w:rPr>
          <w:rFonts w:hint="eastAsia"/>
        </w:rPr>
        <w:t>多个国家。</w:t>
      </w:r>
    </w:p>
    <w:p w:rsidR="00000000" w:rsidRDefault="00000000">
      <w:pPr>
        <w:rPr>
          <w:rFonts w:hint="eastAsia"/>
        </w:rPr>
      </w:pPr>
      <w:r>
        <w:rPr>
          <w:rFonts w:hint="eastAsia"/>
        </w:rPr>
        <w:tab/>
        <w:t xml:space="preserve">281.  </w:t>
      </w:r>
      <w:r>
        <w:rPr>
          <w:rFonts w:hint="eastAsia"/>
        </w:rPr>
        <w:t>关于格鲁吉亚学术研究人员对国际科学所作的贡献，值得一提的是一些著名人士，例如数学家</w:t>
      </w:r>
      <w:r>
        <w:rPr>
          <w:rFonts w:hint="eastAsia"/>
        </w:rPr>
        <w:t xml:space="preserve">I. </w:t>
      </w:r>
      <w:r>
        <w:rPr>
          <w:lang w:val="fr-CH"/>
        </w:rPr>
        <w:t>Muskhelishvili</w:t>
      </w:r>
      <w:r>
        <w:rPr>
          <w:rFonts w:hint="eastAsia"/>
        </w:rPr>
        <w:t>和</w:t>
      </w:r>
      <w:r>
        <w:rPr>
          <w:lang w:val="fr-CH"/>
        </w:rPr>
        <w:t>I. Vekhua</w:t>
      </w:r>
      <w:r>
        <w:rPr>
          <w:rFonts w:hint="eastAsia"/>
          <w:lang w:val="fr-CH"/>
        </w:rPr>
        <w:t>、物理学家</w:t>
      </w:r>
      <w:r>
        <w:rPr>
          <w:rFonts w:hint="eastAsia"/>
          <w:lang w:val="fr-CH"/>
        </w:rPr>
        <w:t xml:space="preserve">A. </w:t>
      </w:r>
      <w:r>
        <w:rPr>
          <w:lang w:val="fr-CH"/>
        </w:rPr>
        <w:t>Tavkhelidze</w:t>
      </w:r>
      <w:r>
        <w:rPr>
          <w:rFonts w:hint="eastAsia"/>
        </w:rPr>
        <w:t>、生理学家</w:t>
      </w:r>
      <w:r>
        <w:rPr>
          <w:lang w:val="fr-CH"/>
        </w:rPr>
        <w:t>I. Beritashvili</w:t>
      </w:r>
      <w:r>
        <w:rPr>
          <w:rFonts w:hint="eastAsia"/>
        </w:rPr>
        <w:t>、心理学家</w:t>
      </w:r>
      <w:r>
        <w:rPr>
          <w:rFonts w:hint="eastAsia"/>
          <w:lang w:val="fr-CH"/>
        </w:rPr>
        <w:t>D. U</w:t>
      </w:r>
      <w:r>
        <w:rPr>
          <w:lang w:val="fr-CH"/>
        </w:rPr>
        <w:t>znadze</w:t>
      </w:r>
      <w:r>
        <w:rPr>
          <w:rFonts w:hint="eastAsia"/>
          <w:lang w:val="fr-CH"/>
        </w:rPr>
        <w:t>等等</w:t>
      </w:r>
      <w:r>
        <w:rPr>
          <w:rFonts w:hint="eastAsia"/>
        </w:rPr>
        <w:t>。格鲁吉亚学术研究人员最近取得的重大科学进展包括发现估计是</w:t>
      </w:r>
      <w:r>
        <w:rPr>
          <w:rFonts w:hint="eastAsia"/>
        </w:rPr>
        <w:t>170</w:t>
      </w:r>
      <w:r>
        <w:rPr>
          <w:rFonts w:hint="eastAsia"/>
        </w:rPr>
        <w:t>万年以前的两个史前直立人头盖骨</w:t>
      </w:r>
      <w:r>
        <w:rPr>
          <w:rFonts w:hint="eastAsia"/>
        </w:rPr>
        <w:t>(</w:t>
      </w:r>
      <w:r>
        <w:rPr>
          <w:rFonts w:hint="eastAsia"/>
        </w:rPr>
        <w:t>所谓的匠人</w:t>
      </w:r>
      <w:r>
        <w:rPr>
          <w:rFonts w:hint="eastAsia"/>
        </w:rPr>
        <w:t>)</w:t>
      </w:r>
      <w:r>
        <w:rPr>
          <w:rFonts w:hint="eastAsia"/>
        </w:rPr>
        <w:t>。这些头盖骨是在第比利斯以西的一个考古现场发现的。这一发现对于国际科学界具有重大的意义，因为它证明，在欧洲定居的人类比原来想象的早两倍时间。它还证实，史前人类从非洲通过高加索进入欧洲。为了继续研究这一发现，格鲁吉亚科学院发起了一个在发现早期原始人类的现场进行跨学科研究的国际项目。这一项目预定从</w:t>
      </w:r>
      <w:r>
        <w:rPr>
          <w:rFonts w:hint="eastAsia"/>
        </w:rPr>
        <w:t>2000</w:t>
      </w:r>
      <w:r>
        <w:rPr>
          <w:rFonts w:hint="eastAsia"/>
        </w:rPr>
        <w:t>年持续到</w:t>
      </w:r>
      <w:r>
        <w:rPr>
          <w:rFonts w:hint="eastAsia"/>
        </w:rPr>
        <w:t>2005</w:t>
      </w:r>
      <w:r>
        <w:rPr>
          <w:rFonts w:hint="eastAsia"/>
        </w:rPr>
        <w:t>年。可以指望德国、美国和其他外国学术研究人员将配合格鲁吉亚同仁。</w:t>
      </w:r>
    </w:p>
    <w:p w:rsidR="00000000" w:rsidRDefault="00000000">
      <w:pPr>
        <w:rPr>
          <w:rFonts w:hint="eastAsia"/>
        </w:rPr>
      </w:pPr>
      <w:r>
        <w:rPr>
          <w:rFonts w:hint="eastAsia"/>
        </w:rPr>
        <w:tab/>
        <w:t xml:space="preserve">282.  </w:t>
      </w:r>
      <w:r>
        <w:rPr>
          <w:rFonts w:hint="eastAsia"/>
        </w:rPr>
        <w:t>我们遗憾地报告说，在</w:t>
      </w:r>
      <w:r>
        <w:rPr>
          <w:rFonts w:hint="eastAsia"/>
        </w:rPr>
        <w:t>1997-2001</w:t>
      </w:r>
      <w:r>
        <w:rPr>
          <w:rFonts w:hint="eastAsia"/>
        </w:rPr>
        <w:t>年期间，格鲁吉亚科学院的财政前景没有得到改善。几乎所有方面</w:t>
      </w:r>
      <w:r>
        <w:rPr>
          <w:rFonts w:hint="eastAsia"/>
          <w:spacing w:val="-40"/>
          <w:sz w:val="22"/>
        </w:rPr>
        <w:t>——</w:t>
      </w:r>
      <w:r>
        <w:rPr>
          <w:sz w:val="22"/>
        </w:rPr>
        <w:t xml:space="preserve"> </w:t>
      </w:r>
      <w:r>
        <w:rPr>
          <w:rFonts w:hint="eastAsia"/>
        </w:rPr>
        <w:t>水电、办公和运输日常费用都降低了开支，更不用说研究。预算中削减了新的设备和基本维修的开支。</w:t>
      </w:r>
    </w:p>
    <w:p w:rsidR="00000000" w:rsidRDefault="00000000">
      <w:pPr>
        <w:spacing w:after="240"/>
        <w:rPr>
          <w:rFonts w:hint="eastAsia"/>
        </w:rPr>
      </w:pPr>
      <w:r>
        <w:rPr>
          <w:rFonts w:hint="eastAsia"/>
        </w:rPr>
        <w:tab/>
        <w:t xml:space="preserve">283.  </w:t>
      </w:r>
      <w:r>
        <w:rPr>
          <w:rFonts w:hint="eastAsia"/>
        </w:rPr>
        <w:t>在同一时期，科学院的工作人员人数从</w:t>
      </w:r>
      <w:r>
        <w:rPr>
          <w:rFonts w:hint="eastAsia"/>
        </w:rPr>
        <w:t>10,389.5</w:t>
      </w:r>
      <w:r>
        <w:rPr>
          <w:rFonts w:hint="eastAsia"/>
        </w:rPr>
        <w:t>个人员单位下降到</w:t>
      </w:r>
      <w:r>
        <w:rPr>
          <w:rFonts w:hint="eastAsia"/>
        </w:rPr>
        <w:t>6,878.5</w:t>
      </w:r>
      <w:r>
        <w:rPr>
          <w:rFonts w:hint="eastAsia"/>
        </w:rPr>
        <w:t>个人员单位</w:t>
      </w:r>
      <w:r>
        <w:rPr>
          <w:rFonts w:hint="eastAsia"/>
        </w:rPr>
        <w:t>(33.8%)</w:t>
      </w:r>
      <w:r>
        <w:rPr>
          <w:rFonts w:hint="eastAsia"/>
        </w:rPr>
        <w:t>。科学院的雇员人数自</w:t>
      </w:r>
      <w:r>
        <w:rPr>
          <w:rFonts w:hint="eastAsia"/>
        </w:rPr>
        <w:t>1994</w:t>
      </w:r>
      <w:r>
        <w:rPr>
          <w:rFonts w:hint="eastAsia"/>
        </w:rPr>
        <w:t>年以来削减了一半。</w:t>
      </w:r>
    </w:p>
    <w:p w:rsidR="00000000" w:rsidRDefault="00000000">
      <w:pPr>
        <w:pStyle w:val="Heading4"/>
        <w:rPr>
          <w:rFonts w:hint="eastAsia"/>
        </w:rPr>
      </w:pPr>
      <w:r>
        <w:rPr>
          <w:rFonts w:hint="eastAsia"/>
        </w:rPr>
        <w:t>国际文化联系</w:t>
      </w:r>
    </w:p>
    <w:p w:rsidR="00000000" w:rsidRDefault="00000000">
      <w:pPr>
        <w:rPr>
          <w:rFonts w:hint="eastAsia"/>
        </w:rPr>
      </w:pPr>
      <w:r>
        <w:rPr>
          <w:rFonts w:hint="eastAsia"/>
        </w:rPr>
        <w:tab/>
        <w:t>284.  2000</w:t>
      </w:r>
      <w:r>
        <w:rPr>
          <w:rFonts w:hint="eastAsia"/>
        </w:rPr>
        <w:t>年，格鲁吉亚作为欧洲理事会的正式成员第二次庆祝了欧洲传统文化日。这种庆祝活动是在欧洲共同体的支持下在欧洲理事会的成员国里每年举行的。</w:t>
      </w:r>
    </w:p>
    <w:p w:rsidR="00000000" w:rsidRDefault="00000000">
      <w:pPr>
        <w:rPr>
          <w:rFonts w:hint="eastAsia"/>
        </w:rPr>
      </w:pPr>
      <w:r>
        <w:rPr>
          <w:rFonts w:hint="eastAsia"/>
        </w:rPr>
        <w:tab/>
        <w:t xml:space="preserve">285.  </w:t>
      </w:r>
      <w:r>
        <w:rPr>
          <w:rFonts w:hint="eastAsia"/>
        </w:rPr>
        <w:t>亚美尼亚、阿塞拜疆和格鲁吉亚文化部长之间的第一次会议于</w:t>
      </w:r>
      <w:r>
        <w:rPr>
          <w:rFonts w:hint="eastAsia"/>
        </w:rPr>
        <w:t>2000</w:t>
      </w:r>
      <w:r>
        <w:rPr>
          <w:rFonts w:hint="eastAsia"/>
        </w:rPr>
        <w:t>年</w:t>
      </w:r>
      <w:r>
        <w:rPr>
          <w:rFonts w:hint="eastAsia"/>
        </w:rPr>
        <w:t>12</w:t>
      </w:r>
      <w:r>
        <w:rPr>
          <w:rFonts w:hint="eastAsia"/>
        </w:rPr>
        <w:t>月在法国斯特拉斯堡欧洲理事会总部举行。这次会议集中讨论了欧洲理事会为这三国的一项首要文化政策制定的一个项目，预定执行期为三年。与此同时，格鲁吉亚和俄罗斯联邦文化部长签署了一项条约，确保其各自文化部在</w:t>
      </w:r>
      <w:r>
        <w:rPr>
          <w:rFonts w:hint="eastAsia"/>
        </w:rPr>
        <w:t>2000-2002</w:t>
      </w:r>
      <w:r>
        <w:rPr>
          <w:rFonts w:hint="eastAsia"/>
        </w:rPr>
        <w:t>年期间展开合作。</w:t>
      </w:r>
    </w:p>
    <w:p w:rsidR="00000000" w:rsidRDefault="00000000">
      <w:pPr>
        <w:rPr>
          <w:rFonts w:hint="eastAsia"/>
        </w:rPr>
      </w:pPr>
      <w:r>
        <w:rPr>
          <w:rFonts w:hint="eastAsia"/>
        </w:rPr>
        <w:tab/>
        <w:t xml:space="preserve">286.  </w:t>
      </w:r>
      <w:r>
        <w:rPr>
          <w:rFonts w:hint="eastAsia"/>
        </w:rPr>
        <w:t>格鲁吉亚文化部正在与中华人民共和国相应机构建立非常密切的联系。</w:t>
      </w:r>
      <w:r>
        <w:rPr>
          <w:rFonts w:hint="eastAsia"/>
        </w:rPr>
        <w:t>2001</w:t>
      </w:r>
      <w:r>
        <w:rPr>
          <w:rFonts w:hint="eastAsia"/>
        </w:rPr>
        <w:t>年</w:t>
      </w:r>
      <w:r>
        <w:rPr>
          <w:rFonts w:hint="eastAsia"/>
        </w:rPr>
        <w:t>4</w:t>
      </w:r>
      <w:r>
        <w:rPr>
          <w:rFonts w:hint="eastAsia"/>
        </w:rPr>
        <w:t>月，签署了一项议定书，鼓励在</w:t>
      </w:r>
      <w:r>
        <w:rPr>
          <w:rFonts w:hint="eastAsia"/>
        </w:rPr>
        <w:t>2002-2004</w:t>
      </w:r>
      <w:r>
        <w:rPr>
          <w:rFonts w:hint="eastAsia"/>
        </w:rPr>
        <w:t>年期间进行合作。根据计划，将于</w:t>
      </w:r>
      <w:r>
        <w:rPr>
          <w:rFonts w:hint="eastAsia"/>
        </w:rPr>
        <w:t>2001</w:t>
      </w:r>
      <w:r>
        <w:rPr>
          <w:rFonts w:hint="eastAsia"/>
        </w:rPr>
        <w:t>年秋季在北京举行格鲁吉亚文化日，于</w:t>
      </w:r>
      <w:r>
        <w:rPr>
          <w:rFonts w:hint="eastAsia"/>
        </w:rPr>
        <w:t>2002</w:t>
      </w:r>
      <w:r>
        <w:rPr>
          <w:rFonts w:hint="eastAsia"/>
        </w:rPr>
        <w:t>年春季在第比利斯举行中国文化日。</w:t>
      </w:r>
    </w:p>
    <w:p w:rsidR="00000000" w:rsidRDefault="00000000">
      <w:pPr>
        <w:rPr>
          <w:rFonts w:hint="eastAsia"/>
        </w:rPr>
      </w:pPr>
      <w:r>
        <w:rPr>
          <w:rFonts w:hint="eastAsia"/>
        </w:rPr>
        <w:tab/>
        <w:t xml:space="preserve">287.  </w:t>
      </w:r>
      <w:r>
        <w:rPr>
          <w:rFonts w:hint="eastAsia"/>
        </w:rPr>
        <w:t>欧洲理事会一批专家预定于</w:t>
      </w:r>
      <w:r>
        <w:rPr>
          <w:rFonts w:hint="eastAsia"/>
        </w:rPr>
        <w:t>2001</w:t>
      </w:r>
      <w:r>
        <w:rPr>
          <w:rFonts w:hint="eastAsia"/>
        </w:rPr>
        <w:t>年</w:t>
      </w:r>
      <w:r>
        <w:rPr>
          <w:rFonts w:hint="eastAsia"/>
        </w:rPr>
        <w:t>6</w:t>
      </w:r>
      <w:r>
        <w:rPr>
          <w:rFonts w:hint="eastAsia"/>
        </w:rPr>
        <w:t>月对格鲁吉亚进行首次访问。由</w:t>
      </w:r>
      <w:r>
        <w:rPr>
          <w:rFonts w:hint="eastAsia"/>
        </w:rPr>
        <w:t>T</w:t>
      </w:r>
      <w:r>
        <w:t>erry Sandell</w:t>
      </w:r>
      <w:r>
        <w:rPr>
          <w:rFonts w:hint="eastAsia"/>
        </w:rPr>
        <w:t>先生率领的这支队伍将研究格鲁吉亚文化政策的各个方面。根据计划，将在访问期间组织一次研讨会和讲习班，出席者有格鲁吉亚、阿塞拜疆和亚美尼亚的文化人士。</w:t>
      </w:r>
    </w:p>
    <w:p w:rsidR="00000000" w:rsidRDefault="00000000">
      <w:pPr>
        <w:rPr>
          <w:rFonts w:hint="eastAsia"/>
        </w:rPr>
      </w:pPr>
      <w:r>
        <w:rPr>
          <w:rFonts w:hint="eastAsia"/>
        </w:rPr>
        <w:tab/>
        <w:t xml:space="preserve">288.  </w:t>
      </w:r>
      <w:r>
        <w:rPr>
          <w:rFonts w:hint="eastAsia"/>
        </w:rPr>
        <w:t>应该指出，国际文化合作领域里的一些令人感兴趣的项目的执行仍然极为困难。主要障碍是长期资金不足。</w:t>
      </w: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p>
    <w:p w:rsidR="00000000" w:rsidRDefault="00000000">
      <w:pPr>
        <w:pStyle w:val="Heading3"/>
        <w:rPr>
          <w:rFonts w:hint="eastAsia"/>
        </w:rPr>
      </w:pPr>
      <w:r>
        <w:rPr>
          <w:rFonts w:hint="eastAsia"/>
        </w:rPr>
        <w:t>表</w:t>
      </w:r>
      <w:r>
        <w:rPr>
          <w:rFonts w:hint="eastAsia"/>
        </w:rPr>
        <w:t xml:space="preserve">  1</w:t>
      </w:r>
    </w:p>
    <w:p w:rsidR="00000000" w:rsidRDefault="00000000">
      <w:pPr>
        <w:pStyle w:val="Heading3"/>
        <w:rPr>
          <w:rFonts w:hint="eastAsia"/>
        </w:rPr>
      </w:pPr>
      <w:r>
        <w:rPr>
          <w:rFonts w:hint="eastAsia"/>
        </w:rPr>
        <w:t>绝对和相对贫困水平</w:t>
      </w:r>
      <w:r>
        <w:rPr>
          <w:rFonts w:hint="eastAsia"/>
        </w:rPr>
        <w:t>(</w:t>
      </w:r>
      <w:r>
        <w:rPr>
          <w:rFonts w:hint="eastAsia"/>
        </w:rPr>
        <w:t>拉里</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tabs>
                <w:tab w:val="left" w:pos="227"/>
              </w:tabs>
              <w:spacing w:before="60" w:line="320" w:lineRule="exact"/>
              <w:ind w:left="57" w:right="57"/>
              <w:jc w:val="center"/>
              <w:rPr>
                <w:spacing w:val="4"/>
                <w:sz w:val="21"/>
                <w:u w:val="single"/>
              </w:rPr>
            </w:pPr>
            <w:r>
              <w:rPr>
                <w:rFonts w:hint="eastAsia"/>
                <w:spacing w:val="4"/>
                <w:sz w:val="21"/>
                <w:u w:val="single"/>
                <w:lang w:val="fr-CH"/>
              </w:rPr>
              <w:t>年份</w:t>
            </w:r>
            <w:r>
              <w:rPr>
                <w:spacing w:val="4"/>
                <w:sz w:val="21"/>
                <w:u w:val="single"/>
              </w:rPr>
              <w:t xml:space="preserve"> (</w:t>
            </w:r>
            <w:r>
              <w:rPr>
                <w:rFonts w:hint="eastAsia"/>
                <w:spacing w:val="4"/>
                <w:sz w:val="21"/>
                <w:u w:val="single"/>
                <w:lang w:val="fr-CH"/>
              </w:rPr>
              <w:t>平均</w:t>
            </w:r>
            <w:r>
              <w:rPr>
                <w:spacing w:val="4"/>
                <w:sz w:val="21"/>
                <w:u w:val="single"/>
              </w:rPr>
              <w:t>)</w:t>
            </w:r>
          </w:p>
        </w:tc>
        <w:tc>
          <w:tcPr>
            <w:tcW w:w="3190" w:type="dxa"/>
            <w:tcBorders>
              <w:bottom w:val="single" w:sz="4" w:space="0" w:color="auto"/>
            </w:tcBorders>
          </w:tcPr>
          <w:p w:rsidR="00000000" w:rsidRDefault="00000000">
            <w:pPr>
              <w:tabs>
                <w:tab w:val="left" w:pos="227"/>
              </w:tabs>
              <w:spacing w:before="60" w:line="320" w:lineRule="exact"/>
              <w:ind w:left="57" w:right="57"/>
              <w:jc w:val="center"/>
              <w:rPr>
                <w:rFonts w:hint="eastAsia"/>
                <w:spacing w:val="4"/>
                <w:sz w:val="21"/>
                <w:u w:val="single"/>
              </w:rPr>
            </w:pPr>
            <w:r>
              <w:rPr>
                <w:rFonts w:hint="eastAsia"/>
                <w:spacing w:val="4"/>
                <w:sz w:val="21"/>
                <w:u w:val="single"/>
                <w:lang w:val="fr-CH"/>
              </w:rPr>
              <w:t>生活水平</w:t>
            </w:r>
          </w:p>
        </w:tc>
        <w:tc>
          <w:tcPr>
            <w:tcW w:w="3084" w:type="dxa"/>
            <w:tcBorders>
              <w:bottom w:val="single" w:sz="4" w:space="0" w:color="auto"/>
            </w:tcBorders>
          </w:tcPr>
          <w:p w:rsidR="00000000" w:rsidRDefault="00000000">
            <w:pPr>
              <w:tabs>
                <w:tab w:val="left" w:pos="227"/>
              </w:tabs>
              <w:spacing w:before="60" w:line="320" w:lineRule="exact"/>
              <w:ind w:left="57" w:right="57"/>
              <w:jc w:val="center"/>
              <w:rPr>
                <w:rFonts w:hint="eastAsia"/>
                <w:spacing w:val="4"/>
                <w:sz w:val="21"/>
                <w:u w:val="single"/>
                <w:lang w:val="fr-CH"/>
              </w:rPr>
            </w:pPr>
            <w:r>
              <w:rPr>
                <w:rFonts w:hint="eastAsia"/>
                <w:spacing w:val="4"/>
                <w:sz w:val="21"/>
                <w:u w:val="single"/>
                <w:lang w:val="fr-CH"/>
              </w:rPr>
              <w:t>平均消费</w:t>
            </w:r>
          </w:p>
        </w:tc>
      </w:tr>
      <w:tr w:rsidR="00000000">
        <w:tblPrEx>
          <w:tblCellMar>
            <w:top w:w="0" w:type="dxa"/>
            <w:bottom w:w="0" w:type="dxa"/>
          </w:tblCellMar>
        </w:tblPrEx>
        <w:tc>
          <w:tcPr>
            <w:tcW w:w="3082" w:type="dxa"/>
            <w:tcBorders>
              <w:bottom w:val="nil"/>
            </w:tcBorders>
          </w:tcPr>
          <w:p w:rsidR="00000000" w:rsidRDefault="00000000">
            <w:pPr>
              <w:tabs>
                <w:tab w:val="left" w:pos="227"/>
              </w:tabs>
              <w:spacing w:before="60" w:line="320" w:lineRule="exact"/>
              <w:ind w:left="57" w:right="57"/>
              <w:jc w:val="center"/>
              <w:rPr>
                <w:spacing w:val="4"/>
                <w:sz w:val="21"/>
                <w:lang w:val="fr-CH"/>
              </w:rPr>
            </w:pPr>
            <w:r>
              <w:rPr>
                <w:spacing w:val="4"/>
                <w:sz w:val="21"/>
                <w:lang w:val="fr-CH"/>
              </w:rPr>
              <w:t>1997</w:t>
            </w:r>
          </w:p>
        </w:tc>
        <w:tc>
          <w:tcPr>
            <w:tcW w:w="3190" w:type="dxa"/>
            <w:tcBorders>
              <w:bottom w:val="nil"/>
            </w:tcBorders>
          </w:tcPr>
          <w:p w:rsidR="00000000" w:rsidRDefault="00000000">
            <w:pPr>
              <w:tabs>
                <w:tab w:val="left" w:pos="227"/>
              </w:tabs>
              <w:spacing w:before="60" w:line="320" w:lineRule="exact"/>
              <w:ind w:left="57" w:right="57"/>
              <w:jc w:val="center"/>
              <w:rPr>
                <w:spacing w:val="4"/>
                <w:sz w:val="21"/>
                <w:lang w:val="fr-CH"/>
              </w:rPr>
            </w:pPr>
            <w:r>
              <w:rPr>
                <w:spacing w:val="4"/>
                <w:sz w:val="21"/>
                <w:lang w:val="fr-CH"/>
              </w:rPr>
              <w:t>105.3</w:t>
            </w:r>
          </w:p>
        </w:tc>
        <w:tc>
          <w:tcPr>
            <w:tcW w:w="3084" w:type="dxa"/>
            <w:tcBorders>
              <w:bottom w:val="nil"/>
            </w:tcBorders>
          </w:tcPr>
          <w:p w:rsidR="00000000" w:rsidRDefault="00000000">
            <w:pPr>
              <w:tabs>
                <w:tab w:val="left" w:pos="227"/>
              </w:tabs>
              <w:spacing w:before="60" w:line="320" w:lineRule="exact"/>
              <w:ind w:left="57" w:right="57"/>
              <w:jc w:val="center"/>
              <w:rPr>
                <w:spacing w:val="4"/>
                <w:sz w:val="21"/>
                <w:lang w:val="fr-CH"/>
              </w:rPr>
            </w:pPr>
            <w:r>
              <w:rPr>
                <w:spacing w:val="4"/>
                <w:sz w:val="21"/>
                <w:lang w:val="fr-CH"/>
              </w:rPr>
              <w:t>117.7</w:t>
            </w:r>
          </w:p>
        </w:tc>
      </w:tr>
      <w:tr w:rsidR="00000000">
        <w:tblPrEx>
          <w:tblCellMar>
            <w:top w:w="0" w:type="dxa"/>
            <w:bottom w:w="0" w:type="dxa"/>
          </w:tblCellMar>
        </w:tblPrEx>
        <w:tc>
          <w:tcPr>
            <w:tcW w:w="3082" w:type="dxa"/>
            <w:tcBorders>
              <w:top w:val="nil"/>
              <w:bottom w:val="nil"/>
            </w:tcBorders>
          </w:tcPr>
          <w:p w:rsidR="00000000" w:rsidRDefault="00000000">
            <w:pPr>
              <w:tabs>
                <w:tab w:val="left" w:pos="227"/>
              </w:tabs>
              <w:spacing w:before="60" w:line="320" w:lineRule="exact"/>
              <w:ind w:left="57" w:right="57"/>
              <w:jc w:val="center"/>
              <w:rPr>
                <w:spacing w:val="4"/>
                <w:sz w:val="21"/>
                <w:lang w:val="fr-CH"/>
              </w:rPr>
            </w:pPr>
            <w:r>
              <w:rPr>
                <w:spacing w:val="4"/>
                <w:sz w:val="21"/>
                <w:lang w:val="fr-CH"/>
              </w:rPr>
              <w:t>1998</w:t>
            </w:r>
          </w:p>
        </w:tc>
        <w:tc>
          <w:tcPr>
            <w:tcW w:w="3190" w:type="dxa"/>
            <w:tcBorders>
              <w:top w:val="nil"/>
              <w:bottom w:val="nil"/>
            </w:tcBorders>
          </w:tcPr>
          <w:p w:rsidR="00000000" w:rsidRDefault="00000000">
            <w:pPr>
              <w:tabs>
                <w:tab w:val="left" w:pos="227"/>
              </w:tabs>
              <w:spacing w:before="60" w:line="320" w:lineRule="exact"/>
              <w:ind w:left="57" w:right="57"/>
              <w:jc w:val="center"/>
              <w:rPr>
                <w:spacing w:val="4"/>
                <w:sz w:val="21"/>
                <w:lang w:val="fr-CH"/>
              </w:rPr>
            </w:pPr>
            <w:r>
              <w:rPr>
                <w:spacing w:val="4"/>
                <w:sz w:val="21"/>
                <w:lang w:val="fr-CH"/>
              </w:rPr>
              <w:t>101.6</w:t>
            </w:r>
          </w:p>
        </w:tc>
        <w:tc>
          <w:tcPr>
            <w:tcW w:w="3084" w:type="dxa"/>
            <w:tcBorders>
              <w:top w:val="nil"/>
              <w:bottom w:val="nil"/>
            </w:tcBorders>
          </w:tcPr>
          <w:p w:rsidR="00000000" w:rsidRDefault="00000000">
            <w:pPr>
              <w:tabs>
                <w:tab w:val="left" w:pos="227"/>
              </w:tabs>
              <w:spacing w:before="60" w:line="320" w:lineRule="exact"/>
              <w:ind w:left="57" w:right="57"/>
              <w:jc w:val="center"/>
              <w:rPr>
                <w:spacing w:val="4"/>
                <w:sz w:val="21"/>
                <w:lang w:val="fr-CH"/>
              </w:rPr>
            </w:pPr>
            <w:r>
              <w:rPr>
                <w:spacing w:val="4"/>
                <w:sz w:val="21"/>
                <w:lang w:val="fr-CH"/>
              </w:rPr>
              <w:t>102.8</w:t>
            </w:r>
          </w:p>
        </w:tc>
      </w:tr>
      <w:tr w:rsidR="00000000">
        <w:tblPrEx>
          <w:tblCellMar>
            <w:top w:w="0" w:type="dxa"/>
            <w:bottom w:w="0" w:type="dxa"/>
          </w:tblCellMar>
        </w:tblPrEx>
        <w:tc>
          <w:tcPr>
            <w:tcW w:w="3082" w:type="dxa"/>
            <w:tcBorders>
              <w:top w:val="nil"/>
            </w:tcBorders>
          </w:tcPr>
          <w:p w:rsidR="00000000" w:rsidRDefault="00000000">
            <w:pPr>
              <w:tabs>
                <w:tab w:val="left" w:pos="227"/>
              </w:tabs>
              <w:spacing w:before="60" w:line="320" w:lineRule="exact"/>
              <w:ind w:left="57" w:right="57"/>
              <w:jc w:val="center"/>
              <w:rPr>
                <w:spacing w:val="4"/>
                <w:sz w:val="21"/>
                <w:lang w:val="fr-CH"/>
              </w:rPr>
            </w:pPr>
            <w:r>
              <w:rPr>
                <w:spacing w:val="4"/>
                <w:sz w:val="21"/>
                <w:lang w:val="fr-CH"/>
              </w:rPr>
              <w:t>1999</w:t>
            </w:r>
          </w:p>
        </w:tc>
        <w:tc>
          <w:tcPr>
            <w:tcW w:w="3190" w:type="dxa"/>
            <w:tcBorders>
              <w:top w:val="nil"/>
            </w:tcBorders>
          </w:tcPr>
          <w:p w:rsidR="00000000" w:rsidRDefault="00000000">
            <w:pPr>
              <w:tabs>
                <w:tab w:val="left" w:pos="227"/>
              </w:tabs>
              <w:spacing w:before="60" w:line="320" w:lineRule="exact"/>
              <w:ind w:left="57" w:right="57"/>
              <w:jc w:val="center"/>
              <w:rPr>
                <w:spacing w:val="4"/>
                <w:sz w:val="21"/>
                <w:lang w:val="fr-CH"/>
              </w:rPr>
            </w:pPr>
            <w:r>
              <w:rPr>
                <w:spacing w:val="4"/>
                <w:sz w:val="21"/>
                <w:lang w:val="fr-CH"/>
              </w:rPr>
              <w:t>115.8</w:t>
            </w:r>
          </w:p>
        </w:tc>
        <w:tc>
          <w:tcPr>
            <w:tcW w:w="3084" w:type="dxa"/>
            <w:tcBorders>
              <w:top w:val="nil"/>
            </w:tcBorders>
          </w:tcPr>
          <w:p w:rsidR="00000000" w:rsidRDefault="00000000">
            <w:pPr>
              <w:tabs>
                <w:tab w:val="left" w:pos="227"/>
              </w:tabs>
              <w:spacing w:before="60" w:line="320" w:lineRule="exact"/>
              <w:ind w:left="57" w:right="57"/>
              <w:jc w:val="center"/>
              <w:rPr>
                <w:spacing w:val="4"/>
                <w:sz w:val="21"/>
                <w:lang w:val="fr-CH"/>
              </w:rPr>
            </w:pPr>
            <w:r>
              <w:rPr>
                <w:spacing w:val="4"/>
                <w:sz w:val="21"/>
                <w:lang w:val="fr-CH"/>
              </w:rPr>
              <w:t>113.3</w:t>
            </w:r>
          </w:p>
        </w:tc>
      </w:tr>
    </w:tbl>
    <w:p w:rsidR="00000000" w:rsidRDefault="00000000">
      <w:pPr>
        <w:rPr>
          <w:rFonts w:hint="eastAsia"/>
          <w:sz w:val="22"/>
          <w:u w:val="single"/>
          <w:lang w:val="fr-CH"/>
        </w:rPr>
      </w:pPr>
    </w:p>
    <w:p w:rsidR="00000000" w:rsidRDefault="00000000">
      <w:pPr>
        <w:rPr>
          <w:rFonts w:hint="eastAsia"/>
          <w:sz w:val="22"/>
          <w:u w:val="single"/>
          <w:lang w:val="fr-CH"/>
        </w:rPr>
      </w:pPr>
    </w:p>
    <w:p w:rsidR="00000000" w:rsidRDefault="00000000">
      <w:pPr>
        <w:rPr>
          <w:rFonts w:hint="eastAsia"/>
          <w:sz w:val="22"/>
          <w:u w:val="single"/>
          <w:lang w:val="fr-CH"/>
        </w:rPr>
      </w:pPr>
    </w:p>
    <w:p w:rsidR="00000000" w:rsidRDefault="00000000">
      <w:pPr>
        <w:pStyle w:val="Heading3"/>
        <w:rPr>
          <w:kern w:val="0"/>
          <w:lang w:val="fr-CH"/>
        </w:rPr>
      </w:pPr>
      <w:r>
        <w:rPr>
          <w:rFonts w:hint="eastAsia"/>
          <w:kern w:val="0"/>
          <w:lang w:val="fr-CH"/>
        </w:rPr>
        <w:t>表</w:t>
      </w:r>
      <w:r>
        <w:rPr>
          <w:rFonts w:hint="eastAsia"/>
          <w:kern w:val="0"/>
          <w:lang w:val="fr-CH"/>
        </w:rPr>
        <w:t xml:space="preserve"> </w:t>
      </w:r>
      <w:r>
        <w:rPr>
          <w:kern w:val="0"/>
          <w:lang w:val="fr-CH"/>
        </w:rPr>
        <w:t xml:space="preserve"> 2</w:t>
      </w:r>
    </w:p>
    <w:p w:rsidR="00000000" w:rsidRDefault="00000000">
      <w:pPr>
        <w:pStyle w:val="Heading3"/>
        <w:rPr>
          <w:rFonts w:hint="eastAsia"/>
        </w:rPr>
      </w:pPr>
      <w:r>
        <w:rPr>
          <w:rFonts w:hint="eastAsia"/>
          <w:lang w:val="fr-CH"/>
        </w:rPr>
        <w:t>城市和农村地区贫困水平</w:t>
      </w:r>
      <w:r>
        <w:rPr>
          <w:rFonts w:hint="eastAsia"/>
          <w:lang w:val="fr-CH"/>
        </w:rPr>
        <w:t>(</w:t>
      </w:r>
      <w:r>
        <w:rPr>
          <w:rFonts w:hint="eastAsia"/>
          <w:lang w:val="fr-CH"/>
        </w:rPr>
        <w:t>百分比</w:t>
      </w:r>
      <w:r>
        <w:rPr>
          <w:rFonts w:hint="eastAsia"/>
          <w:lang w:val="fr-CH"/>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992"/>
        <w:gridCol w:w="993"/>
        <w:gridCol w:w="1134"/>
        <w:gridCol w:w="77"/>
        <w:gridCol w:w="915"/>
        <w:gridCol w:w="992"/>
        <w:gridCol w:w="992"/>
        <w:gridCol w:w="993"/>
        <w:gridCol w:w="992"/>
      </w:tblGrid>
      <w:tr w:rsidR="00000000">
        <w:tblPrEx>
          <w:tblCellMar>
            <w:top w:w="0" w:type="dxa"/>
            <w:bottom w:w="0" w:type="dxa"/>
          </w:tblCellMar>
        </w:tblPrEx>
        <w:trPr>
          <w:cantSplit/>
        </w:trPr>
        <w:tc>
          <w:tcPr>
            <w:tcW w:w="1276" w:type="dxa"/>
            <w:vMerge w:val="restart"/>
          </w:tcPr>
          <w:p w:rsidR="00000000" w:rsidRDefault="00000000">
            <w:pPr>
              <w:jc w:val="center"/>
              <w:rPr>
                <w:sz w:val="20"/>
              </w:rPr>
            </w:pPr>
          </w:p>
        </w:tc>
        <w:tc>
          <w:tcPr>
            <w:tcW w:w="4111" w:type="dxa"/>
            <w:gridSpan w:val="5"/>
          </w:tcPr>
          <w:p w:rsidR="00000000" w:rsidRDefault="00000000">
            <w:pPr>
              <w:spacing w:before="60"/>
              <w:jc w:val="center"/>
              <w:rPr>
                <w:rFonts w:ascii="Time New Roman" w:eastAsia="SimHei" w:hAnsi="Time New Roman" w:hint="eastAsia"/>
                <w:sz w:val="20"/>
              </w:rPr>
            </w:pPr>
            <w:r>
              <w:rPr>
                <w:rFonts w:ascii="Time New Roman" w:eastAsia="SimHei" w:hAnsi="Time New Roman"/>
                <w:b/>
                <w:sz w:val="20"/>
              </w:rPr>
              <w:t>1998</w:t>
            </w:r>
            <w:r>
              <w:rPr>
                <w:rFonts w:ascii="Time New Roman" w:eastAsia="SimHei" w:hAnsi="Time New Roman" w:hint="eastAsia"/>
                <w:sz w:val="20"/>
              </w:rPr>
              <w:t>年</w:t>
            </w:r>
          </w:p>
        </w:tc>
        <w:tc>
          <w:tcPr>
            <w:tcW w:w="3969" w:type="dxa"/>
            <w:gridSpan w:val="4"/>
          </w:tcPr>
          <w:p w:rsidR="00000000" w:rsidRDefault="00000000">
            <w:pPr>
              <w:spacing w:before="60"/>
              <w:jc w:val="center"/>
              <w:rPr>
                <w:rFonts w:ascii="Time New Roman" w:eastAsia="SimHei" w:hAnsi="Time New Roman" w:hint="eastAsia"/>
                <w:sz w:val="20"/>
              </w:rPr>
            </w:pPr>
            <w:r>
              <w:rPr>
                <w:rFonts w:ascii="Time New Roman" w:eastAsia="SimHei" w:hAnsi="Time New Roman"/>
                <w:b/>
                <w:sz w:val="20"/>
              </w:rPr>
              <w:t>1999</w:t>
            </w:r>
            <w:r>
              <w:rPr>
                <w:rFonts w:ascii="Time New Roman" w:eastAsia="SimHei" w:hAnsi="Time New Roman" w:hint="eastAsia"/>
                <w:sz w:val="20"/>
              </w:rPr>
              <w:t>年</w:t>
            </w:r>
          </w:p>
        </w:tc>
      </w:tr>
      <w:tr w:rsidR="00000000">
        <w:tblPrEx>
          <w:tblCellMar>
            <w:top w:w="0" w:type="dxa"/>
            <w:bottom w:w="0" w:type="dxa"/>
          </w:tblCellMar>
        </w:tblPrEx>
        <w:trPr>
          <w:cantSplit/>
        </w:trPr>
        <w:tc>
          <w:tcPr>
            <w:tcW w:w="1276" w:type="dxa"/>
            <w:vMerge/>
          </w:tcPr>
          <w:p w:rsidR="00000000" w:rsidRDefault="00000000">
            <w:pPr>
              <w:jc w:val="center"/>
              <w:rPr>
                <w:sz w:val="20"/>
              </w:rPr>
            </w:pPr>
          </w:p>
        </w:tc>
        <w:tc>
          <w:tcPr>
            <w:tcW w:w="992" w:type="dxa"/>
          </w:tcPr>
          <w:p w:rsidR="00000000" w:rsidRDefault="00000000">
            <w:pPr>
              <w:spacing w:before="120"/>
              <w:jc w:val="center"/>
              <w:rPr>
                <w:rFonts w:ascii="Time New Roman" w:eastAsia="SimHei" w:hAnsi="Time New Roman" w:hint="eastAsia"/>
                <w:spacing w:val="-4"/>
                <w:sz w:val="20"/>
              </w:rPr>
            </w:pPr>
            <w:r>
              <w:rPr>
                <w:rFonts w:ascii="Time New Roman" w:eastAsia="SimHei" w:hAnsi="Time New Roman" w:hint="eastAsia"/>
                <w:spacing w:val="-4"/>
                <w:sz w:val="20"/>
              </w:rPr>
              <w:t>第一季度</w:t>
            </w:r>
          </w:p>
        </w:tc>
        <w:tc>
          <w:tcPr>
            <w:tcW w:w="993" w:type="dxa"/>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第二季度</w:t>
            </w:r>
          </w:p>
        </w:tc>
        <w:tc>
          <w:tcPr>
            <w:tcW w:w="1134" w:type="dxa"/>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第三季度</w:t>
            </w:r>
          </w:p>
        </w:tc>
        <w:tc>
          <w:tcPr>
            <w:tcW w:w="992" w:type="dxa"/>
            <w:gridSpan w:val="2"/>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第四季度</w:t>
            </w:r>
          </w:p>
        </w:tc>
        <w:tc>
          <w:tcPr>
            <w:tcW w:w="992" w:type="dxa"/>
          </w:tcPr>
          <w:p w:rsidR="00000000" w:rsidRDefault="00000000">
            <w:pPr>
              <w:spacing w:before="120"/>
              <w:jc w:val="center"/>
              <w:rPr>
                <w:rFonts w:ascii="Time New Roman" w:eastAsia="SimHei" w:hAnsi="Time New Roman" w:hint="eastAsia"/>
                <w:spacing w:val="-4"/>
                <w:sz w:val="20"/>
              </w:rPr>
            </w:pPr>
            <w:r>
              <w:rPr>
                <w:rFonts w:ascii="Time New Roman" w:eastAsia="SimHei" w:hAnsi="Time New Roman" w:hint="eastAsia"/>
                <w:spacing w:val="-4"/>
                <w:sz w:val="20"/>
              </w:rPr>
              <w:t>第一季度</w:t>
            </w:r>
          </w:p>
        </w:tc>
        <w:tc>
          <w:tcPr>
            <w:tcW w:w="992" w:type="dxa"/>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第二季度</w:t>
            </w:r>
          </w:p>
        </w:tc>
        <w:tc>
          <w:tcPr>
            <w:tcW w:w="993" w:type="dxa"/>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第三季度</w:t>
            </w:r>
          </w:p>
        </w:tc>
        <w:tc>
          <w:tcPr>
            <w:tcW w:w="992" w:type="dxa"/>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第四季度</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jc w:val="center"/>
              <w:rPr>
                <w:sz w:val="20"/>
              </w:rPr>
            </w:pPr>
          </w:p>
        </w:tc>
        <w:tc>
          <w:tcPr>
            <w:tcW w:w="8080" w:type="dxa"/>
            <w:gridSpan w:val="9"/>
            <w:tcBorders>
              <w:bottom w:val="single" w:sz="4" w:space="0" w:color="auto"/>
            </w:tcBorders>
          </w:tcPr>
          <w:p w:rsidR="00000000" w:rsidRDefault="00000000">
            <w:pPr>
              <w:spacing w:before="120"/>
              <w:jc w:val="center"/>
              <w:rPr>
                <w:rFonts w:hint="eastAsia"/>
                <w:sz w:val="20"/>
              </w:rPr>
            </w:pPr>
            <w:r>
              <w:rPr>
                <w:rFonts w:hint="eastAsia"/>
                <w:sz w:val="20"/>
              </w:rPr>
              <w:t>相对于生活水平</w:t>
            </w:r>
          </w:p>
        </w:tc>
      </w:tr>
      <w:tr w:rsidR="00000000">
        <w:tblPrEx>
          <w:tblCellMar>
            <w:top w:w="0" w:type="dxa"/>
            <w:bottom w:w="0" w:type="dxa"/>
          </w:tblCellMar>
        </w:tblPrEx>
        <w:tc>
          <w:tcPr>
            <w:tcW w:w="1276" w:type="dxa"/>
            <w:tcBorders>
              <w:bottom w:val="nil"/>
            </w:tcBorders>
          </w:tcPr>
          <w:p w:rsidR="00000000" w:rsidRDefault="00000000">
            <w:pPr>
              <w:spacing w:before="60"/>
              <w:ind w:left="113"/>
              <w:rPr>
                <w:rFonts w:hint="eastAsia"/>
                <w:sz w:val="20"/>
              </w:rPr>
            </w:pPr>
            <w:r>
              <w:rPr>
                <w:rFonts w:hint="eastAsia"/>
                <w:sz w:val="20"/>
              </w:rPr>
              <w:t>城镇</w:t>
            </w:r>
          </w:p>
        </w:tc>
        <w:tc>
          <w:tcPr>
            <w:tcW w:w="992" w:type="dxa"/>
            <w:tcBorders>
              <w:bottom w:val="nil"/>
            </w:tcBorders>
          </w:tcPr>
          <w:p w:rsidR="00000000" w:rsidRDefault="00000000">
            <w:pPr>
              <w:spacing w:before="60"/>
              <w:ind w:right="170"/>
              <w:jc w:val="right"/>
              <w:rPr>
                <w:sz w:val="20"/>
              </w:rPr>
            </w:pPr>
            <w:r>
              <w:rPr>
                <w:sz w:val="20"/>
              </w:rPr>
              <w:t>47.9</w:t>
            </w:r>
          </w:p>
        </w:tc>
        <w:tc>
          <w:tcPr>
            <w:tcW w:w="993" w:type="dxa"/>
            <w:tcBorders>
              <w:bottom w:val="nil"/>
            </w:tcBorders>
          </w:tcPr>
          <w:p w:rsidR="00000000" w:rsidRDefault="00000000">
            <w:pPr>
              <w:spacing w:before="60"/>
              <w:ind w:right="170"/>
              <w:jc w:val="right"/>
              <w:rPr>
                <w:sz w:val="20"/>
              </w:rPr>
            </w:pPr>
            <w:r>
              <w:rPr>
                <w:sz w:val="20"/>
              </w:rPr>
              <w:t>55.9</w:t>
            </w:r>
          </w:p>
        </w:tc>
        <w:tc>
          <w:tcPr>
            <w:tcW w:w="1134" w:type="dxa"/>
            <w:tcBorders>
              <w:bottom w:val="nil"/>
            </w:tcBorders>
          </w:tcPr>
          <w:p w:rsidR="00000000" w:rsidRDefault="00000000">
            <w:pPr>
              <w:spacing w:before="60"/>
              <w:ind w:right="170"/>
              <w:jc w:val="right"/>
              <w:rPr>
                <w:sz w:val="20"/>
              </w:rPr>
            </w:pPr>
            <w:r>
              <w:rPr>
                <w:sz w:val="20"/>
              </w:rPr>
              <w:t>55.3</w:t>
            </w:r>
          </w:p>
        </w:tc>
        <w:tc>
          <w:tcPr>
            <w:tcW w:w="992" w:type="dxa"/>
            <w:gridSpan w:val="2"/>
            <w:tcBorders>
              <w:bottom w:val="nil"/>
            </w:tcBorders>
          </w:tcPr>
          <w:p w:rsidR="00000000" w:rsidRDefault="00000000">
            <w:pPr>
              <w:spacing w:before="60"/>
              <w:ind w:right="170"/>
              <w:jc w:val="right"/>
              <w:rPr>
                <w:sz w:val="20"/>
              </w:rPr>
            </w:pPr>
            <w:r>
              <w:rPr>
                <w:sz w:val="20"/>
              </w:rPr>
              <w:t>49.7</w:t>
            </w:r>
          </w:p>
        </w:tc>
        <w:tc>
          <w:tcPr>
            <w:tcW w:w="992" w:type="dxa"/>
            <w:tcBorders>
              <w:bottom w:val="nil"/>
            </w:tcBorders>
          </w:tcPr>
          <w:p w:rsidR="00000000" w:rsidRDefault="00000000">
            <w:pPr>
              <w:spacing w:before="60"/>
              <w:ind w:right="170"/>
              <w:jc w:val="right"/>
              <w:rPr>
                <w:sz w:val="20"/>
              </w:rPr>
            </w:pPr>
            <w:r>
              <w:rPr>
                <w:sz w:val="20"/>
              </w:rPr>
              <w:t>59.4</w:t>
            </w:r>
          </w:p>
        </w:tc>
        <w:tc>
          <w:tcPr>
            <w:tcW w:w="992" w:type="dxa"/>
            <w:tcBorders>
              <w:bottom w:val="nil"/>
            </w:tcBorders>
          </w:tcPr>
          <w:p w:rsidR="00000000" w:rsidRDefault="00000000">
            <w:pPr>
              <w:spacing w:before="60"/>
              <w:ind w:right="170"/>
              <w:jc w:val="right"/>
              <w:rPr>
                <w:sz w:val="20"/>
              </w:rPr>
            </w:pPr>
            <w:r>
              <w:rPr>
                <w:sz w:val="20"/>
              </w:rPr>
              <w:t>67.5</w:t>
            </w:r>
          </w:p>
        </w:tc>
        <w:tc>
          <w:tcPr>
            <w:tcW w:w="993" w:type="dxa"/>
            <w:tcBorders>
              <w:bottom w:val="nil"/>
            </w:tcBorders>
          </w:tcPr>
          <w:p w:rsidR="00000000" w:rsidRDefault="00000000">
            <w:pPr>
              <w:spacing w:before="60"/>
              <w:ind w:right="170"/>
              <w:jc w:val="right"/>
              <w:rPr>
                <w:sz w:val="20"/>
              </w:rPr>
            </w:pPr>
            <w:r>
              <w:rPr>
                <w:sz w:val="20"/>
              </w:rPr>
              <w:t>61.1</w:t>
            </w:r>
          </w:p>
        </w:tc>
        <w:tc>
          <w:tcPr>
            <w:tcW w:w="992" w:type="dxa"/>
            <w:tcBorders>
              <w:bottom w:val="nil"/>
            </w:tcBorders>
          </w:tcPr>
          <w:p w:rsidR="00000000" w:rsidRDefault="00000000">
            <w:pPr>
              <w:spacing w:before="60"/>
              <w:ind w:right="170"/>
              <w:jc w:val="right"/>
              <w:rPr>
                <w:sz w:val="20"/>
              </w:rPr>
            </w:pPr>
            <w:r>
              <w:rPr>
                <w:sz w:val="20"/>
              </w:rPr>
              <w:t>52.7</w:t>
            </w:r>
          </w:p>
        </w:tc>
      </w:tr>
      <w:tr w:rsidR="00000000">
        <w:tblPrEx>
          <w:tblCellMar>
            <w:top w:w="0" w:type="dxa"/>
            <w:bottom w:w="0" w:type="dxa"/>
          </w:tblCellMar>
        </w:tblPrEx>
        <w:tc>
          <w:tcPr>
            <w:tcW w:w="1276" w:type="dxa"/>
            <w:tcBorders>
              <w:top w:val="nil"/>
              <w:bottom w:val="single" w:sz="4" w:space="0" w:color="auto"/>
            </w:tcBorders>
          </w:tcPr>
          <w:p w:rsidR="00000000" w:rsidRDefault="00000000">
            <w:pPr>
              <w:ind w:left="113"/>
              <w:rPr>
                <w:rFonts w:hint="eastAsia"/>
                <w:sz w:val="20"/>
              </w:rPr>
            </w:pPr>
            <w:r>
              <w:rPr>
                <w:rFonts w:hint="eastAsia"/>
                <w:sz w:val="20"/>
              </w:rPr>
              <w:t>乡村</w:t>
            </w:r>
          </w:p>
        </w:tc>
        <w:tc>
          <w:tcPr>
            <w:tcW w:w="992" w:type="dxa"/>
            <w:tcBorders>
              <w:top w:val="nil"/>
              <w:bottom w:val="single" w:sz="4" w:space="0" w:color="auto"/>
            </w:tcBorders>
          </w:tcPr>
          <w:p w:rsidR="00000000" w:rsidRDefault="00000000">
            <w:pPr>
              <w:ind w:right="170"/>
              <w:jc w:val="right"/>
              <w:rPr>
                <w:sz w:val="20"/>
              </w:rPr>
            </w:pPr>
            <w:r>
              <w:rPr>
                <w:sz w:val="20"/>
              </w:rPr>
              <w:t>24.3</w:t>
            </w:r>
          </w:p>
        </w:tc>
        <w:tc>
          <w:tcPr>
            <w:tcW w:w="993" w:type="dxa"/>
            <w:tcBorders>
              <w:top w:val="nil"/>
              <w:bottom w:val="single" w:sz="4" w:space="0" w:color="auto"/>
            </w:tcBorders>
          </w:tcPr>
          <w:p w:rsidR="00000000" w:rsidRDefault="00000000">
            <w:pPr>
              <w:ind w:right="170"/>
              <w:jc w:val="right"/>
              <w:rPr>
                <w:sz w:val="20"/>
              </w:rPr>
            </w:pPr>
            <w:r>
              <w:rPr>
                <w:sz w:val="20"/>
              </w:rPr>
              <w:t>45.3</w:t>
            </w:r>
          </w:p>
        </w:tc>
        <w:tc>
          <w:tcPr>
            <w:tcW w:w="1134" w:type="dxa"/>
            <w:tcBorders>
              <w:top w:val="nil"/>
              <w:bottom w:val="single" w:sz="4" w:space="0" w:color="auto"/>
            </w:tcBorders>
          </w:tcPr>
          <w:p w:rsidR="00000000" w:rsidRDefault="00000000">
            <w:pPr>
              <w:ind w:right="170"/>
              <w:jc w:val="right"/>
              <w:rPr>
                <w:sz w:val="20"/>
              </w:rPr>
            </w:pPr>
            <w:r>
              <w:rPr>
                <w:sz w:val="20"/>
              </w:rPr>
              <w:t>44.2</w:t>
            </w:r>
          </w:p>
        </w:tc>
        <w:tc>
          <w:tcPr>
            <w:tcW w:w="992" w:type="dxa"/>
            <w:gridSpan w:val="2"/>
            <w:tcBorders>
              <w:top w:val="nil"/>
              <w:bottom w:val="single" w:sz="4" w:space="0" w:color="auto"/>
            </w:tcBorders>
          </w:tcPr>
          <w:p w:rsidR="00000000" w:rsidRDefault="00000000">
            <w:pPr>
              <w:ind w:right="170"/>
              <w:jc w:val="right"/>
              <w:rPr>
                <w:sz w:val="20"/>
              </w:rPr>
            </w:pPr>
            <w:r>
              <w:rPr>
                <w:sz w:val="20"/>
              </w:rPr>
              <w:t>40.0</w:t>
            </w:r>
          </w:p>
        </w:tc>
        <w:tc>
          <w:tcPr>
            <w:tcW w:w="992" w:type="dxa"/>
            <w:tcBorders>
              <w:top w:val="nil"/>
              <w:bottom w:val="single" w:sz="4" w:space="0" w:color="auto"/>
            </w:tcBorders>
          </w:tcPr>
          <w:p w:rsidR="00000000" w:rsidRDefault="00000000">
            <w:pPr>
              <w:ind w:right="170"/>
              <w:jc w:val="right"/>
              <w:rPr>
                <w:sz w:val="20"/>
              </w:rPr>
            </w:pPr>
            <w:r>
              <w:rPr>
                <w:sz w:val="20"/>
              </w:rPr>
              <w:t>33.9</w:t>
            </w:r>
          </w:p>
        </w:tc>
        <w:tc>
          <w:tcPr>
            <w:tcW w:w="992" w:type="dxa"/>
            <w:tcBorders>
              <w:top w:val="nil"/>
              <w:bottom w:val="single" w:sz="4" w:space="0" w:color="auto"/>
            </w:tcBorders>
          </w:tcPr>
          <w:p w:rsidR="00000000" w:rsidRDefault="00000000">
            <w:pPr>
              <w:ind w:right="170"/>
              <w:jc w:val="right"/>
              <w:rPr>
                <w:sz w:val="20"/>
              </w:rPr>
            </w:pPr>
            <w:r>
              <w:rPr>
                <w:sz w:val="20"/>
              </w:rPr>
              <w:t>48.3</w:t>
            </w:r>
          </w:p>
        </w:tc>
        <w:tc>
          <w:tcPr>
            <w:tcW w:w="993" w:type="dxa"/>
            <w:tcBorders>
              <w:top w:val="nil"/>
              <w:bottom w:val="single" w:sz="4" w:space="0" w:color="auto"/>
            </w:tcBorders>
          </w:tcPr>
          <w:p w:rsidR="00000000" w:rsidRDefault="00000000">
            <w:pPr>
              <w:ind w:right="170"/>
              <w:jc w:val="right"/>
              <w:rPr>
                <w:sz w:val="20"/>
              </w:rPr>
            </w:pPr>
            <w:r>
              <w:rPr>
                <w:sz w:val="20"/>
              </w:rPr>
              <w:t>44.3</w:t>
            </w:r>
          </w:p>
        </w:tc>
        <w:tc>
          <w:tcPr>
            <w:tcW w:w="992" w:type="dxa"/>
            <w:tcBorders>
              <w:top w:val="nil"/>
              <w:bottom w:val="single" w:sz="4" w:space="0" w:color="auto"/>
            </w:tcBorders>
          </w:tcPr>
          <w:p w:rsidR="00000000" w:rsidRDefault="00000000">
            <w:pPr>
              <w:ind w:right="170"/>
              <w:jc w:val="right"/>
              <w:rPr>
                <w:sz w:val="20"/>
              </w:rPr>
            </w:pPr>
            <w:r>
              <w:rPr>
                <w:sz w:val="20"/>
              </w:rPr>
              <w:t>37.0</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ind w:left="113"/>
              <w:jc w:val="center"/>
              <w:rPr>
                <w:sz w:val="20"/>
              </w:rPr>
            </w:pPr>
          </w:p>
        </w:tc>
        <w:tc>
          <w:tcPr>
            <w:tcW w:w="8080" w:type="dxa"/>
            <w:gridSpan w:val="9"/>
            <w:tcBorders>
              <w:bottom w:val="single" w:sz="4" w:space="0" w:color="auto"/>
            </w:tcBorders>
          </w:tcPr>
          <w:p w:rsidR="00000000" w:rsidRDefault="00000000">
            <w:pPr>
              <w:spacing w:before="120"/>
              <w:ind w:left="-108"/>
              <w:jc w:val="center"/>
              <w:rPr>
                <w:rFonts w:hint="eastAsia"/>
                <w:sz w:val="20"/>
              </w:rPr>
            </w:pPr>
            <w:r>
              <w:rPr>
                <w:rFonts w:hint="eastAsia"/>
                <w:sz w:val="20"/>
              </w:rPr>
              <w:t>相对于平均消费的</w:t>
            </w:r>
            <w:r>
              <w:rPr>
                <w:rFonts w:hint="eastAsia"/>
                <w:sz w:val="20"/>
              </w:rPr>
              <w:t>60%</w:t>
            </w:r>
          </w:p>
        </w:tc>
      </w:tr>
      <w:tr w:rsidR="00000000">
        <w:tblPrEx>
          <w:tblCellMar>
            <w:top w:w="0" w:type="dxa"/>
            <w:bottom w:w="0" w:type="dxa"/>
          </w:tblCellMar>
        </w:tblPrEx>
        <w:tc>
          <w:tcPr>
            <w:tcW w:w="1276" w:type="dxa"/>
            <w:tcBorders>
              <w:bottom w:val="nil"/>
            </w:tcBorders>
          </w:tcPr>
          <w:p w:rsidR="00000000" w:rsidRDefault="00000000">
            <w:pPr>
              <w:spacing w:before="60"/>
              <w:ind w:left="113"/>
              <w:rPr>
                <w:rFonts w:hint="eastAsia"/>
                <w:sz w:val="20"/>
              </w:rPr>
            </w:pPr>
            <w:r>
              <w:rPr>
                <w:rFonts w:hint="eastAsia"/>
                <w:sz w:val="20"/>
              </w:rPr>
              <w:t>城镇</w:t>
            </w:r>
          </w:p>
        </w:tc>
        <w:tc>
          <w:tcPr>
            <w:tcW w:w="992" w:type="dxa"/>
            <w:tcBorders>
              <w:bottom w:val="nil"/>
            </w:tcBorders>
          </w:tcPr>
          <w:p w:rsidR="00000000" w:rsidRDefault="00000000">
            <w:pPr>
              <w:spacing w:before="60"/>
              <w:ind w:right="170"/>
              <w:jc w:val="right"/>
              <w:rPr>
                <w:sz w:val="20"/>
              </w:rPr>
            </w:pPr>
            <w:r>
              <w:rPr>
                <w:sz w:val="20"/>
              </w:rPr>
              <w:t>18.6</w:t>
            </w:r>
          </w:p>
        </w:tc>
        <w:tc>
          <w:tcPr>
            <w:tcW w:w="993" w:type="dxa"/>
            <w:tcBorders>
              <w:bottom w:val="nil"/>
            </w:tcBorders>
          </w:tcPr>
          <w:p w:rsidR="00000000" w:rsidRDefault="00000000">
            <w:pPr>
              <w:spacing w:before="60"/>
              <w:ind w:right="170"/>
              <w:jc w:val="right"/>
              <w:rPr>
                <w:sz w:val="20"/>
              </w:rPr>
            </w:pPr>
            <w:r>
              <w:rPr>
                <w:sz w:val="20"/>
              </w:rPr>
              <w:t>28.0</w:t>
            </w:r>
          </w:p>
        </w:tc>
        <w:tc>
          <w:tcPr>
            <w:tcW w:w="1211" w:type="dxa"/>
            <w:gridSpan w:val="2"/>
            <w:tcBorders>
              <w:bottom w:val="nil"/>
            </w:tcBorders>
          </w:tcPr>
          <w:p w:rsidR="00000000" w:rsidRDefault="00000000">
            <w:pPr>
              <w:spacing w:before="60"/>
              <w:ind w:right="170"/>
              <w:jc w:val="right"/>
              <w:rPr>
                <w:sz w:val="20"/>
              </w:rPr>
            </w:pPr>
            <w:r>
              <w:rPr>
                <w:sz w:val="20"/>
              </w:rPr>
              <w:t>27.3</w:t>
            </w:r>
          </w:p>
        </w:tc>
        <w:tc>
          <w:tcPr>
            <w:tcW w:w="915" w:type="dxa"/>
            <w:tcBorders>
              <w:bottom w:val="nil"/>
            </w:tcBorders>
          </w:tcPr>
          <w:p w:rsidR="00000000" w:rsidRDefault="00000000">
            <w:pPr>
              <w:spacing w:before="60"/>
              <w:ind w:right="170"/>
              <w:jc w:val="right"/>
              <w:rPr>
                <w:sz w:val="20"/>
              </w:rPr>
            </w:pPr>
            <w:r>
              <w:rPr>
                <w:sz w:val="20"/>
              </w:rPr>
              <w:t>25.6</w:t>
            </w:r>
          </w:p>
        </w:tc>
        <w:tc>
          <w:tcPr>
            <w:tcW w:w="992" w:type="dxa"/>
            <w:tcBorders>
              <w:bottom w:val="nil"/>
            </w:tcBorders>
          </w:tcPr>
          <w:p w:rsidR="00000000" w:rsidRDefault="00000000">
            <w:pPr>
              <w:spacing w:before="60"/>
              <w:ind w:right="170"/>
              <w:jc w:val="right"/>
              <w:rPr>
                <w:sz w:val="20"/>
              </w:rPr>
            </w:pPr>
            <w:r>
              <w:rPr>
                <w:sz w:val="20"/>
              </w:rPr>
              <w:t>29.1</w:t>
            </w:r>
          </w:p>
        </w:tc>
        <w:tc>
          <w:tcPr>
            <w:tcW w:w="992" w:type="dxa"/>
            <w:tcBorders>
              <w:bottom w:val="nil"/>
            </w:tcBorders>
          </w:tcPr>
          <w:p w:rsidR="00000000" w:rsidRDefault="00000000">
            <w:pPr>
              <w:spacing w:before="60"/>
              <w:ind w:right="170"/>
              <w:jc w:val="right"/>
              <w:rPr>
                <w:sz w:val="20"/>
              </w:rPr>
            </w:pPr>
            <w:r>
              <w:rPr>
                <w:sz w:val="20"/>
              </w:rPr>
              <w:t>29.1</w:t>
            </w:r>
          </w:p>
        </w:tc>
        <w:tc>
          <w:tcPr>
            <w:tcW w:w="993" w:type="dxa"/>
            <w:tcBorders>
              <w:bottom w:val="nil"/>
            </w:tcBorders>
          </w:tcPr>
          <w:p w:rsidR="00000000" w:rsidRDefault="00000000">
            <w:pPr>
              <w:spacing w:before="60"/>
              <w:ind w:right="170"/>
              <w:jc w:val="right"/>
              <w:rPr>
                <w:sz w:val="20"/>
              </w:rPr>
            </w:pPr>
            <w:r>
              <w:rPr>
                <w:sz w:val="20"/>
              </w:rPr>
              <w:t>27.1</w:t>
            </w:r>
          </w:p>
        </w:tc>
        <w:tc>
          <w:tcPr>
            <w:tcW w:w="992" w:type="dxa"/>
            <w:tcBorders>
              <w:bottom w:val="nil"/>
            </w:tcBorders>
          </w:tcPr>
          <w:p w:rsidR="00000000" w:rsidRDefault="00000000">
            <w:pPr>
              <w:spacing w:before="60"/>
              <w:ind w:right="170"/>
              <w:jc w:val="right"/>
              <w:rPr>
                <w:sz w:val="20"/>
              </w:rPr>
            </w:pPr>
            <w:r>
              <w:rPr>
                <w:sz w:val="20"/>
              </w:rPr>
              <w:t>29.3</w:t>
            </w:r>
          </w:p>
        </w:tc>
      </w:tr>
      <w:tr w:rsidR="00000000">
        <w:tblPrEx>
          <w:tblCellMar>
            <w:top w:w="0" w:type="dxa"/>
            <w:bottom w:w="0" w:type="dxa"/>
          </w:tblCellMar>
        </w:tblPrEx>
        <w:tc>
          <w:tcPr>
            <w:tcW w:w="1276" w:type="dxa"/>
            <w:tcBorders>
              <w:top w:val="nil"/>
            </w:tcBorders>
          </w:tcPr>
          <w:p w:rsidR="00000000" w:rsidRDefault="00000000">
            <w:pPr>
              <w:ind w:left="113"/>
              <w:rPr>
                <w:rFonts w:hint="eastAsia"/>
                <w:sz w:val="20"/>
              </w:rPr>
            </w:pPr>
            <w:r>
              <w:rPr>
                <w:rFonts w:hint="eastAsia"/>
                <w:sz w:val="20"/>
              </w:rPr>
              <w:t>乡村</w:t>
            </w:r>
          </w:p>
        </w:tc>
        <w:tc>
          <w:tcPr>
            <w:tcW w:w="992" w:type="dxa"/>
            <w:tcBorders>
              <w:top w:val="nil"/>
            </w:tcBorders>
          </w:tcPr>
          <w:p w:rsidR="00000000" w:rsidRDefault="00000000">
            <w:pPr>
              <w:ind w:right="170"/>
              <w:jc w:val="right"/>
              <w:rPr>
                <w:sz w:val="20"/>
              </w:rPr>
            </w:pPr>
            <w:r>
              <w:rPr>
                <w:sz w:val="20"/>
              </w:rPr>
              <w:t>10.4</w:t>
            </w:r>
          </w:p>
        </w:tc>
        <w:tc>
          <w:tcPr>
            <w:tcW w:w="993" w:type="dxa"/>
            <w:tcBorders>
              <w:top w:val="nil"/>
            </w:tcBorders>
          </w:tcPr>
          <w:p w:rsidR="00000000" w:rsidRDefault="00000000">
            <w:pPr>
              <w:ind w:right="170"/>
              <w:jc w:val="right"/>
              <w:rPr>
                <w:sz w:val="20"/>
              </w:rPr>
            </w:pPr>
            <w:r>
              <w:rPr>
                <w:sz w:val="20"/>
              </w:rPr>
              <w:t>20.6</w:t>
            </w:r>
          </w:p>
        </w:tc>
        <w:tc>
          <w:tcPr>
            <w:tcW w:w="1211" w:type="dxa"/>
            <w:gridSpan w:val="2"/>
            <w:tcBorders>
              <w:top w:val="nil"/>
            </w:tcBorders>
          </w:tcPr>
          <w:p w:rsidR="00000000" w:rsidRDefault="00000000">
            <w:pPr>
              <w:ind w:right="170"/>
              <w:jc w:val="right"/>
              <w:rPr>
                <w:sz w:val="20"/>
              </w:rPr>
            </w:pPr>
            <w:r>
              <w:rPr>
                <w:sz w:val="20"/>
              </w:rPr>
              <w:t>17.0</w:t>
            </w:r>
          </w:p>
        </w:tc>
        <w:tc>
          <w:tcPr>
            <w:tcW w:w="915" w:type="dxa"/>
            <w:tcBorders>
              <w:top w:val="nil"/>
            </w:tcBorders>
          </w:tcPr>
          <w:p w:rsidR="00000000" w:rsidRDefault="00000000">
            <w:pPr>
              <w:ind w:right="170"/>
              <w:jc w:val="right"/>
              <w:rPr>
                <w:sz w:val="20"/>
              </w:rPr>
            </w:pPr>
            <w:r>
              <w:rPr>
                <w:sz w:val="20"/>
              </w:rPr>
              <w:t>18.4</w:t>
            </w:r>
          </w:p>
        </w:tc>
        <w:tc>
          <w:tcPr>
            <w:tcW w:w="992" w:type="dxa"/>
            <w:tcBorders>
              <w:top w:val="nil"/>
            </w:tcBorders>
          </w:tcPr>
          <w:p w:rsidR="00000000" w:rsidRDefault="00000000">
            <w:pPr>
              <w:ind w:right="170"/>
              <w:jc w:val="right"/>
              <w:rPr>
                <w:sz w:val="20"/>
              </w:rPr>
            </w:pPr>
            <w:r>
              <w:rPr>
                <w:sz w:val="20"/>
              </w:rPr>
              <w:t>15.5</w:t>
            </w:r>
          </w:p>
        </w:tc>
        <w:tc>
          <w:tcPr>
            <w:tcW w:w="992" w:type="dxa"/>
            <w:tcBorders>
              <w:top w:val="nil"/>
            </w:tcBorders>
          </w:tcPr>
          <w:p w:rsidR="00000000" w:rsidRDefault="00000000">
            <w:pPr>
              <w:ind w:right="170"/>
              <w:jc w:val="right"/>
              <w:rPr>
                <w:sz w:val="20"/>
              </w:rPr>
            </w:pPr>
            <w:r>
              <w:rPr>
                <w:sz w:val="20"/>
              </w:rPr>
              <w:t>15.7</w:t>
            </w:r>
          </w:p>
        </w:tc>
        <w:tc>
          <w:tcPr>
            <w:tcW w:w="993" w:type="dxa"/>
            <w:tcBorders>
              <w:top w:val="nil"/>
            </w:tcBorders>
          </w:tcPr>
          <w:p w:rsidR="00000000" w:rsidRDefault="00000000">
            <w:pPr>
              <w:ind w:right="170"/>
              <w:jc w:val="right"/>
              <w:rPr>
                <w:sz w:val="20"/>
              </w:rPr>
            </w:pPr>
            <w:r>
              <w:rPr>
                <w:sz w:val="20"/>
              </w:rPr>
              <w:t>18.4</w:t>
            </w:r>
          </w:p>
        </w:tc>
        <w:tc>
          <w:tcPr>
            <w:tcW w:w="992" w:type="dxa"/>
            <w:tcBorders>
              <w:top w:val="nil"/>
            </w:tcBorders>
          </w:tcPr>
          <w:p w:rsidR="00000000" w:rsidRDefault="00000000">
            <w:pPr>
              <w:ind w:right="170"/>
              <w:jc w:val="right"/>
              <w:rPr>
                <w:sz w:val="20"/>
              </w:rPr>
            </w:pPr>
            <w:r>
              <w:rPr>
                <w:sz w:val="20"/>
              </w:rPr>
              <w:t>18.1</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spacing w:before="120"/>
              <w:ind w:left="-108"/>
              <w:jc w:val="center"/>
              <w:rPr>
                <w:sz w:val="20"/>
              </w:rPr>
            </w:pPr>
          </w:p>
        </w:tc>
        <w:tc>
          <w:tcPr>
            <w:tcW w:w="8080" w:type="dxa"/>
            <w:gridSpan w:val="9"/>
            <w:tcBorders>
              <w:bottom w:val="single" w:sz="4" w:space="0" w:color="auto"/>
            </w:tcBorders>
          </w:tcPr>
          <w:p w:rsidR="00000000" w:rsidRDefault="00000000">
            <w:pPr>
              <w:spacing w:before="120"/>
              <w:ind w:left="-108"/>
              <w:jc w:val="center"/>
              <w:rPr>
                <w:rFonts w:hint="eastAsia"/>
                <w:sz w:val="20"/>
              </w:rPr>
            </w:pPr>
            <w:r>
              <w:rPr>
                <w:rFonts w:hint="eastAsia"/>
                <w:sz w:val="20"/>
              </w:rPr>
              <w:t>相对于平均消费的</w:t>
            </w:r>
            <w:r>
              <w:rPr>
                <w:rFonts w:hint="eastAsia"/>
                <w:sz w:val="20"/>
              </w:rPr>
              <w:t>40%</w:t>
            </w:r>
          </w:p>
        </w:tc>
      </w:tr>
      <w:tr w:rsidR="00000000">
        <w:tblPrEx>
          <w:tblCellMar>
            <w:top w:w="0" w:type="dxa"/>
            <w:bottom w:w="0" w:type="dxa"/>
          </w:tblCellMar>
        </w:tblPrEx>
        <w:tc>
          <w:tcPr>
            <w:tcW w:w="1276" w:type="dxa"/>
            <w:tcBorders>
              <w:bottom w:val="nil"/>
            </w:tcBorders>
          </w:tcPr>
          <w:p w:rsidR="00000000" w:rsidRDefault="00000000">
            <w:pPr>
              <w:spacing w:before="60"/>
              <w:ind w:left="113"/>
              <w:rPr>
                <w:rFonts w:hint="eastAsia"/>
                <w:sz w:val="20"/>
              </w:rPr>
            </w:pPr>
            <w:r>
              <w:rPr>
                <w:rFonts w:hint="eastAsia"/>
                <w:sz w:val="20"/>
              </w:rPr>
              <w:t>城镇</w:t>
            </w:r>
          </w:p>
        </w:tc>
        <w:tc>
          <w:tcPr>
            <w:tcW w:w="992" w:type="dxa"/>
            <w:tcBorders>
              <w:bottom w:val="nil"/>
            </w:tcBorders>
          </w:tcPr>
          <w:p w:rsidR="00000000" w:rsidRDefault="00000000">
            <w:pPr>
              <w:spacing w:before="60"/>
              <w:ind w:right="170"/>
              <w:jc w:val="right"/>
              <w:rPr>
                <w:sz w:val="20"/>
              </w:rPr>
            </w:pPr>
            <w:r>
              <w:rPr>
                <w:sz w:val="20"/>
              </w:rPr>
              <w:t>7.8</w:t>
            </w:r>
          </w:p>
        </w:tc>
        <w:tc>
          <w:tcPr>
            <w:tcW w:w="993" w:type="dxa"/>
            <w:tcBorders>
              <w:bottom w:val="nil"/>
            </w:tcBorders>
          </w:tcPr>
          <w:p w:rsidR="00000000" w:rsidRDefault="00000000">
            <w:pPr>
              <w:spacing w:before="60"/>
              <w:ind w:right="170"/>
              <w:jc w:val="right"/>
              <w:rPr>
                <w:sz w:val="20"/>
              </w:rPr>
            </w:pPr>
            <w:r>
              <w:rPr>
                <w:sz w:val="20"/>
              </w:rPr>
              <w:t>12.3</w:t>
            </w:r>
          </w:p>
        </w:tc>
        <w:tc>
          <w:tcPr>
            <w:tcW w:w="1211" w:type="dxa"/>
            <w:gridSpan w:val="2"/>
            <w:tcBorders>
              <w:bottom w:val="nil"/>
            </w:tcBorders>
          </w:tcPr>
          <w:p w:rsidR="00000000" w:rsidRDefault="00000000">
            <w:pPr>
              <w:spacing w:before="60"/>
              <w:ind w:right="170"/>
              <w:jc w:val="right"/>
              <w:rPr>
                <w:sz w:val="20"/>
              </w:rPr>
            </w:pPr>
            <w:r>
              <w:rPr>
                <w:sz w:val="20"/>
              </w:rPr>
              <w:t>13.1</w:t>
            </w:r>
          </w:p>
        </w:tc>
        <w:tc>
          <w:tcPr>
            <w:tcW w:w="915" w:type="dxa"/>
            <w:tcBorders>
              <w:bottom w:val="nil"/>
            </w:tcBorders>
          </w:tcPr>
          <w:p w:rsidR="00000000" w:rsidRDefault="00000000">
            <w:pPr>
              <w:spacing w:before="60"/>
              <w:ind w:right="170"/>
              <w:jc w:val="right"/>
              <w:rPr>
                <w:sz w:val="20"/>
              </w:rPr>
            </w:pPr>
            <w:r>
              <w:rPr>
                <w:sz w:val="20"/>
              </w:rPr>
              <w:t>12.8</w:t>
            </w:r>
          </w:p>
        </w:tc>
        <w:tc>
          <w:tcPr>
            <w:tcW w:w="992" w:type="dxa"/>
            <w:tcBorders>
              <w:bottom w:val="nil"/>
            </w:tcBorders>
          </w:tcPr>
          <w:p w:rsidR="00000000" w:rsidRDefault="00000000">
            <w:pPr>
              <w:spacing w:before="60"/>
              <w:ind w:right="170"/>
              <w:jc w:val="right"/>
              <w:rPr>
                <w:sz w:val="20"/>
              </w:rPr>
            </w:pPr>
            <w:r>
              <w:rPr>
                <w:sz w:val="20"/>
              </w:rPr>
              <w:t>12.1</w:t>
            </w:r>
          </w:p>
        </w:tc>
        <w:tc>
          <w:tcPr>
            <w:tcW w:w="992" w:type="dxa"/>
            <w:tcBorders>
              <w:bottom w:val="nil"/>
            </w:tcBorders>
          </w:tcPr>
          <w:p w:rsidR="00000000" w:rsidRDefault="00000000">
            <w:pPr>
              <w:spacing w:before="60"/>
              <w:ind w:right="170"/>
              <w:jc w:val="right"/>
              <w:rPr>
                <w:sz w:val="20"/>
              </w:rPr>
            </w:pPr>
            <w:r>
              <w:rPr>
                <w:sz w:val="20"/>
              </w:rPr>
              <w:t>13.4</w:t>
            </w:r>
          </w:p>
        </w:tc>
        <w:tc>
          <w:tcPr>
            <w:tcW w:w="993" w:type="dxa"/>
            <w:tcBorders>
              <w:bottom w:val="nil"/>
            </w:tcBorders>
          </w:tcPr>
          <w:p w:rsidR="00000000" w:rsidRDefault="00000000">
            <w:pPr>
              <w:spacing w:before="60"/>
              <w:ind w:right="170"/>
              <w:jc w:val="right"/>
              <w:rPr>
                <w:sz w:val="20"/>
              </w:rPr>
            </w:pPr>
            <w:r>
              <w:rPr>
                <w:sz w:val="20"/>
              </w:rPr>
              <w:t>11.4</w:t>
            </w:r>
          </w:p>
        </w:tc>
        <w:tc>
          <w:tcPr>
            <w:tcW w:w="992" w:type="dxa"/>
            <w:tcBorders>
              <w:bottom w:val="nil"/>
            </w:tcBorders>
          </w:tcPr>
          <w:p w:rsidR="00000000" w:rsidRDefault="00000000">
            <w:pPr>
              <w:spacing w:before="60"/>
              <w:ind w:right="170"/>
              <w:jc w:val="right"/>
              <w:rPr>
                <w:sz w:val="20"/>
              </w:rPr>
            </w:pPr>
            <w:r>
              <w:rPr>
                <w:sz w:val="20"/>
              </w:rPr>
              <w:t>11.3</w:t>
            </w:r>
          </w:p>
        </w:tc>
      </w:tr>
      <w:tr w:rsidR="00000000">
        <w:tblPrEx>
          <w:tblCellMar>
            <w:top w:w="0" w:type="dxa"/>
            <w:bottom w:w="0" w:type="dxa"/>
          </w:tblCellMar>
        </w:tblPrEx>
        <w:tc>
          <w:tcPr>
            <w:tcW w:w="1276" w:type="dxa"/>
            <w:tcBorders>
              <w:top w:val="nil"/>
            </w:tcBorders>
          </w:tcPr>
          <w:p w:rsidR="00000000" w:rsidRDefault="00000000">
            <w:pPr>
              <w:ind w:left="113"/>
              <w:rPr>
                <w:rFonts w:hint="eastAsia"/>
                <w:sz w:val="20"/>
              </w:rPr>
            </w:pPr>
            <w:r>
              <w:rPr>
                <w:rFonts w:hint="eastAsia"/>
                <w:sz w:val="20"/>
              </w:rPr>
              <w:t>乡村</w:t>
            </w:r>
          </w:p>
        </w:tc>
        <w:tc>
          <w:tcPr>
            <w:tcW w:w="992" w:type="dxa"/>
            <w:tcBorders>
              <w:top w:val="nil"/>
            </w:tcBorders>
          </w:tcPr>
          <w:p w:rsidR="00000000" w:rsidRDefault="00000000">
            <w:pPr>
              <w:ind w:right="170"/>
              <w:jc w:val="right"/>
              <w:rPr>
                <w:sz w:val="20"/>
              </w:rPr>
            </w:pPr>
            <w:r>
              <w:rPr>
                <w:sz w:val="20"/>
              </w:rPr>
              <w:t>6.3</w:t>
            </w:r>
          </w:p>
        </w:tc>
        <w:tc>
          <w:tcPr>
            <w:tcW w:w="993" w:type="dxa"/>
            <w:tcBorders>
              <w:top w:val="nil"/>
            </w:tcBorders>
          </w:tcPr>
          <w:p w:rsidR="00000000" w:rsidRDefault="00000000">
            <w:pPr>
              <w:ind w:right="170"/>
              <w:jc w:val="right"/>
              <w:rPr>
                <w:sz w:val="20"/>
              </w:rPr>
            </w:pPr>
            <w:r>
              <w:rPr>
                <w:sz w:val="20"/>
              </w:rPr>
              <w:t>8.9</w:t>
            </w:r>
          </w:p>
        </w:tc>
        <w:tc>
          <w:tcPr>
            <w:tcW w:w="1211" w:type="dxa"/>
            <w:gridSpan w:val="2"/>
            <w:tcBorders>
              <w:top w:val="nil"/>
            </w:tcBorders>
          </w:tcPr>
          <w:p w:rsidR="00000000" w:rsidRDefault="00000000">
            <w:pPr>
              <w:ind w:right="170"/>
              <w:jc w:val="right"/>
              <w:rPr>
                <w:sz w:val="20"/>
              </w:rPr>
            </w:pPr>
            <w:r>
              <w:rPr>
                <w:sz w:val="20"/>
              </w:rPr>
              <w:t>6.8</w:t>
            </w:r>
          </w:p>
        </w:tc>
        <w:tc>
          <w:tcPr>
            <w:tcW w:w="915" w:type="dxa"/>
            <w:tcBorders>
              <w:top w:val="nil"/>
            </w:tcBorders>
          </w:tcPr>
          <w:p w:rsidR="00000000" w:rsidRDefault="00000000">
            <w:pPr>
              <w:ind w:right="170"/>
              <w:jc w:val="right"/>
              <w:rPr>
                <w:sz w:val="20"/>
              </w:rPr>
            </w:pPr>
            <w:r>
              <w:rPr>
                <w:sz w:val="20"/>
              </w:rPr>
              <w:t>8.9</w:t>
            </w:r>
          </w:p>
        </w:tc>
        <w:tc>
          <w:tcPr>
            <w:tcW w:w="992" w:type="dxa"/>
            <w:tcBorders>
              <w:top w:val="nil"/>
            </w:tcBorders>
          </w:tcPr>
          <w:p w:rsidR="00000000" w:rsidRDefault="00000000">
            <w:pPr>
              <w:ind w:right="170"/>
              <w:jc w:val="right"/>
              <w:rPr>
                <w:sz w:val="20"/>
              </w:rPr>
            </w:pPr>
            <w:r>
              <w:rPr>
                <w:sz w:val="20"/>
              </w:rPr>
              <w:t>7.5</w:t>
            </w:r>
          </w:p>
        </w:tc>
        <w:tc>
          <w:tcPr>
            <w:tcW w:w="992" w:type="dxa"/>
            <w:tcBorders>
              <w:top w:val="nil"/>
            </w:tcBorders>
          </w:tcPr>
          <w:p w:rsidR="00000000" w:rsidRDefault="00000000">
            <w:pPr>
              <w:ind w:right="170"/>
              <w:jc w:val="right"/>
              <w:rPr>
                <w:sz w:val="20"/>
              </w:rPr>
            </w:pPr>
            <w:r>
              <w:rPr>
                <w:sz w:val="20"/>
              </w:rPr>
              <w:t>6.4</w:t>
            </w:r>
          </w:p>
        </w:tc>
        <w:tc>
          <w:tcPr>
            <w:tcW w:w="993" w:type="dxa"/>
            <w:tcBorders>
              <w:top w:val="nil"/>
            </w:tcBorders>
          </w:tcPr>
          <w:p w:rsidR="00000000" w:rsidRDefault="00000000">
            <w:pPr>
              <w:ind w:right="170"/>
              <w:jc w:val="right"/>
              <w:rPr>
                <w:sz w:val="20"/>
              </w:rPr>
            </w:pPr>
            <w:r>
              <w:rPr>
                <w:sz w:val="20"/>
              </w:rPr>
              <w:t>8.7</w:t>
            </w:r>
          </w:p>
        </w:tc>
        <w:tc>
          <w:tcPr>
            <w:tcW w:w="992" w:type="dxa"/>
            <w:tcBorders>
              <w:top w:val="nil"/>
            </w:tcBorders>
          </w:tcPr>
          <w:p w:rsidR="00000000" w:rsidRDefault="00000000">
            <w:pPr>
              <w:ind w:right="170"/>
              <w:jc w:val="right"/>
              <w:rPr>
                <w:sz w:val="20"/>
              </w:rPr>
            </w:pPr>
            <w:r>
              <w:rPr>
                <w:sz w:val="20"/>
              </w:rPr>
              <w:t>8.7</w:t>
            </w:r>
          </w:p>
        </w:tc>
      </w:tr>
    </w:tbl>
    <w:p w:rsidR="00000000" w:rsidRDefault="00000000">
      <w:pPr>
        <w:rPr>
          <w:rFonts w:hint="eastAsia"/>
        </w:rPr>
      </w:pPr>
    </w:p>
    <w:p w:rsidR="00000000" w:rsidRDefault="00000000">
      <w:pPr>
        <w:rPr>
          <w:rFonts w:hint="eastAsia"/>
        </w:rPr>
      </w:pPr>
    </w:p>
    <w:p w:rsidR="00000000" w:rsidRDefault="00000000">
      <w:pPr>
        <w:pStyle w:val="Heading3"/>
      </w:pPr>
      <w:r>
        <w:rPr>
          <w:rFonts w:hint="eastAsia"/>
        </w:rPr>
        <w:t>表</w:t>
      </w:r>
      <w:r>
        <w:rPr>
          <w:rFonts w:hint="eastAsia"/>
        </w:rPr>
        <w:t xml:space="preserve"> </w:t>
      </w:r>
      <w:r>
        <w:t xml:space="preserve"> 3</w:t>
      </w:r>
    </w:p>
    <w:p w:rsidR="00000000" w:rsidRDefault="00000000">
      <w:pPr>
        <w:pStyle w:val="Heading3"/>
        <w:spacing w:after="160"/>
        <w:rPr>
          <w:rFonts w:hint="eastAsia"/>
        </w:rPr>
      </w:pPr>
      <w:r>
        <w:rPr>
          <w:rFonts w:hint="eastAsia"/>
        </w:rPr>
        <w:t>城市和农村地区贫困的程度</w:t>
      </w:r>
      <w:r>
        <w:rPr>
          <w:rFonts w:hint="eastAsia"/>
        </w:rPr>
        <w:t>(</w:t>
      </w:r>
      <w:r>
        <w:rPr>
          <w:rFonts w:hint="eastAsia"/>
        </w:rPr>
        <w:t>百分比</w:t>
      </w:r>
      <w:r>
        <w:rPr>
          <w:rFonts w:hint="eastAsia"/>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992"/>
        <w:gridCol w:w="993"/>
        <w:gridCol w:w="1134"/>
        <w:gridCol w:w="77"/>
        <w:gridCol w:w="915"/>
        <w:gridCol w:w="992"/>
        <w:gridCol w:w="992"/>
        <w:gridCol w:w="993"/>
        <w:gridCol w:w="992"/>
      </w:tblGrid>
      <w:tr w:rsidR="00000000">
        <w:tblPrEx>
          <w:tblCellMar>
            <w:top w:w="0" w:type="dxa"/>
            <w:bottom w:w="0" w:type="dxa"/>
          </w:tblCellMar>
        </w:tblPrEx>
        <w:trPr>
          <w:cantSplit/>
        </w:trPr>
        <w:tc>
          <w:tcPr>
            <w:tcW w:w="1276" w:type="dxa"/>
            <w:vMerge w:val="restart"/>
          </w:tcPr>
          <w:p w:rsidR="00000000" w:rsidRDefault="00000000">
            <w:pPr>
              <w:jc w:val="center"/>
              <w:rPr>
                <w:sz w:val="20"/>
              </w:rPr>
            </w:pPr>
          </w:p>
        </w:tc>
        <w:tc>
          <w:tcPr>
            <w:tcW w:w="4111" w:type="dxa"/>
            <w:gridSpan w:val="5"/>
          </w:tcPr>
          <w:p w:rsidR="00000000" w:rsidRDefault="00000000">
            <w:pPr>
              <w:spacing w:before="120"/>
              <w:jc w:val="center"/>
              <w:rPr>
                <w:rFonts w:ascii="Time New Roman" w:eastAsia="SimHei" w:hAnsi="Time New Roman" w:hint="eastAsia"/>
                <w:sz w:val="20"/>
              </w:rPr>
            </w:pPr>
            <w:r>
              <w:rPr>
                <w:rFonts w:ascii="Time New Roman" w:eastAsia="SimHei" w:hAnsi="Time New Roman"/>
                <w:b/>
                <w:sz w:val="20"/>
              </w:rPr>
              <w:t>1998</w:t>
            </w:r>
            <w:r>
              <w:rPr>
                <w:rFonts w:ascii="Time New Roman" w:eastAsia="SimHei" w:hAnsi="Time New Roman" w:hint="eastAsia"/>
                <w:sz w:val="20"/>
              </w:rPr>
              <w:t>年</w:t>
            </w:r>
          </w:p>
        </w:tc>
        <w:tc>
          <w:tcPr>
            <w:tcW w:w="3969" w:type="dxa"/>
            <w:gridSpan w:val="4"/>
          </w:tcPr>
          <w:p w:rsidR="00000000" w:rsidRDefault="00000000">
            <w:pPr>
              <w:spacing w:before="120"/>
              <w:jc w:val="center"/>
              <w:rPr>
                <w:rFonts w:ascii="Time New Roman" w:eastAsia="SimHei" w:hAnsi="Time New Roman" w:hint="eastAsia"/>
                <w:sz w:val="20"/>
              </w:rPr>
            </w:pPr>
            <w:r>
              <w:rPr>
                <w:rFonts w:ascii="Time New Roman" w:eastAsia="SimHei" w:hAnsi="Time New Roman"/>
                <w:b/>
                <w:sz w:val="20"/>
              </w:rPr>
              <w:t>1999</w:t>
            </w:r>
            <w:r>
              <w:rPr>
                <w:rFonts w:ascii="Time New Roman" w:eastAsia="SimHei" w:hAnsi="Time New Roman" w:hint="eastAsia"/>
                <w:sz w:val="20"/>
              </w:rPr>
              <w:t>年</w:t>
            </w:r>
          </w:p>
        </w:tc>
      </w:tr>
      <w:tr w:rsidR="00000000">
        <w:tblPrEx>
          <w:tblCellMar>
            <w:top w:w="0" w:type="dxa"/>
            <w:bottom w:w="0" w:type="dxa"/>
          </w:tblCellMar>
        </w:tblPrEx>
        <w:trPr>
          <w:cantSplit/>
        </w:trPr>
        <w:tc>
          <w:tcPr>
            <w:tcW w:w="1276" w:type="dxa"/>
            <w:vMerge/>
          </w:tcPr>
          <w:p w:rsidR="00000000" w:rsidRDefault="00000000">
            <w:pPr>
              <w:jc w:val="center"/>
              <w:rPr>
                <w:sz w:val="20"/>
              </w:rPr>
            </w:pPr>
          </w:p>
        </w:tc>
        <w:tc>
          <w:tcPr>
            <w:tcW w:w="992" w:type="dxa"/>
          </w:tcPr>
          <w:p w:rsidR="00000000" w:rsidRDefault="00000000">
            <w:pPr>
              <w:spacing w:before="120"/>
              <w:jc w:val="center"/>
              <w:rPr>
                <w:rFonts w:ascii="Time New Roman" w:eastAsia="SimHei" w:hAnsi="Time New Roman" w:hint="eastAsia"/>
                <w:spacing w:val="-4"/>
                <w:sz w:val="20"/>
              </w:rPr>
            </w:pPr>
            <w:r>
              <w:rPr>
                <w:rFonts w:ascii="Time New Roman" w:eastAsia="SimHei" w:hAnsi="Time New Roman" w:hint="eastAsia"/>
                <w:spacing w:val="-4"/>
                <w:sz w:val="20"/>
              </w:rPr>
              <w:t>第一季度</w:t>
            </w:r>
          </w:p>
        </w:tc>
        <w:tc>
          <w:tcPr>
            <w:tcW w:w="993" w:type="dxa"/>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第二季度</w:t>
            </w:r>
          </w:p>
        </w:tc>
        <w:tc>
          <w:tcPr>
            <w:tcW w:w="1134" w:type="dxa"/>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第三季度</w:t>
            </w:r>
          </w:p>
        </w:tc>
        <w:tc>
          <w:tcPr>
            <w:tcW w:w="992" w:type="dxa"/>
            <w:gridSpan w:val="2"/>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第四季度</w:t>
            </w:r>
          </w:p>
        </w:tc>
        <w:tc>
          <w:tcPr>
            <w:tcW w:w="992" w:type="dxa"/>
          </w:tcPr>
          <w:p w:rsidR="00000000" w:rsidRDefault="00000000">
            <w:pPr>
              <w:spacing w:before="120"/>
              <w:jc w:val="center"/>
              <w:rPr>
                <w:rFonts w:ascii="Time New Roman" w:eastAsia="SimHei" w:hAnsi="Time New Roman" w:hint="eastAsia"/>
                <w:spacing w:val="-4"/>
                <w:sz w:val="20"/>
              </w:rPr>
            </w:pPr>
            <w:r>
              <w:rPr>
                <w:rFonts w:ascii="Time New Roman" w:eastAsia="SimHei" w:hAnsi="Time New Roman" w:hint="eastAsia"/>
                <w:spacing w:val="-4"/>
                <w:sz w:val="20"/>
              </w:rPr>
              <w:t>第一季度</w:t>
            </w:r>
          </w:p>
        </w:tc>
        <w:tc>
          <w:tcPr>
            <w:tcW w:w="992" w:type="dxa"/>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第二季度</w:t>
            </w:r>
          </w:p>
        </w:tc>
        <w:tc>
          <w:tcPr>
            <w:tcW w:w="993" w:type="dxa"/>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第三季度</w:t>
            </w:r>
          </w:p>
        </w:tc>
        <w:tc>
          <w:tcPr>
            <w:tcW w:w="992" w:type="dxa"/>
          </w:tcPr>
          <w:p w:rsidR="00000000" w:rsidRDefault="00000000">
            <w:pPr>
              <w:spacing w:before="120"/>
              <w:jc w:val="center"/>
              <w:rPr>
                <w:rFonts w:ascii="Time New Roman" w:eastAsia="SimHei" w:hAnsi="Time New Roman"/>
                <w:spacing w:val="-4"/>
                <w:sz w:val="20"/>
              </w:rPr>
            </w:pPr>
            <w:r>
              <w:rPr>
                <w:rFonts w:ascii="Time New Roman" w:eastAsia="SimHei" w:hAnsi="Time New Roman" w:hint="eastAsia"/>
                <w:spacing w:val="-4"/>
                <w:sz w:val="20"/>
              </w:rPr>
              <w:t>第四季度</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jc w:val="center"/>
              <w:rPr>
                <w:sz w:val="20"/>
              </w:rPr>
            </w:pPr>
          </w:p>
        </w:tc>
        <w:tc>
          <w:tcPr>
            <w:tcW w:w="8080" w:type="dxa"/>
            <w:gridSpan w:val="9"/>
            <w:tcBorders>
              <w:bottom w:val="single" w:sz="4" w:space="0" w:color="auto"/>
            </w:tcBorders>
          </w:tcPr>
          <w:p w:rsidR="00000000" w:rsidRDefault="00000000">
            <w:pPr>
              <w:spacing w:before="120"/>
              <w:jc w:val="center"/>
              <w:rPr>
                <w:sz w:val="20"/>
              </w:rPr>
            </w:pPr>
            <w:r>
              <w:rPr>
                <w:rFonts w:hint="eastAsia"/>
                <w:sz w:val="20"/>
              </w:rPr>
              <w:t>相对于生活水平</w:t>
            </w:r>
          </w:p>
        </w:tc>
      </w:tr>
      <w:tr w:rsidR="00000000">
        <w:tblPrEx>
          <w:tblCellMar>
            <w:top w:w="0" w:type="dxa"/>
            <w:bottom w:w="0" w:type="dxa"/>
          </w:tblCellMar>
        </w:tblPrEx>
        <w:tc>
          <w:tcPr>
            <w:tcW w:w="1276" w:type="dxa"/>
            <w:tcBorders>
              <w:bottom w:val="nil"/>
            </w:tcBorders>
          </w:tcPr>
          <w:p w:rsidR="00000000" w:rsidRDefault="00000000">
            <w:pPr>
              <w:spacing w:before="60"/>
              <w:ind w:left="113"/>
              <w:rPr>
                <w:rFonts w:hint="eastAsia"/>
                <w:sz w:val="20"/>
              </w:rPr>
            </w:pPr>
            <w:r>
              <w:rPr>
                <w:rFonts w:hint="eastAsia"/>
                <w:sz w:val="20"/>
              </w:rPr>
              <w:t>城镇</w:t>
            </w:r>
          </w:p>
        </w:tc>
        <w:tc>
          <w:tcPr>
            <w:tcW w:w="992" w:type="dxa"/>
            <w:tcBorders>
              <w:bottom w:val="nil"/>
            </w:tcBorders>
          </w:tcPr>
          <w:p w:rsidR="00000000" w:rsidRDefault="00000000">
            <w:pPr>
              <w:spacing w:before="60"/>
              <w:ind w:right="170"/>
              <w:jc w:val="right"/>
              <w:rPr>
                <w:sz w:val="20"/>
              </w:rPr>
            </w:pPr>
            <w:r>
              <w:rPr>
                <w:sz w:val="20"/>
              </w:rPr>
              <w:t>17.5</w:t>
            </w:r>
          </w:p>
        </w:tc>
        <w:tc>
          <w:tcPr>
            <w:tcW w:w="993" w:type="dxa"/>
            <w:tcBorders>
              <w:bottom w:val="nil"/>
            </w:tcBorders>
          </w:tcPr>
          <w:p w:rsidR="00000000" w:rsidRDefault="00000000">
            <w:pPr>
              <w:spacing w:before="60"/>
              <w:ind w:right="170"/>
              <w:jc w:val="right"/>
              <w:rPr>
                <w:sz w:val="20"/>
              </w:rPr>
            </w:pPr>
            <w:r>
              <w:rPr>
                <w:sz w:val="20"/>
              </w:rPr>
              <w:t>23.0</w:t>
            </w:r>
          </w:p>
        </w:tc>
        <w:tc>
          <w:tcPr>
            <w:tcW w:w="1134" w:type="dxa"/>
            <w:tcBorders>
              <w:bottom w:val="nil"/>
            </w:tcBorders>
          </w:tcPr>
          <w:p w:rsidR="00000000" w:rsidRDefault="00000000">
            <w:pPr>
              <w:spacing w:before="60"/>
              <w:ind w:right="170"/>
              <w:jc w:val="right"/>
              <w:rPr>
                <w:sz w:val="20"/>
              </w:rPr>
            </w:pPr>
            <w:r>
              <w:rPr>
                <w:sz w:val="20"/>
              </w:rPr>
              <w:t>22.9</w:t>
            </w:r>
          </w:p>
        </w:tc>
        <w:tc>
          <w:tcPr>
            <w:tcW w:w="992" w:type="dxa"/>
            <w:gridSpan w:val="2"/>
            <w:tcBorders>
              <w:bottom w:val="nil"/>
            </w:tcBorders>
          </w:tcPr>
          <w:p w:rsidR="00000000" w:rsidRDefault="00000000">
            <w:pPr>
              <w:spacing w:before="60"/>
              <w:ind w:right="170"/>
              <w:jc w:val="right"/>
              <w:rPr>
                <w:sz w:val="20"/>
              </w:rPr>
            </w:pPr>
            <w:r>
              <w:rPr>
                <w:sz w:val="20"/>
              </w:rPr>
              <w:t>28.8</w:t>
            </w:r>
          </w:p>
        </w:tc>
        <w:tc>
          <w:tcPr>
            <w:tcW w:w="992" w:type="dxa"/>
            <w:tcBorders>
              <w:bottom w:val="nil"/>
            </w:tcBorders>
          </w:tcPr>
          <w:p w:rsidR="00000000" w:rsidRDefault="00000000">
            <w:pPr>
              <w:spacing w:before="60"/>
              <w:ind w:right="170"/>
              <w:jc w:val="right"/>
              <w:rPr>
                <w:sz w:val="20"/>
              </w:rPr>
            </w:pPr>
            <w:r>
              <w:rPr>
                <w:sz w:val="20"/>
              </w:rPr>
              <w:t>23.0</w:t>
            </w:r>
          </w:p>
        </w:tc>
        <w:tc>
          <w:tcPr>
            <w:tcW w:w="992" w:type="dxa"/>
            <w:tcBorders>
              <w:bottom w:val="nil"/>
            </w:tcBorders>
          </w:tcPr>
          <w:p w:rsidR="00000000" w:rsidRDefault="00000000">
            <w:pPr>
              <w:spacing w:before="60"/>
              <w:ind w:right="170"/>
              <w:jc w:val="right"/>
              <w:rPr>
                <w:sz w:val="20"/>
              </w:rPr>
            </w:pPr>
            <w:r>
              <w:rPr>
                <w:sz w:val="20"/>
              </w:rPr>
              <w:t>29.6</w:t>
            </w:r>
          </w:p>
        </w:tc>
        <w:tc>
          <w:tcPr>
            <w:tcW w:w="993" w:type="dxa"/>
            <w:tcBorders>
              <w:bottom w:val="nil"/>
            </w:tcBorders>
          </w:tcPr>
          <w:p w:rsidR="00000000" w:rsidRDefault="00000000">
            <w:pPr>
              <w:spacing w:before="60"/>
              <w:ind w:right="170"/>
              <w:jc w:val="right"/>
              <w:rPr>
                <w:sz w:val="20"/>
              </w:rPr>
            </w:pPr>
            <w:r>
              <w:rPr>
                <w:sz w:val="20"/>
              </w:rPr>
              <w:t>24.1</w:t>
            </w:r>
          </w:p>
        </w:tc>
        <w:tc>
          <w:tcPr>
            <w:tcW w:w="992" w:type="dxa"/>
            <w:tcBorders>
              <w:bottom w:val="nil"/>
            </w:tcBorders>
          </w:tcPr>
          <w:p w:rsidR="00000000" w:rsidRDefault="00000000">
            <w:pPr>
              <w:spacing w:before="60"/>
              <w:ind w:right="170"/>
              <w:jc w:val="right"/>
              <w:rPr>
                <w:sz w:val="20"/>
              </w:rPr>
            </w:pPr>
            <w:r>
              <w:rPr>
                <w:sz w:val="20"/>
              </w:rPr>
              <w:t>20.7</w:t>
            </w:r>
          </w:p>
        </w:tc>
      </w:tr>
      <w:tr w:rsidR="00000000">
        <w:tblPrEx>
          <w:tblCellMar>
            <w:top w:w="0" w:type="dxa"/>
            <w:bottom w:w="0" w:type="dxa"/>
          </w:tblCellMar>
        </w:tblPrEx>
        <w:tc>
          <w:tcPr>
            <w:tcW w:w="1276" w:type="dxa"/>
            <w:tcBorders>
              <w:top w:val="nil"/>
              <w:bottom w:val="single" w:sz="4" w:space="0" w:color="auto"/>
            </w:tcBorders>
          </w:tcPr>
          <w:p w:rsidR="00000000" w:rsidRDefault="00000000">
            <w:pPr>
              <w:ind w:left="113"/>
              <w:rPr>
                <w:rFonts w:hint="eastAsia"/>
                <w:sz w:val="20"/>
              </w:rPr>
            </w:pPr>
            <w:r>
              <w:rPr>
                <w:rFonts w:hint="eastAsia"/>
                <w:sz w:val="20"/>
              </w:rPr>
              <w:t>乡村</w:t>
            </w:r>
          </w:p>
        </w:tc>
        <w:tc>
          <w:tcPr>
            <w:tcW w:w="992" w:type="dxa"/>
            <w:tcBorders>
              <w:top w:val="nil"/>
              <w:bottom w:val="single" w:sz="4" w:space="0" w:color="auto"/>
            </w:tcBorders>
          </w:tcPr>
          <w:p w:rsidR="00000000" w:rsidRDefault="00000000">
            <w:pPr>
              <w:ind w:right="170"/>
              <w:jc w:val="right"/>
              <w:rPr>
                <w:sz w:val="20"/>
              </w:rPr>
            </w:pPr>
            <w:r>
              <w:rPr>
                <w:sz w:val="20"/>
              </w:rPr>
              <w:t>9.4</w:t>
            </w:r>
          </w:p>
        </w:tc>
        <w:tc>
          <w:tcPr>
            <w:tcW w:w="993" w:type="dxa"/>
            <w:tcBorders>
              <w:top w:val="nil"/>
              <w:bottom w:val="single" w:sz="4" w:space="0" w:color="auto"/>
            </w:tcBorders>
          </w:tcPr>
          <w:p w:rsidR="00000000" w:rsidRDefault="00000000">
            <w:pPr>
              <w:ind w:right="170"/>
              <w:jc w:val="right"/>
              <w:rPr>
                <w:sz w:val="20"/>
              </w:rPr>
            </w:pPr>
            <w:r>
              <w:rPr>
                <w:sz w:val="20"/>
              </w:rPr>
              <w:t>17.6</w:t>
            </w:r>
          </w:p>
        </w:tc>
        <w:tc>
          <w:tcPr>
            <w:tcW w:w="1134" w:type="dxa"/>
            <w:tcBorders>
              <w:top w:val="nil"/>
              <w:bottom w:val="single" w:sz="4" w:space="0" w:color="auto"/>
            </w:tcBorders>
          </w:tcPr>
          <w:p w:rsidR="00000000" w:rsidRDefault="00000000">
            <w:pPr>
              <w:ind w:right="170"/>
              <w:jc w:val="right"/>
              <w:rPr>
                <w:sz w:val="20"/>
              </w:rPr>
            </w:pPr>
            <w:r>
              <w:rPr>
                <w:sz w:val="20"/>
              </w:rPr>
              <w:t>15.8</w:t>
            </w:r>
          </w:p>
        </w:tc>
        <w:tc>
          <w:tcPr>
            <w:tcW w:w="992" w:type="dxa"/>
            <w:gridSpan w:val="2"/>
            <w:tcBorders>
              <w:top w:val="nil"/>
              <w:bottom w:val="single" w:sz="4" w:space="0" w:color="auto"/>
            </w:tcBorders>
          </w:tcPr>
          <w:p w:rsidR="00000000" w:rsidRDefault="00000000">
            <w:pPr>
              <w:ind w:right="170"/>
              <w:jc w:val="right"/>
              <w:rPr>
                <w:sz w:val="20"/>
              </w:rPr>
            </w:pPr>
            <w:r>
              <w:rPr>
                <w:sz w:val="20"/>
              </w:rPr>
              <w:t>14.5</w:t>
            </w:r>
          </w:p>
        </w:tc>
        <w:tc>
          <w:tcPr>
            <w:tcW w:w="992" w:type="dxa"/>
            <w:tcBorders>
              <w:top w:val="nil"/>
              <w:bottom w:val="single" w:sz="4" w:space="0" w:color="auto"/>
            </w:tcBorders>
          </w:tcPr>
          <w:p w:rsidR="00000000" w:rsidRDefault="00000000">
            <w:pPr>
              <w:ind w:right="170"/>
              <w:jc w:val="right"/>
              <w:rPr>
                <w:sz w:val="20"/>
              </w:rPr>
            </w:pPr>
            <w:r>
              <w:rPr>
                <w:sz w:val="20"/>
              </w:rPr>
              <w:t>12.5</w:t>
            </w:r>
          </w:p>
        </w:tc>
        <w:tc>
          <w:tcPr>
            <w:tcW w:w="992" w:type="dxa"/>
            <w:tcBorders>
              <w:top w:val="nil"/>
              <w:bottom w:val="single" w:sz="4" w:space="0" w:color="auto"/>
            </w:tcBorders>
          </w:tcPr>
          <w:p w:rsidR="00000000" w:rsidRDefault="00000000">
            <w:pPr>
              <w:ind w:right="170"/>
              <w:jc w:val="right"/>
              <w:rPr>
                <w:sz w:val="20"/>
              </w:rPr>
            </w:pPr>
            <w:r>
              <w:rPr>
                <w:sz w:val="20"/>
              </w:rPr>
              <w:t>18.6</w:t>
            </w:r>
          </w:p>
        </w:tc>
        <w:tc>
          <w:tcPr>
            <w:tcW w:w="993" w:type="dxa"/>
            <w:tcBorders>
              <w:top w:val="nil"/>
              <w:bottom w:val="single" w:sz="4" w:space="0" w:color="auto"/>
            </w:tcBorders>
          </w:tcPr>
          <w:p w:rsidR="00000000" w:rsidRDefault="00000000">
            <w:pPr>
              <w:ind w:right="170"/>
              <w:jc w:val="right"/>
              <w:rPr>
                <w:sz w:val="20"/>
              </w:rPr>
            </w:pPr>
            <w:r>
              <w:rPr>
                <w:sz w:val="20"/>
              </w:rPr>
              <w:t>16.7</w:t>
            </w:r>
          </w:p>
        </w:tc>
        <w:tc>
          <w:tcPr>
            <w:tcW w:w="992" w:type="dxa"/>
            <w:tcBorders>
              <w:top w:val="nil"/>
              <w:bottom w:val="single" w:sz="4" w:space="0" w:color="auto"/>
            </w:tcBorders>
          </w:tcPr>
          <w:p w:rsidR="00000000" w:rsidRDefault="00000000">
            <w:pPr>
              <w:ind w:right="170"/>
              <w:jc w:val="right"/>
              <w:rPr>
                <w:sz w:val="20"/>
              </w:rPr>
            </w:pPr>
            <w:r>
              <w:rPr>
                <w:sz w:val="20"/>
              </w:rPr>
              <w:t>13.9</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ind w:left="113"/>
              <w:jc w:val="center"/>
              <w:rPr>
                <w:sz w:val="20"/>
              </w:rPr>
            </w:pPr>
          </w:p>
        </w:tc>
        <w:tc>
          <w:tcPr>
            <w:tcW w:w="8080" w:type="dxa"/>
            <w:gridSpan w:val="9"/>
            <w:tcBorders>
              <w:bottom w:val="single" w:sz="4" w:space="0" w:color="auto"/>
            </w:tcBorders>
          </w:tcPr>
          <w:p w:rsidR="00000000" w:rsidRDefault="00000000">
            <w:pPr>
              <w:spacing w:before="120"/>
              <w:jc w:val="center"/>
              <w:rPr>
                <w:rFonts w:hint="eastAsia"/>
                <w:sz w:val="20"/>
              </w:rPr>
            </w:pPr>
            <w:r>
              <w:rPr>
                <w:rFonts w:hint="eastAsia"/>
                <w:sz w:val="20"/>
              </w:rPr>
              <w:t>相对于平均消费的</w:t>
            </w:r>
            <w:r>
              <w:rPr>
                <w:rFonts w:hint="eastAsia"/>
                <w:sz w:val="20"/>
              </w:rPr>
              <w:t>60%</w:t>
            </w:r>
          </w:p>
        </w:tc>
      </w:tr>
      <w:tr w:rsidR="00000000">
        <w:tblPrEx>
          <w:tblCellMar>
            <w:top w:w="0" w:type="dxa"/>
            <w:bottom w:w="0" w:type="dxa"/>
          </w:tblCellMar>
        </w:tblPrEx>
        <w:tc>
          <w:tcPr>
            <w:tcW w:w="1276" w:type="dxa"/>
            <w:tcBorders>
              <w:bottom w:val="nil"/>
            </w:tcBorders>
          </w:tcPr>
          <w:p w:rsidR="00000000" w:rsidRDefault="00000000">
            <w:pPr>
              <w:spacing w:before="60"/>
              <w:ind w:left="113"/>
              <w:rPr>
                <w:rFonts w:hint="eastAsia"/>
                <w:sz w:val="20"/>
              </w:rPr>
            </w:pPr>
            <w:r>
              <w:rPr>
                <w:rFonts w:hint="eastAsia"/>
                <w:sz w:val="20"/>
              </w:rPr>
              <w:t>城镇</w:t>
            </w:r>
          </w:p>
        </w:tc>
        <w:tc>
          <w:tcPr>
            <w:tcW w:w="992" w:type="dxa"/>
            <w:tcBorders>
              <w:bottom w:val="nil"/>
            </w:tcBorders>
          </w:tcPr>
          <w:p w:rsidR="00000000" w:rsidRDefault="00000000">
            <w:pPr>
              <w:spacing w:before="60"/>
              <w:ind w:right="170"/>
              <w:jc w:val="right"/>
              <w:rPr>
                <w:sz w:val="20"/>
              </w:rPr>
            </w:pPr>
            <w:r>
              <w:rPr>
                <w:sz w:val="20"/>
              </w:rPr>
              <w:t>6.4</w:t>
            </w:r>
          </w:p>
        </w:tc>
        <w:tc>
          <w:tcPr>
            <w:tcW w:w="993" w:type="dxa"/>
            <w:tcBorders>
              <w:bottom w:val="nil"/>
            </w:tcBorders>
          </w:tcPr>
          <w:p w:rsidR="00000000" w:rsidRDefault="00000000">
            <w:pPr>
              <w:spacing w:before="60"/>
              <w:ind w:right="170"/>
              <w:jc w:val="right"/>
              <w:rPr>
                <w:sz w:val="20"/>
              </w:rPr>
            </w:pPr>
            <w:r>
              <w:rPr>
                <w:sz w:val="20"/>
              </w:rPr>
              <w:t>9.4</w:t>
            </w:r>
          </w:p>
        </w:tc>
        <w:tc>
          <w:tcPr>
            <w:tcW w:w="1211" w:type="dxa"/>
            <w:gridSpan w:val="2"/>
            <w:tcBorders>
              <w:bottom w:val="nil"/>
            </w:tcBorders>
          </w:tcPr>
          <w:p w:rsidR="00000000" w:rsidRDefault="00000000">
            <w:pPr>
              <w:spacing w:before="60"/>
              <w:ind w:right="170"/>
              <w:jc w:val="right"/>
              <w:rPr>
                <w:sz w:val="20"/>
              </w:rPr>
            </w:pPr>
            <w:r>
              <w:rPr>
                <w:sz w:val="20"/>
              </w:rPr>
              <w:t>9.9</w:t>
            </w:r>
          </w:p>
        </w:tc>
        <w:tc>
          <w:tcPr>
            <w:tcW w:w="915" w:type="dxa"/>
            <w:tcBorders>
              <w:bottom w:val="nil"/>
            </w:tcBorders>
          </w:tcPr>
          <w:p w:rsidR="00000000" w:rsidRDefault="00000000">
            <w:pPr>
              <w:spacing w:before="60"/>
              <w:ind w:right="170"/>
              <w:jc w:val="right"/>
              <w:rPr>
                <w:sz w:val="20"/>
              </w:rPr>
            </w:pPr>
            <w:r>
              <w:rPr>
                <w:sz w:val="20"/>
              </w:rPr>
              <w:t>8.9</w:t>
            </w:r>
          </w:p>
        </w:tc>
        <w:tc>
          <w:tcPr>
            <w:tcW w:w="992" w:type="dxa"/>
            <w:tcBorders>
              <w:bottom w:val="nil"/>
            </w:tcBorders>
          </w:tcPr>
          <w:p w:rsidR="00000000" w:rsidRDefault="00000000">
            <w:pPr>
              <w:spacing w:before="60"/>
              <w:ind w:right="170"/>
              <w:jc w:val="right"/>
              <w:rPr>
                <w:sz w:val="20"/>
              </w:rPr>
            </w:pPr>
            <w:r>
              <w:rPr>
                <w:sz w:val="20"/>
              </w:rPr>
              <w:t>9.3</w:t>
            </w:r>
          </w:p>
        </w:tc>
        <w:tc>
          <w:tcPr>
            <w:tcW w:w="992" w:type="dxa"/>
            <w:tcBorders>
              <w:bottom w:val="nil"/>
            </w:tcBorders>
          </w:tcPr>
          <w:p w:rsidR="00000000" w:rsidRDefault="00000000">
            <w:pPr>
              <w:spacing w:before="60"/>
              <w:ind w:right="170"/>
              <w:jc w:val="right"/>
              <w:rPr>
                <w:sz w:val="20"/>
              </w:rPr>
            </w:pPr>
            <w:r>
              <w:rPr>
                <w:sz w:val="20"/>
              </w:rPr>
              <w:t>9.5</w:t>
            </w:r>
          </w:p>
        </w:tc>
        <w:tc>
          <w:tcPr>
            <w:tcW w:w="993" w:type="dxa"/>
            <w:tcBorders>
              <w:bottom w:val="nil"/>
            </w:tcBorders>
          </w:tcPr>
          <w:p w:rsidR="00000000" w:rsidRDefault="00000000">
            <w:pPr>
              <w:spacing w:before="60"/>
              <w:ind w:right="170"/>
              <w:jc w:val="right"/>
              <w:rPr>
                <w:sz w:val="20"/>
              </w:rPr>
            </w:pPr>
            <w:r>
              <w:rPr>
                <w:sz w:val="20"/>
              </w:rPr>
              <w:t>8.7</w:t>
            </w:r>
          </w:p>
        </w:tc>
        <w:tc>
          <w:tcPr>
            <w:tcW w:w="992" w:type="dxa"/>
            <w:tcBorders>
              <w:bottom w:val="nil"/>
            </w:tcBorders>
          </w:tcPr>
          <w:p w:rsidR="00000000" w:rsidRDefault="00000000">
            <w:pPr>
              <w:spacing w:before="60"/>
              <w:ind w:right="170"/>
              <w:jc w:val="right"/>
              <w:rPr>
                <w:sz w:val="20"/>
              </w:rPr>
            </w:pPr>
            <w:r>
              <w:rPr>
                <w:sz w:val="20"/>
              </w:rPr>
              <w:t>9.1</w:t>
            </w:r>
          </w:p>
        </w:tc>
      </w:tr>
      <w:tr w:rsidR="00000000">
        <w:tblPrEx>
          <w:tblCellMar>
            <w:top w:w="0" w:type="dxa"/>
            <w:bottom w:w="0" w:type="dxa"/>
          </w:tblCellMar>
        </w:tblPrEx>
        <w:tc>
          <w:tcPr>
            <w:tcW w:w="1276" w:type="dxa"/>
            <w:tcBorders>
              <w:top w:val="nil"/>
            </w:tcBorders>
          </w:tcPr>
          <w:p w:rsidR="00000000" w:rsidRDefault="00000000">
            <w:pPr>
              <w:ind w:left="113"/>
              <w:rPr>
                <w:rFonts w:hint="eastAsia"/>
                <w:sz w:val="20"/>
              </w:rPr>
            </w:pPr>
            <w:r>
              <w:rPr>
                <w:rFonts w:hint="eastAsia"/>
                <w:sz w:val="20"/>
              </w:rPr>
              <w:t>乡村</w:t>
            </w:r>
          </w:p>
        </w:tc>
        <w:tc>
          <w:tcPr>
            <w:tcW w:w="992" w:type="dxa"/>
            <w:tcBorders>
              <w:top w:val="nil"/>
            </w:tcBorders>
          </w:tcPr>
          <w:p w:rsidR="00000000" w:rsidRDefault="00000000">
            <w:pPr>
              <w:ind w:right="170"/>
              <w:jc w:val="right"/>
              <w:rPr>
                <w:sz w:val="20"/>
              </w:rPr>
            </w:pPr>
            <w:r>
              <w:rPr>
                <w:sz w:val="20"/>
              </w:rPr>
              <w:t>4.4</w:t>
            </w:r>
          </w:p>
        </w:tc>
        <w:tc>
          <w:tcPr>
            <w:tcW w:w="993" w:type="dxa"/>
            <w:tcBorders>
              <w:top w:val="nil"/>
            </w:tcBorders>
          </w:tcPr>
          <w:p w:rsidR="00000000" w:rsidRDefault="00000000">
            <w:pPr>
              <w:ind w:right="170"/>
              <w:jc w:val="right"/>
              <w:rPr>
                <w:sz w:val="20"/>
              </w:rPr>
            </w:pPr>
            <w:r>
              <w:rPr>
                <w:sz w:val="20"/>
              </w:rPr>
              <w:t>6.8</w:t>
            </w:r>
          </w:p>
        </w:tc>
        <w:tc>
          <w:tcPr>
            <w:tcW w:w="1211" w:type="dxa"/>
            <w:gridSpan w:val="2"/>
            <w:tcBorders>
              <w:top w:val="nil"/>
            </w:tcBorders>
          </w:tcPr>
          <w:p w:rsidR="00000000" w:rsidRDefault="00000000">
            <w:pPr>
              <w:ind w:right="170"/>
              <w:jc w:val="right"/>
              <w:rPr>
                <w:sz w:val="20"/>
              </w:rPr>
            </w:pPr>
            <w:r>
              <w:rPr>
                <w:sz w:val="20"/>
              </w:rPr>
              <w:t>5.5</w:t>
            </w:r>
          </w:p>
        </w:tc>
        <w:tc>
          <w:tcPr>
            <w:tcW w:w="915" w:type="dxa"/>
            <w:tcBorders>
              <w:top w:val="nil"/>
            </w:tcBorders>
          </w:tcPr>
          <w:p w:rsidR="00000000" w:rsidRDefault="00000000">
            <w:pPr>
              <w:ind w:right="170"/>
              <w:jc w:val="right"/>
              <w:rPr>
                <w:sz w:val="20"/>
              </w:rPr>
            </w:pPr>
            <w:r>
              <w:rPr>
                <w:sz w:val="20"/>
              </w:rPr>
              <w:t>6.3</w:t>
            </w:r>
          </w:p>
        </w:tc>
        <w:tc>
          <w:tcPr>
            <w:tcW w:w="992" w:type="dxa"/>
            <w:tcBorders>
              <w:top w:val="nil"/>
            </w:tcBorders>
          </w:tcPr>
          <w:p w:rsidR="00000000" w:rsidRDefault="00000000">
            <w:pPr>
              <w:ind w:right="170"/>
              <w:jc w:val="right"/>
              <w:rPr>
                <w:sz w:val="20"/>
              </w:rPr>
            </w:pPr>
            <w:r>
              <w:rPr>
                <w:sz w:val="20"/>
              </w:rPr>
              <w:t>5.4</w:t>
            </w:r>
          </w:p>
        </w:tc>
        <w:tc>
          <w:tcPr>
            <w:tcW w:w="992" w:type="dxa"/>
            <w:tcBorders>
              <w:top w:val="nil"/>
            </w:tcBorders>
          </w:tcPr>
          <w:p w:rsidR="00000000" w:rsidRDefault="00000000">
            <w:pPr>
              <w:ind w:right="170"/>
              <w:jc w:val="right"/>
              <w:rPr>
                <w:sz w:val="20"/>
              </w:rPr>
            </w:pPr>
            <w:r>
              <w:rPr>
                <w:sz w:val="20"/>
              </w:rPr>
              <w:t>5.2</w:t>
            </w:r>
          </w:p>
        </w:tc>
        <w:tc>
          <w:tcPr>
            <w:tcW w:w="993" w:type="dxa"/>
            <w:tcBorders>
              <w:top w:val="nil"/>
            </w:tcBorders>
          </w:tcPr>
          <w:p w:rsidR="00000000" w:rsidRDefault="00000000">
            <w:pPr>
              <w:ind w:right="170"/>
              <w:jc w:val="right"/>
              <w:rPr>
                <w:sz w:val="20"/>
              </w:rPr>
            </w:pPr>
            <w:r>
              <w:rPr>
                <w:sz w:val="20"/>
              </w:rPr>
              <w:t>6.3</w:t>
            </w:r>
          </w:p>
        </w:tc>
        <w:tc>
          <w:tcPr>
            <w:tcW w:w="992" w:type="dxa"/>
            <w:tcBorders>
              <w:top w:val="nil"/>
            </w:tcBorders>
          </w:tcPr>
          <w:p w:rsidR="00000000" w:rsidRDefault="00000000">
            <w:pPr>
              <w:ind w:right="170"/>
              <w:jc w:val="right"/>
              <w:rPr>
                <w:sz w:val="20"/>
              </w:rPr>
            </w:pPr>
            <w:r>
              <w:rPr>
                <w:sz w:val="20"/>
              </w:rPr>
              <w:t>6.4</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ind w:left="113"/>
              <w:jc w:val="center"/>
              <w:rPr>
                <w:sz w:val="20"/>
              </w:rPr>
            </w:pPr>
          </w:p>
        </w:tc>
        <w:tc>
          <w:tcPr>
            <w:tcW w:w="8080" w:type="dxa"/>
            <w:gridSpan w:val="9"/>
            <w:tcBorders>
              <w:bottom w:val="single" w:sz="4" w:space="0" w:color="auto"/>
            </w:tcBorders>
          </w:tcPr>
          <w:p w:rsidR="00000000" w:rsidRDefault="00000000">
            <w:pPr>
              <w:spacing w:before="120"/>
              <w:jc w:val="center"/>
              <w:rPr>
                <w:sz w:val="20"/>
              </w:rPr>
            </w:pPr>
            <w:r>
              <w:rPr>
                <w:rFonts w:hint="eastAsia"/>
                <w:sz w:val="20"/>
              </w:rPr>
              <w:t>相对于平均消费的</w:t>
            </w:r>
            <w:r>
              <w:rPr>
                <w:rFonts w:hint="eastAsia"/>
                <w:sz w:val="20"/>
              </w:rPr>
              <w:t>40%</w:t>
            </w:r>
          </w:p>
        </w:tc>
      </w:tr>
      <w:tr w:rsidR="00000000">
        <w:tblPrEx>
          <w:tblCellMar>
            <w:top w:w="0" w:type="dxa"/>
            <w:bottom w:w="0" w:type="dxa"/>
          </w:tblCellMar>
        </w:tblPrEx>
        <w:tc>
          <w:tcPr>
            <w:tcW w:w="1276" w:type="dxa"/>
            <w:tcBorders>
              <w:bottom w:val="nil"/>
            </w:tcBorders>
          </w:tcPr>
          <w:p w:rsidR="00000000" w:rsidRDefault="00000000">
            <w:pPr>
              <w:spacing w:before="60"/>
              <w:ind w:left="113"/>
              <w:rPr>
                <w:rFonts w:hint="eastAsia"/>
                <w:sz w:val="20"/>
              </w:rPr>
            </w:pPr>
            <w:r>
              <w:rPr>
                <w:rFonts w:hint="eastAsia"/>
                <w:sz w:val="20"/>
              </w:rPr>
              <w:t>城镇</w:t>
            </w:r>
          </w:p>
        </w:tc>
        <w:tc>
          <w:tcPr>
            <w:tcW w:w="992" w:type="dxa"/>
            <w:tcBorders>
              <w:bottom w:val="nil"/>
            </w:tcBorders>
          </w:tcPr>
          <w:p w:rsidR="00000000" w:rsidRDefault="00000000">
            <w:pPr>
              <w:spacing w:before="60"/>
              <w:ind w:right="170"/>
              <w:jc w:val="right"/>
              <w:rPr>
                <w:sz w:val="20"/>
              </w:rPr>
            </w:pPr>
            <w:r>
              <w:rPr>
                <w:sz w:val="20"/>
              </w:rPr>
              <w:t>3.1</w:t>
            </w:r>
          </w:p>
        </w:tc>
        <w:tc>
          <w:tcPr>
            <w:tcW w:w="993" w:type="dxa"/>
            <w:tcBorders>
              <w:bottom w:val="nil"/>
            </w:tcBorders>
          </w:tcPr>
          <w:p w:rsidR="00000000" w:rsidRDefault="00000000">
            <w:pPr>
              <w:spacing w:before="60"/>
              <w:ind w:right="170"/>
              <w:jc w:val="right"/>
              <w:rPr>
                <w:sz w:val="20"/>
              </w:rPr>
            </w:pPr>
            <w:r>
              <w:rPr>
                <w:sz w:val="20"/>
              </w:rPr>
              <w:t>4.0</w:t>
            </w:r>
          </w:p>
        </w:tc>
        <w:tc>
          <w:tcPr>
            <w:tcW w:w="1211" w:type="dxa"/>
            <w:gridSpan w:val="2"/>
            <w:tcBorders>
              <w:bottom w:val="nil"/>
            </w:tcBorders>
          </w:tcPr>
          <w:p w:rsidR="00000000" w:rsidRDefault="00000000">
            <w:pPr>
              <w:spacing w:before="60"/>
              <w:ind w:right="170"/>
              <w:jc w:val="right"/>
              <w:rPr>
                <w:sz w:val="20"/>
              </w:rPr>
            </w:pPr>
            <w:r>
              <w:rPr>
                <w:sz w:val="20"/>
              </w:rPr>
              <w:t>4.7</w:t>
            </w:r>
          </w:p>
        </w:tc>
        <w:tc>
          <w:tcPr>
            <w:tcW w:w="915" w:type="dxa"/>
            <w:tcBorders>
              <w:bottom w:val="nil"/>
            </w:tcBorders>
          </w:tcPr>
          <w:p w:rsidR="00000000" w:rsidRDefault="00000000">
            <w:pPr>
              <w:spacing w:before="60"/>
              <w:ind w:right="170"/>
              <w:jc w:val="right"/>
              <w:rPr>
                <w:sz w:val="20"/>
              </w:rPr>
            </w:pPr>
            <w:r>
              <w:rPr>
                <w:sz w:val="20"/>
              </w:rPr>
              <w:t>3.7</w:t>
            </w:r>
          </w:p>
        </w:tc>
        <w:tc>
          <w:tcPr>
            <w:tcW w:w="992" w:type="dxa"/>
            <w:tcBorders>
              <w:bottom w:val="nil"/>
            </w:tcBorders>
          </w:tcPr>
          <w:p w:rsidR="00000000" w:rsidRDefault="00000000">
            <w:pPr>
              <w:spacing w:before="60"/>
              <w:ind w:right="170"/>
              <w:jc w:val="right"/>
              <w:rPr>
                <w:sz w:val="20"/>
              </w:rPr>
            </w:pPr>
            <w:r>
              <w:rPr>
                <w:sz w:val="20"/>
              </w:rPr>
              <w:t>3.9</w:t>
            </w:r>
          </w:p>
        </w:tc>
        <w:tc>
          <w:tcPr>
            <w:tcW w:w="992" w:type="dxa"/>
            <w:tcBorders>
              <w:bottom w:val="nil"/>
            </w:tcBorders>
          </w:tcPr>
          <w:p w:rsidR="00000000" w:rsidRDefault="00000000">
            <w:pPr>
              <w:spacing w:before="60"/>
              <w:ind w:right="170"/>
              <w:jc w:val="right"/>
              <w:rPr>
                <w:sz w:val="20"/>
              </w:rPr>
            </w:pPr>
            <w:r>
              <w:rPr>
                <w:sz w:val="20"/>
              </w:rPr>
              <w:t>3.9</w:t>
            </w:r>
          </w:p>
        </w:tc>
        <w:tc>
          <w:tcPr>
            <w:tcW w:w="993" w:type="dxa"/>
            <w:tcBorders>
              <w:bottom w:val="nil"/>
            </w:tcBorders>
          </w:tcPr>
          <w:p w:rsidR="00000000" w:rsidRDefault="00000000">
            <w:pPr>
              <w:spacing w:before="60"/>
              <w:ind w:right="170"/>
              <w:jc w:val="right"/>
              <w:rPr>
                <w:sz w:val="20"/>
              </w:rPr>
            </w:pPr>
            <w:r>
              <w:rPr>
                <w:sz w:val="20"/>
              </w:rPr>
              <w:t>3.6</w:t>
            </w:r>
          </w:p>
        </w:tc>
        <w:tc>
          <w:tcPr>
            <w:tcW w:w="992" w:type="dxa"/>
            <w:tcBorders>
              <w:bottom w:val="nil"/>
            </w:tcBorders>
          </w:tcPr>
          <w:p w:rsidR="00000000" w:rsidRDefault="00000000">
            <w:pPr>
              <w:spacing w:before="60"/>
              <w:ind w:right="170"/>
              <w:jc w:val="right"/>
              <w:rPr>
                <w:sz w:val="20"/>
              </w:rPr>
            </w:pPr>
            <w:r>
              <w:rPr>
                <w:sz w:val="20"/>
              </w:rPr>
              <w:t>3.5</w:t>
            </w:r>
          </w:p>
        </w:tc>
      </w:tr>
      <w:tr w:rsidR="00000000">
        <w:tblPrEx>
          <w:tblCellMar>
            <w:top w:w="0" w:type="dxa"/>
            <w:bottom w:w="0" w:type="dxa"/>
          </w:tblCellMar>
        </w:tblPrEx>
        <w:tc>
          <w:tcPr>
            <w:tcW w:w="1276" w:type="dxa"/>
            <w:tcBorders>
              <w:top w:val="nil"/>
            </w:tcBorders>
          </w:tcPr>
          <w:p w:rsidR="00000000" w:rsidRDefault="00000000">
            <w:pPr>
              <w:ind w:left="113"/>
              <w:rPr>
                <w:rFonts w:hint="eastAsia"/>
                <w:sz w:val="20"/>
              </w:rPr>
            </w:pPr>
            <w:r>
              <w:rPr>
                <w:rFonts w:hint="eastAsia"/>
                <w:sz w:val="20"/>
              </w:rPr>
              <w:t>乡村</w:t>
            </w:r>
          </w:p>
        </w:tc>
        <w:tc>
          <w:tcPr>
            <w:tcW w:w="992" w:type="dxa"/>
            <w:tcBorders>
              <w:top w:val="nil"/>
            </w:tcBorders>
          </w:tcPr>
          <w:p w:rsidR="00000000" w:rsidRDefault="00000000">
            <w:pPr>
              <w:ind w:right="170"/>
              <w:jc w:val="right"/>
              <w:rPr>
                <w:sz w:val="20"/>
              </w:rPr>
            </w:pPr>
            <w:r>
              <w:rPr>
                <w:sz w:val="20"/>
              </w:rPr>
              <w:t>2.5</w:t>
            </w:r>
          </w:p>
        </w:tc>
        <w:tc>
          <w:tcPr>
            <w:tcW w:w="993" w:type="dxa"/>
            <w:tcBorders>
              <w:top w:val="nil"/>
            </w:tcBorders>
          </w:tcPr>
          <w:p w:rsidR="00000000" w:rsidRDefault="00000000">
            <w:pPr>
              <w:ind w:right="170"/>
              <w:jc w:val="right"/>
              <w:rPr>
                <w:sz w:val="20"/>
              </w:rPr>
            </w:pPr>
            <w:r>
              <w:rPr>
                <w:sz w:val="20"/>
              </w:rPr>
              <w:t>2.8</w:t>
            </w:r>
          </w:p>
        </w:tc>
        <w:tc>
          <w:tcPr>
            <w:tcW w:w="1211" w:type="dxa"/>
            <w:gridSpan w:val="2"/>
            <w:tcBorders>
              <w:top w:val="nil"/>
            </w:tcBorders>
          </w:tcPr>
          <w:p w:rsidR="00000000" w:rsidRDefault="00000000">
            <w:pPr>
              <w:ind w:right="170"/>
              <w:jc w:val="right"/>
              <w:rPr>
                <w:sz w:val="20"/>
              </w:rPr>
            </w:pPr>
            <w:r>
              <w:rPr>
                <w:sz w:val="20"/>
              </w:rPr>
              <w:t>2.3</w:t>
            </w:r>
          </w:p>
        </w:tc>
        <w:tc>
          <w:tcPr>
            <w:tcW w:w="915" w:type="dxa"/>
            <w:tcBorders>
              <w:top w:val="nil"/>
            </w:tcBorders>
          </w:tcPr>
          <w:p w:rsidR="00000000" w:rsidRDefault="00000000">
            <w:pPr>
              <w:ind w:right="170"/>
              <w:jc w:val="right"/>
              <w:rPr>
                <w:sz w:val="20"/>
              </w:rPr>
            </w:pPr>
            <w:r>
              <w:rPr>
                <w:sz w:val="20"/>
              </w:rPr>
              <w:t>2.9</w:t>
            </w:r>
          </w:p>
        </w:tc>
        <w:tc>
          <w:tcPr>
            <w:tcW w:w="992" w:type="dxa"/>
            <w:tcBorders>
              <w:top w:val="nil"/>
            </w:tcBorders>
          </w:tcPr>
          <w:p w:rsidR="00000000" w:rsidRDefault="00000000">
            <w:pPr>
              <w:ind w:right="170"/>
              <w:jc w:val="right"/>
              <w:rPr>
                <w:sz w:val="20"/>
              </w:rPr>
            </w:pPr>
            <w:r>
              <w:rPr>
                <w:sz w:val="20"/>
              </w:rPr>
              <w:t>2.6</w:t>
            </w:r>
          </w:p>
        </w:tc>
        <w:tc>
          <w:tcPr>
            <w:tcW w:w="992" w:type="dxa"/>
            <w:tcBorders>
              <w:top w:val="nil"/>
            </w:tcBorders>
          </w:tcPr>
          <w:p w:rsidR="00000000" w:rsidRDefault="00000000">
            <w:pPr>
              <w:ind w:right="170"/>
              <w:jc w:val="right"/>
              <w:rPr>
                <w:sz w:val="20"/>
              </w:rPr>
            </w:pPr>
            <w:r>
              <w:rPr>
                <w:sz w:val="20"/>
              </w:rPr>
              <w:t>2.3</w:t>
            </w:r>
          </w:p>
        </w:tc>
        <w:tc>
          <w:tcPr>
            <w:tcW w:w="993" w:type="dxa"/>
            <w:tcBorders>
              <w:top w:val="nil"/>
            </w:tcBorders>
          </w:tcPr>
          <w:p w:rsidR="00000000" w:rsidRDefault="00000000">
            <w:pPr>
              <w:ind w:right="170"/>
              <w:jc w:val="right"/>
              <w:rPr>
                <w:sz w:val="20"/>
              </w:rPr>
            </w:pPr>
            <w:r>
              <w:rPr>
                <w:sz w:val="20"/>
              </w:rPr>
              <w:t>2.7</w:t>
            </w:r>
          </w:p>
        </w:tc>
        <w:tc>
          <w:tcPr>
            <w:tcW w:w="992" w:type="dxa"/>
            <w:tcBorders>
              <w:top w:val="nil"/>
            </w:tcBorders>
          </w:tcPr>
          <w:p w:rsidR="00000000" w:rsidRDefault="00000000">
            <w:pPr>
              <w:ind w:right="170"/>
              <w:jc w:val="right"/>
              <w:rPr>
                <w:sz w:val="20"/>
              </w:rPr>
            </w:pPr>
            <w:r>
              <w:rPr>
                <w:sz w:val="20"/>
              </w:rPr>
              <w:t>2.8</w:t>
            </w:r>
          </w:p>
        </w:tc>
      </w:tr>
    </w:tbl>
    <w:p w:rsidR="00000000" w:rsidRDefault="00000000">
      <w:pPr>
        <w:rPr>
          <w:rFonts w:hint="eastAsia"/>
          <w:sz w:val="20"/>
        </w:rPr>
      </w:pPr>
    </w:p>
    <w:p w:rsidR="00000000" w:rsidRDefault="00000000">
      <w:pPr>
        <w:pStyle w:val="Heading3"/>
      </w:pPr>
      <w:r>
        <w:rPr>
          <w:rFonts w:hint="eastAsia"/>
        </w:rPr>
        <w:t>表</w:t>
      </w:r>
      <w:r>
        <w:rPr>
          <w:rFonts w:hint="eastAsia"/>
        </w:rPr>
        <w:t xml:space="preserve"> </w:t>
      </w:r>
      <w:r>
        <w:t xml:space="preserve"> 4</w:t>
      </w:r>
    </w:p>
    <w:p w:rsidR="00000000" w:rsidRDefault="00000000">
      <w:pPr>
        <w:pStyle w:val="Heading3"/>
        <w:spacing w:after="160"/>
        <w:rPr>
          <w:rFonts w:hint="eastAsia"/>
        </w:rPr>
      </w:pPr>
      <w:r>
        <w:rPr>
          <w:rFonts w:hint="eastAsia"/>
        </w:rPr>
        <w:t>基尼系数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
        <w:gridCol w:w="1680"/>
        <w:gridCol w:w="1680"/>
        <w:gridCol w:w="1680"/>
        <w:gridCol w:w="1680"/>
        <w:gridCol w:w="1680"/>
      </w:tblGrid>
      <w:tr w:rsidR="00000000">
        <w:tblPrEx>
          <w:tblCellMar>
            <w:top w:w="0" w:type="dxa"/>
            <w:bottom w:w="0" w:type="dxa"/>
          </w:tblCellMar>
        </w:tblPrEx>
        <w:tc>
          <w:tcPr>
            <w:tcW w:w="970" w:type="dxa"/>
            <w:tcBorders>
              <w:bottom w:val="single" w:sz="4" w:space="0" w:color="auto"/>
            </w:tcBorders>
          </w:tcPr>
          <w:p w:rsidR="00000000" w:rsidRDefault="00000000">
            <w:pPr>
              <w:spacing w:line="240" w:lineRule="auto"/>
              <w:jc w:val="center"/>
              <w:rPr>
                <w:sz w:val="22"/>
              </w:rPr>
            </w:pPr>
          </w:p>
        </w:tc>
        <w:tc>
          <w:tcPr>
            <w:tcW w:w="1680" w:type="dxa"/>
            <w:tcBorders>
              <w:bottom w:val="single" w:sz="4" w:space="0" w:color="auto"/>
            </w:tcBorders>
          </w:tcPr>
          <w:p w:rsidR="00000000" w:rsidRDefault="00000000">
            <w:pPr>
              <w:spacing w:before="120" w:line="240" w:lineRule="auto"/>
              <w:jc w:val="center"/>
              <w:rPr>
                <w:rFonts w:ascii="Time New Roman" w:eastAsia="SimHei" w:hAnsi="Time New Roman" w:hint="eastAsia"/>
                <w:sz w:val="22"/>
              </w:rPr>
            </w:pPr>
            <w:r>
              <w:rPr>
                <w:rFonts w:ascii="Time New Roman" w:eastAsia="SimHei" w:hAnsi="Time New Roman" w:hint="eastAsia"/>
                <w:sz w:val="22"/>
              </w:rPr>
              <w:t>按货币收</w:t>
            </w:r>
            <w:r>
              <w:rPr>
                <w:rFonts w:ascii="Time New Roman" w:eastAsia="SimHei" w:hAnsi="Time New Roman"/>
                <w:sz w:val="22"/>
              </w:rPr>
              <w:br/>
            </w:r>
            <w:r>
              <w:rPr>
                <w:rFonts w:ascii="Time New Roman" w:eastAsia="SimHei" w:hAnsi="Time New Roman" w:hint="eastAsia"/>
                <w:sz w:val="22"/>
              </w:rPr>
              <w:t>入计算</w:t>
            </w:r>
          </w:p>
        </w:tc>
        <w:tc>
          <w:tcPr>
            <w:tcW w:w="1680" w:type="dxa"/>
            <w:tcBorders>
              <w:bottom w:val="single" w:sz="4" w:space="0" w:color="auto"/>
            </w:tcBorders>
          </w:tcPr>
          <w:p w:rsidR="00000000" w:rsidRDefault="00000000">
            <w:pPr>
              <w:spacing w:before="120" w:line="240" w:lineRule="auto"/>
              <w:jc w:val="center"/>
              <w:rPr>
                <w:rFonts w:ascii="Time New Roman" w:eastAsia="SimHei" w:hAnsi="Time New Roman" w:hint="eastAsia"/>
                <w:sz w:val="22"/>
              </w:rPr>
            </w:pPr>
            <w:r>
              <w:rPr>
                <w:rFonts w:ascii="Time New Roman" w:eastAsia="SimHei" w:hAnsi="Time New Roman" w:hint="eastAsia"/>
                <w:sz w:val="22"/>
              </w:rPr>
              <w:t>按总收</w:t>
            </w:r>
            <w:r>
              <w:rPr>
                <w:rFonts w:ascii="Time New Roman" w:eastAsia="SimHei" w:hAnsi="Time New Roman"/>
                <w:sz w:val="22"/>
              </w:rPr>
              <w:br/>
            </w:r>
            <w:r>
              <w:rPr>
                <w:rFonts w:ascii="Time New Roman" w:eastAsia="SimHei" w:hAnsi="Time New Roman" w:hint="eastAsia"/>
                <w:sz w:val="22"/>
              </w:rPr>
              <w:t>入计算</w:t>
            </w:r>
          </w:p>
        </w:tc>
        <w:tc>
          <w:tcPr>
            <w:tcW w:w="1680" w:type="dxa"/>
            <w:tcBorders>
              <w:bottom w:val="single" w:sz="4" w:space="0" w:color="auto"/>
            </w:tcBorders>
          </w:tcPr>
          <w:p w:rsidR="00000000" w:rsidRDefault="00000000">
            <w:pPr>
              <w:spacing w:before="120" w:line="240" w:lineRule="auto"/>
              <w:jc w:val="center"/>
              <w:rPr>
                <w:rFonts w:ascii="Time New Roman" w:eastAsia="SimHei" w:hAnsi="Time New Roman" w:hint="eastAsia"/>
                <w:sz w:val="22"/>
              </w:rPr>
            </w:pPr>
            <w:r>
              <w:rPr>
                <w:rFonts w:ascii="Time New Roman" w:eastAsia="SimHei" w:hAnsi="Time New Roman" w:hint="eastAsia"/>
                <w:sz w:val="22"/>
              </w:rPr>
              <w:t>按货币开</w:t>
            </w:r>
            <w:r>
              <w:rPr>
                <w:rFonts w:ascii="Time New Roman" w:eastAsia="SimHei" w:hAnsi="Time New Roman"/>
                <w:sz w:val="22"/>
              </w:rPr>
              <w:br/>
            </w:r>
            <w:r>
              <w:rPr>
                <w:rFonts w:ascii="Time New Roman" w:eastAsia="SimHei" w:hAnsi="Time New Roman" w:hint="eastAsia"/>
                <w:sz w:val="22"/>
              </w:rPr>
              <w:t>支计算</w:t>
            </w:r>
          </w:p>
        </w:tc>
        <w:tc>
          <w:tcPr>
            <w:tcW w:w="1680" w:type="dxa"/>
            <w:tcBorders>
              <w:bottom w:val="single" w:sz="4" w:space="0" w:color="auto"/>
            </w:tcBorders>
          </w:tcPr>
          <w:p w:rsidR="00000000" w:rsidRDefault="00000000">
            <w:pPr>
              <w:spacing w:before="120" w:line="240" w:lineRule="auto"/>
              <w:jc w:val="center"/>
              <w:rPr>
                <w:rFonts w:ascii="Time New Roman" w:eastAsia="SimHei" w:hAnsi="Time New Roman" w:hint="eastAsia"/>
                <w:sz w:val="22"/>
              </w:rPr>
            </w:pPr>
            <w:r>
              <w:rPr>
                <w:rFonts w:ascii="Time New Roman" w:eastAsia="SimHei" w:hAnsi="Time New Roman" w:hint="eastAsia"/>
                <w:sz w:val="22"/>
              </w:rPr>
              <w:t>按总开</w:t>
            </w:r>
            <w:r>
              <w:rPr>
                <w:rFonts w:ascii="Time New Roman" w:eastAsia="SimHei" w:hAnsi="Time New Roman"/>
                <w:sz w:val="22"/>
              </w:rPr>
              <w:br/>
            </w:r>
            <w:r>
              <w:rPr>
                <w:rFonts w:ascii="Time New Roman" w:eastAsia="SimHei" w:hAnsi="Time New Roman" w:hint="eastAsia"/>
                <w:sz w:val="22"/>
              </w:rPr>
              <w:t>支计算</w:t>
            </w:r>
          </w:p>
        </w:tc>
        <w:tc>
          <w:tcPr>
            <w:tcW w:w="1680" w:type="dxa"/>
            <w:tcBorders>
              <w:bottom w:val="single" w:sz="4" w:space="0" w:color="auto"/>
            </w:tcBorders>
          </w:tcPr>
          <w:p w:rsidR="00000000" w:rsidRDefault="00000000">
            <w:pPr>
              <w:spacing w:before="120" w:line="240" w:lineRule="auto"/>
              <w:jc w:val="center"/>
              <w:rPr>
                <w:rFonts w:ascii="Time New Roman" w:eastAsia="SimHei" w:hAnsi="Time New Roman" w:hint="eastAsia"/>
                <w:sz w:val="22"/>
              </w:rPr>
            </w:pPr>
            <w:r>
              <w:rPr>
                <w:rFonts w:ascii="Time New Roman" w:eastAsia="SimHei" w:hAnsi="Time New Roman" w:hint="eastAsia"/>
                <w:sz w:val="22"/>
              </w:rPr>
              <w:t>按总消</w:t>
            </w:r>
            <w:r>
              <w:rPr>
                <w:rFonts w:ascii="Time New Roman" w:eastAsia="SimHei" w:hAnsi="Time New Roman"/>
                <w:sz w:val="22"/>
              </w:rPr>
              <w:br/>
            </w:r>
            <w:r>
              <w:rPr>
                <w:rFonts w:ascii="Time New Roman" w:eastAsia="SimHei" w:hAnsi="Time New Roman" w:hint="eastAsia"/>
                <w:sz w:val="22"/>
              </w:rPr>
              <w:t>费计算</w:t>
            </w:r>
          </w:p>
        </w:tc>
      </w:tr>
      <w:tr w:rsidR="00000000">
        <w:tblPrEx>
          <w:tblCellMar>
            <w:top w:w="0" w:type="dxa"/>
            <w:bottom w:w="0" w:type="dxa"/>
          </w:tblCellMar>
        </w:tblPrEx>
        <w:tc>
          <w:tcPr>
            <w:tcW w:w="970" w:type="dxa"/>
            <w:tcBorders>
              <w:bottom w:val="nil"/>
            </w:tcBorders>
          </w:tcPr>
          <w:p w:rsidR="00000000" w:rsidRDefault="00000000">
            <w:pPr>
              <w:spacing w:before="60"/>
              <w:jc w:val="center"/>
              <w:rPr>
                <w:sz w:val="22"/>
              </w:rPr>
            </w:pPr>
            <w:r>
              <w:rPr>
                <w:sz w:val="22"/>
              </w:rPr>
              <w:t>1997</w:t>
            </w:r>
          </w:p>
        </w:tc>
        <w:tc>
          <w:tcPr>
            <w:tcW w:w="1680" w:type="dxa"/>
            <w:tcBorders>
              <w:bottom w:val="nil"/>
            </w:tcBorders>
          </w:tcPr>
          <w:p w:rsidR="00000000" w:rsidRDefault="00000000">
            <w:pPr>
              <w:spacing w:before="60"/>
              <w:jc w:val="center"/>
              <w:rPr>
                <w:sz w:val="22"/>
              </w:rPr>
            </w:pPr>
            <w:r>
              <w:rPr>
                <w:sz w:val="22"/>
              </w:rPr>
              <w:t>0.55</w:t>
            </w:r>
          </w:p>
        </w:tc>
        <w:tc>
          <w:tcPr>
            <w:tcW w:w="1680" w:type="dxa"/>
            <w:tcBorders>
              <w:bottom w:val="nil"/>
            </w:tcBorders>
          </w:tcPr>
          <w:p w:rsidR="00000000" w:rsidRDefault="00000000">
            <w:pPr>
              <w:spacing w:before="60"/>
              <w:jc w:val="center"/>
              <w:rPr>
                <w:sz w:val="22"/>
              </w:rPr>
            </w:pPr>
            <w:r>
              <w:rPr>
                <w:sz w:val="22"/>
              </w:rPr>
              <w:t>0.52</w:t>
            </w:r>
          </w:p>
        </w:tc>
        <w:tc>
          <w:tcPr>
            <w:tcW w:w="1680" w:type="dxa"/>
            <w:tcBorders>
              <w:bottom w:val="nil"/>
            </w:tcBorders>
          </w:tcPr>
          <w:p w:rsidR="00000000" w:rsidRDefault="00000000">
            <w:pPr>
              <w:spacing w:before="60"/>
              <w:jc w:val="center"/>
              <w:rPr>
                <w:sz w:val="22"/>
              </w:rPr>
            </w:pPr>
            <w:r>
              <w:rPr>
                <w:sz w:val="22"/>
              </w:rPr>
              <w:t>0.46</w:t>
            </w:r>
          </w:p>
        </w:tc>
        <w:tc>
          <w:tcPr>
            <w:tcW w:w="1680" w:type="dxa"/>
            <w:tcBorders>
              <w:bottom w:val="nil"/>
            </w:tcBorders>
          </w:tcPr>
          <w:p w:rsidR="00000000" w:rsidRDefault="00000000">
            <w:pPr>
              <w:spacing w:before="60"/>
              <w:jc w:val="center"/>
              <w:rPr>
                <w:sz w:val="22"/>
              </w:rPr>
            </w:pPr>
            <w:r>
              <w:rPr>
                <w:sz w:val="22"/>
              </w:rPr>
              <w:t>0.44</w:t>
            </w:r>
          </w:p>
        </w:tc>
        <w:tc>
          <w:tcPr>
            <w:tcW w:w="1680" w:type="dxa"/>
            <w:tcBorders>
              <w:bottom w:val="nil"/>
            </w:tcBorders>
          </w:tcPr>
          <w:p w:rsidR="00000000" w:rsidRDefault="00000000">
            <w:pPr>
              <w:spacing w:before="60"/>
              <w:jc w:val="center"/>
              <w:rPr>
                <w:sz w:val="22"/>
              </w:rPr>
            </w:pPr>
            <w:r>
              <w:rPr>
                <w:sz w:val="22"/>
              </w:rPr>
              <w:t>0.39</w:t>
            </w:r>
          </w:p>
        </w:tc>
      </w:tr>
      <w:tr w:rsidR="00000000">
        <w:tblPrEx>
          <w:tblCellMar>
            <w:top w:w="0" w:type="dxa"/>
            <w:bottom w:w="0" w:type="dxa"/>
          </w:tblCellMar>
        </w:tblPrEx>
        <w:tc>
          <w:tcPr>
            <w:tcW w:w="970" w:type="dxa"/>
            <w:tcBorders>
              <w:top w:val="nil"/>
              <w:bottom w:val="nil"/>
            </w:tcBorders>
          </w:tcPr>
          <w:p w:rsidR="00000000" w:rsidRDefault="00000000">
            <w:pPr>
              <w:jc w:val="center"/>
              <w:rPr>
                <w:sz w:val="22"/>
              </w:rPr>
            </w:pPr>
            <w:r>
              <w:rPr>
                <w:sz w:val="22"/>
              </w:rPr>
              <w:t>1998</w:t>
            </w:r>
          </w:p>
        </w:tc>
        <w:tc>
          <w:tcPr>
            <w:tcW w:w="1680" w:type="dxa"/>
            <w:tcBorders>
              <w:top w:val="nil"/>
              <w:bottom w:val="nil"/>
            </w:tcBorders>
          </w:tcPr>
          <w:p w:rsidR="00000000" w:rsidRDefault="00000000">
            <w:pPr>
              <w:jc w:val="center"/>
              <w:rPr>
                <w:sz w:val="22"/>
              </w:rPr>
            </w:pPr>
            <w:r>
              <w:rPr>
                <w:sz w:val="22"/>
              </w:rPr>
              <w:t>0.54</w:t>
            </w:r>
          </w:p>
        </w:tc>
        <w:tc>
          <w:tcPr>
            <w:tcW w:w="1680" w:type="dxa"/>
            <w:tcBorders>
              <w:top w:val="nil"/>
              <w:bottom w:val="nil"/>
            </w:tcBorders>
          </w:tcPr>
          <w:p w:rsidR="00000000" w:rsidRDefault="00000000">
            <w:pPr>
              <w:jc w:val="center"/>
              <w:rPr>
                <w:sz w:val="22"/>
              </w:rPr>
            </w:pPr>
            <w:r>
              <w:rPr>
                <w:sz w:val="22"/>
              </w:rPr>
              <w:t>0.50</w:t>
            </w:r>
          </w:p>
        </w:tc>
        <w:tc>
          <w:tcPr>
            <w:tcW w:w="1680" w:type="dxa"/>
            <w:tcBorders>
              <w:top w:val="nil"/>
              <w:bottom w:val="nil"/>
            </w:tcBorders>
          </w:tcPr>
          <w:p w:rsidR="00000000" w:rsidRDefault="00000000">
            <w:pPr>
              <w:jc w:val="center"/>
              <w:rPr>
                <w:sz w:val="22"/>
              </w:rPr>
            </w:pPr>
            <w:r>
              <w:rPr>
                <w:sz w:val="22"/>
              </w:rPr>
              <w:t>0.46</w:t>
            </w:r>
          </w:p>
        </w:tc>
        <w:tc>
          <w:tcPr>
            <w:tcW w:w="1680" w:type="dxa"/>
            <w:tcBorders>
              <w:top w:val="nil"/>
              <w:bottom w:val="nil"/>
            </w:tcBorders>
          </w:tcPr>
          <w:p w:rsidR="00000000" w:rsidRDefault="00000000">
            <w:pPr>
              <w:jc w:val="center"/>
              <w:rPr>
                <w:sz w:val="22"/>
              </w:rPr>
            </w:pPr>
            <w:r>
              <w:rPr>
                <w:sz w:val="22"/>
              </w:rPr>
              <w:t>0.43</w:t>
            </w:r>
          </w:p>
        </w:tc>
        <w:tc>
          <w:tcPr>
            <w:tcW w:w="1680" w:type="dxa"/>
            <w:tcBorders>
              <w:top w:val="nil"/>
              <w:bottom w:val="nil"/>
            </w:tcBorders>
          </w:tcPr>
          <w:p w:rsidR="00000000" w:rsidRDefault="00000000">
            <w:pPr>
              <w:jc w:val="center"/>
              <w:rPr>
                <w:sz w:val="22"/>
              </w:rPr>
            </w:pPr>
            <w:r>
              <w:rPr>
                <w:sz w:val="22"/>
              </w:rPr>
              <w:t>0.39</w:t>
            </w:r>
          </w:p>
        </w:tc>
      </w:tr>
      <w:tr w:rsidR="00000000">
        <w:tblPrEx>
          <w:tblCellMar>
            <w:top w:w="0" w:type="dxa"/>
            <w:bottom w:w="0" w:type="dxa"/>
          </w:tblCellMar>
        </w:tblPrEx>
        <w:tc>
          <w:tcPr>
            <w:tcW w:w="970" w:type="dxa"/>
            <w:tcBorders>
              <w:top w:val="nil"/>
            </w:tcBorders>
          </w:tcPr>
          <w:p w:rsidR="00000000" w:rsidRDefault="00000000">
            <w:pPr>
              <w:jc w:val="center"/>
              <w:rPr>
                <w:sz w:val="22"/>
              </w:rPr>
            </w:pPr>
            <w:r>
              <w:rPr>
                <w:sz w:val="22"/>
              </w:rPr>
              <w:t>1999</w:t>
            </w:r>
          </w:p>
        </w:tc>
        <w:tc>
          <w:tcPr>
            <w:tcW w:w="1680" w:type="dxa"/>
            <w:tcBorders>
              <w:top w:val="nil"/>
            </w:tcBorders>
          </w:tcPr>
          <w:p w:rsidR="00000000" w:rsidRDefault="00000000">
            <w:pPr>
              <w:jc w:val="center"/>
              <w:rPr>
                <w:sz w:val="22"/>
              </w:rPr>
            </w:pPr>
            <w:r>
              <w:rPr>
                <w:sz w:val="22"/>
              </w:rPr>
              <w:t>0.58</w:t>
            </w:r>
          </w:p>
        </w:tc>
        <w:tc>
          <w:tcPr>
            <w:tcW w:w="1680" w:type="dxa"/>
            <w:tcBorders>
              <w:top w:val="nil"/>
            </w:tcBorders>
          </w:tcPr>
          <w:p w:rsidR="00000000" w:rsidRDefault="00000000">
            <w:pPr>
              <w:jc w:val="center"/>
              <w:rPr>
                <w:sz w:val="22"/>
              </w:rPr>
            </w:pPr>
            <w:r>
              <w:rPr>
                <w:sz w:val="22"/>
              </w:rPr>
              <w:t>0.52</w:t>
            </w:r>
          </w:p>
        </w:tc>
        <w:tc>
          <w:tcPr>
            <w:tcW w:w="1680" w:type="dxa"/>
            <w:tcBorders>
              <w:top w:val="nil"/>
            </w:tcBorders>
          </w:tcPr>
          <w:p w:rsidR="00000000" w:rsidRDefault="00000000">
            <w:pPr>
              <w:jc w:val="center"/>
              <w:rPr>
                <w:sz w:val="22"/>
              </w:rPr>
            </w:pPr>
            <w:r>
              <w:rPr>
                <w:sz w:val="22"/>
              </w:rPr>
              <w:t>0.45</w:t>
            </w:r>
          </w:p>
        </w:tc>
        <w:tc>
          <w:tcPr>
            <w:tcW w:w="1680" w:type="dxa"/>
            <w:tcBorders>
              <w:top w:val="nil"/>
            </w:tcBorders>
          </w:tcPr>
          <w:p w:rsidR="00000000" w:rsidRDefault="00000000">
            <w:pPr>
              <w:jc w:val="center"/>
              <w:rPr>
                <w:sz w:val="22"/>
              </w:rPr>
            </w:pPr>
            <w:r>
              <w:rPr>
                <w:sz w:val="22"/>
              </w:rPr>
              <w:t>0.43</w:t>
            </w:r>
          </w:p>
        </w:tc>
        <w:tc>
          <w:tcPr>
            <w:tcW w:w="1680" w:type="dxa"/>
            <w:tcBorders>
              <w:top w:val="nil"/>
            </w:tcBorders>
          </w:tcPr>
          <w:p w:rsidR="00000000" w:rsidRDefault="00000000">
            <w:pPr>
              <w:jc w:val="center"/>
              <w:rPr>
                <w:sz w:val="22"/>
              </w:rPr>
            </w:pPr>
            <w:r>
              <w:rPr>
                <w:sz w:val="22"/>
              </w:rPr>
              <w:t>0.39</w:t>
            </w:r>
          </w:p>
        </w:tc>
      </w:tr>
    </w:tbl>
    <w:p w:rsidR="00000000" w:rsidRDefault="00000000">
      <w:pPr>
        <w:spacing w:after="320"/>
      </w:pPr>
    </w:p>
    <w:p w:rsidR="00000000" w:rsidRDefault="00000000">
      <w:pPr>
        <w:pStyle w:val="Heading2"/>
        <w:rPr>
          <w:rFonts w:hint="eastAsia"/>
        </w:rPr>
      </w:pPr>
      <w:r>
        <w:rPr>
          <w:rFonts w:hint="eastAsia"/>
        </w:rPr>
        <w:t>所附文件清单</w:t>
      </w:r>
    </w:p>
    <w:p w:rsidR="00000000" w:rsidRDefault="00000000">
      <w:pPr>
        <w:pStyle w:val="a7"/>
        <w:numPr>
          <w:ilvl w:val="0"/>
          <w:numId w:val="0"/>
        </w:numPr>
        <w:ind w:left="510" w:hanging="510"/>
        <w:rPr>
          <w:rFonts w:hint="eastAsia"/>
        </w:rPr>
      </w:pPr>
      <w:r>
        <w:rPr>
          <w:rFonts w:hint="eastAsia"/>
        </w:rPr>
        <w:tab/>
        <w:t xml:space="preserve">1.  </w:t>
      </w:r>
      <w:r>
        <w:rPr>
          <w:rFonts w:hint="eastAsia"/>
        </w:rPr>
        <w:t>国家减少贫困和经济增长方案暂行文本</w:t>
      </w:r>
      <w:r>
        <w:rPr>
          <w:rFonts w:hint="eastAsia"/>
        </w:rPr>
        <w:t>(</w:t>
      </w:r>
      <w:r>
        <w:rPr>
          <w:rFonts w:hint="eastAsia"/>
        </w:rPr>
        <w:t>英文</w:t>
      </w:r>
      <w:r>
        <w:rPr>
          <w:rFonts w:hint="eastAsia"/>
        </w:rPr>
        <w:t>)</w:t>
      </w:r>
      <w:r>
        <w:rPr>
          <w:rFonts w:hint="eastAsia"/>
        </w:rPr>
        <w:t>。</w:t>
      </w:r>
    </w:p>
    <w:p w:rsidR="00000000" w:rsidRDefault="00000000">
      <w:pPr>
        <w:pStyle w:val="a7"/>
        <w:numPr>
          <w:ilvl w:val="0"/>
          <w:numId w:val="0"/>
        </w:numPr>
        <w:ind w:left="510" w:hanging="510"/>
        <w:rPr>
          <w:rFonts w:hint="eastAsia"/>
        </w:rPr>
      </w:pPr>
      <w:r>
        <w:rPr>
          <w:rFonts w:hint="eastAsia"/>
        </w:rPr>
        <w:tab/>
        <w:t>2.  1999</w:t>
      </w:r>
      <w:r>
        <w:rPr>
          <w:rFonts w:hint="eastAsia"/>
        </w:rPr>
        <w:t>年格鲁吉亚男女状况统计梗概</w:t>
      </w:r>
      <w:r>
        <w:rPr>
          <w:rFonts w:hint="eastAsia"/>
        </w:rPr>
        <w:t>(</w:t>
      </w:r>
      <w:r>
        <w:rPr>
          <w:rFonts w:hint="eastAsia"/>
        </w:rPr>
        <w:t>英文</w:t>
      </w:r>
      <w:r>
        <w:rPr>
          <w:rFonts w:hint="eastAsia"/>
        </w:rPr>
        <w:t>)</w:t>
      </w:r>
      <w:r>
        <w:rPr>
          <w:rFonts w:hint="eastAsia"/>
        </w:rPr>
        <w:t>。</w:t>
      </w:r>
    </w:p>
    <w:p w:rsidR="00000000" w:rsidRDefault="00000000">
      <w:pPr>
        <w:pStyle w:val="a7"/>
        <w:numPr>
          <w:ilvl w:val="0"/>
          <w:numId w:val="0"/>
        </w:numPr>
        <w:ind w:left="510" w:hanging="510"/>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w:t>
          </w:r>
          <w:r>
            <w:rPr>
              <w:rFonts w:hint="eastAsia"/>
            </w:rPr>
            <w:t>44074</w:t>
          </w:r>
          <w:r>
            <w:t xml:space="preserve"> (C)</w:t>
          </w:r>
        </w:p>
      </w:tc>
      <w:tc>
        <w:tcPr>
          <w:tcW w:w="1050" w:type="dxa"/>
        </w:tcPr>
        <w:p w:rsidR="00000000" w:rsidRDefault="00000000">
          <w:pPr>
            <w:pStyle w:val="Footer"/>
          </w:pPr>
          <w:r>
            <w:rPr>
              <w:rFonts w:hint="eastAsia"/>
            </w:rPr>
            <w:t>3011</w:t>
          </w:r>
          <w:r>
            <w:t>01</w:t>
          </w:r>
        </w:p>
      </w:tc>
      <w:tc>
        <w:tcPr>
          <w:tcW w:w="6061" w:type="dxa"/>
        </w:tcPr>
        <w:p w:rsidR="00000000" w:rsidRDefault="00000000">
          <w:pPr>
            <w:pStyle w:val="Footer"/>
          </w:pPr>
          <w:r>
            <w:rPr>
              <w:rFonts w:hint="eastAsia"/>
            </w:rPr>
            <w:t>0512</w:t>
          </w:r>
          <w:r>
            <w:t>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rPr>
        <w:t>*</w:t>
      </w:r>
      <w:r>
        <w:t xml:space="preserve">  </w:t>
      </w:r>
      <w:r>
        <w:rPr>
          <w:rFonts w:hint="eastAsia"/>
        </w:rPr>
        <w:t>格鲁吉亚政府提交的初步报告于</w:t>
      </w:r>
      <w:r>
        <w:t>2000</w:t>
      </w:r>
      <w:r>
        <w:rPr>
          <w:rFonts w:hint="eastAsia"/>
        </w:rPr>
        <w:t>年由经济、社会、文化权利委员会第二十二届会议作了审议</w:t>
      </w:r>
      <w:r>
        <w:t>(</w:t>
      </w:r>
      <w:r>
        <w:rPr>
          <w:rFonts w:hint="eastAsia"/>
        </w:rPr>
        <w:t>见</w:t>
      </w:r>
      <w:r>
        <w:t>E/C.12/2000/SR.3-5</w:t>
      </w:r>
      <w:r>
        <w:rPr>
          <w:rFonts w:hint="eastAsia"/>
        </w:rPr>
        <w:t>和结论性意见</w:t>
      </w:r>
      <w:r>
        <w:t>E/C.12/1/Add.42)</w:t>
      </w:r>
      <w:r>
        <w:rPr>
          <w:rFonts w:hint="eastAsia"/>
        </w:rPr>
        <w:t>。</w:t>
      </w:r>
    </w:p>
  </w:footnote>
  <w:footnote w:id="2">
    <w:p w:rsidR="00000000" w:rsidRDefault="00000000">
      <w:pPr>
        <w:pStyle w:val="FootnoteText"/>
      </w:pPr>
      <w:r>
        <w:rPr>
          <w:rStyle w:val="FootnoteReference"/>
          <w:b w:val="0"/>
        </w:rPr>
        <w:t>**</w:t>
      </w:r>
      <w:r>
        <w:t xml:space="preserve">  </w:t>
      </w:r>
      <w:r>
        <w:rPr>
          <w:rFonts w:hint="eastAsia"/>
        </w:rPr>
        <w:t>格鲁吉亚按照关于缔约国报告初次部分的准则提交的资料载于核心文件</w:t>
      </w:r>
      <w:r>
        <w:t>(HRI/CORE/1/Add.90/Rev.1)</w:t>
      </w:r>
      <w:r>
        <w:rPr>
          <w:rFonts w:hint="eastAsia"/>
        </w:rPr>
        <w: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pPr>
    <w:r>
      <w:t>E/</w:t>
    </w:r>
    <w:r>
      <w:rPr>
        <w:rFonts w:hint="eastAsia"/>
      </w:rPr>
      <w:t>1990/6/</w:t>
    </w:r>
    <w:r>
      <w:t>Add.31</w:t>
    </w:r>
    <w:r>
      <w:br/>
      <w:t xml:space="preserve">Page </w:t>
    </w:r>
    <w:r>
      <w:fldChar w:fldCharType="begin"/>
    </w:r>
    <w:r>
      <w:instrText xml:space="preserve"> PAGE  \* MERGEFORMAT </w:instrText>
    </w:r>
    <w:r>
      <w:fldChar w:fldCharType="separate"/>
    </w:r>
    <w:r>
      <w:rPr>
        <w:noProof/>
      </w:rPr>
      <w:t>60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ind w:left="7347"/>
      <w:rPr>
        <w:rFonts w:hint="eastAsia"/>
      </w:rPr>
    </w:pPr>
    <w:r>
      <w:t>E/</w:t>
    </w:r>
    <w:r>
      <w:rPr>
        <w:rFonts w:hint="eastAsia"/>
      </w:rPr>
      <w:t>1990/6/</w:t>
    </w:r>
    <w:r>
      <w:t>Add.31</w:t>
    </w:r>
    <w:r>
      <w:br/>
      <w:t xml:space="preserve">Page </w:t>
    </w:r>
    <w:r>
      <w:fldChar w:fldCharType="begin"/>
    </w:r>
    <w:r>
      <w:instrText xml:space="preserve"> PAGE  \* MERGEFORMAT </w:instrText>
    </w:r>
    <w:r>
      <w:fldChar w:fldCharType="separate"/>
    </w:r>
    <w:r>
      <w:rPr>
        <w:noProof/>
      </w:rPr>
      <w:t>59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0"/>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0"/>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0"/>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w:t>
    </w:r>
    <w:r>
      <w:rPr>
        <w:rFonts w:hint="eastAsia"/>
      </w:rPr>
      <w:t>1990/6/</w:t>
    </w:r>
    <w:r>
      <w:t>Add.31</w:t>
    </w:r>
  </w:p>
  <w:p w:rsidR="00000000" w:rsidRDefault="00000000">
    <w:pPr>
      <w:pStyle w:val="1R2"/>
      <w:framePr w:wrap="around"/>
    </w:pPr>
    <w:r>
      <w:rPr>
        <w:rFonts w:hint="eastAsia"/>
      </w:rPr>
      <w:t xml:space="preserve">10 </w:t>
    </w:r>
    <w:r>
      <w:t>August 2001</w:t>
    </w:r>
  </w:p>
  <w:p w:rsidR="00000000" w:rsidRDefault="00000000">
    <w:pPr>
      <w:pStyle w:val="1R2"/>
      <w:framePr w:wrap="around"/>
    </w:pPr>
    <w:r>
      <w:t>CHINESE</w:t>
    </w:r>
  </w:p>
  <w:p w:rsidR="00000000" w:rsidRDefault="00000000">
    <w:pPr>
      <w:pStyle w:val="1R2"/>
      <w:framePr w:wrap="around"/>
      <w:rPr>
        <w:rFonts w:hint="eastAsia"/>
      </w:rPr>
    </w:pPr>
    <w:r>
      <w:t>Original:</w:t>
    </w:r>
    <w:r>
      <w:tab/>
      <w:t>RUSSIAN</w:t>
    </w:r>
  </w:p>
  <w:p w:rsidR="00000000" w:rsidRDefault="00000000">
    <w:pPr>
      <w:pStyle w:val="a0"/>
    </w:pPr>
  </w:p>
  <w:p w:rsidR="00000000" w:rsidRDefault="00000000">
    <w:pPr>
      <w:pStyle w:val="a0"/>
    </w:pPr>
  </w:p>
  <w:p w:rsidR="00000000" w:rsidRDefault="00000000">
    <w:pPr>
      <w:pStyle w:val="a0"/>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0"/>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0"/>
    </w:pPr>
  </w:p>
  <w:p w:rsidR="00000000" w:rsidRDefault="00000000">
    <w:pPr>
      <w:pStyle w:val="a0"/>
    </w:pPr>
  </w:p>
  <w:p w:rsidR="00000000" w:rsidRDefault="00000000">
    <w:pPr>
      <w:pStyle w:val="a0"/>
    </w:pPr>
    <w:r>
      <w:fldChar w:fldCharType="begin"/>
    </w:r>
    <w:r>
      <w:instrText>ADVANCE \Y 252.30</w:instrText>
    </w:r>
    <w:r>
      <w:fldChar w:fldCharType="end"/>
    </w:r>
  </w:p>
  <w:p w:rsidR="00000000" w:rsidRDefault="00000000">
    <w:pPr>
      <w:pStyle w:val="a0"/>
    </w:pPr>
  </w:p>
  <w:p w:rsidR="00000000" w:rsidRDefault="00000000">
    <w:pPr>
      <w:pStyle w:val="a0"/>
    </w:pPr>
  </w:p>
  <w:p w:rsidR="00000000" w:rsidRDefault="00000000">
    <w:pPr>
      <w:pStyle w:val="a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5C920C7"/>
    <w:multiLevelType w:val="hybridMultilevel"/>
    <w:tmpl w:val="5BAADF16"/>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78F1FC7"/>
    <w:multiLevelType w:val="hybridMultilevel"/>
    <w:tmpl w:val="8A38F0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7A32A92"/>
    <w:multiLevelType w:val="hybridMultilevel"/>
    <w:tmpl w:val="9BF231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08537996"/>
    <w:multiLevelType w:val="hybridMultilevel"/>
    <w:tmpl w:val="8B941F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164101EC"/>
    <w:multiLevelType w:val="hybridMultilevel"/>
    <w:tmpl w:val="B6BCBE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7902E58"/>
    <w:multiLevelType w:val="hybridMultilevel"/>
    <w:tmpl w:val="66FEB9F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27">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29">
    <w:nsid w:val="19F87A16"/>
    <w:multiLevelType w:val="hybridMultilevel"/>
    <w:tmpl w:val="EE2A5F88"/>
    <w:lvl w:ilvl="0" w:tplc="21644BBA">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30">
    <w:nsid w:val="1C48221E"/>
    <w:multiLevelType w:val="hybridMultilevel"/>
    <w:tmpl w:val="46465D74"/>
    <w:lvl w:ilvl="0" w:tplc="21644BBA">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31">
    <w:nsid w:val="1F3F5934"/>
    <w:multiLevelType w:val="hybridMultilevel"/>
    <w:tmpl w:val="E89A0E0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20273B0D"/>
    <w:multiLevelType w:val="hybridMultilevel"/>
    <w:tmpl w:val="65D86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20E52D6E"/>
    <w:multiLevelType w:val="hybridMultilevel"/>
    <w:tmpl w:val="374498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5B41C22"/>
    <w:multiLevelType w:val="hybridMultilevel"/>
    <w:tmpl w:val="EBD886B2"/>
    <w:lvl w:ilvl="0" w:tplc="21644BBA">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36">
    <w:nsid w:val="269D15EB"/>
    <w:multiLevelType w:val="hybridMultilevel"/>
    <w:tmpl w:val="185E0CA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28CC588C"/>
    <w:multiLevelType w:val="hybridMultilevel"/>
    <w:tmpl w:val="79AAE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9">
    <w:nsid w:val="2BF05AE5"/>
    <w:multiLevelType w:val="hybridMultilevel"/>
    <w:tmpl w:val="AE8CBFC8"/>
    <w:lvl w:ilvl="0" w:tplc="04090001">
      <w:start w:val="1"/>
      <w:numFmt w:val="bullet"/>
      <w:lvlText w:val=""/>
      <w:lvlJc w:val="left"/>
      <w:pPr>
        <w:tabs>
          <w:tab w:val="num" w:pos="1230"/>
        </w:tabs>
        <w:ind w:left="123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40">
    <w:nsid w:val="2E4260A2"/>
    <w:multiLevelType w:val="hybridMultilevel"/>
    <w:tmpl w:val="C6F0A0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302A75A7"/>
    <w:multiLevelType w:val="singleLevel"/>
    <w:tmpl w:val="3496DD40"/>
    <w:lvl w:ilvl="0">
      <w:start w:val="1"/>
      <w:numFmt w:val="decimal"/>
      <w:lvlText w:val="(%1)"/>
      <w:lvlJc w:val="left"/>
      <w:pPr>
        <w:tabs>
          <w:tab w:val="num" w:pos="1440"/>
        </w:tabs>
        <w:ind w:left="1440" w:hanging="720"/>
      </w:pPr>
    </w:lvl>
  </w:abstractNum>
  <w:abstractNum w:abstractNumId="42">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43">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45">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6">
    <w:nsid w:val="33D66698"/>
    <w:multiLevelType w:val="hybridMultilevel"/>
    <w:tmpl w:val="2BEC87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
    <w:nsid w:val="36255761"/>
    <w:multiLevelType w:val="singleLevel"/>
    <w:tmpl w:val="0409000F"/>
    <w:lvl w:ilvl="0">
      <w:start w:val="1"/>
      <w:numFmt w:val="decimal"/>
      <w:lvlText w:val="%1."/>
      <w:lvlJc w:val="left"/>
      <w:pPr>
        <w:tabs>
          <w:tab w:val="num" w:pos="360"/>
        </w:tabs>
        <w:ind w:left="360" w:hanging="360"/>
      </w:pPr>
    </w:lvl>
  </w:abstractNum>
  <w:abstractNum w:abstractNumId="49">
    <w:nsid w:val="37771965"/>
    <w:multiLevelType w:val="hybridMultilevel"/>
    <w:tmpl w:val="BC20A2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39302BFE"/>
    <w:multiLevelType w:val="hybridMultilevel"/>
    <w:tmpl w:val="CCA2DFC8"/>
    <w:lvl w:ilvl="0" w:tplc="21644BBA">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51">
    <w:nsid w:val="39D90235"/>
    <w:multiLevelType w:val="singleLevel"/>
    <w:tmpl w:val="5366C8E2"/>
    <w:lvl w:ilvl="0">
      <w:start w:val="1"/>
      <w:numFmt w:val="bullet"/>
      <w:pStyle w:val="x"/>
      <w:lvlText w:val=""/>
      <w:lvlJc w:val="left"/>
      <w:pPr>
        <w:tabs>
          <w:tab w:val="num" w:pos="510"/>
        </w:tabs>
        <w:ind w:left="510" w:hanging="510"/>
      </w:pPr>
      <w:rPr>
        <w:rFonts w:ascii="Symbol" w:hAnsi="Symbol" w:hint="default"/>
      </w:rPr>
    </w:lvl>
  </w:abstractNum>
  <w:abstractNum w:abstractNumId="52">
    <w:nsid w:val="3B3F2669"/>
    <w:multiLevelType w:val="hybridMultilevel"/>
    <w:tmpl w:val="8EAE507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5">
    <w:nsid w:val="3D4536B1"/>
    <w:multiLevelType w:val="hybridMultilevel"/>
    <w:tmpl w:val="B776B8F6"/>
    <w:lvl w:ilvl="0" w:tplc="21644BBA">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56">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57">
    <w:nsid w:val="40221049"/>
    <w:multiLevelType w:val="singleLevel"/>
    <w:tmpl w:val="04D4B0C4"/>
    <w:lvl w:ilvl="0">
      <w:start w:val="1"/>
      <w:numFmt w:val="decimal"/>
      <w:lvlText w:val="%1."/>
      <w:lvlJc w:val="left"/>
      <w:pPr>
        <w:tabs>
          <w:tab w:val="num" w:pos="360"/>
        </w:tabs>
        <w:ind w:left="360" w:hanging="360"/>
      </w:pPr>
    </w:lvl>
  </w:abstractNum>
  <w:abstractNum w:abstractNumId="58">
    <w:nsid w:val="41384A42"/>
    <w:multiLevelType w:val="hybridMultilevel"/>
    <w:tmpl w:val="2E224928"/>
    <w:lvl w:ilvl="0" w:tplc="21644BBA">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59">
    <w:nsid w:val="43334BFC"/>
    <w:multiLevelType w:val="hybridMultilevel"/>
    <w:tmpl w:val="75082D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61">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48150333"/>
    <w:multiLevelType w:val="hybridMultilevel"/>
    <w:tmpl w:val="E0A84CF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4">
    <w:nsid w:val="493A75D3"/>
    <w:multiLevelType w:val="hybridMultilevel"/>
    <w:tmpl w:val="EC5E7A26"/>
    <w:lvl w:ilvl="0" w:tplc="21644BBA">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65">
    <w:nsid w:val="4B356DD0"/>
    <w:multiLevelType w:val="hybridMultilevel"/>
    <w:tmpl w:val="17F455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nsid w:val="4C0E698B"/>
    <w:multiLevelType w:val="hybridMultilevel"/>
    <w:tmpl w:val="B0C02A32"/>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D226034"/>
    <w:multiLevelType w:val="hybridMultilevel"/>
    <w:tmpl w:val="7D6E47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68">
    <w:nsid w:val="4EFA2598"/>
    <w:multiLevelType w:val="singleLevel"/>
    <w:tmpl w:val="0409000F"/>
    <w:lvl w:ilvl="0">
      <w:start w:val="1"/>
      <w:numFmt w:val="decimal"/>
      <w:lvlText w:val="%1."/>
      <w:lvlJc w:val="left"/>
      <w:pPr>
        <w:tabs>
          <w:tab w:val="num" w:pos="360"/>
        </w:tabs>
        <w:ind w:left="360" w:hanging="360"/>
      </w:pPr>
    </w:lvl>
  </w:abstractNum>
  <w:abstractNum w:abstractNumId="69">
    <w:nsid w:val="507317FD"/>
    <w:multiLevelType w:val="singleLevel"/>
    <w:tmpl w:val="4DFAD5FA"/>
    <w:lvl w:ilvl="0">
      <w:start w:val="1"/>
      <w:numFmt w:val="bullet"/>
      <w:pStyle w:val="a"/>
      <w:lvlText w:val=""/>
      <w:lvlJc w:val="left"/>
      <w:pPr>
        <w:tabs>
          <w:tab w:val="num" w:pos="510"/>
        </w:tabs>
        <w:ind w:left="510" w:hanging="510"/>
      </w:pPr>
      <w:rPr>
        <w:rFonts w:ascii="Symbol" w:hAnsi="Symbol" w:hint="default"/>
        <w:sz w:val="16"/>
      </w:rPr>
    </w:lvl>
  </w:abstractNum>
  <w:abstractNum w:abstractNumId="70">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532875AA"/>
    <w:multiLevelType w:val="hybridMultilevel"/>
    <w:tmpl w:val="185E0C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2">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73">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5">
    <w:nsid w:val="5BFC27CE"/>
    <w:multiLevelType w:val="hybridMultilevel"/>
    <w:tmpl w:val="6EC6192E"/>
    <w:lvl w:ilvl="0" w:tplc="21644BBA">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76">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5D6C4DFD"/>
    <w:multiLevelType w:val="hybridMultilevel"/>
    <w:tmpl w:val="436E68B2"/>
    <w:lvl w:ilvl="0" w:tplc="21644BBA">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79">
    <w:nsid w:val="61BA6BE6"/>
    <w:multiLevelType w:val="hybridMultilevel"/>
    <w:tmpl w:val="344EEA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62DB2754"/>
    <w:multiLevelType w:val="hybridMultilevel"/>
    <w:tmpl w:val="E4E4C04A"/>
    <w:lvl w:ilvl="0" w:tplc="21644BBA">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81">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65D15DFE"/>
    <w:multiLevelType w:val="singleLevel"/>
    <w:tmpl w:val="475E6D3C"/>
    <w:lvl w:ilvl="0">
      <w:start w:val="1"/>
      <w:numFmt w:val="decimal"/>
      <w:lvlText w:val="%1."/>
      <w:lvlJc w:val="left"/>
      <w:pPr>
        <w:tabs>
          <w:tab w:val="num" w:pos="360"/>
        </w:tabs>
        <w:ind w:left="360" w:hanging="360"/>
      </w:pPr>
    </w:lvl>
  </w:abstractNum>
  <w:abstractNum w:abstractNumId="83">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85">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78715B61"/>
    <w:multiLevelType w:val="hybridMultilevel"/>
    <w:tmpl w:val="D4D454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8970CE4"/>
    <w:multiLevelType w:val="hybridMultilevel"/>
    <w:tmpl w:val="6AA49BC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7ACA643D"/>
    <w:multiLevelType w:val="singleLevel"/>
    <w:tmpl w:val="0409000F"/>
    <w:lvl w:ilvl="0">
      <w:start w:val="1"/>
      <w:numFmt w:val="decimal"/>
      <w:lvlText w:val="%1."/>
      <w:lvlJc w:val="left"/>
      <w:pPr>
        <w:tabs>
          <w:tab w:val="num" w:pos="360"/>
        </w:tabs>
        <w:ind w:left="360" w:hanging="360"/>
      </w:pPr>
    </w:lvl>
  </w:abstractNum>
  <w:abstractNum w:abstractNumId="90">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1">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92">
    <w:nsid w:val="7D6A2443"/>
    <w:multiLevelType w:val="hybridMultilevel"/>
    <w:tmpl w:val="9FDC2CA2"/>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7DBF6B58"/>
    <w:multiLevelType w:val="singleLevel"/>
    <w:tmpl w:val="0409000F"/>
    <w:lvl w:ilvl="0">
      <w:start w:val="1"/>
      <w:numFmt w:val="decimal"/>
      <w:lvlText w:val="%1."/>
      <w:lvlJc w:val="left"/>
      <w:pPr>
        <w:tabs>
          <w:tab w:val="num" w:pos="360"/>
        </w:tabs>
        <w:ind w:left="360" w:hanging="360"/>
      </w:pPr>
    </w:lvl>
  </w:abstractNum>
  <w:abstractNum w:abstractNumId="94">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num w:numId="1">
    <w:abstractNumId w:val="45"/>
  </w:num>
  <w:num w:numId="2">
    <w:abstractNumId w:val="69"/>
  </w:num>
  <w:num w:numId="3">
    <w:abstractNumId w:val="51"/>
  </w:num>
  <w:num w:numId="4">
    <w:abstractNumId w:val="44"/>
  </w:num>
  <w:num w:numId="5">
    <w:abstractNumId w:val="45"/>
  </w:num>
  <w:num w:numId="6">
    <w:abstractNumId w:val="69"/>
  </w:num>
  <w:num w:numId="7">
    <w:abstractNumId w:val="51"/>
  </w:num>
  <w:num w:numId="8">
    <w:abstractNumId w:val="44"/>
  </w:num>
  <w:num w:numId="9">
    <w:abstractNumId w:val="45"/>
  </w:num>
  <w:num w:numId="10">
    <w:abstractNumId w:val="69"/>
  </w:num>
  <w:num w:numId="11">
    <w:abstractNumId w:val="51"/>
  </w:num>
  <w:num w:numId="12">
    <w:abstractNumId w:val="44"/>
  </w:num>
  <w:num w:numId="13">
    <w:abstractNumId w:val="45"/>
  </w:num>
  <w:num w:numId="14">
    <w:abstractNumId w:val="69"/>
  </w:num>
  <w:num w:numId="15">
    <w:abstractNumId w:val="51"/>
  </w:num>
  <w:num w:numId="16">
    <w:abstractNumId w:val="69"/>
  </w:num>
  <w:num w:numId="17">
    <w:abstractNumId w:val="51"/>
  </w:num>
  <w:num w:numId="18">
    <w:abstractNumId w:val="17"/>
  </w:num>
  <w:num w:numId="19">
    <w:abstractNumId w:val="69"/>
  </w:num>
  <w:num w:numId="20">
    <w:abstractNumId w:val="51"/>
  </w:num>
  <w:num w:numId="21">
    <w:abstractNumId w:val="86"/>
  </w:num>
  <w:num w:numId="22">
    <w:abstractNumId w:val="34"/>
  </w:num>
  <w:num w:numId="23">
    <w:abstractNumId w:val="34"/>
  </w:num>
  <w:num w:numId="24">
    <w:abstractNumId w:val="69"/>
  </w:num>
  <w:num w:numId="25">
    <w:abstractNumId w:val="51"/>
  </w:num>
  <w:num w:numId="26">
    <w:abstractNumId w:val="39"/>
  </w:num>
  <w:num w:numId="27">
    <w:abstractNumId w:val="75"/>
  </w:num>
  <w:num w:numId="28">
    <w:abstractNumId w:val="50"/>
  </w:num>
  <w:num w:numId="29">
    <w:abstractNumId w:val="78"/>
  </w:num>
  <w:num w:numId="30">
    <w:abstractNumId w:val="64"/>
  </w:num>
  <w:num w:numId="31">
    <w:abstractNumId w:val="58"/>
  </w:num>
  <w:num w:numId="32">
    <w:abstractNumId w:val="29"/>
  </w:num>
  <w:num w:numId="33">
    <w:abstractNumId w:val="35"/>
  </w:num>
  <w:num w:numId="34">
    <w:abstractNumId w:val="80"/>
  </w:num>
  <w:num w:numId="35">
    <w:abstractNumId w:val="55"/>
  </w:num>
  <w:num w:numId="36">
    <w:abstractNumId w:val="30"/>
  </w:num>
  <w:num w:numId="37">
    <w:abstractNumId w:val="81"/>
  </w:num>
  <w:num w:numId="38">
    <w:abstractNumId w:val="11"/>
  </w:num>
  <w:num w:numId="39">
    <w:abstractNumId w:val="83"/>
  </w:num>
  <w:num w:numId="40">
    <w:abstractNumId w:val="43"/>
  </w:num>
  <w:num w:numId="41">
    <w:abstractNumId w:val="70"/>
  </w:num>
  <w:num w:numId="42">
    <w:abstractNumId w:val="27"/>
  </w:num>
  <w:num w:numId="43">
    <w:abstractNumId w:val="94"/>
  </w:num>
  <w:num w:numId="44">
    <w:abstractNumId w:val="85"/>
  </w:num>
  <w:num w:numId="45">
    <w:abstractNumId w:val="61"/>
  </w:num>
  <w:num w:numId="46">
    <w:abstractNumId w:val="90"/>
  </w:num>
  <w:num w:numId="47">
    <w:abstractNumId w:val="53"/>
  </w:num>
  <w:num w:numId="48">
    <w:abstractNumId w:val="77"/>
  </w:num>
  <w:num w:numId="49">
    <w:abstractNumId w:val="28"/>
  </w:num>
  <w:num w:numId="50">
    <w:abstractNumId w:val="56"/>
  </w:num>
  <w:num w:numId="51">
    <w:abstractNumId w:val="26"/>
  </w:num>
  <w:num w:numId="52">
    <w:abstractNumId w:val="42"/>
  </w:num>
  <w:num w:numId="53">
    <w:abstractNumId w:val="19"/>
  </w:num>
  <w:num w:numId="54">
    <w:abstractNumId w:val="84"/>
  </w:num>
  <w:num w:numId="55">
    <w:abstractNumId w:val="21"/>
  </w:num>
  <w:num w:numId="56">
    <w:abstractNumId w:val="73"/>
  </w:num>
  <w:num w:numId="57">
    <w:abstractNumId w:val="72"/>
  </w:num>
  <w:num w:numId="58">
    <w:abstractNumId w:val="76"/>
  </w:num>
  <w:num w:numId="59">
    <w:abstractNumId w:val="22"/>
  </w:num>
  <w:num w:numId="60">
    <w:abstractNumId w:val="47"/>
  </w:num>
  <w:num w:numId="61">
    <w:abstractNumId w:val="91"/>
  </w:num>
  <w:num w:numId="62">
    <w:abstractNumId w:val="38"/>
  </w:num>
  <w:num w:numId="63">
    <w:abstractNumId w:val="16"/>
  </w:num>
  <w:num w:numId="64">
    <w:abstractNumId w:val="48"/>
  </w:num>
  <w:num w:numId="65">
    <w:abstractNumId w:val="57"/>
  </w:num>
  <w:num w:numId="66">
    <w:abstractNumId w:val="89"/>
  </w:num>
  <w:num w:numId="67">
    <w:abstractNumId w:val="68"/>
  </w:num>
  <w:num w:numId="68">
    <w:abstractNumId w:val="93"/>
  </w:num>
  <w:num w:numId="69">
    <w:abstractNumId w:val="63"/>
  </w:num>
  <w:num w:numId="70">
    <w:abstractNumId w:val="82"/>
  </w:num>
  <w:num w:numId="71">
    <w:abstractNumId w:val="54"/>
  </w:num>
  <w:num w:numId="72">
    <w:abstractNumId w:val="0"/>
  </w:num>
  <w:num w:numId="73">
    <w:abstractNumId w:val="14"/>
  </w:num>
  <w:num w:numId="74">
    <w:abstractNumId w:val="49"/>
  </w:num>
  <w:num w:numId="75">
    <w:abstractNumId w:val="67"/>
  </w:num>
  <w:num w:numId="76">
    <w:abstractNumId w:val="40"/>
  </w:num>
  <w:num w:numId="77">
    <w:abstractNumId w:val="52"/>
  </w:num>
  <w:num w:numId="78">
    <w:abstractNumId w:val="65"/>
  </w:num>
  <w:num w:numId="79">
    <w:abstractNumId w:val="33"/>
  </w:num>
  <w:num w:numId="80">
    <w:abstractNumId w:val="1"/>
  </w:num>
  <w:num w:numId="81">
    <w:abstractNumId w:val="41"/>
  </w:num>
  <w:num w:numId="82">
    <w:abstractNumId w:val="10"/>
  </w:num>
  <w:num w:numId="83">
    <w:abstractNumId w:val="24"/>
  </w:num>
  <w:num w:numId="84">
    <w:abstractNumId w:val="18"/>
  </w:num>
  <w:num w:numId="85">
    <w:abstractNumId w:val="60"/>
  </w:num>
  <w:num w:numId="86">
    <w:abstractNumId w:val="74"/>
  </w:num>
  <w:num w:numId="87">
    <w:abstractNumId w:val="2"/>
  </w:num>
  <w:num w:numId="88">
    <w:abstractNumId w:val="3"/>
  </w:num>
  <w:num w:numId="89">
    <w:abstractNumId w:val="8"/>
  </w:num>
  <w:num w:numId="90">
    <w:abstractNumId w:val="9"/>
  </w:num>
  <w:num w:numId="91">
    <w:abstractNumId w:val="7"/>
  </w:num>
  <w:num w:numId="92">
    <w:abstractNumId w:val="6"/>
  </w:num>
  <w:num w:numId="93">
    <w:abstractNumId w:val="5"/>
  </w:num>
  <w:num w:numId="94">
    <w:abstractNumId w:val="4"/>
  </w:num>
  <w:num w:numId="95">
    <w:abstractNumId w:val="20"/>
  </w:num>
  <w:num w:numId="96">
    <w:abstractNumId w:val="62"/>
  </w:num>
  <w:num w:numId="97">
    <w:abstractNumId w:val="25"/>
  </w:num>
  <w:num w:numId="98">
    <w:abstractNumId w:val="79"/>
  </w:num>
  <w:num w:numId="99">
    <w:abstractNumId w:val="32"/>
  </w:num>
  <w:num w:numId="100">
    <w:abstractNumId w:val="88"/>
  </w:num>
  <w:num w:numId="101">
    <w:abstractNumId w:val="23"/>
  </w:num>
  <w:num w:numId="102">
    <w:abstractNumId w:val="46"/>
  </w:num>
  <w:num w:numId="103">
    <w:abstractNumId w:val="87"/>
  </w:num>
  <w:num w:numId="104">
    <w:abstractNumId w:val="15"/>
  </w:num>
  <w:num w:numId="105">
    <w:abstractNumId w:val="66"/>
  </w:num>
  <w:num w:numId="106">
    <w:abstractNumId w:val="12"/>
  </w:num>
  <w:num w:numId="107">
    <w:abstractNumId w:val="92"/>
  </w:num>
  <w:num w:numId="108">
    <w:abstractNumId w:val="36"/>
  </w:num>
  <w:num w:numId="109">
    <w:abstractNumId w:val="71"/>
  </w:num>
  <w:num w:numId="110">
    <w:abstractNumId w:val="31"/>
  </w:num>
  <w:num w:numId="111">
    <w:abstractNumId w:val="59"/>
  </w:num>
  <w:num w:numId="112">
    <w:abstractNumId w:val="13"/>
  </w:num>
  <w:num w:numId="11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0">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1">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6">
    <w:name w:val="悬挂符号－"/>
    <w:basedOn w:val="a5"/>
    <w:pPr>
      <w:numPr>
        <w:numId w:val="24"/>
      </w:numPr>
      <w:tabs>
        <w:tab w:val="clear" w:pos="510"/>
      </w:tabs>
    </w:pPr>
  </w:style>
  <w:style w:type="paragraph" w:customStyle="1" w:styleId="a">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 w:type="paragraph" w:customStyle="1" w:styleId="Rom2">
    <w:name w:val="Rom2"/>
    <w:basedOn w:val="Normal"/>
    <w:pPr>
      <w:numPr>
        <w:numId w:val="62"/>
      </w:numPr>
      <w:overflowPunct/>
      <w:adjustRightInd/>
      <w:snapToGrid/>
      <w:spacing w:line="240" w:lineRule="auto"/>
      <w:jc w:val="left"/>
    </w:pPr>
    <w:rPr>
      <w:rFonts w:eastAsia="Times New Roman"/>
      <w:snapToGrid/>
      <w:spacing w:val="0"/>
      <w:lang w:val="en-GB" w:eastAsia="en-US"/>
    </w:rPr>
  </w:style>
  <w:style w:type="paragraph" w:customStyle="1" w:styleId="ParaNo">
    <w:name w:val="ParaNo."/>
    <w:basedOn w:val="Normal"/>
    <w:pPr>
      <w:numPr>
        <w:numId w:val="71"/>
      </w:numPr>
      <w:tabs>
        <w:tab w:val="clear" w:pos="360"/>
        <w:tab w:val="left" w:pos="737"/>
      </w:tabs>
      <w:overflowPunct/>
      <w:adjustRightInd/>
      <w:snapToGrid/>
      <w:spacing w:line="240" w:lineRule="auto"/>
      <w:jc w:val="left"/>
    </w:pPr>
    <w:rPr>
      <w:rFonts w:eastAsia="Times New Roman"/>
      <w:snapToGrid/>
      <w:spacing w:val="0"/>
      <w:lang w:val="fr-CH" w:eastAsia="en-US"/>
    </w:rPr>
  </w:style>
  <w:style w:type="paragraph" w:customStyle="1" w:styleId="ParaNo0">
    <w:name w:val="(ParaNo.)"/>
    <w:basedOn w:val="Normal"/>
    <w:pPr>
      <w:numPr>
        <w:numId w:val="85"/>
      </w:numPr>
      <w:overflowPunct/>
      <w:adjustRightInd/>
      <w:snapToGrid/>
      <w:spacing w:line="240" w:lineRule="auto"/>
      <w:jc w:val="left"/>
    </w:pPr>
    <w:rPr>
      <w:rFonts w:eastAsia="Times New Roman"/>
      <w:snapToGrid/>
      <w:spacing w:val="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5\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6605</Words>
  <Characters>37652</Characters>
  <Application>Microsoft Office Word</Application>
  <DocSecurity>4</DocSecurity>
  <Lines>313</Lines>
  <Paragraphs>75</Paragraphs>
  <ScaleCrop>false</ScaleCrop>
  <HeadingPairs>
    <vt:vector size="4" baseType="variant">
      <vt:variant>
        <vt:lpstr>题目</vt:lpstr>
      </vt:variant>
      <vt:variant>
        <vt:i4>1</vt:i4>
      </vt:variant>
      <vt:variant>
        <vt:lpstr>标题</vt:lpstr>
      </vt:variant>
      <vt:variant>
        <vt:i4>41</vt:i4>
      </vt:variant>
    </vt:vector>
  </HeadingPairs>
  <TitlesOfParts>
    <vt:vector size="42" baseType="lpstr">
      <vt:lpstr>E.dot</vt:lpstr>
      <vt:lpstr>    《经济、社会、文化权利国际公约》的执行情况</vt:lpstr>
      <vt:lpstr>        缔约国根据《公约》第16条和第17条提交的 第二次定期报告</vt:lpstr>
      <vt:lpstr>        增  编</vt:lpstr>
      <vt:lpstr>    格鲁吉亚* **</vt:lpstr>
      <vt:lpstr>    导  言</vt:lpstr>
      <vt:lpstr>    第 一 条</vt:lpstr>
      <vt:lpstr>    第 二 条</vt:lpstr>
      <vt:lpstr>    第 三 条</vt:lpstr>
      <vt:lpstr>    第 六 条</vt:lpstr>
      <vt:lpstr>    第 七 条</vt:lpstr>
      <vt:lpstr>    第 八 条</vt:lpstr>
      <vt:lpstr>    第 九 条</vt:lpstr>
      <vt:lpstr>    第 十 条</vt:lpstr>
      <vt:lpstr>        第一次婚姻的平均年龄</vt:lpstr>
      <vt:lpstr>    第十一条</vt:lpstr>
      <vt:lpstr>    第 十二 条</vt:lpstr>
      <vt:lpstr>        按年龄分列的死亡率</vt:lpstr>
      <vt:lpstr>        主要类型疾病发病率</vt:lpstr>
      <vt:lpstr>        0至14岁儿童主要类型疾病发病率</vt:lpstr>
      <vt:lpstr>        1岁以下的婴儿死亡率</vt:lpstr>
      <vt:lpstr>        5岁以下的婴儿死亡率</vt:lpstr>
      <vt:lpstr>        按地区分列的婴儿死亡率(1岁以下)明细表</vt:lpstr>
      <vt:lpstr>        1997-1999年格鲁吉亚主要公共卫生服务指数</vt:lpstr>
      <vt:lpstr>        急诊服务</vt:lpstr>
      <vt:lpstr>        按致残原因分列的初次确定残疾人身份的残疾人明细表</vt:lpstr>
      <vt:lpstr>        堕  胎</vt:lpstr>
      <vt:lpstr>    第十三条</vt:lpstr>
      <vt:lpstr>        人口的教育水平</vt:lpstr>
      <vt:lpstr>        教育机构：学生人数(学年开始时)</vt:lpstr>
      <vt:lpstr>        按教学语言分列的普通教育日校学生明细表</vt:lpstr>
      <vt:lpstr>    第十五条</vt:lpstr>
      <vt:lpstr>    附  件</vt:lpstr>
      <vt:lpstr>        表  1</vt:lpstr>
      <vt:lpstr>        绝对和相对贫困水平(拉里)</vt:lpstr>
      <vt:lpstr>        表  2</vt:lpstr>
      <vt:lpstr>        城市和农村地区贫困水平(百分比)</vt:lpstr>
      <vt:lpstr>        表  3</vt:lpstr>
      <vt:lpstr>        城市和农村地区贫困的程度(百分比)</vt:lpstr>
      <vt:lpstr>        表  4</vt:lpstr>
      <vt:lpstr>        基尼系数</vt:lpstr>
      <vt:lpstr>    所附文件清单</vt:lpstr>
    </vt:vector>
  </TitlesOfParts>
  <Company>ONU</Company>
  <LinksUpToDate>false</LinksUpToDate>
  <CharactersWithSpaces>46239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Niu</dc:creator>
  <cp:keywords/>
  <cp:lastModifiedBy>linl</cp:lastModifiedBy>
  <cp:revision>2</cp:revision>
  <cp:lastPrinted>2001-12-05T12:30:00Z</cp:lastPrinted>
  <dcterms:created xsi:type="dcterms:W3CDTF">2001-12-06T08:20:00Z</dcterms:created>
  <dcterms:modified xsi:type="dcterms:W3CDTF">2001-12-06T08:20:00Z</dcterms:modified>
</cp:coreProperties>
</file>