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14F" w:rsidRDefault="00E1714F" w:rsidP="00E1714F">
      <w:pPr>
        <w:spacing w:line="240" w:lineRule="auto"/>
        <w:jc w:val="left"/>
        <w:rPr>
          <w:szCs w:val="6"/>
          <w:rtl/>
        </w:rPr>
        <w:sectPr w:rsidR="00E1714F" w:rsidSect="00E1714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5&amp;Size =1&amp;Lang = A"/>
            <w10:wrap anchorx="page" anchory="page"/>
          </v:shape>
        </w:pict>
      </w:r>
    </w:p>
    <w:p w:rsidR="00E1714F" w:rsidRDefault="00584E40" w:rsidP="00584E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584E40" w:rsidRPr="00584E40" w:rsidRDefault="00584E40" w:rsidP="00584E40">
      <w:pPr>
        <w:pStyle w:val="SingleTxt"/>
        <w:spacing w:after="0" w:line="120" w:lineRule="exact"/>
        <w:rPr>
          <w:rFonts w:hint="cs"/>
          <w:sz w:val="12"/>
          <w:rtl/>
        </w:rPr>
      </w:pPr>
    </w:p>
    <w:p w:rsidR="00584E40" w:rsidRPr="00584E40" w:rsidRDefault="00584E40" w:rsidP="00584E40">
      <w:pPr>
        <w:pStyle w:val="SingleTxt"/>
        <w:spacing w:after="0" w:line="120" w:lineRule="exact"/>
        <w:rPr>
          <w:rFonts w:hint="cs"/>
          <w:sz w:val="12"/>
          <w:rtl/>
        </w:rPr>
      </w:pPr>
    </w:p>
    <w:p w:rsidR="00584E40" w:rsidRPr="00584E40" w:rsidRDefault="00584E40" w:rsidP="00584E40">
      <w:pPr>
        <w:pStyle w:val="SingleTxt"/>
        <w:spacing w:after="0" w:line="120" w:lineRule="exact"/>
        <w:rPr>
          <w:rFonts w:hint="cs"/>
          <w:sz w:val="12"/>
          <w:rtl/>
        </w:rPr>
      </w:pPr>
    </w:p>
    <w:p w:rsidR="00584E40" w:rsidRDefault="00584E40" w:rsidP="00584E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قائمة القضايا والأسئلة المتعلقة </w:t>
      </w:r>
      <w:r w:rsidR="00AF5831">
        <w:rPr>
          <w:rFonts w:hint="cs"/>
          <w:rtl/>
        </w:rPr>
        <w:t>بالنظر في التقرير الدوري الخامس</w:t>
      </w:r>
      <w:r w:rsidR="00AF5831">
        <w:rPr>
          <w:rFonts w:hint="eastAsia"/>
          <w:rtl/>
        </w:rPr>
        <w:t> </w:t>
      </w:r>
      <w:r>
        <w:rPr>
          <w:rFonts w:hint="cs"/>
          <w:rtl/>
        </w:rPr>
        <w:t>لأذربيجان*</w:t>
      </w:r>
    </w:p>
    <w:p w:rsidR="00584E40" w:rsidRPr="00584E40" w:rsidRDefault="00584E40" w:rsidP="00584E40">
      <w:pPr>
        <w:pStyle w:val="SingleTxt"/>
        <w:spacing w:after="0" w:line="120" w:lineRule="exact"/>
        <w:rPr>
          <w:rFonts w:hint="cs"/>
          <w:sz w:val="12"/>
          <w:rtl/>
        </w:rPr>
      </w:pPr>
    </w:p>
    <w:p w:rsidR="00584E40" w:rsidRPr="00584E40" w:rsidRDefault="00584E40" w:rsidP="00584E40">
      <w:pPr>
        <w:pStyle w:val="SingleTxt"/>
        <w:spacing w:after="0" w:line="120" w:lineRule="exact"/>
        <w:rPr>
          <w:rFonts w:hint="cs"/>
          <w:sz w:val="12"/>
          <w:rtl/>
        </w:rPr>
      </w:pPr>
    </w:p>
    <w:p w:rsidR="00584E40" w:rsidRDefault="00584E40" w:rsidP="000D4A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القانوني والسياساتي</w:t>
      </w:r>
    </w:p>
    <w:p w:rsidR="00584E40" w:rsidRDefault="00584E40" w:rsidP="004A79AC">
      <w:pPr>
        <w:pStyle w:val="SingleTxt"/>
        <w:rPr>
          <w:rFonts w:hint="cs"/>
          <w:rtl/>
        </w:rPr>
      </w:pPr>
      <w:r>
        <w:rPr>
          <w:rFonts w:hint="cs"/>
          <w:rtl/>
        </w:rPr>
        <w:t>1 -</w:t>
      </w:r>
      <w:r>
        <w:rPr>
          <w:rFonts w:hint="cs"/>
          <w:rtl/>
        </w:rPr>
        <w:tab/>
        <w:t xml:space="preserve">أشارت الدولة الطرف إلى أنه، بموجب المادة 12 من الدستور، تعد جميع الاتفاقات والاتفاقيات الدولية التي تم التصديق عليها جزءا من القانون الوطني ولها الأسبقية عليه </w:t>
      </w:r>
      <w:r>
        <w:t>(</w:t>
      </w:r>
      <w:hyperlink r:id="rId14" w:history="1">
        <w:r w:rsidRPr="00101F30">
          <w:rPr>
            <w:rStyle w:val="Hyperlink"/>
          </w:rPr>
          <w:t>CEDAW/C/AZE/5</w:t>
        </w:r>
      </w:hyperlink>
      <w:r>
        <w:t>,</w:t>
      </w:r>
      <w:r w:rsidR="004A79AC">
        <w:t> </w:t>
      </w:r>
      <w:r>
        <w:t>para.</w:t>
      </w:r>
      <w:r w:rsidR="004A79AC">
        <w:t> </w:t>
      </w:r>
      <w:r>
        <w:t>4)</w:t>
      </w:r>
      <w:r w:rsidRPr="00584E40">
        <w:rPr>
          <w:vertAlign w:val="superscript"/>
          <w:rtl/>
        </w:rPr>
        <w:t>(</w:t>
      </w:r>
      <w:r w:rsidRPr="00584E40">
        <w:rPr>
          <w:rStyle w:val="FootnoteReference"/>
          <w:szCs w:val="30"/>
          <w:rtl/>
        </w:rPr>
        <w:footnoteReference w:id="1"/>
      </w:r>
      <w:r w:rsidRPr="00584E40">
        <w:rPr>
          <w:vertAlign w:val="superscript"/>
          <w:rtl/>
        </w:rPr>
        <w:t>)</w:t>
      </w:r>
      <w:r>
        <w:rPr>
          <w:rFonts w:hint="cs"/>
          <w:rtl/>
        </w:rPr>
        <w:t xml:space="preserve">. وأشارت الدولة الطرف أيضا إلى أنها منذ تموز/يوليه 2011، أجرت تدريبا خاصا بشأن أهمية الاستشهاد بالاتفاقية والإشارة إليها في الأحكام التي تصدرها المحاكم حيثما أمكن (الفقرة 9). ويُرجى تزويد اللجنة بأمثلة على قضايا، إن وجدت، وحالات تم فيها الاحتجاج بأحكام الاتفاقية في المحاكم الوطنية والمواضع التي أشارت </w:t>
      </w:r>
      <w:r w:rsidR="00AF5831">
        <w:rPr>
          <w:rFonts w:hint="cs"/>
          <w:rtl/>
        </w:rPr>
        <w:t>فيها</w:t>
      </w:r>
      <w:r>
        <w:rPr>
          <w:rFonts w:hint="cs"/>
          <w:rtl/>
        </w:rPr>
        <w:t xml:space="preserve"> هذه المحاكم إلى الاتفاقية عند تأويل القانون الوطني. ويُرجى كذلك بيان التدابير القانونية وغيرها من التدابير المتخذة لضمان أن حظر التمييز في الدولة الطرف يشمل عناصر من التمييز المباشر وغير المباشر على حد سواء، على النحو المنصوص عليه في المادة 1 من الاتفاقية.</w:t>
      </w:r>
    </w:p>
    <w:p w:rsidR="00584E40" w:rsidRDefault="00584E40" w:rsidP="00C541E1">
      <w:pPr>
        <w:pStyle w:val="SingleTxt"/>
        <w:rPr>
          <w:rFonts w:hint="cs"/>
          <w:rtl/>
        </w:rPr>
      </w:pPr>
      <w:r>
        <w:rPr>
          <w:rFonts w:hint="cs"/>
          <w:rtl/>
        </w:rPr>
        <w:t>2 -</w:t>
      </w:r>
      <w:r>
        <w:rPr>
          <w:rFonts w:hint="cs"/>
          <w:rtl/>
        </w:rPr>
        <w:tab/>
        <w:t xml:space="preserve">ويشير التقرير إلى أنه تم وضع مشروع قانون بشأن </w:t>
      </w:r>
      <w:r>
        <w:rPr>
          <w:rFonts w:hint="eastAsia"/>
          <w:rtl/>
        </w:rPr>
        <w:t>”دعم الدولة للأُسر التي لديها عدد كبير من الأطفال</w:t>
      </w:r>
      <w:r>
        <w:rPr>
          <w:rFonts w:hint="cs"/>
          <w:rtl/>
        </w:rPr>
        <w:t xml:space="preserve">“، يهدف إلى </w:t>
      </w:r>
      <w:r>
        <w:rPr>
          <w:rFonts w:hint="eastAsia"/>
          <w:rtl/>
        </w:rPr>
        <w:t>”تعزيز الحماية المقدمة للمرأة التي لديها عدد كبير من الأطفال</w:t>
      </w:r>
      <w:r w:rsidR="00E91E6F">
        <w:rPr>
          <w:rFonts w:hint="cs"/>
          <w:rtl/>
        </w:rPr>
        <w:t>“</w:t>
      </w:r>
      <w:r>
        <w:rPr>
          <w:rFonts w:hint="eastAsia"/>
          <w:rtl/>
        </w:rPr>
        <w:t xml:space="preserve"> وهو قيد الاعتماد (الفقرة 7 (أ)). </w:t>
      </w:r>
      <w:r>
        <w:rPr>
          <w:rFonts w:hint="cs"/>
          <w:rtl/>
        </w:rPr>
        <w:t>ويُرجى تقديم معلومات مفصلة بشأن طبيعة الحماية المقدمة للنساء وتبيان الموعد الذي تعتزم الدولة الطرف اعتماد القانون. ويُرجى أيضا تقديم معلومات بشأن التقدم المحرز منذ إصدار المرسوم الرئاسي فيه لمواءمة القوانين الوطنية عقب اعتماد قانون منع العنف العائلي عام 2010</w:t>
      </w:r>
      <w:r w:rsidR="00C541E1">
        <w:rPr>
          <w:rFonts w:hint="cs"/>
          <w:rtl/>
        </w:rPr>
        <w:t>.</w:t>
      </w:r>
    </w:p>
    <w:p w:rsidR="00584E40" w:rsidRDefault="00584E40" w:rsidP="00AF5831">
      <w:pPr>
        <w:pStyle w:val="SingleTxt"/>
        <w:rPr>
          <w:rFonts w:hint="cs"/>
          <w:rtl/>
        </w:rPr>
      </w:pPr>
      <w:r>
        <w:rPr>
          <w:rFonts w:hint="cs"/>
          <w:rtl/>
        </w:rPr>
        <w:t>3 -</w:t>
      </w:r>
      <w:r>
        <w:rPr>
          <w:rFonts w:hint="cs"/>
          <w:rtl/>
        </w:rPr>
        <w:tab/>
      </w:r>
      <w:r w:rsidR="000D4A4F">
        <w:rPr>
          <w:rFonts w:hint="cs"/>
          <w:rtl/>
        </w:rPr>
        <w:t xml:space="preserve">ووفقا للمعلومات الواردة، بصرف النظر عن توحيد السن القانونية الدنيا للزواج للرجال والنساء على السواء في عام 2011 [انظر الفقرة 6 (ب) من الوثيقة </w:t>
      </w:r>
      <w:hyperlink r:id="rId15" w:history="1">
        <w:r w:rsidR="000D4A4F" w:rsidRPr="00101F30">
          <w:rPr>
            <w:rStyle w:val="Hyperlink"/>
          </w:rPr>
          <w:t>CEDAW/C/AZE/5</w:t>
        </w:r>
      </w:hyperlink>
      <w:r w:rsidR="000D4A4F">
        <w:rPr>
          <w:rFonts w:hint="cs"/>
          <w:rtl/>
        </w:rPr>
        <w:t>]</w:t>
      </w:r>
      <w:r w:rsidR="00C541E1">
        <w:rPr>
          <w:rFonts w:hint="cs"/>
          <w:rtl/>
        </w:rPr>
        <w:t xml:space="preserve">، لم يتم بعد إلغاء المادة التمييزية ذات الصلة بقانون المساواة بين الجنسين [انظر الفقرة 4 من الوثيقة </w:t>
      </w:r>
      <w:hyperlink r:id="rId16" w:history="1">
        <w:r w:rsidR="00C541E1" w:rsidRPr="00101F30">
          <w:rPr>
            <w:rStyle w:val="Hyperlink"/>
          </w:rPr>
          <w:t>CEDAW/C/AZE/</w:t>
        </w:r>
        <w:r w:rsidR="00C541E1">
          <w:rPr>
            <w:rStyle w:val="Hyperlink"/>
          </w:rPr>
          <w:t>3</w:t>
        </w:r>
      </w:hyperlink>
      <w:r w:rsidR="00C541E1">
        <w:rPr>
          <w:rFonts w:hint="cs"/>
          <w:rtl/>
        </w:rPr>
        <w:t xml:space="preserve">] </w:t>
      </w:r>
      <w:r w:rsidR="00AF5831">
        <w:rPr>
          <w:rFonts w:hint="cs"/>
          <w:rtl/>
        </w:rPr>
        <w:t>و</w:t>
      </w:r>
      <w:r w:rsidR="00C541E1">
        <w:rPr>
          <w:rFonts w:hint="cs"/>
          <w:rtl/>
        </w:rPr>
        <w:t xml:space="preserve">المشار إليه </w:t>
      </w:r>
      <w:r w:rsidR="00AF5831">
        <w:rPr>
          <w:rFonts w:hint="cs"/>
          <w:rtl/>
        </w:rPr>
        <w:t xml:space="preserve">في الفقرة 73 من </w:t>
      </w:r>
      <w:r w:rsidR="00C541E1">
        <w:rPr>
          <w:rFonts w:hint="cs"/>
          <w:rtl/>
        </w:rPr>
        <w:t xml:space="preserve">الوثيقة </w:t>
      </w:r>
      <w:hyperlink r:id="rId17" w:history="1">
        <w:r w:rsidR="00C541E1" w:rsidRPr="00101F30">
          <w:rPr>
            <w:rStyle w:val="Hyperlink"/>
          </w:rPr>
          <w:t>CEDAW/C/AZE/5</w:t>
        </w:r>
      </w:hyperlink>
      <w:r w:rsidR="00C541E1">
        <w:rPr>
          <w:rFonts w:hint="cs"/>
          <w:rtl/>
        </w:rPr>
        <w:t xml:space="preserve"> بأنه قانون </w:t>
      </w:r>
      <w:r w:rsidR="00C541E1">
        <w:rPr>
          <w:rFonts w:hint="eastAsia"/>
          <w:rtl/>
        </w:rPr>
        <w:t>”ضمانات المساواة بين الجنسين</w:t>
      </w:r>
      <w:r w:rsidR="00C541E1">
        <w:rPr>
          <w:rFonts w:hint="cs"/>
          <w:rtl/>
        </w:rPr>
        <w:t>“، والتي تنص على أن اختلاف سن الزواج للرجال والنساء لا يشكل تمييزا. ويُرجى بيان ما إذا كانت الدولة الطرف قد اتخذت أو تعتزم اتخاذ تدابير لإلغاء هذه المادة.</w:t>
      </w:r>
    </w:p>
    <w:p w:rsidR="00C541E1" w:rsidRPr="00C541E1" w:rsidRDefault="00C541E1" w:rsidP="00C541E1">
      <w:pPr>
        <w:pStyle w:val="SingleTxt"/>
        <w:spacing w:after="0" w:line="120" w:lineRule="exact"/>
        <w:rPr>
          <w:rFonts w:hint="cs"/>
          <w:sz w:val="12"/>
          <w:rtl/>
        </w:rPr>
      </w:pPr>
    </w:p>
    <w:p w:rsidR="00C541E1" w:rsidRDefault="00C541E1" w:rsidP="00C541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الآلية الوطنية للنهوض بالمرأة</w:t>
      </w:r>
    </w:p>
    <w:p w:rsidR="00A040F4" w:rsidRDefault="00C541E1" w:rsidP="00AF5831">
      <w:pPr>
        <w:pStyle w:val="SingleTxt"/>
        <w:rPr>
          <w:rtl/>
        </w:rPr>
      </w:pPr>
      <w:r>
        <w:rPr>
          <w:rFonts w:hint="cs"/>
          <w:rtl/>
        </w:rPr>
        <w:t>4 -</w:t>
      </w:r>
      <w:r>
        <w:rPr>
          <w:rFonts w:hint="cs"/>
          <w:rtl/>
        </w:rPr>
        <w:tab/>
      </w:r>
      <w:r w:rsidR="00A040F4">
        <w:rPr>
          <w:rtl/>
        </w:rPr>
        <w:t xml:space="preserve">يشير التقرير إلى أن </w:t>
      </w:r>
      <w:r w:rsidR="00A040F4">
        <w:rPr>
          <w:rFonts w:hint="cs"/>
          <w:rtl/>
        </w:rPr>
        <w:t>ال</w:t>
      </w:r>
      <w:r w:rsidR="00A040F4">
        <w:rPr>
          <w:rtl/>
        </w:rPr>
        <w:t xml:space="preserve">لجنة </w:t>
      </w:r>
      <w:r w:rsidR="00A040F4">
        <w:rPr>
          <w:rFonts w:hint="cs"/>
          <w:rtl/>
        </w:rPr>
        <w:t xml:space="preserve">الحكومية </w:t>
      </w:r>
      <w:r w:rsidR="00A040F4">
        <w:rPr>
          <w:rtl/>
        </w:rPr>
        <w:t>المعنية ب</w:t>
      </w:r>
      <w:r w:rsidR="00A040F4">
        <w:rPr>
          <w:rFonts w:hint="cs"/>
          <w:rtl/>
        </w:rPr>
        <w:t xml:space="preserve">شؤون </w:t>
      </w:r>
      <w:r w:rsidR="00A040F4">
        <w:rPr>
          <w:rtl/>
        </w:rPr>
        <w:t>الأسرة و</w:t>
      </w:r>
      <w:r w:rsidR="00A040F4">
        <w:rPr>
          <w:rFonts w:hint="cs"/>
          <w:rtl/>
        </w:rPr>
        <w:t xml:space="preserve">المرأة والطفل [انظر الفقرة 7 (ب) من الوثيقة </w:t>
      </w:r>
      <w:hyperlink r:id="rId18" w:history="1">
        <w:r w:rsidR="00A040F4" w:rsidRPr="00101F30">
          <w:rPr>
            <w:rStyle w:val="Hyperlink"/>
          </w:rPr>
          <w:t>CEDAW/C/AZE/5</w:t>
        </w:r>
      </w:hyperlink>
      <w:r w:rsidR="00A040F4">
        <w:rPr>
          <w:rFonts w:hint="cs"/>
          <w:rtl/>
        </w:rPr>
        <w:t xml:space="preserve">] </w:t>
      </w:r>
      <w:r w:rsidR="00A040F4">
        <w:rPr>
          <w:rtl/>
        </w:rPr>
        <w:t xml:space="preserve">وهي الآلية الوطنية للنهوض بالمرأة، صاغت مجموعة من اللوائح تمكن الدولة من مراقبة ضمان المساواة بين الجنسين من شأنها تعزيز تنفيذ القوانين والسياسات القائمة (الفقرة 7 (ب)). ويُرجى توضيح كيفية تأثير هذه اللوائح في عمليات </w:t>
      </w:r>
      <w:r w:rsidR="00A040F4">
        <w:rPr>
          <w:rFonts w:hint="cs"/>
          <w:rtl/>
        </w:rPr>
        <w:t>ال</w:t>
      </w:r>
      <w:r w:rsidR="00A040F4">
        <w:rPr>
          <w:rtl/>
        </w:rPr>
        <w:t>لجنة ال</w:t>
      </w:r>
      <w:r w:rsidR="00A040F4">
        <w:rPr>
          <w:rFonts w:hint="cs"/>
          <w:rtl/>
        </w:rPr>
        <w:t>حكومية</w:t>
      </w:r>
      <w:r w:rsidR="00A040F4">
        <w:rPr>
          <w:rtl/>
        </w:rPr>
        <w:t xml:space="preserve"> ومساهمتها في تحسين تنسيق الأنشطة بين المؤسسات وتنفيذ القوانين والسياسات. ويُرجى أيضاً</w:t>
      </w:r>
      <w:r w:rsidR="00A040F4">
        <w:rPr>
          <w:rFonts w:hint="cs"/>
          <w:rtl/>
        </w:rPr>
        <w:t xml:space="preserve"> تبيان الموعد الذي تعتزم فيه الدولة الطرف </w:t>
      </w:r>
      <w:r w:rsidR="00A040F4">
        <w:rPr>
          <w:rtl/>
        </w:rPr>
        <w:t>اعتماد اللوائح.</w:t>
      </w:r>
    </w:p>
    <w:p w:rsidR="00A040F4" w:rsidRPr="00A040F4" w:rsidRDefault="00A040F4" w:rsidP="00A040F4">
      <w:pPr>
        <w:pStyle w:val="SingleTxt"/>
        <w:spacing w:after="0" w:line="120" w:lineRule="exact"/>
        <w:rPr>
          <w:sz w:val="12"/>
          <w:rtl/>
        </w:rPr>
      </w:pPr>
    </w:p>
    <w:p w:rsidR="00A040F4" w:rsidRDefault="00A040F4" w:rsidP="00A040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التدابير الخاصة المؤقتة</w:t>
      </w:r>
    </w:p>
    <w:p w:rsidR="00A040F4" w:rsidRDefault="00A040F4" w:rsidP="00E91E6F">
      <w:pPr>
        <w:pStyle w:val="SingleTxt"/>
        <w:rPr>
          <w:rtl/>
        </w:rPr>
      </w:pPr>
      <w:r>
        <w:rPr>
          <w:rtl/>
        </w:rPr>
        <w:t>5 -</w:t>
      </w:r>
      <w:r>
        <w:rPr>
          <w:rFonts w:hint="cs"/>
          <w:rtl/>
        </w:rPr>
        <w:tab/>
      </w:r>
      <w:r>
        <w:rPr>
          <w:rtl/>
        </w:rPr>
        <w:t>أعربت اللجنة، في ملاحظاتها الختامية السابقة (</w:t>
      </w:r>
      <w:r>
        <w:t>CEDAW/C/AZE/CO/4</w:t>
      </w:r>
      <w:r>
        <w:rPr>
          <w:rFonts w:hint="cs"/>
          <w:rtl/>
        </w:rPr>
        <w:t>، الفقرة 17</w:t>
      </w:r>
      <w:r>
        <w:rPr>
          <w:rtl/>
        </w:rPr>
        <w:t xml:space="preserve">)، عن قلقها إزاء نقص استخدام التدابير الخاصة المؤقتة في الدولة الطرف. ويشير التقرير إلى أن </w:t>
      </w:r>
      <w:r>
        <w:rPr>
          <w:rFonts w:hint="cs"/>
          <w:rtl/>
        </w:rPr>
        <w:t>”</w:t>
      </w:r>
      <w:r>
        <w:rPr>
          <w:rtl/>
        </w:rPr>
        <w:t>برنامج الدولة للحد من الفقر والتنمية المستدامة للفترة 2008</w:t>
      </w:r>
      <w:r>
        <w:rPr>
          <w:rFonts w:hint="cs"/>
          <w:rtl/>
        </w:rPr>
        <w:t>-</w:t>
      </w:r>
      <w:r>
        <w:rPr>
          <w:rtl/>
        </w:rPr>
        <w:t>2015</w:t>
      </w:r>
      <w:r w:rsidR="00E91E6F">
        <w:rPr>
          <w:rFonts w:hint="eastAsia"/>
          <w:rtl/>
        </w:rPr>
        <w:t>“</w:t>
      </w:r>
      <w:r>
        <w:rPr>
          <w:rFonts w:hint="cs"/>
          <w:rtl/>
        </w:rPr>
        <w:t xml:space="preserve"> </w:t>
      </w:r>
      <w:r>
        <w:rPr>
          <w:rtl/>
        </w:rPr>
        <w:t xml:space="preserve">الذي يسعى إلى ضمان تعزيز مشاركة النساء في عملية صنع القرار بحلول نهاية عام 2015، </w:t>
      </w:r>
      <w:r>
        <w:rPr>
          <w:rFonts w:hint="cs"/>
          <w:rtl/>
        </w:rPr>
        <w:t xml:space="preserve">قد </w:t>
      </w:r>
      <w:r>
        <w:rPr>
          <w:rtl/>
        </w:rPr>
        <w:t xml:space="preserve">وافق عليه الرئيس. كما </w:t>
      </w:r>
      <w:r>
        <w:rPr>
          <w:rFonts w:hint="cs"/>
          <w:rtl/>
        </w:rPr>
        <w:t>يشار</w:t>
      </w:r>
      <w:r>
        <w:rPr>
          <w:rtl/>
        </w:rPr>
        <w:t xml:space="preserve"> إلى أنه، على ضوء </w:t>
      </w:r>
      <w:r>
        <w:rPr>
          <w:rFonts w:hint="cs"/>
          <w:rtl/>
        </w:rPr>
        <w:t>ذلك</w:t>
      </w:r>
      <w:r>
        <w:rPr>
          <w:rtl/>
        </w:rPr>
        <w:t xml:space="preserve"> البرنامج، قُدمت توصيات تتضمن مقترحات بشأن ضمان التمثيل المتساوي للرجل و</w:t>
      </w:r>
      <w:r>
        <w:rPr>
          <w:rFonts w:hint="cs"/>
          <w:rtl/>
        </w:rPr>
        <w:t>المرأة</w:t>
      </w:r>
      <w:r>
        <w:rPr>
          <w:rtl/>
        </w:rPr>
        <w:t xml:space="preserve"> في جميع وكالات الدولة (الفقرتان 23 و</w:t>
      </w:r>
      <w:r>
        <w:rPr>
          <w:rFonts w:hint="cs"/>
          <w:rtl/>
        </w:rPr>
        <w:t xml:space="preserve"> </w:t>
      </w:r>
      <w:r>
        <w:rPr>
          <w:rtl/>
        </w:rPr>
        <w:t xml:space="preserve">24). ويُرجى تقديم معلومات </w:t>
      </w:r>
      <w:r>
        <w:rPr>
          <w:rFonts w:hint="cs"/>
          <w:rtl/>
        </w:rPr>
        <w:t>مستكملة</w:t>
      </w:r>
      <w:r>
        <w:rPr>
          <w:rtl/>
        </w:rPr>
        <w:t xml:space="preserve"> عن التدابير المتخذة لتنفيذ التوصيات والنتائج المنجزة. ويُرجى </w:t>
      </w:r>
      <w:r>
        <w:rPr>
          <w:rFonts w:hint="cs"/>
          <w:rtl/>
        </w:rPr>
        <w:t xml:space="preserve">أيضا </w:t>
      </w:r>
      <w:r>
        <w:rPr>
          <w:rtl/>
        </w:rPr>
        <w:t xml:space="preserve">تقديم معلومات عن أي تدابير خاصة مؤقتة جرى اعتمادها في مجالات أخرى وأثرها في تحقيق المساواة الفعلية للنساء. </w:t>
      </w:r>
    </w:p>
    <w:p w:rsidR="00A040F4" w:rsidRDefault="00A040F4" w:rsidP="00A040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t>التنميطات</w:t>
      </w:r>
      <w:r>
        <w:rPr>
          <w:rtl/>
        </w:rPr>
        <w:t xml:space="preserve"> والممارسات الضارة</w:t>
      </w:r>
    </w:p>
    <w:p w:rsidR="00A040F4" w:rsidRDefault="00A040F4" w:rsidP="00A040F4">
      <w:pPr>
        <w:pStyle w:val="SingleTxt"/>
        <w:rPr>
          <w:rtl/>
        </w:rPr>
      </w:pPr>
      <w:r>
        <w:rPr>
          <w:rtl/>
        </w:rPr>
        <w:t>6 -</w:t>
      </w:r>
      <w:r>
        <w:rPr>
          <w:rFonts w:hint="cs"/>
          <w:rtl/>
        </w:rPr>
        <w:tab/>
      </w:r>
      <w:r>
        <w:rPr>
          <w:rtl/>
        </w:rPr>
        <w:t>أعربت اللجنة، في ملاحظاتها الختامية السابقة (</w:t>
      </w:r>
      <w:r>
        <w:t>CEDAW/C/AZE/CO/4</w:t>
      </w:r>
      <w:r>
        <w:rPr>
          <w:rFonts w:hint="cs"/>
          <w:rtl/>
        </w:rPr>
        <w:t>، الفقرة 19</w:t>
      </w:r>
      <w:r>
        <w:rPr>
          <w:rtl/>
        </w:rPr>
        <w:t xml:space="preserve">)، عن قلقها إزاء وجود المواقف </w:t>
      </w:r>
      <w:r>
        <w:rPr>
          <w:rFonts w:hint="cs"/>
          <w:rtl/>
        </w:rPr>
        <w:t xml:space="preserve">تنم عن التسلط الأبوي والتنميطات </w:t>
      </w:r>
      <w:r>
        <w:rPr>
          <w:rtl/>
        </w:rPr>
        <w:t>المتجذّرة فيما</w:t>
      </w:r>
      <w:r>
        <w:rPr>
          <w:rFonts w:hint="cs"/>
          <w:rtl/>
        </w:rPr>
        <w:t> </w:t>
      </w:r>
      <w:r>
        <w:rPr>
          <w:rtl/>
        </w:rPr>
        <w:t>يتعلق بالأدوار المنوطة بال</w:t>
      </w:r>
      <w:r>
        <w:rPr>
          <w:rFonts w:hint="cs"/>
          <w:rtl/>
        </w:rPr>
        <w:t>مرأة والرجل</w:t>
      </w:r>
      <w:r>
        <w:rPr>
          <w:rtl/>
        </w:rPr>
        <w:t xml:space="preserve"> في الأسرة والمجتمع، التي تعد من الأسباب الجذرية لضعف وضع المرأة في الحياة السياسية وسوق العمل والتعليم ومجالات أخرى. ويُرجى تقديم معلومات عن رصد تنفيذ التدابير الحالية وتدابير أخرى تهدف إلى القضاء على مواقف </w:t>
      </w:r>
      <w:r>
        <w:rPr>
          <w:rFonts w:hint="cs"/>
          <w:rtl/>
        </w:rPr>
        <w:t>التسلط الأبوي</w:t>
      </w:r>
      <w:r>
        <w:rPr>
          <w:rtl/>
        </w:rPr>
        <w:t xml:space="preserve"> المستمرة </w:t>
      </w:r>
      <w:r>
        <w:rPr>
          <w:rFonts w:hint="cs"/>
          <w:rtl/>
        </w:rPr>
        <w:t>والتنميطات</w:t>
      </w:r>
      <w:r>
        <w:rPr>
          <w:rtl/>
        </w:rPr>
        <w:t xml:space="preserve"> المتجذرة فيما يتعلق بالأدوار المنوطة بال</w:t>
      </w:r>
      <w:r>
        <w:rPr>
          <w:rFonts w:hint="cs"/>
          <w:rtl/>
        </w:rPr>
        <w:t>مرأة والرجل</w:t>
      </w:r>
      <w:r>
        <w:rPr>
          <w:rtl/>
        </w:rPr>
        <w:t xml:space="preserve"> في الأسرة والمجتمع. ويُرجى تقديم معلومات عن تدابير اتخذت </w:t>
      </w:r>
      <w:r>
        <w:rPr>
          <w:rFonts w:hint="cs"/>
          <w:rtl/>
        </w:rPr>
        <w:t>لمكافحة التنميطات</w:t>
      </w:r>
      <w:r>
        <w:rPr>
          <w:rtl/>
        </w:rPr>
        <w:t xml:space="preserve"> التي تثير مواقف </w:t>
      </w:r>
      <w:r>
        <w:rPr>
          <w:rFonts w:hint="cs"/>
          <w:rtl/>
        </w:rPr>
        <w:t xml:space="preserve">تنزع إلى </w:t>
      </w:r>
      <w:r>
        <w:rPr>
          <w:rtl/>
        </w:rPr>
        <w:t xml:space="preserve">تفضيل </w:t>
      </w:r>
      <w:r>
        <w:rPr>
          <w:rFonts w:hint="cs"/>
          <w:rtl/>
        </w:rPr>
        <w:t xml:space="preserve">البنين التي تساهم بدورها </w:t>
      </w:r>
      <w:r>
        <w:rPr>
          <w:rtl/>
        </w:rPr>
        <w:t xml:space="preserve">في آفة انتشار الإجهاض </w:t>
      </w:r>
      <w:r>
        <w:rPr>
          <w:rFonts w:hint="cs"/>
          <w:rtl/>
        </w:rPr>
        <w:t>بسبب</w:t>
      </w:r>
      <w:r>
        <w:rPr>
          <w:rtl/>
        </w:rPr>
        <w:t xml:space="preserve"> جنس الجنين في الدولة الطرف (الفقرة 126)</w:t>
      </w:r>
      <w:r>
        <w:rPr>
          <w:rFonts w:hint="cs"/>
          <w:rtl/>
        </w:rPr>
        <w:t xml:space="preserve"> [</w:t>
      </w:r>
      <w:r>
        <w:t>CEDAW/C/AZE/5</w:t>
      </w:r>
      <w:r>
        <w:rPr>
          <w:rFonts w:hint="cs"/>
          <w:rtl/>
        </w:rPr>
        <w:t>]</w:t>
      </w:r>
      <w:r>
        <w:rPr>
          <w:rtl/>
        </w:rPr>
        <w:t xml:space="preserve">. ويُرجى تقديم معلومات عن التدابير المتخذة لإزالة </w:t>
      </w:r>
      <w:r>
        <w:rPr>
          <w:rFonts w:hint="cs"/>
          <w:rtl/>
        </w:rPr>
        <w:t>التنميطات</w:t>
      </w:r>
      <w:r>
        <w:rPr>
          <w:rtl/>
        </w:rPr>
        <w:t xml:space="preserve"> الجنسانية من الكتب المدرسية والمواد التعليمية، والتصدي للتصوير النمطي </w:t>
      </w:r>
      <w:r>
        <w:rPr>
          <w:rFonts w:hint="cs"/>
          <w:rtl/>
        </w:rPr>
        <w:t>للمرأة</w:t>
      </w:r>
      <w:r>
        <w:rPr>
          <w:rtl/>
        </w:rPr>
        <w:t xml:space="preserve"> في وسائط الإعلام.</w:t>
      </w:r>
    </w:p>
    <w:p w:rsidR="00A040F4" w:rsidRDefault="00A040F4" w:rsidP="00AF5831">
      <w:pPr>
        <w:pStyle w:val="SingleTxt"/>
        <w:rPr>
          <w:rtl/>
        </w:rPr>
      </w:pPr>
      <w:r>
        <w:rPr>
          <w:rtl/>
        </w:rPr>
        <w:t>7 -</w:t>
      </w:r>
      <w:r>
        <w:rPr>
          <w:rFonts w:hint="cs"/>
          <w:rtl/>
        </w:rPr>
        <w:tab/>
      </w:r>
      <w:r>
        <w:rPr>
          <w:rtl/>
        </w:rPr>
        <w:t xml:space="preserve">ذكر التقرير أنه أُجري بحث عن الزواج المبكر/زواج الأطفال ونُظمت عروض بشأن </w:t>
      </w:r>
      <w:r w:rsidR="00B53E51">
        <w:rPr>
          <w:rFonts w:hint="cs"/>
          <w:rtl/>
        </w:rPr>
        <w:t>النتائج</w:t>
      </w:r>
      <w:r>
        <w:rPr>
          <w:rtl/>
        </w:rPr>
        <w:t xml:space="preserve"> المستخلصة في عدة مناطق من خلال مجموعات التركيز</w:t>
      </w:r>
      <w:r w:rsidR="00B53E51">
        <w:rPr>
          <w:rFonts w:hint="cs"/>
          <w:rtl/>
        </w:rPr>
        <w:t xml:space="preserve"> </w:t>
      </w:r>
      <w:r w:rsidR="00AF5831">
        <w:rPr>
          <w:rFonts w:hint="cs"/>
          <w:rtl/>
        </w:rPr>
        <w:t>(</w:t>
      </w:r>
      <w:r w:rsidR="00B53E51">
        <w:rPr>
          <w:rFonts w:hint="cs"/>
          <w:rtl/>
        </w:rPr>
        <w:t>الفقرة 27</w:t>
      </w:r>
      <w:r w:rsidR="00AF5831">
        <w:rPr>
          <w:rFonts w:hint="cs"/>
          <w:rtl/>
        </w:rPr>
        <w:t>)</w:t>
      </w:r>
      <w:r>
        <w:rPr>
          <w:rtl/>
        </w:rPr>
        <w:t xml:space="preserve">. </w:t>
      </w:r>
      <w:r w:rsidR="00B53E51">
        <w:rPr>
          <w:rFonts w:hint="cs"/>
          <w:rtl/>
        </w:rPr>
        <w:t xml:space="preserve">ويُرجى تقديم المزيد من المعلومات عن تلك النتائج، بما في ذلك البيانات المصنّفة حسب الجنس  والجماعة الإثنية والمناطق. </w:t>
      </w:r>
      <w:r>
        <w:rPr>
          <w:rtl/>
        </w:rPr>
        <w:t>ويُرجى أيضاً تقديم معلومات عن التدابير الخاصة المتخذة لمكافحة الزواج المبكر/زواج الأطفال، ولا</w:t>
      </w:r>
      <w:r w:rsidR="00AF5831">
        <w:rPr>
          <w:rFonts w:hint="cs"/>
          <w:rtl/>
        </w:rPr>
        <w:t xml:space="preserve"> </w:t>
      </w:r>
      <w:r>
        <w:rPr>
          <w:rtl/>
        </w:rPr>
        <w:t>سيما بين المشردين داخليا في الدولة الطرف.</w:t>
      </w:r>
    </w:p>
    <w:p w:rsidR="00B53E51" w:rsidRPr="00B53E51" w:rsidRDefault="00B53E51" w:rsidP="00B53E51">
      <w:pPr>
        <w:pStyle w:val="SingleTxt"/>
        <w:spacing w:after="0" w:line="120" w:lineRule="exact"/>
        <w:rPr>
          <w:sz w:val="12"/>
          <w:rtl/>
        </w:rPr>
      </w:pPr>
    </w:p>
    <w:p w:rsidR="00A040F4" w:rsidRDefault="00B53E51" w:rsidP="00B53E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040F4">
        <w:rPr>
          <w:rtl/>
        </w:rPr>
        <w:t xml:space="preserve">العنف ضد المرأة </w:t>
      </w:r>
    </w:p>
    <w:p w:rsidR="00A040F4" w:rsidRDefault="00A040F4" w:rsidP="00B53E51">
      <w:pPr>
        <w:pStyle w:val="SingleTxt"/>
        <w:rPr>
          <w:rtl/>
        </w:rPr>
      </w:pPr>
      <w:r>
        <w:rPr>
          <w:rtl/>
        </w:rPr>
        <w:t>8 -</w:t>
      </w:r>
      <w:r w:rsidR="00B53E51">
        <w:rPr>
          <w:rFonts w:hint="cs"/>
          <w:rtl/>
        </w:rPr>
        <w:tab/>
      </w:r>
      <w:r>
        <w:rPr>
          <w:rtl/>
        </w:rPr>
        <w:t xml:space="preserve">يشير التقرير إلى أنه، </w:t>
      </w:r>
      <w:r w:rsidR="00B53E51">
        <w:rPr>
          <w:rFonts w:hint="cs"/>
          <w:rtl/>
        </w:rPr>
        <w:t>عطفا على</w:t>
      </w:r>
      <w:r>
        <w:rPr>
          <w:rtl/>
        </w:rPr>
        <w:t xml:space="preserve"> التوصيات السابقة للجنة، اعتمدت الدولة الطرف قانوناً بشأن منع العنف </w:t>
      </w:r>
      <w:r w:rsidR="00B53E51">
        <w:rPr>
          <w:rFonts w:hint="cs"/>
          <w:rtl/>
        </w:rPr>
        <w:t xml:space="preserve">العائلي </w:t>
      </w:r>
      <w:r>
        <w:rPr>
          <w:rtl/>
        </w:rPr>
        <w:t xml:space="preserve">وقامت </w:t>
      </w:r>
      <w:r w:rsidR="00B53E51">
        <w:rPr>
          <w:rFonts w:hint="cs"/>
          <w:rtl/>
        </w:rPr>
        <w:t>في عام 2008 [</w:t>
      </w:r>
      <w:hyperlink r:id="rId19" w:history="1">
        <w:r w:rsidR="00B53E51" w:rsidRPr="00101F30">
          <w:rPr>
            <w:rStyle w:val="Hyperlink"/>
          </w:rPr>
          <w:t>CEDAW/C/AZE/5</w:t>
        </w:r>
      </w:hyperlink>
      <w:r w:rsidR="00B53E51">
        <w:rPr>
          <w:rFonts w:hint="cs"/>
          <w:rtl/>
        </w:rPr>
        <w:t xml:space="preserve">] </w:t>
      </w:r>
      <w:r>
        <w:rPr>
          <w:rtl/>
        </w:rPr>
        <w:t>بدراسة استقصائية وطنية خاصة عن انتشار العنف وأسبابه الجذرية وعواقبه (الفقرتان 29 و</w:t>
      </w:r>
      <w:r w:rsidR="00B53E51">
        <w:rPr>
          <w:rFonts w:hint="cs"/>
          <w:rtl/>
        </w:rPr>
        <w:t xml:space="preserve"> </w:t>
      </w:r>
      <w:r>
        <w:rPr>
          <w:rtl/>
        </w:rPr>
        <w:t>30). ويُرجى تقديم معلومات مفصلة عن النتائج التي خلصت إليها الدراسة الاستقصائية والتدابير المتخذة للتصدي للعنف ضد المرأة. ويُرجى تقديم معلومات عن التحديات</w:t>
      </w:r>
      <w:r w:rsidR="00B53E51">
        <w:rPr>
          <w:rFonts w:hint="cs"/>
          <w:rtl/>
        </w:rPr>
        <w:t xml:space="preserve"> القائمة</w:t>
      </w:r>
      <w:r>
        <w:rPr>
          <w:rtl/>
        </w:rPr>
        <w:t xml:space="preserve"> والنجاحات المنجزة في تنفيذ الاستراتيجية الوطنية لمكافحة العنف </w:t>
      </w:r>
      <w:r w:rsidR="00B53E51">
        <w:rPr>
          <w:rFonts w:hint="cs"/>
          <w:rtl/>
        </w:rPr>
        <w:t>العائلي</w:t>
      </w:r>
      <w:r>
        <w:rPr>
          <w:rtl/>
        </w:rPr>
        <w:t xml:space="preserve"> (الفقرة 31)</w:t>
      </w:r>
      <w:r w:rsidR="00E91E6F">
        <w:rPr>
          <w:rFonts w:hint="cs"/>
          <w:rtl/>
        </w:rPr>
        <w:t xml:space="preserve"> </w:t>
      </w:r>
      <w:hyperlink r:id="rId20" w:history="1">
        <w:r w:rsidR="00E91E6F" w:rsidRPr="00101F30">
          <w:rPr>
            <w:rStyle w:val="Hyperlink"/>
          </w:rPr>
          <w:t>CEDAW/C/AZE/5</w:t>
        </w:r>
      </w:hyperlink>
      <w:r>
        <w:rPr>
          <w:rtl/>
        </w:rPr>
        <w:t xml:space="preserve">. ويُرجى بيان الخطوات المتخذة </w:t>
      </w:r>
      <w:r w:rsidR="00B53E51">
        <w:rPr>
          <w:rFonts w:hint="cs"/>
          <w:rtl/>
        </w:rPr>
        <w:t>لمراجعة</w:t>
      </w:r>
      <w:r>
        <w:rPr>
          <w:rtl/>
        </w:rPr>
        <w:t xml:space="preserve"> التعريف القانوني للاغتصاب في القانون الجنائي </w:t>
      </w:r>
      <w:r w:rsidR="00B53E51">
        <w:rPr>
          <w:rFonts w:hint="cs"/>
          <w:rtl/>
        </w:rPr>
        <w:t xml:space="preserve">[انظر الفقرة 21 من الوثيقة </w:t>
      </w:r>
      <w:hyperlink r:id="rId21" w:history="1">
        <w:r w:rsidR="00B53E51" w:rsidRPr="00101F30">
          <w:rPr>
            <w:rStyle w:val="Hyperlink"/>
          </w:rPr>
          <w:t>CEDAW/C/AZE/</w:t>
        </w:r>
        <w:r w:rsidR="00B53E51">
          <w:rPr>
            <w:rStyle w:val="Hyperlink"/>
          </w:rPr>
          <w:t>4</w:t>
        </w:r>
      </w:hyperlink>
      <w:r w:rsidR="00B53E51">
        <w:rPr>
          <w:rFonts w:hint="cs"/>
          <w:rtl/>
        </w:rPr>
        <w:t xml:space="preserve">] </w:t>
      </w:r>
      <w:r w:rsidR="00B53E51">
        <w:rPr>
          <w:rtl/>
        </w:rPr>
        <w:t xml:space="preserve">بغية تأسيسه على انعدام </w:t>
      </w:r>
      <w:r>
        <w:rPr>
          <w:rtl/>
        </w:rPr>
        <w:t>الموافقة بدلاً من استعمال القوة.</w:t>
      </w:r>
    </w:p>
    <w:p w:rsidR="00A040F4" w:rsidRDefault="00A040F4" w:rsidP="00B53E51">
      <w:pPr>
        <w:pStyle w:val="SingleTxt"/>
        <w:rPr>
          <w:rtl/>
        </w:rPr>
      </w:pPr>
      <w:r>
        <w:rPr>
          <w:rtl/>
        </w:rPr>
        <w:t>9 -</w:t>
      </w:r>
      <w:r>
        <w:rPr>
          <w:rtl/>
        </w:rPr>
        <w:tab/>
      </w:r>
      <w:r w:rsidR="00B53E51">
        <w:rPr>
          <w:rFonts w:hint="cs"/>
          <w:rtl/>
        </w:rPr>
        <w:t>و</w:t>
      </w:r>
      <w:r>
        <w:rPr>
          <w:rtl/>
        </w:rPr>
        <w:t xml:space="preserve">وفقاً للمعلومات الواردة، تشجع الدولة الطرف الوساطة والمصالحة بدلاً من المقاضاة في المسائل التي تقع تحت قانون منع العنف </w:t>
      </w:r>
      <w:r w:rsidR="00B53E51">
        <w:rPr>
          <w:rFonts w:hint="cs"/>
          <w:rtl/>
        </w:rPr>
        <w:t>العائلي</w:t>
      </w:r>
      <w:r>
        <w:rPr>
          <w:rtl/>
        </w:rPr>
        <w:t xml:space="preserve">. ويُرجى تقديم بيانات عن عدد أوامر الحماية التي أصدرت والشكاوى والمحاكمات والإدانات فيما يتعلق بالعنف </w:t>
      </w:r>
      <w:r w:rsidR="00B53E51">
        <w:rPr>
          <w:rFonts w:hint="cs"/>
          <w:rtl/>
        </w:rPr>
        <w:t>العائلي</w:t>
      </w:r>
      <w:r>
        <w:rPr>
          <w:rtl/>
        </w:rPr>
        <w:t xml:space="preserve"> منذ اعتماد القانون (الفقرة 29</w:t>
      </w:r>
      <w:r w:rsidR="00B53E51">
        <w:rPr>
          <w:rFonts w:hint="cs"/>
          <w:rtl/>
        </w:rPr>
        <w:t>) [</w:t>
      </w:r>
      <w:hyperlink r:id="rId22" w:history="1">
        <w:r w:rsidR="00B53E51" w:rsidRPr="00101F30">
          <w:rPr>
            <w:rStyle w:val="Hyperlink"/>
          </w:rPr>
          <w:t>CEDAW/C/AZE/5</w:t>
        </w:r>
      </w:hyperlink>
      <w:r w:rsidR="00B53E51">
        <w:rPr>
          <w:rFonts w:hint="cs"/>
          <w:rtl/>
        </w:rPr>
        <w:t>]</w:t>
      </w:r>
      <w:r>
        <w:rPr>
          <w:rtl/>
        </w:rPr>
        <w:t xml:space="preserve">. ويُرجى تقديم معلومات عن توافر بيانات المتابعة بشأن هذه الأوامر، والنسبة المئوية للأوامر المنتهكة والنسبة المئوية للأوامر التي تؤدي إلى </w:t>
      </w:r>
      <w:r w:rsidR="00B53E51">
        <w:rPr>
          <w:rFonts w:hint="cs"/>
          <w:rtl/>
        </w:rPr>
        <w:t>ال</w:t>
      </w:r>
      <w:r>
        <w:rPr>
          <w:rtl/>
        </w:rPr>
        <w:t xml:space="preserve">محاكمة والنتائج التي تسفر عنها المحاكمات. ويُرجى </w:t>
      </w:r>
      <w:r w:rsidR="00B53E51">
        <w:rPr>
          <w:rFonts w:hint="cs"/>
          <w:rtl/>
        </w:rPr>
        <w:t xml:space="preserve">أيضا </w:t>
      </w:r>
      <w:r>
        <w:rPr>
          <w:rtl/>
        </w:rPr>
        <w:t xml:space="preserve">تقديم معلومات </w:t>
      </w:r>
      <w:r w:rsidR="00B53E51">
        <w:rPr>
          <w:rFonts w:hint="cs"/>
          <w:rtl/>
        </w:rPr>
        <w:t>[</w:t>
      </w:r>
      <w:hyperlink r:id="rId23" w:history="1">
        <w:r w:rsidR="00B53E51" w:rsidRPr="00101F30">
          <w:rPr>
            <w:rStyle w:val="Hyperlink"/>
          </w:rPr>
          <w:t>CEDAW/C/AZE/5</w:t>
        </w:r>
      </w:hyperlink>
      <w:r w:rsidR="00B53E51">
        <w:rPr>
          <w:rFonts w:hint="cs"/>
          <w:rtl/>
        </w:rPr>
        <w:t>]</w:t>
      </w:r>
      <w:r>
        <w:rPr>
          <w:rtl/>
        </w:rPr>
        <w:t xml:space="preserve"> عن عدد الملاجئ في الدولة الطرف وطبيعة تمويلها.</w:t>
      </w:r>
    </w:p>
    <w:p w:rsidR="00A040F4" w:rsidRPr="00B53E51" w:rsidRDefault="00A040F4" w:rsidP="00B53E51">
      <w:pPr>
        <w:pStyle w:val="SingleTxt"/>
        <w:spacing w:after="0" w:line="120" w:lineRule="exact"/>
        <w:rPr>
          <w:sz w:val="12"/>
          <w:rtl/>
        </w:rPr>
      </w:pPr>
    </w:p>
    <w:p w:rsidR="00A040F4" w:rsidRDefault="00B53E51" w:rsidP="00B53E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040F4">
        <w:rPr>
          <w:rtl/>
        </w:rPr>
        <w:t>الاتجار بالمرأة واستغلالها في البغاء</w:t>
      </w:r>
    </w:p>
    <w:p w:rsidR="00A040F4" w:rsidRDefault="00A040F4" w:rsidP="00B53E51">
      <w:pPr>
        <w:pStyle w:val="SingleTxt"/>
        <w:rPr>
          <w:rtl/>
        </w:rPr>
      </w:pPr>
      <w:r>
        <w:rPr>
          <w:rtl/>
        </w:rPr>
        <w:t>10 -</w:t>
      </w:r>
      <w:r w:rsidR="00B53E51">
        <w:rPr>
          <w:rFonts w:hint="cs"/>
          <w:rtl/>
        </w:rPr>
        <w:tab/>
      </w:r>
      <w:r>
        <w:rPr>
          <w:rtl/>
        </w:rPr>
        <w:t xml:space="preserve">ترُكز التحديات الرئيسية التي حددتها الدولة الطرف في مجال الاتجار بالمرأة على الحاجة </w:t>
      </w:r>
      <w:r w:rsidR="00B53E51">
        <w:rPr>
          <w:rFonts w:hint="cs"/>
          <w:rtl/>
        </w:rPr>
        <w:t xml:space="preserve">إلى الكفاءة في </w:t>
      </w:r>
      <w:r>
        <w:rPr>
          <w:rtl/>
        </w:rPr>
        <w:t xml:space="preserve">نظام العدالة الجنائية في التحقيق مع </w:t>
      </w:r>
      <w:r w:rsidR="00B53E51">
        <w:rPr>
          <w:rFonts w:hint="cs"/>
          <w:rtl/>
        </w:rPr>
        <w:t>المتجرين</w:t>
      </w:r>
      <w:r>
        <w:rPr>
          <w:rtl/>
        </w:rPr>
        <w:t xml:space="preserve"> ومقاضاتهم ومعاقبتهم وزيادة فهم المسؤولين للأبعاد الجنسانية للاتجار بالبشر (الفقرة 35). ويُرجى تقديم معلومات عن التدابير الخاصة التي تنفذ من أجل التصدي لهذه التحديات. ويُرجى بيان </w:t>
      </w:r>
      <w:r w:rsidR="00B53E51">
        <w:rPr>
          <w:rFonts w:hint="cs"/>
          <w:rtl/>
        </w:rPr>
        <w:t>الإطار</w:t>
      </w:r>
      <w:r>
        <w:rPr>
          <w:rtl/>
        </w:rPr>
        <w:t xml:space="preserve"> الزمني والأولوية التي تمنح لجهود مكافحة الاتجار. ويُرجى توضيح الجهود الخاصة المبذولة لتوطيد التعاون والعمل المتضافر الذي تقوم به سلطات ومؤسسات إنفاذ القانون بهدف تفكيك الشبكات الوطنية والإقليمية والدولية للاتجار بالمرأة (الفقرة 37)</w:t>
      </w:r>
      <w:r w:rsidR="00B53E51">
        <w:rPr>
          <w:rFonts w:hint="cs"/>
          <w:rtl/>
        </w:rPr>
        <w:t xml:space="preserve"> [</w:t>
      </w:r>
      <w:hyperlink r:id="rId24" w:history="1">
        <w:r w:rsidR="00B53E51" w:rsidRPr="00101F30">
          <w:rPr>
            <w:rStyle w:val="Hyperlink"/>
          </w:rPr>
          <w:t>CEDAW/C/AZE/5</w:t>
        </w:r>
      </w:hyperlink>
      <w:r w:rsidR="00B53E51">
        <w:rPr>
          <w:rFonts w:hint="cs"/>
          <w:rtl/>
        </w:rPr>
        <w:t>]</w:t>
      </w:r>
      <w:r>
        <w:rPr>
          <w:rtl/>
        </w:rPr>
        <w:t>.</w:t>
      </w:r>
    </w:p>
    <w:p w:rsidR="00A040F4" w:rsidRDefault="00B53E51" w:rsidP="00AF5831">
      <w:pPr>
        <w:pStyle w:val="SingleTxt"/>
        <w:rPr>
          <w:rtl/>
        </w:rPr>
      </w:pPr>
      <w:r>
        <w:rPr>
          <w:rFonts w:hint="cs"/>
          <w:rtl/>
        </w:rPr>
        <w:t>1</w:t>
      </w:r>
      <w:r w:rsidR="00A040F4">
        <w:rPr>
          <w:rtl/>
        </w:rPr>
        <w:t>1 -</w:t>
      </w:r>
      <w:r>
        <w:rPr>
          <w:rFonts w:hint="cs"/>
          <w:rtl/>
        </w:rPr>
        <w:tab/>
      </w:r>
      <w:r w:rsidR="00A040F4">
        <w:rPr>
          <w:rtl/>
        </w:rPr>
        <w:t xml:space="preserve">يشير التقرير إلى أن الدولة الطرف اتخذت تدابير لمعالجة العوامل الجذرية، بما في ذلك العوامل الخارجية، التي تشجع الاتجار بالنساء والفتيات لأغراض الدعارة وغيرها من أشكال الجنس التجاري، والزواج </w:t>
      </w:r>
      <w:r>
        <w:rPr>
          <w:rFonts w:hint="cs"/>
          <w:rtl/>
        </w:rPr>
        <w:t>بالإكراه</w:t>
      </w:r>
      <w:r w:rsidR="00A040F4">
        <w:rPr>
          <w:rtl/>
        </w:rPr>
        <w:t>، والسخرة، بغية القضاء على الاتجار بال</w:t>
      </w:r>
      <w:r>
        <w:rPr>
          <w:rFonts w:hint="cs"/>
          <w:rtl/>
        </w:rPr>
        <w:t>مرأة</w:t>
      </w:r>
      <w:r w:rsidR="00A040F4">
        <w:rPr>
          <w:rtl/>
        </w:rPr>
        <w:t xml:space="preserve"> (الفقرة 37). ويُرجى تقديم معلومات مفصلة عن هذه التدابير الخاصة والتقدم المحرز في القضاء على الاتجار </w:t>
      </w:r>
      <w:r>
        <w:rPr>
          <w:rFonts w:hint="cs"/>
          <w:rtl/>
        </w:rPr>
        <w:t>بالمرأة</w:t>
      </w:r>
      <w:r w:rsidR="00A040F4">
        <w:rPr>
          <w:rtl/>
        </w:rPr>
        <w:t xml:space="preserve"> لأغراض الدعارة</w:t>
      </w:r>
      <w:r>
        <w:rPr>
          <w:rFonts w:hint="cs"/>
          <w:rtl/>
        </w:rPr>
        <w:t xml:space="preserve"> و</w:t>
      </w:r>
      <w:r>
        <w:rPr>
          <w:rtl/>
        </w:rPr>
        <w:t>السخرة.</w:t>
      </w:r>
    </w:p>
    <w:p w:rsidR="00A040F4" w:rsidRDefault="00A040F4" w:rsidP="00AF5831">
      <w:pPr>
        <w:pStyle w:val="SingleTxt"/>
        <w:rPr>
          <w:rtl/>
        </w:rPr>
      </w:pPr>
      <w:r>
        <w:rPr>
          <w:rtl/>
        </w:rPr>
        <w:t>12 -</w:t>
      </w:r>
      <w:r w:rsidR="00B53E51">
        <w:rPr>
          <w:rFonts w:hint="cs"/>
          <w:rtl/>
        </w:rPr>
        <w:tab/>
      </w:r>
      <w:r>
        <w:rPr>
          <w:rtl/>
        </w:rPr>
        <w:t xml:space="preserve">ورد في التقرير أن الملاجئ والمراكز التي تقدم المساعدة لضحايا الاتجار بالبشر </w:t>
      </w:r>
      <w:r w:rsidR="00B53E51">
        <w:rPr>
          <w:rFonts w:hint="cs"/>
          <w:rtl/>
        </w:rPr>
        <w:t xml:space="preserve">قد </w:t>
      </w:r>
      <w:r>
        <w:rPr>
          <w:rtl/>
        </w:rPr>
        <w:t xml:space="preserve">أُنشئت بصفتها منشآت </w:t>
      </w:r>
      <w:r w:rsidR="00B53E51">
        <w:rPr>
          <w:rFonts w:hint="cs"/>
          <w:rtl/>
        </w:rPr>
        <w:t xml:space="preserve">خاصة </w:t>
      </w:r>
      <w:r>
        <w:rPr>
          <w:rtl/>
        </w:rPr>
        <w:t>لضمان حماية الضحايا (الفقرة 45 (ج))</w:t>
      </w:r>
      <w:r w:rsidR="00392568">
        <w:rPr>
          <w:rFonts w:hint="cs"/>
          <w:rtl/>
        </w:rPr>
        <w:t xml:space="preserve"> [</w:t>
      </w:r>
      <w:hyperlink r:id="rId25" w:history="1">
        <w:r w:rsidR="00392568" w:rsidRPr="00101F30">
          <w:rPr>
            <w:rStyle w:val="Hyperlink"/>
          </w:rPr>
          <w:t>CEDAW/C/AZE/5</w:t>
        </w:r>
      </w:hyperlink>
      <w:r w:rsidR="00392568">
        <w:rPr>
          <w:rFonts w:hint="cs"/>
          <w:rtl/>
        </w:rPr>
        <w:t>]</w:t>
      </w:r>
      <w:r>
        <w:rPr>
          <w:rtl/>
        </w:rPr>
        <w:t xml:space="preserve">. ويُرجى تقديم معلومات عن عدد الملاجئ الإضافية التي أنشئت وتلك الموجودة بالفعل في الدولة الطرف، وكذلك طبيعة تمويلها. وما هي التدابير الخاصة التي اتخذت لتحسين إطار السياسة بشأن الآلية </w:t>
      </w:r>
      <w:r w:rsidR="00392568">
        <w:rPr>
          <w:rtl/>
        </w:rPr>
        <w:t>الوطنية للإحالة لمكافحة الاتجار</w:t>
      </w:r>
      <w:r w:rsidR="00392568">
        <w:rPr>
          <w:rFonts w:hint="cs"/>
          <w:rtl/>
        </w:rPr>
        <w:t> </w:t>
      </w:r>
      <w:r w:rsidR="00392568">
        <w:rPr>
          <w:rtl/>
        </w:rPr>
        <w:t>بالبشر</w:t>
      </w:r>
      <w:r w:rsidR="00392568">
        <w:rPr>
          <w:rFonts w:hint="cs"/>
          <w:rtl/>
        </w:rPr>
        <w:t>.</w:t>
      </w:r>
    </w:p>
    <w:p w:rsidR="00392568" w:rsidRPr="00392568" w:rsidRDefault="00392568" w:rsidP="00392568">
      <w:pPr>
        <w:pStyle w:val="SingleTxt"/>
        <w:spacing w:after="0" w:line="120" w:lineRule="exact"/>
        <w:rPr>
          <w:sz w:val="12"/>
          <w:rtl/>
        </w:rPr>
      </w:pPr>
    </w:p>
    <w:p w:rsidR="00A040F4" w:rsidRDefault="00392568" w:rsidP="003925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040F4">
        <w:rPr>
          <w:rtl/>
        </w:rPr>
        <w:t xml:space="preserve">المشاركة في الحياة </w:t>
      </w:r>
      <w:r>
        <w:rPr>
          <w:rFonts w:hint="cs"/>
          <w:rtl/>
        </w:rPr>
        <w:t>السياسية و</w:t>
      </w:r>
      <w:r>
        <w:rPr>
          <w:rtl/>
        </w:rPr>
        <w:t>العامة</w:t>
      </w:r>
    </w:p>
    <w:p w:rsidR="00A040F4" w:rsidRPr="00BD51B5" w:rsidRDefault="00A040F4" w:rsidP="00E91E6F">
      <w:pPr>
        <w:pStyle w:val="SingleTxt"/>
        <w:rPr>
          <w:w w:val="100"/>
          <w:rtl/>
        </w:rPr>
      </w:pPr>
      <w:r>
        <w:rPr>
          <w:rtl/>
        </w:rPr>
        <w:t>13 -</w:t>
      </w:r>
      <w:r w:rsidR="00392568">
        <w:rPr>
          <w:rFonts w:hint="cs"/>
          <w:rtl/>
        </w:rPr>
        <w:tab/>
      </w:r>
      <w:r w:rsidRPr="00BD51B5">
        <w:rPr>
          <w:w w:val="100"/>
          <w:rtl/>
        </w:rPr>
        <w:t>ذكر التقرير أن المرأة لا تزال ممثلة تمثيلا ناقصاً في الجمعية الوطنية ومناصب صنع القرار والمستويات العليا للخدمة المدنية والجهاز القضائي والمستوى الدولي (الفقرات 53</w:t>
      </w:r>
      <w:r w:rsidR="00392568" w:rsidRPr="00BD51B5">
        <w:rPr>
          <w:rFonts w:hint="cs"/>
          <w:w w:val="100"/>
          <w:rtl/>
        </w:rPr>
        <w:t>-</w:t>
      </w:r>
      <w:r w:rsidRPr="00BD51B5">
        <w:rPr>
          <w:w w:val="100"/>
          <w:rtl/>
        </w:rPr>
        <w:t>61 و</w:t>
      </w:r>
      <w:r w:rsidR="00BD51B5">
        <w:rPr>
          <w:rFonts w:hint="eastAsia"/>
          <w:w w:val="100"/>
          <w:rtl/>
        </w:rPr>
        <w:t> </w:t>
      </w:r>
      <w:r w:rsidRPr="00BD51B5">
        <w:rPr>
          <w:w w:val="100"/>
          <w:rtl/>
        </w:rPr>
        <w:t>69–70)</w:t>
      </w:r>
      <w:r w:rsidR="00392568" w:rsidRPr="00BD51B5">
        <w:rPr>
          <w:rFonts w:hint="cs"/>
          <w:w w:val="100"/>
          <w:rtl/>
        </w:rPr>
        <w:t xml:space="preserve"> [</w:t>
      </w:r>
      <w:hyperlink r:id="rId26" w:history="1">
        <w:r w:rsidR="00392568" w:rsidRPr="00BD51B5">
          <w:rPr>
            <w:rStyle w:val="Hyperlink"/>
            <w:w w:val="100"/>
          </w:rPr>
          <w:t>CEDAW/C/AZE/5</w:t>
        </w:r>
      </w:hyperlink>
      <w:r w:rsidR="00392568" w:rsidRPr="00BD51B5">
        <w:rPr>
          <w:rFonts w:hint="cs"/>
          <w:w w:val="100"/>
          <w:rtl/>
        </w:rPr>
        <w:t>].</w:t>
      </w:r>
      <w:r w:rsidRPr="00BD51B5">
        <w:rPr>
          <w:w w:val="100"/>
          <w:rtl/>
        </w:rPr>
        <w:t xml:space="preserve"> ويُرجى تقديم معلومات عن التدابير الخاصة التي اتخذت لتحسين</w:t>
      </w:r>
      <w:r w:rsidR="00392568" w:rsidRPr="00BD51B5">
        <w:rPr>
          <w:w w:val="100"/>
          <w:rtl/>
        </w:rPr>
        <w:t xml:space="preserve"> تمثيل المرأة في الحياة </w:t>
      </w:r>
      <w:r w:rsidRPr="00BD51B5">
        <w:rPr>
          <w:w w:val="100"/>
          <w:rtl/>
        </w:rPr>
        <w:t>السياسية</w:t>
      </w:r>
      <w:r w:rsidR="00392568" w:rsidRPr="00BD51B5">
        <w:rPr>
          <w:rFonts w:hint="cs"/>
          <w:w w:val="100"/>
          <w:rtl/>
        </w:rPr>
        <w:t xml:space="preserve"> والعامة</w:t>
      </w:r>
      <w:r w:rsidRPr="00BD51B5">
        <w:rPr>
          <w:w w:val="100"/>
          <w:rtl/>
        </w:rPr>
        <w:t xml:space="preserve">. ويُرجى تقديم معلومات عن التدابير الخاصة المؤقتة القائمة، بما في ذلك الحصص المخصصة التي تهدف إلى تحسين تمثيل المرأة في مجالات الحياة العامة والسياسية ومناصب صنع القرار، ولاسيما في الخدمة المدنية والجهاز القضائي. وما هي التدابير التي اتخذت لتنفيذ المادة 8 من قانون الأحزاب السياسية </w:t>
      </w:r>
      <w:r w:rsidR="00392568" w:rsidRPr="00BD51B5">
        <w:rPr>
          <w:rFonts w:hint="cs"/>
          <w:w w:val="100"/>
          <w:rtl/>
        </w:rPr>
        <w:t xml:space="preserve">[قانون جمهورية أذربيجان بشأن </w:t>
      </w:r>
      <w:r w:rsidR="00392568" w:rsidRPr="00BD51B5">
        <w:rPr>
          <w:rFonts w:hint="eastAsia"/>
          <w:w w:val="100"/>
          <w:rtl/>
        </w:rPr>
        <w:t>”الأحزاب السياسية</w:t>
      </w:r>
      <w:r w:rsidR="00392568" w:rsidRPr="00BD51B5">
        <w:rPr>
          <w:rFonts w:hint="cs"/>
          <w:w w:val="100"/>
          <w:rtl/>
        </w:rPr>
        <w:t xml:space="preserve">“ في الفقرة 13 من الوثيقة </w:t>
      </w:r>
      <w:hyperlink r:id="rId27" w:history="1">
        <w:r w:rsidR="00392568" w:rsidRPr="00BD51B5">
          <w:rPr>
            <w:rStyle w:val="Hyperlink"/>
            <w:w w:val="100"/>
          </w:rPr>
          <w:t>CEDAW/C/AZE/</w:t>
        </w:r>
        <w:r w:rsidR="00E91E6F">
          <w:rPr>
            <w:rStyle w:val="Hyperlink"/>
            <w:w w:val="100"/>
          </w:rPr>
          <w:t>4</w:t>
        </w:r>
      </w:hyperlink>
      <w:r w:rsidR="00392568" w:rsidRPr="00BD51B5">
        <w:rPr>
          <w:rFonts w:hint="cs"/>
          <w:w w:val="100"/>
          <w:rtl/>
        </w:rPr>
        <w:t xml:space="preserve">] </w:t>
      </w:r>
      <w:r w:rsidRPr="00BD51B5">
        <w:rPr>
          <w:w w:val="100"/>
          <w:rtl/>
        </w:rPr>
        <w:t xml:space="preserve">لضمان المشاركة المتساوية </w:t>
      </w:r>
      <w:r w:rsidR="00392568" w:rsidRPr="00BD51B5">
        <w:rPr>
          <w:rFonts w:hint="cs"/>
          <w:w w:val="100"/>
          <w:rtl/>
        </w:rPr>
        <w:t>للمرأة</w:t>
      </w:r>
      <w:r w:rsidR="00392568" w:rsidRPr="00BD51B5">
        <w:rPr>
          <w:w w:val="100"/>
          <w:rtl/>
        </w:rPr>
        <w:t xml:space="preserve"> في السياسة</w:t>
      </w:r>
      <w:r w:rsidR="00392568" w:rsidRPr="00BD51B5">
        <w:rPr>
          <w:rFonts w:hint="cs"/>
          <w:w w:val="100"/>
          <w:rtl/>
        </w:rPr>
        <w:t>.</w:t>
      </w:r>
    </w:p>
    <w:p w:rsidR="00A040F4" w:rsidRPr="00392568" w:rsidRDefault="00A040F4" w:rsidP="00392568">
      <w:pPr>
        <w:pStyle w:val="SingleTxt"/>
        <w:spacing w:after="0" w:line="120" w:lineRule="exact"/>
        <w:rPr>
          <w:sz w:val="12"/>
          <w:rtl/>
        </w:rPr>
      </w:pPr>
    </w:p>
    <w:p w:rsidR="00A040F4" w:rsidRDefault="00392568" w:rsidP="003925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040F4">
        <w:rPr>
          <w:rtl/>
        </w:rPr>
        <w:t xml:space="preserve">التعليم </w:t>
      </w:r>
    </w:p>
    <w:p w:rsidR="00A040F4" w:rsidRDefault="00A040F4" w:rsidP="00E91E6F">
      <w:pPr>
        <w:pStyle w:val="SingleTxt"/>
        <w:rPr>
          <w:rtl/>
        </w:rPr>
      </w:pPr>
      <w:r>
        <w:rPr>
          <w:rtl/>
        </w:rPr>
        <w:t>14 -</w:t>
      </w:r>
      <w:r w:rsidR="00392568">
        <w:rPr>
          <w:rFonts w:hint="cs"/>
          <w:rtl/>
        </w:rPr>
        <w:tab/>
      </w:r>
      <w:r>
        <w:rPr>
          <w:rtl/>
        </w:rPr>
        <w:t xml:space="preserve">يُرجى تقديم معلومات عن التدابير الخاصة الأخرى، بما في ذلك التدابير الخاصة المؤقتة، المتخذة لمعالجة تركز النساء في التخصصات التعليمية التقليدية </w:t>
      </w:r>
      <w:r w:rsidR="00392568">
        <w:rPr>
          <w:rFonts w:hint="cs"/>
          <w:rtl/>
        </w:rPr>
        <w:t>للإناث</w:t>
      </w:r>
      <w:r>
        <w:rPr>
          <w:rtl/>
        </w:rPr>
        <w:t>، سوى تنظيم الاجتماعات التي تلتقي فيها الطالبات بالنساء اللائي تخصصن في الكيمياء (الفقرة 82)</w:t>
      </w:r>
      <w:r w:rsidR="00392568">
        <w:rPr>
          <w:rFonts w:hint="cs"/>
          <w:rtl/>
        </w:rPr>
        <w:t xml:space="preserve"> [</w:t>
      </w:r>
      <w:hyperlink r:id="rId28" w:history="1">
        <w:r w:rsidR="00392568" w:rsidRPr="00101F30">
          <w:rPr>
            <w:rStyle w:val="Hyperlink"/>
          </w:rPr>
          <w:t>CEDAW/C/AZE/5</w:t>
        </w:r>
      </w:hyperlink>
      <w:r w:rsidR="00392568">
        <w:rPr>
          <w:rFonts w:hint="cs"/>
          <w:rtl/>
        </w:rPr>
        <w:t>]</w:t>
      </w:r>
      <w:r>
        <w:rPr>
          <w:rtl/>
        </w:rPr>
        <w:t xml:space="preserve">. ويُرجى أيضا </w:t>
      </w:r>
      <w:r w:rsidR="00392568">
        <w:rPr>
          <w:rFonts w:hint="cs"/>
          <w:rtl/>
        </w:rPr>
        <w:t>بيان</w:t>
      </w:r>
      <w:r>
        <w:rPr>
          <w:rtl/>
        </w:rPr>
        <w:t xml:space="preserve"> التدابير التي اتخذت لمعالجة مختلف </w:t>
      </w:r>
      <w:r w:rsidR="00392568">
        <w:rPr>
          <w:rFonts w:hint="cs"/>
          <w:rtl/>
        </w:rPr>
        <w:t>العقبات</w:t>
      </w:r>
      <w:r>
        <w:rPr>
          <w:rtl/>
        </w:rPr>
        <w:t xml:space="preserve"> ذات الطابع الاجتماعي والثقافي</w:t>
      </w:r>
      <w:r w:rsidR="00392568">
        <w:rPr>
          <w:rFonts w:hint="cs"/>
          <w:rtl/>
        </w:rPr>
        <w:t>،</w:t>
      </w:r>
      <w:r>
        <w:rPr>
          <w:rtl/>
        </w:rPr>
        <w:t xml:space="preserve"> مثل الزواج المبكر/زواج الأطفال </w:t>
      </w:r>
      <w:r w:rsidR="00392568">
        <w:rPr>
          <w:rFonts w:hint="cs"/>
          <w:rtl/>
        </w:rPr>
        <w:t>المسؤولة</w:t>
      </w:r>
      <w:r>
        <w:rPr>
          <w:rtl/>
        </w:rPr>
        <w:t xml:space="preserve"> عن تسرب الفتيات من المدرس</w:t>
      </w:r>
      <w:r w:rsidR="00392568">
        <w:rPr>
          <w:rFonts w:hint="cs"/>
          <w:rtl/>
        </w:rPr>
        <w:t>ة</w:t>
      </w:r>
      <w:r>
        <w:rPr>
          <w:rtl/>
        </w:rPr>
        <w:t xml:space="preserve"> (الفقرة 79). ويُرجى تق</w:t>
      </w:r>
      <w:r w:rsidR="00392568">
        <w:rPr>
          <w:rtl/>
        </w:rPr>
        <w:t xml:space="preserve">ديم معلومات عن التدابير الخاصة </w:t>
      </w:r>
      <w:r>
        <w:rPr>
          <w:rtl/>
        </w:rPr>
        <w:t xml:space="preserve">المتخذة لمعالجة </w:t>
      </w:r>
      <w:r w:rsidR="00392568">
        <w:rPr>
          <w:rFonts w:hint="cs"/>
          <w:rtl/>
        </w:rPr>
        <w:t>نقص تمثيل المرأة</w:t>
      </w:r>
      <w:r>
        <w:rPr>
          <w:rtl/>
        </w:rPr>
        <w:t xml:space="preserve"> في مستويات صنع القرار في مجال التعليم والأوساط الأكاديمية كأستاذات </w:t>
      </w:r>
      <w:r w:rsidR="00392568">
        <w:rPr>
          <w:rFonts w:hint="cs"/>
          <w:rtl/>
        </w:rPr>
        <w:t>ومحاضرات</w:t>
      </w:r>
      <w:r>
        <w:rPr>
          <w:rtl/>
        </w:rPr>
        <w:t xml:space="preserve"> </w:t>
      </w:r>
      <w:r w:rsidR="00392568">
        <w:rPr>
          <w:rFonts w:hint="cs"/>
          <w:rtl/>
        </w:rPr>
        <w:t xml:space="preserve">كبار </w:t>
      </w:r>
      <w:r>
        <w:rPr>
          <w:rtl/>
        </w:rPr>
        <w:t>وباحثات (</w:t>
      </w:r>
      <w:r>
        <w:t>CEDAW/C/AZE/CO/4</w:t>
      </w:r>
      <w:r w:rsidR="00392568">
        <w:rPr>
          <w:rFonts w:hint="cs"/>
          <w:rtl/>
        </w:rPr>
        <w:t>، الفقرة 29</w:t>
      </w:r>
      <w:r>
        <w:rPr>
          <w:rtl/>
        </w:rPr>
        <w:t xml:space="preserve">). </w:t>
      </w:r>
      <w:r w:rsidR="00392568">
        <w:rPr>
          <w:rFonts w:hint="cs"/>
          <w:rtl/>
        </w:rPr>
        <w:t>و</w:t>
      </w:r>
      <w:r>
        <w:rPr>
          <w:rtl/>
        </w:rPr>
        <w:t xml:space="preserve">ما هي التدابير التي اتخذت </w:t>
      </w:r>
      <w:r w:rsidR="00392568">
        <w:rPr>
          <w:rFonts w:hint="cs"/>
          <w:rtl/>
        </w:rPr>
        <w:t>لإدراج</w:t>
      </w:r>
      <w:r>
        <w:rPr>
          <w:rtl/>
        </w:rPr>
        <w:t xml:space="preserve"> تعليم ملائم لمراحل العمر في مجال الصحة والحقوق الجنسية والإنجابية في المناهج الدراسية؟</w:t>
      </w:r>
    </w:p>
    <w:p w:rsidR="00A040F4" w:rsidRPr="00392568" w:rsidRDefault="00A040F4" w:rsidP="00392568">
      <w:pPr>
        <w:pStyle w:val="SingleTxt"/>
        <w:spacing w:after="0" w:line="120" w:lineRule="exact"/>
        <w:rPr>
          <w:sz w:val="12"/>
          <w:rtl/>
        </w:rPr>
      </w:pPr>
    </w:p>
    <w:p w:rsidR="00A040F4" w:rsidRDefault="00392568" w:rsidP="003925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040F4">
        <w:rPr>
          <w:rtl/>
        </w:rPr>
        <w:t>العمل</w:t>
      </w:r>
    </w:p>
    <w:p w:rsidR="00A040F4" w:rsidRDefault="00A040F4" w:rsidP="00825DBA">
      <w:pPr>
        <w:pStyle w:val="SingleTxt"/>
        <w:rPr>
          <w:rtl/>
        </w:rPr>
      </w:pPr>
      <w:r>
        <w:rPr>
          <w:rtl/>
        </w:rPr>
        <w:t>15 -</w:t>
      </w:r>
      <w:r w:rsidR="00392568">
        <w:rPr>
          <w:rFonts w:hint="cs"/>
          <w:rtl/>
        </w:rPr>
        <w:tab/>
      </w:r>
      <w:r>
        <w:rPr>
          <w:rtl/>
        </w:rPr>
        <w:t xml:space="preserve">أشار التقرير إلى أن </w:t>
      </w:r>
      <w:r w:rsidR="00825DBA">
        <w:rPr>
          <w:rFonts w:hint="cs"/>
          <w:rtl/>
        </w:rPr>
        <w:t>المرأة تحصّل</w:t>
      </w:r>
      <w:r>
        <w:rPr>
          <w:rtl/>
        </w:rPr>
        <w:t xml:space="preserve"> حوالي 50 إلى 58 في المائة من متوسط الأجر ال</w:t>
      </w:r>
      <w:r w:rsidR="00825DBA">
        <w:rPr>
          <w:rFonts w:hint="cs"/>
          <w:rtl/>
        </w:rPr>
        <w:t>ذ</w:t>
      </w:r>
      <w:r>
        <w:rPr>
          <w:rtl/>
        </w:rPr>
        <w:t xml:space="preserve">ي </w:t>
      </w:r>
      <w:r w:rsidR="00825DBA">
        <w:rPr>
          <w:rFonts w:hint="cs"/>
          <w:rtl/>
        </w:rPr>
        <w:t>يحصّله</w:t>
      </w:r>
      <w:r>
        <w:rPr>
          <w:rtl/>
        </w:rPr>
        <w:t xml:space="preserve"> الرجل، وهو أمر يعزى إلى تركزهن في قطاعات العمل المنخفضة الأجر (</w:t>
      </w:r>
      <w:r w:rsidR="00825DBA">
        <w:rPr>
          <w:rFonts w:hint="cs"/>
          <w:rtl/>
        </w:rPr>
        <w:t>الفقرتان </w:t>
      </w:r>
      <w:r>
        <w:rPr>
          <w:rtl/>
        </w:rPr>
        <w:t>89 و</w:t>
      </w:r>
      <w:r w:rsidR="00825DBA">
        <w:rPr>
          <w:rFonts w:hint="cs"/>
          <w:rtl/>
        </w:rPr>
        <w:t> </w:t>
      </w:r>
      <w:r>
        <w:rPr>
          <w:rtl/>
        </w:rPr>
        <w:t>93)</w:t>
      </w:r>
      <w:r w:rsidR="00825DBA">
        <w:rPr>
          <w:rFonts w:hint="cs"/>
          <w:rtl/>
        </w:rPr>
        <w:t xml:space="preserve"> [</w:t>
      </w:r>
      <w:hyperlink r:id="rId29" w:history="1">
        <w:r w:rsidR="00825DBA" w:rsidRPr="00101F30">
          <w:rPr>
            <w:rStyle w:val="Hyperlink"/>
          </w:rPr>
          <w:t>CEDAW/C/AZE/5</w:t>
        </w:r>
      </w:hyperlink>
      <w:r w:rsidR="00825DBA">
        <w:rPr>
          <w:rFonts w:hint="cs"/>
          <w:rtl/>
        </w:rPr>
        <w:t>]</w:t>
      </w:r>
      <w:r>
        <w:rPr>
          <w:rtl/>
        </w:rPr>
        <w:t xml:space="preserve">. ويُرجى تقديم معلومات عن </w:t>
      </w:r>
      <w:r w:rsidR="00825DBA">
        <w:rPr>
          <w:rFonts w:hint="cs"/>
          <w:rtl/>
        </w:rPr>
        <w:t>كل</w:t>
      </w:r>
      <w:r>
        <w:rPr>
          <w:rtl/>
        </w:rPr>
        <w:t xml:space="preserve"> </w:t>
      </w:r>
      <w:r w:rsidR="00825DBA">
        <w:rPr>
          <w:rFonts w:hint="cs"/>
          <w:rtl/>
        </w:rPr>
        <w:t>ا</w:t>
      </w:r>
      <w:r>
        <w:rPr>
          <w:rtl/>
        </w:rPr>
        <w:t>لتدابير المتخذة لسد الفجوة الجنسانية في الأجور و</w:t>
      </w:r>
      <w:r w:rsidR="00825DBA">
        <w:rPr>
          <w:rFonts w:hint="cs"/>
          <w:rtl/>
        </w:rPr>
        <w:t>معالجة ا</w:t>
      </w:r>
      <w:r>
        <w:rPr>
          <w:rtl/>
        </w:rPr>
        <w:t>لتمييز المهني بين الرجل وال</w:t>
      </w:r>
      <w:r w:rsidR="00825DBA">
        <w:rPr>
          <w:rFonts w:hint="cs"/>
          <w:rtl/>
        </w:rPr>
        <w:t>مرأة</w:t>
      </w:r>
      <w:r>
        <w:rPr>
          <w:rtl/>
        </w:rPr>
        <w:t xml:space="preserve"> في العمل. ويُرجى تقديم معل</w:t>
      </w:r>
      <w:r w:rsidR="00825DBA">
        <w:rPr>
          <w:rtl/>
        </w:rPr>
        <w:t xml:space="preserve">ومات عن أي تدابير اتخذت لزيادة </w:t>
      </w:r>
      <w:r>
        <w:rPr>
          <w:rtl/>
        </w:rPr>
        <w:t xml:space="preserve">عدد النساء في المجالات غير التقليدية والمنخفضة الأجر نسبيا في العمل (الفقرة 89). ويُرجى تقديم معلومات </w:t>
      </w:r>
      <w:r w:rsidR="00825DBA">
        <w:rPr>
          <w:rFonts w:hint="cs"/>
          <w:rtl/>
        </w:rPr>
        <w:t>مستكملة</w:t>
      </w:r>
      <w:r>
        <w:rPr>
          <w:rtl/>
        </w:rPr>
        <w:t xml:space="preserve"> عن </w:t>
      </w:r>
      <w:r w:rsidR="00825DBA">
        <w:rPr>
          <w:rFonts w:hint="cs"/>
          <w:rtl/>
        </w:rPr>
        <w:t>ال</w:t>
      </w:r>
      <w:r>
        <w:rPr>
          <w:rtl/>
        </w:rPr>
        <w:t xml:space="preserve">وضع </w:t>
      </w:r>
      <w:r w:rsidR="00825DBA">
        <w:rPr>
          <w:rFonts w:hint="cs"/>
          <w:rtl/>
        </w:rPr>
        <w:t>المتعلق ب</w:t>
      </w:r>
      <w:r>
        <w:rPr>
          <w:rtl/>
        </w:rPr>
        <w:t xml:space="preserve">مشروع </w:t>
      </w:r>
      <w:r w:rsidR="00825DBA">
        <w:rPr>
          <w:rFonts w:hint="cs"/>
          <w:rtl/>
        </w:rPr>
        <w:t>ال</w:t>
      </w:r>
      <w:r>
        <w:rPr>
          <w:rtl/>
        </w:rPr>
        <w:t xml:space="preserve">قانون </w:t>
      </w:r>
      <w:r w:rsidR="00825DBA">
        <w:rPr>
          <w:rFonts w:hint="cs"/>
          <w:rtl/>
        </w:rPr>
        <w:t>الخاص ب</w:t>
      </w:r>
      <w:r>
        <w:rPr>
          <w:rtl/>
        </w:rPr>
        <w:t>التغييرات والتعديل</w:t>
      </w:r>
      <w:r w:rsidR="00825DBA">
        <w:rPr>
          <w:rtl/>
        </w:rPr>
        <w:t xml:space="preserve">ات </w:t>
      </w:r>
      <w:r w:rsidR="00825DBA">
        <w:rPr>
          <w:rFonts w:hint="cs"/>
          <w:rtl/>
        </w:rPr>
        <w:t xml:space="preserve">في </w:t>
      </w:r>
      <w:r w:rsidR="00825DBA">
        <w:rPr>
          <w:rtl/>
        </w:rPr>
        <w:t xml:space="preserve">قانون العمل </w:t>
      </w:r>
      <w:r>
        <w:rPr>
          <w:rtl/>
        </w:rPr>
        <w:t>(الفقرة 106). ويُرجى</w:t>
      </w:r>
      <w:r w:rsidR="00825DBA">
        <w:rPr>
          <w:rFonts w:hint="cs"/>
          <w:rtl/>
        </w:rPr>
        <w:t xml:space="preserve"> أيضا</w:t>
      </w:r>
      <w:r>
        <w:rPr>
          <w:rtl/>
        </w:rPr>
        <w:t xml:space="preserve"> تقديم معلومات </w:t>
      </w:r>
      <w:r w:rsidR="00825DBA">
        <w:rPr>
          <w:rFonts w:hint="cs"/>
          <w:rtl/>
        </w:rPr>
        <w:t>مستكملة</w:t>
      </w:r>
      <w:r>
        <w:rPr>
          <w:rtl/>
        </w:rPr>
        <w:t xml:space="preserve"> عما إذا كانت خطة العمل التي يعتزم وضعها في إطار مشروع تطوير الحماية الاجتماعية، التي تهدف إلى تس</w:t>
      </w:r>
      <w:r w:rsidR="00825DBA">
        <w:rPr>
          <w:rFonts w:hint="cs"/>
          <w:rtl/>
        </w:rPr>
        <w:t>يير</w:t>
      </w:r>
      <w:r>
        <w:rPr>
          <w:rtl/>
        </w:rPr>
        <w:t xml:space="preserve"> إدماج </w:t>
      </w:r>
      <w:r w:rsidR="00825DBA">
        <w:rPr>
          <w:rFonts w:hint="cs"/>
          <w:rtl/>
        </w:rPr>
        <w:t>المرأة على نحو أفضل في سوق العمل قد أُنجزت</w:t>
      </w:r>
      <w:r>
        <w:rPr>
          <w:rtl/>
        </w:rPr>
        <w:t xml:space="preserve"> (الفقرة 103)</w:t>
      </w:r>
      <w:r w:rsidR="00825DBA">
        <w:rPr>
          <w:rFonts w:hint="cs"/>
          <w:rtl/>
        </w:rPr>
        <w:t xml:space="preserve"> [</w:t>
      </w:r>
      <w:hyperlink r:id="rId30" w:history="1">
        <w:r w:rsidR="00825DBA" w:rsidRPr="00101F30">
          <w:rPr>
            <w:rStyle w:val="Hyperlink"/>
          </w:rPr>
          <w:t>CEDAW/C/AZE/5</w:t>
        </w:r>
      </w:hyperlink>
      <w:r w:rsidR="00825DBA">
        <w:rPr>
          <w:rFonts w:hint="cs"/>
          <w:rtl/>
        </w:rPr>
        <w:t>]</w:t>
      </w:r>
      <w:r>
        <w:rPr>
          <w:rtl/>
        </w:rPr>
        <w:t>.</w:t>
      </w:r>
    </w:p>
    <w:p w:rsidR="00A040F4" w:rsidRDefault="00A040F4" w:rsidP="00824D1C">
      <w:pPr>
        <w:pStyle w:val="SingleTxt"/>
        <w:rPr>
          <w:rtl/>
        </w:rPr>
      </w:pPr>
      <w:r>
        <w:rPr>
          <w:rtl/>
        </w:rPr>
        <w:t>16 -</w:t>
      </w:r>
      <w:r>
        <w:rPr>
          <w:rtl/>
        </w:rPr>
        <w:tab/>
      </w:r>
      <w:r w:rsidR="00E91E6F">
        <w:rPr>
          <w:rFonts w:hint="cs"/>
          <w:rtl/>
        </w:rPr>
        <w:t>و</w:t>
      </w:r>
      <w:r>
        <w:rPr>
          <w:rtl/>
        </w:rPr>
        <w:t xml:space="preserve">يشير التقرير إلى أن </w:t>
      </w:r>
      <w:r w:rsidR="00824D1C">
        <w:rPr>
          <w:rFonts w:hint="cs"/>
          <w:rtl/>
        </w:rPr>
        <w:t>إدارة تفتيش</w:t>
      </w:r>
      <w:r>
        <w:rPr>
          <w:rtl/>
        </w:rPr>
        <w:t xml:space="preserve"> العمل الحكومية كشفت عن </w:t>
      </w:r>
      <w:r w:rsidR="00824D1C">
        <w:rPr>
          <w:rFonts w:hint="cs"/>
          <w:rtl/>
        </w:rPr>
        <w:t>341 16 قضية</w:t>
      </w:r>
      <w:r>
        <w:rPr>
          <w:rtl/>
        </w:rPr>
        <w:t xml:space="preserve"> من قضايا انتهاكات قوانين العمل في منشآت ومكاتب وم</w:t>
      </w:r>
      <w:r w:rsidR="00824D1C">
        <w:rPr>
          <w:rtl/>
        </w:rPr>
        <w:t>نظمات مختلفة في عام 2012، ترتبط</w:t>
      </w:r>
      <w:r w:rsidR="00824D1C">
        <w:rPr>
          <w:rFonts w:hint="cs"/>
          <w:rtl/>
        </w:rPr>
        <w:t> </w:t>
      </w:r>
      <w:r>
        <w:rPr>
          <w:rtl/>
        </w:rPr>
        <w:t xml:space="preserve">51 في المائة منها بانتهاكات حقوق </w:t>
      </w:r>
      <w:r w:rsidR="00824D1C">
        <w:rPr>
          <w:rFonts w:hint="cs"/>
          <w:rtl/>
        </w:rPr>
        <w:t>المرأة</w:t>
      </w:r>
      <w:r>
        <w:rPr>
          <w:rtl/>
        </w:rPr>
        <w:t xml:space="preserve"> في قطاعات التجارة والخدمات والتعليم والصناعة والرعاية الصحية وخدمات </w:t>
      </w:r>
      <w:r w:rsidR="00824D1C">
        <w:rPr>
          <w:rFonts w:hint="cs"/>
          <w:rtl/>
        </w:rPr>
        <w:t>المطاعم</w:t>
      </w:r>
      <w:r>
        <w:rPr>
          <w:rtl/>
        </w:rPr>
        <w:t xml:space="preserve"> (الفقرة 98)</w:t>
      </w:r>
      <w:r w:rsidR="00824D1C">
        <w:rPr>
          <w:rFonts w:hint="cs"/>
          <w:rtl/>
        </w:rPr>
        <w:t xml:space="preserve"> [</w:t>
      </w:r>
      <w:hyperlink r:id="rId31" w:history="1">
        <w:r w:rsidR="00824D1C" w:rsidRPr="00101F30">
          <w:rPr>
            <w:rStyle w:val="Hyperlink"/>
          </w:rPr>
          <w:t>CEDAW/C/AZE/5</w:t>
        </w:r>
      </w:hyperlink>
      <w:r w:rsidR="00824D1C">
        <w:rPr>
          <w:rFonts w:hint="cs"/>
          <w:rtl/>
        </w:rPr>
        <w:t>]</w:t>
      </w:r>
      <w:r>
        <w:rPr>
          <w:rtl/>
        </w:rPr>
        <w:t>. ويُرجى تقديم معلومات عن التدابير المتخذة للتصدي لهذه الانتهاكات، مثل عدد المنشآت التي فرضت عليها عقوبة وطبيعة سبل الانتصاف المتاحة للضحايا. ويُرجى</w:t>
      </w:r>
      <w:r w:rsidR="00824D1C">
        <w:rPr>
          <w:rFonts w:hint="cs"/>
          <w:rtl/>
        </w:rPr>
        <w:t xml:space="preserve"> أيضا</w:t>
      </w:r>
      <w:r>
        <w:rPr>
          <w:rtl/>
        </w:rPr>
        <w:t xml:space="preserve"> تقديم معلومات عن التشريعات التي تحكم التحرش الجنسي وتنفيذها في الدولة الطرف.</w:t>
      </w:r>
    </w:p>
    <w:p w:rsidR="00824D1C" w:rsidRPr="00824D1C" w:rsidRDefault="00824D1C" w:rsidP="00824D1C">
      <w:pPr>
        <w:pStyle w:val="SingleTxt"/>
        <w:spacing w:after="0" w:line="120" w:lineRule="exact"/>
        <w:rPr>
          <w:sz w:val="12"/>
          <w:rtl/>
        </w:rPr>
      </w:pPr>
    </w:p>
    <w:p w:rsidR="00A040F4" w:rsidRDefault="00824D1C" w:rsidP="00824D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040F4">
        <w:rPr>
          <w:rtl/>
        </w:rPr>
        <w:t>الصحة</w:t>
      </w:r>
    </w:p>
    <w:p w:rsidR="00A040F4" w:rsidRDefault="00A040F4" w:rsidP="00AF5831">
      <w:pPr>
        <w:pStyle w:val="SingleTxt"/>
        <w:rPr>
          <w:rtl/>
        </w:rPr>
      </w:pPr>
      <w:r>
        <w:rPr>
          <w:rtl/>
        </w:rPr>
        <w:t>17 -</w:t>
      </w:r>
      <w:r w:rsidR="00824D1C">
        <w:rPr>
          <w:rFonts w:hint="cs"/>
          <w:rtl/>
        </w:rPr>
        <w:tab/>
      </w:r>
      <w:r>
        <w:rPr>
          <w:rtl/>
        </w:rPr>
        <w:t xml:space="preserve">يشير التقرير إلى أن </w:t>
      </w:r>
      <w:r w:rsidR="00AF5831">
        <w:rPr>
          <w:rFonts w:hint="cs"/>
          <w:rtl/>
        </w:rPr>
        <w:t>مشروع</w:t>
      </w:r>
      <w:r>
        <w:rPr>
          <w:rtl/>
        </w:rPr>
        <w:t xml:space="preserve"> القانون بشأن حماية الصحة الإنجابية وتنظيم الأسرة يحظر </w:t>
      </w:r>
      <w:r w:rsidR="00824D1C">
        <w:rPr>
          <w:rFonts w:hint="cs"/>
          <w:rtl/>
        </w:rPr>
        <w:t>الكشف الطبي</w:t>
      </w:r>
      <w:r>
        <w:rPr>
          <w:rtl/>
        </w:rPr>
        <w:t xml:space="preserve"> للتعرف على جنس الطفل والإجهاضات الانتقائية (الفقرة 118). ويُرجى تقديم معلومات عن </w:t>
      </w:r>
      <w:r w:rsidR="00824D1C">
        <w:rPr>
          <w:rFonts w:hint="cs"/>
          <w:rtl/>
        </w:rPr>
        <w:t>الإطار</w:t>
      </w:r>
      <w:r>
        <w:rPr>
          <w:rtl/>
        </w:rPr>
        <w:t xml:space="preserve"> الزمني لاعتماد القانون، وتوضيح كيفية موازنة مشروع القانون لحق </w:t>
      </w:r>
      <w:r w:rsidR="00824D1C">
        <w:rPr>
          <w:rFonts w:hint="cs"/>
          <w:rtl/>
        </w:rPr>
        <w:t>المرأة</w:t>
      </w:r>
      <w:r>
        <w:rPr>
          <w:rtl/>
        </w:rPr>
        <w:t xml:space="preserve"> المشروع في الاستقلال الذاتي ومن ثم التعرف على جنس الجنين بهدف خفض الإجهاض بسبب جنس الجنين المتفشي في الدولة الطرف (الفقرة 126)</w:t>
      </w:r>
      <w:r w:rsidR="00824D1C">
        <w:rPr>
          <w:rFonts w:hint="cs"/>
          <w:rtl/>
        </w:rPr>
        <w:t xml:space="preserve"> [</w:t>
      </w:r>
      <w:hyperlink r:id="rId32" w:history="1">
        <w:r w:rsidR="00824D1C" w:rsidRPr="00101F30">
          <w:rPr>
            <w:rStyle w:val="Hyperlink"/>
          </w:rPr>
          <w:t>CEDAW/C/AZE/5</w:t>
        </w:r>
      </w:hyperlink>
      <w:r w:rsidR="00824D1C">
        <w:rPr>
          <w:rFonts w:hint="cs"/>
          <w:rtl/>
        </w:rPr>
        <w:t>]</w:t>
      </w:r>
      <w:r>
        <w:rPr>
          <w:rtl/>
        </w:rPr>
        <w:t xml:space="preserve">. ويُرجى توضيح التدابير الخاصة المتخذة لمعالجة المعدلات المرتفعة للإجهاض، </w:t>
      </w:r>
      <w:r w:rsidR="00824D1C">
        <w:rPr>
          <w:rFonts w:hint="cs"/>
          <w:rtl/>
        </w:rPr>
        <w:t>المستخدم كطريقة</w:t>
      </w:r>
      <w:r>
        <w:rPr>
          <w:rtl/>
        </w:rPr>
        <w:t xml:space="preserve"> لتنظيم النسل في الدولة الطرف (الفقرتان 123 و</w:t>
      </w:r>
      <w:r w:rsidR="00824D1C">
        <w:rPr>
          <w:rFonts w:hint="cs"/>
          <w:rtl/>
        </w:rPr>
        <w:t xml:space="preserve"> </w:t>
      </w:r>
      <w:r>
        <w:rPr>
          <w:rtl/>
        </w:rPr>
        <w:t>124).</w:t>
      </w:r>
    </w:p>
    <w:p w:rsidR="00A040F4" w:rsidRDefault="00A040F4" w:rsidP="004D3051">
      <w:pPr>
        <w:pStyle w:val="SingleTxt"/>
        <w:rPr>
          <w:rtl/>
        </w:rPr>
      </w:pPr>
      <w:r>
        <w:rPr>
          <w:rtl/>
        </w:rPr>
        <w:t>18 -</w:t>
      </w:r>
      <w:r w:rsidR="00824D1C">
        <w:rPr>
          <w:rFonts w:hint="cs"/>
          <w:rtl/>
        </w:rPr>
        <w:tab/>
      </w:r>
      <w:r>
        <w:rPr>
          <w:rtl/>
        </w:rPr>
        <w:t xml:space="preserve">يلاحظ أن معدل وفيات </w:t>
      </w:r>
      <w:r w:rsidR="004D3051">
        <w:rPr>
          <w:rFonts w:hint="cs"/>
          <w:rtl/>
        </w:rPr>
        <w:t>الأمومة قد</w:t>
      </w:r>
      <w:r>
        <w:rPr>
          <w:rtl/>
        </w:rPr>
        <w:t xml:space="preserve"> انخفض في المناطق الحضرية في عام 2011، لكنه ارتفع في المناطق الريفية (الفقرة 120). ويُرجى تقديم معلومات عن الأسباب الكامنة وراء هذا الارتفاع والتدابير المتخذة للتصدي له. ويُرجى أيضا توضيح المنهجية المستعملة </w:t>
      </w:r>
      <w:r w:rsidR="004D3051">
        <w:rPr>
          <w:rFonts w:hint="cs"/>
          <w:rtl/>
        </w:rPr>
        <w:t>لتسجيل</w:t>
      </w:r>
      <w:r>
        <w:rPr>
          <w:rtl/>
        </w:rPr>
        <w:t xml:space="preserve"> وفيات </w:t>
      </w:r>
      <w:r w:rsidR="004D3051">
        <w:rPr>
          <w:rFonts w:hint="cs"/>
          <w:rtl/>
        </w:rPr>
        <w:t>الأمومة ووفيات الرضّع</w:t>
      </w:r>
      <w:r>
        <w:rPr>
          <w:rtl/>
        </w:rPr>
        <w:t xml:space="preserve">. ويشير التقرير إلى أن الدولة الطرف هي من البلدان </w:t>
      </w:r>
      <w:r w:rsidR="004D3051">
        <w:rPr>
          <w:rFonts w:hint="cs"/>
          <w:rtl/>
        </w:rPr>
        <w:t>ذات المعدّل</w:t>
      </w:r>
      <w:r>
        <w:rPr>
          <w:rtl/>
        </w:rPr>
        <w:t xml:space="preserve"> </w:t>
      </w:r>
      <w:r w:rsidR="004D3051">
        <w:rPr>
          <w:rFonts w:hint="cs"/>
          <w:rtl/>
        </w:rPr>
        <w:t>ال</w:t>
      </w:r>
      <w:r>
        <w:rPr>
          <w:rtl/>
        </w:rPr>
        <w:t xml:space="preserve">منخفض </w:t>
      </w:r>
      <w:r w:rsidR="004D3051">
        <w:rPr>
          <w:rFonts w:hint="cs"/>
          <w:rtl/>
        </w:rPr>
        <w:t>لا</w:t>
      </w:r>
      <w:r>
        <w:rPr>
          <w:rtl/>
        </w:rPr>
        <w:t xml:space="preserve">نتشار فيروس نقص المناعة البشري، ورغم ذلك، سُجلت 476 </w:t>
      </w:r>
      <w:r w:rsidR="004D3051">
        <w:rPr>
          <w:rFonts w:hint="cs"/>
          <w:rtl/>
        </w:rPr>
        <w:t>عدوى</w:t>
      </w:r>
      <w:r>
        <w:rPr>
          <w:rtl/>
        </w:rPr>
        <w:t xml:space="preserve"> جديدة خلال 11 شهرا في عام 2011 وحده</w:t>
      </w:r>
      <w:r w:rsidR="004D3051">
        <w:rPr>
          <w:rFonts w:hint="cs"/>
          <w:rtl/>
        </w:rPr>
        <w:t xml:space="preserve"> [الفقرة 27]</w:t>
      </w:r>
      <w:r>
        <w:rPr>
          <w:rtl/>
        </w:rPr>
        <w:t xml:space="preserve">. ويُرجى بيان التدابير </w:t>
      </w:r>
      <w:r w:rsidR="004D3051">
        <w:rPr>
          <w:rFonts w:hint="cs"/>
          <w:rtl/>
        </w:rPr>
        <w:t>القائمة للوقاية من</w:t>
      </w:r>
      <w:r>
        <w:rPr>
          <w:rtl/>
        </w:rPr>
        <w:t xml:space="preserve"> انتقال فيروس نقص المناعة البشري من الأم إلى الطفل وتقديم معلومات عن أي تدابير متخذة للتصدي للوصم والتمييز والعنف الذي يستهدف النساء المصابات بفيروس نقص المناعة البشري. ويُرجى أيضا تقديم بيانات مصنفة بشأن </w:t>
      </w:r>
      <w:r w:rsidR="004D3051">
        <w:rPr>
          <w:rFonts w:hint="cs"/>
          <w:rtl/>
        </w:rPr>
        <w:t>تعاطي المرأة للمخدرات</w:t>
      </w:r>
      <w:r>
        <w:rPr>
          <w:rtl/>
        </w:rPr>
        <w:t xml:space="preserve"> في الدولة الطرف عقب </w:t>
      </w:r>
      <w:r w:rsidR="004D3051">
        <w:rPr>
          <w:rFonts w:hint="cs"/>
          <w:rtl/>
        </w:rPr>
        <w:t>الدراسة الاستقصائية التي أُجريت عن تعاطي المخدرات</w:t>
      </w:r>
      <w:r>
        <w:rPr>
          <w:rtl/>
        </w:rPr>
        <w:t xml:space="preserve"> (الفقرة 134).</w:t>
      </w:r>
    </w:p>
    <w:p w:rsidR="00A040F4" w:rsidRDefault="004D3051" w:rsidP="004D30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040F4">
        <w:rPr>
          <w:rtl/>
        </w:rPr>
        <w:t>المرأة الريفية</w:t>
      </w:r>
    </w:p>
    <w:p w:rsidR="00A040F4" w:rsidRDefault="00A040F4" w:rsidP="004D3051">
      <w:pPr>
        <w:pStyle w:val="SingleTxt"/>
        <w:rPr>
          <w:rtl/>
        </w:rPr>
      </w:pPr>
      <w:r>
        <w:rPr>
          <w:rtl/>
        </w:rPr>
        <w:t>19 -</w:t>
      </w:r>
      <w:r w:rsidR="004D3051">
        <w:rPr>
          <w:rFonts w:hint="cs"/>
          <w:rtl/>
        </w:rPr>
        <w:tab/>
        <w:t>يذكر</w:t>
      </w:r>
      <w:r>
        <w:rPr>
          <w:rtl/>
        </w:rPr>
        <w:t xml:space="preserve"> التقرير أن المرأة الريفية تشكل أقلية على مستوى صنع</w:t>
      </w:r>
      <w:r w:rsidR="004D3051">
        <w:rPr>
          <w:rFonts w:hint="cs"/>
          <w:rtl/>
        </w:rPr>
        <w:t xml:space="preserve"> القرارات وال</w:t>
      </w:r>
      <w:r w:rsidR="004D3051">
        <w:rPr>
          <w:rtl/>
        </w:rPr>
        <w:t>تخطيط</w:t>
      </w:r>
      <w:r>
        <w:rPr>
          <w:rtl/>
        </w:rPr>
        <w:t xml:space="preserve">، مما يفضي إلى </w:t>
      </w:r>
      <w:r w:rsidR="004D3051">
        <w:rPr>
          <w:rFonts w:hint="cs"/>
          <w:rtl/>
        </w:rPr>
        <w:t>ال</w:t>
      </w:r>
      <w:r>
        <w:rPr>
          <w:rtl/>
        </w:rPr>
        <w:t>تحيز</w:t>
      </w:r>
      <w:r w:rsidR="00AF5831">
        <w:rPr>
          <w:rFonts w:hint="cs"/>
          <w:rtl/>
        </w:rPr>
        <w:t>،</w:t>
      </w:r>
      <w:r>
        <w:rPr>
          <w:rtl/>
        </w:rPr>
        <w:t xml:space="preserve"> و</w:t>
      </w:r>
      <w:r w:rsidR="004D3051">
        <w:rPr>
          <w:rFonts w:hint="cs"/>
          <w:rtl/>
        </w:rPr>
        <w:t>يتمثل</w:t>
      </w:r>
      <w:r>
        <w:rPr>
          <w:rtl/>
        </w:rPr>
        <w:t xml:space="preserve"> التحدي بالنسبة لبرامج التنمية الريفية في تحديد القيود التي تحد من المشاركة الكاملة للنساء في الحياة الاقتصادية والعامة على الصعيد المحلي، ووضع مبادرات خاصة لفائدتهن (الفقر</w:t>
      </w:r>
      <w:r w:rsidR="004D3051">
        <w:rPr>
          <w:rFonts w:hint="cs"/>
          <w:rtl/>
        </w:rPr>
        <w:t xml:space="preserve">تان </w:t>
      </w:r>
      <w:r>
        <w:rPr>
          <w:rtl/>
        </w:rPr>
        <w:t>161 و</w:t>
      </w:r>
      <w:r w:rsidR="004D3051">
        <w:rPr>
          <w:rFonts w:hint="cs"/>
          <w:rtl/>
        </w:rPr>
        <w:t xml:space="preserve"> </w:t>
      </w:r>
      <w:r>
        <w:rPr>
          <w:rtl/>
        </w:rPr>
        <w:t xml:space="preserve">165). ويُرجى تقديم معلومات عن التدابير الخاصة المتخذة لمعالجة المستوى المنخفض لتمثيل </w:t>
      </w:r>
      <w:r w:rsidR="004D3051">
        <w:rPr>
          <w:rFonts w:hint="cs"/>
          <w:rtl/>
        </w:rPr>
        <w:t>المرأة</w:t>
      </w:r>
      <w:r>
        <w:rPr>
          <w:rtl/>
        </w:rPr>
        <w:t xml:space="preserve"> في صنع القرار في برامج التنمية الريفية، بما في ذلك </w:t>
      </w:r>
      <w:r w:rsidR="004D3051">
        <w:rPr>
          <w:rFonts w:hint="cs"/>
          <w:rtl/>
        </w:rPr>
        <w:t>اتخاذ</w:t>
      </w:r>
      <w:r>
        <w:rPr>
          <w:rtl/>
        </w:rPr>
        <w:t xml:space="preserve"> تدابير خاصة مؤقتة عند الاقتضاء. </w:t>
      </w:r>
      <w:r w:rsidR="004D3051">
        <w:rPr>
          <w:rFonts w:hint="cs"/>
          <w:rtl/>
        </w:rPr>
        <w:t>و</w:t>
      </w:r>
      <w:r>
        <w:rPr>
          <w:rtl/>
        </w:rPr>
        <w:t xml:space="preserve">ما هي الخطوات المتخذة للتصدي للمقاومة </w:t>
      </w:r>
      <w:r w:rsidR="004D3051">
        <w:rPr>
          <w:rFonts w:hint="cs"/>
          <w:rtl/>
        </w:rPr>
        <w:t>المجتمعية</w:t>
      </w:r>
      <w:r>
        <w:rPr>
          <w:rtl/>
        </w:rPr>
        <w:t xml:space="preserve"> المسؤولة </w:t>
      </w:r>
      <w:r w:rsidR="004D3051">
        <w:rPr>
          <w:rFonts w:hint="cs"/>
          <w:rtl/>
        </w:rPr>
        <w:t>جزئيا</w:t>
      </w:r>
      <w:r>
        <w:rPr>
          <w:rtl/>
        </w:rPr>
        <w:t xml:space="preserve"> عن المشاركة المحدودة </w:t>
      </w:r>
      <w:r w:rsidR="004D3051">
        <w:rPr>
          <w:rFonts w:hint="cs"/>
          <w:rtl/>
        </w:rPr>
        <w:t>للمرأة</w:t>
      </w:r>
      <w:r>
        <w:rPr>
          <w:rtl/>
        </w:rPr>
        <w:t xml:space="preserve"> في الحكم المحلي؟ ويُرجى تقديم معلومات عن التدابير المتخذة لضمان المساواة بين الجنسين فيما يخص توزيع الأراضي وتخصيص القروض (الفقرة 166)</w:t>
      </w:r>
      <w:r w:rsidR="004D3051">
        <w:rPr>
          <w:rFonts w:hint="cs"/>
          <w:rtl/>
        </w:rPr>
        <w:t xml:space="preserve"> [</w:t>
      </w:r>
      <w:hyperlink r:id="rId33" w:history="1">
        <w:r w:rsidR="004D3051" w:rsidRPr="00101F30">
          <w:rPr>
            <w:rStyle w:val="Hyperlink"/>
          </w:rPr>
          <w:t>CEDAW/C/AZE/5</w:t>
        </w:r>
      </w:hyperlink>
      <w:r w:rsidR="004D3051">
        <w:rPr>
          <w:rFonts w:hint="cs"/>
          <w:rtl/>
        </w:rPr>
        <w:t>]</w:t>
      </w:r>
      <w:r>
        <w:rPr>
          <w:rtl/>
        </w:rPr>
        <w:t>.</w:t>
      </w:r>
    </w:p>
    <w:p w:rsidR="00A040F4" w:rsidRPr="004D3051" w:rsidRDefault="00A040F4" w:rsidP="004D3051">
      <w:pPr>
        <w:pStyle w:val="SingleTxt"/>
        <w:spacing w:after="0" w:line="120" w:lineRule="exact"/>
        <w:rPr>
          <w:sz w:val="12"/>
          <w:rtl/>
        </w:rPr>
      </w:pPr>
    </w:p>
    <w:p w:rsidR="00A040F4" w:rsidRDefault="004D3051" w:rsidP="004D30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040F4">
        <w:rPr>
          <w:rtl/>
        </w:rPr>
        <w:t>النساء المشردات داخلياً وملتمسات اللجوء</w:t>
      </w:r>
    </w:p>
    <w:p w:rsidR="00C541E1" w:rsidRDefault="00A040F4" w:rsidP="00F76AD4">
      <w:pPr>
        <w:pStyle w:val="SingleTxt"/>
        <w:rPr>
          <w:rFonts w:hint="cs"/>
          <w:rtl/>
        </w:rPr>
      </w:pPr>
      <w:r>
        <w:rPr>
          <w:rtl/>
        </w:rPr>
        <w:t>20 -</w:t>
      </w:r>
      <w:r w:rsidR="004D3051">
        <w:rPr>
          <w:rFonts w:hint="cs"/>
          <w:rtl/>
        </w:rPr>
        <w:tab/>
      </w:r>
      <w:r>
        <w:rPr>
          <w:rtl/>
        </w:rPr>
        <w:t xml:space="preserve">يُرجى تقديم معلومات عن التدابير المتخذة لضمان </w:t>
      </w:r>
      <w:r w:rsidR="004D3051">
        <w:rPr>
          <w:rFonts w:hint="cs"/>
          <w:rtl/>
        </w:rPr>
        <w:t>وصول</w:t>
      </w:r>
      <w:r>
        <w:rPr>
          <w:rtl/>
        </w:rPr>
        <w:t xml:space="preserve"> النساء والفتيات المشردات داخلياً على وثائق هوية وعلى مسكن وعمل وتعليم وغير</w:t>
      </w:r>
      <w:r w:rsidR="004D3051">
        <w:rPr>
          <w:rFonts w:hint="cs"/>
          <w:rtl/>
        </w:rPr>
        <w:t xml:space="preserve"> ذلك</w:t>
      </w:r>
      <w:r>
        <w:rPr>
          <w:rtl/>
        </w:rPr>
        <w:t xml:space="preserve"> من الخدمات الاجتماعية في الدولة الطرف. ويُرجى تقديم معلومات عن التدابير الخاصة المتخذة لوضع إجراءات </w:t>
      </w:r>
      <w:r w:rsidR="004D3051">
        <w:rPr>
          <w:rFonts w:hint="cs"/>
          <w:rtl/>
        </w:rPr>
        <w:t>ل</w:t>
      </w:r>
      <w:r>
        <w:rPr>
          <w:rtl/>
        </w:rPr>
        <w:t>تحديد انعدام الجنس على ضوء العدد الكبير</w:t>
      </w:r>
      <w:r w:rsidR="004D3051">
        <w:rPr>
          <w:rFonts w:hint="cs"/>
          <w:rtl/>
        </w:rPr>
        <w:t xml:space="preserve"> من</w:t>
      </w:r>
      <w:r>
        <w:rPr>
          <w:rtl/>
        </w:rPr>
        <w:t xml:space="preserve"> مواطني </w:t>
      </w:r>
      <w:r w:rsidR="004D3051">
        <w:rPr>
          <w:rFonts w:hint="cs"/>
          <w:rtl/>
        </w:rPr>
        <w:t>جمهوريات</w:t>
      </w:r>
      <w:r>
        <w:rPr>
          <w:rtl/>
        </w:rPr>
        <w:t xml:space="preserve"> الاتحاد السوفياتي السابق الذين عرفوا أنفسهم بأنهم عديمو الجنسية </w:t>
      </w:r>
      <w:r w:rsidR="004D3051">
        <w:rPr>
          <w:rFonts w:hint="cs"/>
          <w:rtl/>
        </w:rPr>
        <w:t>أثناء</w:t>
      </w:r>
      <w:r>
        <w:rPr>
          <w:rtl/>
        </w:rPr>
        <w:t xml:space="preserve"> التعداد الوطني للسكان الذي قامت به الدولة الطرف عام 2009. ويُرجى تقديم معلومات بشأن وضع هؤلاء الأفراد في الدولة الطرف وحصولهم على الخدمات الاجتماعية وغيرها من الخدمات.</w:t>
      </w:r>
    </w:p>
    <w:p w:rsidR="004D3051" w:rsidRPr="00BD51B5" w:rsidRDefault="00BD51B5" w:rsidP="00BD51B5">
      <w:pPr>
        <w:pStyle w:val="SingleTxt"/>
        <w:spacing w:after="0" w:line="240" w:lineRule="auto"/>
        <w:rPr>
          <w:rFonts w:hint="cs"/>
          <w:rtl/>
        </w:rPr>
      </w:pPr>
      <w:r>
        <w:rPr>
          <w:rFonts w:hint="cs"/>
          <w:noProof/>
          <w:w w:val="100"/>
          <w:rtl/>
        </w:rPr>
        <w:pict>
          <v:line id="_x0000_s1027" style="position:absolute;left:0;text-align:left;z-index:2" from="206.6pt,24pt" to="278.6pt,24pt" strokecolor="#010000" strokeweight=".25pt">
            <w10:wrap anchorx="page"/>
          </v:line>
        </w:pict>
      </w:r>
    </w:p>
    <w:sectPr w:rsidR="004D3051" w:rsidRPr="00BD51B5" w:rsidSect="00E1714F">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7T11:51:00Z" w:initials="Start">
    <w:p w:rsidR="00E1714F" w:rsidRDefault="00E1714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NO&gt;&gt;N1448371A&lt;&lt;ODS JOB NO</w:t>
      </w:r>
      <w:r>
        <w:rPr>
          <w:rtl/>
        </w:rPr>
        <w:t>&gt;&gt;</w:t>
      </w:r>
    </w:p>
    <w:p w:rsidR="00E1714F" w:rsidRDefault="00E1714F">
      <w:pPr>
        <w:pStyle w:val="CommentText"/>
        <w:rPr>
          <w:rtl/>
        </w:rPr>
      </w:pPr>
      <w:r>
        <w:rPr>
          <w:rtl/>
        </w:rPr>
        <w:t>&lt;&lt;</w:t>
      </w:r>
      <w:r>
        <w:t>ODS DOC SYMBOL1&gt;&gt;CEDAW/C/AZE/Q/5&lt;&lt;ODS DOC SYMBOL1</w:t>
      </w:r>
      <w:r>
        <w:rPr>
          <w:rtl/>
        </w:rPr>
        <w:t>&gt;&gt;</w:t>
      </w:r>
    </w:p>
    <w:p w:rsidR="00E1714F" w:rsidRDefault="00E1714F">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F97" w:rsidRDefault="00432F97" w:rsidP="00693CF9">
      <w:pPr>
        <w:spacing w:line="240" w:lineRule="auto"/>
      </w:pPr>
      <w:r>
        <w:separator/>
      </w:r>
    </w:p>
  </w:endnote>
  <w:endnote w:type="continuationSeparator" w:id="0">
    <w:p w:rsidR="00432F97" w:rsidRDefault="00432F97"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1714F" w:rsidTr="00E1714F">
      <w:tblPrEx>
        <w:tblCellMar>
          <w:top w:w="0" w:type="dxa"/>
          <w:bottom w:w="0" w:type="dxa"/>
        </w:tblCellMar>
      </w:tblPrEx>
      <w:tc>
        <w:tcPr>
          <w:tcW w:w="5033" w:type="dxa"/>
          <w:shd w:val="clear" w:color="auto" w:fill="auto"/>
        </w:tcPr>
        <w:p w:rsidR="00E1714F" w:rsidRPr="00FB48BD" w:rsidRDefault="00E1714F" w:rsidP="00E1714F">
          <w:pPr>
            <w:pStyle w:val="Footer"/>
            <w:rPr>
              <w:rFonts w:cs="Traditional Arabic"/>
              <w:w w:val="103"/>
            </w:rPr>
          </w:pPr>
          <w:r w:rsidRPr="00FB48BD">
            <w:rPr>
              <w:rFonts w:cs="Traditional Arabic"/>
              <w:w w:val="103"/>
            </w:rPr>
            <w:fldChar w:fldCharType="begin"/>
          </w:r>
          <w:r w:rsidRPr="00FB48BD">
            <w:rPr>
              <w:rFonts w:cs="Traditional Arabic"/>
              <w:w w:val="103"/>
            </w:rPr>
            <w:instrText xml:space="preserve"> PAGE  \* Arabic  \* MERGEFORMAT </w:instrText>
          </w:r>
          <w:r w:rsidRPr="00FB48BD">
            <w:rPr>
              <w:rFonts w:cs="Traditional Arabic"/>
              <w:w w:val="103"/>
            </w:rPr>
            <w:fldChar w:fldCharType="separate"/>
          </w:r>
          <w:r w:rsidR="0073581E" w:rsidRPr="00FB48BD">
            <w:rPr>
              <w:rFonts w:cs="Traditional Arabic"/>
              <w:noProof/>
              <w:w w:val="103"/>
            </w:rPr>
            <w:t>2</w:t>
          </w:r>
          <w:r w:rsidRPr="00FB48BD">
            <w:rPr>
              <w:rFonts w:cs="Traditional Arabic"/>
              <w:w w:val="103"/>
            </w:rPr>
            <w:fldChar w:fldCharType="end"/>
          </w:r>
          <w:r w:rsidRPr="00FB48BD">
            <w:rPr>
              <w:rFonts w:cs="Traditional Arabic"/>
              <w:w w:val="103"/>
            </w:rPr>
            <w:t>/</w:t>
          </w:r>
          <w:fldSimple w:instr=" NUMPAGES  \* Arabic  \* MERGEFORMAT ">
            <w:r w:rsidR="0073581E" w:rsidRPr="00FB48BD">
              <w:rPr>
                <w:rFonts w:cs="Traditional Arabic"/>
                <w:noProof/>
                <w:w w:val="103"/>
              </w:rPr>
              <w:t>2</w:t>
            </w:r>
          </w:fldSimple>
        </w:p>
      </w:tc>
      <w:tc>
        <w:tcPr>
          <w:tcW w:w="5033" w:type="dxa"/>
          <w:shd w:val="clear" w:color="auto" w:fill="auto"/>
        </w:tcPr>
        <w:p w:rsidR="00E1714F" w:rsidRPr="00FB48BD" w:rsidRDefault="00E1714F" w:rsidP="00E1714F">
          <w:pPr>
            <w:pStyle w:val="Footer"/>
            <w:jc w:val="left"/>
            <w:rPr>
              <w:rFonts w:cs="Traditional Arabic"/>
              <w:b w:val="0"/>
              <w:w w:val="103"/>
            </w:rPr>
          </w:pPr>
          <w:fldSimple w:instr=" DOCVARIABLE &quot;FooterJN&quot; \* MERGEFORMAT ">
            <w:r w:rsidR="002778D7" w:rsidRPr="00FB48BD">
              <w:rPr>
                <w:rFonts w:cs="Traditional Arabic"/>
                <w:b w:val="0"/>
                <w:w w:val="103"/>
              </w:rPr>
              <w:t>14-58317</w:t>
            </w:r>
          </w:fldSimple>
        </w:p>
      </w:tc>
    </w:tr>
  </w:tbl>
  <w:p w:rsidR="00E1714F" w:rsidRPr="00E1714F" w:rsidRDefault="00E1714F" w:rsidP="00E1714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1714F" w:rsidTr="00E1714F">
      <w:tblPrEx>
        <w:tblCellMar>
          <w:top w:w="0" w:type="dxa"/>
          <w:bottom w:w="0" w:type="dxa"/>
        </w:tblCellMar>
      </w:tblPrEx>
      <w:tc>
        <w:tcPr>
          <w:tcW w:w="5033" w:type="dxa"/>
          <w:shd w:val="clear" w:color="auto" w:fill="auto"/>
        </w:tcPr>
        <w:p w:rsidR="00E1714F" w:rsidRPr="00FB48BD" w:rsidRDefault="00E1714F" w:rsidP="00E1714F">
          <w:pPr>
            <w:pStyle w:val="Footer"/>
            <w:rPr>
              <w:rFonts w:cs="Traditional Arabic"/>
              <w:b w:val="0"/>
              <w:w w:val="103"/>
            </w:rPr>
          </w:pPr>
          <w:fldSimple w:instr=" DOCVARIABLE &quot;FooterJN&quot; \* MERGEFORMAT ">
            <w:r w:rsidR="002778D7" w:rsidRPr="00FB48BD">
              <w:rPr>
                <w:rFonts w:cs="Traditional Arabic"/>
                <w:b w:val="0"/>
                <w:w w:val="103"/>
              </w:rPr>
              <w:t>14-58317</w:t>
            </w:r>
          </w:fldSimple>
        </w:p>
      </w:tc>
      <w:tc>
        <w:tcPr>
          <w:tcW w:w="5033" w:type="dxa"/>
          <w:shd w:val="clear" w:color="auto" w:fill="auto"/>
        </w:tcPr>
        <w:p w:rsidR="00E1714F" w:rsidRPr="00FB48BD" w:rsidRDefault="00E1714F" w:rsidP="00E1714F">
          <w:pPr>
            <w:pStyle w:val="Footer"/>
            <w:jc w:val="left"/>
            <w:rPr>
              <w:rFonts w:cs="Traditional Arabic"/>
              <w:w w:val="103"/>
            </w:rPr>
          </w:pPr>
          <w:r w:rsidRPr="00FB48BD">
            <w:rPr>
              <w:rFonts w:cs="Traditional Arabic"/>
              <w:w w:val="103"/>
            </w:rPr>
            <w:fldChar w:fldCharType="begin"/>
          </w:r>
          <w:r w:rsidRPr="00FB48BD">
            <w:rPr>
              <w:rFonts w:cs="Traditional Arabic"/>
              <w:w w:val="103"/>
            </w:rPr>
            <w:instrText xml:space="preserve"> PAGE  \* Arabic  \* MERGEFORMAT </w:instrText>
          </w:r>
          <w:r w:rsidRPr="00FB48BD">
            <w:rPr>
              <w:rFonts w:cs="Traditional Arabic"/>
              <w:w w:val="103"/>
            </w:rPr>
            <w:fldChar w:fldCharType="separate"/>
          </w:r>
          <w:r w:rsidR="002778D7" w:rsidRPr="00FB48BD">
            <w:rPr>
              <w:rFonts w:cs="Traditional Arabic"/>
              <w:noProof/>
              <w:w w:val="103"/>
            </w:rPr>
            <w:t>7</w:t>
          </w:r>
          <w:r w:rsidRPr="00FB48BD">
            <w:rPr>
              <w:rFonts w:cs="Traditional Arabic"/>
              <w:w w:val="103"/>
            </w:rPr>
            <w:fldChar w:fldCharType="end"/>
          </w:r>
          <w:r w:rsidRPr="00FB48BD">
            <w:rPr>
              <w:rFonts w:cs="Traditional Arabic"/>
              <w:w w:val="103"/>
            </w:rPr>
            <w:t>/</w:t>
          </w:r>
          <w:fldSimple w:instr=" NUMPAGES  \* Arabic  \* MERGEFORMAT ">
            <w:r w:rsidR="002778D7" w:rsidRPr="00FB48BD">
              <w:rPr>
                <w:rFonts w:cs="Traditional Arabic"/>
                <w:noProof/>
                <w:w w:val="103"/>
              </w:rPr>
              <w:t>7</w:t>
            </w:r>
          </w:fldSimple>
        </w:p>
      </w:tc>
    </w:tr>
  </w:tbl>
  <w:p w:rsidR="00E1714F" w:rsidRPr="00E1714F" w:rsidRDefault="00E1714F" w:rsidP="00E1714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E1714F" w:rsidTr="00AB6A00">
      <w:tblPrEx>
        <w:tblCellMar>
          <w:top w:w="0" w:type="dxa"/>
          <w:bottom w:w="0" w:type="dxa"/>
        </w:tblCellMar>
      </w:tblPrEx>
      <w:trPr>
        <w:jc w:val="right"/>
      </w:trPr>
      <w:tc>
        <w:tcPr>
          <w:tcW w:w="3744" w:type="dxa"/>
        </w:tcPr>
        <w:p w:rsidR="00E1714F" w:rsidRDefault="00E1714F" w:rsidP="00E1714F">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1714F" w:rsidRDefault="00E1714F" w:rsidP="00E1714F">
          <w:pPr>
            <w:pStyle w:val="ReleaseDate"/>
          </w:pPr>
          <w:r>
            <w:t xml:space="preserve">171014    171014    </w:t>
          </w:r>
          <w:fldSimple w:instr=" DOCVARIABLE &quot;jobn&quot; \* MERGEFORMAT ">
            <w:r w:rsidR="002778D7">
              <w:t>14-58317 (A)</w:t>
            </w:r>
          </w:fldSimple>
        </w:p>
        <w:p w:rsidR="00E1714F" w:rsidRPr="00FB48BD" w:rsidRDefault="00E1714F" w:rsidP="00E1714F">
          <w:pPr>
            <w:pStyle w:val="Footer"/>
            <w:spacing w:before="80"/>
            <w:rPr>
              <w:rFonts w:ascii="Barcode 3 of 9 by request" w:hAnsi="Barcode 3 of 9 by request" w:cs="Traditional Arabic"/>
              <w:sz w:val="24"/>
            </w:rPr>
          </w:pPr>
          <w:fldSimple w:instr=" DOCVARIABLE &quot;Barcode&quot; \* MERGEFORMAT ">
            <w:r w:rsidR="002778D7" w:rsidRPr="00FB48BD">
              <w:rPr>
                <w:rFonts w:ascii="Barcode 3 of 9 by request" w:hAnsi="Barcode 3 of 9 by request" w:cs="Traditional Arabic"/>
                <w:sz w:val="24"/>
              </w:rPr>
              <w:t>*1458317*</w:t>
            </w:r>
          </w:fldSimple>
        </w:p>
      </w:tc>
    </w:tr>
  </w:tbl>
  <w:p w:rsidR="00E1714F" w:rsidRPr="00E1714F" w:rsidRDefault="00E1714F" w:rsidP="00E1714F">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F97" w:rsidRPr="00584E40" w:rsidRDefault="00432F97" w:rsidP="00584E40">
      <w:pPr>
        <w:pStyle w:val="Footer"/>
        <w:bidi/>
        <w:spacing w:after="80"/>
        <w:ind w:left="792"/>
        <w:jc w:val="left"/>
        <w:rPr>
          <w:sz w:val="16"/>
        </w:rPr>
      </w:pPr>
      <w:r w:rsidRPr="00584E40">
        <w:rPr>
          <w:sz w:val="16"/>
          <w:rtl/>
        </w:rPr>
        <w:t>__________</w:t>
      </w:r>
    </w:p>
  </w:footnote>
  <w:footnote w:type="continuationSeparator" w:id="0">
    <w:p w:rsidR="00432F97" w:rsidRPr="00584E40" w:rsidRDefault="00432F97" w:rsidP="00584E40">
      <w:pPr>
        <w:pStyle w:val="Footer"/>
        <w:bidi/>
        <w:spacing w:after="80"/>
        <w:ind w:left="792"/>
        <w:jc w:val="left"/>
        <w:rPr>
          <w:sz w:val="16"/>
        </w:rPr>
      </w:pPr>
      <w:r w:rsidRPr="00584E40">
        <w:rPr>
          <w:sz w:val="16"/>
          <w:rtl/>
        </w:rPr>
        <w:t>__________</w:t>
      </w:r>
    </w:p>
  </w:footnote>
  <w:footnote w:id="1">
    <w:p w:rsidR="00584E40" w:rsidRDefault="00584E40" w:rsidP="00584E40">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t>اعتمده اجتماع الفريق العامل لما قبل الدورة الستين، الذي اجتمع في الفترة من 21 إلى 25 تموز/يوليه 2014.</w:t>
      </w:r>
    </w:p>
    <w:p w:rsidR="00584E40" w:rsidRPr="00584E40" w:rsidRDefault="00584E40" w:rsidP="00584E4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84E40">
        <w:rPr>
          <w:w w:val="103"/>
          <w:rtl/>
        </w:rPr>
        <w:t>(</w:t>
      </w:r>
      <w:r w:rsidRPr="00584E40">
        <w:rPr>
          <w:rStyle w:val="FootnoteReference"/>
          <w:spacing w:val="0"/>
          <w:w w:val="103"/>
          <w:vertAlign w:val="baseline"/>
          <w:rtl/>
        </w:rPr>
        <w:footnoteRef/>
      </w:r>
      <w:r w:rsidRPr="00584E40">
        <w:rPr>
          <w:w w:val="103"/>
          <w:rtl/>
        </w:rPr>
        <w:t>)</w:t>
      </w:r>
      <w:r w:rsidRPr="00584E40">
        <w:rPr>
          <w:w w:val="103"/>
          <w:rtl/>
        </w:rPr>
        <w:tab/>
      </w:r>
      <w:r>
        <w:rPr>
          <w:rFonts w:hint="cs"/>
          <w:w w:val="103"/>
          <w:rtl/>
        </w:rPr>
        <w:t>ما لم ترد الإشارة إلى خلاف ذلك، تشير أرقام الفقرات إلى التقرير الدولي الخامس للدولة الطرف.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1714F" w:rsidTr="00E1714F">
      <w:tblPrEx>
        <w:tblCellMar>
          <w:top w:w="0" w:type="dxa"/>
          <w:bottom w:w="0" w:type="dxa"/>
        </w:tblCellMar>
      </w:tblPrEx>
      <w:trPr>
        <w:trHeight w:hRule="exact" w:val="864"/>
        <w:jc w:val="center"/>
      </w:trPr>
      <w:tc>
        <w:tcPr>
          <w:tcW w:w="4925" w:type="dxa"/>
          <w:shd w:val="clear" w:color="auto" w:fill="auto"/>
          <w:vAlign w:val="bottom"/>
        </w:tcPr>
        <w:p w:rsidR="00E1714F" w:rsidRPr="00FB48BD" w:rsidRDefault="00E1714F" w:rsidP="00E1714F">
          <w:pPr>
            <w:pStyle w:val="Header"/>
            <w:bidi/>
            <w:rPr>
              <w:rFonts w:cs="Traditional Arabic"/>
            </w:rPr>
          </w:pPr>
        </w:p>
      </w:tc>
      <w:tc>
        <w:tcPr>
          <w:tcW w:w="4925" w:type="dxa"/>
          <w:shd w:val="clear" w:color="auto" w:fill="auto"/>
          <w:vAlign w:val="bottom"/>
        </w:tcPr>
        <w:p w:rsidR="00E1714F" w:rsidRPr="00FB48BD" w:rsidRDefault="00E1714F" w:rsidP="00E1714F">
          <w:pPr>
            <w:pStyle w:val="Header"/>
            <w:spacing w:after="80"/>
            <w:rPr>
              <w:rFonts w:cs="Traditional Arabic"/>
              <w:w w:val="103"/>
            </w:rPr>
          </w:pPr>
          <w:fldSimple w:instr=" DOCVARIABLE sss1  \* MERGEFORMAT ">
            <w:r w:rsidR="002778D7" w:rsidRPr="00FB48BD">
              <w:rPr>
                <w:rFonts w:cs="Traditional Arabic"/>
                <w:w w:val="103"/>
              </w:rPr>
              <w:t>CEDAW/C/AZE/Q/5</w:t>
            </w:r>
          </w:fldSimple>
        </w:p>
      </w:tc>
    </w:tr>
  </w:tbl>
  <w:p w:rsidR="00E1714F" w:rsidRPr="00E1714F" w:rsidRDefault="00E1714F" w:rsidP="00E1714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1714F" w:rsidTr="00E1714F">
      <w:tblPrEx>
        <w:tblCellMar>
          <w:top w:w="0" w:type="dxa"/>
          <w:bottom w:w="0" w:type="dxa"/>
        </w:tblCellMar>
      </w:tblPrEx>
      <w:trPr>
        <w:trHeight w:hRule="exact" w:val="864"/>
        <w:jc w:val="center"/>
      </w:trPr>
      <w:tc>
        <w:tcPr>
          <w:tcW w:w="4925" w:type="dxa"/>
          <w:shd w:val="clear" w:color="auto" w:fill="auto"/>
          <w:vAlign w:val="bottom"/>
        </w:tcPr>
        <w:p w:rsidR="00E1714F" w:rsidRPr="00FB48BD" w:rsidRDefault="00E1714F" w:rsidP="00E1714F">
          <w:pPr>
            <w:pStyle w:val="Header"/>
            <w:spacing w:after="80"/>
            <w:jc w:val="left"/>
            <w:rPr>
              <w:rFonts w:cs="Traditional Arabic"/>
              <w:w w:val="103"/>
            </w:rPr>
          </w:pPr>
          <w:fldSimple w:instr=" DOCVARIABLE sss1  \* MERGEFORMAT ">
            <w:r w:rsidR="002778D7" w:rsidRPr="00FB48BD">
              <w:rPr>
                <w:rFonts w:cs="Traditional Arabic"/>
                <w:w w:val="103"/>
              </w:rPr>
              <w:t>CEDAW/C/AZE/Q/5</w:t>
            </w:r>
          </w:fldSimple>
        </w:p>
      </w:tc>
      <w:tc>
        <w:tcPr>
          <w:tcW w:w="4925" w:type="dxa"/>
          <w:shd w:val="clear" w:color="auto" w:fill="auto"/>
          <w:vAlign w:val="bottom"/>
        </w:tcPr>
        <w:p w:rsidR="00E1714F" w:rsidRPr="00FB48BD" w:rsidRDefault="00E1714F" w:rsidP="00E1714F">
          <w:pPr>
            <w:pStyle w:val="Header"/>
            <w:rPr>
              <w:rFonts w:cs="Traditional Arabic"/>
            </w:rPr>
          </w:pPr>
        </w:p>
      </w:tc>
    </w:tr>
  </w:tbl>
  <w:p w:rsidR="00E1714F" w:rsidRPr="00E1714F" w:rsidRDefault="00E1714F" w:rsidP="00E1714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1714F" w:rsidTr="00E1714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1714F" w:rsidRPr="00FB48BD" w:rsidRDefault="00E1714F" w:rsidP="00E1714F">
          <w:pPr>
            <w:pStyle w:val="Header"/>
            <w:spacing w:after="120"/>
            <w:rPr>
              <w:rFonts w:cs="Traditional Arabic"/>
            </w:rPr>
          </w:pPr>
        </w:p>
      </w:tc>
      <w:tc>
        <w:tcPr>
          <w:tcW w:w="1786" w:type="dxa"/>
          <w:tcBorders>
            <w:bottom w:val="single" w:sz="4" w:space="0" w:color="auto"/>
          </w:tcBorders>
          <w:shd w:val="clear" w:color="auto" w:fill="auto"/>
          <w:vAlign w:val="bottom"/>
        </w:tcPr>
        <w:p w:rsidR="00E1714F" w:rsidRPr="00E1714F" w:rsidRDefault="00E1714F" w:rsidP="00E1714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1714F" w:rsidRPr="00FB48BD" w:rsidRDefault="00E1714F" w:rsidP="00E1714F">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E1714F" w:rsidRPr="00E1714F" w:rsidRDefault="00E1714F" w:rsidP="00E1714F">
          <w:pPr>
            <w:spacing w:line="380" w:lineRule="exact"/>
            <w:jc w:val="right"/>
          </w:pPr>
          <w:r>
            <w:rPr>
              <w:sz w:val="40"/>
            </w:rPr>
            <w:t>CEDAW</w:t>
          </w:r>
          <w:r>
            <w:t>/C/AZE/Q/5</w:t>
          </w:r>
        </w:p>
      </w:tc>
    </w:tr>
    <w:tr w:rsidR="00E1714F" w:rsidRPr="00E1714F" w:rsidTr="00E1714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1714F" w:rsidRPr="00FB48BD" w:rsidRDefault="00E1714F" w:rsidP="00E1714F">
          <w:pPr>
            <w:pStyle w:val="Header"/>
            <w:spacing w:before="109"/>
            <w:rPr>
              <w:rFonts w:cs="Traditional Arabic"/>
            </w:rPr>
          </w:pPr>
          <w:r w:rsidRPr="00FB48BD">
            <w:rPr>
              <w:rFonts w:cs="Traditional Arabic"/>
            </w:rPr>
            <w:t xml:space="preserve"> </w:t>
          </w:r>
          <w:r w:rsidRPr="00FB48BD">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714F" w:rsidRPr="00FB48BD" w:rsidRDefault="00E1714F" w:rsidP="00E1714F">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E1714F" w:rsidRPr="00E1714F" w:rsidRDefault="00E1714F" w:rsidP="00E1714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1714F" w:rsidRPr="00FB48BD" w:rsidRDefault="00E1714F" w:rsidP="00E1714F">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E1714F" w:rsidRDefault="00E1714F" w:rsidP="00E1714F">
          <w:pPr>
            <w:pStyle w:val="Distribution"/>
            <w:bidi w:val="0"/>
            <w:spacing w:before="240"/>
          </w:pPr>
          <w:r>
            <w:t>Distr.: General</w:t>
          </w:r>
        </w:p>
        <w:p w:rsidR="00E1714F" w:rsidRDefault="00E1714F" w:rsidP="00E1714F">
          <w:pPr>
            <w:pStyle w:val="Publication"/>
            <w:bidi w:val="0"/>
          </w:pPr>
          <w:r>
            <w:t>25 July 2014</w:t>
          </w:r>
        </w:p>
        <w:p w:rsidR="00E1714F" w:rsidRDefault="00E1714F" w:rsidP="00E1714F">
          <w:pPr>
            <w:bidi w:val="0"/>
            <w:spacing w:line="240" w:lineRule="exact"/>
            <w:jc w:val="left"/>
          </w:pPr>
          <w:r>
            <w:t>Arabic</w:t>
          </w:r>
        </w:p>
        <w:p w:rsidR="00E1714F" w:rsidRDefault="00E1714F" w:rsidP="00E1714F">
          <w:pPr>
            <w:pStyle w:val="Original"/>
            <w:bidi w:val="0"/>
          </w:pPr>
          <w:r>
            <w:t>Original: English</w:t>
          </w:r>
        </w:p>
        <w:p w:rsidR="00E1714F" w:rsidRPr="00E1714F" w:rsidRDefault="00E1714F" w:rsidP="00E1714F">
          <w:pPr>
            <w:bidi w:val="0"/>
            <w:spacing w:line="240" w:lineRule="exact"/>
            <w:jc w:val="left"/>
          </w:pPr>
        </w:p>
      </w:tc>
    </w:tr>
  </w:tbl>
  <w:p w:rsidR="00E1714F" w:rsidRPr="00E1714F" w:rsidRDefault="00E1714F" w:rsidP="00E1714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17*"/>
    <w:docVar w:name="CreationDt" w:val="17/10/2014 11:51 AM"/>
    <w:docVar w:name="DocCategory" w:val="Doc"/>
    <w:docVar w:name="DocType" w:val="Final"/>
    <w:docVar w:name="FooterJN" w:val="14-58317"/>
    <w:docVar w:name="jobn" w:val="14-58317 (A)"/>
    <w:docVar w:name="jobnDT" w:val="14-58317 (A)   171014"/>
    <w:docVar w:name="jobnDTDT" w:val="14-58317 (A)   171014   171014"/>
    <w:docVar w:name="JobNo" w:val="1458317A"/>
    <w:docVar w:name="OandT" w:val=" "/>
    <w:docVar w:name="sss1" w:val="CEDAW/C/AZE/Q/5"/>
    <w:docVar w:name="sss2" w:val="-"/>
    <w:docVar w:name="Symbol1" w:val="CEDAW/C/AZE/Q/5"/>
    <w:docVar w:name="Symbol2" w:val="-"/>
  </w:docVars>
  <w:rsids>
    <w:rsidRoot w:val="00D83AD3"/>
    <w:rsid w:val="000170D3"/>
    <w:rsid w:val="000311C9"/>
    <w:rsid w:val="00042425"/>
    <w:rsid w:val="00047F6A"/>
    <w:rsid w:val="0005137B"/>
    <w:rsid w:val="00056AA7"/>
    <w:rsid w:val="0006648F"/>
    <w:rsid w:val="00067017"/>
    <w:rsid w:val="00070E09"/>
    <w:rsid w:val="00087310"/>
    <w:rsid w:val="0009732C"/>
    <w:rsid w:val="000B640C"/>
    <w:rsid w:val="000C4EED"/>
    <w:rsid w:val="000D2CEC"/>
    <w:rsid w:val="000D4A4F"/>
    <w:rsid w:val="000F7F40"/>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6A29"/>
    <w:rsid w:val="002416C5"/>
    <w:rsid w:val="0025002E"/>
    <w:rsid w:val="0025236C"/>
    <w:rsid w:val="00252D19"/>
    <w:rsid w:val="002606E6"/>
    <w:rsid w:val="00266F59"/>
    <w:rsid w:val="00272B6C"/>
    <w:rsid w:val="0027623A"/>
    <w:rsid w:val="002778D7"/>
    <w:rsid w:val="00290F2F"/>
    <w:rsid w:val="002937DA"/>
    <w:rsid w:val="002A09C6"/>
    <w:rsid w:val="002C2AF2"/>
    <w:rsid w:val="002C4E1B"/>
    <w:rsid w:val="002D58BC"/>
    <w:rsid w:val="002E1490"/>
    <w:rsid w:val="002E750A"/>
    <w:rsid w:val="002F0573"/>
    <w:rsid w:val="00312162"/>
    <w:rsid w:val="00312525"/>
    <w:rsid w:val="00334439"/>
    <w:rsid w:val="003501D5"/>
    <w:rsid w:val="00351324"/>
    <w:rsid w:val="003676A8"/>
    <w:rsid w:val="00371AC4"/>
    <w:rsid w:val="00376CFA"/>
    <w:rsid w:val="00383A67"/>
    <w:rsid w:val="00383CA8"/>
    <w:rsid w:val="00383EF3"/>
    <w:rsid w:val="00392568"/>
    <w:rsid w:val="003A65ED"/>
    <w:rsid w:val="003D4612"/>
    <w:rsid w:val="003E1BB9"/>
    <w:rsid w:val="003E26D7"/>
    <w:rsid w:val="003E6DF8"/>
    <w:rsid w:val="003F4B8C"/>
    <w:rsid w:val="003F4D56"/>
    <w:rsid w:val="00401BDF"/>
    <w:rsid w:val="00411BBD"/>
    <w:rsid w:val="00415922"/>
    <w:rsid w:val="00423BD7"/>
    <w:rsid w:val="0042757D"/>
    <w:rsid w:val="00432F97"/>
    <w:rsid w:val="00437C14"/>
    <w:rsid w:val="004527C9"/>
    <w:rsid w:val="00453069"/>
    <w:rsid w:val="0048330E"/>
    <w:rsid w:val="00483F5B"/>
    <w:rsid w:val="00490874"/>
    <w:rsid w:val="00494EE2"/>
    <w:rsid w:val="00496E83"/>
    <w:rsid w:val="004A2886"/>
    <w:rsid w:val="004A3EB6"/>
    <w:rsid w:val="004A79AC"/>
    <w:rsid w:val="004B14A0"/>
    <w:rsid w:val="004B1CBB"/>
    <w:rsid w:val="004D1B0C"/>
    <w:rsid w:val="004D3051"/>
    <w:rsid w:val="004D3ACE"/>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84E40"/>
    <w:rsid w:val="00590CD4"/>
    <w:rsid w:val="00591B45"/>
    <w:rsid w:val="005933FE"/>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3581E"/>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24D1C"/>
    <w:rsid w:val="00825DBA"/>
    <w:rsid w:val="00830E32"/>
    <w:rsid w:val="00845A14"/>
    <w:rsid w:val="00847A70"/>
    <w:rsid w:val="0085331D"/>
    <w:rsid w:val="00853F0F"/>
    <w:rsid w:val="00857219"/>
    <w:rsid w:val="00873A11"/>
    <w:rsid w:val="00873AF9"/>
    <w:rsid w:val="0088317F"/>
    <w:rsid w:val="008A3FCA"/>
    <w:rsid w:val="008C2137"/>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A1F"/>
    <w:rsid w:val="009E5241"/>
    <w:rsid w:val="009F231F"/>
    <w:rsid w:val="009F5698"/>
    <w:rsid w:val="00A040F4"/>
    <w:rsid w:val="00A37C4B"/>
    <w:rsid w:val="00A47282"/>
    <w:rsid w:val="00A56F63"/>
    <w:rsid w:val="00A66F66"/>
    <w:rsid w:val="00A71AE5"/>
    <w:rsid w:val="00A77F16"/>
    <w:rsid w:val="00A8067B"/>
    <w:rsid w:val="00A90909"/>
    <w:rsid w:val="00AA1E16"/>
    <w:rsid w:val="00AB6A00"/>
    <w:rsid w:val="00AC002C"/>
    <w:rsid w:val="00AC2EE0"/>
    <w:rsid w:val="00AC6CDD"/>
    <w:rsid w:val="00AD1A68"/>
    <w:rsid w:val="00AD38D0"/>
    <w:rsid w:val="00AE108C"/>
    <w:rsid w:val="00AE5AE2"/>
    <w:rsid w:val="00AF1A53"/>
    <w:rsid w:val="00AF5831"/>
    <w:rsid w:val="00AF7AC7"/>
    <w:rsid w:val="00B05ADC"/>
    <w:rsid w:val="00B272BE"/>
    <w:rsid w:val="00B36AFF"/>
    <w:rsid w:val="00B53E51"/>
    <w:rsid w:val="00B54966"/>
    <w:rsid w:val="00B5784C"/>
    <w:rsid w:val="00B750B8"/>
    <w:rsid w:val="00B9542C"/>
    <w:rsid w:val="00B95560"/>
    <w:rsid w:val="00BA7FAB"/>
    <w:rsid w:val="00BC2F4C"/>
    <w:rsid w:val="00BC4A05"/>
    <w:rsid w:val="00BC567D"/>
    <w:rsid w:val="00BD51B5"/>
    <w:rsid w:val="00BF0B15"/>
    <w:rsid w:val="00C12CBB"/>
    <w:rsid w:val="00C25A2D"/>
    <w:rsid w:val="00C260F8"/>
    <w:rsid w:val="00C3050C"/>
    <w:rsid w:val="00C43FBE"/>
    <w:rsid w:val="00C449C6"/>
    <w:rsid w:val="00C541E1"/>
    <w:rsid w:val="00C54875"/>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83AD3"/>
    <w:rsid w:val="00DA66B7"/>
    <w:rsid w:val="00DB0865"/>
    <w:rsid w:val="00DB0C91"/>
    <w:rsid w:val="00DB7206"/>
    <w:rsid w:val="00DC5C1E"/>
    <w:rsid w:val="00DE5433"/>
    <w:rsid w:val="00DE68A7"/>
    <w:rsid w:val="00DF5A43"/>
    <w:rsid w:val="00DF5F38"/>
    <w:rsid w:val="00E1714F"/>
    <w:rsid w:val="00E21491"/>
    <w:rsid w:val="00E23336"/>
    <w:rsid w:val="00E31661"/>
    <w:rsid w:val="00E32B52"/>
    <w:rsid w:val="00E35D91"/>
    <w:rsid w:val="00E3652F"/>
    <w:rsid w:val="00E47EB8"/>
    <w:rsid w:val="00E52F1E"/>
    <w:rsid w:val="00E704FD"/>
    <w:rsid w:val="00E750E1"/>
    <w:rsid w:val="00E7795A"/>
    <w:rsid w:val="00E9114A"/>
    <w:rsid w:val="00E91E6F"/>
    <w:rsid w:val="00EA0D5B"/>
    <w:rsid w:val="00EA3948"/>
    <w:rsid w:val="00EA489C"/>
    <w:rsid w:val="00EA7B59"/>
    <w:rsid w:val="00EB0CA7"/>
    <w:rsid w:val="00EB4992"/>
    <w:rsid w:val="00ED3C2E"/>
    <w:rsid w:val="00EF2E52"/>
    <w:rsid w:val="00F031FB"/>
    <w:rsid w:val="00F32E4A"/>
    <w:rsid w:val="00F36D8C"/>
    <w:rsid w:val="00F76AD4"/>
    <w:rsid w:val="00F93545"/>
    <w:rsid w:val="00F96FBA"/>
    <w:rsid w:val="00FB2B5B"/>
    <w:rsid w:val="00FB48BD"/>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E1714F"/>
    <w:rPr>
      <w:rFonts w:cs="Times New Roman"/>
      <w:szCs w:val="20"/>
      <w:lang/>
    </w:rPr>
  </w:style>
  <w:style w:type="character" w:customStyle="1" w:styleId="CommentTextChar">
    <w:name w:val="Comment Text Char"/>
    <w:link w:val="CommentText"/>
    <w:rsid w:val="00E1714F"/>
    <w:rPr>
      <w:w w:val="103"/>
      <w:kern w:val="14"/>
    </w:rPr>
  </w:style>
  <w:style w:type="paragraph" w:styleId="CommentSubject">
    <w:name w:val="annotation subject"/>
    <w:basedOn w:val="CommentText"/>
    <w:next w:val="CommentText"/>
    <w:link w:val="CommentSubjectChar"/>
    <w:rsid w:val="00E1714F"/>
    <w:rPr>
      <w:b/>
      <w:bCs/>
    </w:rPr>
  </w:style>
  <w:style w:type="character" w:customStyle="1" w:styleId="CommentSubjectChar">
    <w:name w:val="Comment Subject Char"/>
    <w:link w:val="CommentSubject"/>
    <w:rsid w:val="00E1714F"/>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CEDAW/C/AZE/5" TargetMode="External"/><Relationship Id="rId26" Type="http://schemas.openxmlformats.org/officeDocument/2006/relationships/hyperlink" Target="http://undocs.org/CEDAW/C/AZE/5" TargetMode="External"/><Relationship Id="rId3" Type="http://schemas.openxmlformats.org/officeDocument/2006/relationships/webSettings" Target="webSettings.xml"/><Relationship Id="rId21" Type="http://schemas.openxmlformats.org/officeDocument/2006/relationships/hyperlink" Target="http://undocs.org/CEDAW/C/AZE/5" TargetMode="External"/><Relationship Id="rId34"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CEDAW/C/AZE/5" TargetMode="External"/><Relationship Id="rId25" Type="http://schemas.openxmlformats.org/officeDocument/2006/relationships/hyperlink" Target="http://undocs.org/CEDAW/C/AZE/5" TargetMode="External"/><Relationship Id="rId33" Type="http://schemas.openxmlformats.org/officeDocument/2006/relationships/hyperlink" Target="http://undocs.org/CEDAW/C/AZE/5" TargetMode="External"/><Relationship Id="rId2" Type="http://schemas.openxmlformats.org/officeDocument/2006/relationships/settings" Target="settings.xml"/><Relationship Id="rId16" Type="http://schemas.openxmlformats.org/officeDocument/2006/relationships/hyperlink" Target="http://undocs.org/CEDAW/C/AZE/5" TargetMode="External"/><Relationship Id="rId20" Type="http://schemas.openxmlformats.org/officeDocument/2006/relationships/hyperlink" Target="http://undocs.org/CEDAW/C/AZE/5" TargetMode="External"/><Relationship Id="rId29" Type="http://schemas.openxmlformats.org/officeDocument/2006/relationships/hyperlink" Target="http://undocs.org/CEDAW/C/AZE/5"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AZE/5" TargetMode="External"/><Relationship Id="rId32" Type="http://schemas.openxmlformats.org/officeDocument/2006/relationships/hyperlink" Target="http://undocs.org/CEDAW/C/AZE/5" TargetMode="External"/><Relationship Id="rId5" Type="http://schemas.openxmlformats.org/officeDocument/2006/relationships/endnotes" Target="endnotes.xml"/><Relationship Id="rId15" Type="http://schemas.openxmlformats.org/officeDocument/2006/relationships/hyperlink" Target="http://undocs.org/CEDAW/C/AZE/5" TargetMode="External"/><Relationship Id="rId23" Type="http://schemas.openxmlformats.org/officeDocument/2006/relationships/hyperlink" Target="http://undocs.org/CEDAW/C/AZE/5" TargetMode="External"/><Relationship Id="rId28" Type="http://schemas.openxmlformats.org/officeDocument/2006/relationships/hyperlink" Target="http://undocs.org/CEDAW/C/AZE/5" TargetMode="External"/><Relationship Id="rId10" Type="http://schemas.openxmlformats.org/officeDocument/2006/relationships/header" Target="header3.xml"/><Relationship Id="rId19" Type="http://schemas.openxmlformats.org/officeDocument/2006/relationships/hyperlink" Target="http://undocs.org/CEDAW/C/AZE/5" TargetMode="External"/><Relationship Id="rId31" Type="http://schemas.openxmlformats.org/officeDocument/2006/relationships/hyperlink" Target="http://undocs.org/CEDAW/C/AZE/5"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AZE/5" TargetMode="External"/><Relationship Id="rId22" Type="http://schemas.openxmlformats.org/officeDocument/2006/relationships/hyperlink" Target="http://undocs.org/CEDAW/C/AZE/5" TargetMode="External"/><Relationship Id="rId27" Type="http://schemas.openxmlformats.org/officeDocument/2006/relationships/hyperlink" Target="http://undocs.org/CEDAW/C/AZE/5" TargetMode="External"/><Relationship Id="rId30" Type="http://schemas.openxmlformats.org/officeDocument/2006/relationships/hyperlink" Target="http://undocs.org/CEDAW/C/AZE/5"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2015</Words>
  <Characters>11490</Characters>
  <Application>Microsoft Office Outlook</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13479</CharactersWithSpaces>
  <SharedDoc>false</SharedDoc>
  <HLinks>
    <vt:vector size="120" baseType="variant">
      <vt:variant>
        <vt:i4>8061028</vt:i4>
      </vt:variant>
      <vt:variant>
        <vt:i4>57</vt:i4>
      </vt:variant>
      <vt:variant>
        <vt:i4>0</vt:i4>
      </vt:variant>
      <vt:variant>
        <vt:i4>5</vt:i4>
      </vt:variant>
      <vt:variant>
        <vt:lpwstr>http://undocs.org/CEDAW/C/AZE/5</vt:lpwstr>
      </vt:variant>
      <vt:variant>
        <vt:lpwstr/>
      </vt:variant>
      <vt:variant>
        <vt:i4>8061028</vt:i4>
      </vt:variant>
      <vt:variant>
        <vt:i4>54</vt:i4>
      </vt:variant>
      <vt:variant>
        <vt:i4>0</vt:i4>
      </vt:variant>
      <vt:variant>
        <vt:i4>5</vt:i4>
      </vt:variant>
      <vt:variant>
        <vt:lpwstr>http://undocs.org/CEDAW/C/AZE/5</vt:lpwstr>
      </vt:variant>
      <vt:variant>
        <vt:lpwstr/>
      </vt:variant>
      <vt:variant>
        <vt:i4>8061028</vt:i4>
      </vt:variant>
      <vt:variant>
        <vt:i4>51</vt:i4>
      </vt:variant>
      <vt:variant>
        <vt:i4>0</vt:i4>
      </vt:variant>
      <vt:variant>
        <vt:i4>5</vt:i4>
      </vt:variant>
      <vt:variant>
        <vt:lpwstr>http://undocs.org/CEDAW/C/AZE/5</vt:lpwstr>
      </vt:variant>
      <vt:variant>
        <vt:lpwstr/>
      </vt:variant>
      <vt:variant>
        <vt:i4>8061028</vt:i4>
      </vt:variant>
      <vt:variant>
        <vt:i4>48</vt:i4>
      </vt:variant>
      <vt:variant>
        <vt:i4>0</vt:i4>
      </vt:variant>
      <vt:variant>
        <vt:i4>5</vt:i4>
      </vt:variant>
      <vt:variant>
        <vt:lpwstr>http://undocs.org/CEDAW/C/AZE/5</vt:lpwstr>
      </vt:variant>
      <vt:variant>
        <vt:lpwstr/>
      </vt:variant>
      <vt:variant>
        <vt:i4>8061028</vt:i4>
      </vt:variant>
      <vt:variant>
        <vt:i4>45</vt:i4>
      </vt:variant>
      <vt:variant>
        <vt:i4>0</vt:i4>
      </vt:variant>
      <vt:variant>
        <vt:i4>5</vt:i4>
      </vt:variant>
      <vt:variant>
        <vt:lpwstr>http://undocs.org/CEDAW/C/AZE/5</vt:lpwstr>
      </vt:variant>
      <vt:variant>
        <vt:lpwstr/>
      </vt:variant>
      <vt:variant>
        <vt:i4>8061028</vt:i4>
      </vt:variant>
      <vt:variant>
        <vt:i4>42</vt:i4>
      </vt:variant>
      <vt:variant>
        <vt:i4>0</vt:i4>
      </vt:variant>
      <vt:variant>
        <vt:i4>5</vt:i4>
      </vt:variant>
      <vt:variant>
        <vt:lpwstr>http://undocs.org/CEDAW/C/AZE/5</vt:lpwstr>
      </vt:variant>
      <vt:variant>
        <vt:lpwstr/>
      </vt:variant>
      <vt:variant>
        <vt:i4>8061028</vt:i4>
      </vt:variant>
      <vt:variant>
        <vt:i4>39</vt:i4>
      </vt:variant>
      <vt:variant>
        <vt:i4>0</vt:i4>
      </vt:variant>
      <vt:variant>
        <vt:i4>5</vt:i4>
      </vt:variant>
      <vt:variant>
        <vt:lpwstr>http://undocs.org/CEDAW/C/AZE/5</vt:lpwstr>
      </vt:variant>
      <vt:variant>
        <vt:lpwstr/>
      </vt:variant>
      <vt:variant>
        <vt:i4>8061028</vt:i4>
      </vt:variant>
      <vt:variant>
        <vt:i4>36</vt:i4>
      </vt:variant>
      <vt:variant>
        <vt:i4>0</vt:i4>
      </vt:variant>
      <vt:variant>
        <vt:i4>5</vt:i4>
      </vt:variant>
      <vt:variant>
        <vt:lpwstr>http://undocs.org/CEDAW/C/AZE/5</vt:lpwstr>
      </vt:variant>
      <vt:variant>
        <vt:lpwstr/>
      </vt:variant>
      <vt:variant>
        <vt:i4>8061028</vt:i4>
      </vt:variant>
      <vt:variant>
        <vt:i4>33</vt:i4>
      </vt:variant>
      <vt:variant>
        <vt:i4>0</vt:i4>
      </vt:variant>
      <vt:variant>
        <vt:i4>5</vt:i4>
      </vt:variant>
      <vt:variant>
        <vt:lpwstr>http://undocs.org/CEDAW/C/AZE/5</vt:lpwstr>
      </vt:variant>
      <vt:variant>
        <vt:lpwstr/>
      </vt:variant>
      <vt:variant>
        <vt:i4>8061028</vt:i4>
      </vt:variant>
      <vt:variant>
        <vt:i4>30</vt:i4>
      </vt:variant>
      <vt:variant>
        <vt:i4>0</vt:i4>
      </vt:variant>
      <vt:variant>
        <vt:i4>5</vt:i4>
      </vt:variant>
      <vt:variant>
        <vt:lpwstr>http://undocs.org/CEDAW/C/AZE/5</vt:lpwstr>
      </vt:variant>
      <vt:variant>
        <vt:lpwstr/>
      </vt:variant>
      <vt:variant>
        <vt:i4>8061028</vt:i4>
      </vt:variant>
      <vt:variant>
        <vt:i4>27</vt:i4>
      </vt:variant>
      <vt:variant>
        <vt:i4>0</vt:i4>
      </vt:variant>
      <vt:variant>
        <vt:i4>5</vt:i4>
      </vt:variant>
      <vt:variant>
        <vt:lpwstr>http://undocs.org/CEDAW/C/AZE/5</vt:lpwstr>
      </vt:variant>
      <vt:variant>
        <vt:lpwstr/>
      </vt:variant>
      <vt:variant>
        <vt:i4>8061028</vt:i4>
      </vt:variant>
      <vt:variant>
        <vt:i4>24</vt:i4>
      </vt:variant>
      <vt:variant>
        <vt:i4>0</vt:i4>
      </vt:variant>
      <vt:variant>
        <vt:i4>5</vt:i4>
      </vt:variant>
      <vt:variant>
        <vt:lpwstr>http://undocs.org/CEDAW/C/AZE/5</vt:lpwstr>
      </vt:variant>
      <vt:variant>
        <vt:lpwstr/>
      </vt:variant>
      <vt:variant>
        <vt:i4>8061028</vt:i4>
      </vt:variant>
      <vt:variant>
        <vt:i4>21</vt:i4>
      </vt:variant>
      <vt:variant>
        <vt:i4>0</vt:i4>
      </vt:variant>
      <vt:variant>
        <vt:i4>5</vt:i4>
      </vt:variant>
      <vt:variant>
        <vt:lpwstr>http://undocs.org/CEDAW/C/AZE/5</vt:lpwstr>
      </vt:variant>
      <vt:variant>
        <vt:lpwstr/>
      </vt:variant>
      <vt:variant>
        <vt:i4>8061028</vt:i4>
      </vt:variant>
      <vt:variant>
        <vt:i4>18</vt:i4>
      </vt:variant>
      <vt:variant>
        <vt:i4>0</vt:i4>
      </vt:variant>
      <vt:variant>
        <vt:i4>5</vt:i4>
      </vt:variant>
      <vt:variant>
        <vt:lpwstr>http://undocs.org/CEDAW/C/AZE/5</vt:lpwstr>
      </vt:variant>
      <vt:variant>
        <vt:lpwstr/>
      </vt:variant>
      <vt:variant>
        <vt:i4>8061028</vt:i4>
      </vt:variant>
      <vt:variant>
        <vt:i4>15</vt:i4>
      </vt:variant>
      <vt:variant>
        <vt:i4>0</vt:i4>
      </vt:variant>
      <vt:variant>
        <vt:i4>5</vt:i4>
      </vt:variant>
      <vt:variant>
        <vt:lpwstr>http://undocs.org/CEDAW/C/AZE/5</vt:lpwstr>
      </vt:variant>
      <vt:variant>
        <vt:lpwstr/>
      </vt:variant>
      <vt:variant>
        <vt:i4>8061028</vt:i4>
      </vt:variant>
      <vt:variant>
        <vt:i4>12</vt:i4>
      </vt:variant>
      <vt:variant>
        <vt:i4>0</vt:i4>
      </vt:variant>
      <vt:variant>
        <vt:i4>5</vt:i4>
      </vt:variant>
      <vt:variant>
        <vt:lpwstr>http://undocs.org/CEDAW/C/AZE/5</vt:lpwstr>
      </vt:variant>
      <vt:variant>
        <vt:lpwstr/>
      </vt:variant>
      <vt:variant>
        <vt:i4>8061028</vt:i4>
      </vt:variant>
      <vt:variant>
        <vt:i4>9</vt:i4>
      </vt:variant>
      <vt:variant>
        <vt:i4>0</vt:i4>
      </vt:variant>
      <vt:variant>
        <vt:i4>5</vt:i4>
      </vt:variant>
      <vt:variant>
        <vt:lpwstr>http://undocs.org/CEDAW/C/AZE/5</vt:lpwstr>
      </vt:variant>
      <vt:variant>
        <vt:lpwstr/>
      </vt:variant>
      <vt:variant>
        <vt:i4>8061028</vt:i4>
      </vt:variant>
      <vt:variant>
        <vt:i4>6</vt:i4>
      </vt:variant>
      <vt:variant>
        <vt:i4>0</vt:i4>
      </vt:variant>
      <vt:variant>
        <vt:i4>5</vt:i4>
      </vt:variant>
      <vt:variant>
        <vt:lpwstr>http://undocs.org/CEDAW/C/AZE/5</vt:lpwstr>
      </vt:variant>
      <vt:variant>
        <vt:lpwstr/>
      </vt:variant>
      <vt:variant>
        <vt:i4>8061028</vt:i4>
      </vt:variant>
      <vt:variant>
        <vt:i4>3</vt:i4>
      </vt:variant>
      <vt:variant>
        <vt:i4>0</vt:i4>
      </vt:variant>
      <vt:variant>
        <vt:i4>5</vt:i4>
      </vt:variant>
      <vt:variant>
        <vt:lpwstr>http://undocs.org/CEDAW/C/AZE/5</vt:lpwstr>
      </vt:variant>
      <vt:variant>
        <vt:lpwstr/>
      </vt:variant>
      <vt:variant>
        <vt:i4>8061028</vt:i4>
      </vt:variant>
      <vt:variant>
        <vt:i4>0</vt:i4>
      </vt:variant>
      <vt:variant>
        <vt:i4>0</vt:i4>
      </vt:variant>
      <vt:variant>
        <vt:i4>5</vt:i4>
      </vt:variant>
      <vt:variant>
        <vt:lpwstr>http://undocs.org/CEDAW/C/AZE/5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Administrator</cp:lastModifiedBy>
  <cp:revision>8</cp:revision>
  <cp:lastPrinted>2014-10-18T00:21:00Z</cp:lastPrinted>
  <dcterms:created xsi:type="dcterms:W3CDTF">2014-10-17T23:59:00Z</dcterms:created>
  <dcterms:modified xsi:type="dcterms:W3CDTF">2014-10-18T00:27:00Z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1458317</vt:lpwstr>
  </property>
  <property fmtid="{D5CDD505-2E9C-101B-9397-08002B2CF9AE}" pid="3" name="ODSRefJobNo">
    <vt:lpwstr>1448371A</vt:lpwstr>
  </property>
  <property fmtid="{D5CDD505-2E9C-101B-9397-08002B2CF9AE}" pid="4" name="Symbol1">
    <vt:lpwstr>CEDAW/C/AZE/Q/5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171014</vt:lpwstr>
  </property>
  <property fmtid="{D5CDD505-2E9C-101B-9397-08002B2CF9AE}" pid="11" name="Comment">
    <vt:lpwstr>للإصــدار</vt:lpwstr>
  </property>
  <property fmtid="{D5CDD505-2E9C-101B-9397-08002B2CF9AE}" pid="12" name="DraftPages">
    <vt:lpwstr> </vt:lpwstr>
  </property>
  <property fmtid="{D5CDD505-2E9C-101B-9397-08002B2CF9AE}" pid="13" name="Operator">
    <vt:lpwstr>بسام</vt:lpwstr>
  </property>
</Properties>
</file>