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SingleTxt"/>
        <w:spacing w:after="60"/>
        <w:ind w:left="0"/>
        <w:rPr>
          <w:rFonts w:ascii="SimHei" w:eastAsia="SimHei" w:hint="eastAsia"/>
          <w:color w:val="FF0000"/>
        </w:rPr>
      </w:pPr>
      <w:r>
        <w:rPr>
          <w:rFonts w:ascii="SimHei" w:eastAsia="SimHei" w:hint="eastAsia"/>
          <w:color w:val="FF0000"/>
        </w:rPr>
        <w:t>会前工作组</w:t>
      </w:r>
    </w:p>
    <w:p w:rsidR="00000000" w:rsidRDefault="00000000">
      <w:pPr>
        <w:pStyle w:val="SingleTxt"/>
        <w:spacing w:after="60"/>
        <w:ind w:left="0"/>
        <w:rPr>
          <w:rFonts w:ascii="SimHei" w:eastAsia="SimHei" w:hint="eastAsia"/>
          <w:color w:val="FF0000"/>
        </w:rPr>
      </w:pPr>
      <w:r>
        <w:rPr>
          <w:rFonts w:ascii="SimHei" w:eastAsia="SimHei" w:hint="eastAsia"/>
          <w:color w:val="FF0000"/>
        </w:rPr>
        <w:t>第三十六届会议</w:t>
      </w:r>
    </w:p>
    <w:p w:rsidR="00000000" w:rsidRDefault="00000000">
      <w:pPr>
        <w:pStyle w:val="SingleTxt"/>
        <w:spacing w:after="60"/>
        <w:ind w:left="0"/>
        <w:rPr>
          <w:rFonts w:hint="eastAsia"/>
        </w:rPr>
      </w:pPr>
      <w:r>
        <w:rPr>
          <w:rFonts w:hint="eastAsia"/>
        </w:rPr>
        <w:t>2006年8月7日至25日</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与审议定期报告有关的议题和问题清单</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智利</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t>一.</w:t>
      </w:r>
      <w:r>
        <w:rPr>
          <w:rFonts w:hint="eastAsia"/>
        </w:rPr>
        <w:tab/>
        <w:t>导言</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rPr>
          <w:rFonts w:hint="eastAsia"/>
        </w:rPr>
        <w:tab/>
        <w:t>会前工作组审议了智利的第四次定期报告(CEDAW/C/CHI/4)。</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宪法、法律和国家机制</w:t>
      </w:r>
    </w:p>
    <w:p w:rsidR="00000000" w:rsidRDefault="00000000">
      <w:pPr>
        <w:pStyle w:val="SingleTxt"/>
        <w:rPr>
          <w:rFonts w:hint="eastAsia"/>
        </w:rPr>
      </w:pPr>
      <w:r>
        <w:rPr>
          <w:rFonts w:hint="eastAsia"/>
        </w:rPr>
        <w:t>2.</w:t>
      </w:r>
      <w:r>
        <w:rPr>
          <w:rFonts w:hint="eastAsia"/>
        </w:rPr>
        <w:tab/>
        <w:t>第四次定期报告表明，各部委和公共机构参加了报告的编写。请说明非政府组织和妇女团体是否参加了这一工作。</w:t>
      </w:r>
    </w:p>
    <w:p w:rsidR="00000000" w:rsidRDefault="00000000">
      <w:pPr>
        <w:pStyle w:val="SingleTxt"/>
        <w:rPr>
          <w:rFonts w:hint="eastAsia"/>
        </w:rPr>
      </w:pPr>
      <w:r>
        <w:rPr>
          <w:rFonts w:hint="eastAsia"/>
        </w:rPr>
        <w:t>3.</w:t>
      </w:r>
      <w:r>
        <w:rPr>
          <w:rFonts w:hint="eastAsia"/>
        </w:rPr>
        <w:tab/>
        <w:t>请提供以下方面的最新资料：报告所述法案和法律修订（第46</w:t>
      </w:r>
      <w:r>
        <w:t>-</w:t>
      </w:r>
      <w:r>
        <w:rPr>
          <w:rFonts w:hint="eastAsia"/>
        </w:rPr>
        <w:t>88段）、宪法改革草案（第89-91段）和刑事诉讼改革（第117段）。</w:t>
      </w:r>
    </w:p>
    <w:p w:rsidR="00000000" w:rsidRDefault="00000000">
      <w:pPr>
        <w:pStyle w:val="SingleTxt"/>
        <w:rPr>
          <w:rFonts w:hint="eastAsia"/>
        </w:rPr>
      </w:pPr>
      <w:r>
        <w:rPr>
          <w:rFonts w:hint="eastAsia"/>
        </w:rPr>
        <w:t>4.</w:t>
      </w:r>
      <w:r>
        <w:rPr>
          <w:rFonts w:hint="eastAsia"/>
        </w:rPr>
        <w:tab/>
        <w:t>根据机会平等部长会议开展的落实和监测工作（第100段），请列入关于2000</w:t>
      </w:r>
      <w:r>
        <w:t>-</w:t>
      </w:r>
      <w:r>
        <w:rPr>
          <w:rFonts w:hint="eastAsia"/>
        </w:rPr>
        <w:t>2010年男女机会平等计划执行工作的重大进展与不足的最新资料。此外，请提供资料说明国家妇女事务处开展工作，在建立新的组织机构和采用新的程序时顾及性别观念（第117段）方面的结果。</w:t>
      </w:r>
    </w:p>
    <w:p w:rsidR="00000000" w:rsidRDefault="00000000">
      <w:pPr>
        <w:pStyle w:val="SingleTxt"/>
        <w:spacing w:after="0" w:line="120" w:lineRule="exact"/>
        <w:rPr>
          <w:rFonts w:ascii="SimHei" w:eastAsia="SimHei" w:hint="eastAsia"/>
          <w:color w:val="FF0000"/>
          <w:sz w:val="10"/>
        </w:rPr>
      </w:pPr>
    </w:p>
    <w:p w:rsidR="00000000" w:rsidRDefault="00000000">
      <w:pPr>
        <w:pStyle w:val="SingleTxt"/>
        <w:rPr>
          <w:rFonts w:ascii="SimHei" w:eastAsia="SimHei" w:hint="eastAsia"/>
          <w:color w:val="FF0000"/>
        </w:rPr>
      </w:pPr>
      <w:r>
        <w:rPr>
          <w:rFonts w:ascii="SimHei" w:eastAsia="SimHei" w:hint="eastAsia"/>
          <w:color w:val="FF0000"/>
        </w:rPr>
        <w:t>对妇女的暴力行为</w:t>
      </w:r>
    </w:p>
    <w:p w:rsidR="00000000" w:rsidRDefault="00000000">
      <w:pPr>
        <w:pStyle w:val="SingleTxt"/>
        <w:rPr>
          <w:rFonts w:hint="eastAsia"/>
        </w:rPr>
      </w:pPr>
      <w:r>
        <w:rPr>
          <w:rFonts w:hint="eastAsia"/>
        </w:rPr>
        <w:t>5.</w:t>
      </w:r>
      <w:r>
        <w:rPr>
          <w:rFonts w:hint="eastAsia"/>
        </w:rPr>
        <w:tab/>
        <w:t>2005年8月，智利批准了《防止家庭暴力法》。该法除其他事项外，对经常性虐待作出认定。请说明对很有可能遭受家庭暴力的人，法院是否必须批准保护措施。</w:t>
      </w:r>
    </w:p>
    <w:p w:rsidR="00000000" w:rsidRDefault="00000000">
      <w:pPr>
        <w:pStyle w:val="SingleTxt"/>
        <w:rPr>
          <w:rFonts w:hint="eastAsia"/>
        </w:rPr>
      </w:pPr>
      <w:r>
        <w:rPr>
          <w:rFonts w:hint="eastAsia"/>
        </w:rPr>
        <w:t>6.</w:t>
      </w:r>
      <w:r>
        <w:rPr>
          <w:rFonts w:hint="eastAsia"/>
        </w:rPr>
        <w:tab/>
        <w:t>拉丁美洲和加勒比经济委员会（拉加经委会）进行的一次调查发现，民事司法的效率和效力不高的一个表现是滥用调解机制，最终致使诉讼终止，而未阻止暴力。</w:t>
      </w:r>
      <w:r>
        <w:rPr>
          <w:rStyle w:val="FootnoteReference"/>
        </w:rPr>
        <w:footnoteReference w:id="1"/>
      </w:r>
      <w:r>
        <w:t xml:space="preserve"> </w:t>
      </w:r>
      <w:r>
        <w:rPr>
          <w:rFonts w:hint="eastAsia"/>
        </w:rPr>
        <w:t>请说明在家庭暴力案例中采用调解机制解决的比例并说明已经或将要作出哪些努力来避免在出现家庭暴力时滥用调解机制的现象，确保妇女的人权得到尊重。</w:t>
      </w:r>
    </w:p>
    <w:p w:rsidR="00000000" w:rsidRDefault="00000000">
      <w:pPr>
        <w:pStyle w:val="SingleTxt"/>
        <w:rPr>
          <w:rFonts w:hint="eastAsia"/>
        </w:rPr>
      </w:pPr>
      <w:r>
        <w:rPr>
          <w:rFonts w:hint="eastAsia"/>
        </w:rPr>
        <w:t>7.</w:t>
      </w:r>
      <w:r>
        <w:rPr>
          <w:rFonts w:hint="eastAsia"/>
        </w:rPr>
        <w:tab/>
        <w:t>报告提到正在对综合照料和防止家庭暴力中心采取的措施进行评估和审查（第330段）。请说明这项工作现阶段情况和新的《防止家庭暴力法》在哪些方面对这些中心及其服务产生影响。又请说明这些中心设在哪些地方，农村妇女和土著妇女是否可以使用这些中心。</w:t>
      </w:r>
    </w:p>
    <w:p w:rsidR="00000000" w:rsidRDefault="00000000">
      <w:pPr>
        <w:pStyle w:val="SingleTxt"/>
        <w:rPr>
          <w:rFonts w:hint="eastAsia"/>
        </w:rPr>
      </w:pPr>
      <w:r>
        <w:rPr>
          <w:rFonts w:hint="eastAsia"/>
        </w:rPr>
        <w:t>8.</w:t>
      </w:r>
      <w:r>
        <w:rPr>
          <w:rFonts w:hint="eastAsia"/>
        </w:rPr>
        <w:tab/>
        <w:t>报告说，农村地区声明遭受过某种形式暴力的妇女人数较多（第334段）。报告还表明，为了处理农村地区妇女遭受暴力的问题，已经采用了建立地方援助和预防网络的战略（第336段）。请提供这一战略的更详细情况、战略的影响和现有的评价机制。</w:t>
      </w:r>
    </w:p>
    <w:p w:rsidR="00000000" w:rsidRDefault="00000000">
      <w:pPr>
        <w:pStyle w:val="SingleTxt"/>
        <w:rPr>
          <w:rFonts w:hint="eastAsia"/>
        </w:rPr>
      </w:pPr>
      <w:r>
        <w:rPr>
          <w:rFonts w:hint="eastAsia"/>
        </w:rPr>
        <w:t>9.</w:t>
      </w:r>
      <w:r>
        <w:rPr>
          <w:rFonts w:hint="eastAsia"/>
        </w:rPr>
        <w:tab/>
        <w:t>禁止酷刑委员会在审查缔约国提交给它的第三次定期报告时，建议该国取消为了起诉而要求因非法堕胎寻求紧急治疗的妇女招供法律程序，并在以胁迫方式获得的供词被列为证据时对有关判决进行调查和复审(CAT/C/CR/32/5，第 7(m)段)。请说明在这方面采取了哪些措施。</w:t>
      </w:r>
    </w:p>
    <w:p w:rsidR="00000000" w:rsidRDefault="00000000">
      <w:pPr>
        <w:pStyle w:val="SingleTxt"/>
        <w:rPr>
          <w:rFonts w:ascii="SimHei" w:eastAsia="SimHei" w:hint="eastAsia"/>
          <w:color w:val="FF0000"/>
        </w:rPr>
      </w:pPr>
      <w:r>
        <w:rPr>
          <w:rFonts w:ascii="SimHei" w:eastAsia="SimHei" w:hint="eastAsia"/>
          <w:color w:val="FF0000"/>
        </w:rPr>
        <w:t>贩卖妇女强迫卖淫进行剥削</w:t>
      </w:r>
    </w:p>
    <w:p w:rsidR="00000000" w:rsidRDefault="00000000">
      <w:pPr>
        <w:pStyle w:val="SingleTxt"/>
        <w:rPr>
          <w:rFonts w:hint="eastAsia"/>
        </w:rPr>
      </w:pPr>
      <w:r>
        <w:rPr>
          <w:rFonts w:hint="eastAsia"/>
        </w:rPr>
        <w:t>10.</w:t>
      </w:r>
      <w:r>
        <w:rPr>
          <w:rFonts w:hint="eastAsia"/>
        </w:rPr>
        <w:tab/>
        <w:t>该报告表明，没有有关贩卖人口的统计数据，智利尚未批准有关这一专题的重大国际文书（第356-357段）。请说明是否已经实施计划或者有计划来进行调查，审评智利是否有贩卖妇女和女童的现象和这种现象的范围。请列入资料，说明正在作出哪些努力来揭露和防止贩卖妇女和女童，推动批准所述文书。</w:t>
      </w:r>
    </w:p>
    <w:p w:rsidR="00000000" w:rsidRDefault="00000000">
      <w:pPr>
        <w:pStyle w:val="SingleTxt"/>
        <w:rPr>
          <w:rFonts w:ascii="SimHei" w:eastAsia="SimHei" w:hint="eastAsia"/>
          <w:color w:val="FF0000"/>
        </w:rPr>
      </w:pPr>
      <w:r>
        <w:rPr>
          <w:rFonts w:ascii="SimHei" w:eastAsia="SimHei" w:hint="eastAsia"/>
          <w:color w:val="FF0000"/>
        </w:rPr>
        <w:t>政治和公共生活</w:t>
      </w:r>
    </w:p>
    <w:p w:rsidR="00000000" w:rsidRDefault="00000000">
      <w:pPr>
        <w:pStyle w:val="SingleTxt"/>
        <w:rPr>
          <w:rFonts w:hint="eastAsia"/>
        </w:rPr>
      </w:pPr>
      <w:r>
        <w:rPr>
          <w:rFonts w:hint="eastAsia"/>
        </w:rPr>
        <w:t>11.</w:t>
      </w:r>
      <w:r>
        <w:rPr>
          <w:rFonts w:hint="eastAsia"/>
        </w:rPr>
        <w:tab/>
        <w:t>请提供有关2003年提交的配额法草案（第159段）的最新资料。</w:t>
      </w:r>
    </w:p>
    <w:p w:rsidR="00000000" w:rsidRDefault="00000000">
      <w:pPr>
        <w:pStyle w:val="SingleTxt"/>
        <w:rPr>
          <w:rFonts w:ascii="SimHei" w:eastAsia="SimHei" w:hint="eastAsia"/>
          <w:color w:val="FF0000"/>
        </w:rPr>
      </w:pPr>
      <w:r>
        <w:rPr>
          <w:rFonts w:ascii="SimHei" w:eastAsia="SimHei" w:hint="eastAsia"/>
          <w:color w:val="FF0000"/>
        </w:rPr>
        <w:t>教育</w:t>
      </w:r>
    </w:p>
    <w:p w:rsidR="00000000" w:rsidRDefault="00000000">
      <w:pPr>
        <w:pStyle w:val="SingleTxt"/>
        <w:rPr>
          <w:rFonts w:hint="eastAsia"/>
        </w:rPr>
      </w:pPr>
      <w:r>
        <w:rPr>
          <w:rFonts w:hint="eastAsia"/>
        </w:rPr>
        <w:t>12.</w:t>
      </w:r>
      <w:r>
        <w:rPr>
          <w:rFonts w:hint="eastAsia"/>
        </w:rPr>
        <w:tab/>
        <w:t>《第19.688号法》规定怀孕女生或哺乳期母亲享有上学的权利（第51段），请报告为实施该法采取的行动。尤其是请报告“人人上中学”方案（第54段）的影响。</w:t>
      </w:r>
    </w:p>
    <w:p w:rsidR="00000000" w:rsidRDefault="00000000">
      <w:pPr>
        <w:pStyle w:val="SingleTxt"/>
        <w:rPr>
          <w:rFonts w:hint="eastAsia"/>
        </w:rPr>
      </w:pPr>
      <w:r>
        <w:rPr>
          <w:rFonts w:hint="eastAsia"/>
        </w:rPr>
        <w:t>13.</w:t>
      </w:r>
      <w:r>
        <w:rPr>
          <w:rFonts w:hint="eastAsia"/>
        </w:rPr>
        <w:tab/>
        <w:t>请提供最新资料，说明有关在教育中心进行性教育的建议的情况，特别是有关负责任的性行为的建议的状况（第202段），以及对全国8个社区的负责人和教学人员进行性教育的试办项目的结果，和有关为怀孕少女和母亲建立援助网络的建议的结果。如果已经实施，请表明有哪些效果。</w:t>
      </w:r>
    </w:p>
    <w:p w:rsidR="00000000" w:rsidRDefault="00000000">
      <w:pPr>
        <w:pStyle w:val="SingleTxt"/>
        <w:rPr>
          <w:rFonts w:ascii="SimHei" w:eastAsia="SimHei" w:hint="eastAsia"/>
          <w:color w:val="FF0000"/>
        </w:rPr>
      </w:pPr>
      <w:r>
        <w:rPr>
          <w:rFonts w:ascii="SimHei" w:eastAsia="SimHei" w:hint="eastAsia"/>
          <w:color w:val="FF0000"/>
        </w:rPr>
        <w:t>就业</w:t>
      </w:r>
    </w:p>
    <w:p w:rsidR="00000000" w:rsidRDefault="00000000">
      <w:pPr>
        <w:pStyle w:val="SingleTxt"/>
        <w:rPr>
          <w:rFonts w:hint="eastAsia"/>
        </w:rPr>
      </w:pPr>
      <w:r>
        <w:rPr>
          <w:rFonts w:hint="eastAsia"/>
        </w:rPr>
        <w:t>14.</w:t>
      </w:r>
      <w:r>
        <w:rPr>
          <w:rFonts w:hint="eastAsia"/>
        </w:rPr>
        <w:tab/>
        <w:t>报告表明，参加劳动大军妇女的教育水平高于男子；然而妇女的失业率高于男子，在出现经济危机时，妇女就业更易于受到影响（第206-207段）。请说明准备采取或已经采用了哪些具体措施来消除这种情况，确保劳工市场机会均等。</w:t>
      </w:r>
    </w:p>
    <w:p w:rsidR="00000000" w:rsidRDefault="00000000">
      <w:pPr>
        <w:pStyle w:val="SingleTxt"/>
        <w:rPr>
          <w:rFonts w:hint="eastAsia"/>
        </w:rPr>
      </w:pPr>
      <w:r>
        <w:rPr>
          <w:rFonts w:hint="eastAsia"/>
        </w:rPr>
        <w:t>15.</w:t>
      </w:r>
      <w:r>
        <w:rPr>
          <w:rFonts w:hint="eastAsia"/>
        </w:rPr>
        <w:tab/>
        <w:t>报告提到，国家妇女事务处从2000年起针对男女企业家，特别是针对某些生产部门，开展工作，以便在劳工领域消除性别歧视（第227段）。请说明进展和成就。</w:t>
      </w:r>
    </w:p>
    <w:p w:rsidR="00000000" w:rsidRDefault="00000000">
      <w:pPr>
        <w:pStyle w:val="SingleTxt"/>
        <w:rPr>
          <w:rFonts w:hint="eastAsia"/>
        </w:rPr>
      </w:pPr>
      <w:r>
        <w:rPr>
          <w:rFonts w:hint="eastAsia"/>
        </w:rPr>
        <w:t>16.</w:t>
      </w:r>
      <w:r>
        <w:rPr>
          <w:rFonts w:hint="eastAsia"/>
        </w:rPr>
        <w:tab/>
        <w:t>报告称职业仍然按性别区分，大多数妇女继续从事社会上普遍认为是女性职业的工作（第40段）。请提供最新资料，说明国家妇女事务处和全国培训和就业局为减少职业区分和参加劳工培训的困难而一致行动(第240段)的进展和影响。</w:t>
      </w:r>
    </w:p>
    <w:p w:rsidR="00000000" w:rsidRDefault="00000000">
      <w:pPr>
        <w:pStyle w:val="SingleTxt"/>
        <w:rPr>
          <w:rFonts w:hint="eastAsia"/>
        </w:rPr>
      </w:pPr>
      <w:r>
        <w:rPr>
          <w:rFonts w:hint="eastAsia"/>
        </w:rPr>
        <w:t>17.</w:t>
      </w:r>
      <w:r>
        <w:rPr>
          <w:rFonts w:hint="eastAsia"/>
        </w:rPr>
        <w:tab/>
        <w:t>报告表明，由于妇女在从业期间因生育而中断工作，在领取退休金方面处于不利地位（第213段）。请说明预期在短期内采取哪些措施来消除上述不利情况。</w:t>
      </w:r>
    </w:p>
    <w:p w:rsidR="00000000" w:rsidRDefault="00000000">
      <w:pPr>
        <w:pStyle w:val="SingleTxt"/>
        <w:rPr>
          <w:rFonts w:hint="eastAsia"/>
        </w:rPr>
      </w:pPr>
      <w:r>
        <w:rPr>
          <w:rFonts w:hint="eastAsia"/>
        </w:rPr>
        <w:t>18.</w:t>
      </w:r>
      <w:r>
        <w:rPr>
          <w:rFonts w:hint="eastAsia"/>
        </w:rPr>
        <w:tab/>
        <w:t>请说明是否已经制订计划或者有计划，调查社会保障制度私有化对妇女领取养老金的影响。</w:t>
      </w:r>
    </w:p>
    <w:p w:rsidR="00000000" w:rsidRDefault="00000000">
      <w:pPr>
        <w:pStyle w:val="SingleTxt"/>
        <w:rPr>
          <w:rFonts w:hint="eastAsia"/>
        </w:rPr>
      </w:pPr>
      <w:r>
        <w:rPr>
          <w:rFonts w:hint="eastAsia"/>
        </w:rPr>
        <w:t>19.</w:t>
      </w:r>
      <w:r>
        <w:rPr>
          <w:rFonts w:hint="eastAsia"/>
        </w:rPr>
        <w:tab/>
        <w:t>请提供最新资料，说明取消关于同时领取养老金和救济金的禁令以便让寡妇受益的有关法律草案（第251段）。</w:t>
      </w:r>
    </w:p>
    <w:p w:rsidR="00000000" w:rsidRDefault="00000000">
      <w:pPr>
        <w:pStyle w:val="SingleTxt"/>
        <w:rPr>
          <w:rFonts w:ascii="SimHei" w:eastAsia="SimHei" w:hint="eastAsia"/>
          <w:color w:val="FF0000"/>
        </w:rPr>
      </w:pPr>
      <w:r>
        <w:rPr>
          <w:rFonts w:ascii="SimHei" w:eastAsia="SimHei" w:hint="eastAsia"/>
          <w:color w:val="FF0000"/>
        </w:rPr>
        <w:t>保健</w:t>
      </w:r>
    </w:p>
    <w:p w:rsidR="00000000" w:rsidRDefault="00000000">
      <w:pPr>
        <w:pStyle w:val="SingleTxt"/>
        <w:rPr>
          <w:rFonts w:hint="eastAsia"/>
        </w:rPr>
      </w:pPr>
      <w:r>
        <w:rPr>
          <w:rFonts w:hint="eastAsia"/>
        </w:rPr>
        <w:t>20.</w:t>
      </w:r>
      <w:r>
        <w:rPr>
          <w:rFonts w:hint="eastAsia"/>
        </w:rPr>
        <w:tab/>
        <w:t>卫生部和国家妇女事务处从1997年起开始实施妇女保健方案，2002年方案提供的福利有75％是在性健康和生殖健康领域（第269段）。请说明该方案的进展和成就，特别注意青少年、贫困妇女和农村妇女，并具体说明是否有针对这些妇女群体的特定战略。</w:t>
      </w:r>
    </w:p>
    <w:p w:rsidR="00000000" w:rsidRDefault="00000000">
      <w:pPr>
        <w:pStyle w:val="SingleTxt"/>
        <w:rPr>
          <w:rFonts w:hint="eastAsia"/>
        </w:rPr>
      </w:pPr>
      <w:r>
        <w:rPr>
          <w:rFonts w:hint="eastAsia"/>
        </w:rPr>
        <w:t>21.</w:t>
      </w:r>
      <w:r>
        <w:rPr>
          <w:rFonts w:hint="eastAsia"/>
        </w:rPr>
        <w:tab/>
        <w:t>请说明卫生部是否有计划确保所有保健中心都切实分发紧急避孕工具且有此需要的妇女都可以得到它们，不管市长是否出于道德原因宣布反对使用这些工具。鉴于初级保健工作是地方政府的责任，请说明中央政府将对那些不遵守卫生部技术条例的地方当局采取哪些措施。又请说明是否有计划修订一些城市有关妇女必须提出被强奸的指控才可以获得紧急避孕工具的政策。</w:t>
      </w:r>
    </w:p>
    <w:p w:rsidR="00000000" w:rsidRDefault="00000000">
      <w:pPr>
        <w:pStyle w:val="SingleTxt"/>
        <w:rPr>
          <w:rFonts w:hint="eastAsia"/>
        </w:rPr>
      </w:pPr>
      <w:r>
        <w:rPr>
          <w:rFonts w:hint="eastAsia"/>
        </w:rPr>
        <w:t>22.</w:t>
      </w:r>
      <w:r>
        <w:rPr>
          <w:rFonts w:hint="eastAsia"/>
        </w:rPr>
        <w:tab/>
        <w:t>请说明卫生部关于确保公共和私人保健中心不违反关于自愿结扎的且妇女要求结扎时要经丈夫同意和签字的有关规定的计划。</w:t>
      </w:r>
    </w:p>
    <w:p w:rsidR="00000000" w:rsidRDefault="00000000">
      <w:pPr>
        <w:pStyle w:val="SingleTxt"/>
        <w:rPr>
          <w:rFonts w:hint="eastAsia"/>
        </w:rPr>
      </w:pPr>
      <w:r>
        <w:rPr>
          <w:rFonts w:hint="eastAsia"/>
        </w:rPr>
        <w:t>23.</w:t>
      </w:r>
      <w:r>
        <w:rPr>
          <w:rFonts w:hint="eastAsia"/>
        </w:rPr>
        <w:tab/>
        <w:t>圣地亚哥北城区卫生局副局长2005年6月采取的措施侵犯了青少年的健康权利，是基于性别的歧视，因为它要求提供保健服务者向检察院通报14岁少年的所有性活动或怀孕的人，而不管是否存在性暴力。请说明国家将采取哪些措施确保（14岁）未成年人男女青少年可以享有保密的生殖健康服务，而不担心会向检察院通报他们的性活动。</w:t>
      </w:r>
    </w:p>
    <w:p w:rsidR="00000000" w:rsidRDefault="00000000">
      <w:pPr>
        <w:pStyle w:val="SingleTxt"/>
        <w:rPr>
          <w:rFonts w:hint="eastAsia"/>
        </w:rPr>
      </w:pPr>
      <w:r>
        <w:rPr>
          <w:rFonts w:hint="eastAsia"/>
        </w:rPr>
        <w:t>24.</w:t>
      </w:r>
      <w:r>
        <w:rPr>
          <w:rFonts w:hint="eastAsia"/>
        </w:rPr>
        <w:tab/>
        <w:t>在审议缔约国第三次定期报告时，委员会建议政府考虑“审查有关堕胎的法律以作出修订,尤其是做到堕胎安全，允许出于治疗理由或顾及妇女健康，包括心智健康而结束怀孕”。</w:t>
      </w:r>
      <w:r>
        <w:rPr>
          <w:rStyle w:val="FootnoteReference"/>
        </w:rPr>
        <w:footnoteReference w:id="2"/>
      </w:r>
      <w:r>
        <w:t xml:space="preserve"> </w:t>
      </w:r>
      <w:r>
        <w:rPr>
          <w:rFonts w:hint="eastAsia"/>
        </w:rPr>
        <w:t>第四次报告表明，“关于堕胎问题，鉴于尚不具备公开讨论堕胎——甚至出于医疗理由堕胎问题的条件，本届政府在其任职期间不准备考虑堕胎非刑罪化问题”（第285段）。请说明是否有任何举措来推动政府、非政府组织和妇女团体就这一问题进行民主对话。此外，请提供关于性权利与生殖权利法草案（第283段）现状的资料。</w:t>
      </w:r>
    </w:p>
    <w:p w:rsidR="00000000" w:rsidRDefault="00000000">
      <w:pPr>
        <w:pStyle w:val="SingleTxt"/>
        <w:rPr>
          <w:rFonts w:hint="eastAsia"/>
        </w:rPr>
      </w:pPr>
      <w:r>
        <w:rPr>
          <w:rFonts w:hint="eastAsia"/>
        </w:rPr>
        <w:t>25.</w:t>
      </w:r>
      <w:r>
        <w:rPr>
          <w:rFonts w:hint="eastAsia"/>
        </w:rPr>
        <w:tab/>
        <w:t>报告称，目前的社会保障制度在保健问题上的最重大问题之一是人们的性别、年龄和其他风险因素不同（第271段）。有明确保障规定的全民准入体制的目标是在保健体制中消除这些歧视，请说明该体制的现况如何。</w:t>
      </w:r>
    </w:p>
    <w:p w:rsidR="00000000" w:rsidRDefault="00000000">
      <w:pPr>
        <w:pStyle w:val="SingleTxt"/>
        <w:rPr>
          <w:rFonts w:hint="eastAsia"/>
        </w:rPr>
      </w:pPr>
      <w:r>
        <w:rPr>
          <w:rFonts w:hint="eastAsia"/>
        </w:rPr>
        <w:t>26.</w:t>
      </w:r>
      <w:r>
        <w:rPr>
          <w:rFonts w:hint="eastAsia"/>
        </w:rPr>
        <w:tab/>
        <w:t>经济、社会和文化权利委员会在审议缔约国提交给它的第三次定期报告时，对年青妇女中艾滋病/艾滋病毒感染和性传染病的增加感到关注 (E/C.12/1/Add.</w:t>
      </w:r>
      <w:r>
        <w:t xml:space="preserve"> </w:t>
      </w:r>
      <w:r>
        <w:rPr>
          <w:rFonts w:hint="eastAsia"/>
        </w:rPr>
        <w:t>105，第26段)。为此，委员会建议缔约国加强努力，例如，通过开展公共宣传运动，阻止性传染病的传播。请说明已经就此采取了哪些措施，并说明其影响。</w:t>
      </w:r>
    </w:p>
    <w:p w:rsidR="00000000" w:rsidRDefault="00000000">
      <w:pPr>
        <w:pStyle w:val="SingleTxt"/>
        <w:rPr>
          <w:rFonts w:ascii="SimHei" w:eastAsia="SimHei" w:hint="eastAsia"/>
          <w:color w:val="FF0000"/>
        </w:rPr>
      </w:pPr>
      <w:r>
        <w:rPr>
          <w:rFonts w:ascii="SimHei" w:eastAsia="SimHei" w:hint="eastAsia"/>
          <w:color w:val="FF0000"/>
        </w:rPr>
        <w:t>农村妇女和土著妇女</w:t>
      </w:r>
    </w:p>
    <w:p w:rsidR="00000000" w:rsidRDefault="00000000">
      <w:pPr>
        <w:pStyle w:val="SingleTxt"/>
        <w:rPr>
          <w:rFonts w:hint="eastAsia"/>
        </w:rPr>
      </w:pPr>
      <w:r>
        <w:rPr>
          <w:rFonts w:hint="eastAsia"/>
        </w:rPr>
        <w:t>27.</w:t>
      </w:r>
      <w:r>
        <w:rPr>
          <w:rFonts w:hint="eastAsia"/>
        </w:rPr>
        <w:tab/>
        <w:t>请说明农村工作队向公共机构提出的针对农村妇女制订新举措的建议的现况（第384-385段）。如果该建议已经获得批准，请阐述已经采取的行动及其影响。另请说明正在作出哪些努力来确保农村妇女享有保健服务。</w:t>
      </w:r>
    </w:p>
    <w:p w:rsidR="00000000" w:rsidRDefault="00000000">
      <w:pPr>
        <w:pStyle w:val="SingleTxt"/>
        <w:rPr>
          <w:rFonts w:hint="eastAsia"/>
        </w:rPr>
      </w:pPr>
      <w:r>
        <w:rPr>
          <w:rFonts w:hint="eastAsia"/>
        </w:rPr>
        <w:t>28.</w:t>
      </w:r>
      <w:r>
        <w:rPr>
          <w:rFonts w:hint="eastAsia"/>
        </w:rPr>
        <w:tab/>
        <w:t>请说明司法部门2003-2006年土著民族工作计划的现况（第403段）和考虑采取哪些行动来防止歧视，并说明预期或已经专门为土著妇女采取的行动，尤其是为马普切民族妇女采取的行动。如果已经采取了上述行动，请提供资料说明行动的影响。</w:t>
      </w:r>
    </w:p>
    <w:p w:rsidR="00000000" w:rsidRDefault="00000000">
      <w:pPr>
        <w:pStyle w:val="SingleTxt"/>
        <w:rPr>
          <w:rFonts w:ascii="SimHei" w:eastAsia="SimHei" w:hint="eastAsia"/>
          <w:color w:val="FF0000"/>
        </w:rPr>
      </w:pPr>
      <w:r>
        <w:rPr>
          <w:rFonts w:ascii="SimHei" w:eastAsia="SimHei" w:hint="eastAsia"/>
          <w:color w:val="FF0000"/>
        </w:rPr>
        <w:t>婚姻和家庭关系</w:t>
      </w:r>
    </w:p>
    <w:p w:rsidR="00000000" w:rsidRDefault="00000000">
      <w:pPr>
        <w:pStyle w:val="SingleTxt"/>
        <w:rPr>
          <w:rFonts w:hint="eastAsia"/>
        </w:rPr>
      </w:pPr>
      <w:r>
        <w:rPr>
          <w:rFonts w:hint="eastAsia"/>
        </w:rPr>
        <w:t>29.</w:t>
      </w:r>
      <w:r>
        <w:rPr>
          <w:rFonts w:hint="eastAsia"/>
        </w:rPr>
        <w:tab/>
        <w:t>报告称同居是目前的一个主要趋势（第23段）。请说明目前同居的状况是否得到合法承认，在这种事实上的结合中妇女权利是否得到保护。</w:t>
      </w:r>
    </w:p>
    <w:p w:rsidR="00000000" w:rsidRDefault="00000000">
      <w:pPr>
        <w:pStyle w:val="SingleTxt"/>
        <w:rPr>
          <w:rFonts w:hint="eastAsia"/>
        </w:rPr>
      </w:pPr>
      <w:r>
        <w:rPr>
          <w:rFonts w:hint="eastAsia"/>
        </w:rPr>
        <w:t>30.</w:t>
      </w:r>
      <w:r>
        <w:rPr>
          <w:rFonts w:hint="eastAsia"/>
        </w:rPr>
        <w:tab/>
        <w:t>儿童权利委员会在审查缔约国提交给该委员会的第二次定期报告时建议缔约国修订有关结婚最低年龄（女童12岁，男童14岁，须经父母同意）的立法 (CRC/C/15/Add.173，第22和23段)，尽管这一规定事实上没有得到采用。请说明对上述立法的修订是否完成。</w:t>
      </w:r>
    </w:p>
    <w:p w:rsidR="00000000" w:rsidRDefault="00000000">
      <w:pPr>
        <w:pStyle w:val="SingleTxt"/>
        <w:rPr>
          <w:rFonts w:ascii="SimHei" w:eastAsia="SimHei" w:hint="eastAsia"/>
          <w:color w:val="FF0000"/>
        </w:rPr>
      </w:pPr>
      <w:r>
        <w:rPr>
          <w:rFonts w:ascii="SimHei" w:eastAsia="SimHei"/>
          <w:color w:val="FF0000"/>
        </w:rPr>
        <w:br w:type="page"/>
      </w:r>
      <w:r>
        <w:rPr>
          <w:rFonts w:ascii="SimHei" w:eastAsia="SimHei" w:hint="eastAsia"/>
          <w:color w:val="FF0000"/>
        </w:rPr>
        <w:t>任择议定书</w:t>
      </w:r>
    </w:p>
    <w:p w:rsidR="00000000" w:rsidRDefault="00000000">
      <w:pPr>
        <w:pStyle w:val="SingleTxt"/>
        <w:rPr>
          <w:rFonts w:hint="eastAsia"/>
        </w:rPr>
      </w:pPr>
      <w:r>
        <w:rPr>
          <w:rFonts w:hint="eastAsia"/>
        </w:rPr>
        <w:t>31.</w:t>
      </w:r>
      <w:r>
        <w:rPr>
          <w:rFonts w:hint="eastAsia"/>
        </w:rPr>
        <w:tab/>
        <w:t>报告第93段提到众议院全体成员批准了任择议定书。第94段说，由于新闻媒体大力进行反对宣传和国家教会最高当局的反对，参议院没有批准向参议院委员会提交的议定书。请说明在批准任择议定书方面取得的最新进展和采取了哪些措施来促成就此问题进行多方民主对话。</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10:wrap type="topAndBottom"/>
            <w10:anchorlock/>
          </v:line>
        </w:pict>
      </w:r>
    </w:p>
    <w:p w:rsidR="00000000" w:rsidRDefault="00000000">
      <w:pPr>
        <w:pStyle w:val="SingleTxt"/>
      </w:pPr>
    </w:p>
    <w:p w:rsidR="00000000" w:rsidRDefault="00000000">
      <w:pPr>
        <w:pStyle w:val="SingleTxt"/>
      </w:pP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NO&gt;&gt;N0624911C&lt;&lt;ODS JOB NO&gt;&gt;</w:t>
      </w:r>
    </w:p>
    <w:p w:rsidR="00000000" w:rsidRDefault="00000000">
      <w:pPr>
        <w:pStyle w:val="CommentText"/>
      </w:pPr>
      <w:r>
        <w:t>&lt;&lt;ODS DOC SYMBOL1&gt;&gt;CEDAW/C/CHI/Q/4&lt;&lt;ODS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06-24911 (C)    090306    100306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*0624911*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4"/>
        <w:rPr>
          <w:sz w:val="16"/>
        </w:rPr>
      </w:pPr>
      <w:r>
        <w:rPr>
          <w:sz w:val="16"/>
        </w:rPr>
        <w:t>__________________</w:t>
      </w:r>
    </w:p>
  </w:footnote>
  <w:footnote w:type="continuationSeparator" w:id="0">
    <w:p w:rsidR="00000000" w:rsidRDefault="00000000">
      <w:pPr>
        <w:pStyle w:val="Footer"/>
        <w:spacing w:after="80"/>
        <w:ind w:left="794"/>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《拉丁美洲和加勒比地区根除家庭暴力的良好做法》，《妇女与发展》丛刊，第75期（拉加经委会，圣地亚哥，2005年）。</w:t>
      </w:r>
    </w:p>
  </w:footnote>
  <w:footnote w:id="2">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《大会正式记录，第五十四届会议，补编第38号》(A/54/38/Rev.1)，第229段。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CEDAW/C/CHI/Q/4</w:t>
                      </w:r>
                    </w:p>
                  </w:tc>
                  <w:tc>
                    <w:tcPr>
                      <w:tcW w:w="5048" w:type="dxa"/>
                      <w:vAlign w:val="bottom"/>
                    </w:tcPr>
                    <w:p w:rsidR="00000000" w:rsidRDefault="00000000">
                      <w:pPr>
                        <w:pStyle w:val="Header"/>
                      </w:pPr>
                    </w:p>
                  </w:tc>
                </w:tr>
              </w:tbl>
              <w:p w:rsidR="00000000" w:rsidRDefault="00000000"/>
            </w:txbxContent>
          </v:textbox>
          <w10:wrap type="topAndBottom"/>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CEDAW/C/CHI/Q/4</w:t>
                      </w:r>
                    </w:p>
                  </w:tc>
                </w:tr>
              </w:tbl>
              <w:p w:rsidR="00000000" w:rsidRDefault="00000000"/>
            </w:txbxContent>
          </v:textbox>
          <w10:wrap type="topAndBottom"/>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/C/CHI/Q/4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14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3/2006 10:14 AM"/>
    <w:docVar w:name="DocCategory" w:val="Doc"/>
    <w:docVar w:name="DocType" w:val="Final"/>
    <w:docVar w:name="JobNo" w:val="0624911C"/>
    <w:docVar w:name="OandT" w:val=" "/>
    <w:docVar w:name="Symbol1" w:val="CEDAW/C/CHI/Q/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Pages>
  <Words>500</Words>
  <Characters>2854</Characters>
  <Application>Microsoft Office Word</Application>
  <DocSecurity>4</DocSecurity>
  <Lines>23</Lines>
  <Paragraphs>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3504</CharactersWithSpaces>
  <SharedDoc>false</SharedDoc>
  <HLinks>
    <vt:vector size="6" baseType="variant">
      <vt:variant>
        <vt:i4>4522087</vt:i4>
      </vt:variant>
      <vt:variant>
        <vt:i4>8434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PEIZHEN.SHI</dc:creator>
  <cp:keywords/>
  <dc:description/>
  <cp:lastModifiedBy>IMTU</cp:lastModifiedBy>
  <cp:revision>15</cp:revision>
  <cp:lastPrinted>2006-03-10T15:10:00Z</cp:lastPrinted>
  <dcterms:created xsi:type="dcterms:W3CDTF">2006-03-10T09:14:00Z</dcterms:created>
  <dcterms:modified xsi:type="dcterms:W3CDTF">2006-03-10T15:10:00Z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0624911</vt:lpwstr>
  </property>
  <property fmtid="{D5CDD505-2E9C-101B-9397-08002B2CF9AE}" pid="3" name="Symbol1">
    <vt:lpwstr>CEDAW/C/CHI/Q/4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