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44326</w:t>
                  </w:r>
                  <w:r>
                    <w:rPr>
                      <w:lang w:val="en-US"/>
                    </w:rPr>
                    <w:fldChar w:fldCharType="end"/>
                  </w:r>
                  <w:r>
                    <w:rPr>
                      <w:lang w:val="en-US"/>
                    </w:rPr>
                    <w:t xml:space="preserve">   (R)    170409    200409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547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CAT/C/HND/1</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9 September 2008</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rPr>
          <w:szCs w:val="24"/>
        </w:rPr>
      </w:pPr>
      <w:r>
        <w:rPr>
          <w:szCs w:val="24"/>
        </w:rPr>
        <w:t>КОМИТЕТ ПРОТИВ ПЫТОК</w:t>
      </w:r>
    </w:p>
    <w:p w:rsidR="00000000" w:rsidRDefault="00000000">
      <w:pPr>
        <w:jc w:val="center"/>
        <w:rPr>
          <w:b/>
          <w:szCs w:val="24"/>
        </w:rPr>
      </w:pPr>
    </w:p>
    <w:p w:rsidR="00000000" w:rsidRDefault="00000000">
      <w:pPr>
        <w:jc w:val="center"/>
        <w:rPr>
          <w:b/>
          <w:szCs w:val="24"/>
        </w:rPr>
      </w:pPr>
    </w:p>
    <w:p w:rsidR="00000000" w:rsidRDefault="00000000">
      <w:pPr>
        <w:jc w:val="center"/>
        <w:rPr>
          <w:b/>
          <w:szCs w:val="24"/>
        </w:rPr>
      </w:pPr>
    </w:p>
    <w:p w:rsidR="00000000" w:rsidRDefault="00000000">
      <w:pPr>
        <w:jc w:val="center"/>
        <w:rPr>
          <w:b/>
          <w:szCs w:val="24"/>
        </w:rPr>
      </w:pPr>
      <w:r>
        <w:rPr>
          <w:b/>
          <w:szCs w:val="24"/>
        </w:rPr>
        <w:t>РАССМОТРЕНИЕ ДОКЛАДОВ, ПРЕДСТАВЛЕННЫХ ГОСУДАРСТВАМИ-УЧАСТНИКАМИ В СООТВЕТСТВИИ СО СТАТЬЕЙ 19 КОНВЕНЦИИ</w:t>
      </w:r>
    </w:p>
    <w:p w:rsidR="00000000" w:rsidRDefault="00000000">
      <w:pPr>
        <w:jc w:val="center"/>
        <w:rPr>
          <w:b/>
          <w:szCs w:val="24"/>
        </w:rPr>
      </w:pPr>
    </w:p>
    <w:p w:rsidR="00000000" w:rsidRDefault="00000000">
      <w:pPr>
        <w:jc w:val="center"/>
        <w:rPr>
          <w:b/>
          <w:szCs w:val="24"/>
        </w:rPr>
      </w:pPr>
      <w:r>
        <w:rPr>
          <w:b/>
          <w:szCs w:val="24"/>
        </w:rPr>
        <w:t xml:space="preserve">Первоначальные доклады государств-участников, </w:t>
      </w:r>
      <w:r>
        <w:rPr>
          <w:b/>
          <w:szCs w:val="24"/>
        </w:rPr>
        <w:br/>
        <w:t>подлежащие представлению в 2008 году</w:t>
      </w:r>
    </w:p>
    <w:p w:rsidR="00000000" w:rsidRDefault="00000000">
      <w:pPr>
        <w:jc w:val="center"/>
        <w:rPr>
          <w:b/>
          <w:szCs w:val="24"/>
        </w:rPr>
      </w:pPr>
    </w:p>
    <w:p w:rsidR="00000000" w:rsidRDefault="00000000">
      <w:pPr>
        <w:jc w:val="center"/>
        <w:rPr>
          <w:b/>
          <w:szCs w:val="24"/>
        </w:rPr>
      </w:pPr>
    </w:p>
    <w:p w:rsidR="00000000" w:rsidRDefault="00000000">
      <w:pPr>
        <w:jc w:val="center"/>
        <w:rPr>
          <w:b/>
          <w:szCs w:val="24"/>
        </w:rPr>
      </w:pPr>
      <w:r>
        <w:rPr>
          <w:b/>
          <w:szCs w:val="24"/>
        </w:rPr>
        <w:t>ГОНДУРАС* **</w:t>
      </w:r>
    </w:p>
    <w:p w:rsidR="00000000" w:rsidRDefault="00000000">
      <w:pPr>
        <w:jc w:val="center"/>
        <w:rPr>
          <w:b/>
          <w:szCs w:val="24"/>
        </w:rPr>
      </w:pPr>
    </w:p>
    <w:p w:rsidR="00000000" w:rsidRDefault="00000000">
      <w:pPr>
        <w:jc w:val="right"/>
        <w:rPr>
          <w:szCs w:val="24"/>
        </w:rPr>
      </w:pPr>
      <w:r>
        <w:rPr>
          <w:szCs w:val="24"/>
        </w:rPr>
        <w:t>[8 апреля 2008 года]</w:t>
      </w:r>
    </w:p>
    <w:p w:rsidR="00000000" w:rsidRDefault="00000000">
      <w:pPr>
        <w:jc w:val="right"/>
        <w:rPr>
          <w:szCs w:val="24"/>
        </w:rPr>
      </w:pPr>
    </w:p>
    <w:p w:rsidR="00000000" w:rsidRDefault="00000000">
      <w:pPr>
        <w:rPr>
          <w:szCs w:val="24"/>
        </w:rPr>
      </w:pPr>
    </w:p>
    <w:p w:rsidR="00000000" w:rsidRDefault="00000000">
      <w:pPr>
        <w:rPr>
          <w:szCs w:val="24"/>
        </w:rPr>
      </w:pPr>
    </w:p>
    <w:p w:rsidR="00000000" w:rsidRDefault="00000000">
      <w:pPr>
        <w:rPr>
          <w:szCs w:val="24"/>
        </w:rPr>
      </w:pPr>
    </w:p>
    <w:p w:rsidR="00000000" w:rsidRDefault="00000000">
      <w:pPr>
        <w:rPr>
          <w:szCs w:val="24"/>
        </w:rPr>
      </w:pPr>
    </w:p>
    <w:p w:rsidR="00000000" w:rsidRDefault="00000000">
      <w:pPr>
        <w:rPr>
          <w:szCs w:val="24"/>
        </w:rPr>
      </w:pPr>
    </w:p>
    <w:p w:rsidR="00000000" w:rsidRDefault="00000000">
      <w:pPr>
        <w:rPr>
          <w:szCs w:val="24"/>
        </w:rPr>
      </w:pPr>
    </w:p>
    <w:p w:rsidR="00000000" w:rsidRDefault="00000000">
      <w:pPr>
        <w:rPr>
          <w:szCs w:val="24"/>
        </w:rPr>
      </w:pPr>
    </w:p>
    <w:p w:rsidR="00000000" w:rsidRDefault="00000000">
      <w:pPr>
        <w:rPr>
          <w:szCs w:val="24"/>
        </w:rPr>
      </w:pPr>
      <w:r>
        <w:rPr>
          <w:szCs w:val="24"/>
        </w:rPr>
        <w:t>_______________________</w:t>
      </w:r>
    </w:p>
    <w:p w:rsidR="00000000" w:rsidRDefault="00000000">
      <w:pPr>
        <w:spacing w:line="240" w:lineRule="auto"/>
        <w:rPr>
          <w:szCs w:val="24"/>
        </w:rPr>
      </w:pPr>
    </w:p>
    <w:p w:rsidR="00000000" w:rsidRDefault="00000000">
      <w:pPr>
        <w:tabs>
          <w:tab w:val="left" w:pos="0"/>
          <w:tab w:val="left" w:pos="567"/>
        </w:tabs>
        <w:spacing w:line="240" w:lineRule="auto"/>
        <w:rPr>
          <w:szCs w:val="24"/>
        </w:rPr>
      </w:pPr>
      <w:r>
        <w:rPr>
          <w:szCs w:val="24"/>
        </w:rPr>
        <w:t>*</w:t>
      </w:r>
      <w:r>
        <w:rPr>
          <w:szCs w:val="24"/>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000000" w:rsidRDefault="00000000">
      <w:pPr>
        <w:tabs>
          <w:tab w:val="clear" w:pos="567"/>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s>
        <w:spacing w:line="240" w:lineRule="auto"/>
        <w:rPr>
          <w:szCs w:val="24"/>
        </w:rPr>
      </w:pPr>
    </w:p>
    <w:p w:rsidR="00000000" w:rsidRDefault="00000000">
      <w:pPr>
        <w:tabs>
          <w:tab w:val="left" w:pos="0"/>
          <w:tab w:val="left" w:pos="567"/>
        </w:tabs>
        <w:spacing w:line="240" w:lineRule="auto"/>
        <w:rPr>
          <w:szCs w:val="24"/>
        </w:rPr>
      </w:pPr>
      <w:r>
        <w:rPr>
          <w:szCs w:val="24"/>
        </w:rPr>
        <w:t>**</w:t>
      </w:r>
      <w:r>
        <w:rPr>
          <w:szCs w:val="24"/>
        </w:rPr>
        <w:tab/>
        <w:t>С приложениями к настоящему докладу можно ознакомиться в архивах секретариата Комитета.</w:t>
      </w:r>
    </w:p>
    <w:p w:rsidR="00000000" w:rsidRDefault="00000000">
      <w:pPr>
        <w:tabs>
          <w:tab w:val="left" w:pos="0"/>
          <w:tab w:val="left" w:pos="567"/>
        </w:tabs>
        <w:spacing w:line="240" w:lineRule="auto"/>
        <w:jc w:val="center"/>
        <w:rPr>
          <w:b/>
          <w:szCs w:val="24"/>
        </w:rPr>
      </w:pPr>
      <w:r>
        <w:rPr>
          <w:szCs w:val="24"/>
        </w:rPr>
        <w:br w:type="page"/>
      </w:r>
      <w:r>
        <w:rPr>
          <w:b/>
          <w:szCs w:val="24"/>
        </w:rPr>
        <w:t>СОДЕРЖАНИЕ</w:t>
      </w:r>
    </w:p>
    <w:p w:rsidR="00000000" w:rsidRDefault="00000000">
      <w:pPr>
        <w:tabs>
          <w:tab w:val="left" w:pos="0"/>
          <w:tab w:val="left" w:pos="567"/>
        </w:tabs>
        <w:spacing w:line="216" w:lineRule="auto"/>
        <w:jc w:val="center"/>
        <w:rPr>
          <w:szCs w:val="24"/>
        </w:rPr>
      </w:pPr>
    </w:p>
    <w:p w:rsidR="00000000" w:rsidRDefault="00000000">
      <w:pPr>
        <w:tabs>
          <w:tab w:val="clear" w:pos="6237"/>
          <w:tab w:val="left" w:pos="567"/>
          <w:tab w:val="left" w:pos="1134"/>
          <w:tab w:val="left" w:pos="1701"/>
          <w:tab w:val="left" w:pos="2268"/>
          <w:tab w:val="center" w:pos="8039"/>
          <w:tab w:val="center" w:pos="9122"/>
        </w:tabs>
        <w:spacing w:line="240" w:lineRule="auto"/>
        <w:rPr>
          <w:i/>
          <w:szCs w:val="24"/>
        </w:rPr>
      </w:pPr>
      <w:r>
        <w:rPr>
          <w:szCs w:val="24"/>
        </w:rPr>
        <w:tab/>
      </w:r>
      <w:r>
        <w:rPr>
          <w:szCs w:val="24"/>
        </w:rPr>
        <w:tab/>
      </w:r>
      <w:r>
        <w:rPr>
          <w:szCs w:val="24"/>
        </w:rPr>
        <w:tab/>
      </w:r>
      <w:r>
        <w:rPr>
          <w:szCs w:val="24"/>
        </w:rPr>
        <w:tab/>
      </w:r>
      <w:r>
        <w:rPr>
          <w:szCs w:val="24"/>
        </w:rPr>
        <w:tab/>
      </w:r>
      <w:r>
        <w:rPr>
          <w:i/>
          <w:szCs w:val="24"/>
        </w:rPr>
        <w:t>Пункты</w:t>
      </w:r>
      <w:r>
        <w:rPr>
          <w:i/>
          <w:szCs w:val="24"/>
        </w:rPr>
        <w:tab/>
        <w:t>Стр.</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16" w:lineRule="auto"/>
        <w:rPr>
          <w:szCs w:val="24"/>
        </w:rPr>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rPr>
          <w:szCs w:val="24"/>
        </w:rPr>
      </w:pPr>
      <w:r>
        <w:rPr>
          <w:szCs w:val="24"/>
          <w:lang w:val="en-US"/>
        </w:rPr>
        <w:t>I</w:t>
      </w:r>
      <w:r>
        <w:rPr>
          <w:szCs w:val="24"/>
        </w:rPr>
        <w:t>.</w:t>
      </w:r>
      <w:r>
        <w:rPr>
          <w:szCs w:val="24"/>
        </w:rPr>
        <w:tab/>
        <w:t xml:space="preserve">ВВЕДЕНИЕ </w:t>
      </w:r>
      <w:r>
        <w:rPr>
          <w:szCs w:val="24"/>
        </w:rPr>
        <w:tab/>
      </w:r>
      <w:r>
        <w:rPr>
          <w:szCs w:val="24"/>
        </w:rPr>
        <w:tab/>
        <w:t>1 - 6</w:t>
      </w:r>
      <w:r>
        <w:rPr>
          <w:szCs w:val="24"/>
        </w:rPr>
        <w:tab/>
        <w:t>6</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rPr>
          <w:szCs w:val="24"/>
        </w:rPr>
      </w:pPr>
    </w:p>
    <w:p w:rsidR="00000000" w:rsidRDefault="00000000">
      <w:pPr>
        <w:tabs>
          <w:tab w:val="clear" w:pos="1134"/>
          <w:tab w:val="clear" w:pos="1701"/>
          <w:tab w:val="clear" w:pos="2268"/>
          <w:tab w:val="clear" w:pos="6237"/>
          <w:tab w:val="left" w:pos="567"/>
          <w:tab w:val="left" w:pos="4536"/>
          <w:tab w:val="right" w:leader="dot" w:pos="7172"/>
          <w:tab w:val="center" w:pos="8039"/>
          <w:tab w:val="center" w:pos="9122"/>
        </w:tabs>
        <w:spacing w:line="240" w:lineRule="auto"/>
        <w:ind w:left="567" w:hanging="567"/>
        <w:rPr>
          <w:szCs w:val="24"/>
        </w:rPr>
      </w:pPr>
      <w:r>
        <w:rPr>
          <w:szCs w:val="24"/>
          <w:lang w:val="en-US"/>
        </w:rPr>
        <w:t>II</w:t>
      </w:r>
      <w:r>
        <w:rPr>
          <w:szCs w:val="24"/>
        </w:rPr>
        <w:t>.</w:t>
      </w:r>
      <w:r>
        <w:rPr>
          <w:szCs w:val="24"/>
        </w:rPr>
        <w:tab/>
        <w:t xml:space="preserve">ОБЩЕПРАВОВАЯ ОСНОВА ЗАПРЕЩЕНИЯ И </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ind w:left="567" w:hanging="567"/>
        <w:rPr>
          <w:szCs w:val="24"/>
        </w:rPr>
      </w:pPr>
      <w:r>
        <w:rPr>
          <w:szCs w:val="24"/>
        </w:rPr>
        <w:tab/>
        <w:t xml:space="preserve">ИСКОРЕНЕНИЯ ПЫТОК И ДРУГИХ ЖЕСТОКИХ, </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ind w:left="567" w:hanging="567"/>
        <w:rPr>
          <w:szCs w:val="24"/>
        </w:rPr>
      </w:pPr>
      <w:r>
        <w:rPr>
          <w:szCs w:val="24"/>
        </w:rPr>
        <w:tab/>
        <w:t>БЕСЧЕЛОВЕЧНЫХ ИЛИ УНИЖАЮЩИХ ДОСТОИНСТВО ВИДОВ</w:t>
      </w:r>
      <w:r>
        <w:rPr>
          <w:szCs w:val="24"/>
          <w:lang w:val="en-US"/>
        </w:rPr>
        <w:t> </w:t>
      </w:r>
      <w:r>
        <w:rPr>
          <w:szCs w:val="24"/>
        </w:rPr>
        <w:t>ОБРАЩЕНИЯ И НАКАЗАНИЯ</w:t>
      </w:r>
      <w:r>
        <w:rPr>
          <w:szCs w:val="24"/>
        </w:rPr>
        <w:tab/>
      </w:r>
      <w:r>
        <w:rPr>
          <w:szCs w:val="24"/>
        </w:rPr>
        <w:tab/>
        <w:t xml:space="preserve">  7 - 47</w:t>
      </w:r>
      <w:r>
        <w:rPr>
          <w:szCs w:val="24"/>
        </w:rPr>
        <w:tab/>
        <w:t>8</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16" w:lineRule="auto"/>
        <w:rPr>
          <w:sz w:val="20"/>
        </w:rPr>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ind w:left="1134" w:hanging="1134"/>
        <w:rPr>
          <w:szCs w:val="24"/>
        </w:rPr>
      </w:pPr>
      <w:r>
        <w:rPr>
          <w:szCs w:val="24"/>
        </w:rPr>
        <w:tab/>
        <w:t>А.</w:t>
      </w:r>
      <w:r>
        <w:rPr>
          <w:szCs w:val="24"/>
        </w:rPr>
        <w:tab/>
        <w:t xml:space="preserve">Законодательная власть </w:t>
      </w:r>
      <w:r>
        <w:rPr>
          <w:szCs w:val="24"/>
        </w:rPr>
        <w:tab/>
      </w:r>
      <w:r>
        <w:rPr>
          <w:szCs w:val="24"/>
        </w:rPr>
        <w:tab/>
        <w:t>10 - 12</w:t>
      </w:r>
      <w:r>
        <w:rPr>
          <w:szCs w:val="24"/>
        </w:rPr>
        <w:tab/>
        <w:t>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Cs w:val="24"/>
        </w:rPr>
      </w:pPr>
      <w:r>
        <w:rPr>
          <w:szCs w:val="24"/>
        </w:rPr>
        <w:tab/>
        <w:t>В.</w:t>
      </w:r>
      <w:r>
        <w:rPr>
          <w:szCs w:val="24"/>
        </w:rPr>
        <w:tab/>
        <w:t xml:space="preserve">Исполнительная власть </w:t>
      </w:r>
      <w:r>
        <w:rPr>
          <w:szCs w:val="24"/>
        </w:rPr>
        <w:tab/>
      </w:r>
      <w:r>
        <w:rPr>
          <w:szCs w:val="24"/>
        </w:rPr>
        <w:tab/>
        <w:t>13 - 16</w:t>
      </w:r>
      <w:r>
        <w:rPr>
          <w:szCs w:val="24"/>
        </w:rPr>
        <w:tab/>
        <w:t>9</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Cs w:val="24"/>
        </w:rPr>
      </w:pPr>
      <w:r>
        <w:rPr>
          <w:szCs w:val="24"/>
        </w:rPr>
        <w:tab/>
        <w:t>С.</w:t>
      </w:r>
      <w:r>
        <w:rPr>
          <w:szCs w:val="24"/>
        </w:rPr>
        <w:tab/>
        <w:t xml:space="preserve">Судебная власть </w:t>
      </w:r>
      <w:r>
        <w:rPr>
          <w:szCs w:val="24"/>
        </w:rPr>
        <w:tab/>
      </w:r>
      <w:r>
        <w:rPr>
          <w:szCs w:val="24"/>
        </w:rPr>
        <w:tab/>
        <w:t>17 - 33</w:t>
      </w:r>
      <w:r>
        <w:rPr>
          <w:szCs w:val="24"/>
        </w:rPr>
        <w:tab/>
        <w:t>10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D</w:t>
      </w:r>
      <w:r>
        <w:rPr>
          <w:szCs w:val="24"/>
        </w:rPr>
        <w:t>.</w:t>
      </w:r>
      <w:r>
        <w:rPr>
          <w:szCs w:val="24"/>
        </w:rPr>
        <w:tab/>
        <w:t xml:space="preserve">Другие официальные органы </w:t>
      </w:r>
      <w:r>
        <w:rPr>
          <w:szCs w:val="24"/>
        </w:rPr>
        <w:tab/>
      </w:r>
      <w:r>
        <w:rPr>
          <w:szCs w:val="24"/>
        </w:rPr>
        <w:tab/>
        <w:t>34 - 36</w:t>
      </w:r>
      <w:r>
        <w:rPr>
          <w:szCs w:val="24"/>
        </w:rPr>
        <w:tab/>
        <w:t>14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Cs w:val="24"/>
        </w:rPr>
      </w:pPr>
      <w:r>
        <w:rPr>
          <w:szCs w:val="24"/>
        </w:rPr>
        <w:tab/>
      </w:r>
      <w:r>
        <w:rPr>
          <w:szCs w:val="24"/>
          <w:lang w:val="en-US"/>
        </w:rPr>
        <w:t>E</w:t>
      </w:r>
      <w:r>
        <w:rPr>
          <w:szCs w:val="24"/>
        </w:rPr>
        <w:t>.</w:t>
      </w:r>
      <w:r>
        <w:rPr>
          <w:szCs w:val="24"/>
        </w:rPr>
        <w:tab/>
        <w:t xml:space="preserve">Международные договоры </w:t>
      </w:r>
      <w:r>
        <w:rPr>
          <w:szCs w:val="24"/>
        </w:rPr>
        <w:tab/>
      </w:r>
      <w:r>
        <w:rPr>
          <w:szCs w:val="24"/>
        </w:rPr>
        <w:tab/>
        <w:t>37 - 47</w:t>
      </w:r>
      <w:r>
        <w:rPr>
          <w:szCs w:val="24"/>
        </w:rPr>
        <w:tab/>
        <w:t>15</w:t>
      </w:r>
    </w:p>
    <w:p w:rsidR="00000000" w:rsidRDefault="00000000">
      <w:pPr>
        <w:tabs>
          <w:tab w:val="clear" w:pos="1701"/>
          <w:tab w:val="clear" w:pos="2268"/>
          <w:tab w:val="clear" w:pos="6237"/>
          <w:tab w:val="left" w:pos="567"/>
          <w:tab w:val="left" w:pos="1134"/>
          <w:tab w:val="right" w:leader="dot" w:pos="7172"/>
          <w:tab w:val="center" w:pos="8039"/>
          <w:tab w:val="center" w:pos="9122"/>
        </w:tabs>
        <w:rPr>
          <w:szCs w:val="24"/>
        </w:rPr>
      </w:pPr>
    </w:p>
    <w:p w:rsidR="00000000" w:rsidRDefault="00000000">
      <w:pPr>
        <w:tabs>
          <w:tab w:val="clear" w:pos="1701"/>
          <w:tab w:val="clear" w:pos="2268"/>
          <w:tab w:val="clear" w:pos="6237"/>
          <w:tab w:val="left" w:pos="567"/>
          <w:tab w:val="left" w:pos="1134"/>
          <w:tab w:val="right" w:leader="dot" w:pos="7172"/>
          <w:tab w:val="center" w:pos="8039"/>
          <w:tab w:val="center" w:pos="9122"/>
        </w:tabs>
        <w:rPr>
          <w:szCs w:val="24"/>
        </w:rPr>
      </w:pPr>
      <w:r>
        <w:rPr>
          <w:szCs w:val="24"/>
          <w:lang w:val="en-US"/>
        </w:rPr>
        <w:t>III</w:t>
      </w:r>
      <w:r>
        <w:rPr>
          <w:szCs w:val="24"/>
        </w:rPr>
        <w:t>.</w:t>
      </w:r>
      <w:r>
        <w:rPr>
          <w:szCs w:val="24"/>
        </w:rPr>
        <w:tab/>
        <w:t xml:space="preserve">ПРИМЕНЕНИЕ СТАТЕЙ КОНВЕНЦИИ </w:t>
      </w:r>
      <w:r>
        <w:rPr>
          <w:szCs w:val="24"/>
        </w:rPr>
        <w:tab/>
      </w:r>
      <w:r>
        <w:rPr>
          <w:szCs w:val="24"/>
        </w:rPr>
        <w:tab/>
        <w:t>48 - 242</w:t>
      </w:r>
      <w:r>
        <w:rPr>
          <w:szCs w:val="24"/>
        </w:rPr>
        <w:tab/>
        <w:t>21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b/>
          <w:szCs w:val="24"/>
        </w:rPr>
        <w:tab/>
      </w:r>
      <w:r>
        <w:rPr>
          <w:szCs w:val="24"/>
          <w:lang w:val="en-US"/>
        </w:rPr>
        <w:t>A</w:t>
      </w:r>
      <w:r>
        <w:rPr>
          <w:szCs w:val="24"/>
        </w:rPr>
        <w:t>.</w:t>
      </w:r>
      <w:r>
        <w:rPr>
          <w:b/>
          <w:szCs w:val="24"/>
        </w:rPr>
        <w:tab/>
      </w:r>
      <w:r>
        <w:rPr>
          <w:szCs w:val="24"/>
        </w:rPr>
        <w:t xml:space="preserve">Статья 1 </w:t>
      </w:r>
      <w:r>
        <w:rPr>
          <w:szCs w:val="24"/>
        </w:rPr>
        <w:tab/>
      </w:r>
      <w:r>
        <w:rPr>
          <w:szCs w:val="24"/>
        </w:rPr>
        <w:tab/>
        <w:t>48 - 52</w:t>
      </w:r>
      <w:r>
        <w:rPr>
          <w:szCs w:val="24"/>
        </w:rPr>
        <w:tab/>
        <w:t>21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B</w:t>
      </w:r>
      <w:r>
        <w:rPr>
          <w:szCs w:val="24"/>
        </w:rPr>
        <w:t>.</w:t>
      </w:r>
      <w:r>
        <w:rPr>
          <w:szCs w:val="24"/>
        </w:rPr>
        <w:tab/>
        <w:t xml:space="preserve">Статья 2 </w:t>
      </w:r>
      <w:r>
        <w:rPr>
          <w:szCs w:val="24"/>
        </w:rPr>
        <w:tab/>
      </w:r>
      <w:r>
        <w:rPr>
          <w:szCs w:val="24"/>
        </w:rPr>
        <w:tab/>
        <w:t>53 - 68</w:t>
      </w:r>
      <w:r>
        <w:rPr>
          <w:szCs w:val="24"/>
        </w:rPr>
        <w:tab/>
        <w:t>22</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C</w:t>
      </w:r>
      <w:r>
        <w:rPr>
          <w:szCs w:val="24"/>
        </w:rPr>
        <w:t>.</w:t>
      </w:r>
      <w:r>
        <w:rPr>
          <w:szCs w:val="24"/>
        </w:rPr>
        <w:tab/>
        <w:t xml:space="preserve">Статья 3 </w:t>
      </w:r>
      <w:r>
        <w:rPr>
          <w:szCs w:val="24"/>
        </w:rPr>
        <w:tab/>
      </w:r>
      <w:r>
        <w:rPr>
          <w:szCs w:val="24"/>
        </w:rPr>
        <w:tab/>
        <w:t>69 - 84</w:t>
      </w:r>
      <w:r>
        <w:rPr>
          <w:szCs w:val="24"/>
        </w:rPr>
        <w:tab/>
        <w:t>31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D</w:t>
      </w:r>
      <w:r>
        <w:rPr>
          <w:szCs w:val="24"/>
        </w:rPr>
        <w:t>.</w:t>
      </w:r>
      <w:r>
        <w:rPr>
          <w:szCs w:val="24"/>
        </w:rPr>
        <w:tab/>
        <w:t xml:space="preserve">Статья 4 </w:t>
      </w:r>
      <w:r>
        <w:rPr>
          <w:szCs w:val="24"/>
        </w:rPr>
        <w:tab/>
      </w:r>
      <w:r>
        <w:rPr>
          <w:szCs w:val="24"/>
        </w:rPr>
        <w:tab/>
        <w:t>85 - 95</w:t>
      </w:r>
      <w:r>
        <w:rPr>
          <w:szCs w:val="24"/>
        </w:rPr>
        <w:tab/>
        <w:t>36</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b/>
          <w:szCs w:val="24"/>
        </w:rPr>
        <w:tab/>
      </w:r>
      <w:r>
        <w:rPr>
          <w:szCs w:val="24"/>
          <w:lang w:val="en-US"/>
        </w:rPr>
        <w:t>E</w:t>
      </w:r>
      <w:r>
        <w:rPr>
          <w:szCs w:val="24"/>
        </w:rPr>
        <w:t>.</w:t>
      </w:r>
      <w:r>
        <w:rPr>
          <w:b/>
          <w:szCs w:val="24"/>
        </w:rPr>
        <w:tab/>
      </w:r>
      <w:r>
        <w:rPr>
          <w:szCs w:val="24"/>
        </w:rPr>
        <w:t xml:space="preserve">Статья 5 </w:t>
      </w:r>
      <w:r>
        <w:rPr>
          <w:szCs w:val="24"/>
        </w:rPr>
        <w:tab/>
      </w:r>
      <w:r>
        <w:rPr>
          <w:szCs w:val="24"/>
        </w:rPr>
        <w:tab/>
      </w:r>
      <w:r>
        <w:rPr>
          <w:szCs w:val="24"/>
          <w:lang w:val="en-US"/>
        </w:rPr>
        <w:t xml:space="preserve">  </w:t>
      </w:r>
      <w:r>
        <w:rPr>
          <w:szCs w:val="24"/>
        </w:rPr>
        <w:t>96 - 100</w:t>
      </w:r>
      <w:r>
        <w:rPr>
          <w:szCs w:val="24"/>
        </w:rPr>
        <w:tab/>
        <w:t>40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F</w:t>
      </w:r>
      <w:r>
        <w:rPr>
          <w:szCs w:val="24"/>
        </w:rPr>
        <w:t>.</w:t>
      </w:r>
      <w:r>
        <w:rPr>
          <w:szCs w:val="24"/>
        </w:rPr>
        <w:tab/>
        <w:t xml:space="preserve">Статья 6 </w:t>
      </w:r>
      <w:r>
        <w:rPr>
          <w:szCs w:val="24"/>
        </w:rPr>
        <w:tab/>
      </w:r>
      <w:r>
        <w:rPr>
          <w:szCs w:val="24"/>
        </w:rPr>
        <w:tab/>
        <w:t>101 - 105</w:t>
      </w:r>
      <w:r>
        <w:rPr>
          <w:szCs w:val="24"/>
        </w:rPr>
        <w:tab/>
        <w:t>42</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G</w:t>
      </w:r>
      <w:r>
        <w:rPr>
          <w:szCs w:val="24"/>
        </w:rPr>
        <w:t>.</w:t>
      </w:r>
      <w:r>
        <w:rPr>
          <w:szCs w:val="24"/>
        </w:rPr>
        <w:tab/>
        <w:t xml:space="preserve">Статья 7 </w:t>
      </w:r>
      <w:r>
        <w:rPr>
          <w:szCs w:val="24"/>
        </w:rPr>
        <w:tab/>
      </w:r>
      <w:r>
        <w:rPr>
          <w:szCs w:val="24"/>
        </w:rPr>
        <w:tab/>
        <w:t xml:space="preserve">106 - 116 </w:t>
      </w:r>
      <w:r>
        <w:rPr>
          <w:szCs w:val="24"/>
        </w:rPr>
        <w:tab/>
        <w:t>44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H</w:t>
      </w:r>
      <w:r>
        <w:rPr>
          <w:szCs w:val="24"/>
        </w:rPr>
        <w:t>.</w:t>
      </w:r>
      <w:r>
        <w:rPr>
          <w:szCs w:val="24"/>
        </w:rPr>
        <w:tab/>
        <w:t xml:space="preserve">Статья 8 </w:t>
      </w:r>
      <w:r>
        <w:rPr>
          <w:szCs w:val="24"/>
        </w:rPr>
        <w:tab/>
      </w:r>
      <w:r>
        <w:rPr>
          <w:szCs w:val="24"/>
        </w:rPr>
        <w:tab/>
        <w:t>117 - 120</w:t>
      </w:r>
      <w:r>
        <w:rPr>
          <w:szCs w:val="24"/>
        </w:rPr>
        <w:tab/>
        <w:t>48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I</w:t>
      </w:r>
      <w:r>
        <w:rPr>
          <w:szCs w:val="24"/>
        </w:rPr>
        <w:t>.</w:t>
      </w:r>
      <w:r>
        <w:rPr>
          <w:szCs w:val="24"/>
        </w:rPr>
        <w:tab/>
        <w:t xml:space="preserve">Статья 9 </w:t>
      </w:r>
      <w:r>
        <w:rPr>
          <w:szCs w:val="24"/>
        </w:rPr>
        <w:tab/>
      </w:r>
      <w:r>
        <w:rPr>
          <w:szCs w:val="24"/>
        </w:rPr>
        <w:tab/>
        <w:t>121 - 123</w:t>
      </w:r>
      <w:r>
        <w:rPr>
          <w:szCs w:val="24"/>
        </w:rPr>
        <w:tab/>
        <w:t>49</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J</w:t>
      </w:r>
      <w:r>
        <w:rPr>
          <w:szCs w:val="24"/>
        </w:rPr>
        <w:t>.</w:t>
      </w:r>
      <w:r>
        <w:rPr>
          <w:szCs w:val="24"/>
        </w:rPr>
        <w:tab/>
        <w:t xml:space="preserve">Статья 10 </w:t>
      </w:r>
      <w:r>
        <w:rPr>
          <w:szCs w:val="24"/>
        </w:rPr>
        <w:tab/>
      </w:r>
      <w:r>
        <w:rPr>
          <w:szCs w:val="24"/>
        </w:rPr>
        <w:tab/>
        <w:t>124 - 157</w:t>
      </w:r>
      <w:r>
        <w:rPr>
          <w:szCs w:val="24"/>
        </w:rPr>
        <w:tab/>
        <w:t>50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K</w:t>
      </w:r>
      <w:r>
        <w:rPr>
          <w:szCs w:val="24"/>
        </w:rPr>
        <w:t>.</w:t>
      </w:r>
      <w:r>
        <w:rPr>
          <w:szCs w:val="24"/>
        </w:rPr>
        <w:tab/>
        <w:t xml:space="preserve">Статья 11 </w:t>
      </w:r>
      <w:r>
        <w:rPr>
          <w:szCs w:val="24"/>
        </w:rPr>
        <w:tab/>
      </w:r>
      <w:r>
        <w:rPr>
          <w:szCs w:val="24"/>
        </w:rPr>
        <w:tab/>
        <w:t>158 - 170</w:t>
      </w:r>
      <w:r>
        <w:rPr>
          <w:szCs w:val="24"/>
        </w:rPr>
        <w:tab/>
        <w:t>67</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L</w:t>
      </w:r>
      <w:r>
        <w:rPr>
          <w:szCs w:val="24"/>
        </w:rPr>
        <w:t>.</w:t>
      </w:r>
      <w:r>
        <w:rPr>
          <w:szCs w:val="24"/>
        </w:rPr>
        <w:tab/>
        <w:t xml:space="preserve">Статья 12 </w:t>
      </w:r>
      <w:r>
        <w:rPr>
          <w:szCs w:val="24"/>
        </w:rPr>
        <w:tab/>
      </w:r>
      <w:r>
        <w:rPr>
          <w:szCs w:val="24"/>
        </w:rPr>
        <w:tab/>
        <w:t>171 - 175</w:t>
      </w:r>
      <w:r>
        <w:rPr>
          <w:szCs w:val="24"/>
        </w:rPr>
        <w:tab/>
        <w:t>72</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M</w:t>
      </w:r>
      <w:r>
        <w:rPr>
          <w:szCs w:val="24"/>
        </w:rPr>
        <w:t>.</w:t>
      </w:r>
      <w:r>
        <w:rPr>
          <w:szCs w:val="24"/>
        </w:rPr>
        <w:tab/>
        <w:t xml:space="preserve">Статья 13 </w:t>
      </w:r>
      <w:r>
        <w:rPr>
          <w:szCs w:val="24"/>
        </w:rPr>
        <w:tab/>
      </w:r>
      <w:r>
        <w:rPr>
          <w:szCs w:val="24"/>
        </w:rPr>
        <w:tab/>
        <w:t>176 - 195</w:t>
      </w:r>
      <w:r>
        <w:rPr>
          <w:szCs w:val="24"/>
        </w:rPr>
        <w:tab/>
        <w:t>73</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N</w:t>
      </w:r>
      <w:r>
        <w:rPr>
          <w:szCs w:val="24"/>
        </w:rPr>
        <w:t>.</w:t>
      </w:r>
      <w:r>
        <w:rPr>
          <w:szCs w:val="24"/>
        </w:rPr>
        <w:tab/>
        <w:t xml:space="preserve">Статья 14 </w:t>
      </w:r>
      <w:r>
        <w:rPr>
          <w:szCs w:val="24"/>
        </w:rPr>
        <w:tab/>
      </w:r>
      <w:r>
        <w:rPr>
          <w:szCs w:val="24"/>
        </w:rPr>
        <w:tab/>
        <w:t xml:space="preserve">196 - 206 </w:t>
      </w:r>
      <w:r>
        <w:rPr>
          <w:szCs w:val="24"/>
        </w:rPr>
        <w:tab/>
        <w:t>80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O</w:t>
      </w:r>
      <w:r>
        <w:rPr>
          <w:szCs w:val="24"/>
        </w:rPr>
        <w:t>.</w:t>
      </w:r>
      <w:r>
        <w:rPr>
          <w:szCs w:val="24"/>
        </w:rPr>
        <w:tab/>
        <w:t xml:space="preserve">Статья 15 </w:t>
      </w:r>
      <w:r>
        <w:rPr>
          <w:szCs w:val="24"/>
        </w:rPr>
        <w:tab/>
      </w:r>
      <w:r>
        <w:rPr>
          <w:szCs w:val="24"/>
        </w:rPr>
        <w:tab/>
        <w:t>207 - 211</w:t>
      </w:r>
      <w:r>
        <w:rPr>
          <w:szCs w:val="24"/>
        </w:rPr>
        <w:tab/>
        <w:t>83</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16" w:lineRule="auto"/>
        <w:rPr>
          <w:sz w:val="20"/>
        </w:rPr>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16" w:lineRule="auto"/>
        <w:rPr>
          <w:szCs w:val="24"/>
        </w:rPr>
      </w:pPr>
      <w:r>
        <w:rPr>
          <w:szCs w:val="24"/>
        </w:rPr>
        <w:tab/>
      </w:r>
      <w:r>
        <w:rPr>
          <w:szCs w:val="24"/>
          <w:lang w:val="en-US"/>
        </w:rPr>
        <w:t>P</w:t>
      </w:r>
      <w:r>
        <w:rPr>
          <w:szCs w:val="24"/>
        </w:rPr>
        <w:t>.</w:t>
      </w:r>
      <w:r>
        <w:rPr>
          <w:szCs w:val="24"/>
        </w:rPr>
        <w:tab/>
        <w:t xml:space="preserve">Статья 16 </w:t>
      </w:r>
      <w:r>
        <w:rPr>
          <w:szCs w:val="24"/>
        </w:rPr>
        <w:tab/>
      </w:r>
      <w:r>
        <w:rPr>
          <w:szCs w:val="24"/>
        </w:rPr>
        <w:tab/>
        <w:t>212 - 242</w:t>
      </w:r>
      <w:r>
        <w:rPr>
          <w:szCs w:val="24"/>
        </w:rPr>
        <w:tab/>
        <w:t>84</w:t>
      </w:r>
    </w:p>
    <w:p w:rsidR="00000000" w:rsidRDefault="00000000">
      <w:pPr>
        <w:tabs>
          <w:tab w:val="clear" w:pos="6237"/>
          <w:tab w:val="left" w:pos="567"/>
          <w:tab w:val="left" w:pos="1134"/>
          <w:tab w:val="left" w:pos="1701"/>
          <w:tab w:val="left" w:pos="2268"/>
          <w:tab w:val="left" w:pos="2352"/>
          <w:tab w:val="center" w:pos="9122"/>
        </w:tabs>
        <w:jc w:val="center"/>
        <w:rPr>
          <w:i/>
          <w:szCs w:val="24"/>
        </w:rPr>
      </w:pPr>
      <w:r>
        <w:rPr>
          <w:b/>
          <w:szCs w:val="24"/>
        </w:rPr>
        <w:t xml:space="preserve">СОДЕРЖАНИЕ </w:t>
      </w:r>
      <w:r>
        <w:rPr>
          <w:i/>
          <w:szCs w:val="24"/>
        </w:rPr>
        <w:t>(продолжение)</w:t>
      </w:r>
    </w:p>
    <w:p w:rsidR="00000000" w:rsidRDefault="00000000">
      <w:pPr>
        <w:tabs>
          <w:tab w:val="clear" w:pos="6237"/>
          <w:tab w:val="left" w:pos="567"/>
          <w:tab w:val="left" w:pos="1134"/>
          <w:tab w:val="left" w:pos="1701"/>
          <w:tab w:val="left" w:pos="2268"/>
          <w:tab w:val="left" w:pos="2352"/>
          <w:tab w:val="center" w:pos="9122"/>
        </w:tabs>
        <w:jc w:val="center"/>
        <w:rPr>
          <w:szCs w:val="24"/>
        </w:rPr>
      </w:pPr>
    </w:p>
    <w:p w:rsidR="00000000" w:rsidRDefault="00000000">
      <w:pPr>
        <w:jc w:val="center"/>
        <w:rPr>
          <w:szCs w:val="24"/>
        </w:rPr>
      </w:pPr>
      <w:r>
        <w:rPr>
          <w:szCs w:val="24"/>
        </w:rPr>
        <w:t>ПРИЛОЖЕНИЯ</w:t>
      </w:r>
    </w:p>
    <w:p w:rsidR="00000000" w:rsidRDefault="00000000">
      <w:pPr>
        <w:rPr>
          <w:szCs w:val="24"/>
        </w:rPr>
      </w:pPr>
    </w:p>
    <w:p w:rsidR="00000000" w:rsidRDefault="00000000">
      <w:pPr>
        <w:rPr>
          <w:b/>
          <w:szCs w:val="24"/>
        </w:rPr>
      </w:pPr>
      <w:r>
        <w:rPr>
          <w:b/>
          <w:szCs w:val="24"/>
        </w:rPr>
        <w:t xml:space="preserve">Приложение </w:t>
      </w:r>
      <w:r>
        <w:rPr>
          <w:b/>
          <w:szCs w:val="24"/>
          <w:lang w:val="en-US"/>
        </w:rPr>
        <w:t>I</w:t>
      </w:r>
      <w:r>
        <w:rPr>
          <w:b/>
          <w:szCs w:val="24"/>
        </w:rPr>
        <w:t>:  Статистические данные</w:t>
      </w:r>
    </w:p>
    <w:p w:rsidR="00000000" w:rsidRDefault="00000000">
      <w:pPr>
        <w:rPr>
          <w:szCs w:val="24"/>
        </w:rPr>
      </w:pPr>
    </w:p>
    <w:p w:rsidR="00000000" w:rsidRDefault="00000000">
      <w:pPr>
        <w:tabs>
          <w:tab w:val="left" w:pos="1418"/>
        </w:tabs>
        <w:ind w:left="1418" w:hanging="1418"/>
        <w:rPr>
          <w:szCs w:val="24"/>
        </w:rPr>
      </w:pPr>
      <w:r>
        <w:rPr>
          <w:szCs w:val="24"/>
        </w:rPr>
        <w:t>Таблица 1.</w:t>
      </w:r>
      <w:r>
        <w:rPr>
          <w:szCs w:val="24"/>
        </w:rPr>
        <w:tab/>
      </w:r>
      <w:r>
        <w:rPr>
          <w:szCs w:val="24"/>
        </w:rPr>
        <w:tab/>
        <w:t>Статистические данные:  Заявления о применении пыток, поступившие в масштабах страны в Прокуратуру за период 2002-2006 годов</w:t>
      </w:r>
    </w:p>
    <w:p w:rsidR="00000000" w:rsidRDefault="00000000">
      <w:pPr>
        <w:rPr>
          <w:szCs w:val="24"/>
        </w:rPr>
      </w:pPr>
    </w:p>
    <w:p w:rsidR="00000000" w:rsidRDefault="00000000">
      <w:pPr>
        <w:tabs>
          <w:tab w:val="left" w:pos="1418"/>
        </w:tabs>
        <w:ind w:left="1418" w:hanging="1418"/>
        <w:rPr>
          <w:szCs w:val="24"/>
        </w:rPr>
      </w:pPr>
      <w:r>
        <w:rPr>
          <w:szCs w:val="24"/>
        </w:rPr>
        <w:t xml:space="preserve">Таблица 2.  </w:t>
      </w:r>
      <w:r>
        <w:rPr>
          <w:szCs w:val="24"/>
        </w:rPr>
        <w:tab/>
        <w:t>Статистические данные:  Жалобы по факту применения пыток и жестоких видов обращения, рассмотренные Национальным управлением уполномоченного по правам человека (КОНАДЕ) за период 2003-2007 годов</w:t>
      </w:r>
    </w:p>
    <w:p w:rsidR="00000000" w:rsidRDefault="00000000">
      <w:pPr>
        <w:rPr>
          <w:szCs w:val="24"/>
        </w:rPr>
      </w:pPr>
    </w:p>
    <w:p w:rsidR="00000000" w:rsidRDefault="00000000">
      <w:pPr>
        <w:tabs>
          <w:tab w:val="left" w:pos="1418"/>
        </w:tabs>
        <w:ind w:left="1418" w:hanging="1418"/>
        <w:rPr>
          <w:szCs w:val="24"/>
        </w:rPr>
      </w:pPr>
      <w:r>
        <w:rPr>
          <w:szCs w:val="24"/>
        </w:rPr>
        <w:t xml:space="preserve">Таблица 3. </w:t>
      </w:r>
      <w:r>
        <w:rPr>
          <w:szCs w:val="24"/>
        </w:rPr>
        <w:tab/>
        <w:t>Статистические данные:  Заявления о применении пыток, поступившие в Главное управление следственной полиции Министерства безопасности</w:t>
      </w:r>
    </w:p>
    <w:p w:rsidR="00000000" w:rsidRDefault="00000000">
      <w:pPr>
        <w:rPr>
          <w:szCs w:val="24"/>
        </w:rPr>
      </w:pPr>
    </w:p>
    <w:p w:rsidR="00000000" w:rsidRDefault="00000000">
      <w:pPr>
        <w:tabs>
          <w:tab w:val="left" w:pos="1418"/>
        </w:tabs>
        <w:ind w:left="1418" w:hanging="1418"/>
        <w:rPr>
          <w:szCs w:val="24"/>
        </w:rPr>
      </w:pPr>
      <w:r>
        <w:rPr>
          <w:szCs w:val="24"/>
        </w:rPr>
        <w:t xml:space="preserve">Таблица 4.  </w:t>
      </w:r>
      <w:r>
        <w:rPr>
          <w:szCs w:val="24"/>
        </w:rPr>
        <w:tab/>
        <w:t>Статистические данные:  Жалобы, зафиксированные по телефонной линии 114 Министерства безопасности (январь-октябрь 2007 года)</w:t>
      </w:r>
    </w:p>
    <w:p w:rsidR="00000000" w:rsidRDefault="00000000">
      <w:pPr>
        <w:rPr>
          <w:szCs w:val="24"/>
        </w:rPr>
      </w:pPr>
    </w:p>
    <w:p w:rsidR="00000000" w:rsidRDefault="00000000">
      <w:pPr>
        <w:tabs>
          <w:tab w:val="left" w:pos="1418"/>
        </w:tabs>
        <w:ind w:left="1418" w:hanging="1418"/>
        <w:rPr>
          <w:szCs w:val="24"/>
        </w:rPr>
      </w:pPr>
      <w:r>
        <w:rPr>
          <w:szCs w:val="24"/>
        </w:rPr>
        <w:t xml:space="preserve">Таблица 5.  </w:t>
      </w:r>
      <w:r>
        <w:rPr>
          <w:szCs w:val="24"/>
        </w:rPr>
        <w:tab/>
        <w:t>Общенациональные статистические данные о судах первой инстанции по делам о бытовом насилии (2003-2007 годы)</w:t>
      </w:r>
    </w:p>
    <w:p w:rsidR="00000000" w:rsidRDefault="00000000">
      <w:pPr>
        <w:rPr>
          <w:szCs w:val="24"/>
        </w:rPr>
      </w:pPr>
    </w:p>
    <w:p w:rsidR="00000000" w:rsidRDefault="00000000">
      <w:pPr>
        <w:tabs>
          <w:tab w:val="left" w:pos="1418"/>
        </w:tabs>
        <w:ind w:left="1418" w:hanging="1418"/>
        <w:rPr>
          <w:szCs w:val="24"/>
        </w:rPr>
      </w:pPr>
      <w:r>
        <w:rPr>
          <w:szCs w:val="24"/>
        </w:rPr>
        <w:t xml:space="preserve">Таблица 6.  </w:t>
      </w:r>
      <w:r>
        <w:rPr>
          <w:szCs w:val="24"/>
        </w:rPr>
        <w:tab/>
        <w:t>Статистические данные:  Заболевания, которым уделяется особое внимание</w:t>
      </w:r>
    </w:p>
    <w:p w:rsidR="00000000" w:rsidRDefault="00000000">
      <w:pPr>
        <w:rPr>
          <w:szCs w:val="24"/>
        </w:rPr>
      </w:pPr>
    </w:p>
    <w:p w:rsidR="00000000" w:rsidRDefault="00000000">
      <w:pPr>
        <w:tabs>
          <w:tab w:val="left" w:pos="1418"/>
        </w:tabs>
        <w:ind w:left="1418" w:hanging="1418"/>
        <w:rPr>
          <w:szCs w:val="24"/>
        </w:rPr>
      </w:pPr>
      <w:r>
        <w:rPr>
          <w:szCs w:val="24"/>
        </w:rPr>
        <w:t xml:space="preserve">Таблица 7.  </w:t>
      </w:r>
      <w:r>
        <w:rPr>
          <w:szCs w:val="24"/>
        </w:rPr>
        <w:tab/>
        <w:t>Статистические данные:  Контингент заключенных (по состоянию на март 2007 года)</w:t>
      </w:r>
    </w:p>
    <w:p w:rsidR="00000000" w:rsidRDefault="00000000">
      <w:pPr>
        <w:rPr>
          <w:szCs w:val="24"/>
        </w:rPr>
      </w:pPr>
    </w:p>
    <w:p w:rsidR="00000000" w:rsidRDefault="00000000">
      <w:pPr>
        <w:tabs>
          <w:tab w:val="left" w:pos="1418"/>
        </w:tabs>
        <w:ind w:left="1418" w:hanging="1418"/>
        <w:rPr>
          <w:szCs w:val="24"/>
        </w:rPr>
      </w:pPr>
      <w:r>
        <w:rPr>
          <w:szCs w:val="24"/>
        </w:rPr>
        <w:t xml:space="preserve">Таблица 8.  </w:t>
      </w:r>
      <w:r>
        <w:rPr>
          <w:szCs w:val="24"/>
        </w:rPr>
        <w:tab/>
        <w:t>Центры содержания, находящиеся в ведении Гондурасского института по делам детей и семьи (ИГНФА)</w:t>
      </w:r>
    </w:p>
    <w:p w:rsidR="00000000" w:rsidRDefault="00000000">
      <w:pPr>
        <w:rPr>
          <w:szCs w:val="24"/>
        </w:rPr>
      </w:pPr>
    </w:p>
    <w:p w:rsidR="00000000" w:rsidRDefault="00000000">
      <w:pPr>
        <w:rPr>
          <w:b/>
          <w:szCs w:val="24"/>
        </w:rPr>
      </w:pPr>
      <w:r>
        <w:rPr>
          <w:b/>
          <w:szCs w:val="24"/>
        </w:rPr>
        <w:t xml:space="preserve">Приложение </w:t>
      </w:r>
      <w:r>
        <w:rPr>
          <w:b/>
          <w:szCs w:val="24"/>
          <w:lang w:val="en-US"/>
        </w:rPr>
        <w:t>II</w:t>
      </w:r>
      <w:r>
        <w:rPr>
          <w:b/>
          <w:szCs w:val="24"/>
        </w:rPr>
        <w:t>:  Документация</w:t>
      </w:r>
    </w:p>
    <w:p w:rsidR="00000000" w:rsidRDefault="00000000">
      <w:pPr>
        <w:rPr>
          <w:szCs w:val="24"/>
        </w:rPr>
      </w:pPr>
    </w:p>
    <w:p w:rsidR="00000000" w:rsidRDefault="00000000">
      <w:pPr>
        <w:rPr>
          <w:szCs w:val="24"/>
        </w:rPr>
      </w:pPr>
      <w:r>
        <w:rPr>
          <w:szCs w:val="24"/>
        </w:rPr>
        <w:t>1.</w:t>
      </w:r>
      <w:r>
        <w:rPr>
          <w:szCs w:val="24"/>
        </w:rPr>
        <w:tab/>
        <w:t>Конституция Республики</w:t>
      </w:r>
    </w:p>
    <w:p w:rsidR="00000000" w:rsidRDefault="00000000">
      <w:pPr>
        <w:rPr>
          <w:szCs w:val="24"/>
        </w:rPr>
      </w:pPr>
    </w:p>
    <w:p w:rsidR="00000000" w:rsidRDefault="00000000">
      <w:pPr>
        <w:rPr>
          <w:szCs w:val="24"/>
        </w:rPr>
      </w:pPr>
      <w:r>
        <w:rPr>
          <w:szCs w:val="24"/>
        </w:rPr>
        <w:t>2.</w:t>
      </w:r>
      <w:r>
        <w:rPr>
          <w:szCs w:val="24"/>
        </w:rPr>
        <w:tab/>
        <w:t>Закон о Прокуратуре</w:t>
      </w:r>
    </w:p>
    <w:p w:rsidR="00000000" w:rsidRDefault="00000000">
      <w:pPr>
        <w:rPr>
          <w:szCs w:val="24"/>
        </w:rPr>
      </w:pPr>
    </w:p>
    <w:p w:rsidR="00000000" w:rsidRDefault="00000000">
      <w:pPr>
        <w:ind w:left="567" w:hanging="567"/>
        <w:rPr>
          <w:szCs w:val="24"/>
        </w:rPr>
      </w:pPr>
      <w:r>
        <w:rPr>
          <w:szCs w:val="24"/>
        </w:rPr>
        <w:t>3.</w:t>
      </w:r>
      <w:r>
        <w:rPr>
          <w:szCs w:val="24"/>
        </w:rPr>
        <w:tab/>
        <w:t>Органический закон о Национальном управлении уполномоченного по правам человека (КОНАДЕ)</w:t>
      </w:r>
    </w:p>
    <w:p w:rsidR="00000000" w:rsidRDefault="00000000">
      <w:pPr>
        <w:rPr>
          <w:szCs w:val="24"/>
        </w:rPr>
      </w:pPr>
    </w:p>
    <w:p w:rsidR="00000000" w:rsidRDefault="00000000">
      <w:pPr>
        <w:keepNext/>
        <w:tabs>
          <w:tab w:val="clear" w:pos="6237"/>
          <w:tab w:val="left" w:pos="567"/>
          <w:tab w:val="left" w:pos="1134"/>
          <w:tab w:val="left" w:pos="1701"/>
          <w:tab w:val="left" w:pos="2268"/>
          <w:tab w:val="left" w:pos="2352"/>
          <w:tab w:val="center" w:pos="9122"/>
        </w:tabs>
        <w:jc w:val="center"/>
        <w:rPr>
          <w:i/>
          <w:szCs w:val="24"/>
        </w:rPr>
      </w:pPr>
      <w:r>
        <w:rPr>
          <w:b/>
          <w:szCs w:val="24"/>
        </w:rPr>
        <w:t xml:space="preserve">СОДЕРЖАНИЕ </w:t>
      </w:r>
      <w:r>
        <w:rPr>
          <w:i/>
          <w:szCs w:val="24"/>
        </w:rPr>
        <w:t>(продолжение)</w:t>
      </w:r>
    </w:p>
    <w:p w:rsidR="00000000" w:rsidRDefault="00000000">
      <w:pPr>
        <w:keepNext/>
        <w:tabs>
          <w:tab w:val="clear" w:pos="6237"/>
          <w:tab w:val="left" w:pos="567"/>
          <w:tab w:val="left" w:pos="1134"/>
          <w:tab w:val="left" w:pos="1701"/>
          <w:tab w:val="left" w:pos="2268"/>
          <w:tab w:val="left" w:pos="2352"/>
          <w:tab w:val="center" w:pos="9122"/>
        </w:tabs>
        <w:spacing w:line="240" w:lineRule="auto"/>
        <w:jc w:val="center"/>
        <w:rPr>
          <w:szCs w:val="24"/>
        </w:rPr>
      </w:pPr>
    </w:p>
    <w:p w:rsidR="00000000" w:rsidRDefault="00000000">
      <w:pPr>
        <w:rPr>
          <w:szCs w:val="24"/>
        </w:rPr>
      </w:pPr>
      <w:r>
        <w:rPr>
          <w:szCs w:val="24"/>
        </w:rPr>
        <w:t>4.</w:t>
      </w:r>
      <w:r>
        <w:rPr>
          <w:szCs w:val="24"/>
        </w:rPr>
        <w:tab/>
        <w:t>Уголовный кодекс</w:t>
      </w:r>
    </w:p>
    <w:p w:rsidR="00000000" w:rsidRDefault="00000000">
      <w:pPr>
        <w:rPr>
          <w:szCs w:val="24"/>
        </w:rPr>
      </w:pPr>
    </w:p>
    <w:p w:rsidR="00000000" w:rsidRDefault="00000000">
      <w:pPr>
        <w:rPr>
          <w:szCs w:val="24"/>
        </w:rPr>
      </w:pPr>
      <w:r>
        <w:rPr>
          <w:szCs w:val="24"/>
        </w:rPr>
        <w:t>5.</w:t>
      </w:r>
      <w:r>
        <w:rPr>
          <w:szCs w:val="24"/>
        </w:rPr>
        <w:tab/>
        <w:t>Уголовно-процессуальный кодекс</w:t>
      </w:r>
    </w:p>
    <w:p w:rsidR="00000000" w:rsidRDefault="00000000">
      <w:pPr>
        <w:rPr>
          <w:szCs w:val="24"/>
        </w:rPr>
      </w:pPr>
    </w:p>
    <w:p w:rsidR="00000000" w:rsidRDefault="00000000">
      <w:pPr>
        <w:ind w:left="567" w:hanging="567"/>
        <w:rPr>
          <w:szCs w:val="24"/>
        </w:rPr>
      </w:pPr>
      <w:r>
        <w:rPr>
          <w:szCs w:val="24"/>
        </w:rPr>
        <w:t>6.</w:t>
      </w:r>
      <w:r>
        <w:rPr>
          <w:szCs w:val="24"/>
        </w:rPr>
        <w:tab/>
        <w:t>Формы инспекций, проводимых Прокуратурой и Национальным управлением уполномоченного по правам человека (КОНАДЕ)</w:t>
      </w:r>
    </w:p>
    <w:p w:rsidR="00000000" w:rsidRDefault="00000000">
      <w:pPr>
        <w:rPr>
          <w:szCs w:val="24"/>
        </w:rPr>
      </w:pPr>
    </w:p>
    <w:p w:rsidR="00000000" w:rsidRDefault="00000000">
      <w:pPr>
        <w:rPr>
          <w:szCs w:val="24"/>
        </w:rPr>
      </w:pPr>
      <w:r>
        <w:rPr>
          <w:szCs w:val="24"/>
        </w:rPr>
        <w:t>7.</w:t>
      </w:r>
      <w:r>
        <w:rPr>
          <w:szCs w:val="24"/>
        </w:rPr>
        <w:tab/>
        <w:t>Закон о миграции и иностранных гражданах</w:t>
      </w:r>
    </w:p>
    <w:p w:rsidR="00000000" w:rsidRDefault="00000000">
      <w:pPr>
        <w:rPr>
          <w:szCs w:val="24"/>
        </w:rPr>
      </w:pPr>
    </w:p>
    <w:p w:rsidR="00000000" w:rsidRDefault="00000000">
      <w:pPr>
        <w:rPr>
          <w:szCs w:val="24"/>
        </w:rPr>
      </w:pPr>
      <w:r>
        <w:rPr>
          <w:szCs w:val="24"/>
        </w:rPr>
        <w:t>8.</w:t>
      </w:r>
      <w:r>
        <w:rPr>
          <w:szCs w:val="24"/>
        </w:rPr>
        <w:tab/>
        <w:t>Закон об административном производстве</w:t>
      </w:r>
    </w:p>
    <w:p w:rsidR="00000000" w:rsidRDefault="00000000">
      <w:pPr>
        <w:rPr>
          <w:szCs w:val="24"/>
        </w:rPr>
      </w:pPr>
    </w:p>
    <w:p w:rsidR="00000000" w:rsidRDefault="00000000">
      <w:pPr>
        <w:rPr>
          <w:szCs w:val="24"/>
        </w:rPr>
      </w:pPr>
      <w:r>
        <w:rPr>
          <w:szCs w:val="24"/>
        </w:rPr>
        <w:t>9.</w:t>
      </w:r>
      <w:r>
        <w:rPr>
          <w:szCs w:val="24"/>
        </w:rPr>
        <w:tab/>
        <w:t>Договоры о выдаче</w:t>
      </w:r>
    </w:p>
    <w:p w:rsidR="00000000" w:rsidRDefault="00000000">
      <w:pPr>
        <w:rPr>
          <w:szCs w:val="24"/>
        </w:rPr>
      </w:pPr>
    </w:p>
    <w:p w:rsidR="00000000" w:rsidRDefault="00000000">
      <w:pPr>
        <w:rPr>
          <w:szCs w:val="24"/>
        </w:rPr>
      </w:pPr>
      <w:r>
        <w:rPr>
          <w:szCs w:val="24"/>
        </w:rPr>
        <w:t>10.</w:t>
      </w:r>
      <w:r>
        <w:rPr>
          <w:szCs w:val="24"/>
        </w:rPr>
        <w:tab/>
        <w:t>Военный кодекс</w:t>
      </w:r>
    </w:p>
    <w:p w:rsidR="00000000" w:rsidRDefault="00000000">
      <w:pPr>
        <w:rPr>
          <w:szCs w:val="24"/>
        </w:rPr>
      </w:pPr>
    </w:p>
    <w:p w:rsidR="00000000" w:rsidRDefault="00000000">
      <w:pPr>
        <w:ind w:left="567" w:hanging="567"/>
        <w:rPr>
          <w:szCs w:val="24"/>
        </w:rPr>
      </w:pPr>
      <w:r>
        <w:rPr>
          <w:szCs w:val="24"/>
        </w:rPr>
        <w:t>11.</w:t>
      </w:r>
      <w:r>
        <w:rPr>
          <w:szCs w:val="24"/>
        </w:rPr>
        <w:tab/>
        <w:t>Приговоры за совершение преступления пытки, вынесенные Верховным судом</w:t>
      </w:r>
    </w:p>
    <w:p w:rsidR="00000000" w:rsidRDefault="00000000">
      <w:pPr>
        <w:rPr>
          <w:szCs w:val="24"/>
        </w:rPr>
      </w:pPr>
    </w:p>
    <w:p w:rsidR="00000000" w:rsidRDefault="00000000">
      <w:pPr>
        <w:rPr>
          <w:szCs w:val="24"/>
        </w:rPr>
      </w:pPr>
      <w:r>
        <w:rPr>
          <w:szCs w:val="24"/>
        </w:rPr>
        <w:t>12.</w:t>
      </w:r>
      <w:r>
        <w:rPr>
          <w:szCs w:val="24"/>
        </w:rPr>
        <w:tab/>
        <w:t>Межведомственное соглашение в сфере уголовной юстиции</w:t>
      </w:r>
    </w:p>
    <w:p w:rsidR="00000000" w:rsidRDefault="00000000">
      <w:pPr>
        <w:rPr>
          <w:szCs w:val="24"/>
        </w:rPr>
      </w:pPr>
    </w:p>
    <w:p w:rsidR="00000000" w:rsidRDefault="00000000">
      <w:pPr>
        <w:rPr>
          <w:szCs w:val="24"/>
        </w:rPr>
      </w:pPr>
      <w:r>
        <w:rPr>
          <w:szCs w:val="24"/>
        </w:rPr>
        <w:t>13.</w:t>
      </w:r>
      <w:r>
        <w:rPr>
          <w:szCs w:val="24"/>
        </w:rPr>
        <w:tab/>
        <w:t xml:space="preserve">Договоры о взаимной помощи </w:t>
      </w:r>
      <w:r>
        <w:rPr>
          <w:bCs/>
          <w:color w:val="000000"/>
          <w:szCs w:val="24"/>
          <w:lang w:eastAsia="ru-RU"/>
        </w:rPr>
        <w:t>по уголовно-правовым вопросам</w:t>
      </w:r>
    </w:p>
    <w:p w:rsidR="00000000" w:rsidRDefault="00000000">
      <w:pPr>
        <w:rPr>
          <w:szCs w:val="24"/>
        </w:rPr>
      </w:pPr>
    </w:p>
    <w:p w:rsidR="00000000" w:rsidRDefault="00000000">
      <w:pPr>
        <w:ind w:left="567" w:hanging="567"/>
        <w:rPr>
          <w:szCs w:val="24"/>
        </w:rPr>
      </w:pPr>
      <w:r>
        <w:rPr>
          <w:szCs w:val="24"/>
        </w:rPr>
        <w:t>14.</w:t>
      </w:r>
      <w:r>
        <w:rPr>
          <w:szCs w:val="24"/>
        </w:rPr>
        <w:tab/>
        <w:t>Соглашение о сотрудничестве и технической помощи между судебной властью и Национальным институтом по делам женщин (ИНАМ)</w:t>
      </w:r>
    </w:p>
    <w:p w:rsidR="00000000" w:rsidRDefault="00000000">
      <w:pPr>
        <w:rPr>
          <w:szCs w:val="24"/>
        </w:rPr>
      </w:pPr>
    </w:p>
    <w:p w:rsidR="00000000" w:rsidRDefault="00000000">
      <w:pPr>
        <w:ind w:left="567" w:hanging="567"/>
        <w:rPr>
          <w:szCs w:val="24"/>
        </w:rPr>
      </w:pPr>
      <w:r>
        <w:rPr>
          <w:szCs w:val="24"/>
        </w:rPr>
        <w:t>15.</w:t>
      </w:r>
      <w:r>
        <w:rPr>
          <w:szCs w:val="24"/>
        </w:rPr>
        <w:tab/>
        <w:t>Предлагаемые центрами обучения полицейских программы подготовки и повышения квалификации по правам человека и смежным дисциплинам</w:t>
      </w:r>
    </w:p>
    <w:p w:rsidR="00000000" w:rsidRDefault="00000000">
      <w:pPr>
        <w:rPr>
          <w:szCs w:val="24"/>
        </w:rPr>
      </w:pPr>
    </w:p>
    <w:p w:rsidR="00000000" w:rsidRDefault="00000000">
      <w:pPr>
        <w:ind w:left="567" w:hanging="567"/>
        <w:rPr>
          <w:szCs w:val="24"/>
        </w:rPr>
      </w:pPr>
      <w:r>
        <w:rPr>
          <w:szCs w:val="24"/>
        </w:rPr>
        <w:t>16.</w:t>
      </w:r>
      <w:r>
        <w:rPr>
          <w:szCs w:val="24"/>
        </w:rPr>
        <w:tab/>
        <w:t>Соглашение о сотрудничестве между Министерством безопасности и Центром профилактики, лечения и реабилитации для жертв пыток и членов их семей (ЦПЛРП)</w:t>
      </w:r>
    </w:p>
    <w:p w:rsidR="00000000" w:rsidRDefault="00000000">
      <w:pPr>
        <w:rPr>
          <w:szCs w:val="24"/>
        </w:rPr>
      </w:pPr>
    </w:p>
    <w:p w:rsidR="00000000" w:rsidRDefault="00000000">
      <w:pPr>
        <w:ind w:left="567" w:hanging="567"/>
        <w:rPr>
          <w:szCs w:val="24"/>
        </w:rPr>
      </w:pPr>
      <w:r>
        <w:rPr>
          <w:szCs w:val="24"/>
        </w:rPr>
        <w:t>17.</w:t>
      </w:r>
      <w:r>
        <w:rPr>
          <w:szCs w:val="24"/>
        </w:rPr>
        <w:tab/>
        <w:t>Постановление № 251-2003 Министерства безопасности о создании "Гендерного подразделения"</w:t>
      </w:r>
    </w:p>
    <w:p w:rsidR="00000000" w:rsidRDefault="00000000">
      <w:pPr>
        <w:rPr>
          <w:szCs w:val="24"/>
        </w:rPr>
      </w:pPr>
    </w:p>
    <w:p w:rsidR="00000000" w:rsidRDefault="00000000">
      <w:pPr>
        <w:rPr>
          <w:szCs w:val="24"/>
        </w:rPr>
      </w:pPr>
      <w:r>
        <w:rPr>
          <w:szCs w:val="24"/>
        </w:rPr>
        <w:t>18.</w:t>
      </w:r>
      <w:r>
        <w:rPr>
          <w:szCs w:val="24"/>
        </w:rPr>
        <w:tab/>
        <w:t>"Пакт ради детства" Министерства внутренних дел</w:t>
      </w:r>
    </w:p>
    <w:p w:rsidR="00000000" w:rsidRDefault="00000000">
      <w:pPr>
        <w:rPr>
          <w:szCs w:val="24"/>
        </w:rPr>
      </w:pPr>
    </w:p>
    <w:p w:rsidR="00000000" w:rsidRDefault="00000000">
      <w:pPr>
        <w:ind w:left="567" w:hanging="567"/>
        <w:rPr>
          <w:szCs w:val="24"/>
        </w:rPr>
      </w:pPr>
      <w:r>
        <w:rPr>
          <w:szCs w:val="24"/>
        </w:rPr>
        <w:t>19.</w:t>
      </w:r>
      <w:r>
        <w:rPr>
          <w:szCs w:val="24"/>
        </w:rPr>
        <w:tab/>
        <w:t>Соглашение о сотрудничестве между Прокуратурой и Центром профилактики, лечения и реабилитации для жертв пыток и членов их семей (ЦПЛРП)</w:t>
      </w:r>
    </w:p>
    <w:p w:rsidR="00000000" w:rsidRDefault="00000000">
      <w:pPr>
        <w:tabs>
          <w:tab w:val="clear" w:pos="6237"/>
          <w:tab w:val="left" w:pos="567"/>
          <w:tab w:val="left" w:pos="1134"/>
          <w:tab w:val="left" w:pos="1701"/>
          <w:tab w:val="left" w:pos="2268"/>
          <w:tab w:val="left" w:pos="2352"/>
          <w:tab w:val="center" w:pos="9122"/>
        </w:tabs>
        <w:jc w:val="center"/>
        <w:rPr>
          <w:i/>
          <w:szCs w:val="24"/>
        </w:rPr>
      </w:pPr>
      <w:r>
        <w:rPr>
          <w:b/>
          <w:szCs w:val="24"/>
        </w:rPr>
        <w:t xml:space="preserve">СОДЕРЖАНИЕ </w:t>
      </w:r>
      <w:r>
        <w:rPr>
          <w:i/>
          <w:szCs w:val="24"/>
        </w:rPr>
        <w:t>(продолжение)</w:t>
      </w:r>
    </w:p>
    <w:p w:rsidR="00000000" w:rsidRDefault="00000000">
      <w:pPr>
        <w:keepNext/>
        <w:tabs>
          <w:tab w:val="clear" w:pos="6237"/>
          <w:tab w:val="left" w:pos="567"/>
          <w:tab w:val="left" w:pos="1134"/>
          <w:tab w:val="left" w:pos="1701"/>
          <w:tab w:val="left" w:pos="2268"/>
          <w:tab w:val="left" w:pos="2352"/>
          <w:tab w:val="center" w:pos="9122"/>
        </w:tabs>
        <w:jc w:val="center"/>
        <w:rPr>
          <w:szCs w:val="24"/>
        </w:rPr>
      </w:pPr>
    </w:p>
    <w:p w:rsidR="00000000" w:rsidRDefault="00000000">
      <w:pPr>
        <w:ind w:left="567" w:hanging="567"/>
        <w:rPr>
          <w:szCs w:val="24"/>
        </w:rPr>
      </w:pPr>
      <w:r>
        <w:rPr>
          <w:szCs w:val="24"/>
        </w:rPr>
        <w:t>20.</w:t>
      </w:r>
      <w:r>
        <w:rPr>
          <w:szCs w:val="24"/>
        </w:rPr>
        <w:tab/>
        <w:t>Региональный доклад "Анализ положения дел с убийством женщин в Центральноамериканском регионе"</w:t>
      </w:r>
    </w:p>
    <w:p w:rsidR="00000000" w:rsidRDefault="00000000">
      <w:pPr>
        <w:rPr>
          <w:szCs w:val="24"/>
        </w:rPr>
      </w:pPr>
    </w:p>
    <w:p w:rsidR="00000000" w:rsidRDefault="00000000">
      <w:pPr>
        <w:rPr>
          <w:szCs w:val="24"/>
        </w:rPr>
      </w:pPr>
      <w:r>
        <w:rPr>
          <w:szCs w:val="24"/>
        </w:rPr>
        <w:t>21.</w:t>
      </w:r>
      <w:r>
        <w:rPr>
          <w:szCs w:val="24"/>
        </w:rPr>
        <w:tab/>
        <w:t>Этический кодекс должностных лиц и работников судебных органов</w:t>
      </w:r>
    </w:p>
    <w:p w:rsidR="00000000" w:rsidRDefault="00000000">
      <w:pPr>
        <w:rPr>
          <w:szCs w:val="24"/>
        </w:rPr>
      </w:pPr>
    </w:p>
    <w:p w:rsidR="00000000" w:rsidRDefault="00000000">
      <w:pPr>
        <w:rPr>
          <w:szCs w:val="24"/>
        </w:rPr>
      </w:pPr>
      <w:r>
        <w:rPr>
          <w:szCs w:val="24"/>
        </w:rPr>
        <w:t>22.</w:t>
      </w:r>
      <w:r>
        <w:rPr>
          <w:szCs w:val="24"/>
        </w:rPr>
        <w:tab/>
        <w:t>Проект по проверке исправительных учреждений</w:t>
      </w:r>
    </w:p>
    <w:p w:rsidR="00000000" w:rsidRDefault="00000000">
      <w:pPr>
        <w:rPr>
          <w:szCs w:val="24"/>
        </w:rPr>
      </w:pPr>
    </w:p>
    <w:p w:rsidR="00000000" w:rsidRDefault="00000000">
      <w:pPr>
        <w:rPr>
          <w:szCs w:val="24"/>
        </w:rPr>
      </w:pPr>
      <w:r>
        <w:rPr>
          <w:szCs w:val="24"/>
        </w:rPr>
        <w:t>23.</w:t>
      </w:r>
      <w:r>
        <w:rPr>
          <w:szCs w:val="24"/>
        </w:rPr>
        <w:tab/>
        <w:t>Этический кодекс работников Прокуратуры</w:t>
      </w:r>
    </w:p>
    <w:p w:rsidR="00000000" w:rsidRDefault="00000000">
      <w:pPr>
        <w:rPr>
          <w:szCs w:val="24"/>
        </w:rPr>
      </w:pPr>
    </w:p>
    <w:p w:rsidR="00000000" w:rsidRDefault="00000000">
      <w:pPr>
        <w:rPr>
          <w:szCs w:val="24"/>
        </w:rPr>
      </w:pPr>
      <w:r>
        <w:rPr>
          <w:szCs w:val="24"/>
        </w:rPr>
        <w:t>24.</w:t>
      </w:r>
      <w:r>
        <w:rPr>
          <w:szCs w:val="24"/>
        </w:rPr>
        <w:tab/>
        <w:t>Этический кодекс Медицинской коллегии Гондураса</w:t>
      </w:r>
    </w:p>
    <w:p w:rsidR="00000000" w:rsidRDefault="00000000">
      <w:pPr>
        <w:rPr>
          <w:szCs w:val="24"/>
        </w:rPr>
      </w:pPr>
    </w:p>
    <w:p w:rsidR="00000000" w:rsidRDefault="00000000">
      <w:pPr>
        <w:rPr>
          <w:szCs w:val="24"/>
        </w:rPr>
      </w:pPr>
      <w:r>
        <w:rPr>
          <w:szCs w:val="24"/>
        </w:rPr>
        <w:t>25.</w:t>
      </w:r>
      <w:r>
        <w:rPr>
          <w:szCs w:val="24"/>
        </w:rPr>
        <w:tab/>
        <w:t>Органический закон "О национальной полиции"</w:t>
      </w:r>
    </w:p>
    <w:p w:rsidR="00000000" w:rsidRDefault="00000000">
      <w:pPr>
        <w:rPr>
          <w:szCs w:val="24"/>
        </w:rPr>
      </w:pPr>
    </w:p>
    <w:p w:rsidR="00000000" w:rsidRDefault="00000000">
      <w:pPr>
        <w:rPr>
          <w:szCs w:val="24"/>
        </w:rPr>
      </w:pPr>
      <w:r>
        <w:rPr>
          <w:szCs w:val="24"/>
        </w:rPr>
        <w:t>26.</w:t>
      </w:r>
      <w:r>
        <w:rPr>
          <w:szCs w:val="24"/>
        </w:rPr>
        <w:tab/>
        <w:t>Закон "О конституционном правосудии"</w:t>
      </w:r>
    </w:p>
    <w:p w:rsidR="00000000" w:rsidRDefault="00000000">
      <w:pPr>
        <w:rPr>
          <w:szCs w:val="24"/>
        </w:rPr>
      </w:pPr>
    </w:p>
    <w:p w:rsidR="00000000" w:rsidRDefault="00000000">
      <w:pPr>
        <w:rPr>
          <w:szCs w:val="24"/>
        </w:rPr>
      </w:pPr>
      <w:r>
        <w:rPr>
          <w:szCs w:val="24"/>
        </w:rPr>
        <w:t>27.</w:t>
      </w:r>
      <w:r>
        <w:rPr>
          <w:szCs w:val="24"/>
        </w:rPr>
        <w:tab/>
        <w:t>Закон "О защите свидетелей"</w:t>
      </w:r>
    </w:p>
    <w:p w:rsidR="00000000" w:rsidRDefault="00000000">
      <w:pPr>
        <w:rPr>
          <w:szCs w:val="24"/>
        </w:rPr>
      </w:pPr>
    </w:p>
    <w:p w:rsidR="00000000" w:rsidRDefault="00000000">
      <w:pPr>
        <w:ind w:left="567" w:hanging="567"/>
        <w:rPr>
          <w:szCs w:val="24"/>
        </w:rPr>
      </w:pPr>
      <w:r>
        <w:rPr>
          <w:szCs w:val="24"/>
        </w:rPr>
        <w:t>28.</w:t>
      </w:r>
      <w:r>
        <w:rPr>
          <w:szCs w:val="24"/>
        </w:rPr>
        <w:tab/>
        <w:t>Декрет № 71-95 "О создании пяти (5) судов первой инстанции по делам несовершеннолетних"</w:t>
      </w:r>
    </w:p>
    <w:p w:rsidR="00000000" w:rsidRDefault="00000000">
      <w:pPr>
        <w:rPr>
          <w:szCs w:val="24"/>
        </w:rPr>
      </w:pPr>
    </w:p>
    <w:p w:rsidR="00000000" w:rsidRDefault="00000000">
      <w:pPr>
        <w:rPr>
          <w:szCs w:val="24"/>
        </w:rPr>
      </w:pPr>
      <w:r>
        <w:rPr>
          <w:szCs w:val="24"/>
        </w:rPr>
        <w:t>29.</w:t>
      </w:r>
      <w:r>
        <w:rPr>
          <w:szCs w:val="24"/>
        </w:rPr>
        <w:tab/>
        <w:t>Решения по ходатайствам, поданным по процедуре хабеас корпус</w:t>
      </w:r>
    </w:p>
    <w:p w:rsidR="00000000" w:rsidRDefault="00000000">
      <w:pPr>
        <w:rPr>
          <w:szCs w:val="24"/>
        </w:rPr>
      </w:pPr>
    </w:p>
    <w:p w:rsidR="00000000" w:rsidRDefault="00000000">
      <w:pPr>
        <w:ind w:left="567" w:hanging="567"/>
        <w:rPr>
          <w:szCs w:val="24"/>
        </w:rPr>
      </w:pPr>
      <w:r>
        <w:rPr>
          <w:szCs w:val="24"/>
        </w:rPr>
        <w:t>30.</w:t>
      </w:r>
      <w:r>
        <w:rPr>
          <w:szCs w:val="24"/>
        </w:rPr>
        <w:tab/>
        <w:t>Доклад Министерства безопасности "Осуществление незамедлительных и временных мер для исправления положения, предписанных Конституционной палатой Верховного суда"</w:t>
      </w:r>
    </w:p>
    <w:p w:rsidR="00000000" w:rsidRDefault="00000000">
      <w:pPr>
        <w:rPr>
          <w:szCs w:val="24"/>
        </w:rPr>
      </w:pPr>
    </w:p>
    <w:p w:rsidR="00000000" w:rsidRDefault="00000000">
      <w:pPr>
        <w:ind w:left="567" w:hanging="567"/>
        <w:rPr>
          <w:szCs w:val="24"/>
        </w:rPr>
      </w:pPr>
      <w:r>
        <w:rPr>
          <w:szCs w:val="24"/>
        </w:rPr>
        <w:t>31.</w:t>
      </w:r>
      <w:r>
        <w:rPr>
          <w:szCs w:val="24"/>
        </w:rPr>
        <w:tab/>
        <w:t>Специальный закон о лишенных свободы лицах, страдающих болезнями на последней стадии и дегенеративными заболеваниями нервной системы</w:t>
      </w:r>
    </w:p>
    <w:p w:rsidR="00000000" w:rsidRDefault="00000000">
      <w:pPr>
        <w:rPr>
          <w:szCs w:val="24"/>
        </w:rPr>
      </w:pPr>
    </w:p>
    <w:p w:rsidR="00000000" w:rsidRDefault="00000000">
      <w:pPr>
        <w:ind w:left="567" w:hanging="567"/>
        <w:rPr>
          <w:szCs w:val="24"/>
        </w:rPr>
      </w:pPr>
      <w:r>
        <w:rPr>
          <w:szCs w:val="24"/>
        </w:rPr>
        <w:t>32.</w:t>
      </w:r>
      <w:r>
        <w:rPr>
          <w:szCs w:val="24"/>
        </w:rPr>
        <w:tab/>
        <w:t>Общенациональный доклад о состоянии камер заключения в различных полицейских центрах содержания под стражей</w:t>
      </w:r>
    </w:p>
    <w:p w:rsidR="00000000" w:rsidRDefault="00000000">
      <w:pPr>
        <w:rPr>
          <w:szCs w:val="24"/>
        </w:rPr>
      </w:pPr>
    </w:p>
    <w:p w:rsidR="00000000" w:rsidRDefault="00000000">
      <w:pPr>
        <w:rPr>
          <w:szCs w:val="24"/>
        </w:rPr>
      </w:pPr>
      <w:r>
        <w:rPr>
          <w:szCs w:val="24"/>
        </w:rPr>
        <w:t>33.</w:t>
      </w:r>
      <w:r>
        <w:rPr>
          <w:szCs w:val="24"/>
        </w:rPr>
        <w:tab/>
        <w:t>Закон "Об исправлении и перевоспитании правонарушителей"</w:t>
      </w:r>
    </w:p>
    <w:p w:rsidR="00000000" w:rsidRDefault="00000000">
      <w:pPr>
        <w:rPr>
          <w:szCs w:val="24"/>
        </w:rPr>
      </w:pPr>
    </w:p>
    <w:p w:rsidR="00000000" w:rsidRDefault="00000000">
      <w:pPr>
        <w:ind w:left="567" w:hanging="567"/>
        <w:rPr>
          <w:szCs w:val="24"/>
        </w:rPr>
      </w:pPr>
      <w:r>
        <w:rPr>
          <w:szCs w:val="24"/>
        </w:rPr>
        <w:t>34.</w:t>
      </w:r>
      <w:r>
        <w:rPr>
          <w:szCs w:val="24"/>
        </w:rPr>
        <w:tab/>
        <w:t>Соглашение о сотрудничестве между</w:t>
      </w:r>
      <w:r>
        <w:rPr>
          <w:color w:val="FF0000"/>
          <w:szCs w:val="24"/>
        </w:rPr>
        <w:t xml:space="preserve"> </w:t>
      </w:r>
      <w:r>
        <w:rPr>
          <w:szCs w:val="24"/>
        </w:rPr>
        <w:t>Гондурасским институтом по делам детей и семьи (ИГНФА)</w:t>
      </w:r>
      <w:r>
        <w:rPr>
          <w:color w:val="FF0000"/>
          <w:szCs w:val="24"/>
        </w:rPr>
        <w:t xml:space="preserve"> </w:t>
      </w:r>
      <w:r>
        <w:rPr>
          <w:szCs w:val="24"/>
        </w:rPr>
        <w:t>и фондом "МБ-Проект «Гондурас»" и Протокол конституционной палаты</w:t>
      </w:r>
    </w:p>
    <w:p w:rsidR="00000000" w:rsidRDefault="00000000">
      <w:pPr>
        <w:jc w:val="center"/>
        <w:rPr>
          <w:b/>
          <w:szCs w:val="24"/>
        </w:rPr>
      </w:pPr>
      <w:r>
        <w:rPr>
          <w:szCs w:val="24"/>
        </w:rPr>
        <w:br w:type="page"/>
      </w:r>
      <w:r>
        <w:rPr>
          <w:b/>
          <w:szCs w:val="24"/>
          <w:lang w:val="en-US"/>
        </w:rPr>
        <w:t>I</w:t>
      </w:r>
      <w:r>
        <w:rPr>
          <w:b/>
          <w:szCs w:val="24"/>
        </w:rPr>
        <w:t xml:space="preserve">. </w:t>
      </w:r>
      <w:r>
        <w:rPr>
          <w:b/>
          <w:szCs w:val="24"/>
        </w:rPr>
        <w:tab/>
        <w:t>ВВЕДЕНИЕ</w:t>
      </w:r>
    </w:p>
    <w:p w:rsidR="00000000" w:rsidRDefault="00000000">
      <w:pPr>
        <w:jc w:val="center"/>
        <w:rPr>
          <w:b/>
          <w:szCs w:val="24"/>
        </w:rPr>
      </w:pPr>
    </w:p>
    <w:p w:rsidR="00000000" w:rsidRDefault="00000000">
      <w:pPr>
        <w:rPr>
          <w:szCs w:val="24"/>
        </w:rPr>
      </w:pPr>
      <w:r>
        <w:rPr>
          <w:szCs w:val="24"/>
        </w:rPr>
        <w:t>1.</w:t>
      </w:r>
      <w:r>
        <w:rPr>
          <w:szCs w:val="24"/>
        </w:rPr>
        <w:tab/>
        <w:t>Гондурас подписал Конвенцию против пыток и других жестоких, бесчеловечных или унижающих достоинство видов обращения и наказания 10 декабря 1984 года.  Она была ратифицирована на основании Декрета № 47 от 16 апреля 1996 года, опубликованного в официальном вестнике "</w:t>
      </w:r>
      <w:r>
        <w:rPr>
          <w:i/>
          <w:szCs w:val="24"/>
        </w:rPr>
        <w:t>Ла Гасета</w:t>
      </w:r>
      <w:r>
        <w:rPr>
          <w:szCs w:val="24"/>
        </w:rPr>
        <w:t>" за № 28,089 от 19 октября 1996 года.  Аналогично другим международным документам по правам человека, ратифицированная Конвенция становится частью внутригосударственного законодательства, и компетентные органы могут ссылаться на нее и применять ее положения.</w:t>
      </w:r>
    </w:p>
    <w:p w:rsidR="00000000" w:rsidRDefault="00000000">
      <w:pPr>
        <w:rPr>
          <w:szCs w:val="24"/>
        </w:rPr>
      </w:pPr>
    </w:p>
    <w:p w:rsidR="00000000" w:rsidRDefault="00000000">
      <w:pPr>
        <w:rPr>
          <w:szCs w:val="24"/>
        </w:rPr>
      </w:pPr>
      <w:r>
        <w:rPr>
          <w:szCs w:val="24"/>
        </w:rPr>
        <w:t>2.</w:t>
      </w:r>
      <w:r>
        <w:rPr>
          <w:szCs w:val="24"/>
        </w:rPr>
        <w:tab/>
        <w:t>Республика Гондурас, будучи участником Конвенции, представляет Комитету против пыток первоначальный доклад во исполнение своих обязательств, вытекающих из статьи 19 указанного международного документа.</w:t>
      </w:r>
    </w:p>
    <w:p w:rsidR="00000000" w:rsidRDefault="00000000">
      <w:pPr>
        <w:rPr>
          <w:szCs w:val="24"/>
        </w:rPr>
      </w:pPr>
    </w:p>
    <w:p w:rsidR="00000000" w:rsidRDefault="00000000">
      <w:pPr>
        <w:rPr>
          <w:szCs w:val="24"/>
        </w:rPr>
      </w:pPr>
      <w:r>
        <w:rPr>
          <w:szCs w:val="24"/>
        </w:rPr>
        <w:t>3.</w:t>
      </w:r>
      <w:r>
        <w:rPr>
          <w:szCs w:val="24"/>
        </w:rPr>
        <w:tab/>
        <w:t>В Гондурасе созданы самые разнообразные учреждения, занимающиеся поощрением и защитой прав человека, которые решают различные задачи в пределах сферы своей компетенции.  Кроме того, учреждены группы, фонды, университетские кафедры, региональные комиссии и официальные структуры, а также действуют неправительственные организации;  все они беспрепятственно работают в условиях уважения и признания со стороны государства и его компетентных органов.</w:t>
      </w:r>
    </w:p>
    <w:p w:rsidR="00000000" w:rsidRDefault="00000000">
      <w:pPr>
        <w:rPr>
          <w:szCs w:val="24"/>
        </w:rPr>
      </w:pPr>
    </w:p>
    <w:p w:rsidR="00000000" w:rsidRDefault="00000000">
      <w:pPr>
        <w:rPr>
          <w:szCs w:val="24"/>
        </w:rPr>
      </w:pPr>
      <w:r>
        <w:rPr>
          <w:szCs w:val="24"/>
        </w:rPr>
        <w:t>4.</w:t>
      </w:r>
      <w:r>
        <w:rPr>
          <w:szCs w:val="24"/>
        </w:rPr>
        <w:tab/>
        <w:t>Заметные изменения, имеющие непосредственное отношение к защите прав человека, произошли и в правовой сфере.  Оформились такие государственные институты, как Прокуратура и Национальное управление уполномоченного по правам человека;  национальная полиция была обособлена от вооруженных сил и выделена в отдельную структуру, подведомственную Государственному министерству безопасности;  в Уголовно-процессуальном кодексе была закреплена система гарантий прав как жертвы, так и обвиняемого.</w:t>
      </w:r>
    </w:p>
    <w:p w:rsidR="00000000" w:rsidRDefault="00000000">
      <w:pPr>
        <w:rPr>
          <w:szCs w:val="24"/>
        </w:rPr>
      </w:pPr>
    </w:p>
    <w:p w:rsidR="00000000" w:rsidRDefault="00000000">
      <w:pPr>
        <w:rPr>
          <w:szCs w:val="24"/>
        </w:rPr>
      </w:pPr>
      <w:r>
        <w:rPr>
          <w:szCs w:val="24"/>
        </w:rPr>
        <w:t>5.</w:t>
      </w:r>
      <w:r>
        <w:rPr>
          <w:szCs w:val="24"/>
        </w:rPr>
        <w:tab/>
        <w:t>В состав межучрежденческой группы по подготовке доклада вошли представители Министерства иностранных дел (в качестве координатора), Верховного суда, Национального конгресса, Прокуратуры, Национального управления уполномоченного по правам человека, Министерства внутренних дел и юстиции, Министерства безопасности, Министерства обороны, Генеральной прокуратуры Республики, Национального института по делам женщин (ИНАМ) и Гондурасского института по делам детей и семьи (ИГНФА);  соответствующая информация для целей доклада была предоставлена рядом неправительственных организаций (НПО), в частности ассоциацией</w:t>
      </w:r>
      <w:r>
        <w:rPr>
          <w:b/>
          <w:szCs w:val="24"/>
        </w:rPr>
        <w:t xml:space="preserve"> </w:t>
      </w:r>
      <w:r>
        <w:rPr>
          <w:szCs w:val="24"/>
        </w:rPr>
        <w:t>«Группа "Альянс"» и Комитетом по правам человека (КОДЕХ).</w:t>
      </w:r>
    </w:p>
    <w:p w:rsidR="00000000" w:rsidRDefault="00000000">
      <w:pPr>
        <w:rPr>
          <w:szCs w:val="24"/>
        </w:rPr>
      </w:pPr>
    </w:p>
    <w:p w:rsidR="00000000" w:rsidRDefault="00000000">
      <w:pPr>
        <w:rPr>
          <w:szCs w:val="24"/>
        </w:rPr>
      </w:pPr>
      <w:r>
        <w:rPr>
          <w:szCs w:val="24"/>
        </w:rPr>
        <w:t>6.</w:t>
      </w:r>
      <w:r>
        <w:rPr>
          <w:szCs w:val="24"/>
        </w:rPr>
        <w:tab/>
        <w:t>В настоящем докладе находят отражение успехи, достигнутые Республикой Гондурас в деле гарантирования населению страны возможности в полной мере пользоваться правами человека, особенно в плане искоренения пыток и других жестоких, бесчеловечных или унижающих достоинство видов обращения и наказания.</w:t>
      </w:r>
    </w:p>
    <w:p w:rsidR="00000000" w:rsidRDefault="00000000">
      <w:pPr>
        <w:rPr>
          <w:szCs w:val="24"/>
        </w:rPr>
      </w:pPr>
    </w:p>
    <w:p w:rsidR="00000000" w:rsidRDefault="00000000">
      <w:pPr>
        <w:tabs>
          <w:tab w:val="clear" w:pos="1701"/>
          <w:tab w:val="left" w:pos="1683"/>
        </w:tabs>
        <w:ind w:left="567" w:hanging="567"/>
        <w:rPr>
          <w:b/>
          <w:szCs w:val="24"/>
        </w:rPr>
      </w:pPr>
      <w:r>
        <w:rPr>
          <w:b/>
          <w:szCs w:val="24"/>
        </w:rPr>
        <w:br w:type="page"/>
      </w:r>
      <w:r>
        <w:rPr>
          <w:b/>
          <w:szCs w:val="24"/>
          <w:lang w:val="en-US"/>
        </w:rPr>
        <w:t>II</w:t>
      </w:r>
      <w:r>
        <w:rPr>
          <w:b/>
          <w:szCs w:val="24"/>
        </w:rPr>
        <w:t xml:space="preserve">. </w:t>
      </w:r>
      <w:r>
        <w:rPr>
          <w:b/>
          <w:szCs w:val="24"/>
        </w:rPr>
        <w:tab/>
        <w:t>ОБЩЕПРАВОВАЯ ОСНОВА ЗАПРЕЩЕНИЯ И ИСКОРЕНЕНИЯ ПЫТОК И ДРУГИХ ЖЕСТОКИХ, БЕСЧЕЛОВЕЧНЫХ ИЛИ УНИЖАЮЩИХ ДОСТОИНСТВО ВИДОВ ОБРАЩЕНИЯ И НАКАЗАНИЯ</w:t>
      </w:r>
    </w:p>
    <w:p w:rsidR="00000000" w:rsidRDefault="00000000">
      <w:pPr>
        <w:tabs>
          <w:tab w:val="clear" w:pos="1701"/>
          <w:tab w:val="left" w:pos="1683"/>
        </w:tabs>
        <w:jc w:val="center"/>
        <w:rPr>
          <w:b/>
          <w:szCs w:val="24"/>
        </w:rPr>
      </w:pPr>
    </w:p>
    <w:p w:rsidR="00000000" w:rsidRDefault="00000000">
      <w:pPr>
        <w:tabs>
          <w:tab w:val="clear" w:pos="1701"/>
          <w:tab w:val="left" w:pos="1683"/>
        </w:tabs>
        <w:rPr>
          <w:szCs w:val="24"/>
        </w:rPr>
      </w:pPr>
      <w:r>
        <w:rPr>
          <w:szCs w:val="24"/>
        </w:rPr>
        <w:t>7.</w:t>
      </w:r>
      <w:r>
        <w:rPr>
          <w:szCs w:val="24"/>
        </w:rPr>
        <w:tab/>
        <w:t>Согласно Конституции, Гондурас является правовым, суверенным государством, основанным как свободная, демократическая и независимая Республика, призванная гарантировать ее жителям справедливость, свободу, доступ к культуре и экономическое и социальное благосостояние.</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8.</w:t>
      </w:r>
      <w:r>
        <w:rPr>
          <w:szCs w:val="24"/>
        </w:rPr>
        <w:tab/>
        <w:t>В стране действует республиканская, демократическая и представительная форма правления.  Государственная власть осуществляется ее тремя ветвями:  законодательной, исполнительной и судебной, которые дополняют друг друга и не зависят друг от друга, не будучи связаны отношениями подчинения.  Обязательной является сменяемость на посту Президента Республики.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9.</w:t>
      </w:r>
      <w:r>
        <w:rPr>
          <w:szCs w:val="24"/>
        </w:rPr>
        <w:tab/>
        <w:t>Суверенитет принадлежит народу;  от народа же исходит вся государственная власть, который осуществляет ее через своих представителей.  Государственные должностные лица являются носителями властных полномочий;  они несут установленную законом ответственность за свое официальное поведение, подчиняются закону и не вправе никогда превышать его</w:t>
      </w:r>
      <w:r>
        <w:rPr>
          <w:rStyle w:val="FootnoteReference"/>
          <w:szCs w:val="24"/>
        </w:rPr>
        <w:footnoteReference w:customMarkFollows="1" w:id="1"/>
        <w:t>1</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t>А.</w:t>
      </w:r>
      <w:r>
        <w:rPr>
          <w:b/>
          <w:szCs w:val="24"/>
        </w:rPr>
        <w:tab/>
        <w:t>Законодательная власть</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w:t>
      </w:r>
      <w:r>
        <w:rPr>
          <w:szCs w:val="24"/>
        </w:rPr>
        <w:tab/>
        <w:t>Законодательная власть осуществляется Конгрессом в составе 128 депутатов и такого же числа заместителей депутатов, избираемых населением всеобщим прямым голосованием.  Депутаты являются представителями народа, избираются на четыре года, могут быть переизбраны и их основная функция состоит в том, чтобы разрабатывать, провозглашать, толковать, изменять и аннулировать законы.  Законодательная инициатива принадлежит исключительно депутатам Национального конгресса, Президенту Республики через государственных министров, а также Верховному суду и Верховному избирательному суду в вопросах, относящихся к их компетенции.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11.</w:t>
      </w:r>
      <w:r>
        <w:rPr>
          <w:szCs w:val="24"/>
        </w:rPr>
        <w:tab/>
        <w:t>Для принятия органом законодательной власти своих решений необходимо большинство, составляющее не менее половины избранных депутатов плюс еще один, т.е. 65 голосов;  однако имеется ряд решений, требующих квалифицированного большинства в две трети голосов.  В частности в тех случаях, когда исполнительная власть налагает вето и возвращает законопроект, Национальный конгресс ставит его на новое обсуждение, и если он утверждается двумя третями голосов, то снова передается исполнительной власти с формулировкой "Утверждено в конституционном порядке", и исполнительная власть публикует его без промедления.  Аналогичное число голосов также необходимо для избрания контролеров Высшей счетной палаты, членов Верховного суда и Верховного избирательного суда, Генерального судебного прокурора и помощника</w:t>
      </w:r>
      <w:r>
        <w:rPr>
          <w:b/>
          <w:i/>
          <w:szCs w:val="24"/>
        </w:rPr>
        <w:t xml:space="preserve"> </w:t>
      </w:r>
      <w:r>
        <w:rPr>
          <w:szCs w:val="24"/>
        </w:rPr>
        <w:t>судебного прокурора.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12.</w:t>
      </w:r>
      <w:r>
        <w:rPr>
          <w:szCs w:val="24"/>
        </w:rPr>
        <w:tab/>
        <w:t>На период пребывания в должности избранные депутаты не могут состоять на государственной службе, кроме органов просвещения, культуры и занятия постов, связанных с оказанием профессиональных услуг по социальной помощи.  Однако они могут исполнять обязанности государственных министров или их заместителей, президентов или управляющих децентрализованных структур, глав дипломатических и консульских представительств, а также выполнять специальные дипломатические миссии.  В этих случаях они восстанавливаются в статусе депутатов Национального конгресса по завершении выполнения таких функций.  Заместители депутатов могут принимать назначения на государственную службу без утраты ими своего статуса заместителей депутатов</w:t>
      </w:r>
      <w:r>
        <w:rPr>
          <w:rStyle w:val="FootnoteReference"/>
          <w:szCs w:val="24"/>
        </w:rPr>
        <w:footnoteReference w:customMarkFollows="1" w:id="2"/>
        <w:t>2</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t>В.</w:t>
      </w:r>
      <w:r>
        <w:rPr>
          <w:b/>
          <w:szCs w:val="24"/>
        </w:rPr>
        <w:tab/>
        <w:t>Исполнительная власть</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w:t>
      </w:r>
      <w:r>
        <w:rPr>
          <w:szCs w:val="24"/>
        </w:rPr>
        <w:tab/>
        <w:t>Исполнительная власть осуществляется Президентом и Вице-президентом Республики, государственными министрами и заместителями министров, а также чиновниками их соответствующих ведомств.  Органы государственной власти действуют в соответствии с Конституцией Республики и Генеральным законом о государственном управлении.  Президент и Вице-президент Республики избираются простым большинством голосов всеобщим и прямым голосованием.  Срок президентских полномочий равен четырем годам и начинается с 27 января после даты проведения выборов.</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14.</w:t>
      </w:r>
      <w:r>
        <w:rPr>
          <w:szCs w:val="24"/>
        </w:rPr>
        <w:tab/>
        <w:t>В обязанность государственных министров входит директивное и оперативное руководство, координация и надзор за деятельностью органов и учреждений в той сфере государственного управления, которая относится к их компетенции</w:t>
      </w:r>
      <w:r>
        <w:rPr>
          <w:rStyle w:val="FootnoteReference"/>
          <w:szCs w:val="24"/>
        </w:rPr>
        <w:footnoteReference w:customMarkFollows="1" w:id="3"/>
        <w:t>3</w:t>
      </w:r>
      <w:r>
        <w:rPr>
          <w:szCs w:val="24"/>
        </w:rPr>
        <w:t>.  Согласно статье 28 Генерального закона о государственном управлении, Президент Республики отвечает за общее управление государством.  Для выполнения этой функции, возлагаемой Конституцией Республики на исполнительную власть, были созданы следующие министерства:  внутренних дел и юстиции;  просвещения;  здравоохранения;  безопасности;  при Президенте;  иностранных дел;  национальной обороны;  финансов;  промышленности и торговли;  общественных работ, транспорта и жилищного строительства;  труда и социального обеспечения;  сельского хозяйства и животноводства;  природных ресурсов и охраны окружающей среды;  культуры, искусства и спорта;  и туризма.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15.</w:t>
      </w:r>
      <w:r>
        <w:rPr>
          <w:szCs w:val="24"/>
        </w:rPr>
        <w:tab/>
        <w:t>На основании Декрета № 155-98 от 28 мая 1998 года, опубликованного в официальном вестнике "</w:t>
      </w:r>
      <w:r>
        <w:rPr>
          <w:i/>
          <w:szCs w:val="24"/>
        </w:rPr>
        <w:t>Ла Гасета</w:t>
      </w:r>
      <w:r>
        <w:rPr>
          <w:szCs w:val="24"/>
        </w:rPr>
        <w:t>" за № 28629 от 1 августа 1998 года, было учреждено Министерство безопасности, отвечающее за выработку национальной политики в области внутренней безопасности, которому подведомственна Национальная полиция.  Тем самым последняя обособлялась от вооруженных сил.</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16.</w:t>
      </w:r>
      <w:r>
        <w:rPr>
          <w:szCs w:val="24"/>
        </w:rPr>
        <w:tab/>
        <w:t>Что же касается формулирования, координации, реализации и оценки политики, имеющей отношение к национальной обороне, а также ведания делами</w:t>
      </w:r>
      <w:r>
        <w:rPr>
          <w:b/>
          <w:i/>
          <w:szCs w:val="24"/>
        </w:rPr>
        <w:t xml:space="preserve"> </w:t>
      </w:r>
      <w:r>
        <w:rPr>
          <w:szCs w:val="24"/>
        </w:rPr>
        <w:t>вооруженных сил, то этими вопросами занимается министерство национальной обороны.  Так, согласно статьям 272, 273 и 277 Конституции Республики, вооруженные силы Гондураса являются постоянным институтом государства и строятся на началах строгого профессионализма, неучастия в политике, подчинения и не обсуждения приказов.  Вооруженные силы состоят из верховного главного командования, сухопутных войск, военно-воздушных сил, военно-морского флота и прочих структурных единиц, определяемых законом об их формировании.  Президент Республики непосредственно распоряжается вооруженными силами в качестве Верховного главнокомандующего.</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t>С.</w:t>
      </w:r>
      <w:r>
        <w:rPr>
          <w:b/>
          <w:szCs w:val="24"/>
        </w:rPr>
        <w:tab/>
        <w:t>Судебная власть</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17.</w:t>
      </w:r>
      <w:r>
        <w:rPr>
          <w:szCs w:val="24"/>
        </w:rPr>
        <w:tab/>
        <w:t>По Конституции судебной власти в Гондурасе принадлежит функция отправления правосудия, применения законов к конкретным случаям, проведения судебного разбирательства и приведения в исполнение вынесенного решения.  Судебная власть состоит из Верховного суда, апелляционных судов, судов различных инстанций и прочих органов, определенных законом.</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18.</w:t>
      </w:r>
      <w:r>
        <w:rPr>
          <w:szCs w:val="24"/>
        </w:rPr>
        <w:tab/>
        <w:t>Все судьи и судебные должностные лица являются независимыми, подчиняются сугубо Конституции и законам, должны действовать исключительно в качестве представителей судебной власти и не могут ни при каких условиях участвовать в какой бы то ни было партийной деятельности, за исключением личного участия в голосовании.  Они также не могут объединяться в профсоюзы и объявлять забастовку.</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19.</w:t>
      </w:r>
      <w:r>
        <w:rPr>
          <w:szCs w:val="24"/>
        </w:rPr>
        <w:tab/>
        <w:t xml:space="preserve">Верховный суд является высшим органом правосудия и его юрисдикция распространяется на всю территорию страны;  он находится в столице Республики.  В состав Верховного суда входят 15 судей, в том числе Председатель, избираемый судьями не позднее чем через 24 часа после их избрания, причем большинством в две трети голосов.  Решения Верховного суда принимаются большинством всех его членов. </w:t>
      </w:r>
    </w:p>
    <w:p w:rsidR="00000000" w:rsidRDefault="00000000">
      <w:pPr>
        <w:tabs>
          <w:tab w:val="clear" w:pos="1701"/>
          <w:tab w:val="left" w:pos="1683"/>
        </w:tabs>
        <w:rPr>
          <w:sz w:val="20"/>
        </w:rPr>
      </w:pPr>
    </w:p>
    <w:p w:rsidR="00000000" w:rsidRDefault="00000000">
      <w:pPr>
        <w:tabs>
          <w:tab w:val="clear" w:pos="1701"/>
          <w:tab w:val="left" w:pos="1683"/>
        </w:tabs>
        <w:rPr>
          <w:szCs w:val="24"/>
        </w:rPr>
      </w:pPr>
      <w:r>
        <w:rPr>
          <w:szCs w:val="24"/>
        </w:rPr>
        <w:t>20.</w:t>
      </w:r>
      <w:r>
        <w:rPr>
          <w:szCs w:val="24"/>
        </w:rPr>
        <w:tab/>
        <w:t>Судьи Верховного суда избираются на срок в шесть лет и могут быть переизбраны.  Верховный суд делится на четыре палаты:  конституционная палата, палата по уголовным делам, палата по гражданским делам, палата по трудовым спорам и административным делам.  Если палата выносит свое постановление единогласно, то оно объявляется решением Верховного суда и приобретает характер окончательного.  Если же постановление принимается большинством голосов, то оно передается на рассмотрение пленума Верховного суда</w:t>
      </w:r>
      <w:r>
        <w:rPr>
          <w:rStyle w:val="FootnoteReference"/>
          <w:szCs w:val="24"/>
        </w:rPr>
        <w:footnoteReference w:customMarkFollows="1" w:id="4"/>
        <w:t>4</w:t>
      </w:r>
      <w:r>
        <w:rPr>
          <w:szCs w:val="24"/>
        </w:rPr>
        <w:t>.</w:t>
      </w:r>
    </w:p>
    <w:p w:rsidR="00000000" w:rsidRDefault="00000000">
      <w:pPr>
        <w:tabs>
          <w:tab w:val="clear" w:pos="1701"/>
          <w:tab w:val="left" w:pos="1683"/>
        </w:tabs>
        <w:rPr>
          <w:sz w:val="20"/>
        </w:rPr>
      </w:pPr>
    </w:p>
    <w:p w:rsidR="00000000" w:rsidRDefault="00000000">
      <w:pPr>
        <w:tabs>
          <w:tab w:val="clear" w:pos="1701"/>
          <w:tab w:val="left" w:pos="1683"/>
        </w:tabs>
        <w:rPr>
          <w:szCs w:val="24"/>
        </w:rPr>
      </w:pPr>
      <w:r>
        <w:rPr>
          <w:szCs w:val="24"/>
        </w:rPr>
        <w:t>21.</w:t>
      </w:r>
      <w:r>
        <w:rPr>
          <w:szCs w:val="24"/>
        </w:rPr>
        <w:tab/>
        <w:t>Апелляционные суды являются судами второй инстанции, в их состав входят по три судьи и их решения принимаются большинством голосов.  В частности, они занимаются рассмотрением апелляционных жалоб, подаваемых против преюдициальных постановлений и решений, вынесенных на различных этапах уголовного разбирательства.</w:t>
      </w:r>
    </w:p>
    <w:p w:rsidR="00000000" w:rsidRDefault="00000000">
      <w:pPr>
        <w:tabs>
          <w:tab w:val="clear" w:pos="1701"/>
          <w:tab w:val="left" w:pos="1683"/>
        </w:tabs>
        <w:rPr>
          <w:sz w:val="20"/>
        </w:rPr>
      </w:pPr>
    </w:p>
    <w:p w:rsidR="00000000" w:rsidRDefault="00000000">
      <w:pPr>
        <w:tabs>
          <w:tab w:val="clear" w:pos="1701"/>
          <w:tab w:val="left" w:pos="1683"/>
        </w:tabs>
        <w:rPr>
          <w:szCs w:val="24"/>
        </w:rPr>
      </w:pPr>
      <w:r>
        <w:rPr>
          <w:szCs w:val="24"/>
        </w:rPr>
        <w:t>22.</w:t>
      </w:r>
      <w:r>
        <w:rPr>
          <w:szCs w:val="24"/>
        </w:rPr>
        <w:tab/>
        <w:t>Суды первой инстанции и мировые суды являются униперсональными, за исключением судов правосудия, созданных для проведения открытого устного слушания уголовных дел, которые состоят из четырех судей, т.е. трех собственно судей и одного заместителя.</w:t>
      </w:r>
    </w:p>
    <w:p w:rsidR="00000000" w:rsidRDefault="00000000">
      <w:pPr>
        <w:tabs>
          <w:tab w:val="clear" w:pos="1701"/>
          <w:tab w:val="left" w:pos="1683"/>
        </w:tabs>
        <w:rPr>
          <w:sz w:val="20"/>
        </w:rPr>
      </w:pPr>
    </w:p>
    <w:p w:rsidR="00000000" w:rsidRDefault="00000000">
      <w:pPr>
        <w:tabs>
          <w:tab w:val="clear" w:pos="1701"/>
          <w:tab w:val="left" w:pos="1683"/>
        </w:tabs>
        <w:rPr>
          <w:szCs w:val="24"/>
        </w:rPr>
      </w:pPr>
      <w:r>
        <w:rPr>
          <w:szCs w:val="24"/>
        </w:rPr>
        <w:t>23.</w:t>
      </w:r>
      <w:r>
        <w:rPr>
          <w:szCs w:val="24"/>
        </w:rPr>
        <w:tab/>
        <w:t>Важно отметить, что с 2002 года вступил в силу новый Уголовно-процессуальный кодекс, пришедший на смену прежнему кодексу, которому была присуща документарная модель судопроизводства с обвинительным уклоном;  новая система судебного разбирательства строится на принципах устности, открытости, оперативности, состязательности и равенства прав сторон.  Отныне судебные органы, занимающиеся рассмотрением уголовных дел, наделены новыми функциями, и были созданы отдельные судебные инстанции для проведения открытых устных слушаний и приведения в исполнение судебных решений.</w:t>
      </w:r>
    </w:p>
    <w:p w:rsidR="00000000" w:rsidRDefault="00000000">
      <w:pPr>
        <w:tabs>
          <w:tab w:val="clear" w:pos="1701"/>
          <w:tab w:val="left" w:pos="1683"/>
        </w:tabs>
        <w:rPr>
          <w:sz w:val="20"/>
        </w:rPr>
      </w:pPr>
    </w:p>
    <w:p w:rsidR="00000000" w:rsidRDefault="00000000">
      <w:pPr>
        <w:tabs>
          <w:tab w:val="clear" w:pos="1701"/>
          <w:tab w:val="left" w:pos="1683"/>
        </w:tabs>
        <w:rPr>
          <w:szCs w:val="24"/>
        </w:rPr>
      </w:pPr>
      <w:r>
        <w:rPr>
          <w:szCs w:val="24"/>
        </w:rPr>
        <w:t>24.</w:t>
      </w:r>
      <w:r>
        <w:rPr>
          <w:szCs w:val="24"/>
        </w:rPr>
        <w:tab/>
        <w:t>Мировые суды занимаются рассмотрением дел, связанных с правонарушениями.  Кроме того, они правомочны принимать подаваемые им жалобы и ходатайства с передачей первых в Прокуратуру для проведения соответствующих расследований и вторых - в компетентный суд правосудия.  Они также занимаются эксгумацией и опознанием трупов в случае отсутствия прокурорского работника.</w:t>
      </w:r>
    </w:p>
    <w:p w:rsidR="00000000" w:rsidRDefault="00000000">
      <w:pPr>
        <w:tabs>
          <w:tab w:val="clear" w:pos="1701"/>
          <w:tab w:val="left" w:pos="1683"/>
        </w:tabs>
        <w:rPr>
          <w:szCs w:val="24"/>
        </w:rPr>
      </w:pPr>
      <w:r>
        <w:rPr>
          <w:szCs w:val="24"/>
        </w:rPr>
        <w:t>25.</w:t>
      </w:r>
      <w:r>
        <w:rPr>
          <w:szCs w:val="24"/>
        </w:rPr>
        <w:tab/>
        <w:t>Суды первой инстанции проводят предварительное и промежуточное слушание дел по обвинительному заключению и представлению Прокуратуры, они могут действовать по ускоренной и упрощенной процедуре, а также прекратить уголовное преследование;  такие суды выступают гарантами уважения конституционных прав, поскольку только они правомочны санкционировать обыск и выемку, проверку корреспонденции и электронных средств связи, а также осуществление прочих мер в связи с действиями, ставящими под угрозу и/или ограничивающими основные права и свободы граждан.</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26.</w:t>
      </w:r>
      <w:r>
        <w:rPr>
          <w:szCs w:val="24"/>
        </w:rPr>
        <w:tab/>
        <w:t>Суды правосудия обладают исключительной компетенцией на проведение открытого устного слушания дел;  судьи по делам исполнения наказаний занимаются вопросами, связанными с исполнением вынесенных приговоров и назначенных мер наказания, а также осуществлением специальных судебных процедур по привлечению к гражданско-правовой ответственности и определению мер пресечения.</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27.</w:t>
      </w:r>
      <w:r>
        <w:rPr>
          <w:szCs w:val="24"/>
        </w:rPr>
        <w:tab/>
        <w:t>Апелляционные суды занимаются рассмотрением в апелляционном порядке распоряжений, отданных на этапе предварительного разбирательства, и апелляционных жалоб в отношении окончательных приговоров, вынесенных по ускоренной и упрощенной процедуре, а также выступают судами первой инстанции в особых случаях, определенных законом.</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28.</w:t>
      </w:r>
      <w:r>
        <w:rPr>
          <w:szCs w:val="24"/>
        </w:rPr>
        <w:tab/>
        <w:t xml:space="preserve">Верховный суд рассматривает в кассационном порядке и в порядке ревизионного пересмотра дела об общеуголовных преступлениях (палата по уголовным делам, решение которой, принятое в пленарном заседании, является окончательным), а также обвинения против высших должностных лиц государства;  разрешает споры о компетенции, возникающие между судами;  и разбирает во второй инстанции дела, для которых первой инстанцией являются апелляционные суды. </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spacing w:line="240" w:lineRule="auto"/>
        <w:jc w:val="center"/>
        <w:rPr>
          <w:b/>
          <w:szCs w:val="24"/>
        </w:rPr>
      </w:pPr>
      <w:r>
        <w:rPr>
          <w:b/>
          <w:szCs w:val="24"/>
        </w:rPr>
        <w:t>1.</w:t>
      </w:r>
      <w:r>
        <w:rPr>
          <w:b/>
          <w:szCs w:val="24"/>
        </w:rPr>
        <w:tab/>
        <w:t>Генеральная прокуратура Республики</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29.</w:t>
      </w:r>
      <w:r>
        <w:rPr>
          <w:szCs w:val="24"/>
        </w:rPr>
        <w:tab/>
        <w:t>Данный орган является законным представителем государства, призванным отстаивать его интересы, избегая при этом нанесения ущерба государственной казне.  Генеральный прокурор Республики и его заместитель избираются Национальным конгрессом сроком на четыре года, не могут быть переизбраны на последующий срок и должны отвечать тем же требованиям и имеют те же прерогативы и ограничения, которые установлены по Конституции для судей Верховного суда.</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30.</w:t>
      </w:r>
      <w:r>
        <w:rPr>
          <w:szCs w:val="24"/>
        </w:rPr>
        <w:tab/>
        <w:t>Гражданские дела, ставшие следствием процессуальных действий, возбужденных по инициативе контролеров Высшей счетной палаты, являются предметом рассмотрения Генерального прокурора Республики, за исключением дел, относящихся к компетенции муниципалитетов, которыми занимаются оговоренные законом должностные лица, а в их отсутствие - Генеральная прокуратура Республики.</w:t>
      </w:r>
    </w:p>
    <w:p w:rsidR="00000000" w:rsidRDefault="00000000">
      <w:pPr>
        <w:tabs>
          <w:tab w:val="clear" w:pos="1701"/>
          <w:tab w:val="left" w:pos="1683"/>
        </w:tabs>
        <w:jc w:val="center"/>
        <w:rPr>
          <w:b/>
          <w:szCs w:val="24"/>
        </w:rPr>
      </w:pPr>
      <w:r>
        <w:rPr>
          <w:b/>
          <w:szCs w:val="24"/>
        </w:rPr>
        <w:t>2.</w:t>
      </w:r>
      <w:r>
        <w:rPr>
          <w:b/>
          <w:szCs w:val="24"/>
        </w:rPr>
        <w:tab/>
        <w:t>Прокуратура</w:t>
      </w:r>
    </w:p>
    <w:p w:rsidR="00000000" w:rsidRDefault="00000000">
      <w:pPr>
        <w:keepNext/>
        <w:tabs>
          <w:tab w:val="clear" w:pos="1701"/>
          <w:tab w:val="left" w:pos="1683"/>
        </w:tabs>
        <w:rPr>
          <w:szCs w:val="24"/>
        </w:rPr>
      </w:pPr>
    </w:p>
    <w:p w:rsidR="00000000" w:rsidRDefault="00000000">
      <w:pPr>
        <w:tabs>
          <w:tab w:val="clear" w:pos="1701"/>
          <w:tab w:val="left" w:pos="1683"/>
        </w:tabs>
        <w:rPr>
          <w:szCs w:val="24"/>
        </w:rPr>
      </w:pPr>
      <w:r>
        <w:rPr>
          <w:szCs w:val="24"/>
        </w:rPr>
        <w:t>31.</w:t>
      </w:r>
      <w:r>
        <w:rPr>
          <w:szCs w:val="24"/>
        </w:rPr>
        <w:tab/>
        <w:t>Прокуратура была создана на основании Декрета № 228-93, опубликованного в официальном вестнике "</w:t>
      </w:r>
      <w:r>
        <w:rPr>
          <w:i/>
          <w:szCs w:val="24"/>
        </w:rPr>
        <w:t>Ла Гасета</w:t>
      </w:r>
      <w:r>
        <w:rPr>
          <w:szCs w:val="24"/>
        </w:rPr>
        <w:t xml:space="preserve">" за № 27241 от 6 января 1994 года, в качестве профессионального органа, свободного от всякого вмешательства политического толка, функционально независимого от государственных властей и ведомств, к числу функций которого относится, среди прочего, обеспечение неотвратимости возбуждения в соответствующих случаях официального уголовного преследования.  В состав Прокуратуры органически входят Специальная полиция по борьбе с незаконным оборотом наркотиков, служба судебно-медицинских экспертов и прочие подразделения, подведомственные ей согласно закону. </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32.</w:t>
      </w:r>
      <w:r>
        <w:rPr>
          <w:szCs w:val="24"/>
        </w:rPr>
        <w:tab/>
        <w:t>Прокуратура находится под руководством, управлением, контролем и надзором Генерального судебного прокурора Республики.  Кроме того, в непосредственном подчинении Генерального судебного прокурора имеется помощник, который замещает прокурора на период временного отсутствия последнего, в продолжение того времени, когда пост Генерального прокурора остается вакантным (т.е. происходит процесс назначения на должность), а также в случаях самоотвода либо отвода кандидатуры.  Оба должностных лица избираются Национальным конгрессом большинством в две трети голосов всех его членов сроком на пять лет и могут быть переизбраны только еще на один срок.  Они подбираются из числа пяти кандидатов, предлагаемых Советом по выдвижению, который созывается и возглавляется Председателем Верховного суда и в состав которого входят все члены последнего, ректор одного из действующих в стране университетов, представитель гондурасской коллегии адвокатов, назначенный ее Руководящим советом, а также Национальный уполномоченный по правам человека.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33.</w:t>
      </w:r>
      <w:r>
        <w:rPr>
          <w:szCs w:val="24"/>
        </w:rPr>
        <w:tab/>
        <w:t>Управление прокурорского надзора является органом Прокуратуры, отвечающим за административное управление, координацию и непосредственный надзор за деятельностью работников Прокуратуры.  Оно возглавляется директором, которого назначает Генеральный судебный прокурор</w:t>
      </w:r>
      <w:r>
        <w:rPr>
          <w:rStyle w:val="FootnoteReference"/>
          <w:szCs w:val="24"/>
        </w:rPr>
        <w:footnoteReference w:customMarkFollows="1" w:id="5"/>
        <w:t>5</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lang w:val="en-US"/>
        </w:rPr>
        <w:br w:type="page"/>
        <w:t>D</w:t>
      </w:r>
      <w:r>
        <w:rPr>
          <w:b/>
          <w:szCs w:val="24"/>
        </w:rPr>
        <w:t>.</w:t>
      </w:r>
      <w:r>
        <w:rPr>
          <w:b/>
          <w:szCs w:val="24"/>
        </w:rPr>
        <w:tab/>
        <w:t>Другие официальные органы</w:t>
      </w:r>
    </w:p>
    <w:p w:rsidR="00000000" w:rsidRDefault="00000000">
      <w:pPr>
        <w:keepNext/>
        <w:tabs>
          <w:tab w:val="clear" w:pos="1701"/>
          <w:tab w:val="left" w:pos="1683"/>
        </w:tabs>
        <w:jc w:val="center"/>
        <w:rPr>
          <w:b/>
          <w:szCs w:val="24"/>
        </w:rPr>
      </w:pPr>
    </w:p>
    <w:p w:rsidR="00000000" w:rsidRDefault="00000000">
      <w:pPr>
        <w:keepNext/>
        <w:tabs>
          <w:tab w:val="clear" w:pos="1701"/>
          <w:tab w:val="left" w:pos="1683"/>
        </w:tabs>
        <w:jc w:val="center"/>
        <w:rPr>
          <w:b/>
          <w:szCs w:val="24"/>
        </w:rPr>
      </w:pPr>
      <w:r>
        <w:rPr>
          <w:b/>
          <w:szCs w:val="24"/>
        </w:rPr>
        <w:t>1.</w:t>
      </w:r>
      <w:r>
        <w:rPr>
          <w:b/>
          <w:szCs w:val="24"/>
        </w:rPr>
        <w:tab/>
        <w:t>Национальный институт по делам женщин</w:t>
      </w:r>
    </w:p>
    <w:p w:rsidR="00000000" w:rsidRDefault="00000000">
      <w:pPr>
        <w:keepNext/>
        <w:tabs>
          <w:tab w:val="clear" w:pos="1701"/>
          <w:tab w:val="left" w:pos="1683"/>
        </w:tabs>
        <w:rPr>
          <w:szCs w:val="24"/>
        </w:rPr>
      </w:pPr>
    </w:p>
    <w:p w:rsidR="00000000" w:rsidRDefault="00000000">
      <w:pPr>
        <w:tabs>
          <w:tab w:val="clear" w:pos="1701"/>
          <w:tab w:val="left" w:pos="1683"/>
        </w:tabs>
        <w:rPr>
          <w:szCs w:val="24"/>
        </w:rPr>
      </w:pPr>
      <w:r>
        <w:rPr>
          <w:szCs w:val="24"/>
        </w:rPr>
        <w:t>34.</w:t>
      </w:r>
      <w:r>
        <w:rPr>
          <w:szCs w:val="24"/>
        </w:rPr>
        <w:tab/>
        <w:t>Национальный институт по делам женщин (ИНАМ) как орган социального развития, обладающий автономией, наделенный правосубъектностью и имеющий собственный бюджет, был создан на основании Декрета № 232-98 от 29 августа 1998 года в порядке выполнения требований международных соглашений, заключенных Республикой Гондурас, с целью полного вовлечения женщин в процесс устойчивого развития на условиях гендерного равенства, причем как в социальной, так и экономической, политической и культурной сферах.  ИНАМ отвечает за "формулирование, стимулирование, координацию, реализацию и контроль выполнения национальной политики в отношении женщин и вовлечение их в процесс устойчивого развития, а также за претворение в жизнь соответствующих планов действий".</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t>2.</w:t>
      </w:r>
      <w:r>
        <w:rPr>
          <w:b/>
          <w:szCs w:val="24"/>
        </w:rPr>
        <w:tab/>
        <w:t>Гондурасский институт по делам детей и семьи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35.</w:t>
      </w:r>
      <w:r>
        <w:rPr>
          <w:szCs w:val="24"/>
        </w:rPr>
        <w:tab/>
        <w:t>Гондурасский институт по делам детей и семьи (ИГНФА), созданный на основании Декрета № 199-97 от 29 декабря 1997 года в качестве бессрочно действующего органа социального развития, обладающего автономией, наделенного правосубъектностью и имеющего собственный бюджет, призван решать основную задачу, заключающуюся в обеспечении комплексной защиты детей и всемерном укреплении семьи в контексте положений Конституции Республики, Кодекса законов о д</w:t>
      </w:r>
      <w:r>
        <w:rPr>
          <w:szCs w:val="24"/>
        </w:rPr>
        <w:t>е</w:t>
      </w:r>
      <w:r>
        <w:rPr>
          <w:szCs w:val="24"/>
        </w:rPr>
        <w:t>тях и подростках и Семейного кодекса.</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t>3.</w:t>
      </w:r>
      <w:r>
        <w:rPr>
          <w:b/>
          <w:szCs w:val="24"/>
        </w:rPr>
        <w:tab/>
        <w:t>Национальное управление уполномоченного по правам человека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36.</w:t>
      </w:r>
      <w:r>
        <w:rPr>
          <w:szCs w:val="24"/>
        </w:rPr>
        <w:tab/>
        <w:t>Национальное управление уполномоченного по правам человека представляет собой конституционное и национальное учреждение, созданное на основании Декрета № 2-95 Национального конгресса, вносящего изменение в статью 59 Конституции Республики, с целью гарантировать соблюдение и действенность прав и свобод, признанных в Конституции Республики, а также закрепленных в международных договорах и конвенциях, ратифицированных Гондурасом.  Лицо, занимающее пост Национального уполномоченного по правам человека, избирается большинством голосов членов Национального конгресса сроком на шесть лет и может быть переизбрано</w:t>
      </w:r>
      <w:r>
        <w:rPr>
          <w:rStyle w:val="FootnoteReference"/>
          <w:szCs w:val="24"/>
        </w:rPr>
        <w:footnoteReference w:customMarkFollows="1" w:id="6"/>
        <w:t>6</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br w:type="page"/>
      </w:r>
      <w:r>
        <w:rPr>
          <w:b/>
          <w:szCs w:val="24"/>
          <w:lang w:val="en-US"/>
        </w:rPr>
        <w:t>E</w:t>
      </w:r>
      <w:r>
        <w:rPr>
          <w:b/>
          <w:szCs w:val="24"/>
        </w:rPr>
        <w:t>.</w:t>
      </w:r>
      <w:r>
        <w:rPr>
          <w:b/>
          <w:szCs w:val="24"/>
        </w:rPr>
        <w:tab/>
        <w:t>Международные договоры</w:t>
      </w:r>
    </w:p>
    <w:p w:rsidR="00000000" w:rsidRDefault="00000000">
      <w:pPr>
        <w:keepNext/>
        <w:tabs>
          <w:tab w:val="clear" w:pos="1701"/>
          <w:tab w:val="left" w:pos="1683"/>
        </w:tabs>
        <w:rPr>
          <w:szCs w:val="24"/>
        </w:rPr>
      </w:pPr>
    </w:p>
    <w:p w:rsidR="00000000" w:rsidRDefault="00000000">
      <w:pPr>
        <w:tabs>
          <w:tab w:val="clear" w:pos="1701"/>
          <w:tab w:val="left" w:pos="1683"/>
        </w:tabs>
        <w:rPr>
          <w:szCs w:val="24"/>
        </w:rPr>
      </w:pPr>
      <w:r>
        <w:rPr>
          <w:szCs w:val="24"/>
        </w:rPr>
        <w:t>37.</w:t>
      </w:r>
      <w:r>
        <w:rPr>
          <w:szCs w:val="24"/>
        </w:rPr>
        <w:tab/>
        <w:t>Права человека являются динамично развивающейся категорией.  В этой связи статья 64 Конституции устанавливает, что не применяются законы, правительственные распоряжения или любые иные предписания, регламентирующие осуществление закрепленных в Конституции принципов, прав и гарантий в сторону их уменьшения, ограничения или извращения.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38.</w:t>
      </w:r>
      <w:r>
        <w:rPr>
          <w:szCs w:val="24"/>
        </w:rPr>
        <w:tab/>
        <w:t>Международные договоры, заключенные Гондурасом с другими государствами и вступившие в законную силу, являются составной частью внутренней правовой системы;  в случае же коллизии между внутригосударственной правовой нормой и положениями международного документа последние имеют преимущественную силу (статьи 16 и 18 Конституции Республики).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39.</w:t>
      </w:r>
      <w:r>
        <w:rPr>
          <w:szCs w:val="24"/>
        </w:rPr>
        <w:tab/>
        <w:t>Для применения положений, закрепленных в международных договорах, не требуется их развития посредством принятия подзаконных актов или внутренних административных регламентов, в силу чего - как указывалось выше - такие договоры, будучи ратифицированы, становятся составной частью внутренней правовой системы;  в качестве примера можно привести пункт 1 статьи 41 Закона о конституционном правосудии, согласно которому любой потерпевший или ставший жертвой нарушения прав, предусмотренных той или иной конвенцией, либо любое лицо от его имени может направить в конституционную палату Верховного суда ходатайство о возбуждении процедуры ампаро.</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40.</w:t>
      </w:r>
      <w:r>
        <w:rPr>
          <w:szCs w:val="24"/>
        </w:rPr>
        <w:tab/>
        <w:t xml:space="preserve">В рамках </w:t>
      </w:r>
      <w:r>
        <w:rPr>
          <w:color w:val="000000"/>
          <w:szCs w:val="24"/>
          <w:lang w:eastAsia="ru-RU"/>
        </w:rPr>
        <w:t xml:space="preserve">Организации Объединенных Наций Гондурас является участником следующих международных документов, запрещающих применение пыток:  </w:t>
      </w:r>
      <w:r>
        <w:rPr>
          <w:szCs w:val="24"/>
        </w:rPr>
        <w:t>Конвенции против пыток и других жестоких, бесчеловечных или унижающих достоинство видов обращения и наказания и Факультативного протокола к ней;</w:t>
      </w:r>
      <w:r>
        <w:rPr>
          <w:color w:val="000000"/>
          <w:szCs w:val="24"/>
          <w:lang w:eastAsia="ru-RU"/>
        </w:rPr>
        <w:t xml:space="preserve">  Международного пакта </w:t>
      </w:r>
      <w:r>
        <w:rPr>
          <w:szCs w:val="24"/>
        </w:rPr>
        <w:t>о гражданских и политических правах</w:t>
      </w:r>
      <w:r>
        <w:rPr>
          <w:color w:val="000000"/>
          <w:szCs w:val="24"/>
          <w:lang w:eastAsia="ru-RU"/>
        </w:rPr>
        <w:t xml:space="preserve">;  Конвенции </w:t>
      </w:r>
      <w:r>
        <w:rPr>
          <w:szCs w:val="24"/>
        </w:rPr>
        <w:t>о правах ребенка</w:t>
      </w:r>
      <w:r>
        <w:rPr>
          <w:color w:val="000000"/>
          <w:szCs w:val="24"/>
          <w:lang w:eastAsia="ru-RU"/>
        </w:rPr>
        <w:t xml:space="preserve"> и двух </w:t>
      </w:r>
      <w:r>
        <w:rPr>
          <w:szCs w:val="24"/>
        </w:rPr>
        <w:t xml:space="preserve">факультативных протоколов к ней; </w:t>
      </w:r>
      <w:r>
        <w:rPr>
          <w:color w:val="000000"/>
          <w:szCs w:val="24"/>
          <w:lang w:eastAsia="ru-RU"/>
        </w:rPr>
        <w:t xml:space="preserve"> Конвенции </w:t>
      </w:r>
      <w:r>
        <w:rPr>
          <w:szCs w:val="24"/>
        </w:rPr>
        <w:t>о ликвидации всех форм дискриминации в отношении женщин</w:t>
      </w:r>
      <w:r>
        <w:rPr>
          <w:color w:val="000000"/>
          <w:szCs w:val="24"/>
          <w:lang w:eastAsia="ru-RU"/>
        </w:rPr>
        <w:t xml:space="preserve">;  </w:t>
      </w:r>
      <w:r>
        <w:rPr>
          <w:szCs w:val="24"/>
        </w:rPr>
        <w:t>Международной конвенции о ликвидации всех форм расовой дискриминации;  и</w:t>
      </w:r>
      <w:r>
        <w:rPr>
          <w:color w:val="000000"/>
          <w:szCs w:val="24"/>
          <w:lang w:eastAsia="ru-RU"/>
        </w:rPr>
        <w:t xml:space="preserve"> Международного пакта</w:t>
      </w:r>
      <w:r>
        <w:rPr>
          <w:szCs w:val="24"/>
        </w:rPr>
        <w:t xml:space="preserve"> об экономических, социальных и культурных правах.</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41.</w:t>
      </w:r>
      <w:r>
        <w:rPr>
          <w:szCs w:val="24"/>
        </w:rPr>
        <w:tab/>
        <w:t xml:space="preserve">В рамках американской региональной системы </w:t>
      </w:r>
      <w:r>
        <w:rPr>
          <w:color w:val="000000"/>
          <w:szCs w:val="24"/>
          <w:lang w:eastAsia="ru-RU"/>
        </w:rPr>
        <w:t xml:space="preserve">Гондурас </w:t>
      </w:r>
      <w:r>
        <w:rPr>
          <w:szCs w:val="24"/>
        </w:rPr>
        <w:t xml:space="preserve">является государством, подписавшим Американскую декларацию прав и обязанностей человека, Американскую конвенцию о правах человека и Межамериканскую конвенцию о предупреждении, наказании и искоренении насилия в отношении женщин </w:t>
      </w:r>
      <w:r>
        <w:rPr>
          <w:b/>
          <w:szCs w:val="24"/>
        </w:rPr>
        <w:t>(</w:t>
      </w:r>
      <w:r>
        <w:rPr>
          <w:rStyle w:val="Emphasis"/>
          <w:b w:val="0"/>
          <w:color w:val="000000"/>
          <w:szCs w:val="24"/>
        </w:rPr>
        <w:t>Конвенция Белем</w:t>
      </w:r>
      <w:r>
        <w:rPr>
          <w:b/>
          <w:color w:val="000000"/>
          <w:szCs w:val="24"/>
        </w:rPr>
        <w:t>-</w:t>
      </w:r>
      <w:r>
        <w:rPr>
          <w:rStyle w:val="Emphasis"/>
          <w:b w:val="0"/>
          <w:color w:val="000000"/>
          <w:szCs w:val="24"/>
        </w:rPr>
        <w:t>ду</w:t>
      </w:r>
      <w:r>
        <w:rPr>
          <w:b/>
          <w:color w:val="000000"/>
          <w:szCs w:val="24"/>
        </w:rPr>
        <w:t>-</w:t>
      </w:r>
      <w:r>
        <w:rPr>
          <w:rStyle w:val="Emphasis"/>
          <w:b w:val="0"/>
          <w:color w:val="000000"/>
          <w:szCs w:val="24"/>
        </w:rPr>
        <w:t>Пара</w:t>
      </w:r>
      <w:r>
        <w:rPr>
          <w:szCs w:val="24"/>
        </w:rPr>
        <w:t xml:space="preserve">). </w:t>
      </w:r>
      <w:r>
        <w:rPr>
          <w:b/>
          <w:szCs w:val="24"/>
        </w:rPr>
        <w:t xml:space="preserve"> </w:t>
      </w:r>
      <w:r>
        <w:rPr>
          <w:szCs w:val="24"/>
        </w:rPr>
        <w:t xml:space="preserve">Кроме того, сделав соответствующее заявление, </w:t>
      </w:r>
      <w:r>
        <w:rPr>
          <w:color w:val="000000"/>
          <w:szCs w:val="24"/>
          <w:lang w:eastAsia="ru-RU"/>
        </w:rPr>
        <w:t xml:space="preserve">Гондурас </w:t>
      </w:r>
      <w:r>
        <w:rPr>
          <w:szCs w:val="24"/>
        </w:rPr>
        <w:t>признал компетенцию Межамериканского суда по правам человека в отношении получения и рассмотрения индивидуальных жалоб на нарушение прав, изложенных в Межамериканской конвенции о правах человека.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42.</w:t>
      </w:r>
      <w:r>
        <w:rPr>
          <w:szCs w:val="24"/>
        </w:rPr>
        <w:tab/>
        <w:t>Что касается международных механизмов защиты прав человека, то Гондурас ратифицировал Факультативный протокол к Международному пакту о гражданских и политических правах, устанавливающий процедуру представления индивидуальных сообщений в Комитет по правам человека.  К таким международным механизмам обращаются после исчерпания всех доступных внутренних средств правовой защиты, а посему взаимодополняемость механизмов может рассматриваться в качестве дополнительного средства правовой защиты, имеющегося в распоряжении потерпевшего лица.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43.</w:t>
      </w:r>
      <w:r>
        <w:rPr>
          <w:szCs w:val="24"/>
        </w:rPr>
        <w:tab/>
        <w:t>В Конституции Республики закреплены нормы, выступающие эффективным средством предупреждения пыток:  статьей 68 предусматривается, что каждый человек имеет право на уважение его физической, психической и нравственной неприкосновенности.  Никто не может быть подвергнут пыткам либо жестоким, бесчеловечным или унижающим достоинство видам наказания и обращения.  Любой человек, лишенный свободы, вправе рассчитывать на такое обращение, при котором должным образом уважается его человеческое достоинство.  Данное положение развивается в статье 2-В Уголовного кодекса, согласно которой каждый человек, обвиняемый в совершении преступления или правонарушения, имеет право на обращение с ним с должным уважением его человеческого достоинства.  Следовательно, недопустимы виды наказания или меры пресечения, предполагающие бесчеловечное или унижающее достоинство обращение.  С другой стороны, статьей 88 Конституции страны запрещается применение всякого рода насилия или принуждения с целью заставить человека давать показания.  Кроме того, никто не обязан давать показания по уголовному делу, в рамках дисциплинарного разбирательства или полицейского расследования против самого себя, своего супруга или сожителя либо своих родственников до четвертой степени кровного родства или второй степени свойства.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44.</w:t>
      </w:r>
      <w:r>
        <w:rPr>
          <w:szCs w:val="24"/>
        </w:rPr>
        <w:tab/>
        <w:t>В данной связи во избежание применения полицией мер силового воздействия с целью добиться признаний со стороны лица, лишенного свободы, указанной выше статьей 88 Конституции предписывается, что силу доказательства имеет только заявление, сделанное перед компетентным судьей, и что любые показания, полученные с нарушением какого-либо из настоящих положений, признаются недействительными, а виновные подлежат наказанию, установленному законом.  Данное положение Конституции находит развитие в пункте 4 статьи 282 Уголовно-процессуального кодекса.  С другой стороны, в пунктах 1-6 статьи 282 Уголовно-процессуального кодекса говорится, что при задержании, аресте или взятии под стражу любого лица сотрудники национальной полиции должны действовать с соблюдением следующих правил:</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ind w:left="1134" w:hanging="1134"/>
        <w:rPr>
          <w:szCs w:val="24"/>
        </w:rPr>
      </w:pPr>
      <w:r>
        <w:rPr>
          <w:szCs w:val="24"/>
        </w:rPr>
        <w:tab/>
      </w:r>
      <w:r>
        <w:rPr>
          <w:szCs w:val="24"/>
          <w:lang w:val="en-US"/>
        </w:rPr>
        <w:t>a</w:t>
      </w:r>
      <w:r>
        <w:rPr>
          <w:szCs w:val="24"/>
        </w:rPr>
        <w:t>)</w:t>
      </w:r>
      <w:r>
        <w:rPr>
          <w:szCs w:val="24"/>
        </w:rPr>
        <w:tab/>
        <w:t xml:space="preserve">представиться в момент произведения ареста сотрудниками компетентных органов, предъявив с этой целью соответствующее удостоверение или бляху полицейского; </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ind w:left="1134" w:hanging="1134"/>
        <w:rPr>
          <w:szCs w:val="24"/>
        </w:rPr>
      </w:pPr>
      <w:r>
        <w:rPr>
          <w:szCs w:val="24"/>
        </w:rPr>
        <w:tab/>
      </w:r>
      <w:r>
        <w:rPr>
          <w:szCs w:val="24"/>
          <w:lang w:val="en-US"/>
        </w:rPr>
        <w:t>b</w:t>
      </w:r>
      <w:r>
        <w:rPr>
          <w:szCs w:val="24"/>
        </w:rPr>
        <w:t>)</w:t>
      </w:r>
      <w:r>
        <w:rPr>
          <w:szCs w:val="24"/>
        </w:rPr>
        <w:tab/>
        <w:t>прибегать к применению силы только в том случае, если это абсолютно необходимо для эффективного выполнения должностных обязанностей, не выходя при этом за рамки, диктуемые практикой произведения задержания;</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ind w:left="1134" w:hanging="1134"/>
        <w:rPr>
          <w:szCs w:val="24"/>
        </w:rPr>
      </w:pPr>
      <w:r>
        <w:rPr>
          <w:szCs w:val="24"/>
        </w:rPr>
        <w:tab/>
      </w:r>
      <w:r>
        <w:rPr>
          <w:szCs w:val="24"/>
          <w:lang w:val="en-US"/>
        </w:rPr>
        <w:t>c</w:t>
      </w:r>
      <w:r>
        <w:rPr>
          <w:szCs w:val="24"/>
        </w:rPr>
        <w:t>)</w:t>
      </w:r>
      <w:r>
        <w:rPr>
          <w:szCs w:val="24"/>
        </w:rPr>
        <w:tab/>
        <w:t>применять огнестрельное оружие только при наличии серьезного, явного или непосредственного риска для жизни и физической неприкосновенности самого оперативного работника или третьих лиц;  при наличии опасности серьезного нарушения общественного порядка либо при необходимости предотвратить совершение преступления и в отсутствие возможности прибегнуть к другим столь же эффективным, но менее опасным мерам;</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ind w:left="1134" w:hanging="1134"/>
        <w:rPr>
          <w:szCs w:val="24"/>
        </w:rPr>
      </w:pPr>
      <w:r>
        <w:rPr>
          <w:szCs w:val="24"/>
        </w:rPr>
        <w:tab/>
      </w:r>
      <w:r>
        <w:rPr>
          <w:szCs w:val="24"/>
          <w:lang w:val="en-US"/>
        </w:rPr>
        <w:t>d</w:t>
      </w:r>
      <w:r>
        <w:rPr>
          <w:szCs w:val="24"/>
        </w:rPr>
        <w:t>)</w:t>
      </w:r>
      <w:r>
        <w:rPr>
          <w:szCs w:val="24"/>
        </w:rPr>
        <w:tab/>
        <w:t>не прибегать, не подстрекать и не допускать применения пыток, истязаний и других жестоких, бесчеловечных или унижающих достоинство видов обращения и наказания как в момент ареста, так и в продолжение всего времени содержания под стражей;</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ind w:left="1134" w:hanging="1134"/>
        <w:rPr>
          <w:szCs w:val="24"/>
        </w:rPr>
      </w:pPr>
      <w:r>
        <w:rPr>
          <w:szCs w:val="24"/>
        </w:rPr>
        <w:tab/>
      </w:r>
      <w:r>
        <w:rPr>
          <w:szCs w:val="24"/>
          <w:lang w:val="en-US"/>
        </w:rPr>
        <w:t>e</w:t>
      </w:r>
      <w:r>
        <w:rPr>
          <w:szCs w:val="24"/>
        </w:rPr>
        <w:t>)</w:t>
      </w:r>
      <w:r>
        <w:rPr>
          <w:szCs w:val="24"/>
        </w:rPr>
        <w:tab/>
        <w:t>не предъявлять задержанных представителям средств массовой информации, соблюдая их право считаться невиновными и рассчитывать на соответствующее обращение и на уважение их репутации;</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ind w:left="1134" w:hanging="1134"/>
        <w:rPr>
          <w:szCs w:val="24"/>
        </w:rPr>
      </w:pPr>
      <w:r>
        <w:rPr>
          <w:szCs w:val="24"/>
        </w:rPr>
        <w:tab/>
      </w:r>
      <w:r>
        <w:rPr>
          <w:szCs w:val="24"/>
          <w:lang w:val="en-US"/>
        </w:rPr>
        <w:t>f</w:t>
      </w:r>
      <w:r>
        <w:rPr>
          <w:szCs w:val="24"/>
        </w:rPr>
        <w:t>)</w:t>
      </w:r>
      <w:r>
        <w:rPr>
          <w:szCs w:val="24"/>
        </w:rPr>
        <w:tab/>
        <w:t>в момент задержания или ареста информировать задержанных или арестованных со всей возможной четкостью и ясностью о мотивах задержания с оглашением имеющихся у них следующих прав:  уведомить о случившемся родственника или любое лицо по своему выбору;  на защиту адвоката;  хранить молчание;  не давать показаний против самого себя, своего супруга или сожителя либо своих родственников до четвертой степени кровного родства или второй степени свойства, причем силу доказательства имеет только заявление, сделанное перед компетентным судьей;  на осмотр судебно-медицинским экспертом либо - при невозможности оперативно воспользоваться его услугами - другим имеющимся в наличии врачом на предмет освидетельствования физического состояния, включая, при необходимости, обращение к нему;  и, в целом, всех тех прав, которые признаются по закону за обвиняемым.</w:t>
      </w:r>
    </w:p>
    <w:p w:rsidR="00000000" w:rsidRDefault="00000000">
      <w:pPr>
        <w:tabs>
          <w:tab w:val="clear" w:pos="1701"/>
          <w:tab w:val="left" w:pos="1683"/>
        </w:tabs>
        <w:rPr>
          <w:szCs w:val="24"/>
        </w:rPr>
      </w:pPr>
      <w:r>
        <w:rPr>
          <w:szCs w:val="24"/>
        </w:rPr>
        <w:t>45.</w:t>
      </w:r>
      <w:r>
        <w:rPr>
          <w:szCs w:val="24"/>
        </w:rPr>
        <w:tab/>
        <w:t>В качестве административной меры, касающейся арестованных, национальная полиция требует от своих сотрудников, находящихся при исполнении, оберегать и защищать физическое и психическое здоровье задержанных или взятых под стражу лиц, а также уважать их честь и достоинство в период содержания в полицейском учреждении (подпункт с)  пункта 3 статьи 22 Органического закона "О национальной полиции").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46.</w:t>
      </w:r>
      <w:r>
        <w:rPr>
          <w:szCs w:val="24"/>
        </w:rPr>
        <w:tab/>
        <w:t>Ниже перечисляется ряд ведомств и инстанций, обладающих правомочиями и мандатом на решение вопросов, затрагиваемых в Конвенции:</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a</w:t>
      </w:r>
      <w:r>
        <w:rPr>
          <w:szCs w:val="24"/>
        </w:rPr>
        <w:t>)</w:t>
      </w:r>
      <w:r>
        <w:rPr>
          <w:szCs w:val="24"/>
        </w:rPr>
        <w:tab/>
        <w:t>судебная власть.  Власть отправлять правосудие исходит от народа и осуществляется безвозмездно от имени государства независимыми судьями, которые в своих действиях руководствуются исключительно Конституцией и законами.  По Конституции за военными трибуналами признается юрисдикция военного судопроизводства, в том что касается воинских преступлений и правонарушений, при этом особо оговаривается, что юрисдикция таких судов ни в коем случае не распространяется на лиц, не находящихся на действительной службе в вооруженных силах;</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b</w:t>
      </w:r>
      <w:r>
        <w:rPr>
          <w:szCs w:val="24"/>
        </w:rPr>
        <w:t>)</w:t>
      </w:r>
      <w:r>
        <w:rPr>
          <w:szCs w:val="24"/>
        </w:rPr>
        <w:tab/>
        <w:t>Государственное министерство внутренних дел и юстиции отвечает за вопросы, касающиеся народонаселения и миграции, включая регламентирование - через Главное управление по делам миграции и иностранных граждан - режима применительно к иностранцам;</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c</w:t>
      </w:r>
      <w:r>
        <w:rPr>
          <w:szCs w:val="24"/>
        </w:rPr>
        <w:t>)</w:t>
      </w:r>
      <w:r>
        <w:rPr>
          <w:szCs w:val="24"/>
        </w:rPr>
        <w:tab/>
        <w:t>Государственное министерство безопасности, в ведении которого находится Национальная полиция, располагает пятью главными управлениями, в том числе Главным управлением специальных превентивных служб, отвечающим - как то прописано в соответствующих специальных законах - за вопросы безопасности, поддержания порядка и содержания в пенитенциарных учреждениях, а также за обеспечение безопасности в исправительных колониях для малолетних правонарушителей с неуравновешенным поведением (статьи 2, 11 и 52 Органического закона "О национальной полиции");</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d</w:t>
      </w:r>
      <w:r>
        <w:rPr>
          <w:szCs w:val="24"/>
        </w:rPr>
        <w:t>)</w:t>
      </w:r>
      <w:r>
        <w:rPr>
          <w:szCs w:val="24"/>
        </w:rPr>
        <w:tab/>
        <w:t>Государственное министерство национальной обороны, в подчинении которого находятся вооруженные силы Гондураса.  Согласно статье 292 Конституции Республики, данному ведомству принадлежит исключительная прерогатива на производство, импорт, распространение и продажу оружия, боеприпасов и аналогичных предметов;  в случае же оружия, находящегося на руках граждан, соответствующий контроль за ним относится к компетенции Национальной полиции, находящейся в ведении министерства безопасности;</w:t>
      </w:r>
    </w:p>
    <w:p w:rsidR="00000000" w:rsidRDefault="00000000">
      <w:pPr>
        <w:tabs>
          <w:tab w:val="clear" w:pos="1701"/>
          <w:tab w:val="left" w:pos="1683"/>
        </w:tabs>
        <w:ind w:left="1134" w:hanging="1134"/>
        <w:rPr>
          <w:szCs w:val="24"/>
        </w:rPr>
      </w:pPr>
      <w:r>
        <w:rPr>
          <w:szCs w:val="24"/>
        </w:rPr>
        <w:tab/>
      </w:r>
      <w:r>
        <w:rPr>
          <w:szCs w:val="24"/>
          <w:lang w:val="en-US"/>
        </w:rPr>
        <w:t>e</w:t>
      </w:r>
      <w:r>
        <w:rPr>
          <w:szCs w:val="24"/>
        </w:rPr>
        <w:t>)</w:t>
      </w:r>
      <w:r>
        <w:rPr>
          <w:szCs w:val="24"/>
        </w:rPr>
        <w:tab/>
        <w:t>Прокуратура является органом, в функции которого входит расследование случаев, когда какое-либо лицо незаконно задержано или помещено под стражу, либо тем или иным способом лишено права на личную свободу или же</w:t>
      </w:r>
      <w:r>
        <w:rPr>
          <w:spacing w:val="6"/>
          <w:szCs w:val="24"/>
        </w:rPr>
        <w:t xml:space="preserve"> к нему применяются истязания, пытки, </w:t>
      </w:r>
      <w:r>
        <w:rPr>
          <w:szCs w:val="24"/>
        </w:rPr>
        <w:t>издевательства, незаконное обложение штрафом и любое насилие;  доведение таких фактов до сведения компетентного судебного органа на предмет возбуждения процедуры хабеас корпус;  и осуществление надлежащих уголовно-процессуальных действий;</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f</w:t>
      </w:r>
      <w:r>
        <w:rPr>
          <w:szCs w:val="24"/>
        </w:rPr>
        <w:t>)</w:t>
      </w:r>
      <w:r>
        <w:rPr>
          <w:szCs w:val="24"/>
        </w:rPr>
        <w:tab/>
        <w:t>Генеральная прокуратура Республики является законным представителем государства и, в рамках своих полномочий, выступает от имени граждан, которые ввиду своего экономического положения не в состоянии подать исковое заявление, а также когда у жертвы нет своего доверенного лица или законного представителя;</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g</w:t>
      </w:r>
      <w:r>
        <w:rPr>
          <w:szCs w:val="24"/>
        </w:rPr>
        <w:t>)</w:t>
      </w:r>
      <w:r>
        <w:rPr>
          <w:szCs w:val="24"/>
        </w:rPr>
        <w:tab/>
        <w:t>Национальное управление уполномоченного по правам человека (омбудсмена) правомочно обращаться с непосредственным запросом к любому руководителю или служащему государственной администрации, любых органов и учреждений, которые обязаны реагировать на обращаемые к ним ходатайства и требования.  При исполнении своих функций Национальное управление уполномоченного по правам человека имеет свободный доступ во все гражданские и военные учреждения, изоляторы временного содержания, следственные изоляторы и тюрьмы, не встречая в этом плане никаких препятствий;</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h</w:t>
      </w:r>
      <w:r>
        <w:rPr>
          <w:szCs w:val="24"/>
        </w:rPr>
        <w:t>)</w:t>
      </w:r>
      <w:r>
        <w:rPr>
          <w:szCs w:val="24"/>
        </w:rPr>
        <w:tab/>
        <w:t>Гондурасский институт по делам детей и семьи (ИГНФА), к числу функций которого относятся, среди прочего, разработка, поддержание соответствующих программ и координация деятельности по их реализации, а также обслуживание центров реабилитации и прочих исправительных учреждений, предназначенных  для содержания лиц, которые - согласно Кодексу законов о д</w:t>
      </w:r>
      <w:r>
        <w:rPr>
          <w:szCs w:val="24"/>
        </w:rPr>
        <w:t>е</w:t>
      </w:r>
      <w:r>
        <w:rPr>
          <w:szCs w:val="24"/>
        </w:rPr>
        <w:t>тях и подростках - считаются нарушителями закона;</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i</w:t>
      </w:r>
      <w:r>
        <w:rPr>
          <w:szCs w:val="24"/>
        </w:rPr>
        <w:t>)</w:t>
      </w:r>
      <w:r>
        <w:rPr>
          <w:szCs w:val="24"/>
        </w:rPr>
        <w:tab/>
        <w:t>Национальный институт по делам женщин (ИНАМ) как координатор национальной политики в отношении женщин служит механизмом, призванным нацеливать на достижение подвижек в деле реального претворения на практике в Гондурасе принципа равенства мужчин и женщин, особенно по пяти направлениям, определенным в рамках его Плана действий в качестве приоритетных:  здравоохранение, образование и средства коммуникации, участие в общественной и политической жизни, экономика, нищета и насилие.</w:t>
      </w:r>
    </w:p>
    <w:p w:rsidR="00000000" w:rsidRDefault="00000000">
      <w:pPr>
        <w:tabs>
          <w:tab w:val="clear" w:pos="1701"/>
          <w:tab w:val="left" w:pos="1683"/>
        </w:tabs>
        <w:rPr>
          <w:szCs w:val="24"/>
        </w:rPr>
      </w:pPr>
      <w:r>
        <w:rPr>
          <w:szCs w:val="24"/>
        </w:rPr>
        <w:t>47.</w:t>
      </w:r>
      <w:r>
        <w:rPr>
          <w:szCs w:val="24"/>
        </w:rPr>
        <w:tab/>
        <w:t>Что касается практического применения положений Конвенции против пыток и других жестоких, бесчеловечных или унижающих достоинство видов обращения и наказания, то поскольку Гондурас является не федеративным государством, а республикой, не имеется факторов, негативно сказывающихся на соблюдении обязательств, принятых им на себя как государством в момент ратификации данного международного документа.</w:t>
      </w:r>
    </w:p>
    <w:p w:rsidR="00000000" w:rsidRDefault="00000000">
      <w:pPr>
        <w:tabs>
          <w:tab w:val="clear" w:pos="1701"/>
          <w:tab w:val="left" w:pos="1683"/>
        </w:tabs>
        <w:rPr>
          <w:szCs w:val="24"/>
        </w:rPr>
      </w:pPr>
    </w:p>
    <w:p w:rsidR="00000000" w:rsidRDefault="00000000">
      <w:pPr>
        <w:keepNext/>
        <w:tabs>
          <w:tab w:val="clear" w:pos="1701"/>
          <w:tab w:val="left" w:pos="1683"/>
        </w:tabs>
        <w:jc w:val="center"/>
        <w:rPr>
          <w:b/>
          <w:szCs w:val="24"/>
        </w:rPr>
      </w:pPr>
      <w:r>
        <w:rPr>
          <w:b/>
          <w:szCs w:val="24"/>
        </w:rPr>
        <w:br w:type="page"/>
      </w:r>
      <w:r>
        <w:rPr>
          <w:b/>
          <w:szCs w:val="24"/>
          <w:lang w:val="en-US"/>
        </w:rPr>
        <w:t>III</w:t>
      </w:r>
      <w:r>
        <w:rPr>
          <w:b/>
          <w:szCs w:val="24"/>
        </w:rPr>
        <w:t>.</w:t>
      </w:r>
      <w:r>
        <w:rPr>
          <w:b/>
          <w:szCs w:val="24"/>
        </w:rPr>
        <w:tab/>
        <w:t>ПРИМЕНЕНИЕ СТАТЕЙ КОНВЕНЦИИ</w:t>
      </w:r>
    </w:p>
    <w:p w:rsidR="00000000" w:rsidRDefault="00000000">
      <w:pPr>
        <w:keepNext/>
        <w:tabs>
          <w:tab w:val="clear" w:pos="1701"/>
          <w:tab w:val="left" w:pos="1683"/>
        </w:tabs>
        <w:rPr>
          <w:szCs w:val="24"/>
        </w:rPr>
      </w:pPr>
    </w:p>
    <w:p w:rsidR="00000000" w:rsidRDefault="00000000">
      <w:pPr>
        <w:keepNext/>
        <w:tabs>
          <w:tab w:val="clear" w:pos="1701"/>
          <w:tab w:val="left" w:pos="1683"/>
        </w:tabs>
        <w:jc w:val="center"/>
        <w:rPr>
          <w:b/>
          <w:szCs w:val="24"/>
        </w:rPr>
      </w:pPr>
      <w:r>
        <w:rPr>
          <w:b/>
          <w:szCs w:val="24"/>
        </w:rPr>
        <w:t>А.</w:t>
      </w:r>
      <w:r>
        <w:rPr>
          <w:b/>
          <w:szCs w:val="24"/>
        </w:rPr>
        <w:tab/>
        <w:t>Статья 1</w:t>
      </w:r>
    </w:p>
    <w:p w:rsidR="00000000" w:rsidRDefault="00000000">
      <w:pPr>
        <w:keepNext/>
        <w:tabs>
          <w:tab w:val="clear" w:pos="1701"/>
          <w:tab w:val="left" w:pos="1683"/>
        </w:tabs>
        <w:rPr>
          <w:szCs w:val="24"/>
        </w:rPr>
      </w:pPr>
    </w:p>
    <w:p w:rsidR="00000000" w:rsidRDefault="00000000">
      <w:pPr>
        <w:tabs>
          <w:tab w:val="clear" w:pos="1701"/>
          <w:tab w:val="left" w:pos="1683"/>
        </w:tabs>
        <w:rPr>
          <w:szCs w:val="24"/>
        </w:rPr>
      </w:pPr>
      <w:r>
        <w:rPr>
          <w:szCs w:val="24"/>
        </w:rPr>
        <w:t>48.</w:t>
      </w:r>
      <w:r>
        <w:rPr>
          <w:szCs w:val="24"/>
        </w:rPr>
        <w:tab/>
        <w:t>В соответствии с Законодательным декретом № 191-96 от 31 октября 1996 года в Уголовный кодекс была внесена статья 209-А, которая определяет пытку как преступление.  В тексте статьи говорится, что преступление, квалифицируемое как пытка, совершает государственный служащий или государственное должностное лицо, включая персонал пенитенциарных учреждений либо колоний для малолетних преступников, которое, злоупотребляя своим служебным положением и с целью добиться признания или получения сведений от любого лица либо с целью наказать его за какое-либо действие, которое последний совершил или в совершении которого подозревается, поставит данное физическое лицо в такие условия либо применит по отношению к нему такие приемы, которые по своему характеру, продолжительности или другим обстоятельствам означают для этого лица физические либо нравственные страдания, подавление или снижение способности осознавать, здраво рассуждать либо принимать решения, а также в той или иной мере посягают на его психическую неприкосновенность.  Уголовный кодекс также устанавливает, что если преступление, квалифицируемое как пытка, совершает частное лицо, то срок наказания последнего уменьшается на одну треть по сравнению со сроком, предусмотренным для государственных служащих.</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49.</w:t>
      </w:r>
      <w:r>
        <w:rPr>
          <w:szCs w:val="24"/>
        </w:rPr>
        <w:tab/>
        <w:t>Указанное выше определение пытки по большей части совпадает с определением, приводимым в Конвенции, ибо в них обоих пытка квалифицируется как способ получения сведений или признания с причинением жертве физической боли либо покушением на ее психическую неприкосновенность.</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50.</w:t>
      </w:r>
      <w:r>
        <w:rPr>
          <w:szCs w:val="24"/>
        </w:rPr>
        <w:tab/>
        <w:t>Расхождение же состоит в том, что по Конвенции пытка определяется как любое действие, которым какому-либо лицу умышленно причиняется сильная боль или страдание, физическое или нравственное, "чтобы запугать или принудить его или третье лицо" и "по любой причине, основанной на дискриминации любого характера";  эти мотивы не фигурируют в концепции, предусмотренной статьей 209-А Уголовного кодекса.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51.</w:t>
      </w:r>
      <w:r>
        <w:rPr>
          <w:szCs w:val="24"/>
        </w:rPr>
        <w:tab/>
        <w:t>Без ущерба для изложенного выше наше уголовное законодательство однозначно и прямо объявляет наказуемым принуждение, дискриминацию и издевательства, заявляя в статьях 209, 321 и пункте 3 статьи 333 следующее:  "Представитель власти, государственный служащий или должностное лицо, которое с целью добиться признания в совершении определенного преступления либо с другой аналогичной целью угрожает применением физического или нравственного насилия другому лицу, подлежит наказанию в виде тюремного заключения на срок от трех (3) до шести (6) лет и полному поражению в правах на период, вдвое превышающий срок тюремного заключения";  "… подлежит наказанию в виде тюремного заключения на срок от трех (3) до пяти (5) лет и штрафу в размере от тридцати тысяч (30 000) до пятидесяти тысяч (50 000) лемпир лицо, которое проявит дискриминацию по отношению к другому лицу по признаку пола, цвета кожи, возраста, классовой и религиозной принадлежности, политической либо партийной принадлежности, инвалидности или по любой другой причине, унижающей человеческое достоинство.  Если виновным является иностранный гражданин, он подлежит выдворению с национальной территории сразу после отбывания срока наказания";  и "применяется наказание в виде тюремного заключения на срок от трех (3) до шести (6) лет, штрафа в размере от пятидесяти тысяч (50 000) до ста тысяч (100 000) лемпир и полного поражения в правах на период, вдвое превышающий срок тюремного заключения, к государственному служащему или должностному лицу, которое:  […] 3) превратит в жертву издевательств либо незаконного принуждения лиц, помещенных под его охрану".</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52.</w:t>
      </w:r>
      <w:r>
        <w:rPr>
          <w:szCs w:val="24"/>
        </w:rPr>
        <w:tab/>
        <w:t xml:space="preserve">Гондурас является участником различных международных документов, входящих составной частью в нашу внутреннюю правовую систему, которые содержат положения, имеющие самое широкое применение.  Это, в частности, статья 5 Американской конвенции о правах человека, статья 7 </w:t>
      </w:r>
      <w:r>
        <w:rPr>
          <w:color w:val="000000"/>
          <w:szCs w:val="24"/>
          <w:lang w:eastAsia="ru-RU"/>
        </w:rPr>
        <w:t xml:space="preserve">Международного пакта </w:t>
      </w:r>
      <w:r>
        <w:rPr>
          <w:szCs w:val="24"/>
        </w:rPr>
        <w:t xml:space="preserve">о гражданских и политических правах, статья 37 Конвенции о правах ребенка и статьи 1 и 2 Межамериканской конвенции о предупреждении, наказании и искоренении насилия в отношении женщин </w:t>
      </w:r>
      <w:r>
        <w:rPr>
          <w:b/>
          <w:szCs w:val="24"/>
        </w:rPr>
        <w:t>(</w:t>
      </w:r>
      <w:r>
        <w:rPr>
          <w:rStyle w:val="Emphasis"/>
          <w:b w:val="0"/>
          <w:color w:val="000000"/>
          <w:szCs w:val="24"/>
        </w:rPr>
        <w:t>Конвенция Белем</w:t>
      </w:r>
      <w:r>
        <w:rPr>
          <w:b/>
          <w:color w:val="000000"/>
          <w:szCs w:val="24"/>
        </w:rPr>
        <w:t>-</w:t>
      </w:r>
      <w:r>
        <w:rPr>
          <w:rStyle w:val="Emphasis"/>
          <w:b w:val="0"/>
          <w:color w:val="000000"/>
          <w:szCs w:val="24"/>
        </w:rPr>
        <w:t>ду</w:t>
      </w:r>
      <w:r>
        <w:rPr>
          <w:b/>
          <w:color w:val="000000"/>
          <w:szCs w:val="24"/>
        </w:rPr>
        <w:t>-</w:t>
      </w:r>
      <w:r>
        <w:rPr>
          <w:rStyle w:val="Emphasis"/>
          <w:b w:val="0"/>
          <w:color w:val="000000"/>
          <w:szCs w:val="24"/>
        </w:rPr>
        <w:t>Пара</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t>В.</w:t>
      </w:r>
      <w:r>
        <w:rPr>
          <w:b/>
          <w:szCs w:val="24"/>
        </w:rPr>
        <w:tab/>
        <w:t>Статья 2</w:t>
      </w:r>
    </w:p>
    <w:p w:rsidR="00000000" w:rsidRDefault="00000000">
      <w:pPr>
        <w:tabs>
          <w:tab w:val="clear" w:pos="1701"/>
          <w:tab w:val="left" w:pos="1683"/>
        </w:tabs>
        <w:jc w:val="center"/>
        <w:rPr>
          <w:b/>
          <w:szCs w:val="24"/>
        </w:rPr>
      </w:pPr>
    </w:p>
    <w:p w:rsidR="00000000" w:rsidRDefault="00000000">
      <w:pPr>
        <w:tabs>
          <w:tab w:val="clear" w:pos="1701"/>
          <w:tab w:val="left" w:pos="1683"/>
        </w:tabs>
        <w:jc w:val="center"/>
        <w:rPr>
          <w:szCs w:val="24"/>
        </w:rPr>
      </w:pPr>
      <w:r>
        <w:rPr>
          <w:b/>
          <w:szCs w:val="24"/>
        </w:rPr>
        <w:t>1.</w:t>
      </w:r>
      <w:r>
        <w:rPr>
          <w:b/>
          <w:szCs w:val="24"/>
        </w:rPr>
        <w:tab/>
        <w:t>Пункт 1</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53.</w:t>
      </w:r>
      <w:r>
        <w:rPr>
          <w:szCs w:val="24"/>
        </w:rPr>
        <w:tab/>
        <w:t>Предварительное заключение может длиться, как правило, до одного года.  Если наказание за преступление превышает шесть лет, то предварительное заключение может длиться до двух лет.  В исключительных случаях, принимая во внимание трудоемкость сбора, распыленность либо большой объем доказательств, которые должны быть представлены, Верховный суд по обоснованному ходатайству Прокуратуры может продлить еще на период до шести месяцев сроки, названные в данной статье.  В любом случае предварительное заключение не может длиться более половины минимального срока, предусмотренного за преступление.  После оглашения обвинительного приговора предварительное заключение может быть продлено на период, необходимый для обжалования и опротестования приговора, вплоть до половины срока наказания, установленного приговором.  Если же данный срок превышает период предварительного заключения, установленный настоящей статьей, суд по ходатайству одной из сторон и с учетом мнения другой принимает мотивированное решение.  Из этого срока вычитается время, обусловленное задержками судопроизводства в связи с ходатайствами защиты, которые были признаны необоснованными.  Если по окончании срока предварительного заключения процесс еще не подошел к своему завершению, подсудимому предоставляется временное освобождение с применением той или иной обеспечительной меры, предусмотренной в статье 173 Уголовно-процессуального кодекса, без ущерба для продолжения процесса до вынесения окончательного приговора.  Если в течение установленного срока процесс так и не был завершен, должностные лиц и служащие, по злому умыслу, ошибке либо халатности которых он был затянут, подлежат наказанию в соответствии с Законом о судебных органах вне зависимости от уголовной ответственности, если таковая наступит.  Надзор за строгим соблюдением требований данной статьи входит в обязанности Верховного суда и Прокуратуры</w:t>
      </w:r>
      <w:r>
        <w:rPr>
          <w:rStyle w:val="FootnoteReference"/>
          <w:szCs w:val="24"/>
        </w:rPr>
        <w:footnoteReference w:customMarkFollows="1" w:id="7"/>
        <w:t>7</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54.</w:t>
      </w:r>
      <w:r>
        <w:rPr>
          <w:szCs w:val="24"/>
        </w:rPr>
        <w:tab/>
        <w:t>В духе этого же положения законодательство устанавливает, что судья по своей инициативе либо по просьбе одной из сторон может отменить или изменить решение о предварительном заключении подследственного, назначив другие обеспечительные меры по истечении максимального срока предварительного заключения либо продлив данный срок в случае, когда это диктуется исключительными обстоятельствами</w:t>
      </w:r>
      <w:r>
        <w:rPr>
          <w:rStyle w:val="FootnoteReference"/>
          <w:szCs w:val="24"/>
        </w:rPr>
        <w:footnoteReference w:customMarkFollows="1" w:id="8"/>
        <w:t>8</w:t>
      </w:r>
      <w:r>
        <w:rPr>
          <w:szCs w:val="24"/>
        </w:rPr>
        <w:t>.  О выполнении данного требования говорится в статье 2 Закона об осужденных без лишения свободы:  "Если установлено, что подследственный находится в предварительном заключении в течение времени, равного либо превышающего максимальный срок наказания, предусмотренного для вменяемого ему преступления, или суммарный срок, исчисленный путем сложения сроков наказания за несколько уголовно наказуемых деяний, предположительно совершенных им, либо максимальный срок, разрешенный Конституцией, подследственный подлежит немедленному освобождению".</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55.</w:t>
      </w:r>
      <w:r>
        <w:rPr>
          <w:szCs w:val="24"/>
        </w:rPr>
        <w:tab/>
        <w:t>Относительно срока содержания под стражей в режиме изоляции статья 71 Конституции Республики гласит:  "Ни один человек не может быть задержан и изолирован на срок более 24 часов без передачи в руки компетентных властей для судебного разбирательства.  Срок ареста по решению суда для производства расследования не может превышать шести дней с момента задержания".  Данная конституционная норма развивается в статьях 176 и 192 Уголовно-процессуального кодекса</w:t>
      </w:r>
      <w:r>
        <w:rPr>
          <w:rStyle w:val="FootnoteReference"/>
          <w:szCs w:val="24"/>
        </w:rPr>
        <w:footnoteReference w:customMarkFollows="1" w:id="9"/>
        <w:t>9</w:t>
      </w:r>
      <w:r>
        <w:rPr>
          <w:szCs w:val="24"/>
        </w:rPr>
        <w:t xml:space="preserve">.  Для обеспечения действенности данной нормы статья 182 Конституции устанавливает конституционную гарантию хабеас корпус, указывая, что любой потерпевший или иное лицо, действующее от имени потерпевшего, вправе требовать ее применения, когда:  он незаконно помещен под стражу, задержан либо тем или иным способом лишен права на личную свободу;  при законном содержании под арестом </w:t>
      </w:r>
      <w:r>
        <w:rPr>
          <w:spacing w:val="6"/>
          <w:szCs w:val="24"/>
        </w:rPr>
        <w:t xml:space="preserve">или в тюрьме к задержанному или заключенному применяются истязания, пытки, </w:t>
      </w:r>
      <w:r>
        <w:rPr>
          <w:szCs w:val="24"/>
        </w:rPr>
        <w:t>издевательства, незаконное обложение штрафом и любое насилие, ограничение или преследование, не обоснованное с точки зрения его личной безопасности либо требований тюремного порядка.  Данная гарантия развивается в Законе о конституционном правосудии, вступившем в силу 22 сентября 2005 года и устанавливающем быструю, простую и эффективную процедуру, согласно которой судья-исполнитель, назначенный компетентным судебным органом, имеет широкие полномочия для защиты жизни, физической и психической неприкосновенности лиц, подвергнувшихся пыткам либо угрозе применения пытки.</w:t>
      </w:r>
    </w:p>
    <w:p w:rsidR="00000000" w:rsidRDefault="00000000">
      <w:pPr>
        <w:tabs>
          <w:tab w:val="clear" w:pos="1701"/>
          <w:tab w:val="left" w:pos="1683"/>
        </w:tabs>
        <w:rPr>
          <w:szCs w:val="24"/>
        </w:rPr>
      </w:pPr>
    </w:p>
    <w:p w:rsidR="00000000" w:rsidRDefault="00000000">
      <w:pPr>
        <w:rPr>
          <w:szCs w:val="24"/>
        </w:rPr>
      </w:pPr>
      <w:r>
        <w:rPr>
          <w:szCs w:val="24"/>
        </w:rPr>
        <w:t>56.</w:t>
      </w:r>
      <w:r>
        <w:rPr>
          <w:szCs w:val="24"/>
        </w:rPr>
        <w:tab/>
        <w:t>Права задержанных оговорены в статье 101 Уголовно-процессуального кодекса, которая гласит:  "Обвиняемые и их права.  Обвиняемым считается лицо, которому, в силу поданной жалобы или прокурорского представления, органами уголовного преследования вменяется в вину совершение преступления либо правонарушения независимо от того, находится ли оно под стражей или на свободе;  или же лицо, которое находится в предварительном заключении в силу превентивного задержания, ареста или помещения в тюрьму;  и в этом качестве с данного момента на него распространяются все права, предусмотренные Конституцией Республики, международными договорами и соглашениями и настоящим Кодексом, начиная с первого процессуального действия и до завершения процесса.  Любому обвиняемому гарантируется защита.  Следовательно, он имеет право на то, чтобы:</w:t>
      </w:r>
    </w:p>
    <w:p w:rsidR="00000000" w:rsidRDefault="00000000">
      <w:pPr>
        <w:rPr>
          <w:szCs w:val="24"/>
        </w:rPr>
      </w:pPr>
    </w:p>
    <w:p w:rsidR="00000000" w:rsidRDefault="00000000">
      <w:pPr>
        <w:ind w:left="1134" w:hanging="1134"/>
        <w:rPr>
          <w:szCs w:val="24"/>
        </w:rPr>
      </w:pPr>
      <w:r>
        <w:rPr>
          <w:szCs w:val="24"/>
        </w:rPr>
        <w:tab/>
        <w:t>а)</w:t>
      </w:r>
      <w:r>
        <w:rPr>
          <w:szCs w:val="24"/>
        </w:rPr>
        <w:tab/>
        <w:t>соответствующий представитель власти четко и ясно указал, какие преступные действия ему инкриминируются;</w:t>
      </w:r>
    </w:p>
    <w:p w:rsidR="00000000" w:rsidRDefault="00000000">
      <w:pPr>
        <w:rPr>
          <w:szCs w:val="24"/>
        </w:rPr>
      </w:pPr>
    </w:p>
    <w:p w:rsidR="00000000" w:rsidRDefault="00000000">
      <w:pPr>
        <w:ind w:left="1134" w:hanging="1134"/>
        <w:rPr>
          <w:szCs w:val="24"/>
        </w:rPr>
      </w:pPr>
      <w:r>
        <w:rPr>
          <w:szCs w:val="24"/>
        </w:rPr>
        <w:tab/>
        <w:t>b)</w:t>
      </w:r>
      <w:r>
        <w:rPr>
          <w:szCs w:val="24"/>
        </w:rPr>
        <w:tab/>
        <w:t>незамедлительно сообщить о факте своего задержания и месте, где он находится, физическому либо юридическому лицу по своему усмотрению.  Если физическое или юридическое лицо, которому адресовано сообщение, находится вне пределов территории Республики Гондурас, то о факте своего задержания и месте, где он находится, задержанный может сообщить в соответствующее дипломатическое представительство либо консульство.  В отсутствие последних информация доводится до сведения Национального управления уполномоченного по правам человека.  Задержанный вправе сам передать это сообщение за исключением случаев, когда на расследование наложен гриф секретности, и в таком случае это должен сделать представитель власти либо должностное лицо, в распоряжении которого находится задержанный;</w:t>
      </w:r>
    </w:p>
    <w:p w:rsidR="00000000" w:rsidRDefault="00000000">
      <w:pPr>
        <w:rPr>
          <w:szCs w:val="24"/>
        </w:rPr>
      </w:pPr>
    </w:p>
    <w:p w:rsidR="00000000" w:rsidRDefault="00000000">
      <w:pPr>
        <w:ind w:left="1134" w:hanging="1134"/>
        <w:rPr>
          <w:szCs w:val="24"/>
        </w:rPr>
      </w:pPr>
      <w:r>
        <w:rPr>
          <w:szCs w:val="24"/>
        </w:rPr>
        <w:tab/>
        <w:t>c)</w:t>
      </w:r>
      <w:r>
        <w:rPr>
          <w:szCs w:val="24"/>
        </w:rPr>
        <w:tab/>
        <w:t>получать с момента своего задержания или вызова для дачи показаний помощь профессионального адвоката.  Последний может быть назначен самим задержанным либо его супругом/супругой, сожителем/сожительницей или родственником до четвертой степени кровного родства либо второй степени свойства.  Если названные лица не назначат защитника, эту функцию будет выполнять государственный защитник, назначенный судебным органом, а в случае, если такового в данном населенном пункте нет, то любой защитник, которого также назначает судебный орган;</w:t>
      </w:r>
    </w:p>
    <w:p w:rsidR="00000000" w:rsidRDefault="00000000">
      <w:pPr>
        <w:rPr>
          <w:szCs w:val="24"/>
        </w:rPr>
      </w:pPr>
    </w:p>
    <w:p w:rsidR="00000000" w:rsidRDefault="00000000">
      <w:pPr>
        <w:ind w:left="1134" w:hanging="1134"/>
        <w:rPr>
          <w:szCs w:val="24"/>
        </w:rPr>
      </w:pPr>
      <w:r>
        <w:rPr>
          <w:szCs w:val="24"/>
        </w:rPr>
        <w:tab/>
        <w:t>d)</w:t>
      </w:r>
      <w:r>
        <w:rPr>
          <w:szCs w:val="24"/>
        </w:rPr>
        <w:tab/>
        <w:t>встречаться и общаться наедине со своим защитником с момента своего задержания, даже в помещении Национальной полиции, и до начала дачи показаний, если он этого желает;</w:t>
      </w:r>
    </w:p>
    <w:p w:rsidR="00000000" w:rsidRDefault="00000000">
      <w:pPr>
        <w:rPr>
          <w:szCs w:val="24"/>
        </w:rPr>
      </w:pPr>
    </w:p>
    <w:p w:rsidR="00000000" w:rsidRDefault="00000000">
      <w:pPr>
        <w:ind w:left="1134" w:hanging="1134"/>
        <w:rPr>
          <w:szCs w:val="24"/>
        </w:rPr>
      </w:pPr>
      <w:r>
        <w:rPr>
          <w:szCs w:val="24"/>
        </w:rPr>
        <w:tab/>
        <w:t>e)</w:t>
      </w:r>
      <w:r>
        <w:rPr>
          <w:szCs w:val="24"/>
        </w:rPr>
        <w:tab/>
        <w:t>не делать никаких заявлений, которые могут быть использованы ему во вред, а если он согласится сделать это, чтобы в момент признания рядом с ним находился его защитник, равно как и во время любых процессуальных действий, на которых требуется присутствие обвиняемого;</w:t>
      </w:r>
    </w:p>
    <w:p w:rsidR="00000000" w:rsidRDefault="00000000">
      <w:pPr>
        <w:rPr>
          <w:szCs w:val="24"/>
        </w:rPr>
      </w:pPr>
    </w:p>
    <w:p w:rsidR="00000000" w:rsidRDefault="00000000">
      <w:pPr>
        <w:ind w:left="1134" w:hanging="1134"/>
        <w:rPr>
          <w:szCs w:val="24"/>
        </w:rPr>
      </w:pPr>
      <w:r>
        <w:rPr>
          <w:szCs w:val="24"/>
        </w:rPr>
        <w:tab/>
        <w:t>f)</w:t>
      </w:r>
      <w:r>
        <w:rPr>
          <w:szCs w:val="24"/>
        </w:rPr>
        <w:tab/>
        <w:t>против него не использовались никакие средства, которые тем или иным образом могут оскорбить его человеческое достоинство;</w:t>
      </w:r>
    </w:p>
    <w:p w:rsidR="00000000" w:rsidRDefault="00000000">
      <w:pPr>
        <w:rPr>
          <w:szCs w:val="24"/>
        </w:rPr>
      </w:pPr>
    </w:p>
    <w:p w:rsidR="00000000" w:rsidRDefault="00000000">
      <w:pPr>
        <w:ind w:left="1134" w:hanging="1134"/>
        <w:rPr>
          <w:szCs w:val="24"/>
        </w:rPr>
      </w:pPr>
      <w:r>
        <w:rPr>
          <w:szCs w:val="24"/>
        </w:rPr>
        <w:tab/>
        <w:t>g)</w:t>
      </w:r>
      <w:r>
        <w:rPr>
          <w:szCs w:val="24"/>
        </w:rPr>
        <w:tab/>
        <w:t>по отношению к нему не применялись приемы и методы, которые нарушают способность к осознанию и пониманию последствий своих действий либо способность к свободному волеизъявлению, в том числе:  жестокое обращение, угрозы, физическое или психологическое насилие, пытки, применение психотропных препаратов, гипноза и полиграфа или детектора лжи;</w:t>
      </w:r>
    </w:p>
    <w:p w:rsidR="00000000" w:rsidRDefault="00000000">
      <w:pPr>
        <w:ind w:left="1134" w:hanging="1134"/>
        <w:rPr>
          <w:szCs w:val="24"/>
        </w:rPr>
      </w:pPr>
      <w:r>
        <w:rPr>
          <w:szCs w:val="24"/>
        </w:rPr>
        <w:tab/>
        <w:t>h)</w:t>
      </w:r>
      <w:r>
        <w:rPr>
          <w:szCs w:val="24"/>
        </w:rPr>
        <w:tab/>
        <w:t>по отношению к нему не применялись средства, препятствующие свободному передвижению во время производства процессуальных действий.  Это право должно реализоваться без ущерба для мер по охране обвиняемого, которые предпринимаются в особых случаях и по решению судьи либо Прокуратуры;</w:t>
      </w:r>
    </w:p>
    <w:p w:rsidR="00000000" w:rsidRDefault="00000000">
      <w:pPr>
        <w:rPr>
          <w:szCs w:val="24"/>
        </w:rPr>
      </w:pPr>
    </w:p>
    <w:p w:rsidR="00000000" w:rsidRDefault="00000000">
      <w:pPr>
        <w:ind w:left="1134" w:hanging="1134"/>
        <w:rPr>
          <w:szCs w:val="24"/>
        </w:rPr>
      </w:pPr>
      <w:r>
        <w:rPr>
          <w:szCs w:val="24"/>
        </w:rPr>
        <w:tab/>
        <w:t>i)</w:t>
      </w:r>
      <w:r>
        <w:rPr>
          <w:szCs w:val="24"/>
        </w:rPr>
        <w:tab/>
        <w:t>воспользоваться услугами устного или письменного переводчика, если он не знает испанского языка либо является глухонемым, не умеет читать или по той или иной причине не может изъясняться;</w:t>
      </w:r>
    </w:p>
    <w:p w:rsidR="00000000" w:rsidRDefault="00000000">
      <w:pPr>
        <w:rPr>
          <w:szCs w:val="24"/>
        </w:rPr>
      </w:pPr>
    </w:p>
    <w:p w:rsidR="00000000" w:rsidRDefault="00000000">
      <w:pPr>
        <w:ind w:left="1134" w:hanging="1134"/>
        <w:rPr>
          <w:szCs w:val="24"/>
        </w:rPr>
      </w:pPr>
      <w:r>
        <w:rPr>
          <w:szCs w:val="24"/>
        </w:rPr>
        <w:tab/>
        <w:t>j)</w:t>
      </w:r>
      <w:r>
        <w:rPr>
          <w:szCs w:val="24"/>
        </w:rPr>
        <w:tab/>
        <w:t>присутствовать вместе со своим защитником при проведении всех действий, подразумевающих сбор доказательств, за исключением случаев, когда настоящий Кодекс предписывает иное;</w:t>
      </w:r>
    </w:p>
    <w:p w:rsidR="00000000" w:rsidRDefault="00000000">
      <w:pPr>
        <w:rPr>
          <w:szCs w:val="24"/>
        </w:rPr>
      </w:pPr>
    </w:p>
    <w:p w:rsidR="00000000" w:rsidRDefault="00000000">
      <w:pPr>
        <w:tabs>
          <w:tab w:val="clear" w:pos="1701"/>
          <w:tab w:val="left" w:pos="1683"/>
        </w:tabs>
        <w:ind w:left="1134" w:hanging="1134"/>
        <w:rPr>
          <w:szCs w:val="24"/>
        </w:rPr>
      </w:pPr>
      <w:r>
        <w:rPr>
          <w:szCs w:val="24"/>
        </w:rPr>
        <w:tab/>
        <w:t>k)</w:t>
      </w:r>
      <w:r>
        <w:rPr>
          <w:szCs w:val="24"/>
        </w:rPr>
        <w:tab/>
        <w:t>требовать от Прокуратуры проведения в интересах стороны защиты того или иного расследования, которое Прокуратура ранее не проводила.  В данном случае Прокуратура должна вынести мотивированное решение и дать ответ в срок до 24 часов.  Если Прокуратура откажет в проведении затребованного расследования, защитник подследственного может обратиться к судье соответствующей юрисдикции, являющемуся профессиональным юристом, и потребовать исполнения этого требования, при этом судья должен дать ответ в течение 48 часов.  Если судья сочтет запрошенное расследование уместным, он выдает Прокуратуре предписание на производство необходимых действий.  Лицо, в отношении которого Прокуратура проводит расследование и которое еще не имеет статуса подсудимого, вправе прибыть со своим адвокатом или без него в Прокуратуру, чтобы его проинформировали о фактах, которые ему вменяются в вину, а также выслушали его позицию.  Национальная полиция, Прокуратура и судьи должны незамедлительно и в понятной форме довести до обвиняемого либо лица, которое не является обвиняемым, но против которого Прокуратура проводит расследование (когда оно является в Прокуратуру, чтобы быть заслушанным), все права, изложенные в настоящей статье, что должно быть подтверждено соответствующим протоколом, подписанным упомянутым лицом либо содержащим отметку о его отказе поставить свою подпись.  Нарушение положений данной статьи может привести к тому, что задержание будет считаться незаконным, но лишь в отношении уголовной ответственности".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57.</w:t>
      </w:r>
      <w:r>
        <w:rPr>
          <w:szCs w:val="24"/>
        </w:rPr>
        <w:tab/>
        <w:t>В порядке гарантирования этих прав Национальное управление уполномоченного по правам человека, преследуя цель унификации информации об условиях содержания заключенных в пенитенциарных центрах страны и в следственных изоляторах полиции, разработало в 2003 году порядок инспектирования, которому следует каждая бригада, инспектирующая названные учреждения.  Инспекции проводятся как минимум два раза в месяц, при этом проверяются физические условия содержания, вопросы здравоохранения и гигиены, воспитательная работа, условия управления, штрафные изоляторы, а также качество пищи, оказание медицинских услуг и реализация сексуальных прав.  По каждой выявленной аномалии составляется официальная жалоба, и компетентным властям направляется представление о необходимости восстановления нарушенных прав, причем последующее выполнение рекомендаций ставится на контроль</w:t>
      </w:r>
      <w:r>
        <w:rPr>
          <w:rStyle w:val="FootnoteReference"/>
          <w:szCs w:val="24"/>
        </w:rPr>
        <w:footnoteReference w:customMarkFollows="1" w:id="10"/>
        <w:t>10</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58.</w:t>
      </w:r>
      <w:r>
        <w:rPr>
          <w:szCs w:val="24"/>
        </w:rPr>
        <w:tab/>
        <w:t>Аналогичным образом, Прокуратура - по линии Прокуратуры специальной юрисдикции по правам человека и в координации с Центром профилактики, лечения и реабилитации для жертв пыток и членов их семей (ЦПЛРП) - проводит периодические инспекции как следственных изоляторов полиции, так и пенитенциарных центров на предмет проверки физических условий содержания, а также обращения, которому подвергаются арестованные и заключенные (питание, медицинское обслуживание и т.д.).  Кроме того, в ходе инспекций проверяется, отвечают ли центры содержания под стражей минимальным требованиям в отношении инфраструктуры и санитарно-гигиенических норм.  Такие инспекции проводятся без предварительного уведомления и вне зависимости от процесса рассмотрения поступающих в адрес учреждения жалоб.</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59.</w:t>
      </w:r>
      <w:r>
        <w:rPr>
          <w:szCs w:val="24"/>
        </w:rPr>
        <w:tab/>
        <w:t>Законодательные меры на чрезвычайный период или антитеррористического характера, которые могут ограничить гарантии задержанного лица, изложены в статьях 187 и 188 главы III Конституции Республики "Об ограничении или приостановке действия прав".  Данное законодательство устанавливает, что в случае вторжения на территорию страны, серьезных беспорядков, угрожающих общественному спокойствию, эпидемии или любого другого всеобщего бедствия может приостанавливаться действие следующих прав:  на личную свободу, на изоляцию на срок не более 24 часов, на свободу выражения мысли, на свободу собраний и ассоциации, на свободу передвижения и выбора места проживания, на защиту от произвольного задержания, на освобождение под залог, на неприкосновенность жилища (незаконное проникновение в жилище) и право собственности.  Решение об этом принимает Президент Республики по согласованию с Советом министров и оформляет его Декретом, в котором должны оговариваться:  а)  причины, которые оправдывают данное решение;  b)  гарантия либо гарантии, действие которых ограничивается;  c)  территория, на которую распространяется ограничение;  d)  время, в течение которого длится ограничение.  Кроме того, согласно этому же Декрету, созывается Национальный конгресс, который в срок до 30 дней должен ознакомиться с данным документом и ратифицировать, изменить либо отменить его.  Если Национальный конгресс уже созван, то он приступает к изучению Декрета немедленно.  Ограничение действия гарантий в каждом конкретном случае не может продолжаться более 45 дней.  Если до окончания срока, на который введены ограничения, причины, обусловившие принятие Декрета, исчезнут, действие ограничений должно быть прекращено, и в этом случае любой гражданин вправе предъявить иск по их пересмотру.  По истечении 45 дней гарантии автоматически восстанавливаются, за исключением случаев принятия нового Декрета об ограничениях.  Введенное ограничение действия гарантий не должно никоим образом сказываться на функционировании государственных органов, члены которых пользуются постоянным иммунитетом и исключительными правами, предоставленными им согласно закону.</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60.</w:t>
      </w:r>
      <w:r>
        <w:rPr>
          <w:szCs w:val="24"/>
        </w:rPr>
        <w:tab/>
        <w:t>Территория, на которой приостанавливается действие гарантий, указанных в предыдущей статье, управляется в течение этого периода в соответствии с Законом об осадном положении;  однако ни этим, ни любым иным законом не может предусматриваться приостановление действия других гарантий, кроме вышеупомянутых.  В период приостановления действия гарантий также не могут ни вводиться новые виды преступлений, ни налагаться другие наказания, кроме тех, которые установлены законами, действующими на момент приостановления гарантий.</w:t>
      </w:r>
    </w:p>
    <w:p w:rsidR="00000000" w:rsidRDefault="00000000">
      <w:pPr>
        <w:tabs>
          <w:tab w:val="clear" w:pos="1701"/>
          <w:tab w:val="left" w:pos="1683"/>
        </w:tabs>
        <w:rPr>
          <w:szCs w:val="24"/>
        </w:rPr>
      </w:pPr>
    </w:p>
    <w:p w:rsidR="00000000" w:rsidRDefault="00000000">
      <w:pPr>
        <w:tabs>
          <w:tab w:val="clear" w:pos="1701"/>
          <w:tab w:val="left" w:pos="1683"/>
        </w:tabs>
        <w:rPr>
          <w:b/>
          <w:szCs w:val="24"/>
        </w:rPr>
      </w:pPr>
      <w:r>
        <w:rPr>
          <w:b/>
          <w:szCs w:val="24"/>
        </w:rPr>
        <w:tab/>
      </w:r>
      <w:r>
        <w:rPr>
          <w:b/>
          <w:szCs w:val="24"/>
          <w:lang w:val="en-US"/>
        </w:rPr>
        <w:t>i</w:t>
      </w:r>
      <w:r>
        <w:rPr>
          <w:b/>
          <w:szCs w:val="24"/>
        </w:rPr>
        <w:t>)</w:t>
      </w:r>
      <w:r>
        <w:rPr>
          <w:b/>
          <w:szCs w:val="24"/>
        </w:rPr>
        <w:tab/>
        <w:t xml:space="preserve">Подпункт </w:t>
      </w:r>
      <w:r>
        <w:rPr>
          <w:b/>
          <w:szCs w:val="24"/>
          <w:lang w:val="en-US"/>
        </w:rPr>
        <w:t>b</w:t>
      </w:r>
      <w:r>
        <w:rPr>
          <w:b/>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61.</w:t>
      </w:r>
      <w:r>
        <w:rPr>
          <w:szCs w:val="24"/>
        </w:rPr>
        <w:tab/>
        <w:t>Государством Гондурас были предприняты значительные усилия, направленные на ратификацию соответствующих международных конвенций, свидетельством чему является принятие нормативных положений, не только закрепляющих и гарантирующих права лиц, лишенных свободы, но также запрещающих любые акты пыток и карающих за их применение.  Вместе с тем, вызывает серьезную обеспокоенность неспособность добиться искоренения пыток, особенно в свете часто поступающих заявлений о совершении преступлений такого рода со стороны полицейских властей, призванных стоять на страже законности.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62.</w:t>
      </w:r>
      <w:r>
        <w:rPr>
          <w:szCs w:val="24"/>
        </w:rPr>
        <w:tab/>
        <w:t xml:space="preserve">Одной из причин, по которым пока еще не удается искоренить такое явление, как пытки, является безнаказанность, проистекающая из недостаточной отлаженности процесса проведения расследования, поскольку сегодня в подчинении Прокуратуры как органа, отвечающего за возбуждение официального уголовного преследования, не имеется корпуса сыскной полиции.  При существующем положении дел Главное управление уголовного розыска административно подчиняется Государственному министерству безопасности, а функционально - Прокуратуре, в чью компетенцию </w:t>
      </w:r>
    </w:p>
    <w:p w:rsidR="00000000" w:rsidRDefault="00000000">
      <w:pPr>
        <w:tabs>
          <w:tab w:val="clear" w:pos="1701"/>
          <w:tab w:val="left" w:pos="1683"/>
        </w:tabs>
        <w:rPr>
          <w:szCs w:val="24"/>
        </w:rPr>
      </w:pPr>
      <w:r>
        <w:rPr>
          <w:szCs w:val="24"/>
        </w:rPr>
        <w:br w:type="page"/>
        <w:t>и входит данная сфера деятельности.  В настоящее время на обсуждении Национального конгресса находится вопрос о создании специальной сыскной полиции, подведомственной Прокуратуре.</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t>2.</w:t>
      </w:r>
      <w:r>
        <w:rPr>
          <w:b/>
          <w:szCs w:val="24"/>
        </w:rPr>
        <w:tab/>
        <w:t>Пункт 2</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63.</w:t>
      </w:r>
      <w:r>
        <w:rPr>
          <w:szCs w:val="24"/>
        </w:rPr>
        <w:tab/>
        <w:t>Согласно Конституции Республики, право на уважение физической, психической и нравственной неприкосновенности является нерушимым и ни в коем случае не может ущемляться;  оно не фигурирует в числе оговоренных статьей 187 Основного закона прав, действие которых может ограничиваться или временно приостанавливаться при объявлении осадного положения.</w:t>
      </w:r>
    </w:p>
    <w:p w:rsidR="00000000" w:rsidRDefault="00000000">
      <w:pPr>
        <w:tabs>
          <w:tab w:val="clear" w:pos="1701"/>
          <w:tab w:val="left" w:pos="1683"/>
        </w:tabs>
        <w:rPr>
          <w:szCs w:val="24"/>
        </w:rPr>
      </w:pPr>
    </w:p>
    <w:p w:rsidR="00000000" w:rsidRDefault="00000000">
      <w:pPr>
        <w:tabs>
          <w:tab w:val="clear" w:pos="1701"/>
          <w:tab w:val="left" w:pos="1683"/>
        </w:tabs>
        <w:jc w:val="center"/>
        <w:rPr>
          <w:szCs w:val="24"/>
        </w:rPr>
      </w:pPr>
      <w:r>
        <w:rPr>
          <w:b/>
          <w:szCs w:val="24"/>
        </w:rPr>
        <w:t>3.</w:t>
      </w:r>
      <w:r>
        <w:rPr>
          <w:b/>
          <w:szCs w:val="24"/>
        </w:rPr>
        <w:tab/>
        <w:t>Пункт 3</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64.</w:t>
      </w:r>
      <w:r>
        <w:rPr>
          <w:szCs w:val="24"/>
        </w:rPr>
        <w:tab/>
        <w:t>Что касается действующих правовых норм в отношении запрещения ссылки на приказ вышестоящего начальника как на оправдание пыток, то, согласно статье 323 Конституции Республики, государственные должностные лица являются носителями властных полномочий;  они несут установленную законом ответственность за свое официальное поведение, подчиняются закону и не вправе никогда превышать его.  В силу вышеизложенного никакое должностное лицо и никакой служащий, будь то гражданский или военный, не обязан соблюдать противозаконные приказания, предполагающие совершение преступления.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65.</w:t>
      </w:r>
      <w:r>
        <w:rPr>
          <w:szCs w:val="24"/>
        </w:rPr>
        <w:tab/>
        <w:t>С другой стороны, Уголовный кодекс в пункте 6 статьи 24 устанавливает, что от уголовной ответственности освобождается:  "Тот, кто исполняет приказ начальника, и при этом соблюдаются следующие условия:  a)  приказ исходит от правомочного должностного лица;  b)  подчиненный обязан выполнить его;  c)  приказанное к исполнению действие либо бездействие не нарушает и не ограничивает осуществление прав и гарантий, провозглашенных в Конституции Республики и закрепленных в международных договорах по правам человека, подписанных Гондурасом".  В этом же духе статья 23 Закона о конституционном правосудии обязывает руководителей администраций, начальников и служащих, ответственных за учреждение или место, где содержатся задержанные, арестованные или заключенные, немедленно сообщать о каждом факте, служащем основанием для хабеас корпус, т.е. доставки задержанного или заключенного в любой из судебных органов для проверки обоснованности лишения его свободы, как того требует упомянутый закон.  С другой стороны, в законе указывается:  то обстоятельство, что соответствующий приказ был отдан вышестоящим начальником, не освобождает от обязанности опротестовать его.</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66.</w:t>
      </w:r>
      <w:r>
        <w:rPr>
          <w:szCs w:val="24"/>
        </w:rPr>
        <w:tab/>
        <w:t xml:space="preserve">Факт отдачи приказа на применение пыток может квалифицироваться как преступление, связанное со злоупотреблением служебным положением и нарушением обязанностей должностных лиц, как это предусматривает пункт 2 статьи 249 Уголовного кодекса, который устанавливает, что совершает противозаконное действие:  "… Должностное лицо, которое отдаст либо исполнит приказы, приговоры, определения суда, распоряжения, постановления или указы, противоречащие Конституции Республики либо законам, или же устранится от выполнения положений любого из вышеперечисленных правовых документов …".  Кроме того, в подпункте </w:t>
      </w:r>
      <w:r>
        <w:rPr>
          <w:i/>
          <w:szCs w:val="24"/>
        </w:rPr>
        <w:t>ch</w:t>
      </w:r>
      <w:r>
        <w:rPr>
          <w:szCs w:val="24"/>
        </w:rPr>
        <w:t xml:space="preserve"> пункта 2 статьи 22 Органического закона о полиции зафиксировано:  "Ссылка на выполнение приказа начальника ни в коем случае не может приниматься во внимание, когда приказы или действия влекут за собой совершение преступлений либо правонарушений или когда они противоречат закону, и не может служить оправданием, смягчающим обстоятельством либо освобождением от уголовной ответственности, особенно если при этом были применены пытки, жестокие, бесчеловечные или унижающие достоинство виды обращения и наказания".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67.</w:t>
      </w:r>
      <w:r>
        <w:rPr>
          <w:szCs w:val="24"/>
        </w:rPr>
        <w:tab/>
        <w:t>На основании вышеизложенных законодательных установок можно утверждать, что если в гондурасском законодательстве и есть статья, освобождающая от ответственности за исполнение приказа, то она не применяется к случаям пыток, поскольку одним из условий ее применения является то, что приказанное к исполнению действие или бездействие не должно нарушать либо ограничивать права и гарантии, провозглашенные в Конституции Республики и международных договорах по правам человека, участником которых является Гондурас, причем в первую очередь речь идет о Конвенции против пыток и других жестоких, бесчеловечных или унижающих достоинство видов обращения и наказания;  Американской конвенции о правах человека и Международном пакте о гражданских и политических правах.  Таким образом, можно констатировать, что любой подчиненный, опираясь на Конституцию Республики и Уголовный кодекс, может воспротивиться выполнению действий, связанных с применением пыток.</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68.</w:t>
      </w:r>
      <w:r>
        <w:rPr>
          <w:szCs w:val="24"/>
        </w:rPr>
        <w:tab/>
        <w:t>Что касается полицейских и военнослужащих, то в качестве средства противодействия выполнению незаконного приказа они могут направить жалобу в Национальное управление уполномоченного по правам человека.  Если по завершении расследования жалобы Уполномоченный по правам человека придет к выводу, что в данном случае налицо признаки преступления, он доводит этот факт до сведения Генерального прокурора с целью публичного возбуждения соответствующего уголовного дела (статья 40 Органического закона о Национальном управлении уполномоченного по правам человека (КОНАДЕ)).  Применительно к военнослужащим процедура или надлежащий порядок заключается в том, что официальная жалоба подается Главному командованию либо обвинение в совершении противоправного действия направляется в военный трибунал.  Полицейские также могут направить заявление непосредственно в Прокуратуру специальной юрисдикции по правам человека, входящую в состав Прокуратуры.</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t>С.</w:t>
      </w:r>
      <w:r>
        <w:rPr>
          <w:b/>
          <w:szCs w:val="24"/>
        </w:rPr>
        <w:tab/>
        <w:t>Статья 3</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69.</w:t>
      </w:r>
      <w:r>
        <w:rPr>
          <w:szCs w:val="24"/>
        </w:rPr>
        <w:tab/>
        <w:t>Действующее законодательство в отношении высылки, принудительного возвращения или экстрадиции какого-либо лица в государство, где оно может быть подвергнуто пыткам, находит отражение в Конституции Республики, в Законе о миграции и иностранных гражданах и Положении о его применении.  В этом смысле Конституция Республики в своей статье 101 устанавливает:  "Гондурас признает право убежища в форме и на условиях, которые определяет закон.  Когда в соответствии с законом решается вопрос об аннулировании либо отказе в предоставлении убежища, лицо, преследуемое по политическим мотивам или пользующееся правом убежища, ни в коем случае не может быть выслано на территорию государства, которое этого требует.  Государство не разрешает экстрадицию заключенных, отбывающих наказание за политические или связанные с ними общеуголовные преступления".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70.</w:t>
      </w:r>
      <w:r>
        <w:rPr>
          <w:szCs w:val="24"/>
        </w:rPr>
        <w:tab/>
        <w:t>Что касается выдачи граждан страны, то статьей 102 Конституции предусматривается следующее:  "Ни один гондурасец не может быть экспатриирован или выдан властями иностранному государству".  Должностное лицо или служащий, отдающий соответствующий приказ либо с ведома или согласия которого осуществляется экспатриация гондурасца, карается по Уголовному кодексу тюремным заключением и штрафом.</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71.</w:t>
      </w:r>
      <w:r>
        <w:rPr>
          <w:szCs w:val="24"/>
        </w:rPr>
        <w:tab/>
        <w:t>Согласно Закону о миграции и иностранных гражданах, человек либо группа людей, относящихся к категории беженцев, лиц без гражданства, эмигрантов или трудящихся-мигрантов, ни в коем случае не может быть принуждена вернуться в страну, где их права находятся под угрозой.  Также не подлежат высылке лица, запросившие или уже получившие убежище, вне зависимости от того, где они находятся:  на границе, в морском порту, аэропорту, либо уже вступившие на национальную территорию.  При решении вопроса об определении беженца в третью страну или его репатриации в страну происхождения Главное управление по делам миграции и иностранных граждан координирует свои соответствующие действия с Управлением Верховного комиссара Организации Объединенных Наций по делам беженцев и другими компетентными органами.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br w:type="page"/>
        <w:t>72.</w:t>
      </w:r>
      <w:r>
        <w:rPr>
          <w:szCs w:val="24"/>
        </w:rPr>
        <w:tab/>
        <w:t>Не могут быть депортированы или высланы с национальной территории лица, предоставление статуса беженца которым находится в процессе рассмотрения, равно как и те, которым этот статус уже предоставлен, за исключение случаев, обусловленных четко обоснованными интересами безопасности или общественного порядка.  К лицу, запросившему убежище, не должны применяться материальные либо какие-то иные санкции по причине его ненадлежащего вступления или пребывания на национальной территории;  оно освобождается от уплаты аэропортовых сборов, а также установленных пошлин и налогов за услуги миграционных служб, регистрацию иностранцев и т.д.</w:t>
      </w:r>
      <w:r>
        <w:rPr>
          <w:rStyle w:val="FootnoteReference"/>
          <w:szCs w:val="24"/>
        </w:rPr>
        <w:footnoteReference w:customMarkFollows="1" w:id="11"/>
        <w:t>11</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73.</w:t>
      </w:r>
      <w:r>
        <w:rPr>
          <w:szCs w:val="24"/>
        </w:rPr>
        <w:tab/>
        <w:t>Согласно Конституции Республики Гондурас, запрещается высылка, принудительное возвращение или выдача какого-либо лица другому государству, в котором оно может быть подвергнуто пыткам, причем здесь не делается никаких исключений, ибо данная гарантия не фигурирует в числе оговоренных статьей 187 Основного закона прав, действие которых может ограничиваться или временно приостанавливаться при объявлении осадного положения.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74.</w:t>
      </w:r>
      <w:r>
        <w:rPr>
          <w:szCs w:val="24"/>
        </w:rPr>
        <w:tab/>
        <w:t>Верховный суд в лице конституционной палаты занимается делами о выдаче и аналогичными делами, которые он обязан рассматривать с соблюдением норм международного права, действуя на основе договоров и конвенций, участником которых является Гондурас</w:t>
      </w:r>
      <w:r>
        <w:rPr>
          <w:rStyle w:val="FootnoteReference"/>
          <w:szCs w:val="24"/>
        </w:rPr>
        <w:footnoteReference w:customMarkFollows="1" w:id="12"/>
        <w:t>12</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75.</w:t>
      </w:r>
      <w:r>
        <w:rPr>
          <w:szCs w:val="24"/>
        </w:rPr>
        <w:tab/>
        <w:t>Министерство внутренних дел и юстиции имеет в своей структуре Главное управление по делам миграции и иностранных граждан, в функции которого входит исполнение Закона о миграции и иностранных гражданах и Положения о его применении, а также реализация миграционной политики, принятой государством;  следовательно, оно отвечает за решение вопросов депортации в случаях, определенных законом.</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76.</w:t>
      </w:r>
      <w:r>
        <w:rPr>
          <w:szCs w:val="24"/>
        </w:rPr>
        <w:tab/>
        <w:t>Судебные органы Республики правомочны передавать в распоряжение миграционных властей с целью депортации или высылки тех иностранных граждан, которые были приговорены к тюремному заключению за преступления, совершенные во время их пребывания в стране, после отбывания ими срока наказания.</w:t>
      </w:r>
    </w:p>
    <w:p w:rsidR="00000000" w:rsidRDefault="00000000">
      <w:pPr>
        <w:tabs>
          <w:tab w:val="clear" w:pos="1701"/>
          <w:tab w:val="left" w:pos="1683"/>
        </w:tabs>
        <w:rPr>
          <w:szCs w:val="24"/>
        </w:rPr>
      </w:pPr>
    </w:p>
    <w:p w:rsidR="00000000" w:rsidRDefault="00000000">
      <w:pPr>
        <w:rPr>
          <w:szCs w:val="24"/>
        </w:rPr>
      </w:pPr>
      <w:r>
        <w:rPr>
          <w:szCs w:val="24"/>
        </w:rPr>
        <w:br w:type="page"/>
        <w:t>77.</w:t>
      </w:r>
      <w:r>
        <w:rPr>
          <w:szCs w:val="24"/>
        </w:rPr>
        <w:tab/>
        <w:t xml:space="preserve">Закон об административном производстве предусматривает, что данные решения могут быть обжалованы следующими способами:  </w:t>
      </w:r>
    </w:p>
    <w:p w:rsidR="00000000" w:rsidRDefault="00000000">
      <w:pPr>
        <w:spacing w:line="240" w:lineRule="auto"/>
        <w:rPr>
          <w:sz w:val="20"/>
        </w:rPr>
      </w:pPr>
    </w:p>
    <w:p w:rsidR="00000000" w:rsidRDefault="00000000">
      <w:pPr>
        <w:ind w:left="1134" w:hanging="1134"/>
        <w:rPr>
          <w:szCs w:val="24"/>
        </w:rPr>
      </w:pPr>
      <w:r>
        <w:rPr>
          <w:szCs w:val="24"/>
        </w:rPr>
        <w:tab/>
        <w:t>a)</w:t>
      </w:r>
      <w:r>
        <w:rPr>
          <w:szCs w:val="24"/>
        </w:rPr>
        <w:tab/>
      </w:r>
      <w:r>
        <w:rPr>
          <w:szCs w:val="24"/>
          <w:u w:val="single"/>
        </w:rPr>
        <w:t>Заявление о пересмотре дела</w:t>
      </w:r>
      <w:r>
        <w:rPr>
          <w:szCs w:val="24"/>
        </w:rPr>
        <w:t>.  Письменное заявление подается для пересмотра решения по существенным для дела обстоятельствам в судебный орган первой или второй инстанции, который его принял;</w:t>
      </w:r>
    </w:p>
    <w:p w:rsidR="00000000" w:rsidRDefault="00000000">
      <w:pPr>
        <w:spacing w:line="240" w:lineRule="auto"/>
        <w:rPr>
          <w:sz w:val="20"/>
        </w:rPr>
      </w:pPr>
    </w:p>
    <w:p w:rsidR="00000000" w:rsidRDefault="00000000">
      <w:pPr>
        <w:ind w:left="1134" w:hanging="1134"/>
        <w:rPr>
          <w:szCs w:val="24"/>
        </w:rPr>
      </w:pPr>
      <w:r>
        <w:rPr>
          <w:szCs w:val="24"/>
        </w:rPr>
        <w:tab/>
        <w:t>b)</w:t>
      </w:r>
      <w:r>
        <w:rPr>
          <w:szCs w:val="24"/>
        </w:rPr>
        <w:tab/>
      </w:r>
      <w:r>
        <w:rPr>
          <w:szCs w:val="24"/>
          <w:u w:val="single"/>
        </w:rPr>
        <w:t>Апелляция</w:t>
      </w:r>
      <w:r>
        <w:rPr>
          <w:szCs w:val="24"/>
        </w:rPr>
        <w:t>.  Апелляция подается непосредственно в тот судебный орган, который принял оспариваемое решение.  Данный орган обязан переслать в течение 5 дней апелляцию вместе с материалами дела и своей пояснительной запиской в вышестоящий орган для принятия окончательного решения;</w:t>
      </w:r>
    </w:p>
    <w:p w:rsidR="00000000" w:rsidRDefault="00000000">
      <w:pPr>
        <w:spacing w:line="240" w:lineRule="auto"/>
        <w:rPr>
          <w:sz w:val="20"/>
        </w:rPr>
      </w:pPr>
    </w:p>
    <w:p w:rsidR="00000000" w:rsidRDefault="00000000">
      <w:pPr>
        <w:tabs>
          <w:tab w:val="clear" w:pos="1701"/>
          <w:tab w:val="left" w:pos="1683"/>
        </w:tabs>
        <w:ind w:left="1134" w:hanging="1134"/>
        <w:rPr>
          <w:szCs w:val="24"/>
        </w:rPr>
      </w:pPr>
      <w:r>
        <w:rPr>
          <w:szCs w:val="24"/>
        </w:rPr>
        <w:tab/>
        <w:t>c)</w:t>
      </w:r>
      <w:r>
        <w:rPr>
          <w:szCs w:val="24"/>
        </w:rPr>
        <w:tab/>
      </w:r>
      <w:r>
        <w:rPr>
          <w:szCs w:val="24"/>
          <w:u w:val="single"/>
        </w:rPr>
        <w:t>Заявление о пересмотре дела в ревизионном порядке</w:t>
      </w:r>
      <w:r>
        <w:rPr>
          <w:szCs w:val="24"/>
        </w:rPr>
        <w:t>.  К данному чрезвычайному виду обжалования окончательного решения можно прибегнуть при наличии одного из следующих обстоятельств:  i)  если решение принято с явной и очевидной фактической ошибкой, исказившей существо дела, при условии, что эта ошибка полностью доказана на основании документов, приобщенных к материалам дела;  ii)  если после объявления решения появились ключевые документы, которые в силу форс-мажорных обстоятельств были неизвестны либо не могли быть приобщены к материалам дела на момент принятия решения;  iii)  если решение оказалось незаконным из-за того, что оно основывалось на документе, ранее признанным и объявленным в судебном порядке фальшивым, о чем никому из заинтересованных лиц не было известно на момент принятия решения, или же фальсификация документа была установлена и признана судом позднее;  iv)  если после принятия решения на основе свидетельских показаний лица, давшие эти показания, были осуждены судом за лжесвидетельство;  и v)  если решение было принято со злоупотреблением служебным положением, с применением подкупа, принуждения или какой-либо иной обманной махинации</w:t>
      </w:r>
      <w:r>
        <w:rPr>
          <w:rStyle w:val="FootnoteReference"/>
          <w:szCs w:val="24"/>
        </w:rPr>
        <w:footnoteReference w:customMarkFollows="1" w:id="13"/>
        <w:t>13</w:t>
      </w:r>
      <w:r>
        <w:rPr>
          <w:szCs w:val="24"/>
        </w:rPr>
        <w:t>.</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78.</w:t>
      </w:r>
      <w:r>
        <w:rPr>
          <w:szCs w:val="24"/>
        </w:rPr>
        <w:tab/>
        <w:t>Закон о миграции и иностранных гражданах в своей статье 4 относит к компетенции Министерства внутренних дел и юстиции т.н. "миграционную амнистию", которая заключается в предоставлении "помилования" за правонарушения в миграционной сфере, связанные с невыполнением требований, установленных Законом о миграции и иностранных гражданах, а также за нарушение сроков урегулирования своего миграционного статуса (статья 3 Закона).  К подобному "помилованию" может прибегнуть иностранный гражданин, совершивший правонарушение, за которое он был выслан или депортирован из страны (пункт 9 статьи 4 Закона).</w:t>
      </w:r>
    </w:p>
    <w:p w:rsidR="00000000" w:rsidRDefault="00000000">
      <w:pPr>
        <w:tabs>
          <w:tab w:val="clear" w:pos="1701"/>
          <w:tab w:val="left" w:pos="1683"/>
        </w:tabs>
        <w:rPr>
          <w:szCs w:val="24"/>
        </w:rPr>
      </w:pPr>
      <w:r>
        <w:rPr>
          <w:szCs w:val="24"/>
        </w:rPr>
        <w:t>79.</w:t>
      </w:r>
      <w:r>
        <w:rPr>
          <w:szCs w:val="24"/>
        </w:rPr>
        <w:tab/>
        <w:t>Критерии для применения экстрадиции регламентированы в статье 91 Закона о миграции и иностранных гражданах, которая устанавливает:  вопросы высылки или приема граждан, экстрадированных в соответствии с Законом и международными договорами, ратифицированными Республикой Гондурас, находятся в ведении Министерства внутренних дел и юстиции по согласованию с Министерством иностранных дел и другими имеющими к этому отношение властями.  Если речь идет об экстрадиции иностранного резидента, Министерство внутренних дел и юстиции прежде всего прекращает действие его разрешения на постоянное проживание.  Верховный суд рассматривает запросы об экстрадиции и принимает решение, основываясь на положениях, содержащихся в каждом из договоров, подписанных Гондурасом, в которых пытка фигурирует как преступление, совершение которого служит основанием для выдачи.  Речь идет о следующих документах:</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a</w:t>
      </w:r>
      <w:r>
        <w:rPr>
          <w:szCs w:val="24"/>
        </w:rPr>
        <w:t>)</w:t>
      </w:r>
      <w:r>
        <w:rPr>
          <w:szCs w:val="24"/>
        </w:rPr>
        <w:tab/>
        <w:t>Соглашение о выдаче преступников между правительствами республик Гондурас, Коста-Рика, Гватемала, Никарагуа и Сальвадор;</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ab/>
      </w:r>
      <w:r>
        <w:rPr>
          <w:szCs w:val="24"/>
          <w:lang w:val="en-US"/>
        </w:rPr>
        <w:t>b</w:t>
      </w:r>
      <w:r>
        <w:rPr>
          <w:szCs w:val="24"/>
        </w:rPr>
        <w:t>)</w:t>
      </w:r>
      <w:r>
        <w:rPr>
          <w:szCs w:val="24"/>
        </w:rPr>
        <w:tab/>
        <w:t>Договор между правительством Республики Гондурас и Мексикой;</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c</w:t>
      </w:r>
      <w:r>
        <w:rPr>
          <w:szCs w:val="24"/>
        </w:rPr>
        <w:t>)</w:t>
      </w:r>
      <w:r>
        <w:rPr>
          <w:szCs w:val="24"/>
        </w:rPr>
        <w:tab/>
        <w:t>Договор о выдаче преступников между Республикой Гондурас и Соединенными Штатами Америки;</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d</w:t>
      </w:r>
      <w:r>
        <w:rPr>
          <w:szCs w:val="24"/>
        </w:rPr>
        <w:t>)</w:t>
      </w:r>
      <w:r>
        <w:rPr>
          <w:szCs w:val="24"/>
        </w:rPr>
        <w:tab/>
        <w:t>Соглашение о выдаче преступников, подписанное на седьмой Американской международной конференции;</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e</w:t>
      </w:r>
      <w:r>
        <w:rPr>
          <w:szCs w:val="24"/>
        </w:rPr>
        <w:t>)</w:t>
      </w:r>
      <w:r>
        <w:rPr>
          <w:szCs w:val="24"/>
        </w:rPr>
        <w:tab/>
        <w:t>Договор о выдаче преступников между Вашингтоном и пятью республиками Центральной Америки;</w:t>
      </w:r>
    </w:p>
    <w:p w:rsidR="00000000" w:rsidRDefault="00000000">
      <w:pPr>
        <w:tabs>
          <w:tab w:val="clear" w:pos="1701"/>
          <w:tab w:val="left" w:pos="1683"/>
        </w:tabs>
        <w:rPr>
          <w:szCs w:val="24"/>
        </w:rPr>
      </w:pPr>
    </w:p>
    <w:p w:rsidR="00000000" w:rsidRDefault="00000000">
      <w:pPr>
        <w:tabs>
          <w:tab w:val="clear" w:pos="1701"/>
          <w:tab w:val="left" w:pos="1683"/>
        </w:tabs>
        <w:ind w:left="1134" w:hanging="1134"/>
        <w:rPr>
          <w:szCs w:val="24"/>
        </w:rPr>
      </w:pPr>
      <w:r>
        <w:rPr>
          <w:szCs w:val="24"/>
        </w:rPr>
        <w:tab/>
      </w:r>
      <w:r>
        <w:rPr>
          <w:szCs w:val="24"/>
          <w:lang w:val="en-US"/>
        </w:rPr>
        <w:t>f</w:t>
      </w:r>
      <w:r>
        <w:rPr>
          <w:szCs w:val="24"/>
        </w:rPr>
        <w:t>)</w:t>
      </w:r>
      <w:r>
        <w:rPr>
          <w:szCs w:val="24"/>
        </w:rPr>
        <w:tab/>
        <w:t>Договор о выдаче преступников между Республикой Гондурас и Королевством Испания;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ab/>
      </w:r>
      <w:r>
        <w:rPr>
          <w:szCs w:val="24"/>
          <w:lang w:val="en-US"/>
        </w:rPr>
        <w:t>g</w:t>
      </w:r>
      <w:r>
        <w:rPr>
          <w:szCs w:val="24"/>
        </w:rPr>
        <w:t>)</w:t>
      </w:r>
      <w:r>
        <w:rPr>
          <w:szCs w:val="24"/>
        </w:rPr>
        <w:tab/>
        <w:t>Римский Статут Международного уголовного суда</w:t>
      </w:r>
      <w:r>
        <w:rPr>
          <w:rStyle w:val="FootnoteReference"/>
          <w:szCs w:val="24"/>
        </w:rPr>
        <w:footnoteReference w:customMarkFollows="1" w:id="14"/>
        <w:t>14</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80.</w:t>
      </w:r>
      <w:r>
        <w:rPr>
          <w:szCs w:val="24"/>
        </w:rPr>
        <w:tab/>
        <w:t>Согласно статье 88 Закона о миграции и иностранных гражданах, Главное управление по делам миграции и иностранных граждан осуществляет депортацию иностранного гражданина на основании любой из следующих причин:  a)  если он прибывает или находится в стране с фальшивыми документами, при этом не исключается соответствующая уголовная ответственность;  b)  если после аннулирования его разрешения на жительство он продолжает находиться в стране;  c)  если он проник в страну нелегально или с нарушением требований Закона или его регламента по приему иностранных граждан;  и d)  если он превысил разрешенный срок пребывания в стране и не выехал из нее.  Тем не менее, в подобных случаях Главное управление по делам миграции и иностранных граждан может заменить депортацию денежным штрафом, не исключая возможности продлить срок пребывания в стране на дополнительное время, установленное Законом или его регламентом.  Денежный штраф, о котором говорится выше, налагается за каждый месяц задержки и исчисляется в сумме 10% минимального размера оплаты труда в соответствующей отрасли.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81.</w:t>
      </w:r>
      <w:r>
        <w:rPr>
          <w:szCs w:val="24"/>
        </w:rPr>
        <w:tab/>
        <w:t>Закон о миграции и иностранных гражданах устанавливает, что Министерство внутренних дел и юстиции отдает распоряжение о выдворении иностранных граждан, когда они подпадают под следующие случаи:  a)  лица, осужденные за преступление, - после отбывания срока наказания или получения помилования;  b)  лица, занимающиеся в период жительства или пребывания в стране незаконной либо неразрешенной деятельностью;  c)  лица, посягающие на благополучие, экономику страны, окружающую среду, международный мир и добрые международные отношения Гондураса с дружественными странами;  d)  лица, которые принимают участие в любого рода движениях, использующих либо поощряющих насилие для достижения своих целей, в мятежах и сепаратистских объединениях, а также в любой форме способствуют или разжигают внутренние и международные вооруженные конфликты, социальную нестабильность, неуправляемость, невыполнение законов или социальные и политические волнения;  e)  лица, прибывшие в страну и скрывшие от властей факт имевшего место выдворения из Гондураса;  f)  лица, умышленно пользующиеся либо приписывающие себе миграционный статус, отличный от выданного им гондурасскими миграционными властями;  g)  лица, которые получили вид на жительство или натурализацию обманным путем, а также те, чье свидетельство о натурализации аннулировано;  и h)  лица, которые занимаются деятельностью, отличной от той, что им была разрешена, либо работают по профессии или специальности, по которой не имеют право работать</w:t>
      </w:r>
      <w:r>
        <w:rPr>
          <w:rStyle w:val="FootnoteReference"/>
          <w:szCs w:val="24"/>
        </w:rPr>
        <w:footnoteReference w:customMarkFollows="1" w:id="15"/>
        <w:t>15</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82.</w:t>
      </w:r>
      <w:r>
        <w:rPr>
          <w:szCs w:val="24"/>
        </w:rPr>
        <w:tab/>
        <w:t>Закон о миграции и иностранных гражданах регламентирует процедуру отказа в выдаче разрешения на въезд в страну, причем это решение принимается незамедлительно и в следующих случаях:  a)  когда гражданин не отвечает требованиям, необходимым для выдачи разрешения на въезд, либо не представил все миграционные документы, требуемые по закону;  b)  когда на гражданина распространяется запрет на въезд в страну, установленный компетентными властями;  c)  когда гражданин подпадает под действие положений статьи 81 настоящего Закона;  d)  когда гражданин застигнут при попытке въехать в страну через не приспособленный для этих целей порт либо при попытке уклониться от соответствующего миграционного контроля;  и e)  когда гражданин был депортирован или выслан из страны и не получил разрешение на повторный въезд, выданное компетентными властями</w:t>
      </w:r>
      <w:r>
        <w:rPr>
          <w:rStyle w:val="FootnoteReference"/>
          <w:szCs w:val="24"/>
        </w:rPr>
        <w:footnoteReference w:customMarkFollows="1" w:id="16"/>
        <w:t>16</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83.</w:t>
      </w:r>
      <w:r>
        <w:rPr>
          <w:szCs w:val="24"/>
        </w:rPr>
        <w:tab/>
        <w:t>На основании статьи 36 Органического закона о полиции при Главном управлении специальных служб по расследованию преступлений было учреждено ведомство Миграционной и пограничной полиции для оказания содействия и координации деятельности с Главным управлением по делам миграции и иностранных граждан, исключительной прерогативой которого - согласно Закону о миграции и иностранных гражданах - является миграционный контроль за гражданами страны и иностранцами.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84.</w:t>
      </w:r>
      <w:r>
        <w:rPr>
          <w:szCs w:val="24"/>
        </w:rPr>
        <w:tab/>
        <w:t>Министерство внутренних дел и юстиции по линии Главного управления по делам миграции и иностранных граждан на систематической основе организует для соответствующих должностных лиц и сотрудников компетентных ведомств курсы подготовки по вопросам основных прав.  Такая подготовка проводится совместно с отделением Управления Верховного комиссара Организации Объединенных Наций по делам беженцев в Гондурасе, Международной организацией по миграции (МОМ) и действующими в стране учреждениями по правам человека.</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lang w:val="en-US"/>
        </w:rPr>
        <w:t>D</w:t>
      </w:r>
      <w:r>
        <w:rPr>
          <w:b/>
          <w:szCs w:val="24"/>
        </w:rPr>
        <w:t>.</w:t>
      </w:r>
      <w:r>
        <w:rPr>
          <w:b/>
          <w:szCs w:val="24"/>
        </w:rPr>
        <w:tab/>
        <w:t>Статья 4</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85.</w:t>
      </w:r>
      <w:r>
        <w:rPr>
          <w:szCs w:val="24"/>
        </w:rPr>
        <w:tab/>
        <w:t>Гондурас ввел в Уголовный кодекс квалификацию пытки как преступления в 1996 году.  Эта категория преступлений распространяется на сотрудников правоохранительных органов, которые с целью получить сведения или добиться признания в совершении того или иного преступления ставят человека в такие условия либо применяют по отношению к нему такие приемы, которые по своему характеру, продолжительности или другим обстоятельствам приводят к физическим либо нравственным страданиям, подавляют или снижают его способность осознавать, здраво рассуждать либо принимать решения, а также в той или иной мере посягают на его психическую неприкосновенность.  Закон предусматривает для виновных в этом виде преступления тюремное заключение на срок от 10 до 15 лет, если это повлекло для человека тяжкие последствия, и от 5 до 10 лет, если последствия не столь тяжкие, плюс полное поражение в правах на период, вдвое превышающий срок тюремного заключения, что не позволяет лицу, осужденному за данное преступление, занимать ответственные должности.  В случае, когда преступление пытки совершается частными лицами, наказание уменьшается на треть по сравнению с наказаниями, предусмотренными выше.  Такие меры наказания не отменяют санкций, применяемых за нанесение телесных повреждений или причинение ущерба жизни, физической неприкосновенности, здоровью, сексуальной свободе либо имуществу жертвы или третьего лица.</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86.</w:t>
      </w:r>
      <w:r>
        <w:rPr>
          <w:szCs w:val="24"/>
        </w:rPr>
        <w:tab/>
        <w:t>Представитель власти или государственное должностное лицо либо государственный служащий, который прибегает к угрозе физического или психического насилия в отношении какого-либо лица для получения признания в совершении конкретного преступления или с иной аналогичной целью, карается тюремным заключением на срок от трех до шести лет и полным поражением в правах на период времени, равный или двукратный сроку тюремного заключения</w:t>
      </w:r>
      <w:r>
        <w:rPr>
          <w:rStyle w:val="FootnoteReference"/>
          <w:szCs w:val="24"/>
        </w:rPr>
        <w:footnoteReference w:customMarkFollows="1" w:id="17"/>
        <w:t>17</w:t>
      </w:r>
      <w:r>
        <w:rPr>
          <w:szCs w:val="24"/>
        </w:rPr>
        <w:t>.</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87.</w:t>
      </w:r>
      <w:r>
        <w:rPr>
          <w:szCs w:val="24"/>
        </w:rPr>
        <w:tab/>
        <w:t>Кроме того, государственное должностное лицо либо государственный служащий, который подвергает лиц, вверенных его попечению, незаконному принуждению или притеснению, карается тюремным заключением на срок от трех до шести лет, штрафом в размере от 50 000 до 100 000 лемпир и полным поражением в правах на период времени, равный или двукратный сроку тюремного заключения</w:t>
      </w:r>
      <w:r>
        <w:rPr>
          <w:rStyle w:val="FootnoteReference"/>
          <w:szCs w:val="24"/>
        </w:rPr>
        <w:footnoteReference w:customMarkFollows="1" w:id="18"/>
        <w:t>18</w:t>
      </w:r>
      <w:r>
        <w:rPr>
          <w:szCs w:val="24"/>
        </w:rPr>
        <w:t xml:space="preserve">. </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88.</w:t>
      </w:r>
      <w:r>
        <w:rPr>
          <w:szCs w:val="24"/>
        </w:rPr>
        <w:tab/>
        <w:t>Военнослужащий, который при исполнении приказа или распоряжения неоправданно нанесет физическое оскорбление другому лицу, подлежит наказанию в виде минимального тюремного заключения (на срок от 61 дня до 1 года), если его действия не расцениваются как более тяжкое преступление</w:t>
      </w:r>
      <w:r>
        <w:rPr>
          <w:rStyle w:val="FootnoteReference"/>
          <w:szCs w:val="24"/>
        </w:rPr>
        <w:footnoteReference w:customMarkFollows="1" w:id="19"/>
        <w:t>19</w:t>
      </w:r>
      <w:r>
        <w:rPr>
          <w:szCs w:val="24"/>
        </w:rPr>
        <w:t>.</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89.</w:t>
      </w:r>
      <w:r>
        <w:rPr>
          <w:szCs w:val="24"/>
        </w:rPr>
        <w:tab/>
        <w:t>Что касается преступлений, рассматриваемых как пытки, в рядах Вооруженных сил, то следует отметить, что с 1994 года, когда обязательная воинская повинность была заменена добровольной военной службой и служба в армии стала профессиональной, носящей воспитательный и гуманный характер, предусматривающий неукоснительное соблюдение прав человека, были зафиксированы несколько случаев рукоприкладства со стороны начальников по отношению к подчиненным.  Все эти случаи были немедленно доведены до сведения военных трибуналов первой инстанции, расположенных в муниципиях Центрального округа, городах Чолутека, Комаягуа, Ла-Пас, Санта-Роса-де-Копáн, Сан-Педро-Сула, Ла-Сейба, Данли, Оланчо и Пуэрто-Лемпира, которые осудили виновных в злоупотреблении властью.  При рассмотрении дел, касающихся членов Вооруженных сил, когда преступление непосредственно связано с исполняемой должностью, военные трибуналы первой инстанции принимают решение о временном или полном отстранении подсудимого от должности.</w:t>
      </w:r>
    </w:p>
    <w:p w:rsidR="00000000" w:rsidRDefault="00000000">
      <w:pPr>
        <w:tabs>
          <w:tab w:val="clear" w:pos="1701"/>
          <w:tab w:val="left" w:pos="1683"/>
        </w:tabs>
        <w:rPr>
          <w:szCs w:val="24"/>
        </w:rPr>
      </w:pPr>
      <w:r>
        <w:rPr>
          <w:szCs w:val="24"/>
        </w:rPr>
        <w:t>90.</w:t>
      </w:r>
      <w:r>
        <w:rPr>
          <w:szCs w:val="24"/>
        </w:rPr>
        <w:tab/>
        <w:t>Правовая система Гондураса устанавливает сроки давности привлечения к уголовной ответственности для всех преступлений в соответствии со статьей 97 Уголовного кодекса.  Преступление, квалифицированное как пытка, имеет срок давности, равный максимальному сроку наказания, предусмотренному за данное правонарушение, плюс еще половина срока.  Исчисление срока давности преступления, определенного как пытка, начинается со дня, когда было совершено правонарушение, а при продолжающемся преступлении - со дня, когда было осуществлено последнее действие.  В случае покушения на преступление исчисление срока давности начинается со дня, когда преступный замысел был исполнен.  Тем не менее следует иметь в виду, что сроки давности, предусмотренные конституционными установками, могут увеличиваться, если в преступление вовлечены государственные служащие.  В этом случае, как гласит статья 325 нашего Основного закона, срок давности привлечения к уголовной ответственности вдвое превышает срок наказания, установленный Уголовным кодексом, а время начинает исчисляться с того момента, когда государственный служащий снят с должности, находясь на которой он совершил правонарушение.  Не установлены сроки давности для случаев, когда в результате действия или умышленного бездействия, а также по политическим мотивам произошла смерть одного или нескольких человек.  Если обвиняемый или осужденный является или предстает перед судом по истечении половины периода времени, необходимого для рассмотрения вопроса об отмене наказуемого деяния либо наказания за давностью срока привлечения к уголовной ответственности, судья обязан учесть этот отрезок времени, чтобы вычесть от одной трети до половины из срока наказания, который следует применить или который уже применен согласно приговору</w:t>
      </w:r>
      <w:r>
        <w:rPr>
          <w:rStyle w:val="FootnoteReference"/>
          <w:szCs w:val="24"/>
        </w:rPr>
        <w:footnoteReference w:customMarkFollows="1" w:id="20"/>
        <w:t>20</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91.</w:t>
      </w:r>
      <w:r>
        <w:rPr>
          <w:szCs w:val="24"/>
        </w:rPr>
        <w:tab/>
        <w:t>Согласно статистическим данным, представленным судебной властью, за период с 2003 года по июль 2007 года зарегистрированы семь судебных процессов по обвинению в пытках.  Из них четыре процесса завершились прекращением уголовного дела, при этом три - приостановлением дела производством и одно - прекращением судопроизводства.  Из трех остальных два завершились приговорами, связанными с лишением свободы, и один находится в стадии принятия окончательного решения.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92.</w:t>
      </w:r>
      <w:r>
        <w:rPr>
          <w:szCs w:val="24"/>
        </w:rPr>
        <w:tab/>
        <w:t>Анализируя процессы, которые завершились приостановлением дела производством и прекращением судопроизводства, можно констатировать, что вынесенные решения были обусловлены тем, что не было доказано предсуществование преступления.  Примером тому служит процесс против агента полиции Эльвина Умберто Монтойя Вальядареса в муниципии Ла-Уньон департамента Оланчо в 2005 году, в ходе которого было установлено, что легкие телесные повреждения, которые демонстрировала предполагаемая жертва, явились следствием оказанного сопротивления, и совершение преступления в виде пытки не было подтверждено, вследствие чего судья, действуя в строгом соответствии с принципами права, законности и должного соблюдения процессуальных норм, вынес решение о приостановлении дела производством.</w:t>
      </w:r>
    </w:p>
    <w:p w:rsidR="00000000" w:rsidRDefault="00000000">
      <w:pPr>
        <w:tabs>
          <w:tab w:val="clear" w:pos="1701"/>
          <w:tab w:val="left" w:pos="1683"/>
        </w:tabs>
        <w:rPr>
          <w:szCs w:val="24"/>
        </w:rPr>
      </w:pPr>
    </w:p>
    <w:p w:rsidR="00000000" w:rsidRDefault="00000000">
      <w:pPr>
        <w:rPr>
          <w:szCs w:val="24"/>
        </w:rPr>
      </w:pPr>
      <w:r>
        <w:rPr>
          <w:szCs w:val="24"/>
        </w:rPr>
        <w:t>93.</w:t>
      </w:r>
      <w:r>
        <w:rPr>
          <w:szCs w:val="24"/>
        </w:rPr>
        <w:tab/>
        <w:t>Среди вынесенных приговоров отметим следующие:</w:t>
      </w:r>
    </w:p>
    <w:p w:rsidR="00000000" w:rsidRDefault="00000000">
      <w:pPr>
        <w:rPr>
          <w:szCs w:val="24"/>
        </w:rPr>
      </w:pPr>
    </w:p>
    <w:p w:rsidR="00000000" w:rsidRDefault="00000000">
      <w:pPr>
        <w:ind w:left="1134" w:hanging="1134"/>
        <w:rPr>
          <w:szCs w:val="24"/>
        </w:rPr>
      </w:pPr>
      <w:r>
        <w:rPr>
          <w:szCs w:val="24"/>
        </w:rPr>
        <w:tab/>
        <w:t>а)</w:t>
      </w:r>
      <w:r>
        <w:rPr>
          <w:szCs w:val="24"/>
        </w:rPr>
        <w:tab/>
        <w:t>в городе Сан-Педро-Сула, департамент Кортес, в 2003 году были приговорены к 5 годам тюремного заключения полицейские следователи Рафаэль Джонатан Гальвес Кариас, Вальтер Ратлифф Хуарес и Оскар Рене Риос за применение пыток в отношении Рубена Дарио Мартинеса.  Данный приговор был обжалован и ожидает утверждения либо отмены вышестоящим судом города Альсада;</w:t>
      </w:r>
    </w:p>
    <w:p w:rsidR="00000000" w:rsidRDefault="00000000">
      <w:pPr>
        <w:rPr>
          <w:szCs w:val="24"/>
        </w:rPr>
      </w:pPr>
    </w:p>
    <w:p w:rsidR="00000000" w:rsidRDefault="00000000">
      <w:pPr>
        <w:ind w:left="1134" w:hanging="1134"/>
        <w:rPr>
          <w:szCs w:val="24"/>
        </w:rPr>
      </w:pPr>
      <w:r>
        <w:rPr>
          <w:szCs w:val="24"/>
        </w:rPr>
        <w:tab/>
        <w:t>b)</w:t>
      </w:r>
      <w:r>
        <w:rPr>
          <w:szCs w:val="24"/>
        </w:rPr>
        <w:tab/>
        <w:t>в 2005 году в городе Чолутека полицейские Исраэль Альварадо Чиринос и Хулио Ронмиес Муньос Агирре были приговорены в соответствии с законом к 4 и 5 годам тюремного заключения соответственно за незаконное задержание и применение пыток в отношении Хулиана Мартинеса, Либорио Карранса, Сантоса Рамоса и Грегорио Эрреры</w:t>
      </w:r>
      <w:r>
        <w:rPr>
          <w:rStyle w:val="FootnoteReference"/>
          <w:szCs w:val="24"/>
        </w:rPr>
        <w:footnoteReference w:customMarkFollows="1" w:id="21"/>
        <w:t>21</w:t>
      </w:r>
      <w:r>
        <w:rPr>
          <w:szCs w:val="24"/>
        </w:rPr>
        <w:t>;</w:t>
      </w:r>
    </w:p>
    <w:p w:rsidR="00000000" w:rsidRDefault="00000000">
      <w:pPr>
        <w:rPr>
          <w:szCs w:val="24"/>
        </w:rPr>
      </w:pPr>
    </w:p>
    <w:p w:rsidR="00000000" w:rsidRDefault="00000000">
      <w:pPr>
        <w:tabs>
          <w:tab w:val="clear" w:pos="1701"/>
          <w:tab w:val="left" w:pos="1683"/>
        </w:tabs>
        <w:ind w:left="1134" w:hanging="1134"/>
        <w:rPr>
          <w:szCs w:val="24"/>
        </w:rPr>
      </w:pPr>
      <w:r>
        <w:rPr>
          <w:szCs w:val="24"/>
        </w:rPr>
        <w:tab/>
        <w:t>c)</w:t>
      </w:r>
      <w:r>
        <w:rPr>
          <w:szCs w:val="24"/>
        </w:rPr>
        <w:tab/>
        <w:t>25 сентября 2006 года суд первой инстанции города Сан-Педро-Сула, департамент Кортéс, вынес приговор по делу двух офицеров полиции:  Оскара Армандо Гамеса Бонильи и Роджера Хавьера Матуте Фонсеки.  Первый был признан виновным в незаконном задержании, соучастии в пытках Хуана Мануэля Агилара Мартинеса и Марвина Даниэля Ортиса Менхивара, за что получил 12 лет и 5 месяцев тюрьмы;  в убийстве без отягчающих обстоятельств Хуана Мануэля Агилара Мартинеса, за что получил 15 лет тюрьмы;  в убийстве Марвина Даниэля Ортиса Менхивара, за что получил 20 лет тюрьмы;  в итоге суммарный срок тюремного заключения составил 47 лет и 5 месяцев.  Второй был признан виновным в соучастии в пытках Хуана Мануэля Агилара Мартинеса и Марвина Даниэля Ортиса Менхивара, за что получил 6 лет и 6 месяцев тюрьмы;  в убийстве без отягчающих обстоятельств Хуана Мануэля Агилара Мартинеса, за что получил 10 лет тюрьмы;  в убийстве Марвина Даниэля Ортиса Менхивара, за что получил 13 лет и 4 месяца тюрьмы;  в итоге суммарный срок тюремного заключения составил 29 лет и 10 месяцев.  Кроме того, обоих приговорили к дополнительному наказанию в виде полного поражения в правах и лишения гражданских прав на время, в течение которого длится основное наказание, а также в виде запрета работать в течение времени, пока длится основное наказание, на общественных работах и в госучреждениях, как это устанавливает закон, регулирующий национальную пенитенциарную систему.  Была признана гражданско-правовая ответственность осужденных</w:t>
      </w:r>
      <w:r>
        <w:rPr>
          <w:rStyle w:val="FootnoteReference"/>
          <w:szCs w:val="24"/>
        </w:rPr>
        <w:footnoteReference w:customMarkFollows="1" w:id="22"/>
        <w:t>22</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94.</w:t>
      </w:r>
      <w:r>
        <w:rPr>
          <w:szCs w:val="24"/>
        </w:rPr>
        <w:tab/>
        <w:t>Что касается дисциплинарных мер, которые применяются при расследовании предполагаемых случаев пыток к служащим правоохранительных органов, то в пункте 2 статьи 85 Закона о полиции говорится:  "… считается грубым правонарушением любое поведение, квалифицируемое законом как преступление".  Принимая во внимание, что пытка определяется в нашем Уголовном кодексе как преступление, сотрудник полиции, который обвиняется в применении пыток, помимо наказания, предусмотренного Уголовным кодексом, подлежит наказанию в соответствии с Законом о полиции, в статье 86 которого установлено, что автор грубого правонарушения сразу же временно отстраняется от исполнения служебных обязанностей в качестве предупредительной меры.  В том же духе в статье 82 этого Закона говорится, что полицейский, совершивший грубое правонарушение, теряет право на повышение по службе, а если правонарушение тяжкое, то он подлежит увольнению со службы.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95.</w:t>
      </w:r>
      <w:r>
        <w:rPr>
          <w:szCs w:val="24"/>
        </w:rPr>
        <w:tab/>
        <w:t>Важно указать, что в рамках гондурасского законодательства принимается во внимание тяжкий характер преступления пытки, срок наказания за совершение которого составляет от 10 до 15 лет.  Кроме того, учитывается совокупность других совершенных преступлений, вытекающих из данного акта, а именно нанесение телесных повреждений, причинение ущерба жизни, физической неприкосновенности, здоровью, сексуальной свободе либо имуществу жертвы или третьего лица.</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t>Е.</w:t>
      </w:r>
      <w:r>
        <w:rPr>
          <w:b/>
          <w:szCs w:val="24"/>
        </w:rPr>
        <w:tab/>
        <w:t>Статья 5</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96.</w:t>
      </w:r>
      <w:r>
        <w:rPr>
          <w:szCs w:val="24"/>
        </w:rPr>
        <w:tab/>
        <w:t xml:space="preserve">Что касается мер, принимаемых для установления юрисдикции применительно к случаям, оговоренным в подпунктах </w:t>
      </w:r>
      <w:r>
        <w:rPr>
          <w:szCs w:val="24"/>
          <w:lang w:val="en-US"/>
        </w:rPr>
        <w:t>a</w:t>
      </w:r>
      <w:r>
        <w:rPr>
          <w:szCs w:val="24"/>
        </w:rPr>
        <w:t xml:space="preserve">), </w:t>
      </w:r>
      <w:r>
        <w:rPr>
          <w:szCs w:val="24"/>
          <w:lang w:val="en-US"/>
        </w:rPr>
        <w:t>b</w:t>
      </w:r>
      <w:r>
        <w:rPr>
          <w:szCs w:val="24"/>
        </w:rPr>
        <w:t xml:space="preserve">) и </w:t>
      </w:r>
      <w:r>
        <w:rPr>
          <w:szCs w:val="24"/>
          <w:lang w:val="en-US"/>
        </w:rPr>
        <w:t>c</w:t>
      </w:r>
      <w:r>
        <w:rPr>
          <w:szCs w:val="24"/>
        </w:rPr>
        <w:t>) пункта 1 данной статьи Конвенции, то статья 3 Уголовного кодекса устанавливает, что уголовное законодательство применяется к любому лицу, которое совершит уголовно наказуемое деяние на национальной территории и других местах, входящих в юрисдикцию Гондураса, за исключение случаев, предусмотренных международным правом.  Кроме того, гондурасские суды рассматривают дела по преступлениям, совершенным за рубежом, если обвиняемый находится в Гондурасе и подпадает под один из следующих случаев:  a)  когда обвиняемый не был подвергнут суду за преступление, совершенное на борту гондурасского корабля или самолета, государственного либо частного, или когда он был осужден, но совершил побег и не отбыл полностью либо частично срок наказания;  b)  когда обвиняемый является гондурасским гражданином, экстрадиции которого требует иностранное государство, на чьей территории он совершил уголовно наказуемое деяние;  c)  когда виновный в преступлении является членом гондурасского правительства и пользуется дипломатическим либо служебным иммунитетом;  d)  когда виновный в преступлении, совершенном против гондурасского гражданина, не был осужден в стране, где произошло преступление, и его экстрадиция не была затребована, а также когда он был осужден, но совершил побег и не отбыл полностью либо частично срок наказания;  и e)  когда в соответствии с международными конвенциями, участником которых является Гондурас, преступление подпадает под действие гондурасского уголовного законодательства по причинам, отличающимся от вышеперечисленных, либо грубо нарушает универсально признанные права человека.  Тем не менее, приоритет в предъявлении исковых требований имеет государство, на территории которого имело место уголовно наказуемое деяние;  таким образом, соответствующее уголовное судопроизводство производится вначале там, и уже затем дело рассматривается компетентным гондурасским судом</w:t>
      </w:r>
      <w:r>
        <w:rPr>
          <w:rStyle w:val="FootnoteReference"/>
          <w:szCs w:val="24"/>
        </w:rPr>
        <w:footnoteReference w:customMarkFollows="1" w:id="23"/>
        <w:t>23</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97.</w:t>
      </w:r>
      <w:r>
        <w:rPr>
          <w:szCs w:val="24"/>
        </w:rPr>
        <w:tab/>
        <w:t xml:space="preserve">Что касается мер, принимаемых для установления подсудности, то в случаях, когда предполагаемый преступник находится на территории государства, которое выносит обвинительное заключение, но не осуществляет экстрадицию преступника государству, юрисдикция которого распространяется на данное преступление, следует отметить следующее:  в случае, если виновный в преступлении, квалифицируемом как пытка, является гондурасским гражданином, то применяется статья 102 Конституции, которая гласит:  "Ни один гондурасец не может быть экспатриирован или выдан властями иностранному государству", вследствие чего он не может быть передан в руки никакому государству, которое ссылается на свою юрисдикцию применительно к преступлению;  следовательно, не возникает случаев, в отношении которых можно говорить о применимости подпунктов </w:t>
      </w:r>
      <w:r>
        <w:rPr>
          <w:szCs w:val="24"/>
          <w:lang w:val="en-US"/>
        </w:rPr>
        <w:t>b</w:t>
      </w:r>
      <w:r>
        <w:rPr>
          <w:szCs w:val="24"/>
        </w:rPr>
        <w:t xml:space="preserve">) и </w:t>
      </w:r>
      <w:r>
        <w:rPr>
          <w:szCs w:val="24"/>
          <w:lang w:val="en-US"/>
        </w:rPr>
        <w:t>c</w:t>
      </w:r>
      <w:r>
        <w:rPr>
          <w:szCs w:val="24"/>
        </w:rPr>
        <w:t>) статьи 5 Конвенции.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98.</w:t>
      </w:r>
      <w:r>
        <w:rPr>
          <w:szCs w:val="24"/>
        </w:rPr>
        <w:tab/>
        <w:t>Уголовным кодексом предусматривается исключение из применения территориальной юрисдикции, установленной внутренним уголовным законодательством, когда речь идет о главах иностранных государств, находящихся на национальной территории, дипломатических представителях и прочих лицах, которые - согласно международному праву - пользуются иммунитетом</w:t>
      </w:r>
      <w:r>
        <w:rPr>
          <w:rStyle w:val="FootnoteReference"/>
          <w:szCs w:val="24"/>
        </w:rPr>
        <w:footnoteReference w:customMarkFollows="1" w:id="24"/>
        <w:t>24</w:t>
      </w:r>
      <w:r>
        <w:rPr>
          <w:szCs w:val="24"/>
        </w:rPr>
        <w:t xml:space="preserve">. </w:t>
      </w:r>
    </w:p>
    <w:p w:rsidR="00000000" w:rsidRDefault="00000000">
      <w:pPr>
        <w:tabs>
          <w:tab w:val="clear" w:pos="1701"/>
          <w:tab w:val="left" w:pos="1683"/>
        </w:tabs>
        <w:rPr>
          <w:szCs w:val="24"/>
        </w:rPr>
      </w:pPr>
      <w:r>
        <w:rPr>
          <w:szCs w:val="24"/>
        </w:rPr>
        <w:t>99.</w:t>
      </w:r>
      <w:r>
        <w:rPr>
          <w:szCs w:val="24"/>
        </w:rPr>
        <w:tab/>
        <w:t>Уголовный кодекс устанавливает, что для гондурасского правосудия не будут иметь силу приговоры, вынесенные иностранными судами в отношении уголовных дел, перечисленных в его статьях 3 ("Преступление, совершаемое на гондурасской территории") и 4 ("Преступления против общественного здравоохранения, государственной религии, экономики либо внутренней или внешней безопасности государства").  В то же время тюремное наказание, которое заключенный отбыл по приговору полностью либо частично, засчитывается в срок, который ему может быть назначен согласно гондурасскому законодательству, если данное преступление квалифицируется обоими законодательствами аналогично, в противном случае ответственность будет смягчена в разумных пределах.  За исключением вышеозначенных случаев, оправдательные приговоры, вынесенные иностранными судами, будут иметь силу для всех уровней гондурасского правосудия.  Обвинительный приговор учитывается при установлении рецидивизма либо опасного рецидивизма преступника, а также для определения всех гражданско-правовых последствий приговора, которые регулируются гондурасским законодательством</w:t>
      </w:r>
      <w:r>
        <w:rPr>
          <w:rStyle w:val="FootnoteReference"/>
          <w:szCs w:val="24"/>
        </w:rPr>
        <w:footnoteReference w:customMarkFollows="1" w:id="25"/>
        <w:t>25</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100.</w:t>
      </w:r>
      <w:r>
        <w:rPr>
          <w:szCs w:val="24"/>
        </w:rPr>
        <w:tab/>
        <w:t xml:space="preserve">Как явствует из результатов изучения архивов Верховного суда, до настоящего момента не поступало никаких запросов на выдачу за совершение преступления пытки со стороны стран, с которыми Гондурас подписал соответствующие договоры. </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lang w:val="en-US"/>
        </w:rPr>
        <w:t>F</w:t>
      </w:r>
      <w:r>
        <w:rPr>
          <w:b/>
          <w:szCs w:val="24"/>
        </w:rPr>
        <w:t>.</w:t>
      </w:r>
      <w:r>
        <w:rPr>
          <w:b/>
          <w:szCs w:val="24"/>
        </w:rPr>
        <w:tab/>
        <w:t>Статья 6</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101.</w:t>
      </w:r>
      <w:r>
        <w:rPr>
          <w:szCs w:val="24"/>
        </w:rPr>
        <w:tab/>
        <w:t>Государство Гондурас правомочно заключать под стражу любое лицо, виновное в совершении преступления пытки, будь то на основании Конвенции, договора о взаимном сотрудничестве с другой страной или положений внутреннего законодательства;  задержанный пользуется всеми правами, предусмотренными законами страны и международными договорами по правам человека, участником которых является Гондурас.</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102.</w:t>
      </w:r>
      <w:r>
        <w:rPr>
          <w:szCs w:val="24"/>
        </w:rPr>
        <w:tab/>
        <w:t>Среди предписаний внутреннего характера, которые у нас приняты, фигурируют следующие:  статья 172 Уголовно-процессуального кодекса устанавливает, что меры пресечения имеют целью обеспечить эффективность судопроизводства, гарантируя присутствие обвиняемого и установленный порядок получения доказательной базы.  Для применения меры пресечения, ограничивающей личную свободу, необходимо соблюдение следующих условий:  a)  существуют достаточные доказательства для того, чтобы обоснованно утверждать, что обвиняемый является автором или участником действия, квалифицируемого как преступление;  b)  обвиняемый совершил побег либо существует опасность того, что он скроется от правосудия, если останется на свободе;  c)  имеется основание опасаться, что, оставшись на свободе, обвиняемый попытается уничтожить или подтасовать собранные доказательства.  В статье 173 Уголовно-процессуального кодекса также говорится, что судебный орган, принимая во внимание узаконивающие доводы, может избрать - издав мотивированный судебный приказ - одну или несколько следующих мер пресечения:  a)  задержание;  b)  предварительное заключение;  c)  заключение под стражу;  d)  домашний арест с нахождением в своем доме либо в доме другого лица, которое даст на это согласие, в присутствии охранника или без него;  e)  помещение обвиняемого под присмотр или наблюдение определенного должностного лица либо учреждения, которое должно предоставлять судье периодический отчет;  f)  наложение на обвиняемого обязанности периодически являться перед определенным судьей или представителем власти, которого назначит судья;  g)  запрещение обвиняемому покидать пределы страны, место жительства или регион, который определит судебный орган;  h)  запрещение обвиняемому посещать определенные собрания или определенные места;  i)  запрещение обвиняемому иметь контакты с определенными лицами, при условии, что этим не будет нарушено его право на защиту;  j)  обращение в пользу государства как самим обвиняемым, так и другим лицом любого из следующих видов залогового обеспечения:  денежный депозит, ценности, ипотечный залог, личный залог или личное поручительство;  k)  временное помещение, по предварительному решению суда, в психиатрическое учреждение;  и l)  отстранение от должности, когда обвиняемому вменяется преступление против органов государственной власти.  В этой же статье устанавливается, что в интересах расследования Прокуратура в неотложных случаях, когда не представляется возможным срочно получить судебное постановление, вправе применить одну или несколько мер пресечения, перечисленных в пунктах 1, 2, 7, 9 и 11 настоящей статьи.  Об этом Прокуратура должна немедленно известить соответствующий судебный орган, изложив причины, не позволившие получить постановление суда.  Судебный орган, заслушав обвиняемого и его защитника, оставит в силе либо отменит распоряжение Прокуратуры.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103.</w:t>
      </w:r>
      <w:r>
        <w:rPr>
          <w:szCs w:val="24"/>
        </w:rPr>
        <w:tab/>
        <w:t>Статьей 82 Конституции Республики Гондурас предусматривается право заключенных под стражу лиц на помощь адвоката;  она гласит:  "Право на защиту является нерушимым".  Кроме того, согласно статье 83, "государство обязано назначать адвокатов для защиты интересов малоимущих, несовершеннолетних и инвалидов".  Указанные права развиваются в статье 101 Уголовно-процессуального кодекса.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104.</w:t>
      </w:r>
      <w:r>
        <w:rPr>
          <w:szCs w:val="24"/>
        </w:rPr>
        <w:tab/>
        <w:t>К числу органов государственной власти, ответственных за применение положений статьи 6 Конвенции против пыток и других жестоких, бесчеловечных или унижающих достоинство видов обращения и наказания, относятся следующие:  судебная власть в лице судей по делам исполнения наказаний и Главного управления юридической помощи;  Прокуратура;  Министерство безопасности в лице главных управлений следственной полиции, специальных служб по расследованию преступлений, уголовного розыска и специальных следственных служб;  Министерство внутренних дел и юстиции в лице Главного управления по делам миграции и иностранных граждан;  Национальное управление уполномоченного по правам человека;  и Гондурасский институт по делам детей и семьи.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105.</w:t>
      </w:r>
      <w:r>
        <w:rPr>
          <w:szCs w:val="24"/>
        </w:rPr>
        <w:tab/>
        <w:t>В большинстве случаев на процессах, связанных с преступлениями в виде пыток, при выдаче ордера на арест предполагаемого виновника применяется такая мера пресечения, как предварительное тюремное заключение, основанием для чего почти всегда служит тяжесть расследуемого правонарушения.</w:t>
      </w:r>
    </w:p>
    <w:p w:rsidR="00000000" w:rsidRDefault="00000000">
      <w:pPr>
        <w:tabs>
          <w:tab w:val="clear" w:pos="1701"/>
          <w:tab w:val="left" w:pos="1683"/>
        </w:tabs>
        <w:rPr>
          <w:szCs w:val="24"/>
        </w:rPr>
      </w:pPr>
    </w:p>
    <w:p w:rsidR="00000000" w:rsidRDefault="00000000">
      <w:pPr>
        <w:tabs>
          <w:tab w:val="clear" w:pos="1701"/>
          <w:tab w:val="left" w:pos="1683"/>
        </w:tabs>
        <w:jc w:val="center"/>
        <w:rPr>
          <w:szCs w:val="24"/>
        </w:rPr>
      </w:pPr>
      <w:r>
        <w:rPr>
          <w:b/>
          <w:szCs w:val="24"/>
          <w:lang w:val="en-US"/>
        </w:rPr>
        <w:t>G</w:t>
      </w:r>
      <w:r>
        <w:rPr>
          <w:b/>
          <w:szCs w:val="24"/>
        </w:rPr>
        <w:t>.</w:t>
      </w:r>
      <w:r>
        <w:rPr>
          <w:b/>
          <w:szCs w:val="24"/>
        </w:rPr>
        <w:tab/>
        <w:t>Статья 7</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106.</w:t>
      </w:r>
      <w:r>
        <w:rPr>
          <w:szCs w:val="24"/>
        </w:rPr>
        <w:tab/>
        <w:t>Что касается действующих мер, призванных гарантировать справедливое обращение к подозреваемому, то статья 15 Уголовно-процессуального кодекса гласит:  "Техническая и юридическая помощь.  Каждый человек может рассчитывать на техническую и юридическую помощь профессионального юриста с момента задержания по подозрению в участии в преступном деянии или в момент, когда он добровольно дает показания, до полного отбывания наказания.  Если обвиняемый не назначит защитника, судебный орган обязан немедленно потребовать назначения государственного адвоката, а если такового нет, то судебный орган назначает адвоката сам.  Это право является неотъемлемым.  Его нарушение приведет к полной юридической недействительности всех действий, которые будут предприняты без участия защитника обвиняемого".</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107.</w:t>
      </w:r>
      <w:r>
        <w:rPr>
          <w:szCs w:val="24"/>
        </w:rPr>
        <w:tab/>
        <w:t xml:space="preserve">Служба юридической помощи была образована 15 мая 1989 года как экспериментальная программа судебной власти, финансируемая из средств, выделяемых по линии </w:t>
      </w:r>
      <w:r>
        <w:rPr>
          <w:bCs/>
          <w:color w:val="000000"/>
          <w:szCs w:val="24"/>
          <w:lang w:eastAsia="ru-RU"/>
        </w:rPr>
        <w:t>Агентства международного развития Соединенных Штатов (ЮСАИД)</w:t>
      </w:r>
      <w:r>
        <w:rPr>
          <w:szCs w:val="24"/>
        </w:rPr>
        <w:t>.  В 1990 году этот проект превратился в постоянную государственную службу в составе судебных органов.  Ее образование имело целью обеспечить выполнение положений статьи 83 Конституции, которая обязывает государство гарантировать защиту привлеченных к суду граждан с низкими доходами, предоставив им услуги государственного защитника.  Эту деятельность начали 9 защитников, и по мере того как укреплялся этот институт, были заключены контракты с бóльшим числом государственных защитников, чтобы удовлетворить спрос потребителей их услуг.  В настоящее время насчитывается 233 государственных защитника, работающих в адвокатских конторах по всей национальной территории, что означает один государственный защитник на каждые 31 618 жителей, учитывая, что население Гондураса составляло в 2006 году 7 367 012 человек.  На сегодняшний день Служба юридической помощи имеет следующую организационную структуру:  одно Главное управление и одно Управление на национальном уровне и четыре региональных координационных группы, каждую из которых возглавляет Координатор.  Они расположены в городах Тегусигальпа, Сан-Педро-Сула, Санта-Роса-де-Копáн и Ла-Сейба и, посменно находясь в полицейских участках, наблюдают за судебными процессами по уголовным делам, а также по делам детей и подростков.</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108.</w:t>
      </w:r>
      <w:r>
        <w:rPr>
          <w:szCs w:val="24"/>
        </w:rPr>
        <w:tab/>
        <w:t>Что касается презумпции невиновности, то статья 89 Конституции Республики гласит:  "Любое лицо считается невиновным до тех пор, пока компетентным судебным органом не вынесено решение о его подсудности".  Данная статья развивается в статье 2 Уголовно-процессуального кодекса, где записано:  "Каждый обвиняемый в совершении преступления считается невиновным, пока его виновность не будет доказана компетентным судебным органом согласно нормам настоящего Кодекса.  Следовательно, пока суд не объявит своего решения, никакой орган власти не вправе считать человека виновным или представлять его таковым перед третьими лицами.  Соответственно, в судебной речи следует ограничиваться лишь фразами о подозрении в отношении данного человека.  Нарушение требования предыдущего предложения может привести к тому, что ответственные будут обязаны возместить жертве причиненный ущерб, который может быть востребован по обычному гражданскому иску, не исключая при этом соответствующей уголовной либо административной ответственности".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109.</w:t>
      </w:r>
      <w:r>
        <w:rPr>
          <w:szCs w:val="24"/>
        </w:rPr>
        <w:tab/>
        <w:t>Что касается права на равенство перед судом, то принцип равенства людей закреплен в статьях 60 и 61 Конституции Республики, где говорится:  "Все люди рождаются свободными и равными в правах.  В Гондурасе не существует привилегированных классов".  Статья 61 гласит:  "Конституция гарантирует как гондурасским гражданам, так и иностранцам, проживающим в стране, право на неприкосновенность человеческой жизни, на безопасность личности, на свободу, равенство перед законом и право собственности".  Кроме того, статья 101 Уголовно-процессуального кодекса устанавливает равноправие всех подследственных, не делая различия между гражданами страны и иностранцами, а в статье 13 ("Равенство участников процесса") подчеркивается:  "Судьи и судейские чиновники обязаны следить за действительным равенством участников процесса".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110.</w:t>
      </w:r>
      <w:r>
        <w:rPr>
          <w:szCs w:val="24"/>
        </w:rPr>
        <w:tab/>
        <w:t>В случаях, когда предполагаемый преступник является иностранцем и совершил преступление, квалифицируемое как пытка, за рубежом, применяется статья 5 Уголовного кодекса:  "Гондурасские суды также рассматривают дела по преступлениям, совершенным за границей, если обвиняемый находится на территории Гондураса и подпадает под один из следующих случаев:  a)  когда обвиняемый не был подвергнут суду за преступление, совершенное на борту гондурасского корабля или самолета, государственного либо частного, или когда был осужден, но совершил побег и не отбыл полностью либо частично срок наказания;  b)  когда обвиняемый является гондурасским гражданином и его экстрадиции требует иностранное государство, на чьей территории он совершил уголовно наказуемое деяние;  c)  когда виновный в преступлении является членом гондурасского правительства и пользуется дипломатическим либо служебным иммунитетом;  d)  когда виновный в преступлении, совершенном против гондурасского гражданина, не был осужден в стране, где произошло преступление, и его экстрадиция не была затребована, а также когда он был осужден, но совершил побег и не отбыл полностью либо частично срок наказания;  и e)  когда в соответствии с международными конвенциями, участником которых является Гондурас, преступление подпадает под действие гондурасского уголовного законодательства по причинам, отличающимся от вышеперечисленных, либо грубо нарушает универсально признанные права человека.  Тем не менее, приоритет в предъявлении исковых требований имеет государство, на территории которого имело место уголовно наказуемое деяние;  таким образом, соответствующее уголовное судопроизводство производится вначале там, и уже затем дело рассматривается компетентным гондурасским судом".</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111.</w:t>
      </w:r>
      <w:r>
        <w:rPr>
          <w:szCs w:val="24"/>
        </w:rPr>
        <w:tab/>
        <w:t>Правоприменительные органы уголовной юстиции включают в свои годовые планы работы мероприятия по повышению квалификации сотрудников, которые носят внутри- и межведомственный характер, для того чтобы каждый сотрудник исполнял свои служебные обязанности, уважая права человека и конституционные гарантии.  С этой целью была создана Межведомственная комиссия уголовной юстиции в составе представителей различных органов, отвечающих за применение уголовного законодательства, которая утвердила Программу совместного повышения квалификации и подготовки персонала, ответственного за повышение квалификации, направленную на то, чтобы обеспечить единство взглядов и подходов к уголовному судопроизводству.  В рамках программы основной упор делается на предмете материального уголовного права, в процессе изучения которого подробно анализируются элементы каждой категории преступлений, в том числе статья 209-А, квалифицирующая пытку как преступление.</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112.</w:t>
      </w:r>
      <w:r>
        <w:rPr>
          <w:szCs w:val="24"/>
        </w:rPr>
        <w:tab/>
        <w:t>Деятельность Межведомственной комиссии уголовной юстиции, образованной одновременно со вступлением в силу Уголовно-процессуального кодекса, регулируется Специальным законом об изменении и межведомственном ведении уголовной системы, который был введен в действие Декретом № 31-2002.  В работе Межведомственной комиссии уголовной юстиции принимают участие следующие государственные учреждения:  a)  Верховный суд в лице его Председателя и членов суда, представляющих палату по уголовным делам;  b)  Национальный конгресс Республики в лице почетного депутата, назначенного председателем этого органа государственной власти;  c)  Генеральный судебный прокурор Республики или, в его отсутствие, заместитель Генерального прокурора;  d)  Генеральная прокуратура Республики в лице исполнительного прокурора либо его заместителя;  e)  Председатель Высшей счетной палаты;  f)  Национальное управление юридической помощи в лице его директора;  g)  Главное управление судебной Прокуратуры в лице его директора;  h)  эксперты-консультанты, являющиеся членами Специальной межведомственной комиссии уголовной юстиции</w:t>
      </w:r>
      <w:r>
        <w:rPr>
          <w:rStyle w:val="FootnoteReference"/>
          <w:szCs w:val="24"/>
        </w:rPr>
        <w:footnoteReference w:customMarkFollows="1" w:id="26"/>
        <w:t>26</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113.</w:t>
      </w:r>
      <w:r>
        <w:rPr>
          <w:szCs w:val="24"/>
        </w:rPr>
        <w:tab/>
        <w:t>В целях наращивания межведомственных усилий по защите прав человека Комиссия разработала в 2006 году Учебное пособие по правам человека, и в качестве первой фазы его продвижения в 2007 году были организованы консультационные занятия по оказанию технической помощи и повышению квалификации в области прав человека и обеспечения доступа к правосудию, для проведения которых в первой половине 2007 года была согласована и отпечатана необходимая техническая документация.  В настоящее время, чтобы представить практику организации данных консультационных занятий на утверждение Административного пленума судебной власти, идет согласование технических вопросов с его подготовительным комитетом.  Проведение подобных консультационных занятий подразумевает использование разработанного Учебного пособия по правам человека и послужит началом выполнения Программы совместного повышения квалификации и подготовки персонала, ответственного за повышение квалификации, обеспечив рост уровня знаний работников юстиции.  Кроме того, это позволит выполнить указание Межамериканского суда по правам человека, который предписывает повышать квалификацию полицейских и прокурорских работников в области прав человека, разработать профильный самообразовательный учебник с наглядным дидактическим оформлением, а также подготовить документ, охватывающий вопросы юриспруденции Межамериканского суда по правам человека.  Консультационные занятия открылись в ноябре 2007 года первой заочной фазой, на которой международный консультант из Республики Коста-Рика дополнил Учебное пособие по вопросам специальной защиты детей и молодежи Гондураса постановлением Межамериканского суда по правам человека от 21 сентября 2006 года.  Во второй половине января началась очная фаза, которая включает утверждение дополнения, сделанного во время заочной фазы;  проведение занятий на курсах подготовки организаторов повышения квалификации в области прав человека и соответствующую оценку их знаний;  разработку программы и плана повышения квалификации сотрудников межведомственной группы в Тегусигальпе и Сан-Педро-Сула;  повышение квалификации сотрудников межведомственной рабочей группы, специализирующейся на отслеживании незавершенных судебных процессов против Гондураса;  организацию рабочего совещания, посвященного проверке и анализу встречных исков, поданных против Гондураса;  разработку первого проекта самообразовательного пособия, которое с помощью наглядных графических образов разъясняет содержание международных соглашений;  разработку краткого руководства по национальной и международной юриспруденции в области прав человека;  и наконец, утверждение материалов, полученных по итогам рабочего совещания.</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114.</w:t>
      </w:r>
      <w:r>
        <w:rPr>
          <w:szCs w:val="24"/>
        </w:rPr>
        <w:tab/>
        <w:t>Одной из мер, реализованных в порядке гарантирования права на презумпцию невиновности и других основных прав, стало обеспечение гибкой связи между всеми организациями, принимающими участие в работе Комиссии, для чего в качестве важного практического шага было принято решение о создании Объединенных процессуальных центров межведомственной работы.  Данные центры предназначены для того, чтобы в одном месте объединить представителей полиции, Прокуратуры, государственной защиты и судебной медицины, оснащенных необходимыми техническими средствами и специальным оборудованием, с тем чтобы оперативно и эффективно реагировать, в частности, на заявления о фактах, предположительно являющихся преступлениями, квалифицируемыми как пытки.  Такие центры функционируют в следующих городах:  Тегусигальпа, Сан-Педро-Сула, Ла-Сейба.  Эту службу посменно и круглосуточно, причем как в рабочие, так и выходные дни, несут межведомственные группы, куда входят прокурорские работники, государственные защитники, судебные медэксперты и сотрудники Главного управления уголовного розыска.</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115.</w:t>
      </w:r>
      <w:r>
        <w:rPr>
          <w:szCs w:val="24"/>
        </w:rPr>
        <w:tab/>
        <w:t>Во исполнение статьи 23 Уголовно-процессуального кодекса Верховный суд издал регламенты и инструкции, носящие обязательный характер для лиц, отправляющих уголовное правосудие, и способствующие правильному применению Уголовно-процессуального кодекса.  Среди них отметим следующие:  a)  Руководство по использованию доказательств и улик, полученных в результате расследования деяния, являющегося преступлением;  b)  Инструкция по функционированию Объединенных центров;  c)  Инструкция для действий агента под прикрытием (специальные приемы расследования).</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116.</w:t>
      </w:r>
      <w:r>
        <w:rPr>
          <w:szCs w:val="24"/>
        </w:rPr>
        <w:tab/>
        <w:t>На момент подготовки настоящего доклада не было зарегистрировано случаев совершения иностранцами в Гондурасе преступления пытки либо привлечения их в стране к судебной ответственности за такое преступление.</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jc w:val="center"/>
        <w:rPr>
          <w:b/>
          <w:szCs w:val="24"/>
        </w:rPr>
      </w:pPr>
      <w:r>
        <w:rPr>
          <w:b/>
          <w:szCs w:val="24"/>
          <w:lang w:val="en-US"/>
        </w:rPr>
        <w:t>H</w:t>
      </w:r>
      <w:r>
        <w:rPr>
          <w:b/>
          <w:szCs w:val="24"/>
        </w:rPr>
        <w:t>.</w:t>
      </w:r>
      <w:r>
        <w:rPr>
          <w:b/>
          <w:szCs w:val="24"/>
        </w:rPr>
        <w:tab/>
        <w:t>Статья 8</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117.</w:t>
      </w:r>
      <w:r>
        <w:rPr>
          <w:szCs w:val="24"/>
        </w:rPr>
        <w:tab/>
        <w:t>Статья 102 Конституции Республики гласит:  "Ни один гондурасец не может быть экспатриирован или выдан властями иностранному государству".  Аналогичным образом, в статье 10 Уголовного кодекса предусматривается следующее:  "Ни в коем случае не подлежат экстрадиции находящиеся на национальной территории гондурасцы, совершившие правонарушение за границей;  что же касается выдачи иностранцев, то их экстрадиция возможна только на основании соответствующего закона или договора за совершение общеуголовных преступлений, заслуживающих наказание в виде лишения свободы на срок не менее одного года, и никогда - за совершение политических преступлений, даже если следствием последних является совершение общеуголовного преступления".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118.</w:t>
      </w:r>
      <w:r>
        <w:rPr>
          <w:szCs w:val="24"/>
        </w:rPr>
        <w:tab/>
        <w:t>Выдача лиц, подозреваемых в совершении преступления пытки, может осуществляться только когда речь идет об иностранцах и - к тому же - при наличии заключенного со страной, чьим гражданином является соответствующее лицо, договора о выдаче.  Согласно пункту 2 статьи 16 Конституции Республики, международные договоры, заключенные Гондурасом с другими государствами и вступившие в законную силу, являются составной частью внутренней правовой системы.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119.</w:t>
      </w:r>
      <w:r>
        <w:rPr>
          <w:szCs w:val="24"/>
        </w:rPr>
        <w:tab/>
        <w:t xml:space="preserve">Из числа договоров, подписанных Гондурасом, в которых пытка фигурирует как преступление, совершение которого служит основанием для выдачи, можно назвать следующие:  </w:t>
      </w:r>
      <w:r>
        <w:rPr>
          <w:szCs w:val="24"/>
          <w:lang w:val="en-US"/>
        </w:rPr>
        <w:t>a</w:t>
      </w:r>
      <w:r>
        <w:rPr>
          <w:szCs w:val="24"/>
        </w:rPr>
        <w:t xml:space="preserve">)  Соглашение о выдаче преступников между правительствами республик Гондурас, Коста-Рика, Гватемала, Никарагуа и Сальвадор;  </w:t>
      </w:r>
      <w:r>
        <w:rPr>
          <w:szCs w:val="24"/>
          <w:lang w:val="en-US"/>
        </w:rPr>
        <w:t>b</w:t>
      </w:r>
      <w:r>
        <w:rPr>
          <w:szCs w:val="24"/>
        </w:rPr>
        <w:t xml:space="preserve">)  Договор между правительством Республики Гондурас и Мексикой;  </w:t>
      </w:r>
      <w:r>
        <w:rPr>
          <w:szCs w:val="24"/>
          <w:lang w:val="en-US"/>
        </w:rPr>
        <w:t>c</w:t>
      </w:r>
      <w:r>
        <w:rPr>
          <w:szCs w:val="24"/>
        </w:rPr>
        <w:t xml:space="preserve">)  Договор о выдаче преступников между Республикой Гондурас и Соединенными Штатами Америки;  </w:t>
      </w:r>
      <w:r>
        <w:rPr>
          <w:szCs w:val="24"/>
          <w:lang w:val="en-US"/>
        </w:rPr>
        <w:t>d</w:t>
      </w:r>
      <w:r>
        <w:rPr>
          <w:szCs w:val="24"/>
        </w:rPr>
        <w:t xml:space="preserve">)  Соглашение о выдаче преступников, подписанное на седьмой Американской международной конференции;  </w:t>
      </w:r>
      <w:r>
        <w:rPr>
          <w:szCs w:val="24"/>
          <w:lang w:val="en-US"/>
        </w:rPr>
        <w:t>e</w:t>
      </w:r>
      <w:r>
        <w:rPr>
          <w:szCs w:val="24"/>
        </w:rPr>
        <w:t xml:space="preserve">)  Договор о выдаче преступников между Вашингтоном и пятью республиками Центральной Америки;  </w:t>
      </w:r>
      <w:r>
        <w:rPr>
          <w:szCs w:val="24"/>
          <w:lang w:val="en-US"/>
        </w:rPr>
        <w:t>f</w:t>
      </w:r>
      <w:r>
        <w:rPr>
          <w:szCs w:val="24"/>
        </w:rPr>
        <w:t xml:space="preserve">)  Договор о выдаче преступников между Республикой Гондурас и Королевством Испания;  </w:t>
      </w:r>
      <w:r>
        <w:rPr>
          <w:szCs w:val="24"/>
          <w:lang w:val="en-US"/>
        </w:rPr>
        <w:t>g</w:t>
      </w:r>
      <w:r>
        <w:rPr>
          <w:szCs w:val="24"/>
        </w:rPr>
        <w:t>)  Римский Статут Международного уголовного суда.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120.</w:t>
      </w:r>
      <w:r>
        <w:rPr>
          <w:szCs w:val="24"/>
        </w:rPr>
        <w:tab/>
        <w:t>Как уже упоминалось выше, из результатов изучения архивов Верховного суда явствует, что до настоящего момента не поступало никаких запросов на выдачу за совершение преступления пытки со стороны стран, с которыми Гондурас подписал соответствующие договоры.</w:t>
      </w:r>
    </w:p>
    <w:p w:rsidR="00000000" w:rsidRDefault="00000000">
      <w:pPr>
        <w:tabs>
          <w:tab w:val="clear" w:pos="1701"/>
          <w:tab w:val="left" w:pos="1683"/>
        </w:tabs>
        <w:rPr>
          <w:szCs w:val="24"/>
        </w:rPr>
      </w:pPr>
    </w:p>
    <w:p w:rsidR="00000000" w:rsidRDefault="00000000">
      <w:pPr>
        <w:tabs>
          <w:tab w:val="clear" w:pos="1701"/>
          <w:tab w:val="left" w:pos="1683"/>
        </w:tabs>
        <w:jc w:val="center"/>
        <w:rPr>
          <w:szCs w:val="24"/>
        </w:rPr>
      </w:pPr>
      <w:r>
        <w:rPr>
          <w:b/>
          <w:szCs w:val="24"/>
          <w:lang w:val="en-US"/>
        </w:rPr>
        <w:t>I</w:t>
      </w:r>
      <w:r>
        <w:rPr>
          <w:b/>
          <w:szCs w:val="24"/>
        </w:rPr>
        <w:t>.</w:t>
      </w:r>
      <w:r>
        <w:rPr>
          <w:b/>
          <w:szCs w:val="24"/>
        </w:rPr>
        <w:tab/>
        <w:t>Статья 9</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121.</w:t>
      </w:r>
      <w:r>
        <w:rPr>
          <w:szCs w:val="24"/>
        </w:rPr>
        <w:tab/>
        <w:t>Гондурас по соответствующей просьбе сотрудничает с другими странами и оказывает им содействие в данной области.  Это касается не только пыток и других жестоких, бесчеловечных или унижающих достоинство видов обращения и наказания, но и вообще всех видов преступлений.  В этом отношении применяются положения статьи 149 Уголовно-процессуального кодекса, которая дословно гласит следующее:  "Ходатайство перед иностранными судами.  Ходатайства, направляемые в адрес иностранных судов или компетентных органов, либо поступающие от них, проводятся по дипломатическим каналам.  В исключительных и особо серьезных случаях судья или специально назначаемый</w:t>
      </w:r>
      <w:r>
        <w:rPr>
          <w:b/>
          <w:i/>
          <w:szCs w:val="24"/>
        </w:rPr>
        <w:t xml:space="preserve"> </w:t>
      </w:r>
      <w:r>
        <w:rPr>
          <w:szCs w:val="24"/>
        </w:rPr>
        <w:t>член суда правосудия может осуществлять процессуально-следственные действия в другом государстве с предварительной санкции последнего …".</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122.</w:t>
      </w:r>
      <w:r>
        <w:rPr>
          <w:szCs w:val="24"/>
        </w:rPr>
        <w:tab/>
        <w:t xml:space="preserve">Были подписаны и ныне действуют следующие двусторонние и многосторонние договоры о взаимной правовой помощи:  </w:t>
      </w:r>
      <w:r>
        <w:rPr>
          <w:szCs w:val="24"/>
          <w:lang w:val="en-US"/>
        </w:rPr>
        <w:t>a</w:t>
      </w:r>
      <w:r>
        <w:rPr>
          <w:szCs w:val="24"/>
        </w:rPr>
        <w:t xml:space="preserve">)  </w:t>
      </w:r>
      <w:r>
        <w:rPr>
          <w:bCs/>
          <w:color w:val="000000"/>
          <w:szCs w:val="24"/>
          <w:lang w:eastAsia="ru-RU"/>
        </w:rPr>
        <w:t xml:space="preserve">Межамериканская конвенция о судебных поручениях, подписанная 30 января 1975 года в Панаме и опубликованная </w:t>
      </w:r>
      <w:r>
        <w:rPr>
          <w:szCs w:val="24"/>
        </w:rPr>
        <w:t>в официальном вестнике "</w:t>
      </w:r>
      <w:r>
        <w:rPr>
          <w:i/>
          <w:szCs w:val="24"/>
        </w:rPr>
        <w:t>Ла Гасета</w:t>
      </w:r>
      <w:r>
        <w:rPr>
          <w:szCs w:val="24"/>
        </w:rPr>
        <w:t xml:space="preserve">" за № 22512 от 1 июня 1978 года;  </w:t>
      </w:r>
      <w:r>
        <w:rPr>
          <w:szCs w:val="24"/>
          <w:lang w:val="en-US"/>
        </w:rPr>
        <w:t>b</w:t>
      </w:r>
      <w:r>
        <w:rPr>
          <w:szCs w:val="24"/>
        </w:rPr>
        <w:t xml:space="preserve">)  </w:t>
      </w:r>
      <w:r>
        <w:rPr>
          <w:bCs/>
          <w:color w:val="000000"/>
          <w:szCs w:val="24"/>
          <w:lang w:eastAsia="ru-RU"/>
        </w:rPr>
        <w:t>Межамериканская конвенция о взаимной помощи по уголовно-правовым вопросам</w:t>
      </w:r>
      <w:r>
        <w:rPr>
          <w:szCs w:val="24"/>
        </w:rPr>
        <w:t xml:space="preserve"> и Факультативный протокол к ней, опубликованные в официальном вестнике "</w:t>
      </w:r>
      <w:r>
        <w:rPr>
          <w:i/>
          <w:szCs w:val="24"/>
        </w:rPr>
        <w:t>Ла Гасета</w:t>
      </w:r>
      <w:r>
        <w:rPr>
          <w:szCs w:val="24"/>
        </w:rPr>
        <w:t xml:space="preserve">" за № 31009 от 6 сентября 2006 года;  </w:t>
      </w:r>
      <w:r>
        <w:rPr>
          <w:szCs w:val="24"/>
          <w:lang w:val="en-US"/>
        </w:rPr>
        <w:t>c</w:t>
      </w:r>
      <w:r>
        <w:rPr>
          <w:szCs w:val="24"/>
        </w:rPr>
        <w:t>)  Договор о взаимной правовой помощи по уголовным вопросам между республиками Коста-Рика, Сальвадор, Гватемала, Гондурас, Никарагуа и Панама, опубликованный в официальном вестнике "</w:t>
      </w:r>
      <w:r>
        <w:rPr>
          <w:i/>
          <w:szCs w:val="24"/>
        </w:rPr>
        <w:t>Ла Гасета</w:t>
      </w:r>
      <w:r>
        <w:rPr>
          <w:szCs w:val="24"/>
        </w:rPr>
        <w:t xml:space="preserve">" за № 28623 от 20 мая 1997 года;  </w:t>
      </w:r>
      <w:r>
        <w:rPr>
          <w:szCs w:val="24"/>
          <w:lang w:val="en-US"/>
        </w:rPr>
        <w:t>d</w:t>
      </w:r>
      <w:r>
        <w:rPr>
          <w:szCs w:val="24"/>
        </w:rPr>
        <w:t xml:space="preserve">)  Договор о взаимной юридической </w:t>
      </w:r>
      <w:r>
        <w:rPr>
          <w:bCs/>
          <w:color w:val="000000"/>
          <w:szCs w:val="24"/>
          <w:lang w:eastAsia="ru-RU"/>
        </w:rPr>
        <w:t>помощи по уголовно-правовым вопросам</w:t>
      </w:r>
      <w:r>
        <w:rPr>
          <w:szCs w:val="24"/>
        </w:rPr>
        <w:t xml:space="preserve"> между Республикой Гондурас и Мексиканскими Соединенными Штатами, опубликованный в официальном вестнике "</w:t>
      </w:r>
      <w:r>
        <w:rPr>
          <w:i/>
          <w:szCs w:val="24"/>
        </w:rPr>
        <w:t>Ла Гасета</w:t>
      </w:r>
      <w:r>
        <w:rPr>
          <w:szCs w:val="24"/>
        </w:rPr>
        <w:t xml:space="preserve">" за № 31171 от 4 декабря 2006 года;  </w:t>
      </w:r>
      <w:r>
        <w:rPr>
          <w:szCs w:val="24"/>
          <w:lang w:val="en-US"/>
        </w:rPr>
        <w:t>e</w:t>
      </w:r>
      <w:r>
        <w:rPr>
          <w:szCs w:val="24"/>
        </w:rPr>
        <w:t xml:space="preserve">)  Договор между правительством Республики Гондурас и правительством Федеративной Республики Бразилия о взаимной юридической </w:t>
      </w:r>
      <w:r>
        <w:rPr>
          <w:bCs/>
          <w:color w:val="000000"/>
          <w:szCs w:val="24"/>
          <w:lang w:eastAsia="ru-RU"/>
        </w:rPr>
        <w:t xml:space="preserve">помощи по уголовно-правовым вопросам, </w:t>
      </w:r>
      <w:r>
        <w:rPr>
          <w:szCs w:val="24"/>
        </w:rPr>
        <w:t>опубликованный в официальном вестнике "</w:t>
      </w:r>
      <w:r>
        <w:rPr>
          <w:i/>
          <w:szCs w:val="24"/>
        </w:rPr>
        <w:t>Ла Гасета</w:t>
      </w:r>
      <w:r>
        <w:rPr>
          <w:szCs w:val="24"/>
        </w:rPr>
        <w:t>" за № 301521 от 30 января 2008 года</w:t>
      </w:r>
      <w:r>
        <w:rPr>
          <w:rStyle w:val="FootnoteReference"/>
          <w:szCs w:val="24"/>
        </w:rPr>
        <w:footnoteReference w:customMarkFollows="1" w:id="27"/>
        <w:t>27</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123.</w:t>
      </w:r>
      <w:r>
        <w:rPr>
          <w:szCs w:val="24"/>
        </w:rPr>
        <w:tab/>
        <w:t xml:space="preserve">Согласно информации, представленной Верховным судом, Гондурас не обращался к другим странам с просьбами, равно как не получал от других стран просьб о помощи в деле проведения или содействия в проведении расследования и судебного преследования за применение пыток и совершение других преступлений, оговоренных в Конвенции. </w:t>
      </w:r>
    </w:p>
    <w:p w:rsidR="00000000" w:rsidRDefault="00000000">
      <w:pPr>
        <w:tabs>
          <w:tab w:val="clear" w:pos="1701"/>
          <w:tab w:val="left" w:pos="1683"/>
        </w:tabs>
        <w:rPr>
          <w:szCs w:val="24"/>
        </w:rPr>
      </w:pPr>
    </w:p>
    <w:p w:rsidR="00000000" w:rsidRDefault="00000000">
      <w:pPr>
        <w:tabs>
          <w:tab w:val="clear" w:pos="1701"/>
          <w:tab w:val="left" w:pos="1683"/>
        </w:tabs>
        <w:jc w:val="center"/>
        <w:rPr>
          <w:szCs w:val="24"/>
        </w:rPr>
      </w:pPr>
      <w:r>
        <w:rPr>
          <w:b/>
          <w:szCs w:val="24"/>
          <w:lang w:val="en-US"/>
        </w:rPr>
        <w:t>J</w:t>
      </w:r>
      <w:r>
        <w:rPr>
          <w:b/>
          <w:szCs w:val="24"/>
        </w:rPr>
        <w:t>.</w:t>
      </w:r>
      <w:r>
        <w:rPr>
          <w:b/>
          <w:szCs w:val="24"/>
        </w:rPr>
        <w:tab/>
        <w:t>Статья 10</w:t>
      </w:r>
    </w:p>
    <w:p w:rsidR="00000000" w:rsidRDefault="00000000">
      <w:pPr>
        <w:tabs>
          <w:tab w:val="clear" w:pos="1701"/>
          <w:tab w:val="left" w:pos="1683"/>
        </w:tabs>
        <w:rPr>
          <w:szCs w:val="24"/>
        </w:rPr>
      </w:pPr>
    </w:p>
    <w:p w:rsidR="00000000" w:rsidRDefault="00000000">
      <w:pPr>
        <w:tabs>
          <w:tab w:val="clear" w:pos="1701"/>
          <w:tab w:val="left" w:pos="1683"/>
        </w:tabs>
        <w:rPr>
          <w:b/>
          <w:szCs w:val="24"/>
        </w:rPr>
      </w:pPr>
      <w:r>
        <w:rPr>
          <w:b/>
          <w:szCs w:val="24"/>
        </w:rPr>
        <w:t>1.</w:t>
      </w:r>
      <w:r>
        <w:rPr>
          <w:b/>
          <w:szCs w:val="24"/>
        </w:rPr>
        <w:tab/>
        <w:t>Судебная власть</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124.</w:t>
      </w:r>
      <w:r>
        <w:rPr>
          <w:szCs w:val="24"/>
        </w:rPr>
        <w:tab/>
        <w:t xml:space="preserve">После подписания соглашений с </w:t>
      </w:r>
      <w:r>
        <w:rPr>
          <w:bCs/>
          <w:szCs w:val="24"/>
        </w:rPr>
        <w:t xml:space="preserve">Латиноамериканским институтом по предупреждению преступности и обращению с правонарушителями (ИЛАНУД) был проведен Форум по конституционным правам и уголовному судопроизводству, в котором приняли участие представители </w:t>
      </w:r>
      <w:r>
        <w:rPr>
          <w:szCs w:val="24"/>
        </w:rPr>
        <w:t xml:space="preserve">Центра профилактики, лечения и реабилитации жертв пыток (ЦПЛРП), Коллегии адвокатов, факультета права Национального автономного университета Гондураса и Народной юридической консультации, а также присутствовали </w:t>
      </w:r>
      <w:r>
        <w:rPr>
          <w:bCs/>
          <w:szCs w:val="24"/>
        </w:rPr>
        <w:t xml:space="preserve">представители Прокуратуры, организаций гражданского общества, государственной защиты и члены </w:t>
      </w:r>
      <w:r>
        <w:rPr>
          <w:szCs w:val="24"/>
        </w:rPr>
        <w:t>ЦПЛРП.  Кроме того, для руководителей и психологов уголовно-исполнительных учреждений страны был организован Коллоквиум по проблемам пенитенциарной системы в Латинской Америке.  В 2007 году Училище по подготовке судейских служащих им. Франсиско Соломона Хименеса Кастро осуществило следующие мероприятия по повышению квалификации:  а)  по состоянию на сегодняшний день было проведено 6 занятий на тему "Закон о противодействии бытовому насилию", направленных на повышение квалификации секретарей и писарей, работающих в судах различных инстанций городов Тегусигальпа и Сан-Педро-Сула;  b)  в рамках тематики защиты прав человека в городах Тегусигальпа и Сан-Педро-Сула был проведен семинар "Восстановление прав малолетних преступников" для профессиональных судей и государственных защитников, работающих в этой области на национальном уровне.</w:t>
      </w:r>
    </w:p>
    <w:p w:rsidR="00000000" w:rsidRDefault="00000000">
      <w:pPr>
        <w:tabs>
          <w:tab w:val="clear" w:pos="1701"/>
          <w:tab w:val="left" w:pos="1683"/>
        </w:tabs>
        <w:rPr>
          <w:szCs w:val="24"/>
        </w:rPr>
      </w:pPr>
    </w:p>
    <w:p w:rsidR="00000000" w:rsidRDefault="00000000">
      <w:pPr>
        <w:rPr>
          <w:szCs w:val="24"/>
        </w:rPr>
      </w:pPr>
      <w:r>
        <w:rPr>
          <w:szCs w:val="24"/>
        </w:rPr>
        <w:t>125.</w:t>
      </w:r>
      <w:r>
        <w:rPr>
          <w:szCs w:val="24"/>
        </w:rPr>
        <w:tab/>
        <w:t>В 2007 году в координации с органами судебной власти и Центром профилактики, лечения и реабилитации для жертв пыток и членов их семей (ЦПЛРП) также были проведены следующие семинары:</w:t>
      </w:r>
    </w:p>
    <w:p w:rsidR="00000000" w:rsidRDefault="00000000">
      <w:pPr>
        <w:rPr>
          <w:szCs w:val="24"/>
        </w:rPr>
      </w:pPr>
    </w:p>
    <w:p w:rsidR="00000000" w:rsidRDefault="00000000">
      <w:pPr>
        <w:ind w:left="1134" w:hanging="1134"/>
        <w:rPr>
          <w:szCs w:val="24"/>
        </w:rPr>
      </w:pPr>
      <w:r>
        <w:rPr>
          <w:szCs w:val="24"/>
        </w:rPr>
        <w:tab/>
        <w:t>a)</w:t>
      </w:r>
      <w:r>
        <w:rPr>
          <w:szCs w:val="24"/>
        </w:rPr>
        <w:tab/>
        <w:t>по теме "Применение и распространение Регламента главы IV Закона о полиции и общественном порядке в отношении правомерной процессуальной практики содержания под стражей в полиции и Памятка по правам задержанных" было охвачено 72 полицейских - сотрудников уголовно-исполнительных учреждений в городах Комаягуа, Ла-Пас, Маркала, Ла-Эсперанса, Чолутека и Накаоме, причем занятия проводили судьи по делам исполнения наказаний из Комаягуа и Чолутека;</w:t>
      </w:r>
    </w:p>
    <w:p w:rsidR="00000000" w:rsidRDefault="00000000">
      <w:pPr>
        <w:rPr>
          <w:szCs w:val="24"/>
        </w:rPr>
      </w:pPr>
    </w:p>
    <w:p w:rsidR="00000000" w:rsidRDefault="00000000">
      <w:pPr>
        <w:ind w:left="1134" w:hanging="1134"/>
        <w:rPr>
          <w:szCs w:val="24"/>
        </w:rPr>
      </w:pPr>
      <w:r>
        <w:rPr>
          <w:szCs w:val="24"/>
        </w:rPr>
        <w:tab/>
        <w:t>b)</w:t>
      </w:r>
      <w:r>
        <w:rPr>
          <w:szCs w:val="24"/>
        </w:rPr>
        <w:tab/>
        <w:t>по теме "Применение и распространение Регламента статьи IV Закона о полиции и общественном порядке в отношении правомерной процессуальной практики содержания под стражей в полиции и Памятка по правам задержанных" было охвачено 75 полицейских основного звена в Тегусигальпе и Сан-Педро-Сула;</w:t>
      </w:r>
    </w:p>
    <w:p w:rsidR="00000000" w:rsidRDefault="00000000">
      <w:pPr>
        <w:rPr>
          <w:szCs w:val="24"/>
        </w:rPr>
      </w:pPr>
    </w:p>
    <w:p w:rsidR="00000000" w:rsidRDefault="00000000">
      <w:pPr>
        <w:ind w:left="1134" w:hanging="1134"/>
        <w:rPr>
          <w:szCs w:val="24"/>
        </w:rPr>
      </w:pPr>
      <w:r>
        <w:rPr>
          <w:szCs w:val="24"/>
        </w:rPr>
        <w:tab/>
        <w:t>c)</w:t>
      </w:r>
      <w:r>
        <w:rPr>
          <w:szCs w:val="24"/>
        </w:rPr>
        <w:tab/>
        <w:t>три семинара на тему "Основные документы и подход к проблеме пыток и жестокого, бесчеловечного и унижающего достоинство обращения":</w:t>
      </w:r>
    </w:p>
    <w:p w:rsidR="00000000" w:rsidRDefault="00000000">
      <w:pPr>
        <w:rPr>
          <w:szCs w:val="24"/>
        </w:rPr>
      </w:pPr>
    </w:p>
    <w:p w:rsidR="00000000" w:rsidRDefault="00000000">
      <w:pPr>
        <w:ind w:left="1701" w:hanging="1701"/>
        <w:rPr>
          <w:szCs w:val="24"/>
        </w:rPr>
      </w:pPr>
      <w:r>
        <w:rPr>
          <w:szCs w:val="24"/>
        </w:rPr>
        <w:tab/>
      </w:r>
      <w:r>
        <w:rPr>
          <w:szCs w:val="24"/>
        </w:rPr>
        <w:tab/>
        <w:t>i)</w:t>
      </w:r>
      <w:r>
        <w:rPr>
          <w:szCs w:val="24"/>
        </w:rPr>
        <w:tab/>
        <w:t>один проведен в городе Ла-Сейба, и в нем приняли участие 19 человек, работающих в различных службах, представленных в тюрьмах;</w:t>
      </w:r>
    </w:p>
    <w:p w:rsidR="00000000" w:rsidRDefault="00000000">
      <w:pPr>
        <w:rPr>
          <w:szCs w:val="24"/>
        </w:rPr>
      </w:pPr>
    </w:p>
    <w:p w:rsidR="00000000" w:rsidRDefault="00000000">
      <w:pPr>
        <w:ind w:left="1701" w:hanging="1701"/>
        <w:rPr>
          <w:szCs w:val="24"/>
        </w:rPr>
      </w:pPr>
      <w:r>
        <w:rPr>
          <w:szCs w:val="24"/>
        </w:rPr>
        <w:tab/>
      </w:r>
      <w:r>
        <w:rPr>
          <w:szCs w:val="24"/>
        </w:rPr>
        <w:tab/>
        <w:t>ii)</w:t>
      </w:r>
      <w:r>
        <w:rPr>
          <w:szCs w:val="24"/>
        </w:rPr>
        <w:tab/>
        <w:t>другой проведен в городе Сан-Педро-Сула, и в нем приняли участие 12 человек, работающих в различных службах, представленных в тюрьмах;</w:t>
      </w:r>
    </w:p>
    <w:p w:rsidR="00000000" w:rsidRDefault="00000000">
      <w:pPr>
        <w:rPr>
          <w:szCs w:val="24"/>
        </w:rPr>
      </w:pPr>
    </w:p>
    <w:p w:rsidR="00000000" w:rsidRDefault="00000000">
      <w:pPr>
        <w:ind w:left="1701" w:hanging="1701"/>
        <w:rPr>
          <w:szCs w:val="24"/>
        </w:rPr>
      </w:pPr>
      <w:r>
        <w:rPr>
          <w:szCs w:val="24"/>
        </w:rPr>
        <w:tab/>
      </w:r>
      <w:r>
        <w:rPr>
          <w:szCs w:val="24"/>
        </w:rPr>
        <w:tab/>
        <w:t>iii)</w:t>
      </w:r>
      <w:r>
        <w:rPr>
          <w:szCs w:val="24"/>
        </w:rPr>
        <w:tab/>
        <w:t>третий проведен в городе Комаягуа, и в нем приняли участие 16 человек:  судьи по делам исполнения наказаний, судебные медэксперты, прокурорские работники, врач из колонии-поселения в Комаягуа и представители Национального управления уполномоченного по правам человека.</w:t>
      </w:r>
    </w:p>
    <w:p w:rsidR="00000000" w:rsidRDefault="00000000">
      <w:pPr>
        <w:rPr>
          <w:szCs w:val="24"/>
        </w:rPr>
      </w:pPr>
    </w:p>
    <w:p w:rsidR="00000000" w:rsidRDefault="00000000">
      <w:pPr>
        <w:tabs>
          <w:tab w:val="clear" w:pos="1701"/>
          <w:tab w:val="left" w:pos="1683"/>
        </w:tabs>
        <w:ind w:left="1134" w:hanging="1134"/>
        <w:rPr>
          <w:szCs w:val="24"/>
        </w:rPr>
      </w:pPr>
      <w:r>
        <w:rPr>
          <w:szCs w:val="24"/>
        </w:rPr>
        <w:tab/>
      </w:r>
      <w:r>
        <w:rPr>
          <w:szCs w:val="24"/>
        </w:rPr>
        <w:tab/>
        <w:t>С тем чтобы облегчить проведение вышеназванных семинаров, было разработано учебное пособие "Мониторинг права на жизнь, на физическую и психическую неприкосновенность задержанных мужчин и женщин".</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126.</w:t>
      </w:r>
      <w:r>
        <w:rPr>
          <w:szCs w:val="24"/>
        </w:rPr>
        <w:tab/>
        <w:t>В рамках темы, связанной с женщинами, в июне 2004 года было подписано Соглашение о взаимном сотрудничестве между судебной властью и Национальным институтом по делам женщин (ИНАМ), благодаря чему удалось внедрить Систему мониторинга случаев заявлений о бытовом насилии, помогающую судьям собирать информацию, отслеживать факты и проводить консультации при расследовании случаев бытового насилия.  Этот инструмент позволяет централизованно обрабатывать заявления о бытовом насилии на национальном уровне и предоставляет статистические данные, которые служат для разработки политики и принятия решений учреждениями, занимающимися данной проблематикой.  Система действует в судах первой инстанции, специализирующихся на делах о бытовом насилии, в городе Тегусигальпа и в судах первой и второй инстанции по семейным делам в городе Сан-Педро-Сула</w:t>
      </w:r>
      <w:r>
        <w:rPr>
          <w:rStyle w:val="FootnoteReference"/>
          <w:szCs w:val="24"/>
        </w:rPr>
        <w:footnoteReference w:customMarkFollows="1" w:id="28"/>
        <w:t>28</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b/>
          <w:szCs w:val="24"/>
        </w:rPr>
      </w:pPr>
      <w:r>
        <w:rPr>
          <w:b/>
          <w:szCs w:val="24"/>
        </w:rPr>
        <w:t>2.</w:t>
      </w:r>
      <w:r>
        <w:rPr>
          <w:b/>
          <w:szCs w:val="24"/>
        </w:rPr>
        <w:tab/>
        <w:t>Министерство безопасности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127.</w:t>
      </w:r>
      <w:r>
        <w:rPr>
          <w:szCs w:val="24"/>
        </w:rPr>
        <w:tab/>
        <w:t>Права человека как учебная дисциплина изучается на всех уровнях подготовки полицейских кадров и имеет следующие формы:  a)  предусмотрена подготовка магистров в области безопасности человека, которая подразделяется на два направления:  "Безопасность человека и защита прав человека", "Безопасность человека и гендерное равноправие".  Занятия данной магистратуры завершились в 2007 году, и в настоящее время студенты работают над диссертациями;  b)  Высшая школа обучения полицейских кадров готовит дипломированных специалистов и аспирантов, претендующих на повышение по службе.  Программа их подготовки включает такой предмет, как "Воспитание на ценностях полицейской службы", при изучении которого рассматриваются темы нравственных ценностей, морали и этики;  c)  Национальная академия полиции, которая выпускает лиценциатов в области полицейских наук и криминального расследования.  В их программу обучения входит предмет по правам человека (с четырьмя оценочными показателями) общим объемом 60 учебных часов;  d)  в Училище унтер-офицеров преподается предмет "Семейное право и гендерное равноправие" общим объемом 25 часов;  e)  центры подготовки полицейских, расположенные в городах Ла-Пас и Пуэрто-Кортéс, проводят занятия на следующие темы:  "Гендерное равноправие" - 14 часов;  "Сексуальная эксплуатация девочек и мальчиков подросткового возраста" - 16 часов;  "Права человека" - 10 часов;  f)  в Училище по подготовке служащих пенитенциарных учреждений изучаются следующие предметы:  "Социально-гуманистическое воспитание" - 35 часов;  "Углубленное социально-гуманистическое воспитание I" - 20 часов;  "Углубленное социально-гуманистическое воспитание II" - 20 часов;  g)  Центр по изучению и продвижению прав человека во всех своих учебных центрах постоянно организует семинар по правам человека, имеющий в свой основе полицейскую деятельность с упором на уважение прав человека</w:t>
      </w:r>
      <w:r>
        <w:rPr>
          <w:rStyle w:val="FootnoteReference"/>
          <w:szCs w:val="24"/>
        </w:rPr>
        <w:footnoteReference w:customMarkFollows="1" w:id="29"/>
        <w:t>29</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128.</w:t>
      </w:r>
      <w:r>
        <w:rPr>
          <w:szCs w:val="24"/>
        </w:rPr>
        <w:tab/>
        <w:t xml:space="preserve">12 марта 2003 года неправительственная организация Центр профилактики, лечения и реабилитации для жертв пыток и членов их семей (ЦПЛРП) обновила соглашения и договоры с такими правительственными учреждениями, как Прокуратура и министерство безопасности, а также с правозащитными международными организациями, в том числе </w:t>
      </w:r>
      <w:r>
        <w:rPr>
          <w:bCs/>
          <w:szCs w:val="24"/>
        </w:rPr>
        <w:t>Латиноамериканским институтом по предупреждению преступности и обращению с правонарушителями</w:t>
      </w:r>
      <w:r>
        <w:rPr>
          <w:szCs w:val="24"/>
        </w:rPr>
        <w:t xml:space="preserve"> (ИЛАНУД).  Данный шаг конкретизировал совместную работу с целью способствовать процессу комплексного обучения и подготовки полицейских служащих, обеспечив повышение уровня знаний учащихся и преподавателей различных учебных заведений</w:t>
      </w:r>
      <w:r>
        <w:rPr>
          <w:rStyle w:val="FootnoteReference"/>
          <w:szCs w:val="24"/>
        </w:rPr>
        <w:footnoteReference w:customMarkFollows="1" w:id="30"/>
        <w:t>30</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spacing w:line="240" w:lineRule="auto"/>
        <w:ind w:left="567" w:hanging="567"/>
        <w:rPr>
          <w:b/>
          <w:szCs w:val="24"/>
        </w:rPr>
      </w:pPr>
      <w:r>
        <w:rPr>
          <w:b/>
          <w:szCs w:val="24"/>
        </w:rPr>
        <w:br w:type="page"/>
      </w:r>
      <w:r>
        <w:rPr>
          <w:b/>
          <w:szCs w:val="24"/>
        </w:rPr>
        <w:tab/>
        <w:t>Таблица 1:  Лица, прошедшие подготовку и обучение по теме "Лица, лишенные свободы" за период 1999-2006 годов</w:t>
      </w:r>
    </w:p>
    <w:p w:rsidR="00000000" w:rsidRDefault="00000000">
      <w:pPr>
        <w:tabs>
          <w:tab w:val="clear" w:pos="1701"/>
          <w:tab w:val="left" w:pos="1683"/>
        </w:tabs>
        <w:spacing w:line="240" w:lineRule="auto"/>
        <w:rPr>
          <w:szCs w:val="24"/>
        </w:rPr>
      </w:pPr>
    </w:p>
    <w:tbl>
      <w:tblPr>
        <w:tblStyle w:val="TableGrid"/>
        <w:tblW w:w="0" w:type="auto"/>
        <w:jc w:val="center"/>
        <w:tblInd w:w="1242" w:type="dxa"/>
        <w:tblLook w:val="01E0" w:firstRow="1" w:lastRow="1" w:firstColumn="1" w:lastColumn="1" w:noHBand="0" w:noVBand="0"/>
      </w:tblPr>
      <w:tblGrid>
        <w:gridCol w:w="2126"/>
        <w:gridCol w:w="2410"/>
      </w:tblGrid>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Год</w:t>
            </w:r>
          </w:p>
        </w:tc>
        <w:tc>
          <w:tcPr>
            <w:tcW w:w="2410" w:type="dxa"/>
          </w:tcPr>
          <w:p w:rsidR="00000000" w:rsidRDefault="00000000">
            <w:pPr>
              <w:tabs>
                <w:tab w:val="clear" w:pos="1701"/>
                <w:tab w:val="left" w:pos="1683"/>
              </w:tabs>
              <w:spacing w:line="240" w:lineRule="auto"/>
              <w:jc w:val="center"/>
              <w:rPr>
                <w:b/>
                <w:szCs w:val="24"/>
              </w:rPr>
            </w:pPr>
            <w:r>
              <w:rPr>
                <w:b/>
                <w:szCs w:val="24"/>
              </w:rPr>
              <w:t>Количество</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1999-2002</w:t>
            </w:r>
          </w:p>
        </w:tc>
        <w:tc>
          <w:tcPr>
            <w:tcW w:w="2410" w:type="dxa"/>
          </w:tcPr>
          <w:p w:rsidR="00000000" w:rsidRDefault="00000000">
            <w:pPr>
              <w:tabs>
                <w:tab w:val="clear" w:pos="1701"/>
                <w:tab w:val="left" w:pos="1683"/>
              </w:tabs>
              <w:spacing w:line="240" w:lineRule="auto"/>
              <w:jc w:val="center"/>
              <w:rPr>
                <w:szCs w:val="24"/>
              </w:rPr>
            </w:pPr>
            <w:r>
              <w:rPr>
                <w:szCs w:val="24"/>
              </w:rPr>
              <w:t>2 600</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2003-2006</w:t>
            </w:r>
          </w:p>
        </w:tc>
        <w:tc>
          <w:tcPr>
            <w:tcW w:w="2410" w:type="dxa"/>
          </w:tcPr>
          <w:p w:rsidR="00000000" w:rsidRDefault="00000000">
            <w:pPr>
              <w:tabs>
                <w:tab w:val="clear" w:pos="1701"/>
                <w:tab w:val="left" w:pos="1683"/>
              </w:tabs>
              <w:spacing w:line="240" w:lineRule="auto"/>
              <w:jc w:val="center"/>
              <w:rPr>
                <w:szCs w:val="24"/>
              </w:rPr>
            </w:pPr>
            <w:r>
              <w:rPr>
                <w:szCs w:val="24"/>
              </w:rPr>
              <w:t>2 628</w:t>
            </w:r>
          </w:p>
        </w:tc>
      </w:tr>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Всего</w:t>
            </w:r>
          </w:p>
        </w:tc>
        <w:tc>
          <w:tcPr>
            <w:tcW w:w="2410" w:type="dxa"/>
          </w:tcPr>
          <w:p w:rsidR="00000000" w:rsidRDefault="00000000">
            <w:pPr>
              <w:tabs>
                <w:tab w:val="clear" w:pos="1701"/>
                <w:tab w:val="left" w:pos="1683"/>
              </w:tabs>
              <w:spacing w:line="240" w:lineRule="auto"/>
              <w:jc w:val="center"/>
              <w:rPr>
                <w:szCs w:val="24"/>
              </w:rPr>
            </w:pPr>
            <w:r>
              <w:rPr>
                <w:szCs w:val="24"/>
              </w:rPr>
              <w:t>5 228</w:t>
            </w:r>
          </w:p>
        </w:tc>
      </w:tr>
    </w:tbl>
    <w:p w:rsidR="00000000" w:rsidRDefault="00000000">
      <w:pPr>
        <w:tabs>
          <w:tab w:val="clear" w:pos="1701"/>
          <w:tab w:val="left" w:pos="1683"/>
        </w:tabs>
        <w:spacing w:line="240" w:lineRule="auto"/>
        <w:rPr>
          <w:szCs w:val="24"/>
        </w:rPr>
      </w:pPr>
    </w:p>
    <w:p w:rsidR="00000000" w:rsidRDefault="00000000">
      <w:pPr>
        <w:tabs>
          <w:tab w:val="clear" w:pos="1701"/>
          <w:tab w:val="left" w:pos="1683"/>
        </w:tabs>
        <w:spacing w:line="240" w:lineRule="auto"/>
        <w:ind w:left="567" w:hanging="567"/>
        <w:rPr>
          <w:b/>
          <w:szCs w:val="24"/>
        </w:rPr>
      </w:pPr>
      <w:r>
        <w:rPr>
          <w:b/>
          <w:szCs w:val="24"/>
        </w:rPr>
        <w:tab/>
        <w:t>Таблица 2:  Сотрудники пенитенциарной полиции</w:t>
      </w:r>
    </w:p>
    <w:p w:rsidR="00000000" w:rsidRDefault="00000000">
      <w:pPr>
        <w:tabs>
          <w:tab w:val="clear" w:pos="1701"/>
          <w:tab w:val="left" w:pos="1683"/>
        </w:tabs>
        <w:spacing w:line="240" w:lineRule="auto"/>
        <w:rPr>
          <w:szCs w:val="24"/>
        </w:rPr>
      </w:pPr>
    </w:p>
    <w:tbl>
      <w:tblPr>
        <w:tblStyle w:val="TableGrid"/>
        <w:tblW w:w="0" w:type="auto"/>
        <w:jc w:val="center"/>
        <w:tblInd w:w="1242" w:type="dxa"/>
        <w:tblLook w:val="01E0" w:firstRow="1" w:lastRow="1" w:firstColumn="1" w:lastColumn="1" w:noHBand="0" w:noVBand="0"/>
      </w:tblPr>
      <w:tblGrid>
        <w:gridCol w:w="2126"/>
        <w:gridCol w:w="2410"/>
      </w:tblGrid>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Год</w:t>
            </w:r>
          </w:p>
        </w:tc>
        <w:tc>
          <w:tcPr>
            <w:tcW w:w="2410" w:type="dxa"/>
          </w:tcPr>
          <w:p w:rsidR="00000000" w:rsidRDefault="00000000">
            <w:pPr>
              <w:tabs>
                <w:tab w:val="clear" w:pos="1701"/>
                <w:tab w:val="left" w:pos="1683"/>
              </w:tabs>
              <w:spacing w:line="240" w:lineRule="auto"/>
              <w:jc w:val="center"/>
              <w:rPr>
                <w:b/>
                <w:szCs w:val="24"/>
              </w:rPr>
            </w:pPr>
            <w:r>
              <w:rPr>
                <w:b/>
                <w:szCs w:val="24"/>
              </w:rPr>
              <w:t>Количество</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1999-2002</w:t>
            </w:r>
          </w:p>
        </w:tc>
        <w:tc>
          <w:tcPr>
            <w:tcW w:w="2410" w:type="dxa"/>
          </w:tcPr>
          <w:p w:rsidR="00000000" w:rsidRDefault="00000000">
            <w:pPr>
              <w:tabs>
                <w:tab w:val="clear" w:pos="1701"/>
                <w:tab w:val="left" w:pos="1683"/>
              </w:tabs>
              <w:spacing w:line="240" w:lineRule="auto"/>
              <w:jc w:val="center"/>
              <w:rPr>
                <w:szCs w:val="24"/>
              </w:rPr>
            </w:pPr>
            <w:r>
              <w:rPr>
                <w:szCs w:val="24"/>
              </w:rPr>
              <w:t>504</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2003-2006</w:t>
            </w:r>
          </w:p>
        </w:tc>
        <w:tc>
          <w:tcPr>
            <w:tcW w:w="2410" w:type="dxa"/>
          </w:tcPr>
          <w:p w:rsidR="00000000" w:rsidRDefault="00000000">
            <w:pPr>
              <w:tabs>
                <w:tab w:val="clear" w:pos="1701"/>
                <w:tab w:val="left" w:pos="1683"/>
              </w:tabs>
              <w:spacing w:line="240" w:lineRule="auto"/>
              <w:jc w:val="center"/>
              <w:rPr>
                <w:szCs w:val="24"/>
              </w:rPr>
            </w:pPr>
            <w:r>
              <w:rPr>
                <w:szCs w:val="24"/>
              </w:rPr>
              <w:t>142</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2007</w:t>
            </w:r>
          </w:p>
        </w:tc>
        <w:tc>
          <w:tcPr>
            <w:tcW w:w="2410" w:type="dxa"/>
          </w:tcPr>
          <w:p w:rsidR="00000000" w:rsidRDefault="00000000">
            <w:pPr>
              <w:tabs>
                <w:tab w:val="clear" w:pos="1701"/>
                <w:tab w:val="left" w:pos="1683"/>
              </w:tabs>
              <w:spacing w:line="240" w:lineRule="auto"/>
              <w:jc w:val="center"/>
              <w:rPr>
                <w:szCs w:val="24"/>
              </w:rPr>
            </w:pPr>
            <w:r>
              <w:rPr>
                <w:szCs w:val="24"/>
              </w:rPr>
              <w:t>116</w:t>
            </w:r>
          </w:p>
        </w:tc>
      </w:tr>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Всего</w:t>
            </w:r>
          </w:p>
        </w:tc>
        <w:tc>
          <w:tcPr>
            <w:tcW w:w="2410" w:type="dxa"/>
          </w:tcPr>
          <w:p w:rsidR="00000000" w:rsidRDefault="00000000">
            <w:pPr>
              <w:tabs>
                <w:tab w:val="clear" w:pos="1701"/>
                <w:tab w:val="left" w:pos="1683"/>
              </w:tabs>
              <w:spacing w:line="240" w:lineRule="auto"/>
              <w:jc w:val="center"/>
              <w:rPr>
                <w:szCs w:val="24"/>
              </w:rPr>
            </w:pPr>
            <w:r>
              <w:rPr>
                <w:szCs w:val="24"/>
              </w:rPr>
              <w:t>762</w:t>
            </w:r>
          </w:p>
        </w:tc>
      </w:tr>
    </w:tbl>
    <w:p w:rsidR="00000000" w:rsidRDefault="00000000">
      <w:pPr>
        <w:tabs>
          <w:tab w:val="clear" w:pos="1701"/>
          <w:tab w:val="left" w:pos="1683"/>
        </w:tabs>
        <w:spacing w:line="240" w:lineRule="auto"/>
        <w:rPr>
          <w:szCs w:val="24"/>
        </w:rPr>
      </w:pPr>
    </w:p>
    <w:p w:rsidR="00000000" w:rsidRDefault="00000000">
      <w:pPr>
        <w:tabs>
          <w:tab w:val="clear" w:pos="1701"/>
          <w:tab w:val="left" w:pos="1683"/>
        </w:tabs>
        <w:spacing w:line="240" w:lineRule="auto"/>
        <w:ind w:left="567" w:hanging="567"/>
        <w:rPr>
          <w:b/>
          <w:szCs w:val="24"/>
        </w:rPr>
      </w:pPr>
      <w:r>
        <w:rPr>
          <w:b/>
          <w:szCs w:val="24"/>
        </w:rPr>
        <w:tab/>
        <w:t>Таблица 3:  Учащиеся Центра подготовки полицейских (ЦПП)</w:t>
      </w:r>
    </w:p>
    <w:p w:rsidR="00000000" w:rsidRDefault="00000000">
      <w:pPr>
        <w:tabs>
          <w:tab w:val="clear" w:pos="1701"/>
          <w:tab w:val="left" w:pos="1683"/>
        </w:tabs>
        <w:spacing w:line="240" w:lineRule="auto"/>
        <w:rPr>
          <w:szCs w:val="24"/>
        </w:rPr>
      </w:pPr>
    </w:p>
    <w:tbl>
      <w:tblPr>
        <w:tblStyle w:val="TableGrid"/>
        <w:tblW w:w="0" w:type="auto"/>
        <w:jc w:val="center"/>
        <w:tblInd w:w="1242" w:type="dxa"/>
        <w:tblLook w:val="01E0" w:firstRow="1" w:lastRow="1" w:firstColumn="1" w:lastColumn="1" w:noHBand="0" w:noVBand="0"/>
      </w:tblPr>
      <w:tblGrid>
        <w:gridCol w:w="2126"/>
        <w:gridCol w:w="2410"/>
      </w:tblGrid>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Год</w:t>
            </w:r>
          </w:p>
        </w:tc>
        <w:tc>
          <w:tcPr>
            <w:tcW w:w="2410" w:type="dxa"/>
          </w:tcPr>
          <w:p w:rsidR="00000000" w:rsidRDefault="00000000">
            <w:pPr>
              <w:tabs>
                <w:tab w:val="clear" w:pos="1701"/>
                <w:tab w:val="left" w:pos="1683"/>
              </w:tabs>
              <w:spacing w:line="240" w:lineRule="auto"/>
              <w:jc w:val="center"/>
              <w:rPr>
                <w:b/>
                <w:szCs w:val="24"/>
              </w:rPr>
            </w:pPr>
            <w:r>
              <w:rPr>
                <w:b/>
                <w:szCs w:val="24"/>
              </w:rPr>
              <w:t>Количество</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1999-2002</w:t>
            </w:r>
          </w:p>
        </w:tc>
        <w:tc>
          <w:tcPr>
            <w:tcW w:w="2410" w:type="dxa"/>
          </w:tcPr>
          <w:p w:rsidR="00000000" w:rsidRDefault="00000000">
            <w:pPr>
              <w:tabs>
                <w:tab w:val="clear" w:pos="1701"/>
                <w:tab w:val="left" w:pos="1683"/>
              </w:tabs>
              <w:spacing w:line="240" w:lineRule="auto"/>
              <w:jc w:val="center"/>
              <w:rPr>
                <w:szCs w:val="24"/>
              </w:rPr>
            </w:pPr>
            <w:r>
              <w:rPr>
                <w:szCs w:val="24"/>
              </w:rPr>
              <w:t>3 561</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2003-2006</w:t>
            </w:r>
          </w:p>
        </w:tc>
        <w:tc>
          <w:tcPr>
            <w:tcW w:w="2410" w:type="dxa"/>
          </w:tcPr>
          <w:p w:rsidR="00000000" w:rsidRDefault="00000000">
            <w:pPr>
              <w:tabs>
                <w:tab w:val="clear" w:pos="1701"/>
                <w:tab w:val="left" w:pos="1683"/>
              </w:tabs>
              <w:spacing w:line="240" w:lineRule="auto"/>
              <w:jc w:val="center"/>
              <w:rPr>
                <w:szCs w:val="24"/>
              </w:rPr>
            </w:pPr>
            <w:r>
              <w:rPr>
                <w:szCs w:val="24"/>
              </w:rPr>
              <w:t>1 938</w:t>
            </w:r>
          </w:p>
        </w:tc>
      </w:tr>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Всего</w:t>
            </w:r>
          </w:p>
        </w:tc>
        <w:tc>
          <w:tcPr>
            <w:tcW w:w="2410" w:type="dxa"/>
          </w:tcPr>
          <w:p w:rsidR="00000000" w:rsidRDefault="00000000">
            <w:pPr>
              <w:tabs>
                <w:tab w:val="clear" w:pos="1701"/>
                <w:tab w:val="left" w:pos="1683"/>
              </w:tabs>
              <w:spacing w:line="240" w:lineRule="auto"/>
              <w:jc w:val="center"/>
              <w:rPr>
                <w:szCs w:val="24"/>
              </w:rPr>
            </w:pPr>
            <w:r>
              <w:rPr>
                <w:szCs w:val="24"/>
              </w:rPr>
              <w:t>5 499</w:t>
            </w:r>
          </w:p>
        </w:tc>
      </w:tr>
    </w:tbl>
    <w:p w:rsidR="00000000" w:rsidRDefault="00000000">
      <w:pPr>
        <w:tabs>
          <w:tab w:val="clear" w:pos="1701"/>
          <w:tab w:val="left" w:pos="1683"/>
        </w:tabs>
        <w:spacing w:line="240" w:lineRule="auto"/>
        <w:rPr>
          <w:szCs w:val="24"/>
        </w:rPr>
      </w:pPr>
    </w:p>
    <w:p w:rsidR="00000000" w:rsidRDefault="00000000">
      <w:pPr>
        <w:tabs>
          <w:tab w:val="clear" w:pos="1701"/>
          <w:tab w:val="left" w:pos="1683"/>
        </w:tabs>
        <w:spacing w:line="240" w:lineRule="auto"/>
        <w:ind w:left="567" w:hanging="567"/>
        <w:rPr>
          <w:b/>
          <w:szCs w:val="24"/>
        </w:rPr>
      </w:pPr>
      <w:r>
        <w:rPr>
          <w:b/>
          <w:szCs w:val="24"/>
        </w:rPr>
        <w:tab/>
        <w:t>Таблица 4:  Преподаватели и административные работники Высшей школы обучения полицейских кадров (ВШОП), Национальной академии полиции (НАП) и Центра подготовки полицейских (ЦПП)</w:t>
      </w:r>
    </w:p>
    <w:p w:rsidR="00000000" w:rsidRDefault="00000000">
      <w:pPr>
        <w:tabs>
          <w:tab w:val="clear" w:pos="1701"/>
          <w:tab w:val="left" w:pos="1683"/>
        </w:tabs>
        <w:spacing w:line="240" w:lineRule="auto"/>
        <w:rPr>
          <w:szCs w:val="24"/>
        </w:rPr>
      </w:pPr>
    </w:p>
    <w:tbl>
      <w:tblPr>
        <w:tblStyle w:val="TableGrid"/>
        <w:tblW w:w="0" w:type="auto"/>
        <w:jc w:val="center"/>
        <w:tblInd w:w="1242" w:type="dxa"/>
        <w:tblLook w:val="01E0" w:firstRow="1" w:lastRow="1" w:firstColumn="1" w:lastColumn="1" w:noHBand="0" w:noVBand="0"/>
      </w:tblPr>
      <w:tblGrid>
        <w:gridCol w:w="2126"/>
        <w:gridCol w:w="2410"/>
      </w:tblGrid>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Год</w:t>
            </w:r>
          </w:p>
        </w:tc>
        <w:tc>
          <w:tcPr>
            <w:tcW w:w="2410" w:type="dxa"/>
          </w:tcPr>
          <w:p w:rsidR="00000000" w:rsidRDefault="00000000">
            <w:pPr>
              <w:tabs>
                <w:tab w:val="clear" w:pos="1701"/>
                <w:tab w:val="left" w:pos="1683"/>
              </w:tabs>
              <w:spacing w:line="240" w:lineRule="auto"/>
              <w:jc w:val="center"/>
              <w:rPr>
                <w:b/>
                <w:szCs w:val="24"/>
              </w:rPr>
            </w:pPr>
            <w:r>
              <w:rPr>
                <w:b/>
                <w:szCs w:val="24"/>
              </w:rPr>
              <w:t>Количество</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1999-2002</w:t>
            </w:r>
          </w:p>
        </w:tc>
        <w:tc>
          <w:tcPr>
            <w:tcW w:w="2410" w:type="dxa"/>
          </w:tcPr>
          <w:p w:rsidR="00000000" w:rsidRDefault="00000000">
            <w:pPr>
              <w:tabs>
                <w:tab w:val="clear" w:pos="1701"/>
                <w:tab w:val="left" w:pos="1683"/>
              </w:tabs>
              <w:spacing w:line="240" w:lineRule="auto"/>
              <w:jc w:val="center"/>
              <w:rPr>
                <w:szCs w:val="24"/>
              </w:rPr>
            </w:pPr>
            <w:r>
              <w:rPr>
                <w:szCs w:val="24"/>
              </w:rPr>
              <w:t>220</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2003-2006</w:t>
            </w:r>
          </w:p>
        </w:tc>
        <w:tc>
          <w:tcPr>
            <w:tcW w:w="2410" w:type="dxa"/>
          </w:tcPr>
          <w:p w:rsidR="00000000" w:rsidRDefault="00000000">
            <w:pPr>
              <w:tabs>
                <w:tab w:val="clear" w:pos="1701"/>
                <w:tab w:val="left" w:pos="1683"/>
              </w:tabs>
              <w:spacing w:line="240" w:lineRule="auto"/>
              <w:jc w:val="center"/>
              <w:rPr>
                <w:szCs w:val="24"/>
              </w:rPr>
            </w:pPr>
            <w:r>
              <w:rPr>
                <w:szCs w:val="24"/>
              </w:rPr>
              <w:t>235</w:t>
            </w:r>
          </w:p>
        </w:tc>
      </w:tr>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Всего</w:t>
            </w:r>
          </w:p>
        </w:tc>
        <w:tc>
          <w:tcPr>
            <w:tcW w:w="2410" w:type="dxa"/>
          </w:tcPr>
          <w:p w:rsidR="00000000" w:rsidRDefault="00000000">
            <w:pPr>
              <w:tabs>
                <w:tab w:val="clear" w:pos="1701"/>
                <w:tab w:val="left" w:pos="1683"/>
              </w:tabs>
              <w:spacing w:line="240" w:lineRule="auto"/>
              <w:jc w:val="center"/>
              <w:rPr>
                <w:szCs w:val="24"/>
              </w:rPr>
            </w:pPr>
            <w:r>
              <w:rPr>
                <w:szCs w:val="24"/>
              </w:rPr>
              <w:t>455</w:t>
            </w:r>
          </w:p>
        </w:tc>
      </w:tr>
    </w:tbl>
    <w:p w:rsidR="00000000" w:rsidRDefault="00000000">
      <w:pPr>
        <w:tabs>
          <w:tab w:val="clear" w:pos="1701"/>
          <w:tab w:val="left" w:pos="1683"/>
        </w:tabs>
        <w:spacing w:line="240" w:lineRule="auto"/>
        <w:rPr>
          <w:szCs w:val="24"/>
        </w:rPr>
      </w:pPr>
    </w:p>
    <w:p w:rsidR="00000000" w:rsidRDefault="00000000">
      <w:pPr>
        <w:tabs>
          <w:tab w:val="clear" w:pos="1701"/>
          <w:tab w:val="left" w:pos="1683"/>
        </w:tabs>
        <w:spacing w:line="240" w:lineRule="auto"/>
        <w:ind w:left="567" w:hanging="567"/>
        <w:rPr>
          <w:b/>
          <w:szCs w:val="24"/>
        </w:rPr>
      </w:pPr>
      <w:r>
        <w:rPr>
          <w:b/>
          <w:szCs w:val="24"/>
        </w:rPr>
        <w:tab/>
        <w:t>Таблица 5:  Слушатели Национальной академии полиции</w:t>
      </w:r>
    </w:p>
    <w:p w:rsidR="00000000" w:rsidRDefault="00000000">
      <w:pPr>
        <w:tabs>
          <w:tab w:val="clear" w:pos="1701"/>
          <w:tab w:val="left" w:pos="1683"/>
        </w:tabs>
        <w:spacing w:line="240" w:lineRule="auto"/>
        <w:rPr>
          <w:sz w:val="20"/>
        </w:rPr>
      </w:pPr>
    </w:p>
    <w:tbl>
      <w:tblPr>
        <w:tblStyle w:val="TableGrid"/>
        <w:tblW w:w="0" w:type="auto"/>
        <w:jc w:val="center"/>
        <w:tblInd w:w="1242" w:type="dxa"/>
        <w:tblLook w:val="01E0" w:firstRow="1" w:lastRow="1" w:firstColumn="1" w:lastColumn="1" w:noHBand="0" w:noVBand="0"/>
      </w:tblPr>
      <w:tblGrid>
        <w:gridCol w:w="2126"/>
        <w:gridCol w:w="2410"/>
      </w:tblGrid>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Год</w:t>
            </w:r>
          </w:p>
        </w:tc>
        <w:tc>
          <w:tcPr>
            <w:tcW w:w="2410" w:type="dxa"/>
          </w:tcPr>
          <w:p w:rsidR="00000000" w:rsidRDefault="00000000">
            <w:pPr>
              <w:tabs>
                <w:tab w:val="clear" w:pos="1701"/>
                <w:tab w:val="left" w:pos="1683"/>
              </w:tabs>
              <w:spacing w:line="240" w:lineRule="auto"/>
              <w:jc w:val="center"/>
              <w:rPr>
                <w:b/>
                <w:szCs w:val="24"/>
              </w:rPr>
            </w:pPr>
            <w:r>
              <w:rPr>
                <w:b/>
                <w:szCs w:val="24"/>
              </w:rPr>
              <w:t>Количество</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1999-2002</w:t>
            </w:r>
          </w:p>
        </w:tc>
        <w:tc>
          <w:tcPr>
            <w:tcW w:w="2410" w:type="dxa"/>
          </w:tcPr>
          <w:p w:rsidR="00000000" w:rsidRDefault="00000000">
            <w:pPr>
              <w:tabs>
                <w:tab w:val="clear" w:pos="1701"/>
                <w:tab w:val="left" w:pos="1683"/>
              </w:tabs>
              <w:spacing w:line="240" w:lineRule="auto"/>
              <w:jc w:val="center"/>
              <w:rPr>
                <w:szCs w:val="24"/>
              </w:rPr>
            </w:pPr>
            <w:r>
              <w:rPr>
                <w:szCs w:val="24"/>
              </w:rPr>
              <w:t>0</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2003-2006</w:t>
            </w:r>
          </w:p>
        </w:tc>
        <w:tc>
          <w:tcPr>
            <w:tcW w:w="2410" w:type="dxa"/>
          </w:tcPr>
          <w:p w:rsidR="00000000" w:rsidRDefault="00000000">
            <w:pPr>
              <w:tabs>
                <w:tab w:val="clear" w:pos="1701"/>
                <w:tab w:val="left" w:pos="1683"/>
              </w:tabs>
              <w:spacing w:line="240" w:lineRule="auto"/>
              <w:jc w:val="center"/>
              <w:rPr>
                <w:szCs w:val="24"/>
              </w:rPr>
            </w:pPr>
            <w:r>
              <w:rPr>
                <w:szCs w:val="24"/>
              </w:rPr>
              <w:t>235</w:t>
            </w:r>
          </w:p>
        </w:tc>
      </w:tr>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Всего</w:t>
            </w:r>
          </w:p>
        </w:tc>
        <w:tc>
          <w:tcPr>
            <w:tcW w:w="2410" w:type="dxa"/>
          </w:tcPr>
          <w:p w:rsidR="00000000" w:rsidRDefault="00000000">
            <w:pPr>
              <w:tabs>
                <w:tab w:val="clear" w:pos="1701"/>
                <w:tab w:val="left" w:pos="1683"/>
              </w:tabs>
              <w:spacing w:line="240" w:lineRule="auto"/>
              <w:jc w:val="center"/>
              <w:rPr>
                <w:szCs w:val="24"/>
              </w:rPr>
            </w:pPr>
            <w:r>
              <w:rPr>
                <w:szCs w:val="24"/>
              </w:rPr>
              <w:t>235</w:t>
            </w:r>
          </w:p>
        </w:tc>
      </w:tr>
    </w:tbl>
    <w:p w:rsidR="00000000" w:rsidRDefault="00000000">
      <w:pPr>
        <w:tabs>
          <w:tab w:val="clear" w:pos="1701"/>
          <w:tab w:val="left" w:pos="1683"/>
        </w:tabs>
        <w:spacing w:line="240" w:lineRule="auto"/>
        <w:rPr>
          <w:szCs w:val="24"/>
        </w:rPr>
      </w:pPr>
    </w:p>
    <w:p w:rsidR="00000000" w:rsidRDefault="00000000">
      <w:pPr>
        <w:tabs>
          <w:tab w:val="clear" w:pos="1701"/>
          <w:tab w:val="left" w:pos="1683"/>
        </w:tabs>
        <w:spacing w:line="240" w:lineRule="auto"/>
        <w:ind w:left="567" w:hanging="567"/>
        <w:rPr>
          <w:b/>
          <w:szCs w:val="24"/>
        </w:rPr>
      </w:pPr>
      <w:r>
        <w:rPr>
          <w:b/>
          <w:szCs w:val="24"/>
        </w:rPr>
        <w:tab/>
        <w:t>Таблица 6:  Инспекторы, младшие инспекторы и инструкторы национальной полиции</w:t>
      </w:r>
    </w:p>
    <w:p w:rsidR="00000000" w:rsidRDefault="00000000">
      <w:pPr>
        <w:tabs>
          <w:tab w:val="clear" w:pos="1701"/>
          <w:tab w:val="left" w:pos="1683"/>
        </w:tabs>
        <w:spacing w:line="240" w:lineRule="auto"/>
        <w:rPr>
          <w:sz w:val="20"/>
        </w:rPr>
      </w:pPr>
    </w:p>
    <w:tbl>
      <w:tblPr>
        <w:tblStyle w:val="TableGrid"/>
        <w:tblW w:w="0" w:type="auto"/>
        <w:jc w:val="center"/>
        <w:tblInd w:w="1242" w:type="dxa"/>
        <w:tblLook w:val="01E0" w:firstRow="1" w:lastRow="1" w:firstColumn="1" w:lastColumn="1" w:noHBand="0" w:noVBand="0"/>
      </w:tblPr>
      <w:tblGrid>
        <w:gridCol w:w="2126"/>
        <w:gridCol w:w="2410"/>
      </w:tblGrid>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Год</w:t>
            </w:r>
          </w:p>
        </w:tc>
        <w:tc>
          <w:tcPr>
            <w:tcW w:w="2410" w:type="dxa"/>
          </w:tcPr>
          <w:p w:rsidR="00000000" w:rsidRDefault="00000000">
            <w:pPr>
              <w:tabs>
                <w:tab w:val="clear" w:pos="1701"/>
                <w:tab w:val="left" w:pos="1683"/>
              </w:tabs>
              <w:spacing w:line="240" w:lineRule="auto"/>
              <w:jc w:val="center"/>
              <w:rPr>
                <w:b/>
                <w:szCs w:val="24"/>
              </w:rPr>
            </w:pPr>
            <w:r>
              <w:rPr>
                <w:b/>
                <w:szCs w:val="24"/>
              </w:rPr>
              <w:t>Количество</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1999-2002</w:t>
            </w:r>
          </w:p>
        </w:tc>
        <w:tc>
          <w:tcPr>
            <w:tcW w:w="2410" w:type="dxa"/>
          </w:tcPr>
          <w:p w:rsidR="00000000" w:rsidRDefault="00000000">
            <w:pPr>
              <w:tabs>
                <w:tab w:val="clear" w:pos="1701"/>
                <w:tab w:val="left" w:pos="1683"/>
              </w:tabs>
              <w:spacing w:line="240" w:lineRule="auto"/>
              <w:jc w:val="center"/>
              <w:rPr>
                <w:szCs w:val="24"/>
              </w:rPr>
            </w:pPr>
            <w:r>
              <w:rPr>
                <w:szCs w:val="24"/>
              </w:rPr>
              <w:t>0</w:t>
            </w:r>
          </w:p>
        </w:tc>
      </w:tr>
      <w:tr w:rsidR="00000000">
        <w:trPr>
          <w:jc w:val="center"/>
        </w:trPr>
        <w:tc>
          <w:tcPr>
            <w:tcW w:w="2126" w:type="dxa"/>
          </w:tcPr>
          <w:p w:rsidR="00000000" w:rsidRDefault="00000000">
            <w:pPr>
              <w:tabs>
                <w:tab w:val="clear" w:pos="1701"/>
                <w:tab w:val="left" w:pos="1683"/>
              </w:tabs>
              <w:spacing w:line="240" w:lineRule="auto"/>
              <w:jc w:val="center"/>
              <w:rPr>
                <w:szCs w:val="24"/>
              </w:rPr>
            </w:pPr>
            <w:r>
              <w:rPr>
                <w:szCs w:val="24"/>
              </w:rPr>
              <w:t>2003-2006</w:t>
            </w:r>
          </w:p>
        </w:tc>
        <w:tc>
          <w:tcPr>
            <w:tcW w:w="2410" w:type="dxa"/>
          </w:tcPr>
          <w:p w:rsidR="00000000" w:rsidRDefault="00000000">
            <w:pPr>
              <w:tabs>
                <w:tab w:val="clear" w:pos="1701"/>
                <w:tab w:val="left" w:pos="1683"/>
              </w:tabs>
              <w:spacing w:line="240" w:lineRule="auto"/>
              <w:jc w:val="center"/>
              <w:rPr>
                <w:szCs w:val="24"/>
              </w:rPr>
            </w:pPr>
            <w:r>
              <w:rPr>
                <w:szCs w:val="24"/>
              </w:rPr>
              <w:t>302</w:t>
            </w:r>
          </w:p>
        </w:tc>
      </w:tr>
      <w:tr w:rsidR="00000000">
        <w:trPr>
          <w:jc w:val="center"/>
        </w:trPr>
        <w:tc>
          <w:tcPr>
            <w:tcW w:w="2126" w:type="dxa"/>
          </w:tcPr>
          <w:p w:rsidR="00000000" w:rsidRDefault="00000000">
            <w:pPr>
              <w:tabs>
                <w:tab w:val="clear" w:pos="1701"/>
                <w:tab w:val="left" w:pos="1683"/>
              </w:tabs>
              <w:spacing w:line="240" w:lineRule="auto"/>
              <w:jc w:val="center"/>
              <w:rPr>
                <w:b/>
                <w:szCs w:val="24"/>
              </w:rPr>
            </w:pPr>
            <w:r>
              <w:rPr>
                <w:b/>
                <w:szCs w:val="24"/>
              </w:rPr>
              <w:t>Всего</w:t>
            </w:r>
          </w:p>
        </w:tc>
        <w:tc>
          <w:tcPr>
            <w:tcW w:w="2410" w:type="dxa"/>
          </w:tcPr>
          <w:p w:rsidR="00000000" w:rsidRDefault="00000000">
            <w:pPr>
              <w:tabs>
                <w:tab w:val="clear" w:pos="1701"/>
                <w:tab w:val="left" w:pos="1683"/>
              </w:tabs>
              <w:spacing w:line="240" w:lineRule="auto"/>
              <w:jc w:val="center"/>
              <w:rPr>
                <w:szCs w:val="24"/>
              </w:rPr>
            </w:pPr>
            <w:r>
              <w:rPr>
                <w:szCs w:val="24"/>
              </w:rPr>
              <w:t>302</w:t>
            </w:r>
          </w:p>
        </w:tc>
      </w:tr>
    </w:tbl>
    <w:p w:rsidR="00000000" w:rsidRDefault="00000000">
      <w:pPr>
        <w:tabs>
          <w:tab w:val="clear" w:pos="1701"/>
          <w:tab w:val="left" w:pos="1683"/>
        </w:tabs>
        <w:rPr>
          <w:szCs w:val="24"/>
        </w:rPr>
      </w:pPr>
      <w:r>
        <w:rPr>
          <w:szCs w:val="24"/>
        </w:rPr>
        <w:t>129.</w:t>
      </w:r>
      <w:r>
        <w:rPr>
          <w:szCs w:val="24"/>
        </w:rPr>
        <w:tab/>
        <w:t>Министерство безопасности при содействии правозащитных неправительственных организаций распространило указания под названием "Права человека в полицейской практике".</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130.</w:t>
      </w:r>
      <w:r>
        <w:rPr>
          <w:szCs w:val="24"/>
        </w:rPr>
        <w:tab/>
        <w:t>Своим Постановлением № 0251-А от 20 февраля 2003 года Министерство безопасности создало "Гендерное подразделение" со следующими функциями:  a)  давать консультации по вопросам формулирования политики, направленной на поиски эффективного гендерного равноправия, а также на обеспечение равенства возможностей для мужчин и женщин-полицейских;  b)  анализировать и предлагать решения по проблемам, с которыми сталкиваются женщины, работающие в ведомстве;  c)  координировать и оценивать повышение уровня знаний в гендерной сфере;  d)  развивать отношения сотрудничества с национальными и международными организациями;  e)  согласовывать с другими родственными организациями мероприятия по обмену опытом;  f)  выполнять другие порученные задачи</w:t>
      </w:r>
      <w:r>
        <w:rPr>
          <w:rStyle w:val="FootnoteReference"/>
          <w:szCs w:val="24"/>
        </w:rPr>
        <w:footnoteReference w:customMarkFollows="1" w:id="31"/>
        <w:t>31</w:t>
      </w:r>
      <w:r>
        <w:rPr>
          <w:szCs w:val="24"/>
        </w:rPr>
        <w:t>.  Данное подразделение разработало два плана (первый экспериментальный план на период 2002-2005 годов и второй - на период 2006-2010 годов), направленные на усиление процесса модернизации и развития Национальной полиции посредством внедрения гендерной перспективы во внутреннюю жизнь страны и обеспечения потребностей безопасности населения в международном плане.</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131.</w:t>
      </w:r>
      <w:r>
        <w:rPr>
          <w:szCs w:val="24"/>
        </w:rPr>
        <w:tab/>
        <w:t xml:space="preserve">В плане повышения квалификации своих работников Министерство безопасности в июне 2002 года подписало соглашение о сотрудничестве и технической помощи с ИНАМ, финансируемое по линии Фонда </w:t>
      </w:r>
      <w:r>
        <w:rPr>
          <w:rStyle w:val="Emphasis"/>
          <w:b w:val="0"/>
          <w:color w:val="000000"/>
          <w:szCs w:val="24"/>
        </w:rPr>
        <w:t>Организации Объединенных Наций</w:t>
      </w:r>
      <w:r>
        <w:rPr>
          <w:b/>
          <w:color w:val="000000"/>
          <w:szCs w:val="24"/>
        </w:rPr>
        <w:t xml:space="preserve"> </w:t>
      </w:r>
      <w:r>
        <w:rPr>
          <w:color w:val="000000"/>
          <w:szCs w:val="24"/>
        </w:rPr>
        <w:t>в области</w:t>
      </w:r>
      <w:r>
        <w:rPr>
          <w:b/>
          <w:color w:val="000000"/>
          <w:szCs w:val="24"/>
        </w:rPr>
        <w:t xml:space="preserve"> </w:t>
      </w:r>
      <w:r>
        <w:rPr>
          <w:rStyle w:val="Emphasis"/>
          <w:b w:val="0"/>
          <w:color w:val="000000"/>
          <w:szCs w:val="24"/>
        </w:rPr>
        <w:t>народонаселения</w:t>
      </w:r>
      <w:r>
        <w:rPr>
          <w:szCs w:val="24"/>
        </w:rPr>
        <w:t xml:space="preserve"> (ЮНФПА), в целях развития, среди прочего, проекта "Институционализация гендерного равноправия и профилактика бытового и внутрисемейного насилия в Национальной полиции Гондураса в 2002-2005 годах".  Одновременно процессы обучения и повышения квалификации персонала были организованы как в Главном управлении полицейского образования, так и в пяти главных управлениях Министерства безопасности.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132.</w:t>
      </w:r>
      <w:r>
        <w:rPr>
          <w:szCs w:val="24"/>
        </w:rPr>
        <w:tab/>
        <w:t xml:space="preserve">В рамках внутриведомственного изучения и обсуждения были разработаны первый и второй "Анализ положения и участия женщин и мужчин в Национальной полиции Гондураса", целью которого было способствовать закреплению уже сделанных шагов по выявлению и искоренению гендерных перекосов, а также подготовлен «Протокол обслуживания телефонной линии 114 "Жить в уважении и без насилия"», финансируемой по линии Программы развития </w:t>
      </w:r>
      <w:r>
        <w:rPr>
          <w:rStyle w:val="Emphasis"/>
          <w:b w:val="0"/>
          <w:color w:val="000000"/>
          <w:szCs w:val="24"/>
        </w:rPr>
        <w:t>Организации Объединенных Наций</w:t>
      </w:r>
      <w:r>
        <w:rPr>
          <w:szCs w:val="24"/>
        </w:rPr>
        <w:t xml:space="preserve"> (ПРООН) и предназначенной для оказания психологической, правовой и социальной помощи женщинам, подвергшимся насилию.  В настоящее время в Национальном конгрессе находится на рассмотрении проект закона об изменении Органического закона о национальной полиции, который включает, среди других, вопросы гендерного подхода.</w:t>
      </w:r>
    </w:p>
    <w:p w:rsidR="00000000" w:rsidRDefault="00000000">
      <w:pPr>
        <w:tabs>
          <w:tab w:val="clear" w:pos="1701"/>
          <w:tab w:val="left" w:pos="1683"/>
        </w:tabs>
        <w:rPr>
          <w:szCs w:val="24"/>
        </w:rPr>
      </w:pPr>
    </w:p>
    <w:p w:rsidR="00000000" w:rsidRDefault="00000000">
      <w:pPr>
        <w:tabs>
          <w:tab w:val="clear" w:pos="1701"/>
          <w:tab w:val="left" w:pos="1683"/>
        </w:tabs>
        <w:rPr>
          <w:b/>
          <w:szCs w:val="24"/>
        </w:rPr>
      </w:pPr>
      <w:r>
        <w:rPr>
          <w:b/>
          <w:szCs w:val="24"/>
        </w:rPr>
        <w:t>3.</w:t>
      </w:r>
      <w:r>
        <w:rPr>
          <w:b/>
          <w:szCs w:val="24"/>
        </w:rPr>
        <w:tab/>
        <w:t>Министерство обороны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133.</w:t>
      </w:r>
      <w:r>
        <w:rPr>
          <w:szCs w:val="24"/>
        </w:rPr>
        <w:tab/>
        <w:t>1 января 1999 года согласно Постановлению EMH-0012 было образовано Управление по правам человека и международному гуманитарному праву, перед которым была поставлена задача восполнить пробел в работе по профилактике нарушения прав человека.  В данное Управление входят два департамента:  в ведении одного находятся вопросы нарушения прав человека в мирное время и гуманитарного права - в период конфликтов, а второй отвечает за разработку и распространение прав человека и норм международного гуманитарного права.  Кроме того, были созданы отделы по правам человека во всех родах войск (сухопутные войска, военно-морской флот, военно-воздушные силы).  С момента создания Управления сразу выявилась потребность в повышении знаний всего персонала вооруженных сил в области прав человека, вследствие чего при содействии ПРООН в 2004 году было подписано соглашение о налаживании подготовки кадров, в рамках которого были реализованы три проекта, а именно:  a)  структуризация дисциплин по правам человека для преподавания во всех военно-учебных заведениях;  b)  образование т.н. Центра извлеченных уроков с программным обеспечением, позволяющим консультироваться по случаям рассмотрения дел, связанных с нарушением прав человека со стороны военнослужащих;  оснащение им всех военно-учебных заведений и отделов по правам человека в родах войск;  c)  изготовление учебных кино- и видеоматериалов по правам человека для использования на занятиях по повышению квалификации.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134.</w:t>
      </w:r>
      <w:r>
        <w:rPr>
          <w:szCs w:val="24"/>
        </w:rPr>
        <w:tab/>
        <w:t xml:space="preserve">Обучение по вопросам прав человека в вооруженных силах организовано таким образом, чтобы охватить весь персонал от базового до высшего уровня, и утверждено Университетом обороны Гондураса (УОГ).  Права человека как учебный предмет изучаются в следующих военно-учебных заведениях:  a)  в Колледже национальной обороны - в рамках "Курса национальной безопасности" продолжительностью 16 часов;  b)  в Командно-штабном училище - в рамках "Курса штабной службы" продолжительностью 24 часа;  c)  в училищах по подготовке офицеров для сухопутных войск, военно-морского флота и военно-воздушных сил - в рамках двух курсов:  для лейтенантов продолжительностью 20 часов и для капитанов продолжительностью 15 часов;  d)  в военных академиях всех трех родов войск - в рамках подготовки лиценциатов в области военных, авиационных и морских наук права человека изучаются </w:t>
      </w:r>
    </w:p>
    <w:p w:rsidR="00000000" w:rsidRDefault="00000000">
      <w:pPr>
        <w:tabs>
          <w:tab w:val="clear" w:pos="1701"/>
          <w:tab w:val="left" w:pos="1683"/>
        </w:tabs>
        <w:rPr>
          <w:szCs w:val="24"/>
        </w:rPr>
      </w:pPr>
      <w:r>
        <w:rPr>
          <w:szCs w:val="24"/>
        </w:rPr>
        <w:br w:type="page"/>
        <w:t>как обязательный предмет с тремя оценочными показателями;  e)  в Училище унтер-офицеров - в рамках основной программы подготовки продолжительностью 30 часов;  f)  в Училище офицеров разведки - в рамках основной программы подготовки специалистов разведки продолжительностью 10 часов;  g)  в воинских частях обучение подразделяется на три уровня:  базовый - продолжительностью 15 часов;  углубленный - продолжительностью 15 часов;  войсковой - продолжительностью 10 часов.</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135.</w:t>
      </w:r>
      <w:r>
        <w:rPr>
          <w:szCs w:val="24"/>
        </w:rPr>
        <w:tab/>
        <w:t>В ноябре 2007 года было подписано Соглашение о технической помощи с Национальным институтом по делам женщин (ИНАМ) сроком на два года с правом продления.  Оно предусматривает:  a)  проведение для офицеров, унтер-офицеров и гражданских служащих конференций по тематике прав человека женщины и гендерного равноправия;  b)  пересмотр учебных планов кафедры прав человека в Университете обороны Гондураса (УОГ) и включение в программы тематики по правам человека женщины и гендерному равноправию (ранее служба женщин в вооруженных силах ограничивалась такими областями, как административные и медико-санитарные службы;  ныне же все военнослужащие - как мужчины, так и женщины - имеют равные права на занятие должностей и исполнение функциональных обязанностей в соответствии со своей воинской категорией);  c)  проведение - начиная с 2008 учебного года и на протяжении всего срока действия упомянутого соглашения - учебных дней по подготовке и повышению уровня знаний в области прав человека женщины и гендерного равноправия среди слушателей военных академий всех трех родов войск Гондураса.  По завершении обучения выпускникам академий выдается соответствующий сертификат дипломированного специалиста по правам человека.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136.</w:t>
      </w:r>
      <w:r>
        <w:rPr>
          <w:szCs w:val="24"/>
        </w:rPr>
        <w:tab/>
        <w:t>Преподаватели учебного предмета по правам человека ежегодно проходят переподготовку внутри страны и за рубежом.  Было отпечатано несколько тысяч Памяток по правам человека для раздачи военнослужащим с учетом их специальности и региона прохождения службы:  10 000 - для сухопутных войск;  1 500 - для авиации;  1 500 - для флота.</w:t>
      </w:r>
    </w:p>
    <w:p w:rsidR="00000000" w:rsidRDefault="00000000">
      <w:pPr>
        <w:tabs>
          <w:tab w:val="clear" w:pos="1701"/>
          <w:tab w:val="left" w:pos="1683"/>
        </w:tabs>
        <w:rPr>
          <w:szCs w:val="24"/>
        </w:rPr>
      </w:pPr>
    </w:p>
    <w:p w:rsidR="00000000" w:rsidRDefault="00000000">
      <w:pPr>
        <w:tabs>
          <w:tab w:val="clear" w:pos="1701"/>
          <w:tab w:val="left" w:pos="1683"/>
        </w:tabs>
        <w:rPr>
          <w:b/>
          <w:szCs w:val="24"/>
        </w:rPr>
      </w:pPr>
      <w:r>
        <w:rPr>
          <w:b/>
          <w:szCs w:val="24"/>
        </w:rPr>
        <w:t>4.</w:t>
      </w:r>
      <w:r>
        <w:rPr>
          <w:b/>
          <w:szCs w:val="24"/>
        </w:rPr>
        <w:tab/>
        <w:t>Министерство внутренних дел и юстиции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137.</w:t>
      </w:r>
      <w:r>
        <w:rPr>
          <w:szCs w:val="24"/>
        </w:rPr>
        <w:tab/>
        <w:t>Данное министерство реализует на практике "Пакт ради детства", т.е. соглашение в рамках Конвенции о правах ребенка между местными властями и организациями гражданского общества, направленное на улучшение условий жизни детей Гондураса с целью обеспечить им выживание, развитие, защиту и участие в жизни общества.  Кроме того, было создано Муниципальное бюро защитника прав ребенка, которое в соответствии с уже упомянутой Конвенцией при содействии губернаторов и мэров городов разработало стратегический план реализации прав детей.  Защитник прав ребенка вмешивается в разрешение случаев, касающихся грубого обращения с детьми и нарушения их прав.  С защитниками прав ребенка на уровне муниципий и общин, а также с муниципальными властями были проведены учебные занятия, на которых изучалась тема жестокого обращения с детьми</w:t>
      </w:r>
      <w:r>
        <w:rPr>
          <w:rStyle w:val="FootnoteReference"/>
          <w:szCs w:val="24"/>
        </w:rPr>
        <w:footnoteReference w:customMarkFollows="1" w:id="32"/>
        <w:t>32</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138.</w:t>
      </w:r>
      <w:r>
        <w:rPr>
          <w:szCs w:val="24"/>
        </w:rPr>
        <w:tab/>
        <w:t>Главное управление по делам миграции и иностранных граждан провело в 2007 году три семинара:  один по теме "Торговля людьми и другие преступления" - в течение двух дней при поддержке международного альянса "Спасите детей";  другой "Права беженцев:  международные стандарты и национальное законодательство" - в течение двух дней при поддержке Центра по изучению и продвижению прав человека;  третий "Злоупотребление и торговля людьми" - в течение двух дней при поддержке альянса "Спасите детей".  При Министерстве внутренних дел образовано Управление по делам лиц преклонного возраста, которое начнет выполнять свои функции уже в текущем году.</w:t>
      </w:r>
    </w:p>
    <w:p w:rsidR="00000000" w:rsidRDefault="00000000">
      <w:pPr>
        <w:tabs>
          <w:tab w:val="clear" w:pos="1701"/>
          <w:tab w:val="left" w:pos="1683"/>
        </w:tabs>
        <w:rPr>
          <w:szCs w:val="24"/>
        </w:rPr>
      </w:pPr>
    </w:p>
    <w:p w:rsidR="00000000" w:rsidRDefault="00000000">
      <w:pPr>
        <w:tabs>
          <w:tab w:val="clear" w:pos="1701"/>
          <w:tab w:val="left" w:pos="1683"/>
        </w:tabs>
        <w:rPr>
          <w:b/>
          <w:szCs w:val="24"/>
        </w:rPr>
      </w:pPr>
      <w:r>
        <w:rPr>
          <w:b/>
          <w:szCs w:val="24"/>
        </w:rPr>
        <w:t>5.</w:t>
      </w:r>
      <w:r>
        <w:rPr>
          <w:b/>
          <w:szCs w:val="24"/>
        </w:rPr>
        <w:tab/>
        <w:t>Прокуратура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139.</w:t>
      </w:r>
      <w:r>
        <w:rPr>
          <w:szCs w:val="24"/>
        </w:rPr>
        <w:tab/>
        <w:t>В контексте Международной конвенции о предупреждении жестоких, бесчеловечных или унижающих достоинство видов обращения и всех форм пыток в отношении лишенных свободы лиц и наказании за их применение Прокуратура подписала соглашение с Центром профилактики, лечения и реабилитации жертв пыток и членов их семей (ЦПЛРП).  Согласно этому соглашению, ЦПЛРП уполномочен инспектировать в сопровождении прокурорских работников полицейские участки и штрафные изоляторы тюрем, а также совместно с департаментом судебной медицины участвовать в расследовании случаев, которые могут вписываться в квалификацию пытки.  ЦПЛРП также обязуется передавать в Прокуратуру информацию по фактам, относящимся к разряду нарушения прав человека задержанных лиц</w:t>
      </w:r>
      <w:r>
        <w:rPr>
          <w:rStyle w:val="FootnoteReference"/>
          <w:szCs w:val="24"/>
        </w:rPr>
        <w:footnoteReference w:customMarkFollows="1" w:id="33"/>
        <w:t>33</w:t>
      </w:r>
      <w:r>
        <w:rPr>
          <w:szCs w:val="24"/>
        </w:rPr>
        <w:t>.</w:t>
      </w:r>
    </w:p>
    <w:p w:rsidR="00000000" w:rsidRDefault="00000000">
      <w:pPr>
        <w:tabs>
          <w:tab w:val="clear" w:pos="1701"/>
          <w:tab w:val="left" w:pos="1683"/>
        </w:tabs>
        <w:rPr>
          <w:szCs w:val="24"/>
        </w:rPr>
      </w:pPr>
    </w:p>
    <w:p w:rsidR="00000000" w:rsidRDefault="00000000">
      <w:pPr>
        <w:rPr>
          <w:szCs w:val="24"/>
        </w:rPr>
      </w:pPr>
      <w:r>
        <w:rPr>
          <w:szCs w:val="24"/>
        </w:rPr>
        <w:t>140.</w:t>
      </w:r>
      <w:r>
        <w:rPr>
          <w:szCs w:val="24"/>
        </w:rPr>
        <w:tab/>
        <w:t>Среди мероприятий, которые Прокуратура провела во взаимодействии с ПРООН, следует отметить повышение квалификации как государственных служащих, так и частных лиц по теме пыток и произвольных задержаний.  Здесь можно назвать Программу действий по профилактике и искоренению случаев произвольного задержания, которая реализуется во исполнение требований пункта 7 статьи 16 Органического закона о Прокуратуре.  Перед началом выполнения этой Программы действий была проведена оценка ситуации вокруг данной проблематики в ходе плановых посещений различных полицейских участков, которые проводила Прокуратура специальной юрисдикции по правам человека совместно с ЦПЛРП.  Был сделан вывод, что наряду с принятием исключительно репрессивных мер ввиду общественной значимости преступного действия необходимо предпринять некоторые профилактические шаги, нацеленные не только на полицейские органы, в большинстве случаев ответственные за произвольные задержания, но также и на жертвы, а также на чиновников, в функции которых входит контроль за законностью задержания.  В этом плане был осуществлен ряд мероприятий:</w:t>
      </w:r>
    </w:p>
    <w:p w:rsidR="00000000" w:rsidRDefault="00000000">
      <w:pPr>
        <w:rPr>
          <w:szCs w:val="24"/>
        </w:rPr>
      </w:pPr>
    </w:p>
    <w:p w:rsidR="00000000" w:rsidRDefault="00000000">
      <w:pPr>
        <w:ind w:left="1134" w:hanging="1134"/>
        <w:rPr>
          <w:szCs w:val="24"/>
        </w:rPr>
      </w:pPr>
      <w:r>
        <w:rPr>
          <w:szCs w:val="24"/>
        </w:rPr>
        <w:tab/>
        <w:t>a)</w:t>
      </w:r>
      <w:r>
        <w:rPr>
          <w:szCs w:val="24"/>
        </w:rPr>
        <w:tab/>
        <w:t>разработан проект регламента и учебное пособие по внедрению лучшего практического опыта властей при осуществлении процедуры задержания.  Для его распространения запланированы следующие занятия:  шесть семинаров по повышению квалификации, в которых примут участие 600 патрульных полицейских, 400 прокуроров, 235 государственных защитников, а также муниципальные полицейские судьи (два из этих семинаров, которыми были охвачены в общей сложности 80 полицейских, уже состоялись в основных городах страны - Тегусигальпе и Сан-Педро-Сула).  Семинары были организованы совместно Прокуратурой специальной юрисдикции по правам человека, Национальным управлением уполномоченного по правам человека и ЦПЛРП;</w:t>
      </w:r>
    </w:p>
    <w:p w:rsidR="00000000" w:rsidRDefault="00000000">
      <w:pPr>
        <w:rPr>
          <w:szCs w:val="24"/>
        </w:rPr>
      </w:pPr>
    </w:p>
    <w:p w:rsidR="00000000" w:rsidRDefault="00000000">
      <w:pPr>
        <w:tabs>
          <w:tab w:val="clear" w:pos="1701"/>
          <w:tab w:val="left" w:pos="1683"/>
        </w:tabs>
        <w:ind w:left="1134" w:hanging="1134"/>
        <w:rPr>
          <w:szCs w:val="24"/>
        </w:rPr>
      </w:pPr>
      <w:r>
        <w:rPr>
          <w:szCs w:val="24"/>
        </w:rPr>
        <w:tab/>
        <w:t>b)</w:t>
      </w:r>
      <w:r>
        <w:rPr>
          <w:szCs w:val="24"/>
        </w:rPr>
        <w:tab/>
        <w:t>отпечатано 1 500 плакатов, раскрывающих как права задержанных, так и обязанности должностных лиц.  Плакаты были расклеены в помещениях полицейских участков, судов, бюро юридической помощи и Прокуратур по всей стране.</w:t>
      </w:r>
    </w:p>
    <w:p w:rsidR="00000000" w:rsidRDefault="00000000">
      <w:pPr>
        <w:tabs>
          <w:tab w:val="clear" w:pos="1701"/>
          <w:tab w:val="left" w:pos="1683"/>
        </w:tabs>
        <w:rPr>
          <w:szCs w:val="24"/>
        </w:rPr>
      </w:pPr>
    </w:p>
    <w:p w:rsidR="00000000" w:rsidRDefault="00000000">
      <w:pPr>
        <w:tabs>
          <w:tab w:val="clear" w:pos="1701"/>
          <w:tab w:val="left" w:pos="1683"/>
        </w:tabs>
        <w:rPr>
          <w:b/>
          <w:szCs w:val="24"/>
        </w:rPr>
      </w:pPr>
      <w:r>
        <w:rPr>
          <w:b/>
          <w:szCs w:val="24"/>
        </w:rPr>
        <w:t>6.</w:t>
      </w:r>
      <w:r>
        <w:rPr>
          <w:b/>
          <w:szCs w:val="24"/>
        </w:rPr>
        <w:tab/>
        <w:t>Национальное управление уполномоченного по правам человека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141.</w:t>
      </w:r>
      <w:r>
        <w:rPr>
          <w:szCs w:val="24"/>
        </w:rPr>
        <w:tab/>
        <w:t>Одной из его обязанностей является разработка и реализация профилактических и пропагандистских программ по соблюдению прав человека в политической, юридической, экономической, воспитательной и культурной областях.  Исполняя эту функцию, в 2004 году Управление провело сравнительный анализ статистических отчетов по жалобам, в результате чего выяснилось, что Министерство безопасности (следственная полиция, криминальная полиция, пограничная полиция, полиция по исполнению наказаний) занимало первое место по случаям нарушения прав человека.  Факты нарушений со стороны Национальной полиции были связаны с жестоким обращением с задержанными, халатностью при исполнении судебных приказов, злоупотреблением властью со стороны оперативных работников, пытками и даже преступлениями против жизни (смертями).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142.</w:t>
      </w:r>
      <w:r>
        <w:rPr>
          <w:szCs w:val="24"/>
        </w:rPr>
        <w:tab/>
        <w:t>С учетом сложившегося положения было решено организовать общенациональную пропагандистскую кампанию с показом рекламных кинороликов, в которых рассказывалось бы о том, что вправе делать полицейский и чего он не должен делать, а также об обязанностях гражданина, позволяющих облегчить работу полицейских.  Кроме того, чтобы повысить ответственность работников следственной полиции за уважение личности и достоинства человека, были проведены однодневные учебные занятия с использованием учебно-педагогических материалов, специально подготовленных для этой цели.  В период с июля по сентябрь 2004 года в 18 департаментах страны прошла радиовещательная кампания на полицейские темы под названием "Защищая права других людей, я защищаю свои собственные".  Также были организованы 135 занятий по повышению квалификации в области прав человека, охвативших в масштабе страны 3 662 работника Национальной следственной полиции.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143.</w:t>
      </w:r>
      <w:r>
        <w:rPr>
          <w:szCs w:val="24"/>
        </w:rPr>
        <w:tab/>
        <w:t>В рамках Специальной программы по правам женщины, проводимой Национальным управлением уполномоченного по правам человека, в 2003 году были организованы следующие семинары, посвященные бытовому насилию и убийству женщин:  a)  дискуссия по гендерному подходу в средствах массовой информации, проведенная в Тегусигальпе 11 сентября с участием 97 студентов факультета журналистики Национального автономного университета Гондураса;  b)  семинар по правам человека, гендерному и бытовому насилию, прошедший 26 сентября с участием 26 подростков из муниципий Сан-Мигелито и Ла-Либертад, департамент Франсиско-Морасáн;  c)  семинар по распространению и выработке единого подхода к предлагаемым изменениям к Закону о противодействии бытовому насилию, который состоялся в Тегусигальпе 15 октября с участием 17 человек - представителей Национального института по делам женщин, инспекции по делам женщин, судов по делам бытового насилия, неправительственных организаций (НПО) и семейных консультаций;  d)  дискуссия по гендерному подходу в средствах массовой информации, проведенная в Тегусигальпе 16 октября с участием 23 студентов факультета журналистики Национального автономного университета Гондураса;  e)  дискуссия на тему "Законодательство и женщина", прошедшая 27 октября в Тегусигальпе с участием 62 студентов факультета права Национального автономного университета Гондураса, специализирующихся на законодательстве о малолетних преступниках;  f)  семинар по бытовому и внутрисемейному насилию, организованный в Тегусигальпе 14 ноября с участием 25 человек, включая судей по уголовным делам, мировых судей, судей по делам бытового насилия, а также прокуроров по делам женщин из состава дежурных бригад и групп срочного реагирования Прокуратуры и представителей Национального института по делам женщин.</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br w:type="page"/>
        <w:t>144.</w:t>
      </w:r>
      <w:r>
        <w:rPr>
          <w:szCs w:val="24"/>
        </w:rPr>
        <w:tab/>
        <w:t>В 2004 году по линии Специальной программы по правам женщины было проведено повышение квалификации членов женских организаций, входящих в состав Национальной комиссии Гондураса по делам женщин индейского и негритянского происхождения.  Был организован ряд семинаров, посвященных гендерному насилию и Конвенции о ликвидации всех форм дискриминации в отношении женщин, которые собрали:  a)  30 женщин народности толупан в Эль-Пальмар, департамент Йоро, 15 и 16 мая;  b)  30 женщин народностей майя и чортис в департаменте Окотепеке, 28 и 29 мая;  c)  30 женщин народности печ в Субирана-Оланчо, 17 и 18 июня;  d)  30 женщин народности мискита в Ла-Москития, 25 и 26 июня;  e)  30 женщин народности гарифуна в Кристалесе, департамент Колон, 27 и 28 июня.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145.</w:t>
      </w:r>
      <w:r>
        <w:rPr>
          <w:szCs w:val="24"/>
        </w:rPr>
        <w:tab/>
        <w:t>В 2006 году возобновила свою работу Межведомственная комиссия по расследованию убийств женщин, в структуру которой вошли представители Национального института по делам женщин, Прокуратуры специальной юрисдикции по делам женщин, Центра по защите прав женщин, Центра по изучению женщины - Гондурас, Верховного суда, Феминистского сообщества женщин - выпускниц университетов, Главного управления уголовного розыска, Управления судебной медицины, организации "Сообщество против насилия", Латиноамериканского комитета по правам женщины - Отделение в Гондурасе (ЛКПЖ-Г).</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146.</w:t>
      </w:r>
      <w:r>
        <w:rPr>
          <w:szCs w:val="24"/>
        </w:rPr>
        <w:tab/>
        <w:t>Среди главных достижений Комиссии следует назвать следующие:  a)  выделение 16 млн. лемпир Прокуратуре специальной юрисдикции по делам женщин для создания при Прокуратуре городов Тегусигальпа и Сан-Педро-Сула специального подразделения по расследованию случаев насильственной смерти женщин;  b)  создание в августе 2007 года при Главном управлении уголовного розыска в городе Тегусигальпа специального подразделения по расследованию случаев насильственной смерти женщин.  Подразделение насчитывает 8 агентов, которые занимаются исключительно расследованием случаев насильственной смерти женщин;  c)  разработка в период с января по октябрь первого доклада по делам об убийстве женщин в Центральноамериканском регионе (Глава:  Гондурас)</w:t>
      </w:r>
      <w:r>
        <w:rPr>
          <w:rStyle w:val="FootnoteReference"/>
          <w:szCs w:val="24"/>
        </w:rPr>
        <w:footnoteReference w:customMarkFollows="1" w:id="34"/>
        <w:t>34</w:t>
      </w:r>
      <w:r>
        <w:rPr>
          <w:szCs w:val="24"/>
        </w:rPr>
        <w:t>;  d)  презентация первого регионального доклада по делам об убийстве женщин 105 должностным лицам, в том числе руководителям всех трех ветвей государственной власти и организаций гражданского общества, которая состоялась 26 октября в Тегусигальпе и 23 ноября в Сан</w:t>
      </w:r>
      <w:r>
        <w:rPr>
          <w:szCs w:val="24"/>
        </w:rPr>
        <w:noBreakHyphen/>
        <w:t>Педро-Сула;  e)  общенациональный семинар по тематике бытового насилия и убийства женщин, проведенный 10 ноября в Тегусигальпе с сотрудниками Национального управления уполномоченного по правам человека и мировыми судьями;  f)  общенациональный семинар по тематике бытового насилия и убийства женщин, проведенный 30 ноября в Сан-Педро-Сула с сотрудниками Национального управления уполномоченного по правам человека и мировыми судьями.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147.</w:t>
      </w:r>
      <w:r>
        <w:rPr>
          <w:szCs w:val="24"/>
        </w:rPr>
        <w:tab/>
        <w:t>В 2007 году были проведены следующие мероприятия:  а)  в координации с Северным региональным представительством 19 апреля в городе Сан-Педро-Сула был организован мирный марш с требованием положить конец безнаказанности убийц женщин, в котором приняли участие родственники жертв, неправительственные организации и учреждения, работающие по этой тематике;  b)  14 мая в городе Саморано был проведен семинар по правам человека, гендерному насилию и Закону о противодействии бытовому насилию, в котором приняли участие 20 женщин, работающих на национальном уровне в качестве заведующих приютами благотворительной организации "Aldeas SOS";  c)  15 августа в городе Тегусигальпе прошел семинар по правам человека и бытовому насилию с участием 17 сотрудников больниц и медпунктов из городов Комаягуа, Хутикальпа и Чолутека;  d)  24 и 25 октября в городе Санта-Барбара был проведен семинар, посвященный правам человека, гендерному и бытовому насилию, а также убийствам женщин, в котором приняли участие 24 человека, в том числе полицейские, работники здравоохранения, муниципальные руководители и лидеры местных общин.</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148.</w:t>
      </w:r>
      <w:r>
        <w:rPr>
          <w:szCs w:val="24"/>
        </w:rPr>
        <w:tab/>
        <w:t>30 апреля 2007 года Национальное управление уполномоченного по правам человека подписало соглашение о сотрудничестве с Международной программой действий в области прав человека и Национальной следственной полицией в интересах выполнения специальных программ по правам женщин, детей и инвалидов.  В рамках этого соглашения 5 и 6 июня был организован семинар по тематике бытового, внутрисемейного насилия и жестокого обращения с детьми, на котором присутствовали 36 человек, включая представителей Национальной следственной полиции, Международной программы и Национального управления уполномоченного по правам человека.  Целью семинара было подготовить его участников в качестве проводников этих знаний в своих соответствующих ведомствах.</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149.</w:t>
      </w:r>
      <w:r>
        <w:rPr>
          <w:szCs w:val="24"/>
        </w:rPr>
        <w:tab/>
        <w:t xml:space="preserve">Силами специально подготовленных инструкторов в масштабах страны было проведено 62 семинара (продолжительностью два дня для взрослых и один день - для подростков) по темам "Бытовое насилие", "Насилие в семье" и "Жестокое обращение с детьми".  Семинарами были охвачены наименее развитые муниципии в следующих департаментах:  </w:t>
      </w:r>
      <w:r>
        <w:rPr>
          <w:szCs w:val="24"/>
          <w:lang w:val="en-US"/>
        </w:rPr>
        <w:t>a</w:t>
      </w:r>
      <w:r>
        <w:rPr>
          <w:szCs w:val="24"/>
        </w:rPr>
        <w:t>)  пятнадцать муниципий в департаменте Чолутека (в частности, Эль</w:t>
      </w:r>
      <w:r>
        <w:rPr>
          <w:szCs w:val="24"/>
        </w:rPr>
        <w:noBreakHyphen/>
        <w:t xml:space="preserve">Корпус, Марковиа, Санта-Ана-де-Есгуаре, Намасигуэ и Эль-Триунфо);  </w:t>
      </w:r>
      <w:r>
        <w:rPr>
          <w:szCs w:val="24"/>
          <w:lang w:val="en-US"/>
        </w:rPr>
        <w:t>b</w:t>
      </w:r>
      <w:r>
        <w:rPr>
          <w:szCs w:val="24"/>
        </w:rPr>
        <w:t xml:space="preserve">)  пятнадцать муниципий в департаменте Интибука (в частности, Хесус-де-Оторо, Масагуара, Ла-Эсперанса, Сан-Исидро, Интибука);  </w:t>
      </w:r>
      <w:r>
        <w:rPr>
          <w:szCs w:val="24"/>
          <w:lang w:val="en-US"/>
        </w:rPr>
        <w:t>c</w:t>
      </w:r>
      <w:r>
        <w:rPr>
          <w:szCs w:val="24"/>
        </w:rPr>
        <w:t xml:space="preserve">)  пятнадцать муниципий в департаменте Санта-Барабара (в частности, Сан-Николас, Атима, Консепсьон, Сан-Луис и Протексьон);  </w:t>
      </w:r>
      <w:r>
        <w:rPr>
          <w:szCs w:val="24"/>
          <w:lang w:val="en-US"/>
        </w:rPr>
        <w:t>d</w:t>
      </w:r>
      <w:r>
        <w:rPr>
          <w:szCs w:val="24"/>
        </w:rPr>
        <w:t xml:space="preserve">)  пятнадцать муниципий в департаменте Копан (в частности, Копан-Руинас, Санта-Рита, Сан-Николас, Сан-Хосе и Коркин);  </w:t>
      </w:r>
      <w:r>
        <w:rPr>
          <w:szCs w:val="24"/>
          <w:lang w:val="en-US"/>
        </w:rPr>
        <w:t>e</w:t>
      </w:r>
      <w:r>
        <w:rPr>
          <w:szCs w:val="24"/>
        </w:rPr>
        <w:t xml:space="preserve">)  пятнадцать муниципий в департаменте Комаягуа (в частности, Агуантекерике, Гуахикиро, Сантьяго-де-Пурингла, Чинакла и Санта-Элена);  и </w:t>
      </w:r>
      <w:r>
        <w:rPr>
          <w:szCs w:val="24"/>
          <w:lang w:val="en-US"/>
        </w:rPr>
        <w:t>f</w:t>
      </w:r>
      <w:r>
        <w:rPr>
          <w:szCs w:val="24"/>
        </w:rPr>
        <w:t>)  шесть муниципий в департаменте Лемпира (Грасиас, Лас-Флорес, Ла-Уньон, Ла-Игуала, Кайкин, Сан-Маркос).</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150.</w:t>
      </w:r>
      <w:r>
        <w:rPr>
          <w:szCs w:val="24"/>
        </w:rPr>
        <w:tab/>
        <w:t>Указанными семинарами были охвачены 662 взрослых, в частности представители муниципальных органов власти, сферы образования и здравоохранения, сотрудники полиции, родители и лидеры общин;  кроме того, соответствующую подготовку прошли 477 подростков из числа учащихся средних школ каждой из вышеупомянутых муниципий, т.е. в общей сложности 1 139 человек.  Эти семинары проходили по параллельной схеме с июля по октябрь текущего года.  В рамках оговоренного Соглашения предстоит еще осуществление второго этапа, который начнется в ноябре и предусматривает охват еще пяти департаментов страны, а именно:  Колон, Атлантида, Кортес, Оланчо и Франсиско-Морасан.</w:t>
      </w:r>
    </w:p>
    <w:p w:rsidR="00000000" w:rsidRDefault="00000000">
      <w:pPr>
        <w:tabs>
          <w:tab w:val="clear" w:pos="1701"/>
          <w:tab w:val="left" w:pos="1683"/>
        </w:tabs>
        <w:rPr>
          <w:szCs w:val="24"/>
        </w:rPr>
      </w:pPr>
    </w:p>
    <w:p w:rsidR="00000000" w:rsidRDefault="00000000">
      <w:pPr>
        <w:tabs>
          <w:tab w:val="clear" w:pos="1701"/>
          <w:tab w:val="left" w:pos="1683"/>
        </w:tabs>
        <w:rPr>
          <w:b/>
          <w:szCs w:val="24"/>
        </w:rPr>
      </w:pPr>
      <w:r>
        <w:rPr>
          <w:b/>
          <w:szCs w:val="24"/>
        </w:rPr>
        <w:t>7.</w:t>
      </w:r>
      <w:r>
        <w:rPr>
          <w:b/>
          <w:szCs w:val="24"/>
        </w:rPr>
        <w:tab/>
        <w:t>Гондурасский институт по делам детей и семьи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151.</w:t>
      </w:r>
      <w:r>
        <w:rPr>
          <w:szCs w:val="24"/>
        </w:rPr>
        <w:tab/>
        <w:t>В 2005 году в координации с Комитетом по правам человека (КОДЕХ) и Прокуратурой для сотрудников института были организованы 11 учебно-практических семинаров, посвященных правам человека в приложении к детям.  Семинары проходили по следующим темам:  "Кодекс законов о д</w:t>
      </w:r>
      <w:r>
        <w:rPr>
          <w:szCs w:val="24"/>
        </w:rPr>
        <w:t>е</w:t>
      </w:r>
      <w:r>
        <w:rPr>
          <w:szCs w:val="24"/>
        </w:rPr>
        <w:t>тях и подростках", "Конвенция о правах ребенка" и "Права человека".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152.</w:t>
      </w:r>
      <w:r>
        <w:rPr>
          <w:szCs w:val="24"/>
        </w:rPr>
        <w:tab/>
        <w:t>В 2006 году были проведены следующие мероприятия:  a)  воспитательные беседы по тематике прав человека и семинар по эффективному взаимообщению в колонии "Возрождение", где содержатся малолетние правонарушители;  b)  однодневные занятия на тему "Наша обязанность перед детьми", направленные на повышение уровня осведомленности няней, санитарок, соцработников, воспитателей и персонала охраны центров по оказанию помощи детям и детских приютов;  с)  в координации с организацией "Группа «Альянс»" и Международной программой по искоренению детского труда (МОТ-ИПЕК) идет формирование технической группы в составе 8 человек, которые с июня с.г. начнут проходить разностороннюю подготовку для работы с подростками обоего пола, ставшими жертвами сексуальной эксплуатации в коммерческих целях.</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br w:type="page"/>
        <w:t>153.</w:t>
      </w:r>
      <w:r>
        <w:rPr>
          <w:szCs w:val="24"/>
        </w:rPr>
        <w:tab/>
        <w:t>В 2007 году были организованы следующие мероприятия по повышению квалификации:  a)  однодневные занятия на тему "Конвенция о правах ребенка" для няней, санитарок, соцработников, воспитателей и персонала охраны приютов и центров по оказанию помощи детям;  b)  методика применения Протокола о репатриации детей и подростков - жертв или потенциальных жертв торговли людьми.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154.</w:t>
      </w:r>
      <w:r>
        <w:rPr>
          <w:szCs w:val="24"/>
        </w:rPr>
        <w:tab/>
        <w:t>В рамках проекта "Защита детей и подростков, их права и вовлечение в жизнь общества" было проведено обучение сотрудников Гондурасского института по делам детей и семьи, а также преподавателей Национального автономного университета Гондураса, готовящих социальных работников, и Центра профессионального развития.  Темами занятий были:  педагогическое творчество и стратегия, методология и решение проблем, гендерные аспекты, общение, управление и участие.</w:t>
      </w:r>
    </w:p>
    <w:p w:rsidR="00000000" w:rsidRDefault="00000000">
      <w:pPr>
        <w:tabs>
          <w:tab w:val="clear" w:pos="1701"/>
          <w:tab w:val="left" w:pos="1683"/>
        </w:tabs>
        <w:rPr>
          <w:szCs w:val="24"/>
        </w:rPr>
      </w:pPr>
    </w:p>
    <w:p w:rsidR="00000000" w:rsidRDefault="00000000">
      <w:pPr>
        <w:tabs>
          <w:tab w:val="clear" w:pos="1701"/>
          <w:tab w:val="left" w:pos="1683"/>
        </w:tabs>
        <w:rPr>
          <w:b/>
          <w:szCs w:val="24"/>
        </w:rPr>
      </w:pPr>
      <w:r>
        <w:rPr>
          <w:b/>
          <w:szCs w:val="24"/>
        </w:rPr>
        <w:t>8.</w:t>
      </w:r>
      <w:r>
        <w:rPr>
          <w:b/>
          <w:szCs w:val="24"/>
        </w:rPr>
        <w:tab/>
        <w:t>Национальный институт по делам женщин</w:t>
      </w:r>
    </w:p>
    <w:p w:rsidR="00000000" w:rsidRDefault="00000000">
      <w:pPr>
        <w:tabs>
          <w:tab w:val="clear" w:pos="1701"/>
          <w:tab w:val="left" w:pos="1683"/>
        </w:tabs>
        <w:rPr>
          <w:szCs w:val="24"/>
        </w:rPr>
      </w:pPr>
    </w:p>
    <w:p w:rsidR="00000000" w:rsidRDefault="00000000">
      <w:pPr>
        <w:rPr>
          <w:szCs w:val="24"/>
        </w:rPr>
      </w:pPr>
      <w:r>
        <w:rPr>
          <w:szCs w:val="24"/>
        </w:rPr>
        <w:t>155.</w:t>
      </w:r>
      <w:r>
        <w:rPr>
          <w:szCs w:val="24"/>
        </w:rPr>
        <w:tab/>
        <w:t>ИНАМ заключил соглашения о межведомственном сотрудничестве с судебной властью, министерством безопасности, министерством обороны и Прокуратурой в интересах дальнейшего развития процессов подготовки кадров и повышения уровня осведомленности по правовым аспектам действенной защиты прав человека женщин с целью улучшить их доступ к правосудию.  Координация этой работы возложена на подразделение ИНАМ по профилактике насилия.  В 2006-2007 годах в Училище по подготовке судейских служащих были проведены занятия по повышению квалификации сотрудников правоприменительных органов, а также осуществляется подготовка судейских чиновников, дипломированных по специальности гендерных отношений:</w:t>
      </w:r>
    </w:p>
    <w:p w:rsidR="00000000" w:rsidRDefault="00000000">
      <w:pPr>
        <w:rPr>
          <w:szCs w:val="24"/>
        </w:rPr>
      </w:pPr>
    </w:p>
    <w:p w:rsidR="00000000" w:rsidRDefault="00000000">
      <w:pPr>
        <w:ind w:left="1134" w:hanging="1134"/>
        <w:rPr>
          <w:szCs w:val="24"/>
        </w:rPr>
      </w:pPr>
      <w:r>
        <w:rPr>
          <w:szCs w:val="24"/>
        </w:rPr>
        <w:tab/>
        <w:t>a)</w:t>
      </w:r>
      <w:r>
        <w:rPr>
          <w:szCs w:val="24"/>
        </w:rPr>
        <w:tab/>
        <w:t xml:space="preserve">1 и 2 марта 2007 года для сотрудников правоприменительных органов и Национальной полиции департамента Франсиско-Морасáн был организован семинар по разъяснению и применению норм, связанных с бытовым насилием.  На нем был представлен и принят к руководству соответствующий доклад о региональном исследовании, проведенном в Центральной Америке;  </w:t>
      </w:r>
    </w:p>
    <w:p w:rsidR="00000000" w:rsidRDefault="00000000">
      <w:pPr>
        <w:rPr>
          <w:szCs w:val="24"/>
        </w:rPr>
      </w:pPr>
    </w:p>
    <w:p w:rsidR="00000000" w:rsidRDefault="00000000">
      <w:pPr>
        <w:ind w:left="1134" w:hanging="1134"/>
        <w:rPr>
          <w:szCs w:val="24"/>
        </w:rPr>
      </w:pPr>
      <w:r>
        <w:rPr>
          <w:szCs w:val="24"/>
        </w:rPr>
        <w:tab/>
        <w:t>b)</w:t>
      </w:r>
      <w:r>
        <w:rPr>
          <w:szCs w:val="24"/>
        </w:rPr>
        <w:tab/>
        <w:t>семинар по разъяснению и применению норм, связанных с бытовым насилием, в котором приняли участие работники правоприменительных органов и Национальной полиции, позволил выработать единые критерии подхода к стратегии применения данного законодательства.  Семинар прошел в соответствии с соглашением, подписанным между ИНАМ, Верховным судом и фондом "Правосудие и гендерный аспект";</w:t>
      </w:r>
    </w:p>
    <w:p w:rsidR="00000000" w:rsidRDefault="00000000">
      <w:pPr>
        <w:rPr>
          <w:szCs w:val="24"/>
        </w:rPr>
      </w:pPr>
    </w:p>
    <w:p w:rsidR="00000000" w:rsidRDefault="00000000">
      <w:pPr>
        <w:ind w:left="1134" w:hanging="1134"/>
        <w:rPr>
          <w:szCs w:val="24"/>
        </w:rPr>
      </w:pPr>
      <w:r>
        <w:rPr>
          <w:szCs w:val="24"/>
        </w:rPr>
        <w:tab/>
        <w:t>c)</w:t>
      </w:r>
      <w:r>
        <w:rPr>
          <w:szCs w:val="24"/>
        </w:rPr>
        <w:tab/>
        <w:t>пропагандистская кампания по тематике виртуального насилия, в которой приняли участие представители властей, женского движения, Прокуратуры по делам женщин и Национальной полиции, а также председатель Национальной комиссии по телекоммуникациям (КОНАТЕЛЬ);</w:t>
      </w:r>
    </w:p>
    <w:p w:rsidR="00000000" w:rsidRDefault="00000000">
      <w:pPr>
        <w:rPr>
          <w:szCs w:val="24"/>
        </w:rPr>
      </w:pPr>
    </w:p>
    <w:p w:rsidR="00000000" w:rsidRDefault="00000000">
      <w:pPr>
        <w:ind w:left="1134" w:hanging="1134"/>
        <w:rPr>
          <w:szCs w:val="24"/>
        </w:rPr>
      </w:pPr>
      <w:r>
        <w:rPr>
          <w:szCs w:val="24"/>
        </w:rPr>
        <w:tab/>
        <w:t>d)</w:t>
      </w:r>
      <w:r>
        <w:rPr>
          <w:szCs w:val="24"/>
        </w:rPr>
        <w:tab/>
        <w:t>в период с апреля по июнь 2007 года в координации с Комиссией уголовной юстиции города Сан-Педро-Сула был проведен семинар-диспут по усилению роли, социализации и применению Протокола к Закону о противодействии бытовому насилию и его изменений.  В нем участвовали 340 представителей правоприменительных органов, включая сотрудников Национальной полиции и прокурорских работников;</w:t>
      </w:r>
    </w:p>
    <w:p w:rsidR="00000000" w:rsidRDefault="00000000">
      <w:pPr>
        <w:rPr>
          <w:szCs w:val="24"/>
        </w:rPr>
      </w:pPr>
    </w:p>
    <w:p w:rsidR="00000000" w:rsidRDefault="00000000">
      <w:pPr>
        <w:ind w:left="1134" w:hanging="1134"/>
        <w:rPr>
          <w:szCs w:val="24"/>
        </w:rPr>
      </w:pPr>
      <w:r>
        <w:rPr>
          <w:szCs w:val="24"/>
        </w:rPr>
        <w:tab/>
        <w:t>e)</w:t>
      </w:r>
      <w:r>
        <w:rPr>
          <w:szCs w:val="24"/>
        </w:rPr>
        <w:tab/>
        <w:t>в марте и июне 2007 года в департаментах Атлантида, Кортéс и Интибука прошел семинар-диспут о взглядах и подходах ведомства, а также социализации Протокола к Закону о противодействии бытовому насилию, организованный для работников правоприменительных органов, правозащитных организаций, женских организаций, Национальной полиции, сотрудников Главного управления уголовного расследования.  Всего было охвачено 120 человек;</w:t>
      </w:r>
    </w:p>
    <w:p w:rsidR="00000000" w:rsidRDefault="00000000">
      <w:pPr>
        <w:rPr>
          <w:szCs w:val="24"/>
        </w:rPr>
      </w:pPr>
    </w:p>
    <w:p w:rsidR="00000000" w:rsidRDefault="00000000">
      <w:pPr>
        <w:ind w:left="1134" w:hanging="1134"/>
        <w:rPr>
          <w:szCs w:val="24"/>
        </w:rPr>
      </w:pPr>
      <w:r>
        <w:rPr>
          <w:szCs w:val="24"/>
        </w:rPr>
        <w:tab/>
        <w:t>f)</w:t>
      </w:r>
      <w:r>
        <w:rPr>
          <w:szCs w:val="24"/>
        </w:rPr>
        <w:tab/>
        <w:t>8 ноября 2007 года в Тегусигальпе для сотрудников правоприменительных органов, полицейских, прокурорских работников и представителей женских организаций был организован семинар-диспут на тему "Комплексная политика гражданской и общественной безопасности, перспективы с точки зрения правосудия".  В нем участвовали 150 человек;</w:t>
      </w:r>
    </w:p>
    <w:p w:rsidR="00000000" w:rsidRDefault="00000000">
      <w:pPr>
        <w:rPr>
          <w:szCs w:val="24"/>
        </w:rPr>
      </w:pPr>
    </w:p>
    <w:p w:rsidR="00000000" w:rsidRDefault="00000000">
      <w:pPr>
        <w:ind w:left="1134" w:hanging="1134"/>
        <w:rPr>
          <w:szCs w:val="24"/>
        </w:rPr>
      </w:pPr>
      <w:r>
        <w:rPr>
          <w:szCs w:val="24"/>
        </w:rPr>
        <w:tab/>
        <w:t>g)</w:t>
      </w:r>
      <w:r>
        <w:rPr>
          <w:szCs w:val="24"/>
        </w:rPr>
        <w:tab/>
        <w:t>28 и 29 ноября для служащих Национальной полиции в Сан-Педро-Сула были проведены однодневные занятия по упорядочению правозащитных структур в Вооруженных силах Гондураса;</w:t>
      </w:r>
    </w:p>
    <w:p w:rsidR="00000000" w:rsidRDefault="00000000">
      <w:pPr>
        <w:rPr>
          <w:szCs w:val="24"/>
        </w:rPr>
      </w:pPr>
    </w:p>
    <w:p w:rsidR="00000000" w:rsidRDefault="00000000">
      <w:pPr>
        <w:ind w:left="1134" w:hanging="1134"/>
        <w:rPr>
          <w:szCs w:val="24"/>
        </w:rPr>
      </w:pPr>
      <w:r>
        <w:rPr>
          <w:szCs w:val="24"/>
        </w:rPr>
        <w:tab/>
        <w:t>h)</w:t>
      </w:r>
      <w:r>
        <w:rPr>
          <w:szCs w:val="24"/>
        </w:rPr>
        <w:tab/>
        <w:t>с 8 по 15 октября 2007 года в координации с гендерным подразделением Министерства безопасности были организованы пять однодневных занятий по повышению уровня осведомленности и квалификации в области нормы права, касающейся прав человека женщин, и Закона о противодействии бытовому насилию, рассчитанных на служащих Национальной полиции и охвативших в общей сложности 340 человек;</w:t>
      </w:r>
    </w:p>
    <w:p w:rsidR="00000000" w:rsidRDefault="00000000">
      <w:pPr>
        <w:rPr>
          <w:szCs w:val="24"/>
        </w:rPr>
      </w:pPr>
    </w:p>
    <w:p w:rsidR="00000000" w:rsidRDefault="00000000">
      <w:pPr>
        <w:ind w:left="1134" w:hanging="1134"/>
        <w:rPr>
          <w:szCs w:val="24"/>
        </w:rPr>
      </w:pPr>
      <w:r>
        <w:rPr>
          <w:szCs w:val="24"/>
        </w:rPr>
        <w:tab/>
        <w:t>i)</w:t>
      </w:r>
      <w:r>
        <w:rPr>
          <w:szCs w:val="24"/>
        </w:rPr>
        <w:tab/>
        <w:t>23 ноября 2007 года в рамках празднования Международного дня борьбы с насилием в отношении женщин был проведен форум "Насилие против женщины - проблема прав человека".  В форуме приняли участие 69 человек, в том числе сотрудники правоприменительных органов, Национальной полиции, гражданского общества, правозащитных и женских организаций;</w:t>
      </w:r>
    </w:p>
    <w:p w:rsidR="00000000" w:rsidRDefault="00000000">
      <w:pPr>
        <w:spacing w:line="240" w:lineRule="auto"/>
        <w:rPr>
          <w:szCs w:val="24"/>
        </w:rPr>
      </w:pPr>
    </w:p>
    <w:p w:rsidR="00000000" w:rsidRDefault="00000000">
      <w:pPr>
        <w:tabs>
          <w:tab w:val="clear" w:pos="1701"/>
          <w:tab w:val="left" w:pos="1683"/>
        </w:tabs>
        <w:ind w:left="1134" w:hanging="1134"/>
        <w:rPr>
          <w:szCs w:val="24"/>
        </w:rPr>
      </w:pPr>
      <w:r>
        <w:rPr>
          <w:szCs w:val="24"/>
        </w:rPr>
        <w:tab/>
        <w:t>j)</w:t>
      </w:r>
      <w:r>
        <w:rPr>
          <w:szCs w:val="24"/>
        </w:rPr>
        <w:tab/>
        <w:t>в декабре 2007 года прошла общественная информационная кампания "Доступ женщин к правосудию как право человека в конкретных случаях гендерного насилия".</w:t>
      </w:r>
    </w:p>
    <w:p w:rsidR="00000000" w:rsidRDefault="00000000">
      <w:pPr>
        <w:tabs>
          <w:tab w:val="clear" w:pos="1701"/>
          <w:tab w:val="left" w:pos="1683"/>
        </w:tabs>
        <w:rPr>
          <w:szCs w:val="24"/>
        </w:rPr>
      </w:pPr>
    </w:p>
    <w:p w:rsidR="00000000" w:rsidRDefault="00000000">
      <w:pPr>
        <w:rPr>
          <w:szCs w:val="24"/>
        </w:rPr>
      </w:pPr>
      <w:r>
        <w:rPr>
          <w:szCs w:val="24"/>
        </w:rPr>
        <w:t>156.</w:t>
      </w:r>
      <w:r>
        <w:rPr>
          <w:szCs w:val="24"/>
        </w:rPr>
        <w:tab/>
        <w:t xml:space="preserve">ИНАМ и другие учреждения разработали различные учебники, пособия и вспомогательные материалы для персонала органов, оказывающих услуги в этой сфере, а именно:  </w:t>
      </w:r>
    </w:p>
    <w:p w:rsidR="00000000" w:rsidRDefault="00000000">
      <w:pPr>
        <w:spacing w:line="240" w:lineRule="auto"/>
        <w:rPr>
          <w:szCs w:val="24"/>
        </w:rPr>
      </w:pPr>
    </w:p>
    <w:p w:rsidR="00000000" w:rsidRDefault="00000000">
      <w:pPr>
        <w:ind w:left="1134" w:hanging="1134"/>
        <w:rPr>
          <w:szCs w:val="24"/>
        </w:rPr>
      </w:pPr>
      <w:r>
        <w:rPr>
          <w:szCs w:val="24"/>
        </w:rPr>
        <w:tab/>
        <w:t>a)</w:t>
      </w:r>
      <w:r>
        <w:rPr>
          <w:szCs w:val="24"/>
        </w:rPr>
        <w:tab/>
        <w:t>учебники для преподавателей и обучаемых по тематике гендерного равноправия и профилактики бытового и внутрисемейного насилия, предназначенные для Центра подготовки полицейских и Национальной академии полиции - были разработаны совместно с Министерством безопасности;</w:t>
      </w:r>
    </w:p>
    <w:p w:rsidR="00000000" w:rsidRDefault="00000000">
      <w:pPr>
        <w:spacing w:line="240" w:lineRule="auto"/>
        <w:rPr>
          <w:szCs w:val="24"/>
        </w:rPr>
      </w:pPr>
    </w:p>
    <w:p w:rsidR="00000000" w:rsidRDefault="00000000">
      <w:pPr>
        <w:ind w:left="1134" w:hanging="1134"/>
        <w:rPr>
          <w:szCs w:val="24"/>
        </w:rPr>
      </w:pPr>
      <w:r>
        <w:rPr>
          <w:szCs w:val="24"/>
        </w:rPr>
        <w:tab/>
        <w:t>b)</w:t>
      </w:r>
      <w:r>
        <w:rPr>
          <w:szCs w:val="24"/>
        </w:rPr>
        <w:tab/>
        <w:t>Протокол о введении в действие Закона о противодействии бытовому насилию, предназначенный для различных организаций, занимающихся данной проблематикой;</w:t>
      </w:r>
    </w:p>
    <w:p w:rsidR="00000000" w:rsidRDefault="00000000">
      <w:pPr>
        <w:spacing w:line="240" w:lineRule="auto"/>
        <w:rPr>
          <w:szCs w:val="24"/>
        </w:rPr>
      </w:pPr>
    </w:p>
    <w:p w:rsidR="00000000" w:rsidRDefault="00000000">
      <w:pPr>
        <w:ind w:left="1134" w:hanging="1134"/>
        <w:rPr>
          <w:szCs w:val="24"/>
        </w:rPr>
      </w:pPr>
      <w:r>
        <w:rPr>
          <w:szCs w:val="24"/>
        </w:rPr>
        <w:tab/>
        <w:t>c)</w:t>
      </w:r>
      <w:r>
        <w:rPr>
          <w:szCs w:val="24"/>
        </w:rPr>
        <w:tab/>
        <w:t>учебник по юриспруденции с упором на гендерный подход.  Данный инструмент поможет правоведческим группам судебной власти выявлять гендерные признаки в приговорах, вынесенных судами и трибуналами различных инстанций;</w:t>
      </w:r>
    </w:p>
    <w:p w:rsidR="00000000" w:rsidRDefault="00000000">
      <w:pPr>
        <w:spacing w:line="240" w:lineRule="auto"/>
        <w:rPr>
          <w:szCs w:val="24"/>
        </w:rPr>
      </w:pPr>
    </w:p>
    <w:p w:rsidR="00000000" w:rsidRDefault="00000000">
      <w:pPr>
        <w:ind w:left="1134" w:hanging="1134"/>
        <w:rPr>
          <w:szCs w:val="24"/>
        </w:rPr>
      </w:pPr>
      <w:r>
        <w:rPr>
          <w:szCs w:val="24"/>
        </w:rPr>
        <w:tab/>
        <w:t>d)</w:t>
      </w:r>
      <w:r>
        <w:rPr>
          <w:szCs w:val="24"/>
        </w:rPr>
        <w:tab/>
        <w:t xml:space="preserve">Протокол об оказании помощи женщинам, подвергнувшимся насилию, предназначенный для Национальной полиции, в частности для Бюро по оказанию комплексной помощи в Окотепеке - был разработан совместно с участниками проекта "Женщины и подростки, входящие в группу социального риска в Центральной Америке" (МАРС);  </w:t>
      </w:r>
    </w:p>
    <w:p w:rsidR="00000000" w:rsidRDefault="00000000">
      <w:pPr>
        <w:spacing w:line="240" w:lineRule="auto"/>
        <w:rPr>
          <w:szCs w:val="24"/>
        </w:rPr>
      </w:pPr>
    </w:p>
    <w:p w:rsidR="00000000" w:rsidRDefault="00000000">
      <w:pPr>
        <w:ind w:left="1134" w:hanging="1134"/>
        <w:rPr>
          <w:szCs w:val="24"/>
        </w:rPr>
      </w:pPr>
      <w:r>
        <w:rPr>
          <w:szCs w:val="24"/>
        </w:rPr>
        <w:tab/>
        <w:t>e)</w:t>
      </w:r>
      <w:r>
        <w:rPr>
          <w:szCs w:val="24"/>
        </w:rPr>
        <w:tab/>
        <w:t xml:space="preserve">учебные пособия (одно для преподавателей, другое для учащихся) с упором на гендерное равенство, рассчитанные на первый курс лиценциатуры по подготовке фельдшеров;  </w:t>
      </w:r>
    </w:p>
    <w:p w:rsidR="00000000" w:rsidRDefault="00000000">
      <w:pPr>
        <w:spacing w:line="240" w:lineRule="auto"/>
        <w:rPr>
          <w:szCs w:val="24"/>
        </w:rPr>
      </w:pPr>
    </w:p>
    <w:p w:rsidR="00000000" w:rsidRDefault="00000000">
      <w:pPr>
        <w:ind w:left="1134" w:hanging="1134"/>
        <w:rPr>
          <w:szCs w:val="24"/>
        </w:rPr>
      </w:pPr>
      <w:r>
        <w:rPr>
          <w:szCs w:val="24"/>
        </w:rPr>
        <w:tab/>
        <w:t>f)</w:t>
      </w:r>
      <w:r>
        <w:rPr>
          <w:szCs w:val="24"/>
        </w:rPr>
        <w:tab/>
        <w:t xml:space="preserve">Протокол о введении в действие Закона о противодействии бытовому насилию (Декрет № 132-97, Декрет о внесении изменений № 250-2005), разработанный совместно с судебной властью, Техническим подразделением по внесению изменений (ТПИ) и фондом "Правосудие и гендерный аспект";  </w:t>
      </w:r>
    </w:p>
    <w:p w:rsidR="00000000" w:rsidRDefault="00000000">
      <w:pPr>
        <w:spacing w:line="240" w:lineRule="auto"/>
        <w:rPr>
          <w:szCs w:val="24"/>
        </w:rPr>
      </w:pPr>
    </w:p>
    <w:p w:rsidR="00000000" w:rsidRDefault="00000000">
      <w:pPr>
        <w:ind w:left="1134" w:hanging="1134"/>
        <w:rPr>
          <w:szCs w:val="24"/>
        </w:rPr>
      </w:pPr>
      <w:r>
        <w:rPr>
          <w:szCs w:val="24"/>
        </w:rPr>
        <w:tab/>
        <w:t>g)</w:t>
      </w:r>
      <w:r>
        <w:rPr>
          <w:szCs w:val="24"/>
        </w:rPr>
        <w:tab/>
        <w:t>анализ ведомственной реакции на случаи бытового насилия, подготовленный совместно с судебной властью, Техническим подразделением по внесению изменений (ТПИ) и фондом "Правосудие и гендерный аспект";</w:t>
      </w:r>
    </w:p>
    <w:p w:rsidR="00000000" w:rsidRDefault="00000000">
      <w:pPr>
        <w:spacing w:line="240" w:lineRule="auto"/>
        <w:rPr>
          <w:szCs w:val="24"/>
        </w:rPr>
      </w:pPr>
    </w:p>
    <w:p w:rsidR="00000000" w:rsidRDefault="00000000">
      <w:pPr>
        <w:ind w:left="1134" w:hanging="1134"/>
        <w:rPr>
          <w:szCs w:val="24"/>
        </w:rPr>
      </w:pPr>
      <w:r>
        <w:rPr>
          <w:szCs w:val="24"/>
        </w:rPr>
        <w:tab/>
        <w:t>h)</w:t>
      </w:r>
      <w:r>
        <w:rPr>
          <w:szCs w:val="24"/>
        </w:rPr>
        <w:tab/>
        <w:t>Справочник по нормативным актам и процедурам оказания комплексной помощи женщинам, Справочник по нормативным актам, касающимся оказания комплексной помощи подросткам обоего пола, в которые включены параграфы, касающиеся выявления и устранения последствий насилия, а также протоколы по выявлению признаков бытового и сексуального насилия при первичном обследовании в органах Министерства здравоохранения;</w:t>
      </w:r>
    </w:p>
    <w:p w:rsidR="00000000" w:rsidRDefault="00000000">
      <w:pPr>
        <w:spacing w:line="240" w:lineRule="auto"/>
        <w:rPr>
          <w:szCs w:val="24"/>
        </w:rPr>
      </w:pPr>
    </w:p>
    <w:p w:rsidR="00000000" w:rsidRDefault="00000000">
      <w:pPr>
        <w:ind w:left="1134" w:hanging="1134"/>
        <w:rPr>
          <w:szCs w:val="24"/>
        </w:rPr>
      </w:pPr>
      <w:r>
        <w:rPr>
          <w:szCs w:val="24"/>
        </w:rPr>
        <w:tab/>
        <w:t>i)</w:t>
      </w:r>
      <w:r>
        <w:rPr>
          <w:szCs w:val="24"/>
        </w:rPr>
        <w:tab/>
        <w:t>Протокол об оказании помощи женщинам, подвергнувшимся насилию, разработанный в рамках Программы помощи женщинам, проводимой в жизнь Национальным управлением уполномоченного по правам человека;</w:t>
      </w:r>
    </w:p>
    <w:p w:rsidR="00000000" w:rsidRDefault="00000000">
      <w:pPr>
        <w:spacing w:line="240" w:lineRule="auto"/>
        <w:rPr>
          <w:szCs w:val="24"/>
        </w:rPr>
      </w:pPr>
    </w:p>
    <w:p w:rsidR="00000000" w:rsidRDefault="00000000">
      <w:pPr>
        <w:tabs>
          <w:tab w:val="clear" w:pos="1701"/>
          <w:tab w:val="left" w:pos="1683"/>
        </w:tabs>
        <w:ind w:left="1134" w:hanging="1134"/>
        <w:rPr>
          <w:szCs w:val="24"/>
        </w:rPr>
      </w:pPr>
      <w:r>
        <w:rPr>
          <w:szCs w:val="24"/>
        </w:rPr>
        <w:tab/>
        <w:t>j)</w:t>
      </w:r>
      <w:r>
        <w:rPr>
          <w:szCs w:val="24"/>
        </w:rPr>
        <w:tab/>
        <w:t>перевод Закона о противодействии бытовому насилию и Закона о равенстве возможностей на языки других этнических групп:  мискитов, гарифунов и тауаков.</w:t>
      </w:r>
    </w:p>
    <w:p w:rsidR="00000000" w:rsidRDefault="00000000">
      <w:pPr>
        <w:tabs>
          <w:tab w:val="clear" w:pos="1701"/>
          <w:tab w:val="left" w:pos="1683"/>
        </w:tabs>
        <w:rPr>
          <w:szCs w:val="24"/>
        </w:rPr>
      </w:pPr>
    </w:p>
    <w:p w:rsidR="00000000" w:rsidRDefault="00000000">
      <w:pPr>
        <w:tabs>
          <w:tab w:val="clear" w:pos="1701"/>
          <w:tab w:val="left" w:pos="1683"/>
        </w:tabs>
        <w:rPr>
          <w:b/>
          <w:szCs w:val="24"/>
        </w:rPr>
      </w:pPr>
      <w:r>
        <w:rPr>
          <w:b/>
          <w:szCs w:val="24"/>
        </w:rPr>
        <w:t>10.</w:t>
      </w:r>
      <w:r>
        <w:rPr>
          <w:b/>
          <w:szCs w:val="24"/>
        </w:rPr>
        <w:tab/>
        <w:t>«Группа "Альянс"»</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157.</w:t>
      </w:r>
      <w:r>
        <w:rPr>
          <w:szCs w:val="24"/>
        </w:rPr>
        <w:tab/>
        <w:t>Неправительственная организация «Группа "Альянс"» в рамках своей Программы правовой поддержки провела в общенациональном масштабе в 1999-2004 годах занятия по повышению квалификации 1 720 полицейских служащих.  Темами занятий были:  права детей, работа с уличными детьми и подростками, нарушающими закон.</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rPr>
        <w:t>К.</w:t>
      </w:r>
      <w:r>
        <w:rPr>
          <w:b/>
          <w:szCs w:val="24"/>
        </w:rPr>
        <w:tab/>
        <w:t>Статья 11</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158.</w:t>
      </w:r>
      <w:r>
        <w:rPr>
          <w:szCs w:val="24"/>
        </w:rPr>
        <w:tab/>
        <w:t>В Гондурасе, помимо обязательств, принятых в момент ратификации международных договоров и конвенций, условия обращения с лицами, лишенными свободы, регламентируются различными внутригосударственными нормативными актами, к числу которых относятся, в частности, Конституция Республики, Уголовный кодекс, Уголовно-процессуальный кодекс, Органический закон о полиции, Закон "Об исправлении и перевоспитании правонарушителей", Закон "О полиции и общественном порядке".</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159.</w:t>
      </w:r>
      <w:r>
        <w:rPr>
          <w:szCs w:val="24"/>
        </w:rPr>
        <w:tab/>
        <w:t>Что касается случаев, при наступлении которых требуется незамедлительное уведомление и участие адвокатов, врачей и членов семьи, то Уголовно-процессуальный кодекс в пункте 2 своей статьи 101 устанавливает, что каждый задержанный имеет право на то, чтобы немедленно сообщить о факте своего задержания и месте, где он содержится, юридическому либо физическому лицу по своему усмотрению.  Если физическое или юридическое лицо, которому адресовано сообщение, находится вне пределов территории Республики Гондурас, то о факте своего задержания и месте, где он находится, задержанный может сообщить в соответствующее дипломатическое представительство либо консульство.  В отсутствие последних информация доводится до сведения Национального управления уполномоченного по правам человека.  Задержанный вправе сам передать это сообщение, за исключением случаев, когда на расследование наложен гриф секретности, и в таком случае это должен сделать представитель власти либо должностное лицо, в распоряжении которого находится задержанный.  В пункте 3 этой же статьи говорится, что каждый задержанный имеет право получать с момента своего задержания или вызова для дачи показаний помощь профессионального адвоката.  Последний может быть назначен самим задержанным либо его супругом, сожителем или родственником до четвертой степени кровного родства либо второй степени свойства.  Если названные лица не выделят защитника, эту функцию будет выполнять государственный защитник, назначенный судебным органом, а в случае, если такового в данном населенном пункте нет, то любой защитник, которого также назначает судебный орган.  В отношении оказания медицинской помощи в статье 30 Закона "Об исправлении и перевоспитании правонарушителей" устанавливается, что медицинская служба в уголовно-исполнительных учреждениях должна быть оснащена всем необходимым для должного обслуживания заключенных, причем предусмотрено, что если заключенным невозможно оказать медицинскую помощь в тюремном лазарете либо медпункте, они должны быть переведены в больницу.  С другой стороны, статья 29 Закона "Об исправлении и перевоспитании правонарушителей" определяет, что любой человек, попавший в исправительное учреждение или тюрьму, сразу же должен быть осмотрен врачом на предмет освидетельствования его физического и психического состояния и принятия соответствующих мер.  Если в результате медицинского обследования будет выявлено, что заключенный имеет физическое или психическое отклонение, требующее его помещения в специализированное лечебное учреждение, он должен быть направлен туда после принятия соответствующим должностным лицом надлежащего решения и изменения режима отбывания наказания.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160.</w:t>
      </w:r>
      <w:r>
        <w:rPr>
          <w:szCs w:val="24"/>
        </w:rPr>
        <w:tab/>
        <w:t>Органы судебной власти через своих судей по делам исполнения наказаний отслеживают и контролируют отбывание наказаний и соблюдение мер безопасности, а также следят за правильным применением норм, регулирующих внутренний режим пенитенциарных учреждений, рассматривают и принимают решения по жалобам, поданным заключенными в случае отказа администрации соответствующего исправительного учреждения предоставить им условно-досрочное освобождение, а также по жалобам на дисциплинарные взыскания.  В настоящее время органы судебной власти назначили на конкурсной основе 24 судьи по делам исполнения наказаний</w:t>
      </w:r>
      <w:r>
        <w:rPr>
          <w:rStyle w:val="FootnoteReference"/>
          <w:szCs w:val="24"/>
        </w:rPr>
        <w:footnoteReference w:customMarkFollows="1" w:id="35"/>
        <w:t>35</w:t>
      </w:r>
      <w:r>
        <w:rPr>
          <w:szCs w:val="24"/>
        </w:rPr>
        <w:t>.</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161.</w:t>
      </w:r>
      <w:r>
        <w:rPr>
          <w:szCs w:val="24"/>
        </w:rPr>
        <w:tab/>
        <w:t>Перед лицом необходимости располагать системой получения достоверной информации о положении заключенных в стране органы судебной власти в 2006 году приступили к выполнению Проекта по проверке исправительных учреждений, целью которого стал контроль и мониторинг заключенных, с тем чтобы органы юридической защиты и суды по делам исполнения наказаний имели данные, необходимые для решения вопросов условно-досрочного освобождения осужденных или улучшения условий отбывания наказания.  На данный момент выполнение этого проекта завершилось, и одним из его результатов стало осознание потребности в постоянной программе проверки исправительных учреждений, которая, как ожидается, будет запущена в этом году</w:t>
      </w:r>
      <w:r>
        <w:rPr>
          <w:rStyle w:val="FootnoteReference"/>
          <w:szCs w:val="24"/>
        </w:rPr>
        <w:footnoteReference w:customMarkFollows="1" w:id="36"/>
        <w:t>36</w:t>
      </w:r>
      <w:r>
        <w:rPr>
          <w:szCs w:val="24"/>
        </w:rPr>
        <w:t>.</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162.</w:t>
      </w:r>
      <w:r>
        <w:rPr>
          <w:szCs w:val="24"/>
        </w:rPr>
        <w:tab/>
        <w:t>Прокуратура уполномочена инспектировать пенитенциарные центры и изоляторы временного содержания полицейских участков по всей стране.  Ее структурное подразделение - Прокуратура специальной юрисдикции по правам человека - во взаимодействии с ЦПЛРП периодически проводит спонтанные инспекции всех полицейских отделений в Тегусигальпе и иногда в Сан-Педро-Сула (главных городах страны), проверяя законность задержаний.  Также осуществляются внезапные проверки национальных пенитенциарных учреждений с целью проверки условий содержания заключенных и расследования случаев предположительного применения пыток со стороны администрации этих учреждений.  На остальной территории страны подобные инспекционные проверки проводят судебные прокуроры, работающие в данном регионе</w:t>
      </w:r>
      <w:r>
        <w:rPr>
          <w:rStyle w:val="FootnoteReference"/>
          <w:szCs w:val="24"/>
        </w:rPr>
        <w:footnoteReference w:customMarkFollows="1" w:id="37"/>
        <w:t>37</w:t>
      </w:r>
      <w:r>
        <w:rPr>
          <w:szCs w:val="24"/>
        </w:rPr>
        <w:t>.</w:t>
      </w:r>
    </w:p>
    <w:p w:rsidR="00000000" w:rsidRDefault="00000000">
      <w:pPr>
        <w:tabs>
          <w:tab w:val="clear" w:pos="1701"/>
          <w:tab w:val="left" w:pos="1683"/>
        </w:tabs>
        <w:spacing w:line="240" w:lineRule="auto"/>
        <w:rPr>
          <w:szCs w:val="24"/>
        </w:rPr>
      </w:pPr>
    </w:p>
    <w:p w:rsidR="00000000" w:rsidRDefault="00000000">
      <w:pPr>
        <w:tabs>
          <w:tab w:val="clear" w:pos="1701"/>
          <w:tab w:val="left" w:pos="1683"/>
        </w:tabs>
        <w:rPr>
          <w:szCs w:val="24"/>
        </w:rPr>
      </w:pPr>
      <w:r>
        <w:rPr>
          <w:szCs w:val="24"/>
        </w:rPr>
        <w:t>163.</w:t>
      </w:r>
      <w:r>
        <w:rPr>
          <w:szCs w:val="24"/>
        </w:rPr>
        <w:tab/>
        <w:t>Национальное управление уполномоченного по правам человека представляет собой национальное учреждение, созданное с целью гарантировать соблюдение и действенность прав и свобод, признанных в Конституции Республики, а также закрепленных в международных договорах и конвенциях, ратифицированных Гондурасом.  Согласно статье 7 Органического закона о КОНАДЕ, при исполнении своих функций Национальное управление уполномоченного по правам человека имеет свободный доступ во все гражданские и военные учреждения, изоляторы временного содержания, следственные изоляторы и тюрьмы, не встречая в этом плане никаких препятствий.  Данную работу проводят 16 бригад, которыми Национальное управление располагает в разных частях страны, охватывая все 24 пенитенциарных центра.</w:t>
      </w:r>
    </w:p>
    <w:p w:rsidR="00000000" w:rsidRDefault="00000000">
      <w:pPr>
        <w:tabs>
          <w:tab w:val="clear" w:pos="1701"/>
          <w:tab w:val="left" w:pos="1683"/>
        </w:tabs>
        <w:rPr>
          <w:szCs w:val="24"/>
        </w:rPr>
      </w:pPr>
      <w:r>
        <w:rPr>
          <w:szCs w:val="24"/>
        </w:rPr>
        <w:t>164.</w:t>
      </w:r>
      <w:r>
        <w:rPr>
          <w:szCs w:val="24"/>
        </w:rPr>
        <w:tab/>
        <w:t>Во исполнение конституционных требований и с целью унификации информации об условиях содержания как взрослых, так и малолетник правонарушителей в изоляторах временного содержания полицейских участков и тюрьмах, в 2003 году был разработан т.н. формат инспекции, который должна применять каждая бригада при проведении проверок в пенитенциарных учреждениях.  Инспекции осуществляются по меньшей мере два раза в месяц, при этом проверяются физические условия содержания, вопросы здравоохранения и гигиены, воспитательная работа, условия управления, штрафные изоляторы, а также качество пищи, оказание медицинских услуг и реализация сексуальных прав.  По каждой выявленной аномалии составляется официальная жалоба, и компетентным властям направляется представление о необходимости восстановления нарушенных прав, причем последующее выполнение рекомендаций ставится на контроль.</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165.</w:t>
      </w:r>
      <w:r>
        <w:rPr>
          <w:szCs w:val="24"/>
        </w:rPr>
        <w:tab/>
        <w:t>Гондурас подписал Факультативный протокол к Конвенции против пыток и других жестоких, бесчеловечных или унижающих достоинство видов обращения и наказания 18 декабря 2002 года;  он был ратифицирован Национальным конгрессом 20 января 2006 года на основании Декрета № 374-2006, опубликованного в официальном вестнике "</w:t>
      </w:r>
      <w:r>
        <w:rPr>
          <w:i/>
          <w:szCs w:val="24"/>
        </w:rPr>
        <w:t>Ла Гасета</w:t>
      </w:r>
      <w:r>
        <w:rPr>
          <w:szCs w:val="24"/>
        </w:rPr>
        <w:t>" за № 30958 от 21 марта 2006 года.  Во исполнение статьи 17 указанного Протокола была сформирована Межведомственная комиссия в составе представителей Национального конгресса, Верховного суда, Прокуратуры, Министерства безопасности и ЦПЛРП, которая подготовила законопроект о создании независимого национального механизма предупреждения пыток в стране, уже переданный на рассмотрение Законодательной палаты.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166.</w:t>
      </w:r>
      <w:r>
        <w:rPr>
          <w:szCs w:val="24"/>
        </w:rPr>
        <w:tab/>
        <w:t>Что касается мер по обеспечению официального признания всех мест содержания под стражей, то статья 85 Конституции Республики гласит:  "Никто не может содержаться под стражей в ином месте, кроме установленного законом".  Данный конституционный запрет находит развитие в пункте 3 статьи 24 Закона о конституционном правосудии:  "О случаях лишения свободы, которые считаются незаконными и произвольными.  Является незаконным и произвольным всякое задержание или всякий арест, не связанное(ый) с содержанием в специальных центрах, отведенных государством для этих целей".</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167.</w:t>
      </w:r>
      <w:r>
        <w:rPr>
          <w:szCs w:val="24"/>
        </w:rPr>
        <w:tab/>
        <w:t>Что касается принципов медицинской этики применительно к медперсоналу, обслуживающему заключенных и задержанных, то 11 февраля 2006 года Медицинская коллегия Гондураса утвердила Этический кодекс, который расценивает как грубое нарушение медицинской этики активное либо пассивное участие врачей и подчиненного им медперсонала в действиях, содержащих признаки участия, соучастия, подстрекательства, попыток применения пыток либо жестокого, бесчеловечного или унижающего достоинство обращения.  Врач обязан информировать или заявлять о случаях пыток либо жестокого, бесчеловечного или унижающего достоинство обращения, о которых ему становится известно, и - в зависимости от обстоятельств - сообщение или заявление должно быть направлено медицинскому руководству, в национальные либо международные правоохранительные органы, неправительственные организации либо в Международный уголовный суд.  В случаях, когда возникает коллизия этических обязательств, врач должен следовать положениям Стамбульского протокола, который предусматривает обращение к международным кодексам и принципам этики, требующим, чтобы компетентный орган был поставлен в известность обо всей информации, связанной с пытками либо жестоким обращением, при этом надлежит руководствоваться главным принципом - не навредить</w:t>
      </w:r>
      <w:r>
        <w:rPr>
          <w:rStyle w:val="FootnoteReference"/>
          <w:szCs w:val="24"/>
        </w:rPr>
        <w:footnoteReference w:customMarkFollows="1" w:id="38"/>
        <w:t>38</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168.</w:t>
      </w:r>
      <w:r>
        <w:rPr>
          <w:szCs w:val="24"/>
        </w:rPr>
        <w:tab/>
        <w:t>Относительно механизмов проверки поведения персонала, ответственного за выполнение законодательства в части, касающейся допросов и охраны заключенных либо задержанных лиц, а также оценки результатов таких проверок, следует заметить, что в Гондурасе подобных оценочных механизмов не существует.  Полицейские обычно получают наказание вследствие поданной против них жалобы со стороны либо жертвы, либо ее родственников или правозащитных организаций.</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169.</w:t>
      </w:r>
      <w:r>
        <w:rPr>
          <w:szCs w:val="24"/>
        </w:rPr>
        <w:tab/>
        <w:t xml:space="preserve">Что касается гарантий в отношении защиты лиц, подвергающихся особому риску, то в статье 182 Конституции предусматривается средство правовой защиты хабеас корпус.  Иными словами, любой потерпевший либо пострадавший или любой другой человек, действующий от его имени, вправе прибегнуть к этой гарантии, если при задержании либо тюремном заключении к задержанному или заключенному применяются </w:t>
      </w:r>
      <w:r>
        <w:rPr>
          <w:spacing w:val="6"/>
          <w:szCs w:val="24"/>
        </w:rPr>
        <w:t xml:space="preserve">истязания, пытки, </w:t>
      </w:r>
      <w:r>
        <w:rPr>
          <w:szCs w:val="24"/>
        </w:rPr>
        <w:t>издевательства, незаконное обложение штрафом и любое насилие, ограничение или преследование, не обоснованное с точки зрения его личной безопасности либо поддержания тюремного порядка.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170.</w:t>
      </w:r>
      <w:r>
        <w:rPr>
          <w:szCs w:val="24"/>
        </w:rPr>
        <w:tab/>
        <w:t>Статья 5 Уголовно-процессуального кодекса ("Защита сторон, выступающих в процессе") гласит:  "Государство по линии соответствующих компетентных органов предоставляет в официальном порядке требуемую помощь и защиту жертвам, свидетелям и другим сторонам, выступающим в процессе".</w:t>
      </w:r>
    </w:p>
    <w:p w:rsidR="00000000" w:rsidRDefault="00000000">
      <w:pPr>
        <w:tabs>
          <w:tab w:val="clear" w:pos="1701"/>
          <w:tab w:val="left" w:pos="1683"/>
        </w:tabs>
        <w:rPr>
          <w:szCs w:val="24"/>
        </w:rPr>
      </w:pPr>
    </w:p>
    <w:p w:rsidR="00000000" w:rsidRDefault="00000000">
      <w:pPr>
        <w:tabs>
          <w:tab w:val="clear" w:pos="1701"/>
          <w:tab w:val="left" w:pos="1683"/>
        </w:tabs>
        <w:jc w:val="center"/>
        <w:rPr>
          <w:b/>
          <w:szCs w:val="24"/>
        </w:rPr>
      </w:pPr>
      <w:r>
        <w:rPr>
          <w:b/>
          <w:szCs w:val="24"/>
          <w:lang w:val="en-US"/>
        </w:rPr>
        <w:br w:type="page"/>
        <w:t>L</w:t>
      </w:r>
      <w:r>
        <w:rPr>
          <w:b/>
          <w:szCs w:val="24"/>
        </w:rPr>
        <w:t>.</w:t>
      </w:r>
      <w:r>
        <w:rPr>
          <w:b/>
          <w:szCs w:val="24"/>
        </w:rPr>
        <w:tab/>
        <w:t>Статья 12</w:t>
      </w:r>
    </w:p>
    <w:p w:rsidR="00000000" w:rsidRDefault="00000000">
      <w:pPr>
        <w:keepNext/>
        <w:tabs>
          <w:tab w:val="clear" w:pos="1701"/>
          <w:tab w:val="left" w:pos="1683"/>
        </w:tabs>
        <w:rPr>
          <w:szCs w:val="24"/>
        </w:rPr>
      </w:pPr>
    </w:p>
    <w:p w:rsidR="00000000" w:rsidRDefault="00000000">
      <w:pPr>
        <w:tabs>
          <w:tab w:val="clear" w:pos="1701"/>
          <w:tab w:val="left" w:pos="1683"/>
        </w:tabs>
        <w:rPr>
          <w:szCs w:val="24"/>
        </w:rPr>
      </w:pPr>
      <w:r>
        <w:rPr>
          <w:szCs w:val="24"/>
        </w:rPr>
        <w:t>171.</w:t>
      </w:r>
      <w:r>
        <w:rPr>
          <w:szCs w:val="24"/>
        </w:rPr>
        <w:tab/>
        <w:t>Прокуратура обязана нацеливать сотрудников Главного управления уголовного расследования на расследование уголовно наказуемых деяний и возбуждение уголовных дел публичного характера от имени общества, и с этой целью предпринимать все необходимые шаги для подготовки и выдвижения обвинения, а также участия в уголовном судопроизводстве</w:t>
      </w:r>
      <w:r>
        <w:rPr>
          <w:rStyle w:val="FootnoteReference"/>
          <w:szCs w:val="24"/>
        </w:rPr>
        <w:footnoteReference w:customMarkFollows="1" w:id="39"/>
        <w:t>39</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172.</w:t>
      </w:r>
      <w:r>
        <w:rPr>
          <w:szCs w:val="24"/>
        </w:rPr>
        <w:tab/>
        <w:t>Министерство безопасности имеет в своей структуре Подразделение внутренних расследований, задача которого - предварительное расследование действий, которые содержат признаки преступлений, совершенных сотрудниками полиции, включая технический и административный персонал.  При подтверждении подобного случая оно вправе задержать их, следуя законодательно установленной процедуре, и передать в распоряжение компетентных властей.  Данное подразделение также обязано рассматривать жалобы и запросы, поступившие от любого члена общества либо Национального совета внутренней безопасности (КОНАСИН)</w:t>
      </w:r>
      <w:r>
        <w:rPr>
          <w:rStyle w:val="FootnoteReference"/>
          <w:szCs w:val="24"/>
        </w:rPr>
        <w:footnoteReference w:customMarkFollows="1" w:id="40"/>
        <w:t>40</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173.</w:t>
      </w:r>
      <w:r>
        <w:rPr>
          <w:szCs w:val="24"/>
        </w:rPr>
        <w:tab/>
        <w:t>При расследовании заявления о совершении уголовного преступления Национальная полиция, Прокуратура или другой компетентный орган власти проводит все необходимые и дополнительные процессуальные действия, чтобы установить факт преступного деяния.  В случае получения жалобы на пытки одним из первых шагов процесса расследования является освидетельствование жертвы представителями Главного управления судебной медицины.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174.</w:t>
      </w:r>
      <w:r>
        <w:rPr>
          <w:szCs w:val="24"/>
        </w:rPr>
        <w:tab/>
        <w:t>В пункте 9 статьи 173 Уголовно-процессуального кодекса в качестве меры предупредительного характера установлен запрет обвиняемому на общение с другими лицами.  Это сделано для того, чтобы не допустить попытки давления либо других видов угроз со стороны обвиняемого в отношении жертвы и таким образом воспрепятствовать нормальному ходу расследования.  Что касается временного отстранения от должности, то пункт 12 статьи 173 Уголовно-процессуального кодекса позволяет применить данную предупредительную меру только лишь в том случае, если рассматриваемое в судебном порядке преступление, совершенное против органов государственной власти, не связано с применением пыток.  Тем не менее, учитывая тяжесть наказания, которое может быть определено для данного правонарушения по нашему уголовному законодательству (10</w:t>
      </w:r>
      <w:r>
        <w:rPr>
          <w:szCs w:val="24"/>
        </w:rPr>
        <w:noBreakHyphen/>
        <w:t>15 лет тюремного заключения, если последствия тяжкие, и 5-10 лет, если ущерб не столь тяжелый), в качестве меры пресечения может быть избрано предварительное заключение под стражу, что в практическом плане означает отстранение обвиняемого от исполнения им своих должностных обязанностей.</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175.</w:t>
      </w:r>
      <w:r>
        <w:rPr>
          <w:szCs w:val="24"/>
        </w:rPr>
        <w:tab/>
        <w:t>Применяемым в отношении сотрудников Национальной полиции дисциплинарным режимом предусматривается, что виновный в совершении грубого правонарушения в качестве превентивной меры немедленно временно отстраняется от должности.  Под грубым правонарушением понимается всякое злоупотребление властью или жестокое обращение с людьми, хотя такое правонарушение и не квалифицируется как преступление</w:t>
      </w:r>
      <w:r>
        <w:rPr>
          <w:rStyle w:val="FootnoteReference"/>
          <w:szCs w:val="24"/>
        </w:rPr>
        <w:footnoteReference w:customMarkFollows="1" w:id="41"/>
        <w:t>41</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jc w:val="center"/>
        <w:rPr>
          <w:szCs w:val="24"/>
        </w:rPr>
      </w:pPr>
      <w:r>
        <w:rPr>
          <w:b/>
          <w:szCs w:val="24"/>
        </w:rPr>
        <w:t>М.</w:t>
      </w:r>
      <w:r>
        <w:rPr>
          <w:b/>
          <w:szCs w:val="24"/>
        </w:rPr>
        <w:tab/>
        <w:t>Статья 13</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176.</w:t>
      </w:r>
      <w:r>
        <w:rPr>
          <w:szCs w:val="24"/>
        </w:rPr>
        <w:tab/>
        <w:t>Государство гарантирует каждому человеку, утверждающему, что он стал жертвой пыток либо жестокого, бесчеловечного или унижающего достоинство обращения или наказания, право на подачу жалобы, которая будет оперативно и непредвзято рассмотрена, для чего в нашем уголовно-процессуальном законодательстве прописаны соответствующие механизмы.  Уголовное судопроизводство начинается с подачи в Национальную полицию или Прокуратуру заявления о преступном факте или же с предоставления собранной по данному факту информации, что не исключает действий со стороны государственного обвинителя и его ведомства.  Любой человек, который является свидетелем или непосредственно знает о совершении преступления либо правонарушения публичного характера, а также его законный представитель может сообщить о нем в полицию или другой компетентный орган власти.  Лица моложе 18 лет также могут сообщить о факте, который предположительно является преступлением либо правонарушением.  Национальная полиция или другой компетентный орган власти обязан немедленно уведомить Прокуратуру о полученном заявлении либо сообщении.  Дела о возмещении личного вреда или ущерба должны расследоваться и разрешаться только по жалобе заинтересованной стороны.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177.</w:t>
      </w:r>
      <w:r>
        <w:rPr>
          <w:szCs w:val="24"/>
        </w:rPr>
        <w:tab/>
        <w:t xml:space="preserve">К числу лиц, которые обязаны извещать о преступлениях, влекущих за собой преследование со стороны государства, относятся следующие:  </w:t>
      </w:r>
      <w:r>
        <w:rPr>
          <w:szCs w:val="24"/>
          <w:lang w:val="en-US"/>
        </w:rPr>
        <w:t>a</w:t>
      </w:r>
      <w:r>
        <w:rPr>
          <w:szCs w:val="24"/>
        </w:rPr>
        <w:t xml:space="preserve">)  государственные должностные лица или чиновники, которым становится известно о таких преступлениях в процессе выполнения их должностных обязанностей;  </w:t>
      </w:r>
      <w:r>
        <w:rPr>
          <w:szCs w:val="24"/>
          <w:lang w:val="en-US"/>
        </w:rPr>
        <w:t>b</w:t>
      </w:r>
      <w:r>
        <w:rPr>
          <w:szCs w:val="24"/>
        </w:rPr>
        <w:t xml:space="preserve">)  врачи, фармацевты, стоматологи, студенты, обучающиеся на врача и стоматолога, фельдшеры, младший медицинский персонал, акушеры и прочие лица, которые по своей профессии, роду деятельности или выполняемым функциям связаны со сферой здравоохранения и которым по ходу их работы становится известно об уголовно-наказуемых действиях либо преступном бездействии;  и </w:t>
      </w:r>
      <w:r>
        <w:rPr>
          <w:szCs w:val="24"/>
          <w:lang w:val="en-US"/>
        </w:rPr>
        <w:t>c</w:t>
      </w:r>
      <w:r>
        <w:rPr>
          <w:szCs w:val="24"/>
        </w:rPr>
        <w:t>)  представители физических лиц, управляющие, администраторы или законные представители юридических лиц и, в целом, все те, кто распоряжается принадлежащим другим имуществом, которым становится известно о преступлениях, совершенных в ущерб интересам лиц, с которыми они связаны.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178.</w:t>
      </w:r>
      <w:r>
        <w:rPr>
          <w:szCs w:val="24"/>
        </w:rPr>
        <w:tab/>
        <w:t xml:space="preserve">Факты могут доводиться до сведения в устной или письменной форме;  на основании устных заявлений составляется соответствующий протокол.  Как устные, так и письменные заявления должны отвечать следующим требованиям:  </w:t>
      </w:r>
      <w:r>
        <w:rPr>
          <w:szCs w:val="24"/>
          <w:lang w:val="en-US"/>
        </w:rPr>
        <w:t>a</w:t>
      </w:r>
      <w:r>
        <w:rPr>
          <w:szCs w:val="24"/>
        </w:rPr>
        <w:t xml:space="preserve">)  указание места и даты;  </w:t>
      </w:r>
      <w:r>
        <w:rPr>
          <w:szCs w:val="24"/>
          <w:lang w:val="en-US"/>
        </w:rPr>
        <w:t>b</w:t>
      </w:r>
      <w:r>
        <w:rPr>
          <w:szCs w:val="24"/>
        </w:rPr>
        <w:t xml:space="preserve">)  указание фамилии, имени и места жительства заявителя, который обязан предъявить документ, удостоверяющий личность;  </w:t>
      </w:r>
      <w:r>
        <w:rPr>
          <w:szCs w:val="24"/>
          <w:lang w:val="en-US"/>
        </w:rPr>
        <w:t>c</w:t>
      </w:r>
      <w:r>
        <w:rPr>
          <w:szCs w:val="24"/>
        </w:rPr>
        <w:t xml:space="preserve">)  изложение фактов и обстоятельств;  </w:t>
      </w:r>
      <w:r>
        <w:rPr>
          <w:szCs w:val="24"/>
          <w:lang w:val="en-US"/>
        </w:rPr>
        <w:t>d</w:t>
      </w:r>
      <w:r>
        <w:rPr>
          <w:szCs w:val="24"/>
        </w:rPr>
        <w:t>)  указание фамилий, имен и места жительства свидетелей или лиц, способных предоставить полезную информацию, либо - в отсутствие этих данных, - сведения о любых других лицах, которые могут помочь в установлении и обнаружении таких лиц;  и </w:t>
      </w:r>
      <w:r>
        <w:rPr>
          <w:szCs w:val="24"/>
          <w:lang w:val="en-US"/>
        </w:rPr>
        <w:t>e</w:t>
      </w:r>
      <w:r>
        <w:rPr>
          <w:szCs w:val="24"/>
        </w:rPr>
        <w:t>)  подписи заявителя и должностного лица, составлявшего протокол.  Сотрудник органов, принимающий заявление, может потребовать от заявителя предоставления дополнительных данных, которые, по его мнению, необходимы для того, чтобы убедиться в достоверности информации.  Заявитель имеет право на неразглашение его фамилии и сохранение в тайне его личности, а также на получение копии протокола, составленного по его заявлению</w:t>
      </w:r>
      <w:r>
        <w:rPr>
          <w:rStyle w:val="FootnoteReference"/>
          <w:szCs w:val="24"/>
        </w:rPr>
        <w:footnoteReference w:customMarkFollows="1" w:id="42"/>
        <w:t>42</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179.</w:t>
      </w:r>
      <w:r>
        <w:rPr>
          <w:szCs w:val="24"/>
        </w:rPr>
        <w:tab/>
        <w:t xml:space="preserve">Жалобы в Национальное управление уполномоченного по правам человека могут направлять:  a)  лица, утверждающие, что они стали жертвой пыток и других жестоких, бесчеловечных либо унижающих достоинство видов обращения или наказания.  В этом случае Управление может возбудить дело самостоятельно либо по просьбе другой стороны, или предпринять любое расследование, позволяющее прояснить факты вокруг нарушения прав человека в его самом широком смысле;  b)  физические лица, считающие себя потерпевшими в результате произвольных действий администрации, нарушения прав человека или других незаконных действий.  Жалобы могут направляться в письменной форме, доводиться до сведения устно либо с использованием любого средства связи.  Для представления жалобы или заявления в Национальное управление уполномоченного по правам человека не установлено никаких ограничений по признаку национальности, возраста, пола, места жительства или вследствие нахождения в местах отбывания заключения (колониях или тюрьмах).  Помещение в психиатрическое лечебное учреждение также не ограничивает право направить жалобу в Национальное управление </w:t>
      </w:r>
    </w:p>
    <w:p w:rsidR="00000000" w:rsidRDefault="00000000">
      <w:pPr>
        <w:tabs>
          <w:tab w:val="clear" w:pos="1701"/>
          <w:tab w:val="left" w:pos="1683"/>
        </w:tabs>
        <w:rPr>
          <w:szCs w:val="24"/>
        </w:rPr>
      </w:pPr>
      <w:r>
        <w:rPr>
          <w:szCs w:val="24"/>
        </w:rPr>
        <w:br w:type="page"/>
        <w:t>уполномоченного по правам человека.  В последнем случае это могут сделать родственники или ответственные за помещение человека в лечебницу, а также любое иное заинтересованное лицо.</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180.</w:t>
      </w:r>
      <w:r>
        <w:rPr>
          <w:szCs w:val="24"/>
        </w:rPr>
        <w:tab/>
        <w:t>В порядке расширения возможностей гондурасского населения по подаче жалоб и заявлений, с 9 июня 2004 года Национальное управление уполномоченного по правам человека (КОНАДЕ) реализует Программу немедленного реагирования (быстрого ответа) на заявления о нарушении прав человека.  Она заключается в организации круглосуточной телефонной службы, которая работает без выходных круглый год и в которую можно бесплатно позвонить с любого телефона на территории страны по номеру:  800-220-0007 или по сотовому телефону на номер:  (504) 220-7648.  Центральный офис по руководству данной программой находится в столице Республики, и в нем работает специально подготовленный персонал.</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181.</w:t>
      </w:r>
      <w:r>
        <w:rPr>
          <w:szCs w:val="24"/>
        </w:rPr>
        <w:tab/>
        <w:t>Кроме того, можно прибегнуть к такому средству правовой защиты, как хабеас корпус, обратившись к любому руководящему лицу судебных органов в соответствии с их юрисдикцией и компетенцией</w:t>
      </w:r>
      <w:r>
        <w:rPr>
          <w:rStyle w:val="FootnoteReference"/>
          <w:szCs w:val="24"/>
        </w:rPr>
        <w:footnoteReference w:customMarkFollows="1" w:id="43"/>
        <w:t>43</w:t>
      </w:r>
      <w:r>
        <w:rPr>
          <w:szCs w:val="24"/>
        </w:rPr>
        <w:t xml:space="preserve">.  По этому поводу статья 182 Конституции Республики гласит:  "Государство признает гарантию хабеас корпус или личного присутствия в суде.  Следовательно, любой потерпевший или иное лицо, действующее от имени потерпевшего, вправе требовать ее применения, когда:  1)  он незаконно помещен под стражу, задержан либо тем или иным способом лишен права на личную свободу;  2)  при законном содержании под арестом </w:t>
      </w:r>
      <w:r>
        <w:rPr>
          <w:spacing w:val="6"/>
          <w:szCs w:val="24"/>
        </w:rPr>
        <w:t xml:space="preserve">или в тюрьме к задержанному или заключенному применяются истязания, пытки, </w:t>
      </w:r>
      <w:r>
        <w:rPr>
          <w:szCs w:val="24"/>
        </w:rPr>
        <w:t>издевательства, незаконное обложение штрафом и любое насилие, ограничение или преследование, не обоснованное с точки зрения его личной безопасности либо требований тюремного порядка.  Процедура хабеас корпус осуществляется без необходимости каких-либо полномочий или формальностей, устно или письменно, с использованием любого средства связи, в рабочие и выходные дни, бесплатно.  Судьи или члены суда не вправе отклонять процедуру хабеас корпус и непременно обязаны предпринимать немедленные действия с целью положить конец нарушению права на свободу или личную неприкосновенность.  Судьи, которые допустят подобные действия, понесут уголовную и административную ответственность.  Представители власти, которые санкционируют, а агенты, которые исполнят приказ о лишении свободы подозреваемого либо в любой другой форме нарушат эту гарантию, совершат преступление, квалифицируемое как незаконное задержание".</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br w:type="page"/>
        <w:t>182.</w:t>
      </w:r>
      <w:r>
        <w:rPr>
          <w:szCs w:val="24"/>
        </w:rPr>
        <w:tab/>
        <w:t>Расследование преступлений, связанных с пытками и жестоким обращением, относится к компетенции полицейских властей при координации со стороны Прокуратуры.  В случае отказа инициировать расследование либо закрытия дела сразу после его возбуждения следует, согласно установкам Уголовно-процессуального кодекса, заявить возражение старшему по должности прокурору, участвующему в процессе</w:t>
      </w:r>
      <w:r>
        <w:rPr>
          <w:rStyle w:val="FootnoteReference"/>
          <w:szCs w:val="24"/>
        </w:rPr>
        <w:footnoteReference w:customMarkFollows="1" w:id="44"/>
        <w:t>44</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183.</w:t>
      </w:r>
      <w:r>
        <w:rPr>
          <w:szCs w:val="24"/>
        </w:rPr>
        <w:tab/>
        <w:t>Кроме того, в статье 32 Уголовно-процессуального кодекса установлено, что если дело не передано на рассмотрение судебного органа и прокурор намерен закрыть его, жертва может обратиться к компетентному судье, контролирующему результаты предварительного расследования, чтобы отменить это решение.  В данном случае судья обязан запросить у Прокуратуры объяснения причин ее бездействия, и по прошествии пяти рабочих дней принять решение, подтвердив либо отменив передачу дела в архив.  Кроме того, предусмотрена такая процедура, как несогласие или расхождение во мнениях, посредством которой судья может выступить против приостановления либо прекращения судопроизводства по постановлению Прокуратуры</w:t>
      </w:r>
      <w:r>
        <w:rPr>
          <w:rStyle w:val="FootnoteReference"/>
          <w:szCs w:val="24"/>
        </w:rPr>
        <w:footnoteReference w:customMarkFollows="1" w:id="45"/>
        <w:t>45</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184.</w:t>
      </w:r>
      <w:r>
        <w:rPr>
          <w:szCs w:val="24"/>
        </w:rPr>
        <w:tab/>
        <w:t>На чиновника, который откажется расследовать дело, заявитель может подать жалобу в Национальное управление уполномоченного по правам человека, как это определено в статье 16 его Органического закона, гласящей:  "Национальное управление уполномоченного по правам человека может по собственной инициативе либо по просьбе другой стороны возбудить любое расследование, ведущее к прояснению фактов, заключающих в себе незаконные, произвольные, оскорбительные, юридически порочные, халатные или дискриминационные действия органов государственной администрации и частных предприятий, оказывающих публичные услуги, применительно к нарушению прав человека в их самом широком понимании".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185.</w:t>
      </w:r>
      <w:r>
        <w:rPr>
          <w:szCs w:val="24"/>
        </w:rPr>
        <w:tab/>
        <w:t>Статья 237 Уголовно-процессуального кодекса в качестве меры защиты свидетелей от каких бы то ни было видов запугивания или грубого обращения предусматривает следующее:  "Если судебный орган по своей инициативе либо по заявлению свидетеля придет к выводу, что существует действительная серьезная опасность для личности или имущества свидетеля, его супруга (супруги) или сожителя (сожительницы), родственников по восходящей либо нисходящей линии или братьев любого из них по причине свидетельских показаний, которые те должны дать, то этот орган, заслушав стороны, обязан принять меры по их защите, которые сочтет целесообразными, и в том числе возможны следующие:  1)  в ходе всех проводимых процессуальных действий не должны упоминаться имена, фамилия, место жительства, место работы и профессия свидетеля (эти сведения указываются в документе, который хранится в закрытом и опечатанном конверте, и известны лишь членам суда и секретарю), а также другие данные, которые могут раскрыть его личность и местонахождение.  Для его идентификации во время процесса применяется номер или кодовое слово;  2)  при практическом проведении судебных процедур должны применяться приемы и методы, исключающие возможность зрительной идентификации свидетеля со стороны подсудимого и публики;  3)  в качестве адреса свидетеля для получения корреспонденции должно быть указано местоположение самого судебного органа, проводящего процесс, и уже через него скрытно передаваться получателю".</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186.</w:t>
      </w:r>
      <w:r>
        <w:rPr>
          <w:szCs w:val="24"/>
        </w:rPr>
        <w:tab/>
        <w:t>Кроме того, статья 248 Уголовно-процессуального кодекса предусматривает защиту экспертов, а именно:  "Защитные меры, предусмотренные в статье 237 настоящего Кодекса для свидетелей, должны применяться в отношении экспертов, участвующих в процессе, при условии наличия обстоятельств, которые должны приниматься во внимание для их принятия".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187.</w:t>
      </w:r>
      <w:r>
        <w:rPr>
          <w:szCs w:val="24"/>
        </w:rPr>
        <w:tab/>
        <w:t>Что касается нормативных актов или процессуальных норм, предотвращающих преследование либо нанесение новых травм жертвам, то в этих целях был принят Закон "О защите свидетелей" (на основании Декрета № 63-2007, опубликованного 18 июля 2007 года в официальном вестнике "</w:t>
      </w:r>
      <w:r>
        <w:rPr>
          <w:i/>
          <w:szCs w:val="24"/>
        </w:rPr>
        <w:t>Ла Гасета</w:t>
      </w:r>
      <w:r>
        <w:rPr>
          <w:szCs w:val="24"/>
        </w:rPr>
        <w:t>" за № 31358), вводящий программу защиты свидетелей на период уголовного судопроизводства.  Ответственность за руководство и координацию программы возложена на Прокуратуру.  Главная цель - защитить во время судебного процесса свидетелей, которые вследствие своего активного и эффективного участия подпадают под действие данной программы.  Важно подчеркнуть, что на момент подготовки настоящего доклада Закон уже вступил в силу, однако его выполнение не началось из-за отсутствия бюджетных средств</w:t>
      </w:r>
      <w:r>
        <w:rPr>
          <w:rStyle w:val="FootnoteReference"/>
          <w:szCs w:val="24"/>
        </w:rPr>
        <w:footnoteReference w:customMarkFollows="1" w:id="46"/>
        <w:t>46</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188.</w:t>
      </w:r>
      <w:r>
        <w:rPr>
          <w:szCs w:val="24"/>
        </w:rPr>
        <w:tab/>
        <w:t>Из общего числа жалоб, поступивших в Национальное управление уполномоченного по правам человека за период 2003-2006 годов, 7,31% приходится на жалобы, касающиеся пыток и других жестоких, бесчеловечных или унижающих достоинство видов обращения и наказания;  в 43% случаев жертвами оказывались мужчины, а в 57% - женщины.  Объектами жалоб являлись:  Государственное министерство безопасности (50%), Государственное министерство здравоохранения (2%), Государственное министерство труда и социального обеспечения (1%), частные лица (47%)</w:t>
      </w:r>
      <w:r>
        <w:rPr>
          <w:rStyle w:val="FootnoteReference"/>
          <w:szCs w:val="24"/>
        </w:rPr>
        <w:footnoteReference w:customMarkFollows="1" w:id="47"/>
        <w:t>47</w:t>
      </w:r>
      <w:r>
        <w:rPr>
          <w:szCs w:val="24"/>
        </w:rPr>
        <w:t>.</w:t>
      </w:r>
    </w:p>
    <w:p w:rsidR="00000000" w:rsidRDefault="00000000">
      <w:pPr>
        <w:tabs>
          <w:tab w:val="clear" w:pos="1701"/>
          <w:tab w:val="left" w:pos="1683"/>
        </w:tabs>
        <w:rPr>
          <w:szCs w:val="24"/>
        </w:rPr>
      </w:pPr>
      <w:r>
        <w:rPr>
          <w:szCs w:val="24"/>
        </w:rPr>
        <w:t>189.</w:t>
      </w:r>
      <w:r>
        <w:rPr>
          <w:szCs w:val="24"/>
        </w:rPr>
        <w:tab/>
        <w:t>Статья 60 Конституции Республики гласит:  "Все люди рождаются свободными и равными в правах.  В Гондурасе не существует привилегированных классов.  Все гондурасцы равны перед законом.  Объявляется уголовно наказуемой любая дискриминация по признаку половой, расовой, классовой принадлежности либо по любым иным оскорбительным для человеческого достоинства мотивам.  Законом определяются виды правонарушений и соответствующее наказание за них".  Согласно же статье 31:  "Иностранцы пользуются всеми гражданскими правами наравне с гондурасцами, с установленными законом ограничениями, продиктованными соображениями общественного порядка, безопасности, сосуществования в обществе либо социальными интересами".  Кроме того, статья 61 Основного закона гарантирует как гондурасским гражданам, так и иностранцам, проживающим в стране, право на неприкосновенность человеческой жизни, на безопасность личности, на свободу, равенство перед законом и право собственности.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190.</w:t>
      </w:r>
      <w:r>
        <w:rPr>
          <w:szCs w:val="24"/>
        </w:rPr>
        <w:tab/>
        <w:t>Руководители судебных органов не вправе отклонять конституционное средство судебной защиты и обязаны неукоснительно предпринимать немедленные действия с целью положить конец нарушению права на свободу или личную неприкосновенность.  Руководители судебных органов, которые допустят подобные действия, понесут уголовную и административную ответственность.  Представители власти, которые санкционируют, а агенты, которые исполнят приказ о лишении свободы подозреваемого либо в любой другой форме нарушат эту гарантию, совершат преступление, квалифицируемое как незаконное задержание.  Руководители администраций, а также начальники и подчиненные, работающие в учреждении либо месте, где содержатся задержанные, арестованные или заключенные, обязаны немедленно сообщать о каждом факте, служащем основанием для доставки задержанного, арестованного или заключенного в любой из судебных органов.  То обстоятельство, что соответствующий приказ был отдан вышестоящим начальником, не освобождает от ответственности, предусмотренной выше.  Нарушение этого требования влечет для тех, кто в этом замешан, соответствующее наказание, установленное уголовным законодательством</w:t>
      </w:r>
      <w:r>
        <w:rPr>
          <w:rStyle w:val="FootnoteReference"/>
          <w:szCs w:val="24"/>
        </w:rPr>
        <w:footnoteReference w:customMarkFollows="1" w:id="48"/>
        <w:t>48</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191.</w:t>
      </w:r>
      <w:r>
        <w:rPr>
          <w:szCs w:val="24"/>
        </w:rPr>
        <w:tab/>
        <w:t>Для наилучшей защиты прав жертв при рассмотрении предполагаемых случаев пыток либо жестокого, бесчеловечного или унижающего достоинство обращения или насилия по отношению к женщинам, этническим и другим меньшинствам Прокуратурой были созданы три Прокуратуры специальной юрисдикции:  по делам женщин и детей;  по правам человека;  по делам народностей и культурного наследия.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192.</w:t>
      </w:r>
      <w:r>
        <w:rPr>
          <w:szCs w:val="24"/>
        </w:rPr>
        <w:tab/>
        <w:t>Судебная власть во исполнение Закона о противодействии бытовому насилию, введенному в действие Декретом № 132-97 от 11 сентября 1997 года, и в соответствии с его статьей 13 создала специальную юрисдикцию по бытовому насилию, которая рассматривает дела и применяет данное законодательство посредством специализированных судов и трибуналов в различных районах страны.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193.</w:t>
      </w:r>
      <w:r>
        <w:rPr>
          <w:szCs w:val="24"/>
        </w:rPr>
        <w:tab/>
        <w:t>В рамках вышесказанного, в 2007 году согласно Постановлению № 1 были созданы специальные суды по противодействию бытовому насилию с юрисдикцией в департаментах Франсиско-Морасáн и Кортéс, которые рассматривают дела, предусмотренные в специальном законе, регулирующем эти вопросы.  Также была введена должность исполнительного судьи при Специальном суде по противодействию бытовому насилию, в обязанности которого вменены контроль и проверка выполнения защитных мер, продление мер и наказаний, наложенных в соответствии со специальным законом, регулирующим эти вопросы.  Кроме того, этим же постановлением во Втором апелляционном суде была учреждена Специальная палата с юрисдикцией в департаменте Франсиско-Морасáн для рассмотрения дел семейного характера и связанных с бытовым насилием, которая в настоящее время находится в процессе становления</w:t>
      </w:r>
      <w:r>
        <w:rPr>
          <w:rStyle w:val="FootnoteReference"/>
          <w:szCs w:val="24"/>
        </w:rPr>
        <w:footnoteReference w:customMarkFollows="1" w:id="49"/>
        <w:t>49</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194.</w:t>
      </w:r>
      <w:r>
        <w:rPr>
          <w:szCs w:val="24"/>
        </w:rPr>
        <w:tab/>
        <w:t>В соответствии с Декретом № 71-95 созданы пять судов первой инстанции по делам несовершеннолетних, расположенные в городах Тегусигальпа (департамент Франсиско-Морасáн), Сан-Педро-Сула (департамент Кортéс), Ла-Сейба (департамент Атлантида), Чолутека (департамент Чолутека), Санта-Роса (департамент Копáн)</w:t>
      </w:r>
      <w:r>
        <w:rPr>
          <w:rStyle w:val="FootnoteReference"/>
          <w:szCs w:val="24"/>
        </w:rPr>
        <w:footnoteReference w:customMarkFollows="1" w:id="50"/>
        <w:t>50</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195.</w:t>
      </w:r>
      <w:r>
        <w:rPr>
          <w:szCs w:val="24"/>
        </w:rPr>
        <w:tab/>
        <w:t>В случаях насилия по отношению к женщинам в действие вступает "Гендерное подразделение" Министерства безопасности, отвечающее за функционирование бесплатной телефонной линии по номеру 114</w:t>
      </w:r>
      <w:r>
        <w:rPr>
          <w:rStyle w:val="FootnoteReference"/>
          <w:szCs w:val="24"/>
        </w:rPr>
        <w:footnoteReference w:customMarkFollows="1" w:id="51"/>
        <w:t>51</w:t>
      </w:r>
      <w:r>
        <w:rPr>
          <w:szCs w:val="24"/>
        </w:rPr>
        <w:t>, которая круглосуточно 365 дней в году принимает исключительно заявления о насилии против женщин.</w:t>
      </w:r>
    </w:p>
    <w:p w:rsidR="00000000" w:rsidRDefault="00000000">
      <w:pPr>
        <w:tabs>
          <w:tab w:val="clear" w:pos="1701"/>
          <w:tab w:val="left" w:pos="1683"/>
        </w:tabs>
        <w:rPr>
          <w:szCs w:val="24"/>
        </w:rPr>
      </w:pPr>
    </w:p>
    <w:p w:rsidR="00000000" w:rsidRDefault="00000000">
      <w:pPr>
        <w:tabs>
          <w:tab w:val="clear" w:pos="1701"/>
          <w:tab w:val="left" w:pos="1683"/>
        </w:tabs>
        <w:jc w:val="center"/>
        <w:rPr>
          <w:szCs w:val="24"/>
        </w:rPr>
      </w:pPr>
      <w:r>
        <w:rPr>
          <w:b/>
          <w:szCs w:val="24"/>
        </w:rPr>
        <w:br w:type="page"/>
      </w:r>
      <w:r>
        <w:rPr>
          <w:b/>
          <w:szCs w:val="24"/>
          <w:lang w:val="en-US"/>
        </w:rPr>
        <w:t>N</w:t>
      </w:r>
      <w:r>
        <w:rPr>
          <w:b/>
          <w:szCs w:val="24"/>
        </w:rPr>
        <w:t>.</w:t>
      </w:r>
      <w:r>
        <w:rPr>
          <w:b/>
          <w:szCs w:val="24"/>
        </w:rPr>
        <w:tab/>
        <w:t>Статья 14</w:t>
      </w:r>
    </w:p>
    <w:p w:rsidR="00000000" w:rsidRDefault="00000000">
      <w:pPr>
        <w:keepNext/>
        <w:tabs>
          <w:tab w:val="clear" w:pos="1701"/>
          <w:tab w:val="left" w:pos="1683"/>
        </w:tabs>
        <w:rPr>
          <w:szCs w:val="24"/>
        </w:rPr>
      </w:pPr>
    </w:p>
    <w:p w:rsidR="00000000" w:rsidRDefault="00000000">
      <w:pPr>
        <w:tabs>
          <w:tab w:val="clear" w:pos="1701"/>
          <w:tab w:val="left" w:pos="1683"/>
        </w:tabs>
        <w:rPr>
          <w:szCs w:val="24"/>
        </w:rPr>
      </w:pPr>
      <w:r>
        <w:rPr>
          <w:szCs w:val="24"/>
        </w:rPr>
        <w:t>196.</w:t>
      </w:r>
      <w:r>
        <w:rPr>
          <w:szCs w:val="24"/>
        </w:rPr>
        <w:tab/>
        <w:t>В Уголовно-процессуальном кодексе оговорено, что жертвы преступления, включая преступление пытки, могут получить компенсацию за причиненный им ущерб (вред).  В статьях 432-440 данного правового документа такой механизм установлен для следующих случаев:  вынесение окончательного приговора с установлением наказания либо освобождением от уголовной ответственности на основании невменения в вину, обстоятельства непреодолимой силы, непреодолимый страх и состояние крайней необходимости, о которых содержится упоминание в Уголовном кодексе.  Жертва либо ее наследники, либо Генеральная прокуратура Республики, в зависимости от обстоятельств, могут заявлять ходатайство исполнительному судье, чтобы он выдал предписание о реституции, о возмещении материального или морального вреда и о компенсации ущерба по делам, которые находятся в производстве.  Жертва, которая не принимала участие в процессе, может прибегнуть к этой процедуре в течение трех месяцев после получения извещения об окончательном решении.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197.</w:t>
      </w:r>
      <w:r>
        <w:rPr>
          <w:szCs w:val="24"/>
        </w:rPr>
        <w:tab/>
        <w:t xml:space="preserve">Исковое заявление должно быть направлено против осужденных, лиц, несущих гражданско-правовую ответственность согласно Уголовному кодексу, либо третьих лиц, которые, в силу необходимости покрытия предусмотренных законов убытков или договорных обязательств, несут гражданско-правовую ответственность вследствие своих действий и поступков, ставших известными в ходе соответствующего процесса.  В заявлении должны указываться:  </w:t>
      </w:r>
      <w:r>
        <w:rPr>
          <w:szCs w:val="24"/>
          <w:lang w:val="en-US"/>
        </w:rPr>
        <w:t>a</w:t>
      </w:r>
      <w:r>
        <w:rPr>
          <w:szCs w:val="24"/>
        </w:rPr>
        <w:t>)  сведения, удостоверяющие личность заявителя, и </w:t>
      </w:r>
      <w:r>
        <w:rPr>
          <w:szCs w:val="24"/>
        </w:rPr>
        <w:noBreakHyphen/>
        <w:t xml:space="preserve"> в соответствующих случаях - его доверенного лица, а также домашний адрес;  </w:t>
      </w:r>
      <w:r>
        <w:rPr>
          <w:szCs w:val="24"/>
          <w:lang w:val="en-US"/>
        </w:rPr>
        <w:t>b</w:t>
      </w:r>
      <w:r>
        <w:rPr>
          <w:szCs w:val="24"/>
        </w:rPr>
        <w:t xml:space="preserve">)  данные, устанавливающие личность лица или лиц, к которым предъявляется претензия, включая соответствующий адрес, по которому надлежит направлять извещения;  </w:t>
      </w:r>
      <w:r>
        <w:rPr>
          <w:szCs w:val="24"/>
          <w:lang w:val="en-US"/>
        </w:rPr>
        <w:t>c</w:t>
      </w:r>
      <w:r>
        <w:rPr>
          <w:szCs w:val="24"/>
        </w:rPr>
        <w:t xml:space="preserve">)  правовое основание;  </w:t>
      </w:r>
      <w:r>
        <w:rPr>
          <w:szCs w:val="24"/>
          <w:lang w:val="en-US"/>
        </w:rPr>
        <w:t>d</w:t>
      </w:r>
      <w:r>
        <w:rPr>
          <w:szCs w:val="24"/>
        </w:rPr>
        <w:t xml:space="preserve">)  конкретный размер истребуемого возмещения или компенсации с количественной разбивкой и индивидуально по каждой из сторон, к которым предъявляется иск;  и </w:t>
      </w:r>
      <w:r>
        <w:rPr>
          <w:szCs w:val="24"/>
          <w:lang w:val="en-US"/>
        </w:rPr>
        <w:t>e</w:t>
      </w:r>
      <w:r>
        <w:rPr>
          <w:szCs w:val="24"/>
        </w:rPr>
        <w:t>)  доказательства понесенного ущерба и нанесенного вреда, позволяющие также установить причинную связь с совершенным противоправным деянием.  К исковому заявлению должна быть приложена заверенная копия обвинительного заключения.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198.</w:t>
      </w:r>
      <w:r>
        <w:rPr>
          <w:szCs w:val="24"/>
        </w:rPr>
        <w:tab/>
        <w:t>Судья рассматривает исковое заявление и, если в нем отсутствует один из формальных реквизитов, упомянутых в предыдущем пункте, предлагает истцу исправить недостатки в течение пяти дней.  Если по прошествии этого срока податель иска не исправит недостатки, исковое заявление отклоняется.  Отклонение иска по формальным признакам может быть обжаловано в соответствующем апелляционном суде.  Если жалоба оставлена судом без последствий, истец может вновь заявить о своих требованиях обычным путем.  Если же судья сочтет исковое заявление формально приемлемым, он отдает распоряжение исследовать доказательства, представленные истцом, в срок до 15 рабочих дней с возможностью аргументированного продления до 20 рабочих дней.  После исследования доказательств по делу судья принимает обоснованное судебное решение, которое может быть обжаловано в соответствующем апелляционном суде.</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199.</w:t>
      </w:r>
      <w:r>
        <w:rPr>
          <w:szCs w:val="24"/>
        </w:rPr>
        <w:tab/>
        <w:t>После признания искового заявления судья издает мотивированное судебное постановление, предписывая в качестве временной меры реституцию, возмещение или компенсацию в зависимости от сути прошения.  В постановлении должно быть отражено:  a)  личные данные и адрес проживания истца либо, в зависимости от конкретного случая, его доверенного лица;  b)  личные данные и адрес проживания ответчика;  c)  судебный приказ на реституцию, возмещение материального или морального вреда, компенсацию ущерба с его подробным конкретным описанием и точной суммой;  d)  судебный приказ о наложении ареста на имущество, достаточное для реституции, возмещения материального либо морального вреда, компенсации ущерба с указанием его стоимости, или любая другая мера обеспечения решения, носящая реальный характер.  Если принятые меры требуют передачи имущества осужденного в залог, судебный исполнитель должен обеспечить такой залог, гарантируя полное обращение решения о наложении ареста на имущество.  Если описанное судебными приставами имущество остается в распоряжении владельца, последнего надлежит предупредить, как это предусматривает Уголовный кодекс, об ответственности за сокрытие (утаивание) имущества путем отчуждения или обременения, если это предварительно не предусмотрено судебным решением.  В этом же постановлении судья назначает ответчику срок в 10 дней, в течение которых можно обжаловать решение.</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200.</w:t>
      </w:r>
      <w:r>
        <w:rPr>
          <w:szCs w:val="24"/>
        </w:rPr>
        <w:tab/>
        <w:t>Ответчик может обжаловать лишь правомочность истца предъявлять иск и сумму претензии.  Третьи лица, несущие гражданско-правовую ответственность, могут обжаловать, кроме того, наличие либо законность своей ответственности.  Заявление об обжаловании должно быть обоснованным и содержать все необходимые доказательства, подтверждающие суть возражения.  Если решение суда не обжаловано в установленный срок, судебный приказ на реституцию, возмещение материального или морального вреда, компенсацию ущерба вступает в силу, и судья приступит к исполнению вынесенного решения в соответствии с нормами Гражданско-процессуального кодекса.  Если заявлено возражение, то судья в срок до 10 дней созывает стороны для их заслушивания и достижения примирения.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201.</w:t>
      </w:r>
      <w:r>
        <w:rPr>
          <w:szCs w:val="24"/>
        </w:rPr>
        <w:tab/>
        <w:t>Стремясь добиться примирения сторон, судья проводит заслушивание представленных ими доводов и оснований для претензии.  Неявка истца расценивается как отказ от иска и влечет за собой сдачу дела в архив.  Если не является ответчик, решение остается в силе и начинается процедура его исполнения.  По итогам заслушивания судья выносит окончательное постановление о реституции, возмещении материального или морального вреда, компенсации ущерба либо отказывает в иске.  Данное решение может быть обжаловано с обеих сторон.  Право на подачу иска о гражданско-правовой ответственности с применением этой специальной судебной процедуры прекращается спустя пять лет после вынесения окончательного решения суда по делу.</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202.</w:t>
      </w:r>
      <w:r>
        <w:rPr>
          <w:szCs w:val="24"/>
        </w:rPr>
        <w:tab/>
        <w:t>Статья 51 Уголовно-процессуального кодекса устанавливает, что Генеральная прокуратура Республики может взять на себя предъявление гражданского иска от имени граждан, которые ввиду своего экономического положения не в состоянии подать исковое заявление, а также в случаях, когда у жертвы нет своего доверенного лица или законного представителя.  По информации, представленной Генеральной прокуратурой Республики, до сегодняшнего дня с просьбой о подобной услуге к ней не обратился ни один человек.  Также важно указать, что согласно статье 52 Уголовно-процессуального кодекса прекращение производства по уголовному делу не влияет на производство по гражданскому делу.</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203.</w:t>
      </w:r>
      <w:r>
        <w:rPr>
          <w:szCs w:val="24"/>
        </w:rPr>
        <w:tab/>
        <w:t>В соответствии со статьями 324 и 325 Конституции Республики, если государственный служащий при исполнении своих обязанностей нарушит закон во вред частному лицу, он понесет гражданскую ответственность солидарно с государством или государственным учреждением, где он работает, что не исключает предъявления регрессного иска против этого служащего, виновного в халатности либо мошенничестве.  В то же время гражданско-правовое наказание не подразумевает смягчения административной и уголовной ответственности правонарушителя.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204.</w:t>
      </w:r>
      <w:r>
        <w:rPr>
          <w:szCs w:val="24"/>
        </w:rPr>
        <w:tab/>
        <w:t>Право на подачу иска о привлечении к гражданско-правовой ответственности государственных служащих теряет силу по истечении 10 лет, а в отношении уголовной ответственности - в течение вдвое большего срока, установленного уголовным законодательством, считая с даты увольнения со службы.  С другой стороны, Гражданский кодекс в своих статьях 2236 и 2237 указывает, что обязанность возместить ущерб, причиненный действием либо бездействием, в результате преступной небрежности либо халатности, лежит на самом виновнике.  Тем не менее, государство также несет ответственность в случае, когда действует через своего специального агента, однако не отвечает за ущерб, который нанесен служащим, предпринявшим те или иные шаги от своего собственного имени, и в подобном случае ущерб должен возместить сам должник.</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205.</w:t>
      </w:r>
      <w:r>
        <w:rPr>
          <w:szCs w:val="24"/>
        </w:rPr>
        <w:tab/>
        <w:t>Таким образом, в перечисленных выше случаях государство несет солидарную ответственность по гражданским искам и, следовательно, обязано возместить ущерб жертве, если она заявит такую претензию.  Согласно информации, представленной Верховным судом, до сих пор не ведется никакого учета, который бы подтвердил принятие решений о возмещении вреда, причиненного в результате преступления, квалифицируемого как пытка.  Генеральная прокуратура Республики также проинформировала, что у нее нет данных о том, что кто-либо из представителей государства участвовал в рассмотрении материалов дел по названным обстоятельствам.</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206.</w:t>
      </w:r>
      <w:r>
        <w:rPr>
          <w:szCs w:val="24"/>
        </w:rPr>
        <w:tab/>
        <w:t>В Гондурасе не имеется государственных программ реабилитации для жертв пыток, равно как не предусмотрены соответствующие специальные меры.  Однако жертвы любого преступления имеют права, установленные в статье 16 Уголовно-процессуального кодекса:  "Права жертвы преступления или правонарушения.  Жертва преступления или правонарушения имеет право:  1)  выступать частным обвинителем или истцом по рассматриваемому делу и участвовать в этом качестве во всем процессе согласно положениям настоящего Кодекса.  Для обеспечения этого, при необходимости, он имеет право на помощь со стороны Прокуратуры в случае, если не располагает финансовыми средствами;  2)  получать информацию о результатах процесса, даже если не выступает в нем, при условии что заявит такую просьбу;  3)  быть заслушанной перед принятием каждого решения, связанного с прекращением либо приостановкой уголовного делопроизводства, при условии что заявит такую просьбу;  4)  участвовать в публичных слушаниях согласно положениям настоящего Кодекса;  5)  обжаловать перед вышестоящим руководством прокурора, выступающего на процессе, необоснованное отклонение процессуальных действий - в случаях, предусмотренных в настоящем Кодексе;  и 6)  пользоваться иными правами, прописанными в других законах.  Жертва должна быть проинформирована о своих правах при представлении своего заявления или обвинения в Прокуратуру либо, в случае подачи компетентному судье искового заявления, в момент своего первого выступления на процессе".</w:t>
      </w:r>
    </w:p>
    <w:p w:rsidR="00000000" w:rsidRDefault="00000000">
      <w:pPr>
        <w:tabs>
          <w:tab w:val="clear" w:pos="1701"/>
          <w:tab w:val="left" w:pos="1683"/>
        </w:tabs>
        <w:rPr>
          <w:szCs w:val="24"/>
        </w:rPr>
      </w:pPr>
    </w:p>
    <w:p w:rsidR="00000000" w:rsidRDefault="00000000">
      <w:pPr>
        <w:tabs>
          <w:tab w:val="clear" w:pos="1701"/>
          <w:tab w:val="left" w:pos="1683"/>
        </w:tabs>
        <w:jc w:val="center"/>
        <w:rPr>
          <w:szCs w:val="24"/>
        </w:rPr>
      </w:pPr>
      <w:r>
        <w:rPr>
          <w:b/>
          <w:szCs w:val="24"/>
        </w:rPr>
        <w:t>О.</w:t>
      </w:r>
      <w:r>
        <w:rPr>
          <w:b/>
          <w:szCs w:val="24"/>
        </w:rPr>
        <w:tab/>
        <w:t>Статья 15</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207.</w:t>
      </w:r>
      <w:r>
        <w:rPr>
          <w:szCs w:val="24"/>
        </w:rPr>
        <w:tab/>
        <w:t>Статьей 88 Конституции Республики запрещается применение всякого рода насилия или принуждения с целью заставить человека давать показания;  силу доказательства имеет только заявление, сделанное перед компетентным судьей.  Наконец, любые показания, полученные с нарушением какого-либо из настоящих положений, признаются недействительными, а виновные подлежат наказанию, установленному законом.</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208.</w:t>
      </w:r>
      <w:r>
        <w:rPr>
          <w:szCs w:val="24"/>
        </w:rPr>
        <w:tab/>
        <w:t xml:space="preserve">Так, пункты 6 и 7 статьи 101 Уголовно-процессуального кодекса устанавливают, что любой обвиняемый имеет право на то, чтобы против него не использовались средства, которые тем или иным образом унижают его человеческое достоинство, равно как и на то, чтобы по отношению к нему не применялись приемы и методы, которые нарушают способность к осознанию и пониманию последствий своих действий либо способность </w:t>
      </w:r>
    </w:p>
    <w:p w:rsidR="00000000" w:rsidRDefault="00000000">
      <w:pPr>
        <w:tabs>
          <w:tab w:val="clear" w:pos="1701"/>
          <w:tab w:val="left" w:pos="1683"/>
        </w:tabs>
        <w:rPr>
          <w:szCs w:val="24"/>
        </w:rPr>
      </w:pPr>
      <w:r>
        <w:rPr>
          <w:szCs w:val="24"/>
        </w:rPr>
        <w:br w:type="page"/>
        <w:t>к свободному волеизъявлению, в том числе:  жестокое обращение, угрозы, физическое или психологическое насилие, пытки, применение психотропных препаратов, гипноза и полиграфа или детектора лжи.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209.</w:t>
      </w:r>
      <w:r>
        <w:rPr>
          <w:szCs w:val="24"/>
        </w:rPr>
        <w:tab/>
        <w:t>По поводу запрещенных или противозаконных способов получения доказательств в статье 200 Уголовно-процессуального кодекса говорится следующее:  "Лишены доказательной силы акты или действия, нарушающие процессуальные гарантии, которые установлены в Конституции Республики и в международных соглашениях по правам человека, участником которых является Гондурас, равно как и те, что явились непосредственным следствием таких актов или действий и благодаря которым была получена информация, которую в других обстоятельствах невозможно было бы получить, при этом не исключается ответственность, которую навлекает на себя тот, кто получил сведения незаконным способом".</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210.</w:t>
      </w:r>
      <w:r>
        <w:rPr>
          <w:szCs w:val="24"/>
        </w:rPr>
        <w:tab/>
        <w:t>Что касается непрямых или обусловленных обстоятельствами доказательств, уместно заметить, что они признаны в нашем своде законов как косвенные улики.  На этот счет статья 202 Уголовно-процессуального кодекса устанавливает, что судебный орган обязан оценить улики с позиции здоровой критики и сформировать свое мнение, в комплексе и гармонично оценив все доказательства, полученные в ходе судебного процесса.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211.</w:t>
      </w:r>
      <w:r>
        <w:rPr>
          <w:szCs w:val="24"/>
        </w:rPr>
        <w:tab/>
        <w:t>Дополнительно статья 199 Уголовно-процессуального кодекса определяет:  "Факты и обстоятельства, связанные с преступлением, являющимся предметом судебного разбирательства, могут быть подтверждены с использованием любого доказательного средства, не обязательно регламентированного настоящим Кодексом, при условии что они объективно заслуживают доверия.  Во всем, что не предусмотрено настоящим Кодексом, следует придерживаться норм, регулирующих применение наиболее подходящего средства доказывания.  Средства доказывания признаются, только если они имеют отношение к делу и прямо или косвенно касаются предмета расследования;  полезны для установления истины;  не являются несоразмерными ни явно чрезмерными относительно результата, который предполагается достичь.  При наличии свидетелей-очевидцев и возможности их вызова в суд их показания не могут быть оспорены свидетелями, дающими показания с чужих слов".</w:t>
      </w:r>
    </w:p>
    <w:p w:rsidR="00000000" w:rsidRDefault="00000000">
      <w:pPr>
        <w:tabs>
          <w:tab w:val="clear" w:pos="1701"/>
          <w:tab w:val="left" w:pos="1683"/>
        </w:tabs>
        <w:rPr>
          <w:szCs w:val="24"/>
        </w:rPr>
      </w:pPr>
    </w:p>
    <w:p w:rsidR="00000000" w:rsidRDefault="00000000">
      <w:pPr>
        <w:tabs>
          <w:tab w:val="clear" w:pos="1701"/>
          <w:tab w:val="left" w:pos="1683"/>
        </w:tabs>
        <w:jc w:val="center"/>
        <w:rPr>
          <w:szCs w:val="24"/>
        </w:rPr>
      </w:pPr>
      <w:r>
        <w:rPr>
          <w:b/>
          <w:szCs w:val="24"/>
        </w:rPr>
        <w:t>Р.</w:t>
      </w:r>
      <w:r>
        <w:rPr>
          <w:b/>
          <w:szCs w:val="24"/>
        </w:rPr>
        <w:tab/>
        <w:t>Статья 16</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212.</w:t>
      </w:r>
      <w:r>
        <w:rPr>
          <w:szCs w:val="24"/>
        </w:rPr>
        <w:tab/>
        <w:t>Статья 68 Конституции Республики гласит:  "Каждый человек имеет право на уважение его физической, психической и нравственной неприкосновенности.  Никто не может быть подвергнут пыткам либо жестоким, бесчеловечным или унижающим достоинство видам наказания и обращения.  Любой человек, лишенный свободы, вправе рассчитывать на такое обращение, при котором должным образом уважается его человеческое достоинство".  В этом отношении, как указывалось выше, Гондурас дал соответствующую квалификацию преступления пытки в статьях 209 и 209-А Уголовного кодекса.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213.</w:t>
      </w:r>
      <w:r>
        <w:rPr>
          <w:szCs w:val="24"/>
        </w:rPr>
        <w:tab/>
        <w:t>Среди принятых правительством Гондураса мер, направленных на предотвращение актов пыток, следует назвать вынесенное Конституционной палатой Верховного суда в 2006 году решение по пяти ходатайствам по процедуре хабеас корпус, поданным Прокуратурой специальной юрисдикции по правам человека в интересах детей, содержащихся в колониях для малолетних преступников "Возрождение" и "Эль-Кáрмен", а также взрослых, заключенных в Национальной тюрьме им. Марко Аурелио Сото, в Национальной тюрьме города Сан-Педро-Сула и в уголовно-исполнительном учреждении в городе Пуэрто-Кортéс.  Все судебные постановления, в которых была подтверждена гарантия хабеас корпус, были вынесены в пользу лиц, находящихся в названных пенитенциарных учреждениях.  Министерству безопасности было предписано во исполнение данного решения принять все необходимые меры, чтобы прекратить нарушения прав человека в отношении заключенных;  исполнительной и законодательной властям было рекомендовано в этих целях разработать и проводить на практике публичную политику в области пенитенциарного права в соответствии с конституционным мандатом и выполнять международные обязательства в области прав человека;  Прокуратуре и Национальному управлению уполномоченного по правам человека было предложено в рамках исполнения своих конституционных и правовых обязанностей наблюдать за разработкой и проведением в жизнь упорядоченной пенитенциарной политики</w:t>
      </w:r>
      <w:r>
        <w:rPr>
          <w:rStyle w:val="FootnoteReference"/>
          <w:szCs w:val="24"/>
        </w:rPr>
        <w:footnoteReference w:customMarkFollows="1" w:id="52"/>
        <w:t>52</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214.</w:t>
      </w:r>
      <w:r>
        <w:rPr>
          <w:szCs w:val="24"/>
        </w:rPr>
        <w:tab/>
        <w:t>Что касается рекомендаций, сформулированных для Национальной тюрьмы им. Марко Аурелио Сото, Национальной тюрьмы города Сан-Педро-Сула и уголовно-исполнительного учреждения в городе Пуэрто-Кортéс, то по прошествии одного года, отведенного властями на устранение проблем, рекомендации так и не были выполнены в полном объеме вследствие недостатка выделенных бюджетных средств, в которых не предусмотрены расходные статьи на улучшение инфраструктуры этих пенитенциарных центров.  Однако некоторые меры для исправления положения были все же приняты:  a)  были разгружены некоторые камеры, где количество заключенных превышало все нормы, за счет перевода части осужденных в другие исправительные учреждения;  b)  было расширено физическое пространство отдельных блоков за счет их реконструкции, устроены туалеты, подведена питьевая вода, заключенным выданы тюфяки;  c)  заключенным с психическими расстройствами, с заболеваниями ВИЧ/СПИД и другими болезнями были выданы тюфяки, улучшен рацион питания, в их камеры подведено электроснабжение;  d)  были улучшены санитарно-гигиенические условия за счет проведения в камерах периодических фумигаций и кампаний по уборке</w:t>
      </w:r>
      <w:r>
        <w:rPr>
          <w:rStyle w:val="FootnoteReference"/>
          <w:szCs w:val="24"/>
        </w:rPr>
        <w:footnoteReference w:customMarkFollows="1" w:id="53"/>
        <w:t>53</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215.</w:t>
      </w:r>
      <w:r>
        <w:rPr>
          <w:szCs w:val="24"/>
        </w:rPr>
        <w:tab/>
        <w:t>Что касается выполнения вышеназванных постановлений в колониях для малолетних преступников "Возрождение" и "Эль-Кáрмен", что и тут по прошествии отведенного года рекомендации так и не были выполнены в полном объеме, при этом руководство ссылается на малый объем выделенных бюджетных ассигнований.  Тем не менее произошли некоторые подвижки, в том числе:  a)  для решения проблемы переполненности камер были расширены два блока;  b)  в блоках были установлены койки с матрацами;  c)  улучшено снабжение питьевой водой;  d)  отремонтирована система электроснабжения;  e)  оснащены оборудованием мастерские по изучению ремесел и учебные классы;  f)  утвержден внутренний регламент, устанавливающий дисциплинарные меры, которые можно применять к заключенным.</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216.</w:t>
      </w:r>
      <w:r>
        <w:rPr>
          <w:szCs w:val="24"/>
        </w:rPr>
        <w:tab/>
        <w:t>В стране узаконен судебный контроль, поскольку, начиная с 20 февраля 2002 года, когда вступил в силу Уголовно-процессуальный кодекс, была учреждена должность судьи по делам об исполнении наказаний, который осуществляет надзор и контроль за исполнением наказаний и соблюдением мер безопасности.  На сегодняшний день назначены 24 судьи по делам об исполнении наказаний.</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217.</w:t>
      </w:r>
      <w:r>
        <w:rPr>
          <w:szCs w:val="24"/>
        </w:rPr>
        <w:tab/>
        <w:t>Исполнение наказаний и судебный контроль регламентируются Уголовно-процессуальным кодексом, согласно которому надзор и контроль за исполнением наказаний и соблюдением мер безопасности возложен на судью по делам об исполнении наказаний, который обязан следить за правильным применением норм, регулирующих пенитенциарный режим, за уважением конституционных целей наказания и за строгим исполнением приговоров, вынесенных судебными органами.  Судья по делам об исполнении наказаний также обязан исправлять злоупотребления и отклонения, которые могут иметь место при выполнении требований, содержащихся в пенитенциарном законодательстве, и выносить постановления по обжалованию решений руководящих, административных и технических органов пенитенциарных учреждений</w:t>
      </w:r>
      <w:r>
        <w:rPr>
          <w:rStyle w:val="FootnoteReference"/>
          <w:szCs w:val="24"/>
        </w:rPr>
        <w:footnoteReference w:customMarkFollows="1" w:id="54"/>
        <w:t>54</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218.</w:t>
      </w:r>
      <w:r>
        <w:rPr>
          <w:szCs w:val="24"/>
        </w:rPr>
        <w:tab/>
        <w:t>В соответствии с последним пунктом статьи 2 Закона об осужденных без лишения свободы подлежат незамедлительному освобождению подследственные и осужденные, страдающие болезнями на последней стадии, на основании заключения трех профессиональных врачей по назначению компетентного судьи, работающих в государственных медицинских учреждениях.  Освобождение этих лиц из-под стражи не исключает обязанность государства оказывать им помощь в государственных больницах в случае обращения.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219.</w:t>
      </w:r>
      <w:r>
        <w:rPr>
          <w:szCs w:val="24"/>
        </w:rPr>
        <w:tab/>
        <w:t>В порядке улучшения условий содержания неизлечимо больных заключенных был принят Специальный закон о лишенных свободы лицах, страдающих неизлечимыми болезнями и дегенеративными заболеваниями нервной системы.  Его исключительная цель - упорядочить бюджетные ассигнования и условия, связанные с лицами, лишенными свободы, которые страдают неизлечимыми заболеваниями на последней стадии, а также регламентировать правовые процедуры, которые должны соблюдаться перед их освобождением из-под стражи</w:t>
      </w:r>
      <w:r>
        <w:rPr>
          <w:rStyle w:val="FootnoteReference"/>
          <w:szCs w:val="24"/>
        </w:rPr>
        <w:footnoteReference w:customMarkFollows="1" w:id="55"/>
        <w:t>55</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220.</w:t>
      </w:r>
      <w:r>
        <w:rPr>
          <w:szCs w:val="24"/>
        </w:rPr>
        <w:tab/>
        <w:t>Следственные изоляторы полиции, которые в обиходе называют полицейскими участками, используются лишь для задержания людей на 24 часа, т.е. на время, в течение которого должно производиться предварительное расследование для передачи дела в соответствующий суд.  В большинстве изоляторов имеются камеры для раздельного содержания несовершеннолетних, мужчин, женщин и лиц с нетрадиционной сексуальной ориентацией.  Некоторые из этих изоляторов находятся в неудовлетворительном состоянии:  в них недостаточная вентиляция и освещение;  внутри камер, как правило, нет  туалетов;  в дни, когда производится много задержаний, камеры переполняются, что может привести к насильственным действиям одних задержанных по отношению к другим</w:t>
      </w:r>
      <w:r>
        <w:rPr>
          <w:rStyle w:val="FootnoteReference"/>
          <w:szCs w:val="24"/>
        </w:rPr>
        <w:footnoteReference w:customMarkFollows="1" w:id="56"/>
        <w:t>56</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221.</w:t>
      </w:r>
      <w:r>
        <w:rPr>
          <w:szCs w:val="24"/>
        </w:rPr>
        <w:tab/>
        <w:t>Если говорить об условиях содержания в пенитенциарных центрах, то в статье 14 Закона "Об исправлении и перевоспитании правонарушителей" указывается следующее:  "Помещения, предназначенные для содержания заключенных, должны отвечать предъявляемым санитарно-гигиеническим требованиям, особенно что касается кубатуры, водоснабжения, минимальной площади, освещения и вентиляции".  В целом же, за исключением женской национальной тюрьмы социальной адаптации, условия содержания лиц, лишенных свободы, являются неадекватными, поскольку пенитенциарные центры не располагают надлежащей инфраструктурой для эффективного применения вышеупомянутого Закона и должного решения задачи обеспечения социальной реинтеграции.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222.</w:t>
      </w:r>
      <w:r>
        <w:rPr>
          <w:szCs w:val="24"/>
        </w:rPr>
        <w:tab/>
        <w:t>По состоянию на март 2007 года контингент заключенных насчитывал 11 723 человека, распределенных по 24 уголовно-исправительным центрам.  Заключенные не классифицируются по видам совершенных преступлений;  учитываются лишь пол и национальная принадлежность, а также их процессуальный статус (осужденный и подследственный)</w:t>
      </w:r>
      <w:r>
        <w:rPr>
          <w:rStyle w:val="FootnoteReference"/>
          <w:szCs w:val="24"/>
        </w:rPr>
        <w:footnoteReference w:customMarkFollows="1" w:id="57"/>
        <w:t>57</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223.</w:t>
      </w:r>
      <w:r>
        <w:rPr>
          <w:szCs w:val="24"/>
        </w:rPr>
        <w:tab/>
        <w:t>Вместимость 24 уголовно-исправительных центров составляет 8 280 человек.  За последние годы эта цифра была значительно превышена:  если в 2004 году контингент заключенных насчитывал 10 931 человек (при переполненности на 2 651 единицу), то в настоящее время данный показатель - при той же вместимости пенитенциарных учреждений - составляет 11 723 человека (при переполненности на 3 393 единицы).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224.</w:t>
      </w:r>
      <w:r>
        <w:rPr>
          <w:szCs w:val="24"/>
        </w:rPr>
        <w:tab/>
        <w:t>Что касается условий содержания в тюрьмах, то Закон предписывает, чтобы мужчины и женщины содержались в разных учреждениях, а если это невозможно, то в полностью разделенных блоках или помещениях.  В каждом уголовно-исполнительном учреждении должны содержаться раздельно лица, осужденные за умышленные и неумышленные преступления;  за обычные, политические, связанные с обычными или военные преступления.  В пристройке к уголовно-исполнительному учреждению, но должным образом изолированной от него, должны размещаться профилактические помещения, предназначенные для приема новых задержанных или осужденных</w:t>
      </w:r>
      <w:r>
        <w:rPr>
          <w:rStyle w:val="FootnoteReference"/>
          <w:szCs w:val="24"/>
        </w:rPr>
        <w:footnoteReference w:customMarkFollows="1" w:id="58"/>
        <w:t>58</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225.</w:t>
      </w:r>
      <w:r>
        <w:rPr>
          <w:szCs w:val="24"/>
        </w:rPr>
        <w:tab/>
        <w:t>На практике лишь в отдельных пенитенциарных центрах производится сортировка заключенных на подследственных и осужденных.  Применительно к сортировке по половому признаку отметим, что вследствие наличия в стране лишь одной женской тюрьмы некоторые женщины в период судебного процесса содержатся в мужских тюрьмах, размещаясь в разных зонах.  После вынесения приговора они должны переводиться в женскую тюрьму, однако в некоторых случаях, когда женщины ходатайствуют об отбывании наказании вблизи своей семьи, им разрешается оставаться в мужских тюрьмах.</w:t>
      </w:r>
    </w:p>
    <w:p w:rsidR="00000000" w:rsidRDefault="00000000">
      <w:pPr>
        <w:tabs>
          <w:tab w:val="clear" w:pos="1701"/>
          <w:tab w:val="left" w:pos="1683"/>
        </w:tabs>
        <w:spacing w:line="216" w:lineRule="auto"/>
        <w:rPr>
          <w:szCs w:val="24"/>
        </w:rPr>
      </w:pPr>
    </w:p>
    <w:p w:rsidR="00000000" w:rsidRDefault="00000000">
      <w:pPr>
        <w:tabs>
          <w:tab w:val="clear" w:pos="1701"/>
          <w:tab w:val="left" w:pos="1683"/>
        </w:tabs>
        <w:rPr>
          <w:szCs w:val="24"/>
        </w:rPr>
      </w:pPr>
      <w:r>
        <w:rPr>
          <w:szCs w:val="24"/>
        </w:rPr>
        <w:t>226.</w:t>
      </w:r>
      <w:r>
        <w:rPr>
          <w:szCs w:val="24"/>
        </w:rPr>
        <w:tab/>
        <w:t>Что касается пыток и жестоких видов обращения, то статья 63 Закона "Об исправлении и перевоспитании правонарушителей" гласит:  "Запрещается применение к заключенным мер силового воздействия, за исключением случаев, когда это необходимо для приведения нарушителей режима к порядку".  Насилие в тюрьмах происходит, как правило, в среде самих заключенных, особенно в национальных пенитенциарных учреждениях, характеризующихся переполненностью, причем из года в год соответствующие показатели растут:  в 2005 году из общего числа зарегистрированных случаев естественной и насильственной смерти на последние пришлось 44, в 2006 году - 50, а по состоянию на март 2007 года - 19.</w:t>
      </w:r>
    </w:p>
    <w:p w:rsidR="00000000" w:rsidRDefault="00000000">
      <w:pPr>
        <w:tabs>
          <w:tab w:val="clear" w:pos="1701"/>
          <w:tab w:val="left" w:pos="1683"/>
        </w:tabs>
        <w:spacing w:line="216" w:lineRule="auto"/>
        <w:rPr>
          <w:szCs w:val="24"/>
        </w:rPr>
      </w:pPr>
    </w:p>
    <w:p w:rsidR="00000000" w:rsidRDefault="00000000">
      <w:pPr>
        <w:tabs>
          <w:tab w:val="clear" w:pos="1701"/>
          <w:tab w:val="left" w:pos="1683"/>
        </w:tabs>
        <w:rPr>
          <w:szCs w:val="24"/>
        </w:rPr>
      </w:pPr>
      <w:r>
        <w:rPr>
          <w:szCs w:val="24"/>
        </w:rPr>
        <w:t>227.</w:t>
      </w:r>
      <w:r>
        <w:rPr>
          <w:szCs w:val="24"/>
        </w:rPr>
        <w:tab/>
        <w:t>По поводу медицинского обслуживания и питания статьи 30, 31, 34, 66 и 67 Закона "Об исправлении и перевоспитании правонарушителей" гласят:  "Медицинская служба должна быть оснащена всеми необходимыми средствами для оказания заключенным должной помощи.  Эта служба должна размещаться в отдельном блоке каждого уголовно-исполнительного учреждения и иметь, кроме того, отделение для изоляции лиц, страдающих заразными и инфекционными заболеваниями.  Если заключенным невозможно оказать медицинскую помощь в тюремном лазарете либо медпункте, они должны быть переведены в больницу при соблюдении надлежащих мер безопасности, чтобы не допустить побега.  […]  Начальник медицинской службы обязан сотрудничать с руководством учреждения во всем, что касается гигиены и санитарии, а также выполнения распоряжений, относящихся к питанию, физическому воспитанию, труду и спорту.  […]  В каждом учреждении должны быть один или несколько зубных врачей для оказания помощи заключенным.  (Работы по протезированию выполняются только за счет заинтересованного лица.) […]  Директор или начальник соответствующего уголовно-исполнительного учреждения при участии тюремного врача должен организовать такую систему питания, которая в достаточной степени покроет все потребности заключенных по восстановлению организма.  […]  Директор или начальник уголовно-исполнительного учреждения при участии тюремного врача должен определить необходимые профилактические и санитарно-гигиенические меры, которые обязаны выполнять все заключенные.  Неисполнение их, уклонение либо игнорирование влекут за собой наложение дисциплинарного взыскания".</w:t>
      </w:r>
    </w:p>
    <w:p w:rsidR="00000000" w:rsidRDefault="00000000">
      <w:pPr>
        <w:tabs>
          <w:tab w:val="clear" w:pos="1701"/>
          <w:tab w:val="left" w:pos="1683"/>
        </w:tabs>
        <w:rPr>
          <w:szCs w:val="24"/>
        </w:rPr>
      </w:pPr>
      <w:r>
        <w:rPr>
          <w:szCs w:val="24"/>
        </w:rPr>
        <w:t>228.</w:t>
      </w:r>
      <w:r>
        <w:rPr>
          <w:szCs w:val="24"/>
        </w:rPr>
        <w:tab/>
        <w:t>Несмотря на требования закона, из 24 уголовно-исполнительных учреждений страны только Национальная тюрьма им. Марко Аурелио Сото, Национальная тюрьма города Сан-Педро-Сула и женская Национальная тюрьма социальной адаптации располагают собственной медицинской службой и врачами-стоматологами, причем со скудными годовыми бюджетами на закупку медикаментов (150 000 лемпир или 7 883 долл. США);  в случае остальных уголовно-исправительных учреждений заболевшие лица, лишенные свободы, получают помощь по линии государственных больниц или обслуживаются в ближайших медицинских центрах.  Что касается питания, то на каждого заключенного выделяется сумма из расчета 11,00 лемпир или 0,58 долл. США в сутки, отнюдь недостаточная для обеспечения сбалансированной диеты.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229.</w:t>
      </w:r>
      <w:r>
        <w:rPr>
          <w:szCs w:val="24"/>
        </w:rPr>
        <w:tab/>
        <w:t>Относительно дисциплинарных мер, применяемых к заключенным, статьи 25, 61 и 64 Закона "Об исправлении и перевоспитании правонарушителей" определяют:  "Каждое уголовно-исполнительное учреждение должно иметь охрану в лице персонала, входящего в состав специального корпуса гражданского характера, состоящего в подчинении Главного управления уголовно-исполнительных учреждений.  […]  К заключенным могут применяться следующие исправительные и дисциплинарные меры:  1.  Выговор;  2.  Лишение права на развлечения и занятия спортом;  3.  Выполнение работ по уборке помещений;  4.  Временное запрещение выводов на прогулку;  5.  Временное лишение права на переписку или свидания;  6.  Запрещение принимать другую пищу, кроме приготовленной на тюремной кухне;  7.  Запрещение пользоваться личными денежными средствами;  8.  Лишение дополнительных мер доверия;  и 9.  Возврат к периоду прогрессивного режима.  […]  Персонал охраны уголовно-исполнительных учреждений имеет право на ношение оружия, но его применение ограничивается исключительно случаями чрезвычайного характера и обстоятельствами, абсолютно необходимыми для законной самообороны".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230.</w:t>
      </w:r>
      <w:r>
        <w:rPr>
          <w:szCs w:val="24"/>
        </w:rPr>
        <w:tab/>
        <w:t>Малолетние преступники не должны содержаться в исправительных учреждениях для взрослых.  Согласно статьям 198 и 262 Кодекса о детях и подростках, к детям-правонарушителям можно применить такую меру социально-воспитательного воздействия, как помещение в колонию, при этом длительность пребывания там не может превышать 8 лет.  Срок наказания отбывается в исправительных колониях, находящихся в ведении Гондурасского института по делам детей и семьи, и условия содержания в них не слишком подходят для должного решения задачи обеспечения социальной реинтеграции.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231.</w:t>
      </w:r>
      <w:r>
        <w:rPr>
          <w:szCs w:val="24"/>
        </w:rPr>
        <w:tab/>
      </w:r>
      <w:r>
        <w:rPr>
          <w:b/>
          <w:szCs w:val="24"/>
        </w:rPr>
        <w:t>Колония для малолетних преступников "Возрождение"</w:t>
      </w:r>
      <w:r>
        <w:rPr>
          <w:szCs w:val="24"/>
        </w:rPr>
        <w:t xml:space="preserve"> предназначена для содержания подростков в возрасте от 12 до 18 лет, помещенных в нее различными судами страны вследствие конфликта с законом.  При поступлении подростки обследуются специалистами - социальными психологами и врачами - на предмет определения для них наиболее подходящих педагогических приемов и профессионально-технической среды, чтобы подготовить к возвращению в общество.  В среднем через колонию ежемесячно проходят 118 подростков, в то время как она рассчитана на 100 человек, поэтому наблюдается переполненность.</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232.</w:t>
      </w:r>
      <w:r>
        <w:rPr>
          <w:szCs w:val="24"/>
        </w:rPr>
        <w:tab/>
        <w:t>В колонии действует стоматологическая служба, специалисты которой по трудовому соглашению оказывает услуги по понедельникам и вторникам.  В это время детям и подросткам удаляют зубы, ставят пломбы, делают санацию ротовой полости и проводят беседы о гигиене полости рта.  В порядке помощи организация «Группа "Альянс"» выделяет колонии психиатра, терапевта, социального работника и медсестру.  Для оказания медицинской помощи в колонии имеются штатные врачи, работающие по контракту с Гондурасским институтом по делам детей и семьи.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233.</w:t>
      </w:r>
      <w:r>
        <w:rPr>
          <w:szCs w:val="24"/>
        </w:rPr>
        <w:tab/>
        <w:t>Что касается инфраструктуры и других служб, то в настоящее время колония "Возрождение" насчитывает 7 блоков, имеет школу и школьную библиотеку, кухню, продовольственный склад, комнату отдыха, актовый зал, медицинскую и стоматологическую клинику, административные помещения и площадку блока "Растём".  Из этих 7 блоков только два находятся в хорошем состоянии;  один блок, в котором содержатся 29 молодых людей, не отремонтирован;  остальные сооружения находятся в неудовлетворительном состоянии.  В целях улучшения инфраструктуры колонии между Гондурасским институтом по делам детей и семьи и фондом «МБ-Проект "Гондурас"» было подписано соглашение о сотрудничестве, направленное на реализацию проекта по развитию гражданских сооружений - в частности, речь идет о реконструкции кухни и жилого блока со всем их оборудованием</w:t>
      </w:r>
      <w:r>
        <w:rPr>
          <w:rStyle w:val="FootnoteReference"/>
          <w:szCs w:val="24"/>
        </w:rPr>
        <w:footnoteReference w:customMarkFollows="1" w:id="59"/>
        <w:t>59</w:t>
      </w:r>
      <w:r>
        <w:rPr>
          <w:szCs w:val="24"/>
        </w:rPr>
        <w:t>.  В плане реабилитационных мер в колонии имеются художественные, малярные и швейные мастерские;  проводятся воспитательные беседы, трудовая терапия, профориентация, мониторинг поведения заключенных.  Еженедельно по пятницам проводятся спортивные занятия, организованные игры и другие мероприятия под постоянным надзором дежурного персонала.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234.</w:t>
      </w:r>
      <w:r>
        <w:rPr>
          <w:szCs w:val="24"/>
        </w:rPr>
        <w:tab/>
        <w:t>В педагогическом плане в колонии функционирует школа "Обновление", созданная Министерством просвещения в 1996 году и приписанная к округу № 11.  Преподавание ведется по двум направлениям:  по программе всеобщего образования и по программе Гондурасского института дистанционного обучения.  В штате школы имеются три социальных работника, выступающих в качестве учителей начальных классов, один учитель по общеобразовательным предметам, один педагогический координатор и один доброволец из благотворительной организации "Помощь сиротам" в качестве учителя английского языка.  Школа, в которой подростки присутствуют на занятиях с 9 до 13 часов, располагает библиотекой на 300 книг, настольными играми, а вскоре получит видеозал.</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235.</w:t>
      </w:r>
      <w:r>
        <w:rPr>
          <w:szCs w:val="24"/>
        </w:rPr>
        <w:tab/>
      </w:r>
      <w:r>
        <w:rPr>
          <w:b/>
          <w:szCs w:val="24"/>
        </w:rPr>
        <w:t>Колония для малолетних преступников "Сагрáдо-Корасóн-де-Мария"</w:t>
      </w:r>
      <w:r>
        <w:rPr>
          <w:szCs w:val="24"/>
        </w:rPr>
        <w:t xml:space="preserve"> находится в деревне Тáмара, департамент Франсиско-Морасáн.  В настоящее время в ней содержатся девушки-подростки в возрасте от 12 до 18 лет, помещенные туда районными и департаментскими судами по делам детей в качестве предупредительной и социально-воспитательной меры.  Девушки, прибывающие в колонию, пользуются всеми правами и гарантиями, предусмотренными в Конвенции о правах ребенка и Минимальными правилами обращения с малолетними правонарушителями, принятыми Организацией Объединенных Наций.  По прибытии в колонию они получают защиту, личный уход, воспитание, необходимую психологическую и медицинскую помощь, занимаются физкультурой с учетом их возраста и индивидуальных особенностей, чтобы подготовить их к возвращению в общество.  Колония функционирует круглосуточно, на протяжении всего года, персонал в ней работает в 3 смены, выполняя лечебные, воспитательные, образовательные и нравственно-этические функции.  Для обеспечения комплексной реабилитации девушек работа в колонии строится по следующим направлениям:  психология, социальная работа, постоянная медицинская помощь, стоматологическая помощь, профориентация.</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236.</w:t>
      </w:r>
      <w:r>
        <w:rPr>
          <w:szCs w:val="24"/>
        </w:rPr>
        <w:tab/>
      </w:r>
      <w:r>
        <w:rPr>
          <w:b/>
          <w:szCs w:val="24"/>
        </w:rPr>
        <w:t>Педагогический комплекс "Хальтéва"</w:t>
      </w:r>
      <w:r>
        <w:rPr>
          <w:szCs w:val="24"/>
        </w:rPr>
        <w:t xml:space="preserve"> рассчитан на 40 подростков;  расположен в местечке Сéдрос, департамент Франсиско-Морасáн;  функционирует в двух режимах:  полного интернирования и полусвободного содержания;  специализируется по следующим направлениям:  воспитание, образование, профориентация, социальная и административная работа, медицинская помощь.  Находящиеся здесь подростки обвиняются в совершении следующих преступлений:  убийство, изнасилование, кража, побег, организация преступного сообщества, убийство при отягчающих обстоятельствах, изнасилование при отягчающих обстоятельствах, кража при отягчающих обстоятельствах, угрозы, незаконное ношение оружия, развратные действия и внутрисемейное насилие.</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237.</w:t>
      </w:r>
      <w:r>
        <w:rPr>
          <w:szCs w:val="24"/>
        </w:rPr>
        <w:tab/>
      </w:r>
      <w:r>
        <w:rPr>
          <w:b/>
          <w:szCs w:val="24"/>
        </w:rPr>
        <w:t>Педагогический комплекс "Эль-Кáрмен"</w:t>
      </w:r>
      <w:r>
        <w:rPr>
          <w:szCs w:val="24"/>
        </w:rPr>
        <w:t xml:space="preserve"> находится в деревне Эль-Кáрмен вблизи города Сан-Педро-Сула, департамент Кортéс;  здесь в режиме полного интернирования содержатся подростки в возрасте от 12 до 18 лет, определенные сюда судами по делам детей и/или департаментскими судами по общеуголовным делам.  Комплекс располагает всем необходимым для удовлетворения базовых потребностей заключенных.  Он работает в постоянном стратегическом содружестве и контакте с судами по делам детей департаментов, районными судами различных департаментов, Прокуратурой по делам детей города Сан-Педро-Сула, Кабинетом Первой дамы, следственной полицией и другими смежными ведомствами.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238.</w:t>
      </w:r>
      <w:r>
        <w:rPr>
          <w:szCs w:val="24"/>
        </w:rPr>
        <w:tab/>
        <w:t>В этом комплексе также функционируют два приюта для несовершеннолетних.  Один - "Домик подростка" - предназначен для временного содержания детей и подростков в возрасте от 12 до 18 лет, пострадавших вследствие физического и психологического насилия, изнасилования, а также по причине распущенности, сиротства и т.д.  Сейчас здесь проживают 84 человека, направленные сюда судебными органами, медицинскими учреждениями, церковью, неправительственными организациями.  Другой - "Новая надежда" - принимает по ходатайству судов по делам детей, Прокуратуры и полиции девочек и мальчиков в возрасте от 0 до 12 лет, относящихся к группам социального риска и полной обездоленности.  Цель приюта - дать им комплексное воспитание и образование</w:t>
      </w:r>
      <w:r>
        <w:rPr>
          <w:rStyle w:val="FootnoteReference"/>
          <w:szCs w:val="24"/>
        </w:rPr>
        <w:footnoteReference w:customMarkFollows="1" w:id="60"/>
        <w:t>60</w:t>
      </w:r>
      <w:r>
        <w:rPr>
          <w:szCs w:val="24"/>
        </w:rPr>
        <w:t>.</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239.</w:t>
      </w:r>
      <w:r>
        <w:rPr>
          <w:szCs w:val="24"/>
        </w:rPr>
        <w:tab/>
        <w:t xml:space="preserve">В </w:t>
      </w:r>
      <w:r>
        <w:rPr>
          <w:b/>
          <w:szCs w:val="24"/>
        </w:rPr>
        <w:t>Центре дневного ухода</w:t>
      </w:r>
      <w:r>
        <w:rPr>
          <w:szCs w:val="24"/>
        </w:rPr>
        <w:t xml:space="preserve"> в городе Виктория, департамент Йоро, детям оказываются поддержка и помощь в освоении школьной программы, даются рекомендации по укреплению здоровья, организуется их питание.  Сейчас центр посещают 35 детей, хотя он рассчитан на 45 человек.  Своей медслужбы там нет, поэтому дети получают помощь в местном Центре здравоохранения.  Инфраструктура Центра дневного ухода находится в совершенно плачевном состоянии.  Причина помещения сюда детей в большинстве случаев - бедность родителей, которые пользуются тем, что их сыновья и дочери получают в центре в течение всего дня питание, присмотр и помощь в освоении школьной программы.  Дети посещают начальную и среднюю школы местной общины.</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240.</w:t>
      </w:r>
      <w:r>
        <w:rPr>
          <w:szCs w:val="24"/>
        </w:rPr>
        <w:tab/>
      </w:r>
      <w:r>
        <w:rPr>
          <w:b/>
          <w:szCs w:val="24"/>
        </w:rPr>
        <w:t>"Домик подростка для девочек"</w:t>
      </w:r>
      <w:r>
        <w:rPr>
          <w:szCs w:val="24"/>
        </w:rPr>
        <w:t xml:space="preserve"> - это учреждение, предназначенное для временного содержания от 60 до 70 девочек в возрасте от 12 до 18 лет, относящихся к группам социального риска и поступивших сюда по причине физического и психического насилия, изнасилования, распущенности, сиротства и т.п.  Их определяют в данное учреждение судебные и полицейские власти, медицинские учреждения, церковь, неправительственные организации, родственники или же они приходят сами.  "Домик подростка для девочек" рассчитан на 54 человека, имеет своих врачей, получает поддержку от благотворительной организации "Помощь сиротам" и проводит обучение по ликвидации неграмотности в рамках утвержденной Министерством просвещения программы "Альфасик".  В нем также есть кабинеты ручного труда и информатики.</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241.</w:t>
      </w:r>
      <w:r>
        <w:rPr>
          <w:szCs w:val="24"/>
        </w:rPr>
        <w:tab/>
        <w:t>Наконец, мы можем проинформировать Комитет о том, что правительство Гондураса добилось существенных подвижек в деле искоренения всех форм пыток и в этом отношении способствовало обеспечению применения Конвенции.  Правительство сознает, что для окончательного искоренения актов пыток требуется еще осуществление дальнейших мер, причем не только законодательного, но и административного характера.</w:t>
      </w:r>
    </w:p>
    <w:p w:rsidR="00000000" w:rsidRDefault="00000000">
      <w:pPr>
        <w:tabs>
          <w:tab w:val="clear" w:pos="1701"/>
          <w:tab w:val="left" w:pos="1683"/>
        </w:tabs>
        <w:rPr>
          <w:szCs w:val="24"/>
        </w:rPr>
      </w:pPr>
    </w:p>
    <w:p w:rsidR="00000000" w:rsidRDefault="00000000">
      <w:pPr>
        <w:tabs>
          <w:tab w:val="clear" w:pos="1701"/>
          <w:tab w:val="left" w:pos="1683"/>
        </w:tabs>
        <w:rPr>
          <w:szCs w:val="24"/>
        </w:rPr>
      </w:pPr>
      <w:r>
        <w:rPr>
          <w:szCs w:val="24"/>
        </w:rPr>
        <w:t>242.</w:t>
      </w:r>
      <w:r>
        <w:rPr>
          <w:szCs w:val="24"/>
        </w:rPr>
        <w:tab/>
        <w:t>Представляя настоящий доклад, государство Гондурас желает подтвердить свою готовность и решимость добиваться полного выполнения своих обязательств по правам человека, взятых в качестве члена международного сообщества, представленного в Организации Объединенных Наций.</w:t>
      </w:r>
    </w:p>
    <w:p w:rsidR="00000000" w:rsidRDefault="00000000">
      <w:pPr>
        <w:tabs>
          <w:tab w:val="clear" w:pos="567"/>
          <w:tab w:val="clear" w:pos="1134"/>
          <w:tab w:val="clear" w:pos="1701"/>
          <w:tab w:val="clear" w:pos="2268"/>
          <w:tab w:val="clear" w:pos="6237"/>
        </w:tabs>
        <w:rPr>
          <w:szCs w:val="24"/>
        </w:rPr>
      </w:pPr>
    </w:p>
    <w:p w:rsidR="00000000" w:rsidRDefault="00000000">
      <w:pPr>
        <w:tabs>
          <w:tab w:val="clear" w:pos="567"/>
          <w:tab w:val="clear" w:pos="1134"/>
          <w:tab w:val="clear" w:pos="1701"/>
          <w:tab w:val="clear" w:pos="2268"/>
          <w:tab w:val="clear" w:pos="6237"/>
        </w:tabs>
        <w:jc w:val="center"/>
        <w:rPr>
          <w:szCs w:val="24"/>
        </w:rPr>
      </w:pPr>
      <w:r>
        <w:rPr>
          <w:szCs w:val="24"/>
        </w:rPr>
        <w:t>-----</w:t>
      </w:r>
    </w:p>
    <w:p w:rsidR="00000000" w:rsidRDefault="00000000">
      <w:pPr>
        <w:tabs>
          <w:tab w:val="left" w:pos="0"/>
        </w:tabs>
        <w:suppressAutoHyphens/>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1</w:t>
      </w:r>
      <w:r>
        <w:t xml:space="preserve"> </w:t>
      </w:r>
      <w:r>
        <w:tab/>
        <w:t>См. приложение II, статьи 1, 2, 4 и 323 Конституции Республики.</w:t>
      </w:r>
    </w:p>
    <w:p w:rsidR="00000000" w:rsidRDefault="00000000">
      <w:pPr>
        <w:pStyle w:val="FootnoteText"/>
      </w:pPr>
    </w:p>
  </w:footnote>
  <w:footnote w:id="2">
    <w:p w:rsidR="00000000" w:rsidRDefault="00000000">
      <w:pPr>
        <w:pStyle w:val="FootnoteText"/>
      </w:pPr>
      <w:r>
        <w:rPr>
          <w:rStyle w:val="FootnoteReference"/>
        </w:rPr>
        <w:t>2</w:t>
      </w:r>
      <w:r>
        <w:t xml:space="preserve"> </w:t>
      </w:r>
      <w:r>
        <w:tab/>
        <w:t>См. приложение II, статьи 52, 189, 196, 202, 203, 205, 216, 223 и 311 Конституции Республики.</w:t>
      </w:r>
    </w:p>
    <w:p w:rsidR="00000000" w:rsidRDefault="00000000">
      <w:pPr>
        <w:pStyle w:val="FootnoteText"/>
      </w:pPr>
    </w:p>
  </w:footnote>
  <w:footnote w:id="3">
    <w:p w:rsidR="00000000" w:rsidRDefault="00000000">
      <w:pPr>
        <w:pStyle w:val="FootnoteText"/>
      </w:pPr>
      <w:r>
        <w:rPr>
          <w:rStyle w:val="FootnoteReference"/>
        </w:rPr>
        <w:t>3</w:t>
      </w:r>
      <w:r>
        <w:t xml:space="preserve"> </w:t>
      </w:r>
      <w:r>
        <w:tab/>
        <w:t>См. приложение II, статьи 235, 236 и 245 Конституции Республики.</w:t>
      </w:r>
    </w:p>
  </w:footnote>
  <w:footnote w:id="4">
    <w:p w:rsidR="00000000" w:rsidRDefault="00000000">
      <w:pPr>
        <w:pStyle w:val="FootnoteText"/>
      </w:pPr>
      <w:r>
        <w:rPr>
          <w:rStyle w:val="FootnoteReference"/>
        </w:rPr>
        <w:t>4</w:t>
      </w:r>
      <w:r>
        <w:t xml:space="preserve"> </w:t>
      </w:r>
      <w:r>
        <w:tab/>
        <w:t>См. приложение II, статьи 303, 308, 314, 315, 316 и 319 Конституции Республики.</w:t>
      </w:r>
    </w:p>
  </w:footnote>
  <w:footnote w:id="5">
    <w:p w:rsidR="00000000" w:rsidRDefault="00000000">
      <w:pPr>
        <w:pStyle w:val="FootnoteText"/>
      </w:pPr>
      <w:r>
        <w:rPr>
          <w:rStyle w:val="FootnoteReference"/>
        </w:rPr>
        <w:t>5</w:t>
      </w:r>
      <w:r>
        <w:t xml:space="preserve"> </w:t>
      </w:r>
      <w:r>
        <w:tab/>
        <w:t>См. приложение II, статьи 1, 2, 4, 17, 18 и 28 Закона о Прокуратуре.</w:t>
      </w:r>
    </w:p>
    <w:p w:rsidR="00000000" w:rsidRDefault="00000000">
      <w:pPr>
        <w:pStyle w:val="FootnoteText"/>
      </w:pPr>
    </w:p>
  </w:footnote>
  <w:footnote w:id="6">
    <w:p w:rsidR="00000000" w:rsidRDefault="00000000">
      <w:pPr>
        <w:pStyle w:val="FootnoteText"/>
      </w:pPr>
      <w:r>
        <w:rPr>
          <w:rStyle w:val="FootnoteReference"/>
        </w:rPr>
        <w:t>6</w:t>
      </w:r>
      <w:r>
        <w:t xml:space="preserve"> </w:t>
      </w:r>
      <w:r>
        <w:tab/>
        <w:t>См. приложение II, статьи 1 и 4 Органического закона о Национальном управлении уполномоченного по правам человека.</w:t>
      </w:r>
    </w:p>
    <w:p w:rsidR="00000000" w:rsidRDefault="00000000">
      <w:pPr>
        <w:pStyle w:val="FootnoteText"/>
      </w:pPr>
    </w:p>
  </w:footnote>
  <w:footnote w:id="7">
    <w:p w:rsidR="00000000" w:rsidRDefault="00000000">
      <w:pPr>
        <w:pStyle w:val="FootnoteText"/>
      </w:pPr>
      <w:r>
        <w:rPr>
          <w:rStyle w:val="FootnoteReference"/>
        </w:rPr>
        <w:t>7</w:t>
      </w:r>
      <w:r>
        <w:t xml:space="preserve"> </w:t>
      </w:r>
      <w:r>
        <w:tab/>
        <w:t>См. приложение II, статья 181 Уголовного кодекса.</w:t>
      </w:r>
    </w:p>
    <w:p w:rsidR="00000000" w:rsidRDefault="00000000">
      <w:pPr>
        <w:pStyle w:val="FootnoteText"/>
      </w:pPr>
    </w:p>
  </w:footnote>
  <w:footnote w:id="8">
    <w:p w:rsidR="00000000" w:rsidRDefault="00000000">
      <w:pPr>
        <w:pStyle w:val="FootnoteText"/>
      </w:pPr>
      <w:r>
        <w:rPr>
          <w:rStyle w:val="FootnoteReference"/>
        </w:rPr>
        <w:t>8</w:t>
      </w:r>
      <w:r>
        <w:t xml:space="preserve"> </w:t>
      </w:r>
      <w:r>
        <w:tab/>
        <w:t>См. приложение II, пункт 3 статьи 188 Уголовно-процессуального кодекса.</w:t>
      </w:r>
    </w:p>
    <w:p w:rsidR="00000000" w:rsidRDefault="00000000">
      <w:pPr>
        <w:pStyle w:val="FootnoteText"/>
      </w:pPr>
    </w:p>
  </w:footnote>
  <w:footnote w:id="9">
    <w:p w:rsidR="00000000" w:rsidRDefault="00000000">
      <w:pPr>
        <w:pStyle w:val="FootnoteText"/>
        <w:rPr>
          <w:szCs w:val="24"/>
        </w:rPr>
      </w:pPr>
      <w:r>
        <w:rPr>
          <w:rStyle w:val="FootnoteReference"/>
        </w:rPr>
        <w:t>9</w:t>
      </w:r>
      <w:r>
        <w:t xml:space="preserve"> </w:t>
      </w:r>
      <w:r>
        <w:tab/>
        <w:t>См. приложение II</w:t>
      </w:r>
      <w:r>
        <w:rPr>
          <w:szCs w:val="24"/>
        </w:rPr>
        <w:t>.  Статья 176 Уголовно-процессуального кодекса разрешает Прокуратуре отдавать распоряжение о предварительном заключении того или иного лица исключительно в случаях, предусмотренных законом, с обязательным уведомлением судьи соответствующей инстанции, причем данный срок ни в коем случае не может превышать 24 часа.  Статья 192 разрешает также судье по ходатайству прокурора, в чьем ведении находится рассмотрение дела, принимать постановление об изоляции подследственного на срок не более 24 часов, если имеются основания опасаться, что он будет препятствовать проведению расследования.</w:t>
      </w:r>
    </w:p>
    <w:p w:rsidR="00000000" w:rsidRDefault="00000000">
      <w:pPr>
        <w:pStyle w:val="FootnoteText"/>
      </w:pPr>
    </w:p>
  </w:footnote>
  <w:footnote w:id="10">
    <w:p w:rsidR="00000000" w:rsidRDefault="00000000">
      <w:pPr>
        <w:pStyle w:val="FootnoteText"/>
      </w:pPr>
      <w:r>
        <w:rPr>
          <w:rStyle w:val="FootnoteReference"/>
        </w:rPr>
        <w:t>10</w:t>
      </w:r>
      <w:r>
        <w:t xml:space="preserve"> </w:t>
      </w:r>
      <w:r>
        <w:tab/>
        <w:t>См. приложение II, формы инспекций, проводимых Прокуратурой и Национальным управлением уполномоченного по правам человека.</w:t>
      </w:r>
    </w:p>
    <w:p w:rsidR="00000000" w:rsidRDefault="00000000">
      <w:pPr>
        <w:pStyle w:val="FootnoteText"/>
      </w:pPr>
    </w:p>
  </w:footnote>
  <w:footnote w:id="11">
    <w:p w:rsidR="00000000" w:rsidRDefault="00000000">
      <w:pPr>
        <w:pStyle w:val="FootnoteText"/>
      </w:pPr>
      <w:r>
        <w:rPr>
          <w:rStyle w:val="FootnoteReference"/>
        </w:rPr>
        <w:t>11</w:t>
      </w:r>
      <w:r>
        <w:t xml:space="preserve"> </w:t>
      </w:r>
      <w:r>
        <w:tab/>
        <w:t>См. приложение II, статья 51 Закона о миграции и иностранных гражданах.</w:t>
      </w:r>
    </w:p>
    <w:p w:rsidR="00000000" w:rsidRDefault="00000000">
      <w:pPr>
        <w:pStyle w:val="FootnoteText"/>
      </w:pPr>
    </w:p>
  </w:footnote>
  <w:footnote w:id="12">
    <w:p w:rsidR="00000000" w:rsidRDefault="00000000">
      <w:pPr>
        <w:pStyle w:val="FootnoteText"/>
      </w:pPr>
      <w:r>
        <w:rPr>
          <w:rStyle w:val="FootnoteReference"/>
        </w:rPr>
        <w:t>12</w:t>
      </w:r>
      <w:r>
        <w:t xml:space="preserve"> </w:t>
      </w:r>
      <w:r>
        <w:tab/>
        <w:t>См. приложение II, пункт 4 статьи 313 Конституции Республики, касающийся полномочий Верховного суда.</w:t>
      </w:r>
    </w:p>
    <w:p w:rsidR="00000000" w:rsidRDefault="00000000">
      <w:pPr>
        <w:pStyle w:val="FootnoteText"/>
      </w:pPr>
    </w:p>
  </w:footnote>
  <w:footnote w:id="13">
    <w:p w:rsidR="00000000" w:rsidRDefault="00000000">
      <w:pPr>
        <w:pStyle w:val="FootnoteText"/>
      </w:pPr>
      <w:r>
        <w:rPr>
          <w:rStyle w:val="FootnoteReference"/>
        </w:rPr>
        <w:t>13</w:t>
      </w:r>
      <w:r>
        <w:t xml:space="preserve"> </w:t>
      </w:r>
      <w:r>
        <w:tab/>
        <w:t>См. приложение II, статьи 137, 139 и 141 Закона об административном производстве.</w:t>
      </w:r>
    </w:p>
  </w:footnote>
  <w:footnote w:id="14">
    <w:p w:rsidR="00000000" w:rsidRDefault="00000000">
      <w:pPr>
        <w:pStyle w:val="FootnoteText"/>
      </w:pPr>
      <w:r>
        <w:rPr>
          <w:rStyle w:val="FootnoteReference"/>
        </w:rPr>
        <w:t>14</w:t>
      </w:r>
      <w:r>
        <w:t xml:space="preserve"> </w:t>
      </w:r>
      <w:r>
        <w:tab/>
        <w:t>См. приложение II, договоры о выдаче.</w:t>
      </w:r>
    </w:p>
    <w:p w:rsidR="00000000" w:rsidRDefault="00000000">
      <w:pPr>
        <w:pStyle w:val="FootnoteText"/>
      </w:pPr>
    </w:p>
  </w:footnote>
  <w:footnote w:id="15">
    <w:p w:rsidR="00000000" w:rsidRDefault="00000000">
      <w:pPr>
        <w:pStyle w:val="FootnoteText"/>
      </w:pPr>
      <w:r>
        <w:rPr>
          <w:rStyle w:val="FootnoteReference"/>
        </w:rPr>
        <w:t>15</w:t>
      </w:r>
      <w:r>
        <w:t xml:space="preserve"> </w:t>
      </w:r>
      <w:r>
        <w:tab/>
        <w:t>См. приложение II, статья 89 Закона о миграции и иностранных гражданах.</w:t>
      </w:r>
    </w:p>
    <w:p w:rsidR="00000000" w:rsidRDefault="00000000">
      <w:pPr>
        <w:pStyle w:val="FootnoteText"/>
      </w:pPr>
    </w:p>
  </w:footnote>
  <w:footnote w:id="16">
    <w:p w:rsidR="00000000" w:rsidRDefault="00000000">
      <w:pPr>
        <w:pStyle w:val="FootnoteText"/>
      </w:pPr>
      <w:r>
        <w:rPr>
          <w:rStyle w:val="FootnoteReference"/>
        </w:rPr>
        <w:t>16</w:t>
      </w:r>
      <w:r>
        <w:t xml:space="preserve"> </w:t>
      </w:r>
      <w:r>
        <w:tab/>
        <w:t>См. приложение II, статья 87 Закона о миграции и иностранных гражданах.</w:t>
      </w:r>
    </w:p>
    <w:p w:rsidR="00000000" w:rsidRDefault="00000000">
      <w:pPr>
        <w:pStyle w:val="FootnoteText"/>
      </w:pPr>
    </w:p>
  </w:footnote>
  <w:footnote w:id="17">
    <w:p w:rsidR="00000000" w:rsidRDefault="00000000">
      <w:pPr>
        <w:pStyle w:val="FootnoteText"/>
        <w:spacing w:line="216" w:lineRule="auto"/>
      </w:pPr>
      <w:r>
        <w:rPr>
          <w:rStyle w:val="FootnoteReference"/>
        </w:rPr>
        <w:t>17</w:t>
      </w:r>
      <w:r>
        <w:t xml:space="preserve"> </w:t>
      </w:r>
      <w:r>
        <w:tab/>
        <w:t>См. приложение II, статья 209 Уголовного кодекса.</w:t>
      </w:r>
    </w:p>
    <w:p w:rsidR="00000000" w:rsidRDefault="00000000">
      <w:pPr>
        <w:spacing w:line="216" w:lineRule="auto"/>
        <w:rPr>
          <w:szCs w:val="24"/>
        </w:rPr>
      </w:pPr>
    </w:p>
  </w:footnote>
  <w:footnote w:id="18">
    <w:p w:rsidR="00000000" w:rsidRDefault="00000000">
      <w:pPr>
        <w:pStyle w:val="FootnoteText"/>
        <w:spacing w:line="216" w:lineRule="auto"/>
      </w:pPr>
      <w:r>
        <w:rPr>
          <w:rStyle w:val="FootnoteReference"/>
        </w:rPr>
        <w:t>18</w:t>
      </w:r>
      <w:r>
        <w:t xml:space="preserve"> </w:t>
      </w:r>
      <w:r>
        <w:tab/>
        <w:t>См. приложение II, пункт 3 статьи 333 Уголовного кодекса.</w:t>
      </w:r>
    </w:p>
    <w:p w:rsidR="00000000" w:rsidRDefault="00000000">
      <w:pPr>
        <w:spacing w:line="216" w:lineRule="auto"/>
        <w:rPr>
          <w:szCs w:val="24"/>
        </w:rPr>
      </w:pPr>
    </w:p>
  </w:footnote>
  <w:footnote w:id="19">
    <w:p w:rsidR="00000000" w:rsidRDefault="00000000">
      <w:pPr>
        <w:pStyle w:val="FootnoteText"/>
        <w:spacing w:line="216" w:lineRule="auto"/>
      </w:pPr>
      <w:r>
        <w:rPr>
          <w:rStyle w:val="FootnoteReference"/>
        </w:rPr>
        <w:t>19</w:t>
      </w:r>
      <w:r>
        <w:t xml:space="preserve"> </w:t>
      </w:r>
      <w:r>
        <w:tab/>
        <w:t>См. приложение II, статья 218 Военного кодекса.</w:t>
      </w:r>
    </w:p>
  </w:footnote>
  <w:footnote w:id="20">
    <w:p w:rsidR="00000000" w:rsidRDefault="00000000">
      <w:pPr>
        <w:pStyle w:val="FootnoteText"/>
      </w:pPr>
      <w:r>
        <w:rPr>
          <w:rStyle w:val="FootnoteReference"/>
        </w:rPr>
        <w:t>20</w:t>
      </w:r>
      <w:r>
        <w:t xml:space="preserve"> </w:t>
      </w:r>
      <w:r>
        <w:tab/>
        <w:t>См. приложение II, статья 104 Уголовного кодекса.</w:t>
      </w:r>
    </w:p>
    <w:p w:rsidR="00000000" w:rsidRDefault="00000000">
      <w:pPr>
        <w:pStyle w:val="FootnoteText"/>
      </w:pPr>
    </w:p>
  </w:footnote>
  <w:footnote w:id="21">
    <w:p w:rsidR="00000000" w:rsidRDefault="00000000">
      <w:pPr>
        <w:pStyle w:val="FootnoteText"/>
      </w:pPr>
      <w:r>
        <w:rPr>
          <w:rStyle w:val="FootnoteReference"/>
        </w:rPr>
        <w:t>21</w:t>
      </w:r>
      <w:r>
        <w:t xml:space="preserve"> </w:t>
      </w:r>
      <w:r>
        <w:tab/>
        <w:t>См. приложение II, первый пункт статьи 322 Уголовно-процессуального кодекса.</w:t>
      </w:r>
    </w:p>
    <w:p w:rsidR="00000000" w:rsidRDefault="00000000">
      <w:pPr>
        <w:pStyle w:val="FootnoteText"/>
      </w:pPr>
    </w:p>
  </w:footnote>
  <w:footnote w:id="22">
    <w:p w:rsidR="00000000" w:rsidRDefault="00000000">
      <w:pPr>
        <w:pStyle w:val="FootnoteText"/>
      </w:pPr>
      <w:r>
        <w:rPr>
          <w:rStyle w:val="FootnoteReference"/>
        </w:rPr>
        <w:t>22</w:t>
      </w:r>
      <w:r>
        <w:t xml:space="preserve"> </w:t>
      </w:r>
      <w:r>
        <w:tab/>
        <w:t>См. приложение II, приговоры за совершение преступления пытки, вынесенные Верховным судом.</w:t>
      </w:r>
    </w:p>
    <w:p w:rsidR="00000000" w:rsidRDefault="00000000">
      <w:pPr>
        <w:pStyle w:val="FootnoteText"/>
      </w:pPr>
    </w:p>
  </w:footnote>
  <w:footnote w:id="23">
    <w:p w:rsidR="00000000" w:rsidRDefault="00000000">
      <w:pPr>
        <w:pStyle w:val="FootnoteText"/>
      </w:pPr>
      <w:r>
        <w:rPr>
          <w:rStyle w:val="FootnoteReference"/>
        </w:rPr>
        <w:t>23</w:t>
      </w:r>
      <w:r>
        <w:t xml:space="preserve"> </w:t>
      </w:r>
      <w:r>
        <w:tab/>
        <w:t>См. приложение II, статья 5 Уголовного кодекса.</w:t>
      </w:r>
    </w:p>
    <w:p w:rsidR="00000000" w:rsidRDefault="00000000">
      <w:pPr>
        <w:pStyle w:val="FootnoteText"/>
      </w:pPr>
    </w:p>
  </w:footnote>
  <w:footnote w:id="24">
    <w:p w:rsidR="00000000" w:rsidRDefault="00000000">
      <w:pPr>
        <w:pStyle w:val="FootnoteText"/>
      </w:pPr>
      <w:r>
        <w:rPr>
          <w:rStyle w:val="FootnoteReference"/>
        </w:rPr>
        <w:t>24</w:t>
      </w:r>
      <w:r>
        <w:t xml:space="preserve"> </w:t>
      </w:r>
      <w:r>
        <w:tab/>
        <w:t>См. приложение II, статья 8 Уголовного кодекса.</w:t>
      </w:r>
    </w:p>
    <w:p w:rsidR="00000000" w:rsidRDefault="00000000">
      <w:pPr>
        <w:pStyle w:val="FootnoteText"/>
      </w:pPr>
    </w:p>
  </w:footnote>
  <w:footnote w:id="25">
    <w:p w:rsidR="00000000" w:rsidRDefault="00000000">
      <w:pPr>
        <w:pStyle w:val="FootnoteText"/>
      </w:pPr>
      <w:r>
        <w:rPr>
          <w:rStyle w:val="FootnoteReference"/>
        </w:rPr>
        <w:t>25</w:t>
      </w:r>
      <w:r>
        <w:t xml:space="preserve"> </w:t>
      </w:r>
      <w:r>
        <w:tab/>
        <w:t>См. приложение II, статьи 6 и 7 Уголовного кодекса.</w:t>
      </w:r>
    </w:p>
    <w:p w:rsidR="00000000" w:rsidRDefault="00000000">
      <w:pPr>
        <w:pStyle w:val="FootnoteText"/>
      </w:pPr>
    </w:p>
  </w:footnote>
  <w:footnote w:id="26">
    <w:p w:rsidR="00000000" w:rsidRDefault="00000000">
      <w:pPr>
        <w:pStyle w:val="FootnoteText"/>
      </w:pPr>
      <w:r>
        <w:rPr>
          <w:rStyle w:val="FootnoteReference"/>
        </w:rPr>
        <w:t>26</w:t>
      </w:r>
      <w:r>
        <w:t xml:space="preserve"> </w:t>
      </w:r>
      <w:r>
        <w:tab/>
        <w:t>См. приложение II, Межведомственное соглашение в сфере уголовной юстиции.</w:t>
      </w:r>
    </w:p>
    <w:p w:rsidR="00000000" w:rsidRDefault="00000000">
      <w:pPr>
        <w:pStyle w:val="FootnoteText"/>
      </w:pPr>
    </w:p>
  </w:footnote>
  <w:footnote w:id="27">
    <w:p w:rsidR="00000000" w:rsidRDefault="00000000">
      <w:pPr>
        <w:pStyle w:val="FootnoteText"/>
        <w:rPr>
          <w:bCs/>
          <w:color w:val="000000"/>
          <w:szCs w:val="24"/>
          <w:lang w:eastAsia="ru-RU"/>
        </w:rPr>
      </w:pPr>
      <w:r>
        <w:rPr>
          <w:rStyle w:val="FootnoteReference"/>
        </w:rPr>
        <w:t>27</w:t>
      </w:r>
      <w:r>
        <w:t xml:space="preserve"> </w:t>
      </w:r>
      <w:r>
        <w:tab/>
        <w:t>См. приложение II, договоры о взаимной помощи</w:t>
      </w:r>
      <w:r>
        <w:rPr>
          <w:szCs w:val="24"/>
        </w:rPr>
        <w:t xml:space="preserve"> </w:t>
      </w:r>
      <w:r>
        <w:rPr>
          <w:bCs/>
          <w:color w:val="000000"/>
          <w:szCs w:val="24"/>
          <w:lang w:eastAsia="ru-RU"/>
        </w:rPr>
        <w:t>по уголовно-правовым вопросам.</w:t>
      </w:r>
    </w:p>
    <w:p w:rsidR="00000000" w:rsidRDefault="00000000">
      <w:pPr>
        <w:pStyle w:val="FootnoteText"/>
      </w:pPr>
    </w:p>
  </w:footnote>
  <w:footnote w:id="28">
    <w:p w:rsidR="00000000" w:rsidRDefault="00000000">
      <w:pPr>
        <w:pStyle w:val="FootnoteText"/>
      </w:pPr>
      <w:r>
        <w:rPr>
          <w:rStyle w:val="FootnoteReference"/>
        </w:rPr>
        <w:t>28</w:t>
      </w:r>
      <w:r>
        <w:t xml:space="preserve"> </w:t>
      </w:r>
      <w:r>
        <w:tab/>
        <w:t>См. приложение II, Соглашение о сотрудничестве и технической помощи между судебной властью и Национальным институтом по делам женщин и Постановление № 001 от 7 марта 2007 года.</w:t>
      </w:r>
    </w:p>
    <w:p w:rsidR="00000000" w:rsidRDefault="00000000">
      <w:pPr>
        <w:pStyle w:val="FootnoteText"/>
      </w:pPr>
    </w:p>
  </w:footnote>
  <w:footnote w:id="29">
    <w:p w:rsidR="00000000" w:rsidRDefault="00000000">
      <w:pPr>
        <w:pStyle w:val="FootnoteText"/>
      </w:pPr>
      <w:r>
        <w:rPr>
          <w:rStyle w:val="FootnoteReference"/>
        </w:rPr>
        <w:t>29</w:t>
      </w:r>
      <w:r>
        <w:t xml:space="preserve"> </w:t>
      </w:r>
      <w:r>
        <w:tab/>
        <w:t>См. приложение II, предлагаемые центрами обучения полицейских программы подготовки и повышения квалификации по правам человека и смежным дисциплинам.</w:t>
      </w:r>
    </w:p>
    <w:p w:rsidR="00000000" w:rsidRDefault="00000000">
      <w:pPr>
        <w:pStyle w:val="FootnoteText"/>
      </w:pPr>
    </w:p>
  </w:footnote>
  <w:footnote w:id="30">
    <w:p w:rsidR="00000000" w:rsidRDefault="00000000">
      <w:pPr>
        <w:pStyle w:val="FootnoteText"/>
      </w:pPr>
      <w:r>
        <w:rPr>
          <w:rStyle w:val="FootnoteReference"/>
        </w:rPr>
        <w:t>30</w:t>
      </w:r>
      <w:r>
        <w:t xml:space="preserve"> </w:t>
      </w:r>
      <w:r>
        <w:tab/>
        <w:t>См. приложение II, Соглашение о сотрудничестве между Министерством безопасности и Центром профилактики, лечения и реабилитации для жертв пыток и членов их семей (ЦПЛРП).</w:t>
      </w:r>
    </w:p>
    <w:p w:rsidR="00000000" w:rsidRDefault="00000000">
      <w:pPr>
        <w:pStyle w:val="FootnoteText"/>
      </w:pPr>
    </w:p>
  </w:footnote>
  <w:footnote w:id="31">
    <w:p w:rsidR="00000000" w:rsidRDefault="00000000">
      <w:pPr>
        <w:pStyle w:val="FootnoteText"/>
      </w:pPr>
      <w:r>
        <w:rPr>
          <w:rStyle w:val="FootnoteReference"/>
        </w:rPr>
        <w:t>31</w:t>
      </w:r>
      <w:r>
        <w:t xml:space="preserve"> </w:t>
      </w:r>
      <w:r>
        <w:tab/>
        <w:t>См. приложение II, Постановление № 251-А 2003 Министерства безопасности о создании "Гендерного подразделения".</w:t>
      </w:r>
    </w:p>
    <w:p w:rsidR="00000000" w:rsidRDefault="00000000">
      <w:pPr>
        <w:pStyle w:val="FootnoteText"/>
      </w:pPr>
    </w:p>
  </w:footnote>
  <w:footnote w:id="32">
    <w:p w:rsidR="00000000" w:rsidRDefault="00000000">
      <w:pPr>
        <w:pStyle w:val="FootnoteText"/>
      </w:pPr>
      <w:r>
        <w:rPr>
          <w:rStyle w:val="FootnoteReference"/>
        </w:rPr>
        <w:t>32</w:t>
      </w:r>
      <w:r>
        <w:t xml:space="preserve"> </w:t>
      </w:r>
      <w:r>
        <w:tab/>
        <w:t>См. приложение II, "Пакт ради детства" Министерства внутренних дел.</w:t>
      </w:r>
    </w:p>
    <w:p w:rsidR="00000000" w:rsidRDefault="00000000">
      <w:pPr>
        <w:pStyle w:val="FootnoteText"/>
      </w:pPr>
    </w:p>
  </w:footnote>
  <w:footnote w:id="33">
    <w:p w:rsidR="00000000" w:rsidRDefault="00000000">
      <w:pPr>
        <w:pStyle w:val="FootnoteText"/>
      </w:pPr>
      <w:r>
        <w:rPr>
          <w:rStyle w:val="FootnoteReference"/>
        </w:rPr>
        <w:t>33</w:t>
      </w:r>
      <w:r>
        <w:t xml:space="preserve"> </w:t>
      </w:r>
      <w:r>
        <w:tab/>
        <w:t>См. приложение II, Соглашение о сотрудничестве между Прокуратурой и Центром профилактики, лечения и реабилитации для жертв пыток и членов их семей (ЦПЛРП).</w:t>
      </w:r>
    </w:p>
    <w:p w:rsidR="00000000" w:rsidRDefault="00000000">
      <w:pPr>
        <w:pStyle w:val="FootnoteText"/>
      </w:pPr>
    </w:p>
  </w:footnote>
  <w:footnote w:id="34">
    <w:p w:rsidR="00000000" w:rsidRDefault="00000000">
      <w:pPr>
        <w:pStyle w:val="FootnoteText"/>
      </w:pPr>
      <w:r>
        <w:rPr>
          <w:rStyle w:val="FootnoteReference"/>
        </w:rPr>
        <w:t>34</w:t>
      </w:r>
      <w:r>
        <w:t xml:space="preserve"> </w:t>
      </w:r>
      <w:r>
        <w:tab/>
        <w:t>См. приложение II, региональный доклад "Анализ положения дел с убийством женщин в Центральноамериканском регионе".</w:t>
      </w:r>
    </w:p>
    <w:p w:rsidR="00000000" w:rsidRDefault="00000000">
      <w:pPr>
        <w:pStyle w:val="FootnoteText"/>
      </w:pPr>
    </w:p>
  </w:footnote>
  <w:footnote w:id="35">
    <w:p w:rsidR="00000000" w:rsidRDefault="00000000">
      <w:pPr>
        <w:pStyle w:val="FootnoteText"/>
      </w:pPr>
      <w:r>
        <w:rPr>
          <w:rStyle w:val="FootnoteReference"/>
        </w:rPr>
        <w:t>35</w:t>
      </w:r>
      <w:r>
        <w:t xml:space="preserve"> </w:t>
      </w:r>
      <w:r>
        <w:tab/>
        <w:t>См. приложение II, Этический кодекс должностных лиц и работников судебных органов.</w:t>
      </w:r>
    </w:p>
    <w:p w:rsidR="00000000" w:rsidRDefault="00000000">
      <w:pPr>
        <w:spacing w:line="216" w:lineRule="auto"/>
        <w:rPr>
          <w:szCs w:val="24"/>
        </w:rPr>
      </w:pPr>
    </w:p>
  </w:footnote>
  <w:footnote w:id="36">
    <w:p w:rsidR="00000000" w:rsidRDefault="00000000">
      <w:pPr>
        <w:pStyle w:val="FootnoteText"/>
      </w:pPr>
      <w:r>
        <w:rPr>
          <w:rStyle w:val="FootnoteReference"/>
        </w:rPr>
        <w:t>36</w:t>
      </w:r>
      <w:r>
        <w:t xml:space="preserve"> </w:t>
      </w:r>
      <w:r>
        <w:tab/>
        <w:t>См. приложение II, Проект по проверке исправительных учреждений.</w:t>
      </w:r>
    </w:p>
    <w:p w:rsidR="00000000" w:rsidRDefault="00000000">
      <w:pPr>
        <w:spacing w:line="216" w:lineRule="auto"/>
        <w:rPr>
          <w:szCs w:val="24"/>
        </w:rPr>
      </w:pPr>
    </w:p>
  </w:footnote>
  <w:footnote w:id="37">
    <w:p w:rsidR="00000000" w:rsidRDefault="00000000">
      <w:pPr>
        <w:pStyle w:val="FootnoteText"/>
      </w:pPr>
      <w:r>
        <w:rPr>
          <w:rStyle w:val="FootnoteReference"/>
        </w:rPr>
        <w:t>37</w:t>
      </w:r>
      <w:r>
        <w:t xml:space="preserve"> </w:t>
      </w:r>
      <w:r>
        <w:tab/>
        <w:t>См. приложение II, Этический кодекс работников Прокуратуры.</w:t>
      </w:r>
    </w:p>
  </w:footnote>
  <w:footnote w:id="38">
    <w:p w:rsidR="00000000" w:rsidRDefault="00000000">
      <w:pPr>
        <w:pStyle w:val="FootnoteText"/>
      </w:pPr>
      <w:r>
        <w:rPr>
          <w:rStyle w:val="FootnoteReference"/>
        </w:rPr>
        <w:t>38</w:t>
      </w:r>
      <w:r>
        <w:t xml:space="preserve"> </w:t>
      </w:r>
      <w:r>
        <w:tab/>
        <w:t>См. приложение II, статьи 59, 60 и 61 Этического кодекса Медицинской коллегии Гондураса.</w:t>
      </w:r>
    </w:p>
    <w:p w:rsidR="00000000" w:rsidRDefault="00000000">
      <w:pPr>
        <w:pStyle w:val="FootnoteText"/>
      </w:pPr>
    </w:p>
  </w:footnote>
  <w:footnote w:id="39">
    <w:p w:rsidR="00000000" w:rsidRDefault="00000000">
      <w:pPr>
        <w:pStyle w:val="FootnoteText"/>
      </w:pPr>
      <w:r>
        <w:rPr>
          <w:rStyle w:val="FootnoteReference"/>
        </w:rPr>
        <w:t>39</w:t>
      </w:r>
      <w:r>
        <w:t xml:space="preserve"> </w:t>
      </w:r>
      <w:r>
        <w:tab/>
        <w:t>См. приложение II, статьи 92 и 279 Уголовно-процессуального кодекса.</w:t>
      </w:r>
    </w:p>
    <w:p w:rsidR="00000000" w:rsidRDefault="00000000">
      <w:pPr>
        <w:pStyle w:val="FootnoteText"/>
      </w:pPr>
    </w:p>
  </w:footnote>
  <w:footnote w:id="40">
    <w:p w:rsidR="00000000" w:rsidRDefault="00000000">
      <w:pPr>
        <w:pStyle w:val="FootnoteText"/>
      </w:pPr>
      <w:r>
        <w:rPr>
          <w:rStyle w:val="FootnoteReference"/>
        </w:rPr>
        <w:t>40</w:t>
      </w:r>
      <w:r>
        <w:t xml:space="preserve"> </w:t>
      </w:r>
      <w:r>
        <w:tab/>
        <w:t>См. приложение II, статья 8 Органического закона "О национальной полиции".</w:t>
      </w:r>
    </w:p>
    <w:p w:rsidR="00000000" w:rsidRDefault="00000000">
      <w:pPr>
        <w:pStyle w:val="FootnoteText"/>
      </w:pPr>
    </w:p>
  </w:footnote>
  <w:footnote w:id="41">
    <w:p w:rsidR="00000000" w:rsidRDefault="00000000">
      <w:pPr>
        <w:pStyle w:val="FootnoteText"/>
      </w:pPr>
      <w:r>
        <w:rPr>
          <w:rStyle w:val="FootnoteReference"/>
        </w:rPr>
        <w:t>41</w:t>
      </w:r>
      <w:r>
        <w:t xml:space="preserve"> </w:t>
      </w:r>
      <w:r>
        <w:tab/>
        <w:t>См. приложение II, статья 81, пункт 7 статьи 85, статьи 86 и 88 Уголовно-процессуального кодекса.</w:t>
      </w:r>
    </w:p>
    <w:p w:rsidR="00000000" w:rsidRDefault="00000000">
      <w:pPr>
        <w:pStyle w:val="FootnoteText"/>
      </w:pPr>
    </w:p>
  </w:footnote>
  <w:footnote w:id="42">
    <w:p w:rsidR="00000000" w:rsidRDefault="00000000">
      <w:pPr>
        <w:pStyle w:val="FootnoteText"/>
      </w:pPr>
      <w:r>
        <w:rPr>
          <w:rStyle w:val="FootnoteReference"/>
        </w:rPr>
        <w:t>42</w:t>
      </w:r>
      <w:r>
        <w:t xml:space="preserve"> </w:t>
      </w:r>
      <w:r>
        <w:tab/>
        <w:t>См. приложение II, статьи 267-270 Уголовно-процессуального кодекса.</w:t>
      </w:r>
    </w:p>
    <w:p w:rsidR="00000000" w:rsidRDefault="00000000">
      <w:pPr>
        <w:pStyle w:val="FootnoteText"/>
      </w:pPr>
    </w:p>
  </w:footnote>
  <w:footnote w:id="43">
    <w:p w:rsidR="00000000" w:rsidRDefault="00000000">
      <w:pPr>
        <w:pStyle w:val="FootnoteText"/>
      </w:pPr>
      <w:r>
        <w:rPr>
          <w:rStyle w:val="FootnoteReference"/>
        </w:rPr>
        <w:t>43</w:t>
      </w:r>
      <w:r>
        <w:t xml:space="preserve"> </w:t>
      </w:r>
      <w:r>
        <w:tab/>
        <w:t>См. приложение II, статья 17 Закона "О конституционном правосудии".</w:t>
      </w:r>
    </w:p>
    <w:p w:rsidR="00000000" w:rsidRDefault="00000000">
      <w:pPr>
        <w:pStyle w:val="FootnoteText"/>
      </w:pPr>
    </w:p>
  </w:footnote>
  <w:footnote w:id="44">
    <w:p w:rsidR="00000000" w:rsidRDefault="00000000">
      <w:pPr>
        <w:pStyle w:val="FootnoteText"/>
      </w:pPr>
      <w:r>
        <w:rPr>
          <w:rStyle w:val="FootnoteReference"/>
        </w:rPr>
        <w:t>44</w:t>
      </w:r>
      <w:r>
        <w:t xml:space="preserve"> </w:t>
      </w:r>
      <w:r>
        <w:tab/>
        <w:t>См. приложение II, пункт 5 статьи 16 Уголовно-процессуального кодекса.</w:t>
      </w:r>
    </w:p>
    <w:p w:rsidR="00000000" w:rsidRDefault="00000000">
      <w:pPr>
        <w:pStyle w:val="FootnoteText"/>
      </w:pPr>
    </w:p>
  </w:footnote>
  <w:footnote w:id="45">
    <w:p w:rsidR="00000000" w:rsidRDefault="00000000">
      <w:pPr>
        <w:pStyle w:val="FootnoteText"/>
      </w:pPr>
      <w:r>
        <w:rPr>
          <w:rStyle w:val="FootnoteReference"/>
        </w:rPr>
        <w:t>45</w:t>
      </w:r>
      <w:r>
        <w:t xml:space="preserve"> </w:t>
      </w:r>
      <w:r>
        <w:tab/>
        <w:t>См. приложение II, статья 299 Уголовно-процессуального кодекса.</w:t>
      </w:r>
    </w:p>
    <w:p w:rsidR="00000000" w:rsidRDefault="00000000">
      <w:pPr>
        <w:pStyle w:val="FootnoteText"/>
      </w:pPr>
    </w:p>
  </w:footnote>
  <w:footnote w:id="46">
    <w:p w:rsidR="00000000" w:rsidRDefault="00000000">
      <w:pPr>
        <w:pStyle w:val="FootnoteText"/>
      </w:pPr>
      <w:r>
        <w:rPr>
          <w:rStyle w:val="FootnoteReference"/>
        </w:rPr>
        <w:t>46</w:t>
      </w:r>
      <w:r>
        <w:t xml:space="preserve"> </w:t>
      </w:r>
      <w:r>
        <w:tab/>
        <w:t>См. приложение II, статьи 1 и 2 Закона "О защите свидетелей".</w:t>
      </w:r>
    </w:p>
    <w:p w:rsidR="00000000" w:rsidRDefault="00000000">
      <w:pPr>
        <w:pStyle w:val="FootnoteText"/>
      </w:pPr>
    </w:p>
  </w:footnote>
  <w:footnote w:id="47">
    <w:p w:rsidR="00000000" w:rsidRDefault="00000000">
      <w:pPr>
        <w:pStyle w:val="FootnoteText"/>
      </w:pPr>
      <w:r>
        <w:rPr>
          <w:rStyle w:val="FootnoteReference"/>
        </w:rPr>
        <w:t>47</w:t>
      </w:r>
      <w:r>
        <w:t xml:space="preserve"> </w:t>
      </w:r>
      <w:r>
        <w:tab/>
        <w:t>См. приложение I, таблица № 2:  Жалобы по факту применения пыток и жестоких видов обращения, рассмотренные КОНАДЕ за период 2003-2006 годов.</w:t>
      </w:r>
    </w:p>
    <w:p w:rsidR="00000000" w:rsidRDefault="00000000">
      <w:pPr>
        <w:pStyle w:val="FootnoteText"/>
      </w:pPr>
    </w:p>
  </w:footnote>
  <w:footnote w:id="48">
    <w:p w:rsidR="00000000" w:rsidRDefault="00000000">
      <w:pPr>
        <w:pStyle w:val="FootnoteText"/>
      </w:pPr>
      <w:r>
        <w:rPr>
          <w:rStyle w:val="FootnoteReference"/>
        </w:rPr>
        <w:t>48</w:t>
      </w:r>
      <w:r>
        <w:t xml:space="preserve"> </w:t>
      </w:r>
      <w:r>
        <w:tab/>
        <w:t>См. приложение II, статьи 18 и 23 Закона "О конституционном правосудии".</w:t>
      </w:r>
    </w:p>
    <w:p w:rsidR="00000000" w:rsidRDefault="00000000">
      <w:pPr>
        <w:pStyle w:val="FootnoteText"/>
      </w:pPr>
    </w:p>
  </w:footnote>
  <w:footnote w:id="49">
    <w:p w:rsidR="00000000" w:rsidRDefault="00000000">
      <w:pPr>
        <w:pStyle w:val="FootnoteText"/>
      </w:pPr>
      <w:r>
        <w:rPr>
          <w:rStyle w:val="FootnoteReference"/>
        </w:rPr>
        <w:t>49</w:t>
      </w:r>
      <w:r>
        <w:t xml:space="preserve"> </w:t>
      </w:r>
      <w:r>
        <w:tab/>
        <w:t>См. приложение I, таблица № 5:  статистические данные о случаях бытового насилия за период 2003-2007 годов.</w:t>
      </w:r>
    </w:p>
    <w:p w:rsidR="00000000" w:rsidRDefault="00000000">
      <w:pPr>
        <w:pStyle w:val="FootnoteText"/>
      </w:pPr>
    </w:p>
  </w:footnote>
  <w:footnote w:id="50">
    <w:p w:rsidR="00000000" w:rsidRDefault="00000000">
      <w:pPr>
        <w:pStyle w:val="FootnoteText"/>
      </w:pPr>
      <w:r>
        <w:rPr>
          <w:rStyle w:val="FootnoteReference"/>
        </w:rPr>
        <w:t>50</w:t>
      </w:r>
      <w:r>
        <w:t xml:space="preserve"> </w:t>
      </w:r>
      <w:r>
        <w:tab/>
        <w:t>См. приложение II, декрет № 71-95, статья 1 "О создании судов первой инстанции по делам несовершеннолетних"</w:t>
      </w:r>
    </w:p>
    <w:p w:rsidR="00000000" w:rsidRDefault="00000000">
      <w:pPr>
        <w:pStyle w:val="FootnoteText"/>
      </w:pPr>
    </w:p>
  </w:footnote>
  <w:footnote w:id="51">
    <w:p w:rsidR="00000000" w:rsidRDefault="00000000">
      <w:pPr>
        <w:pStyle w:val="FootnoteText"/>
      </w:pPr>
      <w:r>
        <w:rPr>
          <w:rStyle w:val="FootnoteReference"/>
        </w:rPr>
        <w:t>51</w:t>
      </w:r>
      <w:r>
        <w:t xml:space="preserve"> </w:t>
      </w:r>
      <w:r>
        <w:tab/>
        <w:t>См. приложение I, таблица № 4:  статистические данные о жалобах, зафиксированны</w:t>
      </w:r>
      <w:r>
        <w:rPr>
          <w:szCs w:val="24"/>
        </w:rPr>
        <w:t xml:space="preserve">х по телефонной линии 114 </w:t>
      </w:r>
      <w:r>
        <w:t>Министерства безопасности (январь-октябрь 2007 года)</w:t>
      </w:r>
    </w:p>
    <w:p w:rsidR="00000000" w:rsidRDefault="00000000">
      <w:pPr>
        <w:pStyle w:val="FootnoteText"/>
      </w:pPr>
    </w:p>
  </w:footnote>
  <w:footnote w:id="52">
    <w:p w:rsidR="00000000" w:rsidRDefault="00000000">
      <w:pPr>
        <w:pStyle w:val="FootnoteText"/>
      </w:pPr>
      <w:r>
        <w:rPr>
          <w:rStyle w:val="FootnoteReference"/>
        </w:rPr>
        <w:t>52</w:t>
      </w:r>
      <w:r>
        <w:t xml:space="preserve"> </w:t>
      </w:r>
      <w:r>
        <w:tab/>
        <w:t>См. приложение II, решения по ходатайствам, поданным по процедуре хабеас корпус в интересах детей, содержащихся в колониях для малолетних преступников, а также взрослых, заключенных в Национальной тюрьме им. Марко Аурелио Сото в Тегусигальпе, в Национальной тюрьме города Сан-Педро-Сула и в уголовно-исполнительном учреждении в городе Пуэрто-Кортéс.</w:t>
      </w:r>
    </w:p>
    <w:p w:rsidR="00000000" w:rsidRDefault="00000000">
      <w:pPr>
        <w:pStyle w:val="FootnoteText"/>
      </w:pPr>
    </w:p>
  </w:footnote>
  <w:footnote w:id="53">
    <w:p w:rsidR="00000000" w:rsidRDefault="00000000">
      <w:pPr>
        <w:pStyle w:val="FootnoteText"/>
      </w:pPr>
      <w:r>
        <w:rPr>
          <w:rStyle w:val="FootnoteReference"/>
        </w:rPr>
        <w:t>53</w:t>
      </w:r>
      <w:r>
        <w:t xml:space="preserve"> </w:t>
      </w:r>
      <w:r>
        <w:tab/>
        <w:t>См. приложение II, доклад Министерства безопасности "Осуществление незамедлительных и временных мер для исправления положения, предписанных Конституционной палатой Верховного суда".</w:t>
      </w:r>
    </w:p>
    <w:p w:rsidR="00000000" w:rsidRDefault="00000000">
      <w:pPr>
        <w:pStyle w:val="FootnoteText"/>
      </w:pPr>
    </w:p>
  </w:footnote>
  <w:footnote w:id="54">
    <w:p w:rsidR="00000000" w:rsidRDefault="00000000">
      <w:pPr>
        <w:pStyle w:val="FootnoteText"/>
      </w:pPr>
      <w:r>
        <w:rPr>
          <w:rStyle w:val="FootnoteReference"/>
        </w:rPr>
        <w:t>54</w:t>
      </w:r>
      <w:r>
        <w:t xml:space="preserve"> </w:t>
      </w:r>
      <w:r>
        <w:tab/>
        <w:t>См. приложение II, статья 381 Уголовно-процессуального кодекса.</w:t>
      </w:r>
    </w:p>
    <w:p w:rsidR="00000000" w:rsidRDefault="00000000">
      <w:pPr>
        <w:pStyle w:val="FootnoteText"/>
      </w:pPr>
    </w:p>
  </w:footnote>
  <w:footnote w:id="55">
    <w:p w:rsidR="00000000" w:rsidRDefault="00000000">
      <w:pPr>
        <w:pStyle w:val="FootnoteText"/>
      </w:pPr>
      <w:r>
        <w:rPr>
          <w:rStyle w:val="FootnoteReference"/>
        </w:rPr>
        <w:t>55</w:t>
      </w:r>
      <w:r>
        <w:t xml:space="preserve"> </w:t>
      </w:r>
      <w:r>
        <w:tab/>
        <w:t>См. приложение II, Специальный закон о лишенных свободы лицах, страдающих болезнями на последней стадии и дегенеративными заболеваниями нервной системы, Декрет № 5-2007.</w:t>
      </w:r>
    </w:p>
    <w:p w:rsidR="00000000" w:rsidRDefault="00000000">
      <w:pPr>
        <w:pStyle w:val="FootnoteText"/>
      </w:pPr>
    </w:p>
  </w:footnote>
  <w:footnote w:id="56">
    <w:p w:rsidR="00000000" w:rsidRDefault="00000000">
      <w:pPr>
        <w:pStyle w:val="FootnoteText"/>
      </w:pPr>
      <w:r>
        <w:rPr>
          <w:rStyle w:val="FootnoteReference"/>
        </w:rPr>
        <w:t>56</w:t>
      </w:r>
      <w:r>
        <w:t xml:space="preserve"> </w:t>
      </w:r>
      <w:r>
        <w:tab/>
        <w:t>См. приложение II, Общенациональный доклад о состоянии камер заключения в различных полицейских центрах содержания под стражей.</w:t>
      </w:r>
    </w:p>
    <w:p w:rsidR="00000000" w:rsidRDefault="00000000">
      <w:pPr>
        <w:pStyle w:val="FootnoteText"/>
      </w:pPr>
    </w:p>
  </w:footnote>
  <w:footnote w:id="57">
    <w:p w:rsidR="00000000" w:rsidRDefault="00000000">
      <w:pPr>
        <w:pStyle w:val="FootnoteText"/>
      </w:pPr>
      <w:r>
        <w:rPr>
          <w:rStyle w:val="FootnoteReference"/>
        </w:rPr>
        <w:t>57</w:t>
      </w:r>
      <w:r>
        <w:t xml:space="preserve"> </w:t>
      </w:r>
      <w:r>
        <w:tab/>
        <w:t>См. приложение I, статистическая таблица № 6:  Заболевания, которым уделяется особое внимание.</w:t>
      </w:r>
    </w:p>
    <w:p w:rsidR="00000000" w:rsidRDefault="00000000">
      <w:pPr>
        <w:pStyle w:val="FootnoteText"/>
      </w:pPr>
    </w:p>
  </w:footnote>
  <w:footnote w:id="58">
    <w:p w:rsidR="00000000" w:rsidRDefault="00000000">
      <w:pPr>
        <w:pStyle w:val="FootnoteText"/>
      </w:pPr>
      <w:r>
        <w:rPr>
          <w:rStyle w:val="FootnoteReference"/>
        </w:rPr>
        <w:t>58</w:t>
      </w:r>
      <w:r>
        <w:t xml:space="preserve"> </w:t>
      </w:r>
      <w:r>
        <w:tab/>
        <w:t>См. приложение II, статьи 15 и 78 Закона "Об исправлении и перевоспитании правонарушителей".</w:t>
      </w:r>
    </w:p>
    <w:p w:rsidR="00000000" w:rsidRDefault="00000000">
      <w:pPr>
        <w:pStyle w:val="FootnoteText"/>
      </w:pPr>
    </w:p>
  </w:footnote>
  <w:footnote w:id="59">
    <w:p w:rsidR="00000000" w:rsidRDefault="00000000">
      <w:pPr>
        <w:pStyle w:val="FootnoteText"/>
      </w:pPr>
      <w:r>
        <w:rPr>
          <w:rStyle w:val="FootnoteReference"/>
        </w:rPr>
        <w:t>59</w:t>
      </w:r>
      <w:r>
        <w:t xml:space="preserve"> </w:t>
      </w:r>
      <w:r>
        <w:tab/>
        <w:t>См. приложение II, Соглашение о сотрудничестве между</w:t>
      </w:r>
      <w:r>
        <w:rPr>
          <w:color w:val="FF0000"/>
        </w:rPr>
        <w:t xml:space="preserve"> </w:t>
      </w:r>
      <w:r>
        <w:t>Гондурасским институтом по делам детей и семьи (ИГНФА)</w:t>
      </w:r>
      <w:r>
        <w:rPr>
          <w:color w:val="FF0000"/>
        </w:rPr>
        <w:t xml:space="preserve"> </w:t>
      </w:r>
      <w:r>
        <w:t>и фондом "МБ-Проект «Гондурас»".</w:t>
      </w:r>
    </w:p>
    <w:p w:rsidR="00000000" w:rsidRDefault="00000000">
      <w:pPr>
        <w:pStyle w:val="FootnoteText"/>
      </w:pPr>
    </w:p>
  </w:footnote>
  <w:footnote w:id="60">
    <w:p w:rsidR="00000000" w:rsidRDefault="00000000">
      <w:pPr>
        <w:pStyle w:val="FootnoteText"/>
      </w:pPr>
      <w:r>
        <w:rPr>
          <w:rStyle w:val="FootnoteReference"/>
        </w:rPr>
        <w:t>60</w:t>
      </w:r>
      <w:r>
        <w:t xml:space="preserve"> </w:t>
      </w:r>
      <w:r>
        <w:tab/>
        <w:t>См. приложение I, таблица № 8:  Центры содержания, находящиеся в ведении Гондурасского института по делам детей и семьи (ИГНФА).</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CAT/C/HND/1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t>CAT/C/HND/1</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tabs>
        <w:tab w:val="clear" w:pos="8306"/>
        <w:tab w:val="left" w:pos="7371"/>
        <w:tab w:val="right" w:pos="9072"/>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87778B5"/>
    <w:multiLevelType w:val="hybridMultilevel"/>
    <w:tmpl w:val="AC0CB2C2"/>
    <w:lvl w:ilvl="0" w:tplc="6A1C0E02">
      <w:start w:val="27"/>
      <w:numFmt w:val="bullet"/>
      <w:lvlText w:val=""/>
      <w:lvlJc w:val="left"/>
      <w:pPr>
        <w:tabs>
          <w:tab w:val="num" w:pos="930"/>
        </w:tabs>
        <w:ind w:left="930" w:hanging="57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CD15288"/>
    <w:multiLevelType w:val="hybridMultilevel"/>
    <w:tmpl w:val="0314603E"/>
    <w:lvl w:ilvl="0" w:tplc="AAF63FAC">
      <w:start w:val="27"/>
      <w:numFmt w:val="bullet"/>
      <w:lvlText w:val=""/>
      <w:lvlJc w:val="left"/>
      <w:pPr>
        <w:tabs>
          <w:tab w:val="num" w:pos="930"/>
        </w:tabs>
        <w:ind w:left="930" w:hanging="57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31820677"/>
    <w:multiLevelType w:val="hybridMultilevel"/>
    <w:tmpl w:val="51C0CCE0"/>
    <w:lvl w:ilvl="0" w:tplc="6A1C0E02">
      <w:start w:val="27"/>
      <w:numFmt w:val="bullet"/>
      <w:lvlText w:val=""/>
      <w:lvlJc w:val="left"/>
      <w:pPr>
        <w:tabs>
          <w:tab w:val="num" w:pos="930"/>
        </w:tabs>
        <w:ind w:left="930" w:hanging="57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BE42423"/>
    <w:multiLevelType w:val="hybridMultilevel"/>
    <w:tmpl w:val="66AA1672"/>
    <w:lvl w:ilvl="0" w:tplc="5582EADA">
      <w:start w:val="27"/>
      <w:numFmt w:val="bullet"/>
      <w:lvlText w:val=""/>
      <w:lvlJc w:val="left"/>
      <w:pPr>
        <w:tabs>
          <w:tab w:val="num" w:pos="930"/>
        </w:tabs>
        <w:ind w:left="930" w:hanging="57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BE97F6D"/>
    <w:multiLevelType w:val="multilevel"/>
    <w:tmpl w:val="AC0CB2C2"/>
    <w:lvl w:ilvl="0">
      <w:start w:val="27"/>
      <w:numFmt w:val="bullet"/>
      <w:lvlText w:val=""/>
      <w:lvlJc w:val="left"/>
      <w:pPr>
        <w:tabs>
          <w:tab w:val="num" w:pos="930"/>
        </w:tabs>
        <w:ind w:left="930" w:hanging="57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69483A95"/>
    <w:multiLevelType w:val="hybridMultilevel"/>
    <w:tmpl w:val="147A0CD4"/>
    <w:lvl w:ilvl="0" w:tplc="6A1C0E02">
      <w:start w:val="27"/>
      <w:numFmt w:val="bullet"/>
      <w:lvlText w:val=""/>
      <w:lvlJc w:val="left"/>
      <w:pPr>
        <w:tabs>
          <w:tab w:val="num" w:pos="930"/>
        </w:tabs>
        <w:ind w:left="930" w:hanging="57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3"/>
  </w:num>
  <w:num w:numId="4">
    <w:abstractNumId w:val="2"/>
  </w:num>
  <w:num w:numId="5">
    <w:abstractNumId w:val="5"/>
  </w:num>
  <w:num w:numId="6">
    <w:abstractNumId w:val="1"/>
  </w:num>
  <w:num w:numId="7">
    <w:abstractNumId w:val="6"/>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table" w:styleId="TableGrid">
    <w:name w:val="Table Grid"/>
    <w:basedOn w:val="TableNormal"/>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31857</Words>
  <Characters>181588</Characters>
  <Application>Microsoft Office Word</Application>
  <DocSecurity>4</DocSecurity>
  <Lines>1513</Lines>
  <Paragraphs>426</Paragraphs>
  <ScaleCrop>false</ScaleCrop>
  <HeadingPairs>
    <vt:vector size="2" baseType="variant">
      <vt:variant>
        <vt:lpstr>Название</vt:lpstr>
      </vt:variant>
      <vt:variant>
        <vt:i4>1</vt:i4>
      </vt:variant>
    </vt:vector>
  </HeadingPairs>
  <TitlesOfParts>
    <vt:vector size="1" baseType="lpstr">
      <vt:lpstr>0844326</vt:lpstr>
    </vt:vector>
  </TitlesOfParts>
  <Company> </Company>
  <LinksUpToDate>false</LinksUpToDate>
  <CharactersWithSpaces>213019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0844326</dc:title>
  <dc:subject>БЛИНОВ</dc:subject>
  <dc:creator>Людмила ЦЕПЕЛЕВА</dc:creator>
  <cp:keywords/>
  <dc:description/>
  <cp:lastModifiedBy>Людмила ЦЕПЕЛЕВА</cp:lastModifiedBy>
  <cp:revision>3</cp:revision>
  <cp:lastPrinted>2009-04-20T14:16:00Z</cp:lastPrinted>
  <dcterms:created xsi:type="dcterms:W3CDTF">2009-04-20T14:16:00Z</dcterms:created>
  <dcterms:modified xsi:type="dcterms:W3CDTF">2009-04-20T14:16:00Z</dcterms:modified>
</cp:coreProperties>
</file>