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602FC0" w14:paraId="4D089B55" w14:textId="77777777" w:rsidTr="005B51C4">
        <w:trPr>
          <w:trHeight w:hRule="exact" w:val="851"/>
        </w:trPr>
        <w:tc>
          <w:tcPr>
            <w:tcW w:w="1274" w:type="dxa"/>
            <w:tcBorders>
              <w:bottom w:val="single" w:sz="4" w:space="0" w:color="auto"/>
            </w:tcBorders>
          </w:tcPr>
          <w:p w14:paraId="5AB41384" w14:textId="77777777" w:rsidR="006B3E27" w:rsidRPr="00602FC0" w:rsidRDefault="006B3E27" w:rsidP="008F6B38">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vAlign w:val="bottom"/>
          </w:tcPr>
          <w:p w14:paraId="495D9EAC" w14:textId="77777777" w:rsidR="006B3E27" w:rsidRPr="00602FC0" w:rsidRDefault="006B3E27" w:rsidP="00730446">
            <w:pPr>
              <w:spacing w:after="80" w:line="480" w:lineRule="exact"/>
              <w:ind w:left="57"/>
              <w:rPr>
                <w:sz w:val="30"/>
                <w:szCs w:val="30"/>
                <w:rtl/>
              </w:rPr>
            </w:pPr>
            <w:r w:rsidRPr="00602FC0">
              <w:rPr>
                <w:rFonts w:hint="cs"/>
                <w:sz w:val="30"/>
                <w:szCs w:val="30"/>
                <w:rtl/>
              </w:rPr>
              <w:t>الأمم المتحدة</w:t>
            </w:r>
          </w:p>
        </w:tc>
        <w:tc>
          <w:tcPr>
            <w:tcW w:w="3828" w:type="dxa"/>
            <w:tcBorders>
              <w:bottom w:val="single" w:sz="4" w:space="0" w:color="auto"/>
            </w:tcBorders>
            <w:vAlign w:val="bottom"/>
          </w:tcPr>
          <w:p w14:paraId="279CFFA8" w14:textId="7990A3C7" w:rsidR="006B3E27" w:rsidRPr="00602FC0" w:rsidRDefault="00AF53D3" w:rsidP="00AF53D3">
            <w:pPr>
              <w:bidi w:val="0"/>
              <w:rPr>
                <w:szCs w:val="20"/>
              </w:rPr>
            </w:pPr>
            <w:r w:rsidRPr="00602FC0">
              <w:rPr>
                <w:sz w:val="40"/>
                <w:szCs w:val="20"/>
              </w:rPr>
              <w:t>CCPR</w:t>
            </w:r>
            <w:r w:rsidRPr="00602FC0">
              <w:rPr>
                <w:szCs w:val="20"/>
              </w:rPr>
              <w:t>/C/145/2</w:t>
            </w:r>
          </w:p>
        </w:tc>
      </w:tr>
      <w:tr w:rsidR="006B3E27" w:rsidRPr="00602FC0" w14:paraId="0E3C812D" w14:textId="77777777" w:rsidTr="005B51C4">
        <w:trPr>
          <w:trHeight w:hRule="exact" w:val="2835"/>
        </w:trPr>
        <w:tc>
          <w:tcPr>
            <w:tcW w:w="1274" w:type="dxa"/>
            <w:tcBorders>
              <w:top w:val="single" w:sz="4" w:space="0" w:color="auto"/>
              <w:bottom w:val="single" w:sz="12" w:space="0" w:color="auto"/>
            </w:tcBorders>
          </w:tcPr>
          <w:p w14:paraId="5E3BFAC5" w14:textId="77777777" w:rsidR="006B3E27" w:rsidRPr="00602FC0" w:rsidRDefault="00E2228E" w:rsidP="009A0CFB">
            <w:pPr>
              <w:spacing w:before="120"/>
              <w:jc w:val="center"/>
              <w:rPr>
                <w:sz w:val="56"/>
                <w:szCs w:val="56"/>
                <w:rtl/>
              </w:rPr>
            </w:pPr>
            <w:r w:rsidRPr="00602FC0">
              <w:rPr>
                <w:noProof/>
                <w:sz w:val="56"/>
                <w:szCs w:val="56"/>
              </w:rPr>
              <w:drawing>
                <wp:inline distT="0" distB="0" distL="0" distR="0" wp14:anchorId="6AD2310E" wp14:editId="1CB0E29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3E10512D" w14:textId="77777777" w:rsidR="006B3E27" w:rsidRPr="00602FC0" w:rsidRDefault="00ED7442" w:rsidP="00730446">
            <w:pPr>
              <w:spacing w:before="120" w:after="40" w:line="640" w:lineRule="exact"/>
              <w:ind w:left="57"/>
              <w:rPr>
                <w:b/>
                <w:bCs/>
                <w:sz w:val="46"/>
                <w:szCs w:val="46"/>
              </w:rPr>
            </w:pPr>
            <w:r w:rsidRPr="00602FC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453CDBFE" w14:textId="77777777" w:rsidR="00B77D92" w:rsidRPr="00602FC0" w:rsidRDefault="00B77D92" w:rsidP="00B77D92">
            <w:pPr>
              <w:bidi w:val="0"/>
              <w:spacing w:before="240"/>
            </w:pPr>
            <w:r w:rsidRPr="00602FC0">
              <w:t>Distr.: General</w:t>
            </w:r>
          </w:p>
          <w:p w14:paraId="4AD06F85" w14:textId="77777777" w:rsidR="00B77D92" w:rsidRPr="00602FC0" w:rsidRDefault="00B77D92" w:rsidP="00B77D92">
            <w:pPr>
              <w:bidi w:val="0"/>
            </w:pPr>
            <w:r w:rsidRPr="00602FC0">
              <w:t>11 May 2026</w:t>
            </w:r>
          </w:p>
          <w:p w14:paraId="39532FC3" w14:textId="478ACBC5" w:rsidR="00B77D92" w:rsidRPr="00602FC0" w:rsidRDefault="00B77D92" w:rsidP="00B77D92">
            <w:pPr>
              <w:bidi w:val="0"/>
            </w:pPr>
            <w:r w:rsidRPr="00602FC0">
              <w:t>Arabic</w:t>
            </w:r>
          </w:p>
          <w:p w14:paraId="1306FD9F" w14:textId="475C1BA3" w:rsidR="006B3E27" w:rsidRPr="00602FC0" w:rsidRDefault="00B77D92" w:rsidP="00B77D92">
            <w:pPr>
              <w:bidi w:val="0"/>
              <w:rPr>
                <w:szCs w:val="20"/>
              </w:rPr>
            </w:pPr>
            <w:r w:rsidRPr="00602FC0">
              <w:t>Original: English</w:t>
            </w:r>
          </w:p>
        </w:tc>
      </w:tr>
    </w:tbl>
    <w:p w14:paraId="4FF340CC" w14:textId="77777777" w:rsidR="00EB6B60" w:rsidRPr="00602FC0" w:rsidRDefault="00EB6B60" w:rsidP="00EB6B60">
      <w:pPr>
        <w:pStyle w:val="SingleTxtGA"/>
        <w:spacing w:before="120" w:after="0"/>
        <w:ind w:left="0" w:right="283"/>
        <w:jc w:val="left"/>
        <w:rPr>
          <w:b/>
          <w:bCs/>
          <w:sz w:val="26"/>
          <w:szCs w:val="26"/>
          <w:lang w:eastAsia="zh-TW"/>
        </w:rPr>
      </w:pPr>
      <w:r w:rsidRPr="00602FC0">
        <w:rPr>
          <w:b/>
          <w:bCs/>
          <w:sz w:val="26"/>
          <w:szCs w:val="26"/>
          <w:rtl/>
        </w:rPr>
        <w:t>اللجنة المعنية بحقوق الإنسان</w:t>
      </w:r>
    </w:p>
    <w:p w14:paraId="4209A43B" w14:textId="02A12F82" w:rsidR="00EB6B60" w:rsidRPr="00602FC0" w:rsidRDefault="00EB6B60" w:rsidP="00602FC0">
      <w:pPr>
        <w:pStyle w:val="HChGA"/>
        <w:spacing w:before="480" w:after="600"/>
        <w:rPr>
          <w:b w:val="0"/>
          <w:bCs w:val="0"/>
          <w:sz w:val="34"/>
          <w:szCs w:val="24"/>
          <w:shd w:val="clear" w:color="000000" w:fill="FFFFFF"/>
          <w:lang w:val="en-US" w:eastAsia="zh-TW"/>
        </w:rPr>
      </w:pPr>
      <w:r w:rsidRPr="00602FC0">
        <w:rPr>
          <w:rtl/>
          <w:lang w:val="en-US"/>
        </w:rPr>
        <w:tab/>
      </w:r>
      <w:r w:rsidRPr="00602FC0">
        <w:rPr>
          <w:rtl/>
          <w:lang w:val="en-US"/>
        </w:rPr>
        <w:tab/>
        <w:t>تقرير عن متابعة الملاحظات الختامية للجنة المعنية بحقوق الإنسان</w:t>
      </w:r>
      <w:bookmarkStart w:id="0" w:name="_Toc506807534"/>
      <w:bookmarkEnd w:id="0"/>
      <w:r w:rsidRPr="00602FC0">
        <w:rPr>
          <w:rStyle w:val="FootnoteReference"/>
          <w:b w:val="0"/>
          <w:bCs w:val="0"/>
          <w:sz w:val="22"/>
          <w:szCs w:val="24"/>
          <w:shd w:val="clear" w:color="000000" w:fill="FFFFFF"/>
          <w:vertAlign w:val="baseline"/>
          <w:rtl/>
          <w:lang w:val="en-US" w:eastAsia="zh-TW"/>
        </w:rPr>
        <w:footnoteReference w:customMarkFollows="1" w:id="1"/>
        <w:t>*</w:t>
      </w:r>
    </w:p>
    <w:p w14:paraId="06EE4846" w14:textId="1CF3567B" w:rsidR="00EB6B60" w:rsidRPr="00602FC0" w:rsidRDefault="00EB6B60" w:rsidP="00602FC0">
      <w:pPr>
        <w:pStyle w:val="SingleTxtGA"/>
        <w:spacing w:line="380" w:lineRule="exact"/>
        <w:rPr>
          <w:rFonts w:eastAsiaTheme="minorEastAsia"/>
          <w:shd w:val="clear" w:color="000000" w:fill="FFFFFF"/>
          <w:lang w:eastAsia="zh-TW"/>
        </w:rPr>
      </w:pPr>
      <w:r w:rsidRPr="00602FC0">
        <w:rPr>
          <w:rFonts w:eastAsiaTheme="minorEastAsia"/>
          <w:rtl/>
        </w:rPr>
        <w:t>1-</w:t>
      </w:r>
      <w:r w:rsidRPr="00602FC0">
        <w:rPr>
          <w:rFonts w:eastAsiaTheme="minorEastAsia"/>
          <w:rtl/>
        </w:rPr>
        <w:tab/>
        <w:t>يجوز للجنة، وفقاً للمادة 40(4) من العهد، أن تُعد تقارير متابعة استناداً إلى مختلف مواد العهد وأحكامه بغية مساعدة الدول الأطراف على الوفاء بالتزاماتها المتعلقة بتقديم التقارير. وقد أُعدّ هذا التقرير، الذي يتألف من هذه الوثيقة وثلاث إضافات، عملاً بتلك المادة</w:t>
      </w:r>
      <w:r w:rsidRPr="00602FC0">
        <w:rPr>
          <w:rStyle w:val="FootnoteReference"/>
          <w:rFonts w:eastAsiaTheme="minorEastAsia"/>
          <w:sz w:val="22"/>
          <w:rtl/>
        </w:rPr>
        <w:t>(</w:t>
      </w:r>
      <w:r w:rsidRPr="00602FC0">
        <w:rPr>
          <w:rStyle w:val="FootnoteReference"/>
          <w:rFonts w:eastAsiaTheme="minorEastAsia"/>
          <w:sz w:val="22"/>
          <w:rtl/>
        </w:rPr>
        <w:footnoteReference w:id="2"/>
      </w:r>
      <w:r w:rsidRPr="00602FC0">
        <w:rPr>
          <w:rStyle w:val="FootnoteReference"/>
          <w:rFonts w:eastAsiaTheme="minorEastAsia"/>
          <w:sz w:val="22"/>
          <w:rtl/>
        </w:rPr>
        <w:t>)</w:t>
      </w:r>
      <w:r w:rsidRPr="00602FC0">
        <w:rPr>
          <w:rFonts w:eastAsiaTheme="minorEastAsia" w:hint="cs"/>
          <w:rtl/>
        </w:rPr>
        <w:t>.</w:t>
      </w:r>
    </w:p>
    <w:p w14:paraId="7E575AED" w14:textId="5B6F6941" w:rsidR="00EB6B60" w:rsidRPr="00602FC0" w:rsidRDefault="00EB6B60" w:rsidP="00602FC0">
      <w:pPr>
        <w:pStyle w:val="SingleTxtGA"/>
        <w:spacing w:line="380" w:lineRule="exact"/>
        <w:rPr>
          <w:rFonts w:eastAsiaTheme="minorEastAsia"/>
          <w:shd w:val="clear" w:color="000000" w:fill="FFFFFF"/>
          <w:lang w:eastAsia="zh-TW"/>
        </w:rPr>
      </w:pPr>
      <w:r w:rsidRPr="00602FC0">
        <w:rPr>
          <w:rFonts w:eastAsiaTheme="minorEastAsia"/>
          <w:rtl/>
        </w:rPr>
        <w:t>2-</w:t>
      </w:r>
      <w:r w:rsidRPr="00602FC0">
        <w:rPr>
          <w:rFonts w:eastAsiaTheme="minorEastAsia"/>
          <w:rtl/>
        </w:rPr>
        <w:tab/>
        <w:t>وتتضمن الإضافات الثلاث موجزات للمعلومات التي تلقاها المقرر الخاص المعني بمتابعة الملاحظات الختامية، وتقييمات اللجنة ومقرراتها المعتمدة خلال دورتها 145. وترد حالة متابعة الملاحظات الختامية التي اعتمدتها اللجنة منذ دورتها 105، المعقودة في تموز/يوليه 2012، في جدول متاح على الصفحة الشبكية للجنة</w:t>
      </w:r>
      <w:r w:rsidRPr="00602FC0">
        <w:rPr>
          <w:rStyle w:val="FootnoteReference"/>
          <w:rFonts w:eastAsiaTheme="minorEastAsia"/>
          <w:sz w:val="22"/>
          <w:rtl/>
        </w:rPr>
        <w:t>(</w:t>
      </w:r>
      <w:r w:rsidRPr="00602FC0">
        <w:rPr>
          <w:rStyle w:val="FootnoteReference"/>
          <w:rFonts w:eastAsiaTheme="minorEastAsia"/>
          <w:sz w:val="22"/>
          <w:rtl/>
        </w:rPr>
        <w:footnoteReference w:id="3"/>
      </w:r>
      <w:r w:rsidRPr="00602FC0">
        <w:rPr>
          <w:rStyle w:val="FootnoteReference"/>
          <w:rFonts w:eastAsiaTheme="minorEastAsia"/>
          <w:sz w:val="22"/>
          <w:rtl/>
        </w:rPr>
        <w:t>)</w:t>
      </w:r>
      <w:r w:rsidRPr="00602FC0">
        <w:rPr>
          <w:rFonts w:eastAsiaTheme="minorEastAsia" w:hint="cs"/>
          <w:rtl/>
        </w:rPr>
        <w:t>.</w:t>
      </w:r>
      <w:r w:rsidRPr="00602FC0">
        <w:rPr>
          <w:rFonts w:eastAsiaTheme="minorEastAsia"/>
          <w:rtl/>
        </w:rPr>
        <w:t xml:space="preserve"> ويرد أدناه موجز لمعايير التقييم</w:t>
      </w:r>
      <w:r w:rsidRPr="00602FC0">
        <w:rPr>
          <w:rStyle w:val="FootnoteReference"/>
          <w:rFonts w:eastAsiaTheme="minorEastAsia"/>
          <w:sz w:val="22"/>
          <w:rtl/>
        </w:rPr>
        <w:t>(</w:t>
      </w:r>
      <w:r w:rsidRPr="00602FC0">
        <w:rPr>
          <w:rStyle w:val="FootnoteReference"/>
          <w:rFonts w:eastAsiaTheme="minorEastAsia"/>
          <w:sz w:val="22"/>
          <w:rtl/>
        </w:rPr>
        <w:footnoteReference w:id="4"/>
      </w:r>
      <w:r w:rsidRPr="00602FC0">
        <w:rPr>
          <w:rStyle w:val="FootnoteReference"/>
          <w:rFonts w:eastAsiaTheme="minorEastAsia"/>
          <w:sz w:val="22"/>
          <w:rtl/>
        </w:rPr>
        <w:t>)</w:t>
      </w:r>
      <w:r w:rsidRPr="00602FC0">
        <w:rPr>
          <w:rFonts w:eastAsiaTheme="minorEastAsia" w:hint="cs"/>
          <w:rtl/>
        </w:rPr>
        <w:t>.</w:t>
      </w:r>
    </w:p>
    <w:p w14:paraId="78482A75" w14:textId="77777777" w:rsidR="00EB6B60" w:rsidRPr="00602FC0" w:rsidRDefault="00EB6B60" w:rsidP="00602FC0">
      <w:pPr>
        <w:pStyle w:val="SingleTxtGA"/>
        <w:spacing w:line="380" w:lineRule="exact"/>
        <w:ind w:left="1928" w:hanging="681"/>
        <w:rPr>
          <w:rFonts w:eastAsiaTheme="minorEastAsia"/>
          <w:shd w:val="clear" w:color="000000" w:fill="FFFFFF"/>
          <w:lang w:eastAsia="zh-TW"/>
        </w:rPr>
      </w:pPr>
      <w:r w:rsidRPr="00602FC0">
        <w:rPr>
          <w:rFonts w:eastAsiaTheme="minorEastAsia"/>
          <w:b/>
          <w:bCs/>
          <w:rtl/>
        </w:rPr>
        <w:t>ألف</w:t>
      </w:r>
      <w:r w:rsidRPr="00602FC0">
        <w:rPr>
          <w:rFonts w:eastAsiaTheme="minorEastAsia"/>
          <w:rtl/>
        </w:rPr>
        <w:tab/>
      </w:r>
      <w:r w:rsidRPr="00602FC0">
        <w:rPr>
          <w:rFonts w:eastAsiaTheme="minorEastAsia"/>
          <w:b/>
          <w:bCs/>
          <w:rtl/>
        </w:rPr>
        <w:t>ردٌّ/إجراءٌ مُرضٍ إلى حد بعيد</w:t>
      </w:r>
      <w:r w:rsidRPr="00602FC0">
        <w:rPr>
          <w:rFonts w:eastAsiaTheme="minorEastAsia"/>
          <w:rtl/>
        </w:rPr>
        <w:t>: قدمت الدولة الطرف أدلة على اتخاذ إجراءات مهمة لتنفيذ توصية اللجنة.</w:t>
      </w:r>
    </w:p>
    <w:p w14:paraId="0391CE28" w14:textId="77777777" w:rsidR="00EB6B60" w:rsidRPr="00602FC0" w:rsidRDefault="00EB6B60" w:rsidP="00602FC0">
      <w:pPr>
        <w:pStyle w:val="SingleTxtGA"/>
        <w:spacing w:line="380" w:lineRule="exact"/>
        <w:ind w:left="1928" w:hanging="681"/>
        <w:rPr>
          <w:rFonts w:eastAsiaTheme="minorEastAsia"/>
          <w:shd w:val="clear" w:color="000000" w:fill="FFFFFF"/>
          <w:lang w:eastAsia="zh-TW"/>
        </w:rPr>
      </w:pPr>
      <w:r w:rsidRPr="00602FC0">
        <w:rPr>
          <w:rFonts w:eastAsiaTheme="minorEastAsia"/>
          <w:b/>
          <w:bCs/>
          <w:rtl/>
        </w:rPr>
        <w:t>باء</w:t>
      </w:r>
      <w:r w:rsidRPr="00602FC0">
        <w:rPr>
          <w:rFonts w:eastAsiaTheme="minorEastAsia"/>
          <w:b/>
          <w:bCs/>
          <w:rtl/>
        </w:rPr>
        <w:tab/>
        <w:t>ردٌّ/إجراءٌ مُرضٍ جزئيّاً</w:t>
      </w:r>
      <w:r w:rsidRPr="00602FC0">
        <w:rPr>
          <w:rFonts w:eastAsiaTheme="minorEastAsia"/>
          <w:rtl/>
        </w:rPr>
        <w:t>: اتخذت الدولة الطرف خطوات لتنفيذ التوصية، ولكن لا يزال يتعيّن عليها تقديم معلومات إضافية أو اتخاذ إجراءات أخرى.</w:t>
      </w:r>
    </w:p>
    <w:p w14:paraId="0B9E8D8E" w14:textId="77777777" w:rsidR="00EB6B60" w:rsidRPr="00602FC0" w:rsidRDefault="00EB6B60" w:rsidP="00602FC0">
      <w:pPr>
        <w:pStyle w:val="SingleTxtGA"/>
        <w:spacing w:line="380" w:lineRule="exact"/>
        <w:ind w:left="1928" w:hanging="681"/>
        <w:rPr>
          <w:rFonts w:eastAsiaTheme="minorEastAsia"/>
          <w:shd w:val="clear" w:color="000000" w:fill="FFFFFF"/>
          <w:lang w:eastAsia="zh-TW"/>
        </w:rPr>
      </w:pPr>
      <w:r w:rsidRPr="00602FC0">
        <w:rPr>
          <w:rFonts w:eastAsiaTheme="minorEastAsia"/>
          <w:b/>
          <w:bCs/>
          <w:rtl/>
        </w:rPr>
        <w:t>جيم</w:t>
      </w:r>
      <w:r w:rsidRPr="00602FC0">
        <w:rPr>
          <w:rFonts w:eastAsiaTheme="minorEastAsia"/>
          <w:rtl/>
        </w:rPr>
        <w:tab/>
      </w:r>
      <w:r w:rsidRPr="00602FC0">
        <w:rPr>
          <w:rFonts w:eastAsiaTheme="minorEastAsia"/>
          <w:b/>
          <w:bCs/>
          <w:rtl/>
        </w:rPr>
        <w:t>ردٌ/إجراءٌ غير مُرضٍ</w:t>
      </w:r>
      <w:r w:rsidRPr="00602FC0">
        <w:rPr>
          <w:rFonts w:eastAsiaTheme="minorEastAsia"/>
          <w:rtl/>
        </w:rPr>
        <w:t>: ورد ردٌ، لكن الإجراءات التي اتخذتها الدولة الطرف أو المعلومات التي قدمتها غير ملائمة أو لا تسمح بتنفيذ التوصيات.</w:t>
      </w:r>
    </w:p>
    <w:p w14:paraId="5CA93CD4" w14:textId="77777777" w:rsidR="00EB6B60" w:rsidRPr="00602FC0" w:rsidRDefault="00EB6B60" w:rsidP="00602FC0">
      <w:pPr>
        <w:pStyle w:val="SingleTxtGA"/>
        <w:spacing w:line="380" w:lineRule="exact"/>
        <w:ind w:left="1928" w:hanging="681"/>
        <w:rPr>
          <w:rFonts w:eastAsiaTheme="minorEastAsia"/>
          <w:shd w:val="clear" w:color="000000" w:fill="FFFFFF"/>
          <w:lang w:eastAsia="zh-TW"/>
        </w:rPr>
      </w:pPr>
      <w:r w:rsidRPr="00602FC0">
        <w:rPr>
          <w:rFonts w:eastAsiaTheme="minorEastAsia"/>
          <w:b/>
          <w:bCs/>
          <w:rtl/>
        </w:rPr>
        <w:t>دال</w:t>
      </w:r>
      <w:r w:rsidRPr="00602FC0">
        <w:rPr>
          <w:rFonts w:eastAsiaTheme="minorEastAsia"/>
          <w:b/>
          <w:bCs/>
          <w:rtl/>
        </w:rPr>
        <w:tab/>
        <w:t>عدم التعاون مع اللجنة</w:t>
      </w:r>
      <w:r w:rsidRPr="00602FC0">
        <w:rPr>
          <w:rFonts w:eastAsiaTheme="minorEastAsia"/>
          <w:rtl/>
        </w:rPr>
        <w:t>: لم يرد أي تقرير متابعة بعد توجيه الرسالة (الرسائل) التذكيرية.</w:t>
      </w:r>
    </w:p>
    <w:p w14:paraId="638F6C5A" w14:textId="77777777" w:rsidR="00EB6B60" w:rsidRPr="00602FC0" w:rsidRDefault="00EB6B60" w:rsidP="00602FC0">
      <w:pPr>
        <w:pStyle w:val="SingleTxtGA"/>
        <w:spacing w:line="380" w:lineRule="exact"/>
        <w:ind w:left="1928" w:hanging="681"/>
        <w:rPr>
          <w:rFonts w:eastAsiaTheme="minorEastAsia"/>
          <w:b/>
          <w:bCs/>
          <w:shd w:val="clear" w:color="000000" w:fill="FFFFFF"/>
          <w:lang w:eastAsia="zh-TW"/>
        </w:rPr>
      </w:pPr>
      <w:r w:rsidRPr="00602FC0">
        <w:rPr>
          <w:rFonts w:eastAsiaTheme="minorEastAsia"/>
          <w:b/>
          <w:bCs/>
          <w:rtl/>
        </w:rPr>
        <w:t>هاء</w:t>
      </w:r>
      <w:r w:rsidRPr="00602FC0">
        <w:rPr>
          <w:rFonts w:eastAsiaTheme="minorEastAsia"/>
          <w:bCs/>
          <w:rtl/>
        </w:rPr>
        <w:tab/>
      </w:r>
      <w:r w:rsidRPr="00602FC0">
        <w:rPr>
          <w:rFonts w:eastAsiaTheme="minorEastAsia"/>
          <w:b/>
          <w:bCs/>
          <w:rtl/>
        </w:rPr>
        <w:t>المعلومات المقدمة أو التدابير المتخذة تتنافى مع التوصية أو تنم عن رفضها.</w:t>
      </w:r>
    </w:p>
    <w:p w14:paraId="288A4377" w14:textId="5B4AEED7" w:rsidR="00EB6B60" w:rsidRPr="00602FC0" w:rsidRDefault="00EB6B60" w:rsidP="00EB6B60">
      <w:pPr>
        <w:pStyle w:val="SingleTxtGA"/>
        <w:jc w:val="center"/>
        <w:rPr>
          <w:u w:val="single"/>
          <w:rtl/>
        </w:rPr>
      </w:pPr>
      <w:r w:rsidRPr="00602FC0">
        <w:rPr>
          <w:u w:val="single"/>
          <w:rtl/>
        </w:rPr>
        <w:tab/>
      </w:r>
      <w:r w:rsidRPr="00602FC0">
        <w:rPr>
          <w:u w:val="single"/>
          <w:rtl/>
        </w:rPr>
        <w:tab/>
      </w:r>
      <w:r w:rsidRPr="00602FC0">
        <w:rPr>
          <w:u w:val="single"/>
          <w:rtl/>
        </w:rPr>
        <w:tab/>
      </w:r>
    </w:p>
    <w:sectPr w:rsidR="00EB6B60" w:rsidRPr="00602FC0" w:rsidSect="00AF53D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63B7" w14:textId="77777777" w:rsidR="00CA7ECB" w:rsidRPr="002901D9" w:rsidRDefault="00CA7ECB" w:rsidP="00DC4D4B">
      <w:pPr>
        <w:spacing w:after="60" w:line="240" w:lineRule="auto"/>
        <w:ind w:left="57"/>
        <w:rPr>
          <w:i/>
          <w:iCs/>
        </w:rPr>
      </w:pPr>
      <w:r>
        <w:rPr>
          <w:rFonts w:hint="cs"/>
          <w:i/>
          <w:iCs/>
          <w:rtl/>
        </w:rPr>
        <w:t>الحواشي</w:t>
      </w:r>
    </w:p>
  </w:endnote>
  <w:endnote w:type="continuationSeparator" w:id="0">
    <w:p w14:paraId="2DAB66B8" w14:textId="77777777" w:rsidR="00CA7ECB" w:rsidRDefault="00CA7E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6926" w14:textId="14E7A798" w:rsidR="008F6B38" w:rsidRPr="008F6B38" w:rsidRDefault="008F6B38" w:rsidP="008F6B38">
    <w:pPr>
      <w:pStyle w:val="Footer"/>
      <w:tabs>
        <w:tab w:val="right" w:pos="9638"/>
      </w:tabs>
      <w:rPr>
        <w:b/>
        <w:sz w:val="18"/>
        <w:lang w:val="en-US"/>
      </w:rPr>
    </w:pPr>
    <w:r>
      <w:rPr>
        <w:lang w:val="en-US"/>
      </w:rPr>
      <w:t>GE.26-06306</w:t>
    </w:r>
    <w:r>
      <w:rPr>
        <w:lang w:val="en-US"/>
      </w:rPr>
      <w:tab/>
    </w:r>
    <w:r w:rsidRPr="008F6B38">
      <w:rPr>
        <w:b/>
        <w:sz w:val="18"/>
        <w:lang w:val="en-US"/>
      </w:rPr>
      <w:fldChar w:fldCharType="begin"/>
    </w:r>
    <w:r w:rsidRPr="008F6B38">
      <w:rPr>
        <w:b/>
        <w:sz w:val="18"/>
        <w:lang w:val="en-US"/>
      </w:rPr>
      <w:instrText xml:space="preserve"> PAGE  \* MERGEFORMAT </w:instrText>
    </w:r>
    <w:r w:rsidRPr="008F6B38">
      <w:rPr>
        <w:b/>
        <w:sz w:val="18"/>
        <w:lang w:val="en-US"/>
      </w:rPr>
      <w:fldChar w:fldCharType="separate"/>
    </w:r>
    <w:r w:rsidRPr="008F6B38">
      <w:rPr>
        <w:b/>
        <w:noProof/>
        <w:sz w:val="18"/>
        <w:lang w:val="en-US"/>
      </w:rPr>
      <w:t>2</w:t>
    </w:r>
    <w:r w:rsidRPr="008F6B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8CD6" w14:textId="6A803186" w:rsidR="006959B0" w:rsidRPr="008F6B38" w:rsidRDefault="008F6B38" w:rsidP="008F6B3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GE.26-06306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20E79" w14:textId="7A2C1D3C" w:rsidR="00DE50B1" w:rsidRPr="008F6B38" w:rsidRDefault="008F6B38" w:rsidP="008F6B3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F004AB3" wp14:editId="473181C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26-06306 </w:t>
    </w:r>
    <w:r w:rsidR="007F668B">
      <w:rPr>
        <w:sz w:val="20"/>
        <w:lang w:val="en-US"/>
      </w:rPr>
      <w:t>(A)    240626    240626</w:t>
    </w:r>
    <w:r>
      <w:rPr>
        <w:noProof/>
        <w:sz w:val="20"/>
        <w:lang w:val="en-US"/>
      </w:rPr>
      <w:drawing>
        <wp:anchor distT="0" distB="0" distL="114300" distR="114300" simplePos="0" relativeHeight="251659264" behindDoc="0" locked="0" layoutInCell="1" allowOverlap="1" wp14:anchorId="23B22594" wp14:editId="3CB80D8D">
          <wp:simplePos x="0" y="0"/>
          <wp:positionH relativeFrom="margin">
            <wp:posOffset>0</wp:posOffset>
          </wp:positionH>
          <wp:positionV relativeFrom="margin">
            <wp:posOffset>8891905</wp:posOffset>
          </wp:positionV>
          <wp:extent cx="628650" cy="628650"/>
          <wp:effectExtent l="0" t="0" r="0" b="0"/>
          <wp:wrapNone/>
          <wp:docPr id="208725704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25704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F7A14" w14:textId="77777777" w:rsidR="00CA7ECB" w:rsidRPr="008A49D2" w:rsidRDefault="00CA7EC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9777E6F" w14:textId="77777777" w:rsidR="00CA7ECB" w:rsidRDefault="00CA7ECB" w:rsidP="00656392">
      <w:pPr>
        <w:spacing w:line="240" w:lineRule="auto"/>
      </w:pPr>
      <w:r>
        <w:continuationSeparator/>
      </w:r>
    </w:p>
  </w:footnote>
  <w:footnote w:id="1">
    <w:p w14:paraId="7F4E901E" w14:textId="28F780B9" w:rsidR="00EB6B60" w:rsidRPr="00602FC0" w:rsidRDefault="00EB6B60" w:rsidP="00602FC0">
      <w:pPr>
        <w:pStyle w:val="FootnoteText1"/>
        <w:spacing w:line="300" w:lineRule="exact"/>
      </w:pPr>
      <w:r w:rsidRPr="00602FC0">
        <w:rPr>
          <w:rtl/>
        </w:rPr>
        <w:t>*</w:t>
      </w:r>
      <w:r w:rsidRPr="00602FC0">
        <w:rPr>
          <w:rtl/>
        </w:rPr>
        <w:tab/>
        <w:t xml:space="preserve">اعتمدته اللجنة في دورتها </w:t>
      </w:r>
      <w:r w:rsidRPr="00602FC0">
        <w:rPr>
          <w:rFonts w:ascii="Simplified Arabic"/>
          <w:rtl/>
        </w:rPr>
        <w:t>145 (2-19</w:t>
      </w:r>
      <w:r w:rsidRPr="00602FC0">
        <w:rPr>
          <w:rtl/>
        </w:rPr>
        <w:t xml:space="preserve"> آذار/مارس </w:t>
      </w:r>
      <w:r w:rsidRPr="00602FC0">
        <w:rPr>
          <w:rFonts w:ascii="Simplified Arabic"/>
          <w:rtl/>
        </w:rPr>
        <w:t>2026)</w:t>
      </w:r>
      <w:r w:rsidRPr="00602FC0">
        <w:rPr>
          <w:rtl/>
        </w:rPr>
        <w:t>.</w:t>
      </w:r>
    </w:p>
  </w:footnote>
  <w:footnote w:id="2">
    <w:p w14:paraId="45E52FB6" w14:textId="7326B0B9" w:rsidR="00EB6B60" w:rsidRPr="00602FC0" w:rsidRDefault="00EB6B60" w:rsidP="00602FC0">
      <w:pPr>
        <w:pStyle w:val="FootnoteText1"/>
        <w:spacing w:line="300" w:lineRule="exact"/>
        <w:textDirection w:val="tbRlV"/>
        <w:rPr>
          <w:lang w:eastAsia="zh-TW"/>
        </w:rPr>
      </w:pPr>
      <w:r w:rsidRPr="00602FC0">
        <w:rPr>
          <w:rStyle w:val="FootnoteReference"/>
          <w:vertAlign w:val="baseline"/>
          <w:rtl/>
        </w:rPr>
        <w:t>(</w:t>
      </w:r>
      <w:r w:rsidRPr="00602FC0">
        <w:rPr>
          <w:rStyle w:val="FootnoteReference"/>
          <w:vertAlign w:val="baseline"/>
        </w:rPr>
        <w:footnoteRef/>
      </w:r>
      <w:r w:rsidRPr="00602FC0">
        <w:rPr>
          <w:rStyle w:val="FootnoteReference"/>
          <w:vertAlign w:val="baseline"/>
          <w:rtl/>
        </w:rPr>
        <w:t>)</w:t>
      </w:r>
      <w:r w:rsidRPr="00602FC0">
        <w:rPr>
          <w:rtl/>
        </w:rPr>
        <w:tab/>
      </w:r>
      <w:hyperlink r:id="rId1" w:history="1">
        <w:r w:rsidRPr="00602FC0">
          <w:rPr>
            <w:rStyle w:val="Hyperlink"/>
            <w:rFonts w:cs="Times New Roman"/>
          </w:rPr>
          <w:t>CCPR/C/145/2/Add.1</w:t>
        </w:r>
      </w:hyperlink>
      <w:r w:rsidRPr="00602FC0">
        <w:rPr>
          <w:rtl/>
        </w:rPr>
        <w:t>، و</w:t>
      </w:r>
      <w:hyperlink r:id="rId2" w:history="1">
        <w:r w:rsidRPr="00602FC0">
          <w:rPr>
            <w:rStyle w:val="Hyperlink"/>
            <w:rFonts w:cs="Times New Roman"/>
          </w:rPr>
          <w:t>CCPR/C/145/2/Add.2</w:t>
        </w:r>
      </w:hyperlink>
      <w:r w:rsidRPr="00602FC0">
        <w:rPr>
          <w:rtl/>
        </w:rPr>
        <w:t>، و</w:t>
      </w:r>
      <w:hyperlink r:id="rId3" w:history="1">
        <w:r w:rsidRPr="00602FC0">
          <w:rPr>
            <w:rStyle w:val="Hyperlink"/>
            <w:rFonts w:cs="Times New Roman"/>
          </w:rPr>
          <w:t>CCPR/C/145/2/Add.3</w:t>
        </w:r>
      </w:hyperlink>
      <w:r w:rsidRPr="00602FC0">
        <w:rPr>
          <w:rtl/>
        </w:rPr>
        <w:t>.</w:t>
      </w:r>
      <w:r w:rsidRPr="00602FC0">
        <w:t xml:space="preserve"> </w:t>
      </w:r>
    </w:p>
  </w:footnote>
  <w:footnote w:id="3">
    <w:p w14:paraId="605AF072" w14:textId="4F8BEA57" w:rsidR="00EB6B60" w:rsidRPr="00602FC0" w:rsidRDefault="00EB6B60" w:rsidP="00602FC0">
      <w:pPr>
        <w:pStyle w:val="FootnoteText1"/>
        <w:spacing w:line="300" w:lineRule="exact"/>
        <w:jc w:val="left"/>
        <w:textDirection w:val="tbRlV"/>
        <w:rPr>
          <w:rFonts w:cs="Times New Roman"/>
          <w:rtl/>
        </w:rPr>
      </w:pPr>
      <w:r w:rsidRPr="00602FC0">
        <w:rPr>
          <w:rStyle w:val="FootnoteReference"/>
          <w:vertAlign w:val="baseline"/>
          <w:rtl/>
        </w:rPr>
        <w:t>(</w:t>
      </w:r>
      <w:r w:rsidRPr="00602FC0">
        <w:rPr>
          <w:rStyle w:val="FootnoteReference"/>
          <w:vertAlign w:val="baseline"/>
        </w:rPr>
        <w:footnoteRef/>
      </w:r>
      <w:r w:rsidRPr="00602FC0">
        <w:rPr>
          <w:rStyle w:val="FootnoteReference"/>
          <w:vertAlign w:val="baseline"/>
          <w:rtl/>
        </w:rPr>
        <w:t>)</w:t>
      </w:r>
      <w:r w:rsidRPr="00602FC0">
        <w:rPr>
          <w:rtl/>
        </w:rPr>
        <w:tab/>
        <w:t xml:space="preserve">انظر </w:t>
      </w:r>
      <w:hyperlink r:id="rId4" w:history="1">
        <w:r w:rsidR="00B77D92" w:rsidRPr="00602FC0">
          <w:rPr>
            <w:rStyle w:val="Hyperlink"/>
          </w:rPr>
          <w:t>tbinternet.ohchr.org/_layouts/15/treatybodyexternal/Download.aspx?symbolno=</w:t>
        </w:r>
        <w:r w:rsidR="00B77D92" w:rsidRPr="00602FC0">
          <w:rPr>
            <w:rStyle w:val="Hyperlink"/>
          </w:rPr>
          <w:br/>
          <w:t>INT%2FCCPR%2FUCS%2F145 %2F45448&amp;Lang=en</w:t>
        </w:r>
      </w:hyperlink>
      <w:r w:rsidR="00B77D92" w:rsidRPr="00602FC0">
        <w:rPr>
          <w:rFonts w:hint="cs"/>
          <w:rtl/>
        </w:rPr>
        <w:t>.</w:t>
      </w:r>
    </w:p>
  </w:footnote>
  <w:footnote w:id="4">
    <w:p w14:paraId="799EEF7A" w14:textId="596A3B65" w:rsidR="00EB6B60" w:rsidRPr="00602FC0" w:rsidRDefault="00EB6B60" w:rsidP="00602FC0">
      <w:pPr>
        <w:pStyle w:val="FootnoteText1"/>
        <w:spacing w:line="300" w:lineRule="exact"/>
        <w:textDirection w:val="tbRlV"/>
        <w:rPr>
          <w:rtl/>
          <w:lang w:eastAsia="zh-TW"/>
        </w:rPr>
      </w:pPr>
      <w:r w:rsidRPr="00602FC0">
        <w:rPr>
          <w:rStyle w:val="FootnoteReference"/>
          <w:vertAlign w:val="baseline"/>
          <w:rtl/>
        </w:rPr>
        <w:t>(</w:t>
      </w:r>
      <w:r w:rsidRPr="00602FC0">
        <w:rPr>
          <w:rStyle w:val="FootnoteReference"/>
          <w:vertAlign w:val="baseline"/>
        </w:rPr>
        <w:footnoteRef/>
      </w:r>
      <w:r w:rsidRPr="00602FC0">
        <w:rPr>
          <w:rStyle w:val="FootnoteReference"/>
          <w:vertAlign w:val="baseline"/>
          <w:rtl/>
        </w:rPr>
        <w:t>)</w:t>
      </w:r>
      <w:r w:rsidRPr="00602FC0">
        <w:rPr>
          <w:rtl/>
        </w:rPr>
        <w:tab/>
        <w:t xml:space="preserve">ترد معايير التقييم الكاملة في الفقرة </w:t>
      </w:r>
      <w:r w:rsidRPr="00602FC0">
        <w:rPr>
          <w:rFonts w:ascii="Simplified Arabic"/>
          <w:rtl/>
        </w:rPr>
        <w:t>21</w:t>
      </w:r>
      <w:r w:rsidRPr="00602FC0">
        <w:rPr>
          <w:rtl/>
        </w:rPr>
        <w:t xml:space="preserve"> من الوثيقة </w:t>
      </w:r>
      <w:hyperlink r:id="rId5" w:history="1">
        <w:r w:rsidRPr="00602FC0">
          <w:rPr>
            <w:rStyle w:val="Hyperlink"/>
            <w:rFonts w:cs="Times New Roman"/>
          </w:rPr>
          <w:t>CCPR/C/161</w:t>
        </w:r>
      </w:hyperlink>
      <w:r w:rsidRPr="00602FC0">
        <w:rPr>
          <w:rtl/>
        </w:rPr>
        <w:t>.</w:t>
      </w:r>
      <w:r w:rsidRPr="00602FC0">
        <w:rPr>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9CF3" w14:textId="0B99F449" w:rsidR="008F6B38" w:rsidRPr="008F6B38" w:rsidRDefault="008F6B38" w:rsidP="008F6B3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E22">
      <w:t>CCPR/C/145/2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C8C31" w14:textId="465BCF2C" w:rsidR="008F6B38" w:rsidRPr="008F6B38" w:rsidRDefault="008F6B38" w:rsidP="008F6B3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A5E22">
      <w:t>CCPR/C/145/2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70961" w14:textId="77777777" w:rsidR="007F668B" w:rsidRDefault="007F66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ECB"/>
    <w:rsid w:val="000076D5"/>
    <w:rsid w:val="00041421"/>
    <w:rsid w:val="00043663"/>
    <w:rsid w:val="000437B8"/>
    <w:rsid w:val="000505CF"/>
    <w:rsid w:val="000D701C"/>
    <w:rsid w:val="000E2A71"/>
    <w:rsid w:val="00145577"/>
    <w:rsid w:val="00146B35"/>
    <w:rsid w:val="00160263"/>
    <w:rsid w:val="00181F96"/>
    <w:rsid w:val="001846E9"/>
    <w:rsid w:val="001872B1"/>
    <w:rsid w:val="001A1371"/>
    <w:rsid w:val="001B043F"/>
    <w:rsid w:val="001B346A"/>
    <w:rsid w:val="001E1CAD"/>
    <w:rsid w:val="001E290D"/>
    <w:rsid w:val="002144FA"/>
    <w:rsid w:val="002236F3"/>
    <w:rsid w:val="0023469A"/>
    <w:rsid w:val="00243C8A"/>
    <w:rsid w:val="00267A0E"/>
    <w:rsid w:val="002901D9"/>
    <w:rsid w:val="002976C2"/>
    <w:rsid w:val="002D6757"/>
    <w:rsid w:val="003068BC"/>
    <w:rsid w:val="003260FF"/>
    <w:rsid w:val="00343D95"/>
    <w:rsid w:val="00347992"/>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04F2B"/>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0628"/>
    <w:rsid w:val="00602FC0"/>
    <w:rsid w:val="0060473A"/>
    <w:rsid w:val="00617024"/>
    <w:rsid w:val="00621120"/>
    <w:rsid w:val="00630AFB"/>
    <w:rsid w:val="00652221"/>
    <w:rsid w:val="00656343"/>
    <w:rsid w:val="00656392"/>
    <w:rsid w:val="006645EC"/>
    <w:rsid w:val="0068781D"/>
    <w:rsid w:val="006959B0"/>
    <w:rsid w:val="006A5E22"/>
    <w:rsid w:val="006B3E27"/>
    <w:rsid w:val="006B6507"/>
    <w:rsid w:val="006C104C"/>
    <w:rsid w:val="006C632E"/>
    <w:rsid w:val="0071124D"/>
    <w:rsid w:val="00717FB3"/>
    <w:rsid w:val="00730446"/>
    <w:rsid w:val="00733704"/>
    <w:rsid w:val="0078071A"/>
    <w:rsid w:val="00787022"/>
    <w:rsid w:val="00787E1E"/>
    <w:rsid w:val="007F668B"/>
    <w:rsid w:val="008309D4"/>
    <w:rsid w:val="00852A9A"/>
    <w:rsid w:val="00864B18"/>
    <w:rsid w:val="008A49D2"/>
    <w:rsid w:val="008F49E1"/>
    <w:rsid w:val="008F6B38"/>
    <w:rsid w:val="0090370F"/>
    <w:rsid w:val="009077C3"/>
    <w:rsid w:val="00917B3C"/>
    <w:rsid w:val="009269D2"/>
    <w:rsid w:val="00942135"/>
    <w:rsid w:val="009521B0"/>
    <w:rsid w:val="00957437"/>
    <w:rsid w:val="00982139"/>
    <w:rsid w:val="009867A8"/>
    <w:rsid w:val="00991F44"/>
    <w:rsid w:val="00996849"/>
    <w:rsid w:val="009A0CFB"/>
    <w:rsid w:val="009A7E9F"/>
    <w:rsid w:val="009C17EC"/>
    <w:rsid w:val="009D6D6A"/>
    <w:rsid w:val="009E5018"/>
    <w:rsid w:val="00A03700"/>
    <w:rsid w:val="00A053F2"/>
    <w:rsid w:val="00A12B37"/>
    <w:rsid w:val="00A54828"/>
    <w:rsid w:val="00A97E1F"/>
    <w:rsid w:val="00AB512E"/>
    <w:rsid w:val="00AB6758"/>
    <w:rsid w:val="00AB727F"/>
    <w:rsid w:val="00AF53D3"/>
    <w:rsid w:val="00B01B73"/>
    <w:rsid w:val="00B13763"/>
    <w:rsid w:val="00B477A4"/>
    <w:rsid w:val="00B54045"/>
    <w:rsid w:val="00B63ADD"/>
    <w:rsid w:val="00B70491"/>
    <w:rsid w:val="00B77D92"/>
    <w:rsid w:val="00BB09A0"/>
    <w:rsid w:val="00C175A6"/>
    <w:rsid w:val="00C41DCF"/>
    <w:rsid w:val="00C42AF7"/>
    <w:rsid w:val="00C438D7"/>
    <w:rsid w:val="00C62C20"/>
    <w:rsid w:val="00C81186"/>
    <w:rsid w:val="00C81B50"/>
    <w:rsid w:val="00C902EF"/>
    <w:rsid w:val="00CA7ECB"/>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B6B60"/>
    <w:rsid w:val="00EC05A7"/>
    <w:rsid w:val="00EC4B6B"/>
    <w:rsid w:val="00EC68A5"/>
    <w:rsid w:val="00ED7442"/>
    <w:rsid w:val="00EF1EE5"/>
    <w:rsid w:val="00EF5C43"/>
    <w:rsid w:val="00F10DAB"/>
    <w:rsid w:val="00F43C31"/>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65F555"/>
  <w15:docId w15:val="{08E1E326-E5BC-489D-8BCE-A2AE4033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EB6B6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SingleTxtG">
    <w:name w:val="_ Single Txt_G"/>
    <w:basedOn w:val="Normal"/>
    <w:rsid w:val="00EB6B6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EB6B6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EB6B60"/>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EB6B60"/>
    <w:rPr>
      <w:rFonts w:ascii="Times New Roman" w:hAnsi="Times New Roman"/>
      <w:sz w:val="18"/>
      <w:vertAlign w:val="superscript"/>
    </w:rPr>
  </w:style>
  <w:style w:type="character" w:styleId="UnresolvedMention">
    <w:name w:val="Unresolved Mention"/>
    <w:basedOn w:val="DefaultParagraphFont"/>
    <w:uiPriority w:val="99"/>
    <w:semiHidden/>
    <w:unhideWhenUsed/>
    <w:rsid w:val="00EB6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145/2/Add.3" TargetMode="External"/><Relationship Id="rId2" Type="http://schemas.openxmlformats.org/officeDocument/2006/relationships/hyperlink" Target="https://docs.un.org/ar/CCPR/C/145/2/Add.2" TargetMode="External"/><Relationship Id="rId1" Type="http://schemas.openxmlformats.org/officeDocument/2006/relationships/hyperlink" Target="https://docs.un.org/ar/CCPR/C/145/2/Add.1" TargetMode="External"/><Relationship Id="rId5" Type="http://schemas.openxmlformats.org/officeDocument/2006/relationships/hyperlink" Target="https://docs.un.org/ar/CCPR/C/161" TargetMode="External"/><Relationship Id="rId4" Type="http://schemas.openxmlformats.org/officeDocument/2006/relationships/hyperlink" Target="https://tbinternet.ohchr.org/_layouts/15/treatybodyexternal/Download.aspx?symbolno=INT%2FCCPR%2FUCS%2F145%20%2F4544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CCPR/C/145/2</vt:lpstr>
    </vt:vector>
  </TitlesOfParts>
  <Company>DCM</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CCPR/C/145/2</dc:title>
  <dc:subject>GE.2606306(A)</dc:subject>
  <dc:creator>Muntaha BUHNAM - </dc:creator>
  <cp:keywords>GE.(A)</cp:keywords>
  <dc:description>Distr.: General
11 May 2026
Arabic
Original: English</dc:description>
  <cp:lastModifiedBy>Jamila Chedad</cp:lastModifiedBy>
  <cp:revision>3</cp:revision>
  <cp:lastPrinted>2026-06-24T12:19:00Z</cp:lastPrinted>
  <dcterms:created xsi:type="dcterms:W3CDTF">2026-06-24T12:19:00Z</dcterms:created>
  <dcterms:modified xsi:type="dcterms:W3CDTF">2026-06-24T12:20:00Z</dcterms:modified>
  <cp:category>Finale</cp:category>
</cp:coreProperties>
</file>