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CCB986" w14:textId="77777777" w:rsidR="006A2D09" w:rsidRPr="0017566A" w:rsidRDefault="006A2D09" w:rsidP="006A2D09">
      <w:pPr>
        <w:spacing w:line="240" w:lineRule="auto"/>
        <w:rPr>
          <w:sz w:val="2"/>
          <w:lang w:val="es-ES_tradnl"/>
        </w:rPr>
        <w:sectPr w:rsidR="006A2D09" w:rsidRPr="0017566A" w:rsidSect="00F644A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17566A">
        <w:rPr>
          <w:rStyle w:val="CommentReference"/>
          <w:szCs w:val="20"/>
          <w:lang w:val="es-ES_tradnl"/>
        </w:rPr>
        <w:commentReference w:id="0"/>
      </w:r>
    </w:p>
    <w:p w14:paraId="0210EE13" w14:textId="77777777" w:rsidR="00F644AB" w:rsidRPr="0017566A" w:rsidRDefault="00F644AB" w:rsidP="009D5A5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90"/>
        <w:rPr>
          <w:lang w:val="es-ES_tradnl"/>
        </w:rPr>
      </w:pPr>
      <w:r w:rsidRPr="0017566A">
        <w:rPr>
          <w:lang w:val="es-ES_tradnl"/>
        </w:rPr>
        <w:t>Comité para la Eliminación de la Discriminación contra la Mujer</w:t>
      </w:r>
    </w:p>
    <w:p w14:paraId="5E89FA0F" w14:textId="77777777" w:rsidR="00F644AB" w:rsidRPr="0017566A" w:rsidRDefault="00F644AB" w:rsidP="00F644AB">
      <w:pPr>
        <w:pStyle w:val="Session"/>
        <w:rPr>
          <w:lang w:val="es-ES_tradnl"/>
        </w:rPr>
      </w:pPr>
      <w:r w:rsidRPr="0017566A">
        <w:rPr>
          <w:lang w:val="es-ES_tradnl"/>
        </w:rPr>
        <w:t>83</w:t>
      </w:r>
      <w:r w:rsidRPr="0017566A">
        <w:rPr>
          <w:vertAlign w:val="superscript"/>
          <w:lang w:val="es-ES_tradnl"/>
        </w:rPr>
        <w:t>er</w:t>
      </w:r>
      <w:r w:rsidRPr="0017566A">
        <w:rPr>
          <w:lang w:val="es-ES_tradnl"/>
        </w:rPr>
        <w:t xml:space="preserve"> período de sesiones</w:t>
      </w:r>
    </w:p>
    <w:p w14:paraId="6E4B0344" w14:textId="77777777" w:rsidR="00F644AB" w:rsidRPr="0017566A" w:rsidRDefault="00F644AB" w:rsidP="00F644AB">
      <w:pPr>
        <w:rPr>
          <w:lang w:val="es-ES_tradnl"/>
        </w:rPr>
      </w:pPr>
      <w:r w:rsidRPr="0017566A">
        <w:rPr>
          <w:lang w:val="es-ES_tradnl"/>
        </w:rPr>
        <w:t>10 a 28 de octubre de 2022</w:t>
      </w:r>
      <w:bookmarkStart w:id="1" w:name="TmpSave"/>
      <w:bookmarkEnd w:id="1"/>
    </w:p>
    <w:p w14:paraId="4EC9352C" w14:textId="77777777" w:rsidR="00F644AB" w:rsidRPr="0017566A" w:rsidRDefault="00F644AB" w:rsidP="00F644AB">
      <w:pPr>
        <w:pStyle w:val="AgendaItemNormal"/>
        <w:rPr>
          <w:lang w:val="es-ES_tradnl"/>
        </w:rPr>
      </w:pPr>
      <w:r w:rsidRPr="0017566A">
        <w:rPr>
          <w:lang w:val="es-ES_tradnl"/>
        </w:rPr>
        <w:t>Tema 4 del programa provisional</w:t>
      </w:r>
    </w:p>
    <w:p w14:paraId="1809C15D" w14:textId="77777777" w:rsidR="00F644AB" w:rsidRPr="0017566A" w:rsidRDefault="00F644AB" w:rsidP="004570E4">
      <w:pPr>
        <w:pStyle w:val="AgendaTitleH2"/>
        <w:rPr>
          <w:lang w:val="es-ES_tradnl"/>
        </w:rPr>
      </w:pPr>
      <w:r w:rsidRPr="0017566A">
        <w:rPr>
          <w:lang w:val="es-ES_tradnl"/>
        </w:rPr>
        <w:t>Examen de los informes presentados por los Estados partes en virtud del artículo 18 de la Convención sobre la Eliminación de Todas las Formas de Discriminación contra la Mujer</w:t>
      </w:r>
    </w:p>
    <w:p w14:paraId="494BC13C" w14:textId="77777777" w:rsidR="00F644AB" w:rsidRPr="0017566A" w:rsidRDefault="00F644AB" w:rsidP="00F644AB">
      <w:pPr>
        <w:pStyle w:val="SingleTxt"/>
        <w:spacing w:after="0" w:line="240" w:lineRule="auto"/>
        <w:ind w:left="1264" w:right="1264"/>
        <w:rPr>
          <w:sz w:val="10"/>
          <w:szCs w:val="10"/>
          <w:lang w:val="es-ES_tradnl"/>
        </w:rPr>
      </w:pPr>
    </w:p>
    <w:p w14:paraId="7A40FA54" w14:textId="77777777" w:rsidR="00F644AB" w:rsidRPr="0017566A" w:rsidRDefault="00F644AB" w:rsidP="00F644AB">
      <w:pPr>
        <w:pStyle w:val="SingleTxt"/>
        <w:spacing w:after="0" w:line="240" w:lineRule="auto"/>
        <w:ind w:left="1264" w:right="1264"/>
        <w:rPr>
          <w:sz w:val="10"/>
          <w:szCs w:val="10"/>
          <w:lang w:val="es-ES_tradnl"/>
        </w:rPr>
      </w:pPr>
    </w:p>
    <w:p w14:paraId="29D0590F" w14:textId="77777777" w:rsidR="00F644AB" w:rsidRPr="0017566A" w:rsidRDefault="00F644AB" w:rsidP="00F644AB">
      <w:pPr>
        <w:pStyle w:val="SingleTxt"/>
        <w:spacing w:after="0" w:line="240" w:lineRule="auto"/>
        <w:ind w:left="1264" w:right="1264"/>
        <w:rPr>
          <w:sz w:val="10"/>
          <w:szCs w:val="10"/>
          <w:lang w:val="es-ES_tradnl"/>
        </w:rPr>
      </w:pPr>
    </w:p>
    <w:p w14:paraId="38F567B2" w14:textId="77777777" w:rsidR="00F644AB" w:rsidRPr="0017566A" w:rsidRDefault="00F644AB" w:rsidP="00F644AB">
      <w:pPr>
        <w:framePr w:w="9792" w:h="432" w:hSpace="180" w:wrap="notBeside" w:hAnchor="page" w:x="1210" w:yAlign="bottom"/>
        <w:spacing w:line="240" w:lineRule="auto"/>
        <w:rPr>
          <w:sz w:val="2"/>
          <w:lang w:val="es-ES_tradnl"/>
        </w:rPr>
      </w:pPr>
      <w:r w:rsidRPr="0017566A">
        <w:rPr>
          <w:noProof/>
          <w:w w:val="100"/>
          <w:sz w:val="2"/>
          <w:lang w:val="es-ES_tradnl"/>
        </w:rPr>
        <mc:AlternateContent>
          <mc:Choice Requires="wps">
            <w:drawing>
              <wp:anchor distT="0" distB="0" distL="114300" distR="114300" simplePos="0" relativeHeight="251659264" behindDoc="0" locked="0" layoutInCell="1" allowOverlap="1" wp14:anchorId="1AB9BFD4" wp14:editId="6300E801">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6B3D1A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3997E9F0" w14:textId="77777777" w:rsidR="00F644AB" w:rsidRPr="0017566A" w:rsidRDefault="00F644AB" w:rsidP="00F644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pacing w:val="5"/>
          <w:w w:val="104"/>
          <w:sz w:val="17"/>
          <w:lang w:val="es-ES_tradnl"/>
        </w:rPr>
      </w:pPr>
      <w:r w:rsidRPr="0017566A">
        <w:rPr>
          <w:spacing w:val="5"/>
          <w:w w:val="104"/>
          <w:sz w:val="17"/>
          <w:lang w:val="es-ES_tradnl"/>
        </w:rPr>
        <w:tab/>
        <w:t>*</w:t>
      </w:r>
      <w:r w:rsidRPr="0017566A">
        <w:rPr>
          <w:spacing w:val="5"/>
          <w:w w:val="104"/>
          <w:sz w:val="17"/>
          <w:lang w:val="es-ES_tradnl"/>
        </w:rPr>
        <w:tab/>
      </w:r>
      <w:r w:rsidRPr="0017566A">
        <w:rPr>
          <w:sz w:val="17"/>
          <w:szCs w:val="17"/>
          <w:lang w:val="es-ES_tradnl"/>
        </w:rPr>
        <w:t>La versión original del presente documento no fue objeto de revisión editorial oficial.</w:t>
      </w:r>
    </w:p>
    <w:p w14:paraId="13F6609A" w14:textId="77777777" w:rsidR="00F644AB" w:rsidRPr="0017566A" w:rsidRDefault="00F644AB" w:rsidP="00F644A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700" w:line="210" w:lineRule="exact"/>
        <w:ind w:left="1267" w:right="1267" w:hanging="576"/>
        <w:rPr>
          <w:spacing w:val="5"/>
          <w:w w:val="104"/>
          <w:sz w:val="17"/>
          <w:lang w:val="es-ES_tradnl"/>
        </w:rPr>
      </w:pPr>
      <w:r w:rsidRPr="0017566A">
        <w:rPr>
          <w:spacing w:val="5"/>
          <w:w w:val="104"/>
          <w:sz w:val="17"/>
          <w:lang w:val="es-ES_tradnl"/>
        </w:rPr>
        <w:tab/>
        <w:t>**</w:t>
      </w:r>
      <w:r w:rsidRPr="0017566A">
        <w:rPr>
          <w:spacing w:val="5"/>
          <w:w w:val="104"/>
          <w:sz w:val="17"/>
          <w:lang w:val="es-ES_tradnl"/>
        </w:rPr>
        <w:tab/>
        <w:t>Este documento se presenta después de la fecha límite para incluir en él la información más reciente.</w:t>
      </w:r>
    </w:p>
    <w:p w14:paraId="6DE4A133" w14:textId="77777777" w:rsidR="00F644AB" w:rsidRPr="0017566A" w:rsidRDefault="00F644AB" w:rsidP="00B01A25">
      <w:pPr>
        <w:pStyle w:val="TitleHCH"/>
        <w:ind w:right="1920"/>
        <w:rPr>
          <w:lang w:val="es-ES_tradnl"/>
        </w:rPr>
      </w:pPr>
      <w:r w:rsidRPr="0017566A">
        <w:rPr>
          <w:lang w:val="es-ES_tradnl"/>
        </w:rPr>
        <w:tab/>
      </w:r>
      <w:r w:rsidRPr="0017566A">
        <w:rPr>
          <w:lang w:val="es-ES_tradnl"/>
        </w:rPr>
        <w:tab/>
        <w:t>Respuestas a la lista de cuestiones y preguntas relativa a los informes periódicos quinto a noveno combinados de Saint Kitts y Nevis</w:t>
      </w:r>
      <w:r w:rsidRPr="0017566A">
        <w:rPr>
          <w:b w:val="0"/>
          <w:bCs/>
          <w:sz w:val="20"/>
          <w:szCs w:val="20"/>
          <w:lang w:val="es-ES_tradnl"/>
        </w:rPr>
        <w:t>*,**</w:t>
      </w:r>
    </w:p>
    <w:p w14:paraId="770916A3" w14:textId="13E00E7F" w:rsidR="00F644AB" w:rsidRPr="0017566A" w:rsidRDefault="00F644AB" w:rsidP="00B01A25">
      <w:pPr>
        <w:pStyle w:val="SingleTxt"/>
        <w:spacing w:after="0" w:line="120" w:lineRule="exact"/>
        <w:rPr>
          <w:sz w:val="10"/>
          <w:lang w:val="es-ES_tradnl"/>
        </w:rPr>
      </w:pPr>
    </w:p>
    <w:p w14:paraId="1598D3A3" w14:textId="77777777" w:rsidR="00B01A25" w:rsidRPr="0017566A" w:rsidRDefault="00B01A25" w:rsidP="00F644AB">
      <w:pPr>
        <w:pStyle w:val="SingleTxt"/>
        <w:spacing w:after="0" w:line="120" w:lineRule="exact"/>
        <w:rPr>
          <w:sz w:val="10"/>
          <w:lang w:val="es-ES_tradnl"/>
        </w:rPr>
      </w:pPr>
    </w:p>
    <w:p w14:paraId="32B667D2" w14:textId="77777777" w:rsidR="00F644AB" w:rsidRPr="0017566A" w:rsidRDefault="00F644AB" w:rsidP="00F644AB">
      <w:pPr>
        <w:pStyle w:val="SingleTxt"/>
        <w:jc w:val="right"/>
        <w:rPr>
          <w:lang w:val="es-ES_tradnl"/>
        </w:rPr>
      </w:pPr>
      <w:r w:rsidRPr="0017566A">
        <w:rPr>
          <w:lang w:val="es-ES_tradnl"/>
        </w:rPr>
        <w:t>[Fecha de recepción: 5 de octubre de 2022]</w:t>
      </w:r>
    </w:p>
    <w:p w14:paraId="67F322CC" w14:textId="758AEC89" w:rsidR="00F644AB" w:rsidRPr="0017566A" w:rsidRDefault="00F644AB" w:rsidP="00F644AB">
      <w:pPr>
        <w:pStyle w:val="SingleTxt"/>
        <w:rPr>
          <w:lang w:val="es-ES_tradnl"/>
        </w:rPr>
      </w:pPr>
    </w:p>
    <w:p w14:paraId="6DA12A58" w14:textId="5AE2656F" w:rsidR="00F644AB" w:rsidRPr="0017566A" w:rsidRDefault="00F644AB" w:rsidP="00F644AB">
      <w:pPr>
        <w:pStyle w:val="SingleTxt"/>
        <w:rPr>
          <w:lang w:val="es-ES_tradnl"/>
        </w:rPr>
      </w:pPr>
    </w:p>
    <w:p w14:paraId="3A5A29B8" w14:textId="2FFF3BE1" w:rsidR="00F644AB" w:rsidRPr="0017566A" w:rsidRDefault="00F644AB" w:rsidP="00F644AB">
      <w:pPr>
        <w:pStyle w:val="SingleTxt"/>
        <w:rPr>
          <w:lang w:val="es-ES_tradnl"/>
        </w:rPr>
      </w:pPr>
    </w:p>
    <w:p w14:paraId="6DA8FDE1" w14:textId="07208419" w:rsidR="00F644AB" w:rsidRPr="0017566A" w:rsidRDefault="00F644AB" w:rsidP="00F644AB">
      <w:pPr>
        <w:pStyle w:val="SingleTxt"/>
        <w:rPr>
          <w:lang w:val="es-ES_tradnl"/>
        </w:rPr>
      </w:pPr>
    </w:p>
    <w:p w14:paraId="0578612B" w14:textId="763456EE" w:rsidR="00F644AB" w:rsidRPr="0017566A" w:rsidRDefault="00F644AB" w:rsidP="00F644AB">
      <w:pPr>
        <w:pStyle w:val="SingleTxt"/>
        <w:rPr>
          <w:lang w:val="es-ES_tradnl"/>
        </w:rPr>
      </w:pPr>
    </w:p>
    <w:p w14:paraId="50F7DE06" w14:textId="585F214E" w:rsidR="00F644AB" w:rsidRPr="0017566A" w:rsidRDefault="00F644AB">
      <w:pPr>
        <w:suppressAutoHyphens w:val="0"/>
        <w:spacing w:after="200" w:line="276" w:lineRule="auto"/>
        <w:rPr>
          <w:kern w:val="14"/>
          <w:lang w:val="es-ES_tradnl"/>
        </w:rPr>
      </w:pPr>
      <w:r w:rsidRPr="0017566A">
        <w:rPr>
          <w:lang w:val="es-ES_tradnl"/>
        </w:rPr>
        <w:br w:type="page"/>
      </w:r>
    </w:p>
    <w:p w14:paraId="60ECD3C8" w14:textId="1DE14231" w:rsidR="004570E4" w:rsidRPr="0017566A" w:rsidRDefault="004570E4" w:rsidP="0092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lastRenderedPageBreak/>
        <w:tab/>
      </w:r>
      <w:r w:rsidRPr="0017566A">
        <w:rPr>
          <w:lang w:val="es-ES_tradnl"/>
        </w:rPr>
        <w:tab/>
        <w:t>Marco constitucional y legislativo</w:t>
      </w:r>
    </w:p>
    <w:p w14:paraId="7885979D" w14:textId="0D0D5D0B" w:rsidR="004570E4" w:rsidRPr="0017566A" w:rsidRDefault="004570E4" w:rsidP="00926748">
      <w:pPr>
        <w:pStyle w:val="SingleTxt"/>
        <w:spacing w:after="0" w:line="120" w:lineRule="exact"/>
        <w:rPr>
          <w:sz w:val="10"/>
          <w:lang w:val="es-ES_tradnl"/>
        </w:rPr>
      </w:pPr>
    </w:p>
    <w:p w14:paraId="54B721F2" w14:textId="109E2E8A" w:rsidR="00926748" w:rsidRPr="0017566A" w:rsidRDefault="00926748" w:rsidP="00926748">
      <w:pPr>
        <w:pStyle w:val="SingleTxt"/>
        <w:spacing w:after="0" w:line="120" w:lineRule="exact"/>
        <w:rPr>
          <w:sz w:val="10"/>
          <w:lang w:val="es-ES_tradnl"/>
        </w:rPr>
      </w:pPr>
    </w:p>
    <w:p w14:paraId="4CA6FCA3" w14:textId="77777777" w:rsidR="004570E4" w:rsidRPr="0017566A" w:rsidRDefault="004570E4" w:rsidP="00926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 de la lista de cuestiones y preguntas</w:t>
      </w:r>
    </w:p>
    <w:p w14:paraId="3D36C498" w14:textId="0F543E8C" w:rsidR="004570E4" w:rsidRPr="0017566A" w:rsidRDefault="004570E4" w:rsidP="00926748">
      <w:pPr>
        <w:pStyle w:val="SingleTxt"/>
        <w:spacing w:after="0" w:line="120" w:lineRule="exact"/>
        <w:rPr>
          <w:sz w:val="10"/>
          <w:lang w:val="es-ES_tradnl"/>
        </w:rPr>
      </w:pPr>
    </w:p>
    <w:p w14:paraId="7920CAB7" w14:textId="77777777" w:rsidR="004570E4" w:rsidRPr="0017566A" w:rsidRDefault="004570E4" w:rsidP="004570E4">
      <w:pPr>
        <w:pStyle w:val="SingleTxt"/>
        <w:rPr>
          <w:lang w:val="es-ES_tradnl"/>
        </w:rPr>
      </w:pPr>
      <w:r w:rsidRPr="0017566A">
        <w:rPr>
          <w:lang w:val="es-ES_tradnl"/>
        </w:rPr>
        <w:t>1.</w:t>
      </w:r>
      <w:r w:rsidRPr="0017566A">
        <w:rPr>
          <w:lang w:val="es-ES_tradnl"/>
        </w:rPr>
        <w:tab/>
        <w:t>Dentro del capítulo II de la Constitución de Saint Kitts y Nevis (Protección de los derechos y libertades fundamentales), el artículo 15 ofrece protección contra la discriminación por motivos de raza y otros.</w:t>
      </w:r>
    </w:p>
    <w:p w14:paraId="7A0DC3F7" w14:textId="6C140C69" w:rsidR="004570E4" w:rsidRPr="0017566A" w:rsidRDefault="004570E4" w:rsidP="00926748">
      <w:pPr>
        <w:pStyle w:val="SingleTxt"/>
        <w:tabs>
          <w:tab w:val="right" w:pos="1685"/>
        </w:tabs>
        <w:spacing w:line="240" w:lineRule="atLeast"/>
        <w:ind w:left="1742" w:hanging="475"/>
        <w:rPr>
          <w:lang w:val="es-ES_tradnl"/>
        </w:rPr>
      </w:pPr>
      <w:r w:rsidRPr="0017566A">
        <w:rPr>
          <w:lang w:val="es-ES_tradnl"/>
        </w:rPr>
        <w:tab/>
        <w:t>•</w:t>
      </w:r>
      <w:r w:rsidRPr="0017566A">
        <w:rPr>
          <w:lang w:val="es-ES_tradnl"/>
        </w:rPr>
        <w:tab/>
        <w:t xml:space="preserve">El apartado 3 dice específicamente: </w:t>
      </w:r>
      <w:r w:rsidR="00B01A25" w:rsidRPr="0017566A">
        <w:rPr>
          <w:lang w:val="es-ES_tradnl"/>
        </w:rPr>
        <w:t>“</w:t>
      </w:r>
      <w:r w:rsidRPr="0017566A">
        <w:rPr>
          <w:lang w:val="es-ES_tradnl"/>
        </w:rPr>
        <w:t xml:space="preserve">A efectos del presente artículo, se entiende por ‘discriminación’ dar un trato </w:t>
      </w:r>
      <w:r w:rsidRPr="0017566A">
        <w:rPr>
          <w:szCs w:val="20"/>
          <w:lang w:val="es-ES_tradnl"/>
        </w:rPr>
        <w:t>distinto</w:t>
      </w:r>
      <w:r w:rsidRPr="0017566A">
        <w:rPr>
          <w:lang w:val="es-ES_tradnl"/>
        </w:rPr>
        <w:t xml:space="preserve"> a diferentes personas debido, única o principalmente, a sus respectivas características de raza, lugar de origen, nacimiento fuera del matrimonio, opiniones o afiliaciones políticas, color, sexo o credo, y por dichas características causarles perjuicio o imponerles restricciones que no se causen ni se impongan a personas con otras características, o concederles privilegios o prerrogativas que no se concedan a personas con otras características</w:t>
      </w:r>
      <w:r w:rsidR="00B01A25" w:rsidRPr="0017566A">
        <w:rPr>
          <w:lang w:val="es-ES_tradnl"/>
        </w:rPr>
        <w:t>”</w:t>
      </w:r>
      <w:r w:rsidRPr="0017566A">
        <w:rPr>
          <w:lang w:val="es-ES_tradnl"/>
        </w:rPr>
        <w:t>.</w:t>
      </w:r>
    </w:p>
    <w:p w14:paraId="7D23D3BC" w14:textId="77777777" w:rsidR="004570E4" w:rsidRPr="0017566A" w:rsidRDefault="004570E4" w:rsidP="004570E4">
      <w:pPr>
        <w:pStyle w:val="SingleTxt"/>
        <w:rPr>
          <w:lang w:val="es-ES_tradnl"/>
        </w:rPr>
      </w:pPr>
      <w:r w:rsidRPr="0017566A">
        <w:rPr>
          <w:lang w:val="es-ES_tradnl"/>
        </w:rPr>
        <w:t>2.</w:t>
      </w:r>
      <w:r w:rsidRPr="0017566A">
        <w:rPr>
          <w:lang w:val="es-ES_tradnl"/>
        </w:rPr>
        <w:tab/>
        <w:t>Desde los informes quinto a noveno, el Estado promulgó la Ley sobre la Violencia Doméstica, cap. 12.04, que entró en vigor el 22 de noviembre de 2019.</w:t>
      </w:r>
    </w:p>
    <w:p w14:paraId="627EE0FC" w14:textId="77777777" w:rsidR="004570E4" w:rsidRPr="0017566A" w:rsidRDefault="004570E4" w:rsidP="004570E4">
      <w:pPr>
        <w:pStyle w:val="SingleTxt"/>
        <w:rPr>
          <w:lang w:val="es-ES_tradnl"/>
        </w:rPr>
      </w:pPr>
      <w:r w:rsidRPr="0017566A">
        <w:rPr>
          <w:lang w:val="es-ES_tradnl"/>
        </w:rPr>
        <w:t>3.</w:t>
      </w:r>
      <w:r w:rsidRPr="0017566A">
        <w:rPr>
          <w:lang w:val="es-ES_tradnl"/>
        </w:rPr>
        <w:tab/>
        <w:t>No hay constancia de que se hayan adoptado medidas en relación con las obligaciones contraídas por el Estado parte en virtud de los artículos 1 y 2 de la Convención y en consonancia con la meta 5.1 de los Objetivos de Desarrollo Sostenible, consistente en poner fin a todas las formas de discriminación contra todas las mujeres y las niñas en todo el mundo.</w:t>
      </w:r>
    </w:p>
    <w:p w14:paraId="388A0FF8" w14:textId="32DA01AE" w:rsidR="004570E4" w:rsidRPr="0017566A" w:rsidRDefault="004570E4" w:rsidP="00926748">
      <w:pPr>
        <w:pStyle w:val="SingleTxt"/>
        <w:spacing w:after="0" w:line="120" w:lineRule="exact"/>
        <w:rPr>
          <w:sz w:val="10"/>
          <w:lang w:val="es-ES_tradnl"/>
        </w:rPr>
      </w:pPr>
    </w:p>
    <w:p w14:paraId="707F3E35" w14:textId="5C827AD4" w:rsidR="00926748" w:rsidRPr="0017566A" w:rsidRDefault="00926748" w:rsidP="00926748">
      <w:pPr>
        <w:pStyle w:val="SingleTxt"/>
        <w:spacing w:after="0" w:line="120" w:lineRule="exact"/>
        <w:rPr>
          <w:sz w:val="10"/>
          <w:lang w:val="es-ES_tradnl"/>
        </w:rPr>
      </w:pPr>
    </w:p>
    <w:p w14:paraId="6A522B7D" w14:textId="77777777" w:rsidR="004570E4" w:rsidRPr="0017566A" w:rsidRDefault="004570E4" w:rsidP="0092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Acceso de las mujeres a la justicia </w:t>
      </w:r>
    </w:p>
    <w:p w14:paraId="6D5B38D1" w14:textId="162155D2" w:rsidR="004570E4" w:rsidRPr="0017566A" w:rsidRDefault="004570E4" w:rsidP="00926748">
      <w:pPr>
        <w:pStyle w:val="SingleTxt"/>
        <w:spacing w:after="0" w:line="120" w:lineRule="exact"/>
        <w:rPr>
          <w:sz w:val="10"/>
          <w:lang w:val="es-ES_tradnl"/>
        </w:rPr>
      </w:pPr>
    </w:p>
    <w:p w14:paraId="17E61203" w14:textId="704DC3D2" w:rsidR="00926748" w:rsidRPr="0017566A" w:rsidRDefault="00926748" w:rsidP="00926748">
      <w:pPr>
        <w:pStyle w:val="SingleTxt"/>
        <w:spacing w:after="0" w:line="120" w:lineRule="exact"/>
        <w:rPr>
          <w:sz w:val="10"/>
          <w:lang w:val="es-ES_tradnl"/>
        </w:rPr>
      </w:pPr>
    </w:p>
    <w:p w14:paraId="0A8B0E88" w14:textId="77777777" w:rsidR="004570E4" w:rsidRPr="0017566A" w:rsidRDefault="004570E4" w:rsidP="00926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2 de la lista de cuestiones y preguntas</w:t>
      </w:r>
      <w:bookmarkStart w:id="2" w:name="_Hlk115856745"/>
      <w:bookmarkEnd w:id="2"/>
    </w:p>
    <w:p w14:paraId="13B93D18" w14:textId="56BCCC4A" w:rsidR="004570E4" w:rsidRPr="0017566A" w:rsidRDefault="004570E4" w:rsidP="00926748">
      <w:pPr>
        <w:pStyle w:val="SingleTxt"/>
        <w:spacing w:after="0" w:line="120" w:lineRule="exact"/>
        <w:rPr>
          <w:sz w:val="10"/>
          <w:lang w:val="es-ES_tradnl"/>
        </w:rPr>
      </w:pPr>
    </w:p>
    <w:p w14:paraId="44697259" w14:textId="77777777" w:rsidR="004570E4" w:rsidRPr="0017566A" w:rsidRDefault="004570E4" w:rsidP="004570E4">
      <w:pPr>
        <w:pStyle w:val="SingleTxt"/>
        <w:rPr>
          <w:lang w:val="es-ES_tradnl"/>
        </w:rPr>
      </w:pPr>
      <w:r w:rsidRPr="0017566A">
        <w:rPr>
          <w:lang w:val="es-ES_tradnl"/>
        </w:rPr>
        <w:t>4.</w:t>
      </w:r>
      <w:r w:rsidRPr="0017566A">
        <w:rPr>
          <w:lang w:val="es-ES_tradnl"/>
        </w:rPr>
        <w:tab/>
        <w:t xml:space="preserve">No existen datos estadísticos relacionados con el sesgo judicial que afecta a las mujeres víctimas de la violencia de género, ni tampoco hay pruebas empíricas que sugieran que esto ocurre en el Estado, en el contexto del sistema de justicia. </w:t>
      </w:r>
    </w:p>
    <w:p w14:paraId="1C5495C1" w14:textId="77777777" w:rsidR="004570E4" w:rsidRPr="0017566A" w:rsidRDefault="004570E4" w:rsidP="004570E4">
      <w:pPr>
        <w:pStyle w:val="SingleTxt"/>
        <w:rPr>
          <w:lang w:val="es-ES_tradnl"/>
        </w:rPr>
      </w:pPr>
      <w:r w:rsidRPr="0017566A">
        <w:rPr>
          <w:lang w:val="es-ES_tradnl"/>
        </w:rPr>
        <w:t>5.</w:t>
      </w:r>
      <w:r w:rsidRPr="0017566A">
        <w:rPr>
          <w:lang w:val="es-ES_tradnl"/>
        </w:rPr>
        <w:tab/>
        <w:t>La igualdad ante la ley es un derecho fundamental contemplado en el capítulo XI de la Constitución.</w:t>
      </w:r>
    </w:p>
    <w:p w14:paraId="7401C349" w14:textId="77777777" w:rsidR="004570E4" w:rsidRPr="0017566A" w:rsidRDefault="004570E4" w:rsidP="004570E4">
      <w:pPr>
        <w:pStyle w:val="SingleTxt"/>
        <w:rPr>
          <w:lang w:val="es-ES_tradnl"/>
        </w:rPr>
      </w:pPr>
      <w:r w:rsidRPr="0017566A">
        <w:rPr>
          <w:lang w:val="es-ES_tradnl"/>
        </w:rPr>
        <w:t>6.</w:t>
      </w:r>
      <w:r w:rsidRPr="0017566A">
        <w:rPr>
          <w:lang w:val="es-ES_tradnl"/>
        </w:rPr>
        <w:tab/>
        <w:t xml:space="preserve">Las víctimas de la violencia doméstica pueden presentar denuncias en cualquier comisaría de policía o en la Dependencia Especial para Víctimas. Todos los agentes de policía deben recibir una formación adecuada sobre cómo llevar a cabo entrevistas y reunir pruebas con perspectiva de género. Cuando se denuncian casos de violencia de género, se entrevista a las víctimas detenidamente y se registra una declaración exhaustiva en la que se describe lo sucedido. Si la víctima resultó herida en el incidente, se emite un informe médico. El tratamiento médico de las víctimas es gratuito y accesible tras la expedición del informe médico policial. A la víctima se le proporciona información sobre cómo puede proceder la policía, por ejemplo, llevando el asunto a los tribunales. </w:t>
      </w:r>
    </w:p>
    <w:p w14:paraId="02ADADE0" w14:textId="77777777" w:rsidR="004570E4" w:rsidRPr="0017566A" w:rsidRDefault="004570E4" w:rsidP="004570E4">
      <w:pPr>
        <w:pStyle w:val="SingleTxt"/>
        <w:rPr>
          <w:lang w:val="es-ES_tradnl"/>
        </w:rPr>
      </w:pPr>
      <w:r w:rsidRPr="0017566A">
        <w:rPr>
          <w:lang w:val="es-ES_tradnl"/>
        </w:rPr>
        <w:t>7.</w:t>
      </w:r>
      <w:r w:rsidRPr="0017566A">
        <w:rPr>
          <w:lang w:val="es-ES_tradnl"/>
        </w:rPr>
        <w:tab/>
        <w:t>El Departamento de Asuntos de Género (Nevis) organizó una serie de talleres de capacitación interdepartamentales durante el primer trimestre de 2022, en los que participó el personal policial de Nevis.</w:t>
      </w:r>
    </w:p>
    <w:p w14:paraId="5BF422A5" w14:textId="77777777" w:rsidR="004570E4" w:rsidRPr="0017566A" w:rsidRDefault="004570E4" w:rsidP="004570E4">
      <w:pPr>
        <w:pStyle w:val="SingleTxt"/>
        <w:rPr>
          <w:lang w:val="es-ES_tradnl"/>
        </w:rPr>
      </w:pPr>
      <w:r w:rsidRPr="0017566A">
        <w:rPr>
          <w:lang w:val="es-ES_tradnl"/>
        </w:rPr>
        <w:t>8.</w:t>
      </w:r>
      <w:r w:rsidRPr="0017566A">
        <w:rPr>
          <w:lang w:val="es-ES_tradnl"/>
        </w:rPr>
        <w:tab/>
        <w:t>Recientemente, el Estado ha aprobado una política de igualdad de género, mediante la cual brinda información a los distintos géneros sobre sus respectivos derechos y ha puesto a disposición de los ciudadanos una base de datos activa de legislación en línea en la que pueden consultarse las leyes de Saint Kitts y Nevis, disponible en www.lawcommission.gov.kn.</w:t>
      </w:r>
    </w:p>
    <w:p w14:paraId="3FE1FD98" w14:textId="77777777" w:rsidR="004570E4" w:rsidRPr="0017566A" w:rsidRDefault="004570E4" w:rsidP="004570E4">
      <w:pPr>
        <w:pStyle w:val="SingleTxt"/>
        <w:rPr>
          <w:lang w:val="es-ES_tradnl"/>
        </w:rPr>
      </w:pPr>
      <w:r w:rsidRPr="0017566A">
        <w:rPr>
          <w:lang w:val="es-ES_tradnl"/>
        </w:rPr>
        <w:lastRenderedPageBreak/>
        <w:t>9.</w:t>
      </w:r>
      <w:r w:rsidRPr="0017566A">
        <w:rPr>
          <w:lang w:val="es-ES_tradnl"/>
        </w:rPr>
        <w:tab/>
        <w:t xml:space="preserve">Desde la promulgación de la Ley sobre la Violencia Doméstica de 2014, se han producido cambios en la jurisdicción de los tribunales en relación con el tratamiento de los casos de violencia doméstica, de los que ahora conoce el Tribunal Superior, lo cual ilustra la importancia que se les atribuye. Sin embargo, mientras que antes los asuntos de violencia doméstica podían ser llevados ante el Tribunal de Primera Instancia por la Dependencia Especial para Víctimas de la Real Fuerza de Policía de Saint Kitts y Nevis, y ser atendidos por el Centro de Asistencia y Asesoramiento Jurídico sin costo alguno para el demandante, las peticiones presentadas ante el Tribunal Superior deben ir acompañadas de un afidávit, un proyecto de orden provisional (orden a petición de parte interesada) y el pago del derecho de timbre, cuyo costo debe ser asumido por la víctima. En consecuencia, los demandantes pueden abonar sumas considerables por la documentación asociada al proceso, lo cual puede crear obstáculos en el acceso a la justicia de las personas que no tienen los medios para que su asunto sea oído en los tribunales. Con el fin de buscar algún tipo de reparación para los demandantes, el Centro de Asistencia y Asesoramiento Jurídico ha renunciado a sus honorarios de redacción de cartas y, en su lugar, escribirá una carta al presunto infractor pidiéndole que cese y desista. En junio de 2021, se convocó una reunión de las partes interesadas pertinentes para examinar el asunto y se recomendó que se le planteara al Fiscal General la posibilidad de que los asuntos de violencia doméstica se devolvieran al Tribunal de Primera Instancia, y que se corrigiera el descuido percibido en la redacción de la ley para que estos casos se atendieran sin costo alguno o con un bajo costo. </w:t>
      </w:r>
    </w:p>
    <w:p w14:paraId="5BCA7F0B" w14:textId="77777777" w:rsidR="004570E4" w:rsidRPr="0017566A" w:rsidRDefault="004570E4" w:rsidP="004570E4">
      <w:pPr>
        <w:pStyle w:val="SingleTxt"/>
        <w:rPr>
          <w:lang w:val="es-ES_tradnl"/>
        </w:rPr>
      </w:pPr>
      <w:r w:rsidRPr="0017566A">
        <w:rPr>
          <w:lang w:val="es-ES_tradnl"/>
        </w:rPr>
        <w:t>10.</w:t>
      </w:r>
      <w:r w:rsidRPr="0017566A">
        <w:rPr>
          <w:lang w:val="es-ES_tradnl"/>
        </w:rPr>
        <w:tab/>
        <w:t xml:space="preserve">Esta cuestión aún no se ha resuelto, pero el Ministerio de Desarrollo Social y Asuntos de Género brinda ayuda a los clientes que no pueden pagar los honorarios de asesoramiento jurídico. </w:t>
      </w:r>
    </w:p>
    <w:p w14:paraId="0278A623" w14:textId="35101BD0" w:rsidR="004570E4" w:rsidRPr="0017566A" w:rsidRDefault="004570E4" w:rsidP="00926748">
      <w:pPr>
        <w:pStyle w:val="SingleTxt"/>
        <w:spacing w:after="0" w:line="120" w:lineRule="exact"/>
        <w:rPr>
          <w:sz w:val="10"/>
          <w:lang w:val="es-ES_tradnl"/>
        </w:rPr>
      </w:pPr>
    </w:p>
    <w:p w14:paraId="698A37B9" w14:textId="77777777" w:rsidR="004570E4" w:rsidRPr="0017566A" w:rsidRDefault="004570E4" w:rsidP="00926748">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es-ES_tradnl"/>
        </w:rPr>
      </w:pPr>
      <w:r w:rsidRPr="0017566A">
        <w:rPr>
          <w:lang w:val="es-ES_tradnl"/>
        </w:rPr>
        <w:tab/>
      </w:r>
      <w:r w:rsidRPr="0017566A">
        <w:rPr>
          <w:lang w:val="es-ES_tradnl"/>
        </w:rPr>
        <w:tab/>
        <w:t>Sensibilización</w:t>
      </w:r>
    </w:p>
    <w:p w14:paraId="76889816" w14:textId="36AB56BC" w:rsidR="004570E4" w:rsidRPr="0017566A" w:rsidRDefault="004570E4" w:rsidP="00926748">
      <w:pPr>
        <w:pStyle w:val="SingleTxt"/>
        <w:spacing w:after="0" w:line="120" w:lineRule="exact"/>
        <w:rPr>
          <w:sz w:val="10"/>
          <w:lang w:val="es-ES_tradnl"/>
        </w:rPr>
      </w:pPr>
    </w:p>
    <w:p w14:paraId="713F79B4" w14:textId="77777777" w:rsidR="004570E4" w:rsidRPr="0017566A" w:rsidRDefault="004570E4" w:rsidP="004570E4">
      <w:pPr>
        <w:pStyle w:val="SingleTxt"/>
        <w:rPr>
          <w:lang w:val="es-ES_tradnl"/>
        </w:rPr>
      </w:pPr>
      <w:r w:rsidRPr="0017566A">
        <w:rPr>
          <w:lang w:val="es-ES_tradnl"/>
        </w:rPr>
        <w:t>11.</w:t>
      </w:r>
      <w:r w:rsidRPr="0017566A">
        <w:rPr>
          <w:lang w:val="es-ES_tradnl"/>
        </w:rPr>
        <w:tab/>
        <w:t>Como parte de las campañas de sensibilización pública que se llevaron a cabo en 2020 y 2021, se inauguraron dos murales pintados en zonas públicas de Nevis como recordatorio permanente de la lucha continuada contra la violencia de género y para alentar a hombres y mujeres a romper el silencio en torno a este tema tabú.</w:t>
      </w:r>
    </w:p>
    <w:p w14:paraId="2B2CD605" w14:textId="77777777" w:rsidR="004570E4" w:rsidRPr="0017566A" w:rsidRDefault="004570E4" w:rsidP="004570E4">
      <w:pPr>
        <w:pStyle w:val="SingleTxt"/>
        <w:rPr>
          <w:lang w:val="es-ES_tradnl"/>
        </w:rPr>
      </w:pPr>
      <w:r w:rsidRPr="0017566A">
        <w:rPr>
          <w:lang w:val="es-ES_tradnl"/>
        </w:rPr>
        <w:t>12.</w:t>
      </w:r>
      <w:r w:rsidRPr="0017566A">
        <w:rPr>
          <w:lang w:val="es-ES_tradnl"/>
        </w:rPr>
        <w:tab/>
        <w:t>Los talleres ofrecen a las mujeres la oportunidad de conocer sus derechos, compartir sus problemas y debatir posibles soluciones. El Mecanismo Nacional de Género trabaja con sus asociados del sector privado y de la sociedad civil para involucrar al público a través de mesas redondas televisadas, apariciones en programas de radio, visitas a escuelas, entrevistas en la calle, etc., con el fin de sensibilizar a la población sobre la naturaleza a menudo oculta, pero grave, de la violencia de género.</w:t>
      </w:r>
    </w:p>
    <w:p w14:paraId="721B3962" w14:textId="2540A01F" w:rsidR="004570E4" w:rsidRPr="0017566A" w:rsidRDefault="004570E4" w:rsidP="00926748">
      <w:pPr>
        <w:pStyle w:val="SingleTxt"/>
        <w:spacing w:after="0" w:line="120" w:lineRule="exact"/>
        <w:rPr>
          <w:sz w:val="10"/>
          <w:lang w:val="es-ES_tradnl"/>
        </w:rPr>
      </w:pPr>
    </w:p>
    <w:p w14:paraId="3B4B89BF" w14:textId="5BF03EF9" w:rsidR="00926748" w:rsidRPr="0017566A" w:rsidRDefault="00926748" w:rsidP="00926748">
      <w:pPr>
        <w:pStyle w:val="SingleTxt"/>
        <w:spacing w:after="0" w:line="120" w:lineRule="exact"/>
        <w:rPr>
          <w:sz w:val="10"/>
          <w:lang w:val="es-ES_tradnl"/>
        </w:rPr>
      </w:pPr>
    </w:p>
    <w:p w14:paraId="443C4C1A" w14:textId="77777777" w:rsidR="004570E4" w:rsidRPr="0017566A" w:rsidRDefault="004570E4" w:rsidP="0092674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Efectos de la pandemia en los derechos de la mujer y la igualdad de género </w:t>
      </w:r>
    </w:p>
    <w:p w14:paraId="58405FB4" w14:textId="416C5D52" w:rsidR="004570E4" w:rsidRPr="0017566A" w:rsidRDefault="004570E4" w:rsidP="00926748">
      <w:pPr>
        <w:pStyle w:val="SingleTxt"/>
        <w:spacing w:after="0" w:line="120" w:lineRule="exact"/>
        <w:rPr>
          <w:sz w:val="10"/>
          <w:lang w:val="es-ES_tradnl"/>
        </w:rPr>
      </w:pPr>
    </w:p>
    <w:p w14:paraId="7544E4C2" w14:textId="6F08DBBD" w:rsidR="00926748" w:rsidRPr="0017566A" w:rsidRDefault="00926748" w:rsidP="00926748">
      <w:pPr>
        <w:pStyle w:val="SingleTxt"/>
        <w:spacing w:after="0" w:line="120" w:lineRule="exact"/>
        <w:rPr>
          <w:sz w:val="10"/>
          <w:lang w:val="es-ES_tradnl"/>
        </w:rPr>
      </w:pPr>
    </w:p>
    <w:p w14:paraId="167285BE" w14:textId="77777777" w:rsidR="004570E4" w:rsidRPr="0017566A" w:rsidRDefault="004570E4" w:rsidP="0092674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3 de la lista de cuestiones y preguntas</w:t>
      </w:r>
      <w:bookmarkStart w:id="3" w:name="_Hlk115856928"/>
      <w:bookmarkEnd w:id="3"/>
    </w:p>
    <w:p w14:paraId="428187FD" w14:textId="69E04B52" w:rsidR="004570E4" w:rsidRPr="0017566A" w:rsidRDefault="004570E4" w:rsidP="00926748">
      <w:pPr>
        <w:pStyle w:val="SingleTxt"/>
        <w:spacing w:after="0" w:line="120" w:lineRule="exact"/>
        <w:rPr>
          <w:sz w:val="10"/>
          <w:lang w:val="es-ES_tradnl"/>
        </w:rPr>
      </w:pPr>
    </w:p>
    <w:p w14:paraId="7E4AD710" w14:textId="77777777" w:rsidR="004570E4" w:rsidRPr="0017566A" w:rsidRDefault="004570E4" w:rsidP="004570E4">
      <w:pPr>
        <w:pStyle w:val="SingleTxt"/>
        <w:rPr>
          <w:lang w:val="es-ES_tradnl"/>
        </w:rPr>
      </w:pPr>
      <w:r w:rsidRPr="0017566A">
        <w:rPr>
          <w:lang w:val="es-ES_tradnl"/>
        </w:rPr>
        <w:t>13.</w:t>
      </w:r>
      <w:r w:rsidRPr="0017566A">
        <w:rPr>
          <w:lang w:val="es-ES_tradnl"/>
        </w:rPr>
        <w:tab/>
        <w:t>En Saint Kitts y Nevis, más del 50% de los hogares están encabezados por mujeres y son monoparentales. Las estadísticas</w:t>
      </w:r>
      <w:r w:rsidRPr="0017566A">
        <w:rPr>
          <w:vertAlign w:val="superscript"/>
          <w:lang w:val="es-ES_tradnl"/>
        </w:rPr>
        <w:footnoteReference w:id="1"/>
      </w:r>
      <w:r w:rsidRPr="0017566A">
        <w:rPr>
          <w:lang w:val="es-ES_tradnl"/>
        </w:rPr>
        <w:t xml:space="preserve"> revelan que en 2020 la pandemia de enfermedad por coronavirus (COVID-19) provocó un descenso del 73% en el total de llegadas de visitantes por aire y por mar, lo cual representa un total de 301.614 personas. Este descenso representa la repercusión negativa más importante registrada en el sector turístico. Las cifras del Departamento de Trabajo indican que durante el período comprendido entre marzo y diciembre de 2020, los medios de subsistencia de las mujeres derivados de los sectores del turismo y la industria manufacturera sufrieron unas pérdidas directas del 64% y el 85%, respectivamente, a raíz de lo cual muchos hogares se quedaron sin ingresos. </w:t>
      </w:r>
    </w:p>
    <w:p w14:paraId="18297F12" w14:textId="1F03354F" w:rsidR="004570E4" w:rsidRPr="0017566A" w:rsidRDefault="004570E4" w:rsidP="00AA77B6">
      <w:pPr>
        <w:pStyle w:val="SingleTxt"/>
        <w:spacing w:after="0" w:line="120" w:lineRule="exact"/>
        <w:rPr>
          <w:sz w:val="10"/>
          <w:lang w:val="es-ES_tradnl"/>
        </w:rPr>
      </w:pPr>
    </w:p>
    <w:p w14:paraId="1582EBBB" w14:textId="77777777" w:rsidR="004570E4" w:rsidRPr="0017566A" w:rsidRDefault="004570E4" w:rsidP="00AA77B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Medidas de estímulo</w:t>
      </w:r>
    </w:p>
    <w:p w14:paraId="5A9A254C" w14:textId="5E13217F" w:rsidR="004570E4" w:rsidRPr="0017566A" w:rsidRDefault="004570E4" w:rsidP="00AA77B6">
      <w:pPr>
        <w:pStyle w:val="SingleTxt"/>
        <w:spacing w:after="0" w:line="120" w:lineRule="exact"/>
        <w:rPr>
          <w:sz w:val="10"/>
          <w:lang w:val="es-ES_tradnl"/>
        </w:rPr>
      </w:pPr>
    </w:p>
    <w:p w14:paraId="6695AF92" w14:textId="77777777" w:rsidR="004570E4" w:rsidRPr="0017566A" w:rsidRDefault="004570E4" w:rsidP="004570E4">
      <w:pPr>
        <w:pStyle w:val="SingleTxt"/>
        <w:rPr>
          <w:lang w:val="es-ES_tradnl"/>
        </w:rPr>
      </w:pPr>
      <w:r w:rsidRPr="0017566A">
        <w:rPr>
          <w:lang w:val="es-ES_tradnl"/>
        </w:rPr>
        <w:t>14.</w:t>
      </w:r>
      <w:r w:rsidRPr="0017566A">
        <w:rPr>
          <w:lang w:val="es-ES_tradnl"/>
        </w:rPr>
        <w:tab/>
        <w:t>Los paquetes nacionales de estímulo tenían como objetivo proteger y apoyar a los grupos más vulnerables de la sociedad, incluidas las personas despedidas a causa de la pandemia. El Programa de Alivio de la Pobreza (PAP) se amplió para atender las necesidades de las personas cuyos ingresos familiares habían caído por debajo del umbral mensual de 3.000 dólares del Caribe Oriental. Desde el inicio de la pandemia en 2020, se han incorporado al PAP 1.056</w:t>
      </w:r>
      <w:r w:rsidRPr="0017566A">
        <w:rPr>
          <w:vertAlign w:val="superscript"/>
          <w:lang w:val="es-ES_tradnl"/>
        </w:rPr>
        <w:footnoteReference w:id="2"/>
      </w:r>
      <w:r w:rsidRPr="0017566A">
        <w:rPr>
          <w:lang w:val="es-ES_tradnl"/>
        </w:rPr>
        <w:t xml:space="preserve"> personas más, de las cuales aproximadamente el 65% eran mujeres. Otras medidas de protección social fueron la introducción de ayudas económicas para los hogares con niños y niñas con discapacidad, así como un programa adicional de apoyo a los ingresos, implantado en julio de 2021 para ofrecer reparación a las personas indigentes y vulnerables. Las cifras del Gobierno federal</w:t>
      </w:r>
      <w:r w:rsidRPr="0017566A">
        <w:rPr>
          <w:vertAlign w:val="superscript"/>
          <w:lang w:val="es-ES_tradnl"/>
        </w:rPr>
        <w:footnoteReference w:id="3"/>
      </w:r>
      <w:r w:rsidRPr="0017566A">
        <w:rPr>
          <w:lang w:val="es-ES_tradnl"/>
        </w:rPr>
        <w:t xml:space="preserve"> indican que se aprobaron más de 3.050 solicitudes para el Programa de Apoyo a los Ingresos, con un costo de 8 millones de dólares; y 157 familias se beneficiaron de un pago de 390.500 dólares del Caribe Oriental en el marco del Programa de Apoyo a la Discapacidad. </w:t>
      </w:r>
    </w:p>
    <w:p w14:paraId="177D6183" w14:textId="77777777" w:rsidR="004570E4" w:rsidRPr="0017566A" w:rsidRDefault="004570E4" w:rsidP="004570E4">
      <w:pPr>
        <w:pStyle w:val="SingleTxt"/>
        <w:rPr>
          <w:lang w:val="es-ES_tradnl"/>
        </w:rPr>
      </w:pPr>
      <w:r w:rsidRPr="0017566A">
        <w:rPr>
          <w:lang w:val="es-ES_tradnl"/>
        </w:rPr>
        <w:t>15.</w:t>
      </w:r>
      <w:r w:rsidRPr="0017566A">
        <w:rPr>
          <w:lang w:val="es-ES_tradnl"/>
        </w:rPr>
        <w:tab/>
        <w:t>La colaboración del Gobierno con los sectores público y privado, y la sociedad civil, permitió respaldar a las familias mediante vales de compra canjeables en los supermercados locales participantes. En particular, la campaña de recogida de alimentos para combatir la COVID-19, organizada por la Cámara de Industria y Comercio, logró una donación de vales de comida por valor de 40.000 dólares, repartidos entre la Sociedad de la Cruz Roja de Saint Kitts y Nevis, y el Ministerio de Desarrollo Comunitario, Asuntos de Género y Servicios Sociales. Entre los beneficiarios de la campaña de recogida de alimentos se encontraban hogares encabezados por mujeres solteras y madres adolescentes de Saint Kitts y Nevis; Más del 80%</w:t>
      </w:r>
      <w:r w:rsidRPr="0017566A">
        <w:rPr>
          <w:vertAlign w:val="superscript"/>
          <w:lang w:val="es-ES_tradnl"/>
        </w:rPr>
        <w:footnoteReference w:id="4"/>
      </w:r>
      <w:r w:rsidRPr="0017566A">
        <w:rPr>
          <w:lang w:val="es-ES_tradnl"/>
        </w:rPr>
        <w:t xml:space="preserve"> de los destinatarios eran mujeres. </w:t>
      </w:r>
    </w:p>
    <w:p w14:paraId="4012A087" w14:textId="77777777" w:rsidR="004570E4" w:rsidRPr="0017566A" w:rsidRDefault="004570E4" w:rsidP="004570E4">
      <w:pPr>
        <w:pStyle w:val="SingleTxt"/>
        <w:rPr>
          <w:lang w:val="es-ES_tradnl"/>
        </w:rPr>
      </w:pPr>
      <w:r w:rsidRPr="0017566A">
        <w:rPr>
          <w:lang w:val="es-ES_tradnl"/>
        </w:rPr>
        <w:t>16.</w:t>
      </w:r>
      <w:r w:rsidRPr="0017566A">
        <w:rPr>
          <w:lang w:val="es-ES_tradnl"/>
        </w:rPr>
        <w:tab/>
        <w:t xml:space="preserve">El apoyo a los padres comprendió la dotación por parte del Ministerio de Educación de dispositivos digitales y conexión a Internet a los hogares que cumplían los requisitos para que los niños y niñas en edad escolar pudieran continuar su educación en línea. Durante el período en que las escuelas estuvieron cerradas, el Programa de Comidas Escolares estableció mecanismos para permitir a los padres recoger una comida escolar para sus hijos. </w:t>
      </w:r>
    </w:p>
    <w:p w14:paraId="25A52EE4" w14:textId="77777777" w:rsidR="004570E4" w:rsidRPr="0017566A" w:rsidRDefault="004570E4" w:rsidP="004570E4">
      <w:pPr>
        <w:pStyle w:val="SingleTxt"/>
        <w:rPr>
          <w:lang w:val="es-ES_tradnl"/>
        </w:rPr>
      </w:pPr>
      <w:r w:rsidRPr="0017566A">
        <w:rPr>
          <w:lang w:val="es-ES_tradnl"/>
        </w:rPr>
        <w:t>17.</w:t>
      </w:r>
      <w:r w:rsidRPr="0017566A">
        <w:rPr>
          <w:lang w:val="es-ES_tradnl"/>
        </w:rPr>
        <w:tab/>
        <w:t>Reconociendo que muchos trabajadores esenciales de primera línea son mujeres, se dio prioridad a los trabajadores que debían trabajar durante los períodos de toque de queda parcial en los establecimientos del sector público y privado para comprar artículos esenciales.</w:t>
      </w:r>
    </w:p>
    <w:p w14:paraId="4D049E1E" w14:textId="77777777" w:rsidR="004570E4" w:rsidRPr="0017566A" w:rsidRDefault="004570E4" w:rsidP="004570E4">
      <w:pPr>
        <w:pStyle w:val="SingleTxt"/>
        <w:rPr>
          <w:lang w:val="es-ES_tradnl"/>
        </w:rPr>
      </w:pPr>
      <w:r w:rsidRPr="0017566A">
        <w:rPr>
          <w:lang w:val="es-ES_tradnl"/>
        </w:rPr>
        <w:t>18.</w:t>
      </w:r>
      <w:r w:rsidRPr="0017566A">
        <w:rPr>
          <w:lang w:val="es-ES_tradnl"/>
        </w:rPr>
        <w:tab/>
        <w:t>En Nevis, el Departamento de Asuntos de Género ofreció oportunidades a las mujeres para que participaran en las tareas de recuperación. Entre ellas, 300 mujeres se beneficiaron de sesiones de capacitación en formación práctica (marzo de 2020-2022) para volver a formarlas y que pudieran así mantener a sus familias; 40 mujeres participaron en dos campamentos de desarrollo empresarial (formación intensiva de 6 semanas), y una Conferencia de Agroempresarios (agosto de 2022) para dotar a las mujeres y las niñas de los conocimientos necesarios para hacer de sus empresas agrícolas negocios rentables. En el contexto de las medidas adoptadas para contener la pandemia, el equipo de tareas de la COVID-19 contaba con casi un 50% de mujeres y estaba dirigido por una mujer.</w:t>
      </w:r>
    </w:p>
    <w:p w14:paraId="4532D511" w14:textId="1BAC68FF" w:rsidR="004570E4" w:rsidRPr="0017566A" w:rsidRDefault="004570E4" w:rsidP="00603C79">
      <w:pPr>
        <w:pStyle w:val="SingleTxt"/>
        <w:spacing w:after="0" w:line="120" w:lineRule="exact"/>
        <w:rPr>
          <w:sz w:val="10"/>
          <w:lang w:val="es-ES_tradnl"/>
        </w:rPr>
      </w:pPr>
    </w:p>
    <w:p w14:paraId="4A24C3CB" w14:textId="77777777" w:rsidR="004570E4" w:rsidRPr="0017566A" w:rsidRDefault="004570E4" w:rsidP="00603C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Sensibilizar al público</w:t>
      </w:r>
    </w:p>
    <w:p w14:paraId="7F781BAF" w14:textId="278B8789" w:rsidR="004570E4" w:rsidRPr="0017566A" w:rsidRDefault="004570E4" w:rsidP="00603C79">
      <w:pPr>
        <w:pStyle w:val="SingleTxt"/>
        <w:spacing w:after="0" w:line="120" w:lineRule="exact"/>
        <w:rPr>
          <w:sz w:val="10"/>
          <w:lang w:val="es-ES_tradnl"/>
        </w:rPr>
      </w:pPr>
    </w:p>
    <w:p w14:paraId="3DCAF9B7" w14:textId="77777777" w:rsidR="004570E4" w:rsidRPr="0017566A" w:rsidRDefault="004570E4" w:rsidP="004570E4">
      <w:pPr>
        <w:pStyle w:val="SingleTxt"/>
        <w:rPr>
          <w:lang w:val="es-ES_tradnl"/>
        </w:rPr>
      </w:pPr>
      <w:r w:rsidRPr="0017566A">
        <w:rPr>
          <w:lang w:val="es-ES_tradnl"/>
        </w:rPr>
        <w:t>19.</w:t>
      </w:r>
      <w:r w:rsidRPr="0017566A">
        <w:rPr>
          <w:lang w:val="es-ES_tradnl"/>
        </w:rPr>
        <w:tab/>
        <w:t>El Ministerio de Desarrollo Social y Asuntos de Género se asoció con el Business and Professional Women's Club, St. Kitts (BPW) como patrocinador de una miniserie documental de cuatro partes centrada en los efectos de la COVID-19 en la vida de las mujeres. La serie producida por BPW ofrecía soluciones a corto y largo plazo para hacer frente a los problemas relacionados con la pandemia; entre ellos, la salud física y el bienestar; el equilibrio entre el trabajo y la vida privada; el apoyo social y familiar; y la salud mental y el abuso doméstico. Se proyectó en la televisión nacional en horario de máxima audiencia y se dio a conocer en la programación radiofónica de información gubernamental durante el período previo a las actividades del Día Internacional de la Mujer de 2021.</w:t>
      </w:r>
    </w:p>
    <w:p w14:paraId="2EDAC61C" w14:textId="77777777" w:rsidR="004570E4" w:rsidRPr="0017566A" w:rsidRDefault="004570E4" w:rsidP="004570E4">
      <w:pPr>
        <w:pStyle w:val="SingleTxt"/>
        <w:rPr>
          <w:lang w:val="es-ES_tradnl"/>
        </w:rPr>
      </w:pPr>
      <w:r w:rsidRPr="0017566A">
        <w:rPr>
          <w:lang w:val="es-ES_tradnl"/>
        </w:rPr>
        <w:t>20.</w:t>
      </w:r>
      <w:r w:rsidRPr="0017566A">
        <w:rPr>
          <w:lang w:val="es-ES_tradnl"/>
        </w:rPr>
        <w:tab/>
        <w:t xml:space="preserve">La alianza con las agencias regionales y el apoyo técnico recibido de estas facilitaron la producción de materiales de sensibilización para educar al público sobre la violencia de género y proporcionarles consejos prácticos y, además, se facilitó la traducción para la comunidad de habla hispana. Las campañas informativas y los materiales de capacitación elaborados por los organismos regionales, como la Comunidad del Caribe (CARICOM) y la Organización de Estados del Caribe Oriental (OECO), han resultado beneficiosas. Los recursos digitales se compartieron con grupos de mujeres y organizaciones de la sociedad civil. </w:t>
      </w:r>
    </w:p>
    <w:p w14:paraId="19EEF7D7" w14:textId="77777777" w:rsidR="004570E4" w:rsidRPr="0017566A" w:rsidRDefault="004570E4" w:rsidP="004570E4">
      <w:pPr>
        <w:pStyle w:val="SingleTxt"/>
        <w:rPr>
          <w:lang w:val="es-ES_tradnl"/>
        </w:rPr>
      </w:pPr>
      <w:r w:rsidRPr="0017566A">
        <w:rPr>
          <w:lang w:val="es-ES_tradnl"/>
        </w:rPr>
        <w:t>21.</w:t>
      </w:r>
      <w:r w:rsidRPr="0017566A">
        <w:rPr>
          <w:lang w:val="es-ES_tradnl"/>
        </w:rPr>
        <w:tab/>
        <w:t>Otros ejemplos de medidas de protección social impulsadas por el Gobierno son el mayor contacto con los grupos de clientes vulnerables para conocer sus necesidades o la provisión de paquetes de asistencia y comidas. Se impartió formación sobre creación de capacidad (centrada en la COVID-19) a las madres adolescentes, cuya participación fue posible gracias a la dotación de recursos para el cuidado de los niños. Como parte del apoyo psicosocial, se difundió material de concienciación sobre salud y bienestar a través de los canales tradicionales y los medios sociales; entre otras cosas, capacitación</w:t>
      </w:r>
      <w:r w:rsidRPr="0017566A">
        <w:rPr>
          <w:vertAlign w:val="superscript"/>
          <w:lang w:val="es-ES_tradnl"/>
        </w:rPr>
        <w:footnoteReference w:id="5"/>
      </w:r>
      <w:r w:rsidRPr="0017566A">
        <w:rPr>
          <w:lang w:val="es-ES_tradnl"/>
        </w:rPr>
        <w:t xml:space="preserve"> de los trabajadores de primera línea en materia de apoyo psicosocial y respuestas a la violencia de género en el contexto de la COVID-19. </w:t>
      </w:r>
    </w:p>
    <w:p w14:paraId="7FA6BA82" w14:textId="77777777" w:rsidR="004570E4" w:rsidRPr="0017566A" w:rsidRDefault="004570E4" w:rsidP="004570E4">
      <w:pPr>
        <w:pStyle w:val="SingleTxt"/>
        <w:rPr>
          <w:lang w:val="es-ES_tradnl"/>
        </w:rPr>
      </w:pPr>
      <w:r w:rsidRPr="0017566A">
        <w:rPr>
          <w:lang w:val="es-ES_tradnl"/>
        </w:rPr>
        <w:t>22.</w:t>
      </w:r>
      <w:r w:rsidRPr="0017566A">
        <w:rPr>
          <w:lang w:val="es-ES_tradnl"/>
        </w:rPr>
        <w:tab/>
        <w:t xml:space="preserve">Durante el punto álgido de la pandemia, el público en general se mantuvo informado a través de sesiones informativas diarias ofrecidas por los medios de comunicación nacionales. El Centro Operativo Nacional de Emergencia (NEOC) proporcionó información y apoyo al público en general, que se transmitió por la televisión y la radio nacionales, entre otras cosas, información sobre apoyo psicosocial, protección de la infancia, servicios sociales, etc. Se habilitó la línea directa 311 del NEOC para brindar información, así como para solicitar asistencia de emergencia. </w:t>
      </w:r>
    </w:p>
    <w:p w14:paraId="3A4E1167" w14:textId="77777777" w:rsidR="004570E4" w:rsidRPr="0017566A" w:rsidRDefault="004570E4" w:rsidP="004570E4">
      <w:pPr>
        <w:pStyle w:val="SingleTxt"/>
        <w:rPr>
          <w:lang w:val="es-ES_tradnl"/>
        </w:rPr>
      </w:pPr>
      <w:r w:rsidRPr="0017566A">
        <w:rPr>
          <w:lang w:val="es-ES_tradnl"/>
        </w:rPr>
        <w:t>23.</w:t>
      </w:r>
      <w:r w:rsidRPr="0017566A">
        <w:rPr>
          <w:lang w:val="es-ES_tradnl"/>
        </w:rPr>
        <w:tab/>
        <w:t xml:space="preserve">El Departamento de Asuntos de Género sigue gestionando un teléfono móvil de guardia al que las víctimas de violencia doméstica pueden llamar para recibir ayuda mediante la asistencia policial. El Departamento hace un seguimiento y remite los casos a los organismos adecuados, por ejemplo, la Dependencia Especial para Víctimas de la Real Fuerza de Policía, ofrece asesoramiento y asistencia social. </w:t>
      </w:r>
    </w:p>
    <w:p w14:paraId="5FFE5FC7" w14:textId="2FC9120A" w:rsidR="004570E4" w:rsidRPr="0017566A" w:rsidRDefault="004570E4" w:rsidP="00603C79">
      <w:pPr>
        <w:pStyle w:val="SingleTxt"/>
        <w:spacing w:after="0" w:line="120" w:lineRule="exact"/>
        <w:rPr>
          <w:sz w:val="10"/>
          <w:lang w:val="es-ES_tradnl"/>
        </w:rPr>
      </w:pPr>
    </w:p>
    <w:p w14:paraId="3CAD3A72" w14:textId="77777777" w:rsidR="004570E4" w:rsidRPr="0017566A" w:rsidRDefault="004570E4" w:rsidP="00603C7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Empoderamiento económico</w:t>
      </w:r>
    </w:p>
    <w:p w14:paraId="5CA8097E" w14:textId="739DC2AE" w:rsidR="004570E4" w:rsidRPr="0017566A" w:rsidRDefault="004570E4" w:rsidP="00603C79">
      <w:pPr>
        <w:pStyle w:val="SingleTxt"/>
        <w:spacing w:after="0" w:line="120" w:lineRule="exact"/>
        <w:rPr>
          <w:sz w:val="10"/>
          <w:lang w:val="es-ES_tradnl"/>
        </w:rPr>
      </w:pPr>
    </w:p>
    <w:p w14:paraId="35811E0F" w14:textId="77777777" w:rsidR="004570E4" w:rsidRPr="0017566A" w:rsidRDefault="004570E4" w:rsidP="004570E4">
      <w:pPr>
        <w:pStyle w:val="SingleTxt"/>
        <w:rPr>
          <w:lang w:val="es-ES_tradnl"/>
        </w:rPr>
      </w:pPr>
      <w:r w:rsidRPr="0017566A">
        <w:rPr>
          <w:lang w:val="es-ES_tradnl"/>
        </w:rPr>
        <w:t>24.</w:t>
      </w:r>
      <w:r w:rsidRPr="0017566A">
        <w:rPr>
          <w:lang w:val="es-ES_tradnl"/>
        </w:rPr>
        <w:tab/>
        <w:t>En el marco de la respuesta a la COVID-19, la Federación participó en la iniciativa de la oficina multipaís de ONU-Mujeres para promover el empoderamiento económico mediante la adquisición de servicios para la producción de mascarillas de tela. La entrega oficial</w:t>
      </w:r>
      <w:r w:rsidRPr="0017566A">
        <w:rPr>
          <w:vertAlign w:val="superscript"/>
          <w:lang w:val="es-ES_tradnl"/>
        </w:rPr>
        <w:footnoteReference w:id="6"/>
      </w:r>
      <w:r w:rsidRPr="0017566A">
        <w:rPr>
          <w:lang w:val="es-ES_tradnl"/>
        </w:rPr>
        <w:t xml:space="preserve"> de 500 mascarillas de tela para grupos vulnerables se realizó en octubre de 2020.</w:t>
      </w:r>
    </w:p>
    <w:p w14:paraId="356B05E2" w14:textId="77777777" w:rsidR="004570E4" w:rsidRPr="0017566A" w:rsidRDefault="004570E4" w:rsidP="004570E4">
      <w:pPr>
        <w:pStyle w:val="SingleTxt"/>
        <w:rPr>
          <w:lang w:val="es-ES_tradnl"/>
        </w:rPr>
      </w:pPr>
      <w:r w:rsidRPr="0017566A">
        <w:rPr>
          <w:lang w:val="es-ES_tradnl"/>
        </w:rPr>
        <w:t>25.</w:t>
      </w:r>
      <w:r w:rsidRPr="0017566A">
        <w:rPr>
          <w:lang w:val="es-ES_tradnl"/>
        </w:rPr>
        <w:tab/>
        <w:t>El Proyecto de Empleo, Emprendimiento e Inclusión Financiera de la Mujer (WEEFIP) se puso en marcha en octubre de 2021 para ofrecer apoyo técnico y financiero a las mujeres desempleadas y a las emprendedoras de Saint Kitts y Nevis en el contexto de la COVID-19. Los candidatos se beneficiaron del contenido de los cursos impartidos por facilitadores locales, en los ámbitos de la innovación de las estrategias empresariales, el emprendimiento en el sector de los alimentos y las bebidas, así como en el de la belleza. En el párrafo 19 (Empoderamiento económico de las mujeres) se ofrece más información al respecto.</w:t>
      </w:r>
    </w:p>
    <w:p w14:paraId="65CD802C" w14:textId="4209EF53" w:rsidR="004570E4" w:rsidRPr="0017566A" w:rsidRDefault="004570E4" w:rsidP="00603C79">
      <w:pPr>
        <w:pStyle w:val="SingleTxt"/>
        <w:spacing w:after="0" w:line="120" w:lineRule="exact"/>
        <w:rPr>
          <w:sz w:val="10"/>
          <w:lang w:val="es-ES_tradnl"/>
        </w:rPr>
      </w:pPr>
    </w:p>
    <w:p w14:paraId="122F18B9" w14:textId="33D43551" w:rsidR="00603C79" w:rsidRPr="0017566A" w:rsidRDefault="00603C79" w:rsidP="00603C79">
      <w:pPr>
        <w:pStyle w:val="SingleTxt"/>
        <w:spacing w:after="0" w:line="120" w:lineRule="exact"/>
        <w:rPr>
          <w:sz w:val="10"/>
          <w:lang w:val="es-ES_tradnl"/>
        </w:rPr>
      </w:pPr>
    </w:p>
    <w:p w14:paraId="7CEF99E3" w14:textId="77777777"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Mecanismos nacionales para el adelanto de la mujer </w:t>
      </w:r>
    </w:p>
    <w:p w14:paraId="0EEF8896" w14:textId="111B6102" w:rsidR="004570E4" w:rsidRPr="0017566A" w:rsidRDefault="004570E4" w:rsidP="00603C79">
      <w:pPr>
        <w:pStyle w:val="SingleTxt"/>
        <w:spacing w:after="0" w:line="120" w:lineRule="exact"/>
        <w:rPr>
          <w:sz w:val="10"/>
          <w:lang w:val="es-ES_tradnl"/>
        </w:rPr>
      </w:pPr>
    </w:p>
    <w:p w14:paraId="6265381B" w14:textId="60264E5B" w:rsidR="00603C79" w:rsidRPr="0017566A" w:rsidRDefault="00603C79" w:rsidP="00603C79">
      <w:pPr>
        <w:pStyle w:val="SingleTxt"/>
        <w:spacing w:after="0" w:line="120" w:lineRule="exact"/>
        <w:rPr>
          <w:sz w:val="10"/>
          <w:lang w:val="es-ES_tradnl"/>
        </w:rPr>
      </w:pPr>
    </w:p>
    <w:p w14:paraId="3B4903F0"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4 de la lista de cuestiones y preguntas</w:t>
      </w:r>
    </w:p>
    <w:p w14:paraId="7B28CF99" w14:textId="5B8EBFD4" w:rsidR="004570E4" w:rsidRPr="0017566A" w:rsidRDefault="004570E4" w:rsidP="00603C79">
      <w:pPr>
        <w:pStyle w:val="SingleTxt"/>
        <w:spacing w:after="0" w:line="120" w:lineRule="exact"/>
        <w:rPr>
          <w:sz w:val="10"/>
          <w:lang w:val="es-ES_tradnl"/>
        </w:rPr>
      </w:pPr>
    </w:p>
    <w:p w14:paraId="67B1105F" w14:textId="77777777" w:rsidR="004570E4" w:rsidRPr="0017566A" w:rsidRDefault="004570E4" w:rsidP="004570E4">
      <w:pPr>
        <w:pStyle w:val="SingleTxt"/>
        <w:rPr>
          <w:lang w:val="es-ES_tradnl"/>
        </w:rPr>
      </w:pPr>
      <w:r w:rsidRPr="0017566A">
        <w:rPr>
          <w:lang w:val="es-ES_tradnl"/>
        </w:rPr>
        <w:t>26.</w:t>
      </w:r>
      <w:r w:rsidRPr="0017566A">
        <w:rPr>
          <w:lang w:val="es-ES_tradnl"/>
        </w:rPr>
        <w:tab/>
        <w:t xml:space="preserve">En noviembre de 2018 empezó a desarrollarse la Política y el Plan de Acción Nacionales sobre la Igualdad de Género de Saint Kitts y Nevis, en colaboración con la UNESCO. Se desarrollaron en dos fases (2019 y 2021) y se difundieron a las partes interesadas de toda la Federación en junio y julio de 2022. </w:t>
      </w:r>
    </w:p>
    <w:p w14:paraId="0ECE0D04" w14:textId="77777777" w:rsidR="004570E4" w:rsidRPr="0017566A" w:rsidRDefault="004570E4" w:rsidP="004570E4">
      <w:pPr>
        <w:pStyle w:val="SingleTxt"/>
        <w:rPr>
          <w:lang w:val="es-ES_tradnl"/>
        </w:rPr>
      </w:pPr>
      <w:r w:rsidRPr="0017566A">
        <w:rPr>
          <w:lang w:val="es-ES_tradnl"/>
        </w:rPr>
        <w:t>27.</w:t>
      </w:r>
      <w:r w:rsidRPr="0017566A">
        <w:rPr>
          <w:lang w:val="es-ES_tradnl"/>
        </w:rPr>
        <w:tab/>
        <w:t xml:space="preserve">Los consultores proporcionaron asistencia técnica durante su desarrollo, con el apoyo administrativo del Departamento de Asuntos de Género. Debido a las restricciones de distanciamiento social de la COVID-19, el Comité Directivo de la Política y el Plan de Acción Nacionales sobre la Igualdad de Género no se reunió físicamente en la fase 2, sino que trabajó virtualmente en la revisión y aportó comentarios, además de participar en la consulta sobre el proyecto final. Asimismo, no se celebraron formaciones ni seminarios con las partes interesadas, como se había previsto inicialmente, pero se ofrecieron formas alternativas para que las partes interesadas interactuasen con el consultor, como entrevistas personales y telefónicas, reuniones virtuales y formularios de encuestas específicas. Se puso en marcha una estrategia de comunicación que logró sensibilizar al público a través de los medios de comunicación tradicionales y los medios sociales, así como mediante la divulgación a la comunidad hispanohablante. </w:t>
      </w:r>
    </w:p>
    <w:p w14:paraId="11D619A3" w14:textId="77777777" w:rsidR="004570E4" w:rsidRPr="0017566A" w:rsidRDefault="004570E4" w:rsidP="004570E4">
      <w:pPr>
        <w:pStyle w:val="SingleTxt"/>
        <w:rPr>
          <w:lang w:val="es-ES_tradnl"/>
        </w:rPr>
      </w:pPr>
      <w:r w:rsidRPr="0017566A">
        <w:rPr>
          <w:lang w:val="es-ES_tradnl"/>
        </w:rPr>
        <w:t>28.</w:t>
      </w:r>
      <w:r w:rsidRPr="0017566A">
        <w:rPr>
          <w:lang w:val="es-ES_tradnl"/>
        </w:rPr>
        <w:tab/>
        <w:t>El Mecanismo Nacional de Género ejerce la labor de liderar y coordinar la aplicación del Plan de Acción de la Política Nacional de Género. El Plan de Acción contiene orientaciones sobre estrategias en materia de políticas para normalizar la integración de la perspectiva de género, por ejemplo, mediante la coordinación de un sistema de gestión de género de cuatro componentes, compuesto por el órgano de supervisión del Gabinete, los coordinadores de cuestiones de género, el sistema de gestión del conocimiento y aprendizaje, y el sistema de seguimiento, evaluación y aprendizaje. Se espera que los coordinadores de cuestiones de género se designen en el nivel ejecutivo en los ministerios gubernamentales a los que se refieren los ámbitos de las políticas. El Plan de Acción recomienda que el Mecanismo Nacional de Género y los coordinadores de cuestiones de género preparen un plan de seguimiento y evaluación. También se recomienda una revisión completa de los avances alcanzados en 2024.</w:t>
      </w:r>
    </w:p>
    <w:p w14:paraId="5DA24B1E" w14:textId="77777777" w:rsidR="004570E4" w:rsidRPr="0017566A" w:rsidRDefault="004570E4" w:rsidP="004570E4">
      <w:pPr>
        <w:pStyle w:val="SingleTxt"/>
        <w:rPr>
          <w:lang w:val="es-ES_tradnl"/>
        </w:rPr>
      </w:pPr>
      <w:r w:rsidRPr="0017566A">
        <w:rPr>
          <w:lang w:val="es-ES_tradnl"/>
        </w:rPr>
        <w:t>29.</w:t>
      </w:r>
      <w:r w:rsidRPr="0017566A">
        <w:rPr>
          <w:lang w:val="es-ES_tradnl"/>
        </w:rPr>
        <w:tab/>
        <w:t>En el primer trimestre de 2022, el Ministerio de Desarrollo Social y Asuntos de Género entabló conversaciones con las partes interesadas regionales con vistas a recibir asistencia técnica para apoyar los marcos y sistemas estadísticos nacionales con perspectiva de género en la aplicación de la Política y el Plan de Acción Nacionales sobre la Igualdad de Género</w:t>
      </w:r>
      <w:r w:rsidRPr="0017566A">
        <w:rPr>
          <w:vertAlign w:val="superscript"/>
          <w:lang w:val="es-ES_tradnl"/>
        </w:rPr>
        <w:footnoteReference w:id="7"/>
      </w:r>
      <w:r w:rsidRPr="0017566A">
        <w:rPr>
          <w:lang w:val="es-ES_tradnl"/>
        </w:rPr>
        <w:t>.</w:t>
      </w:r>
    </w:p>
    <w:p w14:paraId="3628B3FD" w14:textId="77777777" w:rsidR="004570E4" w:rsidRPr="0017566A" w:rsidRDefault="004570E4" w:rsidP="004570E4">
      <w:pPr>
        <w:pStyle w:val="SingleTxt"/>
        <w:rPr>
          <w:lang w:val="es-ES_tradnl"/>
        </w:rPr>
      </w:pPr>
      <w:r w:rsidRPr="0017566A">
        <w:rPr>
          <w:lang w:val="es-ES_tradnl"/>
        </w:rPr>
        <w:t>30.</w:t>
      </w:r>
      <w:r w:rsidRPr="0017566A">
        <w:rPr>
          <w:lang w:val="es-ES_tradnl"/>
        </w:rPr>
        <w:tab/>
        <w:t xml:space="preserve">Se proporcionaron fondos para contratar personal en el Departamento de Asuntos de Género (Nevis) que se encargara de la comunicación y la política. </w:t>
      </w:r>
    </w:p>
    <w:p w14:paraId="528DAE93" w14:textId="53B4E080" w:rsidR="004570E4" w:rsidRPr="0017566A" w:rsidRDefault="004570E4" w:rsidP="00603C79">
      <w:pPr>
        <w:pStyle w:val="SingleTxt"/>
        <w:spacing w:after="0" w:line="120" w:lineRule="exact"/>
        <w:rPr>
          <w:sz w:val="10"/>
          <w:lang w:val="es-ES_tradnl"/>
        </w:rPr>
      </w:pPr>
    </w:p>
    <w:p w14:paraId="5D156198" w14:textId="184DEEEB" w:rsidR="00603C79" w:rsidRPr="0017566A" w:rsidRDefault="00603C79" w:rsidP="00603C79">
      <w:pPr>
        <w:pStyle w:val="SingleTxt"/>
        <w:spacing w:after="0" w:line="120" w:lineRule="exact"/>
        <w:rPr>
          <w:sz w:val="10"/>
          <w:lang w:val="es-ES_tradnl"/>
        </w:rPr>
      </w:pPr>
    </w:p>
    <w:p w14:paraId="63ACF6BC" w14:textId="77777777"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Institución nacional de derechos humanos </w:t>
      </w:r>
    </w:p>
    <w:p w14:paraId="7D82651B" w14:textId="4BFD0B0D" w:rsidR="004570E4" w:rsidRPr="0017566A" w:rsidRDefault="004570E4" w:rsidP="00603C79">
      <w:pPr>
        <w:pStyle w:val="SingleTxt"/>
        <w:spacing w:after="0" w:line="120" w:lineRule="exact"/>
        <w:rPr>
          <w:sz w:val="10"/>
          <w:lang w:val="es-ES_tradnl"/>
        </w:rPr>
      </w:pPr>
    </w:p>
    <w:p w14:paraId="459DC784" w14:textId="50FBF76E" w:rsidR="00603C79" w:rsidRPr="0017566A" w:rsidRDefault="00603C79" w:rsidP="00603C79">
      <w:pPr>
        <w:pStyle w:val="SingleTxt"/>
        <w:spacing w:after="0" w:line="120" w:lineRule="exact"/>
        <w:rPr>
          <w:sz w:val="10"/>
          <w:lang w:val="es-ES_tradnl"/>
        </w:rPr>
      </w:pPr>
    </w:p>
    <w:p w14:paraId="23D36403"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5 de la lista de cuestiones y preguntas</w:t>
      </w:r>
    </w:p>
    <w:p w14:paraId="7FB07AC9" w14:textId="36F713BC" w:rsidR="004570E4" w:rsidRPr="0017566A" w:rsidRDefault="004570E4" w:rsidP="00603C79">
      <w:pPr>
        <w:pStyle w:val="SingleTxt"/>
        <w:spacing w:after="0" w:line="120" w:lineRule="exact"/>
        <w:rPr>
          <w:sz w:val="10"/>
          <w:lang w:val="es-ES_tradnl"/>
        </w:rPr>
      </w:pPr>
    </w:p>
    <w:p w14:paraId="30637DF6" w14:textId="77777777" w:rsidR="004570E4" w:rsidRPr="0017566A" w:rsidRDefault="004570E4" w:rsidP="004570E4">
      <w:pPr>
        <w:pStyle w:val="SingleTxt"/>
        <w:rPr>
          <w:lang w:val="es-ES_tradnl"/>
        </w:rPr>
      </w:pPr>
      <w:r w:rsidRPr="0017566A">
        <w:rPr>
          <w:lang w:val="es-ES_tradnl"/>
        </w:rPr>
        <w:t>31.</w:t>
      </w:r>
      <w:r w:rsidRPr="0017566A">
        <w:rPr>
          <w:lang w:val="es-ES_tradnl"/>
        </w:rPr>
        <w:tab/>
        <w:t xml:space="preserve">En la actualidad, no existe una institución nacional de derechos humanos oficial.  Sin embargo, en 2018 el Ministerio de Relaciones Exteriores y Aviación estableció el mecanismo nacional de seguimiento y examen. Este mecanismo es un comité interministerial aprobado por el Gabinete y creado para evaluar e informar sobre las iniciativas emprendidas por el Gobierno para promover y proteger los derechos humanos en la Federación. El comité responde a las recomendaciones de los órganos creados en virtud de tratados de derechos humanos y del proceso del examen periódico universal. </w:t>
      </w:r>
    </w:p>
    <w:p w14:paraId="73E41377" w14:textId="4E60A3B2" w:rsidR="004570E4" w:rsidRPr="0017566A" w:rsidRDefault="004570E4" w:rsidP="00603C79">
      <w:pPr>
        <w:pStyle w:val="SingleTxt"/>
        <w:spacing w:after="0" w:line="120" w:lineRule="exact"/>
        <w:rPr>
          <w:sz w:val="10"/>
          <w:lang w:val="es-ES_tradnl"/>
        </w:rPr>
      </w:pPr>
    </w:p>
    <w:p w14:paraId="6C74C78B" w14:textId="5717FE34" w:rsidR="00603C79" w:rsidRPr="0017566A" w:rsidRDefault="00603C79" w:rsidP="00603C79">
      <w:pPr>
        <w:pStyle w:val="SingleTxt"/>
        <w:spacing w:after="0" w:line="120" w:lineRule="exact"/>
        <w:rPr>
          <w:sz w:val="10"/>
          <w:lang w:val="es-ES_tradnl"/>
        </w:rPr>
      </w:pPr>
    </w:p>
    <w:p w14:paraId="1581A614" w14:textId="77777777"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Medidas especiales de carácter temporal</w:t>
      </w:r>
    </w:p>
    <w:p w14:paraId="29CD022B" w14:textId="1FC6B24B" w:rsidR="004570E4" w:rsidRPr="0017566A" w:rsidRDefault="004570E4" w:rsidP="00603C79">
      <w:pPr>
        <w:pStyle w:val="SingleTxt"/>
        <w:spacing w:after="0" w:line="120" w:lineRule="exact"/>
        <w:rPr>
          <w:sz w:val="10"/>
          <w:lang w:val="es-ES_tradnl"/>
        </w:rPr>
      </w:pPr>
    </w:p>
    <w:p w14:paraId="24B2A776" w14:textId="74CF26E4" w:rsidR="00603C79" w:rsidRPr="0017566A" w:rsidRDefault="00603C79" w:rsidP="00603C79">
      <w:pPr>
        <w:pStyle w:val="SingleTxt"/>
        <w:spacing w:after="0" w:line="120" w:lineRule="exact"/>
        <w:rPr>
          <w:sz w:val="10"/>
          <w:lang w:val="es-ES_tradnl"/>
        </w:rPr>
      </w:pPr>
    </w:p>
    <w:p w14:paraId="745243F9"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6 de la lista de cuestiones y preguntas</w:t>
      </w:r>
    </w:p>
    <w:p w14:paraId="1306A32B" w14:textId="79B30BC1" w:rsidR="004570E4" w:rsidRPr="0017566A" w:rsidRDefault="004570E4" w:rsidP="00603C79">
      <w:pPr>
        <w:pStyle w:val="SingleTxt"/>
        <w:spacing w:after="0" w:line="120" w:lineRule="exact"/>
        <w:rPr>
          <w:sz w:val="10"/>
          <w:lang w:val="es-ES_tradnl"/>
        </w:rPr>
      </w:pPr>
    </w:p>
    <w:p w14:paraId="00AE57E8" w14:textId="77777777" w:rsidR="004570E4" w:rsidRPr="0017566A" w:rsidRDefault="004570E4" w:rsidP="004570E4">
      <w:pPr>
        <w:pStyle w:val="SingleTxt"/>
        <w:rPr>
          <w:lang w:val="es-ES_tradnl"/>
        </w:rPr>
      </w:pPr>
      <w:r w:rsidRPr="0017566A">
        <w:rPr>
          <w:lang w:val="es-ES_tradnl"/>
        </w:rPr>
        <w:t>32.</w:t>
      </w:r>
      <w:r w:rsidRPr="0017566A">
        <w:rPr>
          <w:lang w:val="es-ES_tradnl"/>
        </w:rPr>
        <w:tab/>
        <w:t xml:space="preserve">En la actualidad, no existen medidas especiales de carácter temporal. Sin embargo, en Saint Kitts más del 60% de las mujeres ocupan el cargo de secretaria permanente, que es el puesto de mayor responsabilidad en la vida pública. </w:t>
      </w:r>
    </w:p>
    <w:p w14:paraId="3B6F03FF" w14:textId="2541E669" w:rsidR="004570E4" w:rsidRPr="0017566A" w:rsidRDefault="004570E4" w:rsidP="00603C79">
      <w:pPr>
        <w:pStyle w:val="SingleTxt"/>
        <w:spacing w:after="0" w:line="120" w:lineRule="exact"/>
        <w:rPr>
          <w:sz w:val="10"/>
          <w:lang w:val="es-ES_tradnl"/>
        </w:rPr>
      </w:pPr>
    </w:p>
    <w:p w14:paraId="6C311E83" w14:textId="336C75A9" w:rsidR="00603C79" w:rsidRPr="0017566A" w:rsidRDefault="00603C79" w:rsidP="00603C79">
      <w:pPr>
        <w:pStyle w:val="SingleTxt"/>
        <w:spacing w:after="0" w:line="120" w:lineRule="exact"/>
        <w:rPr>
          <w:sz w:val="10"/>
          <w:lang w:val="es-ES_tradnl"/>
        </w:rPr>
      </w:pPr>
    </w:p>
    <w:p w14:paraId="6D721032" w14:textId="77777777"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Estereotipos discriminatorios </w:t>
      </w:r>
    </w:p>
    <w:p w14:paraId="4BE43DA8" w14:textId="5F33D097" w:rsidR="004570E4" w:rsidRPr="0017566A" w:rsidRDefault="004570E4" w:rsidP="00603C79">
      <w:pPr>
        <w:pStyle w:val="SingleTxt"/>
        <w:spacing w:after="0" w:line="120" w:lineRule="exact"/>
        <w:rPr>
          <w:sz w:val="10"/>
          <w:lang w:val="es-ES_tradnl"/>
        </w:rPr>
      </w:pPr>
    </w:p>
    <w:p w14:paraId="61D61362" w14:textId="6CB29155" w:rsidR="00603C79" w:rsidRPr="0017566A" w:rsidRDefault="00603C79" w:rsidP="00603C79">
      <w:pPr>
        <w:pStyle w:val="SingleTxt"/>
        <w:spacing w:after="0" w:line="120" w:lineRule="exact"/>
        <w:rPr>
          <w:sz w:val="10"/>
          <w:lang w:val="es-ES_tradnl"/>
        </w:rPr>
      </w:pPr>
    </w:p>
    <w:p w14:paraId="38BD3D10"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7 de la lista de cuestiones y preguntas</w:t>
      </w:r>
    </w:p>
    <w:p w14:paraId="4EDC5638" w14:textId="1F00D8AD" w:rsidR="004570E4" w:rsidRPr="0017566A" w:rsidRDefault="004570E4" w:rsidP="00603C79">
      <w:pPr>
        <w:pStyle w:val="SingleTxt"/>
        <w:spacing w:after="0" w:line="120" w:lineRule="exact"/>
        <w:rPr>
          <w:sz w:val="10"/>
          <w:lang w:val="es-ES_tradnl"/>
        </w:rPr>
      </w:pPr>
    </w:p>
    <w:p w14:paraId="75E48027" w14:textId="54A464BC" w:rsidR="004570E4" w:rsidRPr="0017566A" w:rsidRDefault="004570E4" w:rsidP="004570E4">
      <w:pPr>
        <w:pStyle w:val="SingleTxt"/>
        <w:rPr>
          <w:lang w:val="es-ES_tradnl"/>
        </w:rPr>
      </w:pPr>
      <w:r w:rsidRPr="0017566A">
        <w:rPr>
          <w:lang w:val="es-ES_tradnl"/>
        </w:rPr>
        <w:t>33.</w:t>
      </w:r>
      <w:r w:rsidRPr="0017566A">
        <w:rPr>
          <w:lang w:val="es-ES_tradnl"/>
        </w:rPr>
        <w:tab/>
        <w:t xml:space="preserve">Los ministerios pertinentes trabajan junto a las familias y los niños en un esfuerzo por fomentar unas relaciones más sólidas, por ejemplo, mediante la orientación para familias. En las actividades de sensibilización pública se abordan las actitudes patriarcales, en particular las que conmemoran las celebraciones mundiales. El 16 de mayo de 2022, el Mecanismo Nacional de Género de Saint Kitts y Nevis celebró el Día Internacional del Niño bajo el lema </w:t>
      </w:r>
      <w:r w:rsidR="00B01A25" w:rsidRPr="0017566A">
        <w:rPr>
          <w:lang w:val="es-ES_tradnl"/>
        </w:rPr>
        <w:t>“</w:t>
      </w:r>
      <w:r w:rsidRPr="0017566A">
        <w:rPr>
          <w:lang w:val="es-ES_tradnl"/>
        </w:rPr>
        <w:t>Los niños en desarrollo: construcción de actitudes positivas en nuestros niños</w:t>
      </w:r>
      <w:r w:rsidR="00B01A25" w:rsidRPr="0017566A">
        <w:rPr>
          <w:lang w:val="es-ES_tradnl"/>
        </w:rPr>
        <w:t>”</w:t>
      </w:r>
      <w:r w:rsidRPr="0017566A">
        <w:rPr>
          <w:lang w:val="es-ES_tradnl"/>
        </w:rPr>
        <w:t xml:space="preserve">. Las actividades realizadas en toda la Federación para reconocer los retos a los que se enfrentan los niños abarcaron los discursos nacionales pronunciados por los ministros responsables de los asuntos de género de Saint Kitts y Nevis, mesas redondas y emisiones informativas del Gobierno en las que se planteó y exploró la naturaleza discriminatoria de los roles y responsabilidades de género en el hogar. </w:t>
      </w:r>
    </w:p>
    <w:p w14:paraId="5A1541E4" w14:textId="53F74ED5" w:rsidR="004570E4" w:rsidRPr="0017566A" w:rsidRDefault="004570E4" w:rsidP="00603C79">
      <w:pPr>
        <w:pStyle w:val="SingleTxt"/>
        <w:spacing w:after="0" w:line="120" w:lineRule="exact"/>
        <w:rPr>
          <w:sz w:val="10"/>
          <w:lang w:val="es-ES_tradnl"/>
        </w:rPr>
      </w:pPr>
    </w:p>
    <w:p w14:paraId="519815D3" w14:textId="528A0E54" w:rsidR="00603C79" w:rsidRPr="0017566A" w:rsidRDefault="00603C79" w:rsidP="00603C79">
      <w:pPr>
        <w:pStyle w:val="SingleTxt"/>
        <w:spacing w:after="0" w:line="120" w:lineRule="exact"/>
        <w:rPr>
          <w:sz w:val="10"/>
          <w:lang w:val="es-ES_tradnl"/>
        </w:rPr>
      </w:pPr>
    </w:p>
    <w:p w14:paraId="6234DB22" w14:textId="3B05C4CF"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Violencia de género contra la mujer</w:t>
      </w:r>
    </w:p>
    <w:p w14:paraId="20C79AAB" w14:textId="651AF518" w:rsidR="004570E4" w:rsidRPr="0017566A" w:rsidRDefault="004570E4" w:rsidP="00603C79">
      <w:pPr>
        <w:pStyle w:val="SingleTxt"/>
        <w:keepNext/>
        <w:keepLines/>
        <w:spacing w:after="0" w:line="120" w:lineRule="exact"/>
        <w:rPr>
          <w:sz w:val="10"/>
          <w:lang w:val="es-ES_tradnl"/>
        </w:rPr>
      </w:pPr>
    </w:p>
    <w:p w14:paraId="56397CD9" w14:textId="76777695" w:rsidR="00603C79" w:rsidRPr="0017566A" w:rsidRDefault="00603C79" w:rsidP="00603C79">
      <w:pPr>
        <w:pStyle w:val="SingleTxt"/>
        <w:keepNext/>
        <w:keepLines/>
        <w:spacing w:after="0" w:line="120" w:lineRule="exact"/>
        <w:rPr>
          <w:sz w:val="10"/>
          <w:lang w:val="es-ES_tradnl"/>
        </w:rPr>
      </w:pPr>
    </w:p>
    <w:p w14:paraId="2AEDCC2C"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8 de la lista de cuestiones y preguntas</w:t>
      </w:r>
      <w:bookmarkStart w:id="4" w:name="_Hlk115857668"/>
      <w:bookmarkEnd w:id="4"/>
    </w:p>
    <w:p w14:paraId="7FBE8E7F" w14:textId="380B42D7" w:rsidR="004570E4" w:rsidRPr="0017566A" w:rsidRDefault="004570E4" w:rsidP="00603C79">
      <w:pPr>
        <w:pStyle w:val="SingleTxt"/>
        <w:keepNext/>
        <w:keepLines/>
        <w:spacing w:after="0" w:line="120" w:lineRule="exact"/>
        <w:rPr>
          <w:sz w:val="10"/>
          <w:lang w:val="es-ES_tradnl"/>
        </w:rPr>
      </w:pPr>
    </w:p>
    <w:p w14:paraId="4C6D8829" w14:textId="77777777" w:rsidR="004570E4" w:rsidRPr="0017566A" w:rsidRDefault="004570E4" w:rsidP="00603C79">
      <w:pPr>
        <w:pStyle w:val="SingleTxt"/>
        <w:keepNext/>
        <w:keepLines/>
        <w:rPr>
          <w:lang w:val="es-ES_tradnl"/>
        </w:rPr>
      </w:pPr>
      <w:r w:rsidRPr="0017566A">
        <w:rPr>
          <w:lang w:val="es-ES_tradnl"/>
        </w:rPr>
        <w:t>34.</w:t>
      </w:r>
      <w:r w:rsidRPr="0017566A">
        <w:rPr>
          <w:lang w:val="es-ES_tradnl"/>
        </w:rPr>
        <w:tab/>
        <w:t xml:space="preserve">Sin embargo, no se hace mención específica del género ni de las mujeres. El marco de medidas legislativas incluye la propuesta de leyes y la revisión de las existentes. Entre las medidas legislativas relevantes figuran, entre otras, las que se enumera a continuación. </w:t>
      </w:r>
    </w:p>
    <w:p w14:paraId="210D67A3" w14:textId="77777777" w:rsidR="004570E4" w:rsidRPr="0017566A" w:rsidRDefault="004570E4" w:rsidP="004570E4">
      <w:pPr>
        <w:pStyle w:val="SingleTxt"/>
        <w:rPr>
          <w:lang w:val="es-ES_tradnl"/>
        </w:rPr>
      </w:pPr>
      <w:r w:rsidRPr="0017566A">
        <w:rPr>
          <w:lang w:val="es-ES_tradnl"/>
        </w:rPr>
        <w:t>35.</w:t>
      </w:r>
      <w:r w:rsidRPr="0017566A">
        <w:rPr>
          <w:lang w:val="es-ES_tradnl"/>
        </w:rPr>
        <w:tab/>
        <w:t xml:space="preserve">La Ley de Delitos contra la Persona, cap. 4.21, contiene disposiciones relativas a los delitos contra la persona y asuntos conexos. Comprende las agresiones graves a mujeres, la violación, el secuestro, la profanación de mujeres y los intentos de provocar un aborto o de ocultar el nacimiento de un niño. </w:t>
      </w:r>
    </w:p>
    <w:p w14:paraId="1A4D8A6B" w14:textId="77777777" w:rsidR="004570E4" w:rsidRPr="0017566A" w:rsidRDefault="004570E4" w:rsidP="004570E4">
      <w:pPr>
        <w:pStyle w:val="SingleTxt"/>
        <w:rPr>
          <w:lang w:val="es-ES_tradnl"/>
        </w:rPr>
      </w:pPr>
      <w:r w:rsidRPr="0017566A">
        <w:rPr>
          <w:lang w:val="es-ES_tradnl"/>
        </w:rPr>
        <w:t>36.</w:t>
      </w:r>
      <w:r w:rsidRPr="0017566A">
        <w:rPr>
          <w:lang w:val="es-ES_tradnl"/>
        </w:rPr>
        <w:tab/>
        <w:t xml:space="preserve">La Ley (de Prevención) de la Trata de Personas, cap. 4.40, prescribe medidas para prevenir y combatir la trata de personas, prestando especial atención a las víctimas que son mujeres y niños. </w:t>
      </w:r>
    </w:p>
    <w:p w14:paraId="2BC3F92C" w14:textId="77777777" w:rsidR="004570E4" w:rsidRPr="0017566A" w:rsidRDefault="004570E4" w:rsidP="004570E4">
      <w:pPr>
        <w:pStyle w:val="SingleTxt"/>
        <w:rPr>
          <w:lang w:val="es-ES_tradnl"/>
        </w:rPr>
      </w:pPr>
      <w:r w:rsidRPr="0017566A">
        <w:rPr>
          <w:lang w:val="es-ES_tradnl"/>
        </w:rPr>
        <w:t>37.</w:t>
      </w:r>
      <w:r w:rsidRPr="0017566A">
        <w:rPr>
          <w:lang w:val="es-ES_tradnl"/>
        </w:rPr>
        <w:tab/>
        <w:t xml:space="preserve">La Ley de la Condición Jurídica de los Niños, cap. 12.14, reconoce que todos los niños tienen la misma condición jurídica independientemente de que hayan nacido fuera del matrimonio. La Ley por la que se Modifica la Ley de la Condición Jurídica de los Niños, de 2013, volvió a modificar la ley en lo tocante a la presunción de paternidad, incluido el derecho de la madre a elegir que el niño utilice el apellido de ella en lugar del apellido del padre. </w:t>
      </w:r>
    </w:p>
    <w:p w14:paraId="183ADFB5" w14:textId="77777777" w:rsidR="004570E4" w:rsidRPr="0017566A" w:rsidRDefault="004570E4" w:rsidP="004570E4">
      <w:pPr>
        <w:pStyle w:val="SingleTxt"/>
        <w:rPr>
          <w:lang w:val="es-ES_tradnl"/>
        </w:rPr>
      </w:pPr>
      <w:r w:rsidRPr="0017566A">
        <w:rPr>
          <w:lang w:val="es-ES_tradnl"/>
        </w:rPr>
        <w:t>38.</w:t>
      </w:r>
      <w:r w:rsidRPr="0017566A">
        <w:rPr>
          <w:lang w:val="es-ES_tradnl"/>
        </w:rPr>
        <w:tab/>
        <w:t xml:space="preserve">La Ley de Delitos Electrónicos, cap. 4.41, contempla sanciones, que incluyen multas y penas de prisión, para las personas que cometan el delito de utilización de niños en la pornografía. </w:t>
      </w:r>
    </w:p>
    <w:p w14:paraId="25A4EA9D" w14:textId="77777777" w:rsidR="004570E4" w:rsidRPr="0017566A" w:rsidRDefault="004570E4" w:rsidP="004570E4">
      <w:pPr>
        <w:pStyle w:val="SingleTxt"/>
        <w:rPr>
          <w:lang w:val="es-ES_tradnl"/>
        </w:rPr>
      </w:pPr>
      <w:r w:rsidRPr="0017566A">
        <w:rPr>
          <w:lang w:val="es-ES_tradnl"/>
        </w:rPr>
        <w:t>39.</w:t>
      </w:r>
      <w:r w:rsidRPr="0017566A">
        <w:rPr>
          <w:lang w:val="es-ES_tradnl"/>
        </w:rPr>
        <w:tab/>
        <w:t xml:space="preserve">La Ley de Igualdad de Remuneración, cap. 18.45, dispone, en el ámbito del empleo remunerado, la eliminación y la prevención de la discriminación por motivo del sexo del empleado. </w:t>
      </w:r>
    </w:p>
    <w:p w14:paraId="42C943EE" w14:textId="7EFA5FED" w:rsidR="004570E4" w:rsidRPr="0017566A" w:rsidRDefault="004570E4" w:rsidP="004570E4">
      <w:pPr>
        <w:pStyle w:val="SingleTxt"/>
        <w:rPr>
          <w:lang w:val="es-ES_tradnl"/>
        </w:rPr>
      </w:pPr>
      <w:r w:rsidRPr="0017566A">
        <w:rPr>
          <w:lang w:val="es-ES_tradnl"/>
        </w:rPr>
        <w:t>40.</w:t>
      </w:r>
      <w:r w:rsidRPr="0017566A">
        <w:rPr>
          <w:lang w:val="es-ES_tradnl"/>
        </w:rPr>
        <w:tab/>
        <w:t xml:space="preserve">La Ley sobre la Violencia Doméstica, cap. 12.04, ofrece protección a las víctimas de la violencia en el hogar, incluida la violencia contra las mujeres y los niños, y contempla la concesión de órdenes de protección. En la ley, se define la violencia doméstica como </w:t>
      </w:r>
      <w:r w:rsidR="00B01A25" w:rsidRPr="0017566A">
        <w:rPr>
          <w:lang w:val="es-ES_tradnl"/>
        </w:rPr>
        <w:t>“</w:t>
      </w:r>
      <w:r w:rsidRPr="0017566A">
        <w:rPr>
          <w:lang w:val="es-ES_tradnl"/>
        </w:rPr>
        <w:t>todo comportamiento controlador o abusivo que perjudique la salud, la seguridad o el bienestar de una persona o de un niño</w:t>
      </w:r>
      <w:r w:rsidR="00B01A25" w:rsidRPr="0017566A">
        <w:rPr>
          <w:lang w:val="es-ES_tradnl"/>
        </w:rPr>
        <w:t>”</w:t>
      </w:r>
      <w:r w:rsidRPr="0017566A">
        <w:rPr>
          <w:lang w:val="es-ES_tradnl"/>
        </w:rPr>
        <w:t xml:space="preserve"> y se detallan las diversas formas de violencia doméstica. La ley entró en vigor el 20 de noviembre de 2019.</w:t>
      </w:r>
    </w:p>
    <w:p w14:paraId="3E3FD275" w14:textId="77777777" w:rsidR="004570E4" w:rsidRPr="0017566A" w:rsidRDefault="004570E4" w:rsidP="004570E4">
      <w:pPr>
        <w:pStyle w:val="SingleTxt"/>
        <w:rPr>
          <w:lang w:val="es-ES_tradnl"/>
        </w:rPr>
      </w:pPr>
      <w:r w:rsidRPr="0017566A">
        <w:rPr>
          <w:lang w:val="es-ES_tradnl"/>
        </w:rPr>
        <w:t>41.</w:t>
      </w:r>
      <w:r w:rsidRPr="0017566A">
        <w:rPr>
          <w:lang w:val="es-ES_tradnl"/>
        </w:rPr>
        <w:tab/>
        <w:t xml:space="preserve">No consta que se hayan tomado medidas para ejercer </w:t>
      </w:r>
      <w:r w:rsidRPr="0017566A">
        <w:rPr>
          <w:i/>
          <w:iCs/>
          <w:lang w:val="es-ES_tradnl"/>
        </w:rPr>
        <w:t>ex officio</w:t>
      </w:r>
      <w:r w:rsidRPr="0017566A">
        <w:rPr>
          <w:lang w:val="es-ES_tradnl"/>
        </w:rPr>
        <w:t xml:space="preserve"> el enjuiciamiento de los autores de los casos de violencia doméstica, aun en el supuesto de que la víctima decida retirar la denuncia o no testificar en el juicio. </w:t>
      </w:r>
    </w:p>
    <w:p w14:paraId="3179B9E8" w14:textId="77777777" w:rsidR="004570E4" w:rsidRPr="0017566A" w:rsidRDefault="004570E4" w:rsidP="004570E4">
      <w:pPr>
        <w:pStyle w:val="SingleTxt"/>
        <w:rPr>
          <w:lang w:val="es-ES_tradnl"/>
        </w:rPr>
      </w:pPr>
      <w:r w:rsidRPr="0017566A">
        <w:rPr>
          <w:lang w:val="es-ES_tradnl"/>
        </w:rPr>
        <w:t>42.</w:t>
      </w:r>
      <w:r w:rsidRPr="0017566A">
        <w:rPr>
          <w:lang w:val="es-ES_tradnl"/>
        </w:rPr>
        <w:tab/>
        <w:t>La violencia de género es un delito contemplado en la Ley de Delitos contra las Personas, que se tratará estrictamente como un delito y no a través de la mediación. Además, solo los asuntos civiles se resuelven a través de la mediación.</w:t>
      </w:r>
    </w:p>
    <w:p w14:paraId="25DDC63C" w14:textId="77777777" w:rsidR="004570E4" w:rsidRPr="0017566A" w:rsidRDefault="004570E4" w:rsidP="004570E4">
      <w:pPr>
        <w:pStyle w:val="SingleTxt"/>
        <w:rPr>
          <w:lang w:val="es-ES_tradnl"/>
        </w:rPr>
      </w:pPr>
      <w:r w:rsidRPr="0017566A">
        <w:rPr>
          <w:lang w:val="es-ES_tradnl"/>
        </w:rPr>
        <w:t>43.</w:t>
      </w:r>
      <w:r w:rsidRPr="0017566A">
        <w:rPr>
          <w:lang w:val="es-ES_tradnl"/>
        </w:rPr>
        <w:tab/>
        <w:t>Las víctimas de abuso sexual deben presentar una denuncia formal ante el Departamento de Asuntos de Género, en la Dependencia Especial para Víctimas de la Policía, los cargos son presentados por la Policía y son procesados por el Director del Ministerio Público y, en estas circunstancias, la interrupción del delito a causa del soborno es insostenible.</w:t>
      </w:r>
    </w:p>
    <w:p w14:paraId="480AB42D" w14:textId="77777777" w:rsidR="004570E4" w:rsidRPr="0017566A" w:rsidRDefault="004570E4" w:rsidP="004570E4">
      <w:pPr>
        <w:pStyle w:val="SingleTxt"/>
        <w:rPr>
          <w:lang w:val="es-ES_tradnl"/>
        </w:rPr>
      </w:pPr>
      <w:r w:rsidRPr="0017566A">
        <w:rPr>
          <w:lang w:val="es-ES_tradnl"/>
        </w:rPr>
        <w:t>44.</w:t>
      </w:r>
      <w:r w:rsidRPr="0017566A">
        <w:rPr>
          <w:lang w:val="es-ES_tradnl"/>
        </w:rPr>
        <w:tab/>
        <w:t>El Director del Ministerio Público tiene la facultad de continuar con el enjuiciamiento de un asunto incluso si el denunciante desea suspenderlo y puede seguir adelante si mantiene la firme opinión de que el caso tiene buenas perspectivas de obtener un veredicto positivo, basándose en las pruebas.</w:t>
      </w:r>
    </w:p>
    <w:p w14:paraId="5DAF0E05" w14:textId="56B665B9" w:rsidR="004570E4" w:rsidRPr="0017566A" w:rsidRDefault="004570E4" w:rsidP="00603C79">
      <w:pPr>
        <w:pStyle w:val="SingleTxt"/>
        <w:spacing w:after="0" w:line="120" w:lineRule="exact"/>
        <w:rPr>
          <w:sz w:val="10"/>
          <w:lang w:val="es-ES_tradnl"/>
        </w:rPr>
      </w:pPr>
    </w:p>
    <w:p w14:paraId="31AE708A"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9 de la lista de cuestiones y preguntas</w:t>
      </w:r>
    </w:p>
    <w:p w14:paraId="0C2038CD" w14:textId="169DFAF5" w:rsidR="004570E4" w:rsidRPr="0017566A" w:rsidRDefault="004570E4" w:rsidP="00603C79">
      <w:pPr>
        <w:pStyle w:val="SingleTxt"/>
        <w:spacing w:after="0" w:line="120" w:lineRule="exact"/>
        <w:rPr>
          <w:sz w:val="10"/>
          <w:lang w:val="es-ES_tradnl"/>
        </w:rPr>
      </w:pPr>
    </w:p>
    <w:p w14:paraId="4B2FBBB5" w14:textId="77777777" w:rsidR="004570E4" w:rsidRPr="0017566A" w:rsidRDefault="004570E4" w:rsidP="004570E4">
      <w:pPr>
        <w:pStyle w:val="SingleTxt"/>
        <w:rPr>
          <w:lang w:val="es-ES_tradnl"/>
        </w:rPr>
      </w:pPr>
      <w:r w:rsidRPr="0017566A">
        <w:rPr>
          <w:lang w:val="es-ES_tradnl"/>
        </w:rPr>
        <w:t>45.</w:t>
      </w:r>
      <w:r w:rsidRPr="0017566A">
        <w:rPr>
          <w:lang w:val="es-ES_tradnl"/>
        </w:rPr>
        <w:tab/>
        <w:t>La reubicación de la Dependencia Especial para Víctimas de la Real Fuerza Policial de Saint Kitts y Nevis como una unidad independiente proporciona a las víctimas un entorno más privado en el que denunciar los incidentes. La Unidad de Inteligencia Local de la Real Fuerza Policial de Saint Kitts y Nevis genera estadísticas de violencia doméstica que indican la relación entre la víctima y el autor del delito. En el momento de redactar este informe, no se disponía de datos estadísticos sobre los enjuiciamientos ni las condenas de los autores de la violencia de género contra las mujeres.</w:t>
      </w:r>
    </w:p>
    <w:p w14:paraId="0140E12E" w14:textId="77777777" w:rsidR="004570E4" w:rsidRPr="0017566A" w:rsidRDefault="004570E4" w:rsidP="004570E4">
      <w:pPr>
        <w:pStyle w:val="SingleTxt"/>
        <w:rPr>
          <w:lang w:val="es-ES_tradnl"/>
        </w:rPr>
      </w:pPr>
      <w:r w:rsidRPr="0017566A">
        <w:rPr>
          <w:lang w:val="es-ES_tradnl"/>
        </w:rPr>
        <w:t>46.</w:t>
      </w:r>
      <w:r w:rsidRPr="0017566A">
        <w:rPr>
          <w:lang w:val="es-ES_tradnl"/>
        </w:rPr>
        <w:tab/>
        <w:t>El Departamento de Asuntos de Género mantiene una estrecha relación laboral con la Dependencia Especial para Víctimas. Las víctimas de la violencia de género reciben apoyo a través de los servicios de defensa y de las remisiones interdepartamentales a los organismos pertinentes, es decir, asistencia social, asesoramiento, etc. El Ministerio de Servicios Sociales y Asuntos de Género proporciona ayuda financiera a las víctimas de la violencia doméstica que no pueden hacer frente a los gastos de asesoramiento jurídico.</w:t>
      </w:r>
    </w:p>
    <w:p w14:paraId="310B4DB2" w14:textId="77777777" w:rsidR="004570E4" w:rsidRPr="0017566A" w:rsidRDefault="004570E4" w:rsidP="004570E4">
      <w:pPr>
        <w:pStyle w:val="SingleTxt"/>
        <w:rPr>
          <w:lang w:val="es-ES_tradnl"/>
        </w:rPr>
      </w:pPr>
      <w:r w:rsidRPr="0017566A">
        <w:rPr>
          <w:lang w:val="es-ES_tradnl"/>
        </w:rPr>
        <w:t>47.</w:t>
      </w:r>
      <w:r w:rsidRPr="0017566A">
        <w:rPr>
          <w:lang w:val="es-ES_tradnl"/>
        </w:rPr>
        <w:tab/>
        <w:t xml:space="preserve">En noviembre de 2018 se puso en marcha el Protocolo Nacional de Denuncias y Respuesta a la Violencia Doméstica y Sexual. En 2019 se celebraron dos talleres de un día de duración en Saint Kitts y Nevis a los que asistieron 80 partes interesadas. Las actividades de ejecución patrocinadas por la Organización Panamericana de la Salud (OPS) instruyeron a las partes interesadas sobre sus funciones, responsabilidades y los procedimientos contenidos en el protocolo. Además, el taller proporcionó oportunidades de participación a los organismos para revisar los distintos formularios de adopción del protocolo y para establecer redes. Las principales conclusiones de la consulta pusieron de manifiesto la necesidad de una sensibilización periódica y una capacitación continua, una recogida de datos de calidad, unas buenas relaciones laborales y unos procedimientos operativos claros. Hasta la fecha, no se ha llevado a cabo ningún seguimiento ni evaluación formal del protocolo. </w:t>
      </w:r>
    </w:p>
    <w:p w14:paraId="19B0710C" w14:textId="77777777" w:rsidR="004570E4" w:rsidRPr="0017566A" w:rsidRDefault="004570E4" w:rsidP="004570E4">
      <w:pPr>
        <w:pStyle w:val="SingleTxt"/>
        <w:rPr>
          <w:lang w:val="es-ES_tradnl"/>
        </w:rPr>
      </w:pPr>
      <w:r w:rsidRPr="0017566A">
        <w:rPr>
          <w:lang w:val="es-ES_tradnl"/>
        </w:rPr>
        <w:t>48.</w:t>
      </w:r>
      <w:r w:rsidRPr="0017566A">
        <w:rPr>
          <w:lang w:val="es-ES_tradnl"/>
        </w:rPr>
        <w:tab/>
        <w:t>El plan estratégico contra la violencia doméstica está todavía en fase de borrador.</w:t>
      </w:r>
    </w:p>
    <w:p w14:paraId="20ED8E00" w14:textId="3DB751D8" w:rsidR="004570E4" w:rsidRPr="0017566A" w:rsidRDefault="004570E4" w:rsidP="00603C79">
      <w:pPr>
        <w:pStyle w:val="SingleTxt"/>
        <w:spacing w:after="0" w:line="120" w:lineRule="exact"/>
        <w:rPr>
          <w:sz w:val="10"/>
          <w:lang w:val="es-ES_tradnl"/>
        </w:rPr>
      </w:pPr>
    </w:p>
    <w:p w14:paraId="003F8835"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10 de la lista de cuestiones y preguntas</w:t>
      </w:r>
    </w:p>
    <w:p w14:paraId="205906F6" w14:textId="6B60BB91" w:rsidR="004570E4" w:rsidRPr="0017566A" w:rsidRDefault="004570E4" w:rsidP="00603C79">
      <w:pPr>
        <w:pStyle w:val="SingleTxt"/>
        <w:spacing w:after="0" w:line="120" w:lineRule="exact"/>
        <w:rPr>
          <w:sz w:val="10"/>
          <w:lang w:val="es-ES_tradnl"/>
        </w:rPr>
      </w:pPr>
    </w:p>
    <w:p w14:paraId="126CDD91" w14:textId="77777777" w:rsidR="004570E4" w:rsidRPr="0017566A" w:rsidRDefault="004570E4" w:rsidP="004570E4">
      <w:pPr>
        <w:pStyle w:val="SingleTxt"/>
        <w:rPr>
          <w:lang w:val="es-ES_tradnl"/>
        </w:rPr>
      </w:pPr>
      <w:r w:rsidRPr="0017566A">
        <w:rPr>
          <w:lang w:val="es-ES_tradnl"/>
        </w:rPr>
        <w:t>49.</w:t>
      </w:r>
      <w:r w:rsidRPr="0017566A">
        <w:rPr>
          <w:lang w:val="es-ES_tradnl"/>
        </w:rPr>
        <w:tab/>
        <w:t>Aunque no existe un teléfono de asistencia gratuito, el Departamento de Asuntos de Género sigue teniendo un teléfono móvil de guardia al que pueden llamar las personas que buscan ayuda. Los esfuerzos de colaboración con la sociedad civil y las organizaciones confesionales también siguen siendo un apoyo para las víctimas de la violencia de género. En 2022, el Ministerio de Desarrollo Social y Asuntos de Género suscribió un memorando de entendimiento con un centro de acogida de gestión privada para proporcionar alojamiento a corto plazo a las mujeres víctimas de la violencia de género (incluidos sus hijos menores de 5 años). Las víctimas son remitidas a este centro a través del Ministerio y se les brindan servicios de asistencia psicosocial y social, según sea necesario. Las organizaciones confesionales siguen prestando apoyo para alojar temporalmente a las víctimas de la violencia doméstica; En 2021 se inauguró oficialmente una de estas unidades</w:t>
      </w:r>
      <w:r w:rsidRPr="0017566A">
        <w:rPr>
          <w:vertAlign w:val="superscript"/>
          <w:lang w:val="es-ES_tradnl"/>
        </w:rPr>
        <w:footnoteReference w:id="8"/>
      </w:r>
      <w:r w:rsidRPr="0017566A">
        <w:rPr>
          <w:lang w:val="es-ES_tradnl"/>
        </w:rPr>
        <w:t>.</w:t>
      </w:r>
    </w:p>
    <w:p w14:paraId="757CCF80" w14:textId="77777777" w:rsidR="004570E4" w:rsidRPr="0017566A" w:rsidRDefault="004570E4" w:rsidP="004570E4">
      <w:pPr>
        <w:pStyle w:val="SingleTxt"/>
        <w:rPr>
          <w:b/>
          <w:lang w:val="es-ES_tradnl"/>
        </w:rPr>
      </w:pPr>
      <w:r w:rsidRPr="0017566A">
        <w:rPr>
          <w:lang w:val="es-ES_tradnl"/>
        </w:rPr>
        <w:t>50.</w:t>
      </w:r>
      <w:r w:rsidRPr="0017566A">
        <w:rPr>
          <w:lang w:val="es-ES_tradnl"/>
        </w:rPr>
        <w:tab/>
        <w:t>No existe una política gubernamental de asignación de viviendas específicamente para las víctimas de la violencia.</w:t>
      </w:r>
    </w:p>
    <w:p w14:paraId="50315ACF" w14:textId="5B58DAB2" w:rsidR="004570E4" w:rsidRPr="0017566A" w:rsidRDefault="004570E4" w:rsidP="00603C79">
      <w:pPr>
        <w:pStyle w:val="SingleTxt"/>
        <w:spacing w:after="0" w:line="120" w:lineRule="exact"/>
        <w:rPr>
          <w:sz w:val="10"/>
          <w:lang w:val="es-ES_tradnl"/>
        </w:rPr>
      </w:pPr>
    </w:p>
    <w:p w14:paraId="7ACABFFE" w14:textId="4F34719A" w:rsidR="00603C79" w:rsidRPr="0017566A" w:rsidRDefault="00603C79" w:rsidP="00603C79">
      <w:pPr>
        <w:pStyle w:val="SingleTxt"/>
        <w:spacing w:after="0" w:line="120" w:lineRule="exact"/>
        <w:rPr>
          <w:sz w:val="10"/>
          <w:lang w:val="es-ES_tradnl"/>
        </w:rPr>
      </w:pPr>
    </w:p>
    <w:p w14:paraId="09BCF923" w14:textId="77777777"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Trata y explotación de la prostitución </w:t>
      </w:r>
    </w:p>
    <w:p w14:paraId="31AE5B5A" w14:textId="046FB224" w:rsidR="004570E4" w:rsidRPr="0017566A" w:rsidRDefault="004570E4" w:rsidP="00603C79">
      <w:pPr>
        <w:pStyle w:val="SingleTxt"/>
        <w:spacing w:after="0" w:line="120" w:lineRule="exact"/>
        <w:rPr>
          <w:sz w:val="10"/>
          <w:lang w:val="es-ES_tradnl"/>
        </w:rPr>
      </w:pPr>
    </w:p>
    <w:p w14:paraId="4C11CBB2" w14:textId="61C0437A" w:rsidR="00603C79" w:rsidRPr="0017566A" w:rsidRDefault="00603C79" w:rsidP="00603C79">
      <w:pPr>
        <w:pStyle w:val="SingleTxt"/>
        <w:spacing w:after="0" w:line="120" w:lineRule="exact"/>
        <w:rPr>
          <w:sz w:val="10"/>
          <w:lang w:val="es-ES_tradnl"/>
        </w:rPr>
      </w:pPr>
    </w:p>
    <w:p w14:paraId="7D0C649E"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11 de la lista de cuestiones y preguntas</w:t>
      </w:r>
    </w:p>
    <w:p w14:paraId="5F7D0785" w14:textId="47ED311C" w:rsidR="004570E4" w:rsidRPr="0017566A" w:rsidRDefault="004570E4" w:rsidP="00603C79">
      <w:pPr>
        <w:pStyle w:val="SingleTxt"/>
        <w:spacing w:after="0" w:line="120" w:lineRule="exact"/>
        <w:rPr>
          <w:sz w:val="10"/>
          <w:lang w:val="es-ES_tradnl"/>
        </w:rPr>
      </w:pPr>
    </w:p>
    <w:p w14:paraId="5A96588D" w14:textId="77777777" w:rsidR="004570E4" w:rsidRPr="0017566A" w:rsidRDefault="004570E4" w:rsidP="004570E4">
      <w:pPr>
        <w:pStyle w:val="SingleTxt"/>
        <w:rPr>
          <w:lang w:val="es-ES_tradnl"/>
        </w:rPr>
      </w:pPr>
      <w:r w:rsidRPr="0017566A">
        <w:rPr>
          <w:lang w:val="es-ES_tradnl"/>
        </w:rPr>
        <w:t>51.</w:t>
      </w:r>
      <w:r w:rsidRPr="0017566A">
        <w:rPr>
          <w:lang w:val="es-ES_tradnl"/>
        </w:rPr>
        <w:tab/>
        <w:t>No hay informes oficiales sobre la trata de mujeres y niñas en la Federación, aunque se sabe que puede estar ocurriendo.</w:t>
      </w:r>
    </w:p>
    <w:p w14:paraId="54CFEDE4" w14:textId="77777777" w:rsidR="004570E4" w:rsidRPr="0017566A" w:rsidRDefault="004570E4" w:rsidP="004570E4">
      <w:pPr>
        <w:pStyle w:val="SingleTxt"/>
        <w:rPr>
          <w:lang w:val="es-ES_tradnl"/>
        </w:rPr>
      </w:pPr>
      <w:r w:rsidRPr="0017566A">
        <w:rPr>
          <w:lang w:val="es-ES_tradnl"/>
        </w:rPr>
        <w:t>52.</w:t>
      </w:r>
      <w:r w:rsidRPr="0017566A">
        <w:rPr>
          <w:lang w:val="es-ES_tradnl"/>
        </w:rPr>
        <w:tab/>
        <w:t xml:space="preserve">Saint Kitts y Nevis ha ratificado el Protocolo para Prevenir, Reprimir y Sancionar la Trata de Personas, Especialmente Mujeres y Niños (Protocolo de Palermo). La Federación también ha promulgado la Ley (de Prevención) de la Trata de Personas, capítulo 4.40, de 2008, que prevé la creación de un equipo de tareas nacional para combatir la trata de personas. </w:t>
      </w:r>
    </w:p>
    <w:p w14:paraId="47E62768" w14:textId="77777777" w:rsidR="004570E4" w:rsidRPr="0017566A" w:rsidRDefault="004570E4" w:rsidP="004570E4">
      <w:pPr>
        <w:pStyle w:val="SingleTxt"/>
        <w:rPr>
          <w:lang w:val="es-ES_tradnl"/>
        </w:rPr>
      </w:pPr>
      <w:r w:rsidRPr="0017566A">
        <w:rPr>
          <w:lang w:val="es-ES_tradnl"/>
        </w:rPr>
        <w:t>53.</w:t>
      </w:r>
      <w:r w:rsidRPr="0017566A">
        <w:rPr>
          <w:lang w:val="es-ES_tradnl"/>
        </w:rPr>
        <w:tab/>
        <w:t xml:space="preserve">Como parte de la asistencia técnica proporcionada por la Organización Internacional para las Migraciones (OIM) en el marco de la Acción Migratoria de la Unión Europea y los países de África, el Caribe y el Pacífico, se realizó una evaluación en 2018, con reuniones y capacitación con diversas partes interesadas en Saint Kitts y Nevis en enero y abril de 2019. A partir de estas reuniones, se ofrecieron recomendaciones al Ministerio de Relaciones Exteriores acerca de la composición y el funcionamiento de un equipo de tareas y una campaña de sensibilización pública para combatir el tráfico de migrantes y la trata de seres humanos. </w:t>
      </w:r>
    </w:p>
    <w:p w14:paraId="6382A9FB" w14:textId="77777777" w:rsidR="004570E4" w:rsidRPr="0017566A" w:rsidRDefault="004570E4" w:rsidP="004570E4">
      <w:pPr>
        <w:pStyle w:val="SingleTxt"/>
        <w:rPr>
          <w:lang w:val="es-ES_tradnl"/>
        </w:rPr>
      </w:pPr>
      <w:r w:rsidRPr="0017566A">
        <w:rPr>
          <w:lang w:val="es-ES_tradnl"/>
        </w:rPr>
        <w:t>54.</w:t>
      </w:r>
      <w:r w:rsidRPr="0017566A">
        <w:rPr>
          <w:lang w:val="es-ES_tradnl"/>
        </w:rPr>
        <w:tab/>
        <w:t xml:space="preserve">Las recomendaciones esbozaron los objetivos básicos, las estructuras y las funciones de un equipo de tareas nacional que resulte pertinente para el contexto o la situación actual de Saint Kitts y Nevis. Antes de la COVID-19 se celebraron varias reuniones de las partes interesadas locales para activar el equipo de tareas, pero los avances se interrumpieron tras el inicio de la pandemia. Se identificó el Ministerio de Seguridad Nacional como el organismo de coordinación para supervisar su aplicación. </w:t>
      </w:r>
    </w:p>
    <w:p w14:paraId="26BFDCEC" w14:textId="77777777" w:rsidR="004570E4" w:rsidRPr="0017566A" w:rsidRDefault="004570E4" w:rsidP="004570E4">
      <w:pPr>
        <w:pStyle w:val="SingleTxt"/>
        <w:rPr>
          <w:lang w:val="es-ES_tradnl"/>
        </w:rPr>
      </w:pPr>
      <w:r w:rsidRPr="0017566A">
        <w:rPr>
          <w:lang w:val="es-ES_tradnl"/>
        </w:rPr>
        <w:t>55.</w:t>
      </w:r>
      <w:r w:rsidRPr="0017566A">
        <w:rPr>
          <w:lang w:val="es-ES_tradnl"/>
        </w:rPr>
        <w:tab/>
        <w:t>Se creó una base de datos, así como un manual, con el fin de facilitar su uso por parte de los expertos en tecnologías de la información del gobierno local para la recopilación de datos de las víctimas de trata de seres humanos y tráfico de migrantes como parte de la asistencia técnica de la OIM/Unión Europea y los países de África, el Caribe y el Pacífico. Está previsto que la base de datos se amplíe para incluir información sobre investigaciones, enjuiciamientos y condenas, así como sobre los servicios y la protección que reciben las víctimas.</w:t>
      </w:r>
    </w:p>
    <w:p w14:paraId="298B224D" w14:textId="1FED3D0E" w:rsidR="004570E4" w:rsidRPr="0017566A" w:rsidRDefault="004570E4" w:rsidP="00603C79">
      <w:pPr>
        <w:pStyle w:val="SingleTxt"/>
        <w:spacing w:after="0" w:line="120" w:lineRule="exact"/>
        <w:rPr>
          <w:sz w:val="10"/>
          <w:lang w:val="es-ES_tradnl"/>
        </w:rPr>
      </w:pPr>
    </w:p>
    <w:p w14:paraId="4456FA27"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12 de la lista de cuestiones y preguntas</w:t>
      </w:r>
      <w:bookmarkStart w:id="5" w:name="_Hlk115858158"/>
      <w:bookmarkEnd w:id="5"/>
    </w:p>
    <w:p w14:paraId="57C77206" w14:textId="7CEE1F9B" w:rsidR="004570E4" w:rsidRPr="0017566A" w:rsidRDefault="004570E4" w:rsidP="00603C79">
      <w:pPr>
        <w:pStyle w:val="SingleTxt"/>
        <w:spacing w:after="0" w:line="120" w:lineRule="exact"/>
        <w:rPr>
          <w:sz w:val="10"/>
          <w:lang w:val="es-ES_tradnl"/>
        </w:rPr>
      </w:pPr>
    </w:p>
    <w:p w14:paraId="196E3170" w14:textId="77777777" w:rsidR="004570E4" w:rsidRPr="0017566A" w:rsidRDefault="004570E4" w:rsidP="004570E4">
      <w:pPr>
        <w:pStyle w:val="SingleTxt"/>
        <w:rPr>
          <w:lang w:val="es-ES_tradnl"/>
        </w:rPr>
      </w:pPr>
      <w:r w:rsidRPr="0017566A">
        <w:rPr>
          <w:lang w:val="es-ES_tradnl"/>
        </w:rPr>
        <w:t>56.</w:t>
      </w:r>
      <w:r w:rsidRPr="0017566A">
        <w:rPr>
          <w:lang w:val="es-ES_tradnl"/>
        </w:rPr>
        <w:tab/>
        <w:t>La prostitución sigue siendo ilegal en Saint Kitts y Nevis.</w:t>
      </w:r>
    </w:p>
    <w:p w14:paraId="336B66B0" w14:textId="5CAABD2A" w:rsidR="004570E4" w:rsidRPr="0017566A" w:rsidRDefault="004570E4" w:rsidP="00603C79">
      <w:pPr>
        <w:pStyle w:val="SingleTxt"/>
        <w:spacing w:after="0" w:line="120" w:lineRule="exact"/>
        <w:rPr>
          <w:sz w:val="10"/>
          <w:lang w:val="es-ES_tradnl"/>
        </w:rPr>
      </w:pPr>
    </w:p>
    <w:p w14:paraId="1D27EA7F" w14:textId="1F5BD5BE" w:rsidR="00603C79" w:rsidRPr="0017566A" w:rsidRDefault="00603C79" w:rsidP="00603C79">
      <w:pPr>
        <w:pStyle w:val="SingleTxt"/>
        <w:spacing w:after="0" w:line="120" w:lineRule="exact"/>
        <w:rPr>
          <w:sz w:val="10"/>
          <w:lang w:val="es-ES_tradnl"/>
        </w:rPr>
      </w:pPr>
    </w:p>
    <w:p w14:paraId="0AC9F9C6" w14:textId="77777777"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Participación en la vida política y pública </w:t>
      </w:r>
    </w:p>
    <w:p w14:paraId="017FE951" w14:textId="6D8D86EF" w:rsidR="004570E4" w:rsidRPr="0017566A" w:rsidRDefault="004570E4" w:rsidP="00603C79">
      <w:pPr>
        <w:pStyle w:val="SingleTxt"/>
        <w:spacing w:after="0" w:line="120" w:lineRule="exact"/>
        <w:rPr>
          <w:sz w:val="10"/>
          <w:lang w:val="es-ES_tradnl"/>
        </w:rPr>
      </w:pPr>
    </w:p>
    <w:p w14:paraId="697E78F5" w14:textId="33F32BD7" w:rsidR="00603C79" w:rsidRPr="0017566A" w:rsidRDefault="00603C79" w:rsidP="00603C79">
      <w:pPr>
        <w:pStyle w:val="SingleTxt"/>
        <w:spacing w:after="0" w:line="120" w:lineRule="exact"/>
        <w:rPr>
          <w:sz w:val="10"/>
          <w:lang w:val="es-ES_tradnl"/>
        </w:rPr>
      </w:pPr>
    </w:p>
    <w:p w14:paraId="13588208"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13 de la lista de cuestiones y preguntas</w:t>
      </w:r>
    </w:p>
    <w:p w14:paraId="458115B4" w14:textId="110FA219" w:rsidR="004570E4" w:rsidRPr="0017566A" w:rsidRDefault="004570E4" w:rsidP="00603C79">
      <w:pPr>
        <w:pStyle w:val="SingleTxt"/>
        <w:spacing w:after="0" w:line="120" w:lineRule="exact"/>
        <w:rPr>
          <w:sz w:val="10"/>
          <w:lang w:val="es-ES_tradnl"/>
        </w:rPr>
      </w:pPr>
    </w:p>
    <w:p w14:paraId="042A83B5" w14:textId="1ABA4A24" w:rsidR="004570E4" w:rsidRPr="0017566A" w:rsidRDefault="004570E4" w:rsidP="004570E4">
      <w:pPr>
        <w:pStyle w:val="SingleTxt"/>
        <w:rPr>
          <w:lang w:val="es-ES_tradnl"/>
        </w:rPr>
      </w:pPr>
      <w:r w:rsidRPr="0017566A">
        <w:rPr>
          <w:lang w:val="es-ES_tradnl"/>
        </w:rPr>
        <w:t>57.</w:t>
      </w:r>
      <w:r w:rsidRPr="0017566A">
        <w:rPr>
          <w:lang w:val="es-ES_tradnl"/>
        </w:rPr>
        <w:tab/>
        <w:t xml:space="preserve">En mayo de 2022, tras una remodelación del Gabinete antes de las elecciones generales, las mujeres representaban el 40% del Gabinete de Saint Kitts y Nevis. Tras las elecciones generales de agosto de 2022, el nuevo Gabinete de 8 miembros pasó a contar con 3 mujeres, lo que representa un 38% de participación política femenina. Ha habido un cambio abrumador en las actitudes hacia las mujeres que se dedican a la política. Siete mujeres representantes de la circunscripción electoral, de cinco partidos políticos, hicieron campaña durante el período previo a las elecciones generales. El aumento del liderazgo político femenino también fue objeto de un programa de radio local. Las miniconversaciones semanales con las candidatas que hicieron campaña electoral se promovieron en una serie titulada </w:t>
      </w:r>
      <w:r w:rsidR="00B01A25" w:rsidRPr="0017566A">
        <w:rPr>
          <w:lang w:val="es-ES_tradnl"/>
        </w:rPr>
        <w:t>“</w:t>
      </w:r>
      <w:r w:rsidRPr="0017566A">
        <w:rPr>
          <w:lang w:val="es-ES_tradnl"/>
        </w:rPr>
        <w:t>Running in Heels</w:t>
      </w:r>
      <w:r w:rsidR="00B01A25" w:rsidRPr="0017566A">
        <w:rPr>
          <w:lang w:val="es-ES_tradnl"/>
        </w:rPr>
        <w:t>”</w:t>
      </w:r>
      <w:r w:rsidRPr="0017566A">
        <w:rPr>
          <w:vertAlign w:val="superscript"/>
          <w:lang w:val="es-ES_tradnl"/>
        </w:rPr>
        <w:footnoteReference w:id="9"/>
      </w:r>
      <w:r w:rsidRPr="0017566A">
        <w:rPr>
          <w:lang w:val="es-ES_tradnl"/>
        </w:rPr>
        <w:t xml:space="preserve">, presentada por la Ministra Delegada de Sanidad y Asuntos de Género de Nevis, la Honorable Hazel Brandy Williams, antes de las elecciones generales federales. </w:t>
      </w:r>
    </w:p>
    <w:p w14:paraId="6E0B625C" w14:textId="77777777" w:rsidR="004570E4" w:rsidRPr="0017566A" w:rsidRDefault="004570E4" w:rsidP="004570E4">
      <w:pPr>
        <w:pStyle w:val="SingleTxt"/>
        <w:rPr>
          <w:lang w:val="es-ES_tradnl"/>
        </w:rPr>
      </w:pPr>
      <w:r w:rsidRPr="0017566A">
        <w:rPr>
          <w:lang w:val="es-ES_tradnl"/>
        </w:rPr>
        <w:t>58.</w:t>
      </w:r>
      <w:r w:rsidRPr="0017566A">
        <w:rPr>
          <w:lang w:val="es-ES_tradnl"/>
        </w:rPr>
        <w:tab/>
        <w:t>La Administración de la isla de Nevis ha proporcionado una serie de oportunidades a través de talleres y conferencias, por ejemplo, sobre las mujeres en los medios de comunicación, facilitados por personalidades destacadas de los medios de comunicación locales, las mujeres en la esfera política y el equilibrio de la vida personal y política, y sobre la evaluación de las posibilidades/preparación política, facilitados por analistas regionales del ámbito político.</w:t>
      </w:r>
    </w:p>
    <w:p w14:paraId="45C958AF" w14:textId="77777777" w:rsidR="004570E4" w:rsidRPr="0017566A" w:rsidRDefault="004570E4" w:rsidP="004570E4">
      <w:pPr>
        <w:pStyle w:val="SingleTxt"/>
        <w:rPr>
          <w:lang w:val="es-ES_tradnl"/>
        </w:rPr>
      </w:pPr>
      <w:r w:rsidRPr="0017566A">
        <w:rPr>
          <w:lang w:val="es-ES_tradnl"/>
        </w:rPr>
        <w:t>59.</w:t>
      </w:r>
      <w:r w:rsidRPr="0017566A">
        <w:rPr>
          <w:lang w:val="es-ES_tradnl"/>
        </w:rPr>
        <w:tab/>
        <w:t>No se dispone de información sobre la aplicación de las recomendaciones del informe del Commonwealth sobre las mujeres y los partidos políticos en cinco pequeños Estados caribeños del Commonwealth.</w:t>
      </w:r>
    </w:p>
    <w:p w14:paraId="585C15C1" w14:textId="2F6935CD" w:rsidR="004570E4" w:rsidRPr="0017566A" w:rsidRDefault="004570E4" w:rsidP="00603C79">
      <w:pPr>
        <w:pStyle w:val="SingleTxt"/>
        <w:spacing w:after="0" w:line="120" w:lineRule="exact"/>
        <w:rPr>
          <w:sz w:val="10"/>
          <w:lang w:val="es-ES_tradnl"/>
        </w:rPr>
      </w:pPr>
    </w:p>
    <w:p w14:paraId="7241D93A" w14:textId="63378B84" w:rsidR="00603C79" w:rsidRPr="0017566A" w:rsidRDefault="00603C79" w:rsidP="00603C79">
      <w:pPr>
        <w:pStyle w:val="SingleTxt"/>
        <w:spacing w:after="0" w:line="120" w:lineRule="exact"/>
        <w:rPr>
          <w:sz w:val="10"/>
          <w:lang w:val="es-ES_tradnl"/>
        </w:rPr>
      </w:pPr>
    </w:p>
    <w:p w14:paraId="3291DA03" w14:textId="77BAF648"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Educación</w:t>
      </w:r>
    </w:p>
    <w:p w14:paraId="206580A8" w14:textId="6E0C7C0D" w:rsidR="004570E4" w:rsidRPr="0017566A" w:rsidRDefault="004570E4" w:rsidP="00603C79">
      <w:pPr>
        <w:pStyle w:val="SingleTxt"/>
        <w:spacing w:after="0" w:line="120" w:lineRule="exact"/>
        <w:rPr>
          <w:sz w:val="10"/>
          <w:lang w:val="es-ES_tradnl"/>
        </w:rPr>
      </w:pPr>
    </w:p>
    <w:p w14:paraId="6FFFE30D" w14:textId="46B64BF4" w:rsidR="00603C79" w:rsidRPr="0017566A" w:rsidRDefault="00603C79" w:rsidP="00603C79">
      <w:pPr>
        <w:pStyle w:val="SingleTxt"/>
        <w:spacing w:after="0" w:line="120" w:lineRule="exact"/>
        <w:rPr>
          <w:sz w:val="10"/>
          <w:lang w:val="es-ES_tradnl"/>
        </w:rPr>
      </w:pPr>
    </w:p>
    <w:p w14:paraId="76206F39"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14 de la lista de cuestiones y preguntas</w:t>
      </w:r>
      <w:bookmarkStart w:id="6" w:name="_Hlk115858326"/>
      <w:bookmarkEnd w:id="6"/>
    </w:p>
    <w:p w14:paraId="5557DAE9" w14:textId="5CF45E35" w:rsidR="004570E4" w:rsidRPr="0017566A" w:rsidRDefault="004570E4" w:rsidP="00603C79">
      <w:pPr>
        <w:pStyle w:val="SingleTxt"/>
        <w:spacing w:after="0" w:line="120" w:lineRule="exact"/>
        <w:rPr>
          <w:sz w:val="10"/>
          <w:lang w:val="es-ES_tradnl"/>
        </w:rPr>
      </w:pPr>
    </w:p>
    <w:p w14:paraId="26760A91" w14:textId="77777777" w:rsidR="004570E4" w:rsidRPr="0017566A" w:rsidRDefault="004570E4" w:rsidP="004570E4">
      <w:pPr>
        <w:pStyle w:val="SingleTxt"/>
        <w:rPr>
          <w:b/>
          <w:lang w:val="es-ES_tradnl"/>
        </w:rPr>
      </w:pPr>
      <w:r w:rsidRPr="0017566A">
        <w:rPr>
          <w:lang w:val="es-ES_tradnl"/>
        </w:rPr>
        <w:t>60.</w:t>
      </w:r>
      <w:r w:rsidRPr="0017566A">
        <w:rPr>
          <w:lang w:val="es-ES_tradnl"/>
        </w:rPr>
        <w:tab/>
        <w:t>No se dispone de información del Ministerio de Educación.</w:t>
      </w:r>
    </w:p>
    <w:p w14:paraId="19802210" w14:textId="0FAD8FC3" w:rsidR="004570E4" w:rsidRPr="0017566A" w:rsidRDefault="004570E4" w:rsidP="00603C79">
      <w:pPr>
        <w:pStyle w:val="SingleTxt"/>
        <w:spacing w:after="0" w:line="120" w:lineRule="exact"/>
        <w:rPr>
          <w:sz w:val="10"/>
          <w:lang w:val="es-ES_tradnl"/>
        </w:rPr>
      </w:pPr>
    </w:p>
    <w:p w14:paraId="2B23E25D"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15 de la lista de cuestiones y preguntas</w:t>
      </w:r>
    </w:p>
    <w:p w14:paraId="1AAFE4D3" w14:textId="7CE033B3" w:rsidR="004570E4" w:rsidRPr="0017566A" w:rsidRDefault="004570E4" w:rsidP="00603C79">
      <w:pPr>
        <w:pStyle w:val="SingleTxt"/>
        <w:spacing w:after="0" w:line="120" w:lineRule="exact"/>
        <w:rPr>
          <w:sz w:val="10"/>
          <w:lang w:val="es-ES_tradnl"/>
        </w:rPr>
      </w:pPr>
    </w:p>
    <w:p w14:paraId="68EA40BA" w14:textId="77777777" w:rsidR="004570E4" w:rsidRPr="0017566A" w:rsidRDefault="004570E4" w:rsidP="004570E4">
      <w:pPr>
        <w:pStyle w:val="SingleTxt"/>
        <w:rPr>
          <w:lang w:val="es-ES_tradnl"/>
        </w:rPr>
      </w:pPr>
      <w:r w:rsidRPr="0017566A">
        <w:rPr>
          <w:lang w:val="es-ES_tradnl"/>
        </w:rPr>
        <w:t>61.</w:t>
      </w:r>
      <w:r w:rsidRPr="0017566A">
        <w:rPr>
          <w:lang w:val="es-ES_tradnl"/>
        </w:rPr>
        <w:tab/>
        <w:t>Las leyes de la Federación no contemplan la salud y los derechos sexuales y reproductivos, por lo que no pueden integrarse en un plan de estudios. Sin embargo, en las escuelas se imparte un sólido programa de salud sexual.</w:t>
      </w:r>
    </w:p>
    <w:p w14:paraId="7DC203BF" w14:textId="77777777" w:rsidR="004570E4" w:rsidRPr="0017566A" w:rsidRDefault="004570E4" w:rsidP="004570E4">
      <w:pPr>
        <w:pStyle w:val="SingleTxt"/>
        <w:rPr>
          <w:lang w:val="es-ES_tradnl"/>
        </w:rPr>
      </w:pPr>
      <w:r w:rsidRPr="0017566A">
        <w:rPr>
          <w:lang w:val="es-ES_tradnl"/>
        </w:rPr>
        <w:t>62.</w:t>
      </w:r>
      <w:r w:rsidRPr="0017566A">
        <w:rPr>
          <w:lang w:val="es-ES_tradnl"/>
        </w:rPr>
        <w:tab/>
        <w:t>El programa del Proyecto Viola, creado en 2002, sigue en marcha. Con la dotación de recursos financieros, el Departamento de Asuntos de Género suele organizar todos los veranos un taller de capacitación para madres adolescentes. El taller comprende sesiones sobre habilidades sociales y competencias para la vida, espíritu emprendedor y formación práctica, uno de cuyos componentes es la salud sexual y la reproducción. También se ha previsto que las niñas en situación de riesgo asistan a estas sesiones de capacitación.</w:t>
      </w:r>
    </w:p>
    <w:p w14:paraId="1716B0F9" w14:textId="00ED36D8" w:rsidR="004570E4" w:rsidRPr="0017566A" w:rsidRDefault="004570E4" w:rsidP="00603C79">
      <w:pPr>
        <w:pStyle w:val="SingleTxt"/>
        <w:spacing w:after="0" w:line="120" w:lineRule="exact"/>
        <w:rPr>
          <w:sz w:val="10"/>
          <w:lang w:val="es-ES_tradnl"/>
        </w:rPr>
      </w:pPr>
    </w:p>
    <w:p w14:paraId="5B029B62" w14:textId="77777777" w:rsidR="00603C79" w:rsidRPr="0017566A" w:rsidRDefault="00603C79" w:rsidP="00603C79">
      <w:pPr>
        <w:pStyle w:val="SingleTxt"/>
        <w:spacing w:after="0" w:line="120" w:lineRule="exact"/>
        <w:rPr>
          <w:b/>
          <w:sz w:val="10"/>
          <w:lang w:val="es-ES_tradnl"/>
        </w:rPr>
      </w:pPr>
    </w:p>
    <w:p w14:paraId="1A7F5EA3" w14:textId="7EB0ADA5"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Empleo</w:t>
      </w:r>
    </w:p>
    <w:p w14:paraId="235E4558" w14:textId="0E0FF5F7" w:rsidR="004570E4" w:rsidRPr="0017566A" w:rsidRDefault="004570E4" w:rsidP="00603C79">
      <w:pPr>
        <w:pStyle w:val="SingleTxt"/>
        <w:spacing w:after="0" w:line="120" w:lineRule="exact"/>
        <w:rPr>
          <w:sz w:val="10"/>
          <w:lang w:val="es-ES_tradnl"/>
        </w:rPr>
      </w:pPr>
    </w:p>
    <w:p w14:paraId="155BC5C5" w14:textId="7CBEE384" w:rsidR="00603C79" w:rsidRPr="0017566A" w:rsidRDefault="00603C79" w:rsidP="00603C79">
      <w:pPr>
        <w:pStyle w:val="SingleTxt"/>
        <w:spacing w:after="0" w:line="120" w:lineRule="exact"/>
        <w:rPr>
          <w:sz w:val="10"/>
          <w:lang w:val="es-ES_tradnl"/>
        </w:rPr>
      </w:pPr>
    </w:p>
    <w:p w14:paraId="272648D1"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16 de la lista de cuestiones y preguntas</w:t>
      </w:r>
    </w:p>
    <w:p w14:paraId="02C4417D" w14:textId="0D84F17D" w:rsidR="004570E4" w:rsidRPr="0017566A" w:rsidRDefault="004570E4" w:rsidP="00603C79">
      <w:pPr>
        <w:pStyle w:val="SingleTxt"/>
        <w:spacing w:after="0" w:line="120" w:lineRule="exact"/>
        <w:rPr>
          <w:sz w:val="10"/>
          <w:lang w:val="es-ES_tradnl"/>
        </w:rPr>
      </w:pPr>
    </w:p>
    <w:p w14:paraId="3E10F76E" w14:textId="77777777" w:rsidR="004570E4" w:rsidRPr="0017566A" w:rsidRDefault="004570E4" w:rsidP="004570E4">
      <w:pPr>
        <w:pStyle w:val="SingleTxt"/>
        <w:rPr>
          <w:lang w:val="es-ES_tradnl"/>
        </w:rPr>
      </w:pPr>
      <w:r w:rsidRPr="0017566A">
        <w:rPr>
          <w:lang w:val="es-ES_tradnl"/>
        </w:rPr>
        <w:t>63.</w:t>
      </w:r>
      <w:r w:rsidRPr="0017566A">
        <w:rPr>
          <w:lang w:val="es-ES_tradnl"/>
        </w:rPr>
        <w:tab/>
        <w:t>Los participantes o empleados de la economía informal de Saint Kitts y Nevis pueden acceder a la protección a través de la cobertura para autónomos que ofrece la Junta de Seguridad Social de Saint Kitts y Nevis. Cuando un trabajador informal no tiene contratos de trabajo formales con un empleador, o ejerce una actividad empresarial no regulada (pero legal), puede darse de alta como autónomo para acceder a todas las prestaciones y protecciones que ofrece la Seguridad Social a los empleados del sector formal, excepto las prestaciones por accidentes de trabajo. Sin embargo, el sistema de la Seguridad Social no ofrece prestaciones de desempleo en este momento.</w:t>
      </w:r>
    </w:p>
    <w:p w14:paraId="2BF11872" w14:textId="77777777" w:rsidR="004570E4" w:rsidRPr="0017566A" w:rsidRDefault="004570E4" w:rsidP="004570E4">
      <w:pPr>
        <w:pStyle w:val="SingleTxt"/>
        <w:rPr>
          <w:lang w:val="es-ES_tradnl"/>
        </w:rPr>
      </w:pPr>
      <w:r w:rsidRPr="0017566A">
        <w:rPr>
          <w:lang w:val="es-ES_tradnl"/>
        </w:rPr>
        <w:t>64.</w:t>
      </w:r>
      <w:r w:rsidRPr="0017566A">
        <w:rPr>
          <w:lang w:val="es-ES_tradnl"/>
        </w:rPr>
        <w:tab/>
        <w:t>Una mujer del sector informal que se da de alta en la Seguridad Social como autónoma tiene acceso a prestaciones a corto plazo por maternidad, entierro y enfermedad, así como a prestaciones a largo plazo como pensiones por edad, viudedad e invalidez, entre otras</w:t>
      </w:r>
      <w:r w:rsidRPr="0017566A">
        <w:rPr>
          <w:vertAlign w:val="superscript"/>
          <w:lang w:val="es-ES_tradnl"/>
        </w:rPr>
        <w:footnoteReference w:id="10"/>
      </w:r>
      <w:r w:rsidRPr="0017566A">
        <w:rPr>
          <w:lang w:val="es-ES_tradnl"/>
        </w:rPr>
        <w:t>. Sin embargo, existen otras vías para que el trabajador informal obtenga protección como empleado. Si la persona que requiere los servicios del trabajador informal se da de alta en la Seguridad Social como empleador, podrá hacer los pagos y declaraciones necesarios a la Seguridad Social en su nombre. De esta forma, el empleado informal estará cubierto mientras dure la relación laboral. Un ejemplo de ello son los propietarios de viviendas que se registran como empleadores de las personas que contratan como trabajadores domésticos. Es posible que estos empleadores no tengan que darse de alta en Hacienda, ya que no llevan a cabo una actividad que genere beneficios, etc., ni prestan servicios a los que pueda acceder el público en general. El objeto de esta alta como empleador es principalmente garantizar que el empleado tenga cobertura de seguridad social.</w:t>
      </w:r>
    </w:p>
    <w:p w14:paraId="5B43A3F4" w14:textId="77777777" w:rsidR="004570E4" w:rsidRPr="0017566A" w:rsidRDefault="004570E4" w:rsidP="004570E4">
      <w:pPr>
        <w:pStyle w:val="SingleTxt"/>
        <w:rPr>
          <w:lang w:val="es-ES_tradnl"/>
        </w:rPr>
      </w:pPr>
      <w:r w:rsidRPr="0017566A">
        <w:rPr>
          <w:lang w:val="es-ES_tradnl"/>
        </w:rPr>
        <w:t>No se dispone de información sobre la participación de las mujeres en el mercado laboral desglosada por ubicación urbana y rural.</w:t>
      </w:r>
    </w:p>
    <w:p w14:paraId="4CF5BFFA" w14:textId="77777777" w:rsidR="004570E4" w:rsidRPr="0017566A" w:rsidRDefault="004570E4" w:rsidP="004570E4">
      <w:pPr>
        <w:pStyle w:val="SingleTxt"/>
        <w:rPr>
          <w:lang w:val="es-ES_tradnl"/>
        </w:rPr>
      </w:pPr>
      <w:r w:rsidRPr="0017566A">
        <w:rPr>
          <w:lang w:val="es-ES_tradnl"/>
        </w:rPr>
        <w:t>65.</w:t>
      </w:r>
      <w:r w:rsidRPr="0017566A">
        <w:rPr>
          <w:lang w:val="es-ES_tradnl"/>
        </w:rPr>
        <w:tab/>
        <w:t xml:space="preserve">En la Federación de Saint Kitts y Nevis, la legislación local, mediante la Ley de Igualdad de Remuneración, capítulo 18.45, sirve de marco para garantizar la igualdad de acceso de las mujeres al empleo formal y a los puestos de liderazgo en el sector privado. En el Departamento de Trabajo, la Dependencia de Seguridad, Salud y Entorno Laborales, se encarga de realizar inspecciones sociales periódicas para velar por el cumplimiento de esta ley. En los últimos meses, la aplicación de la Política y el Plan de Acción Nacionales sobre la Igualdad de Género ha proporcionado otra vía para la aplicación de esta legislación. </w:t>
      </w:r>
    </w:p>
    <w:p w14:paraId="0AD2A8B9" w14:textId="77777777" w:rsidR="004570E4" w:rsidRPr="0017566A" w:rsidRDefault="004570E4" w:rsidP="004570E4">
      <w:pPr>
        <w:pStyle w:val="SingleTxt"/>
        <w:rPr>
          <w:lang w:val="es-ES_tradnl"/>
        </w:rPr>
      </w:pPr>
      <w:r w:rsidRPr="0017566A">
        <w:rPr>
          <w:lang w:val="es-ES_tradnl"/>
        </w:rPr>
        <w:t>66.</w:t>
      </w:r>
      <w:r w:rsidRPr="0017566A">
        <w:rPr>
          <w:lang w:val="es-ES_tradnl"/>
        </w:rPr>
        <w:tab/>
        <w:t xml:space="preserve">A continuación se expone el objetivo de la ley: </w:t>
      </w:r>
    </w:p>
    <w:p w14:paraId="4E9F7EF3" w14:textId="3D70B362" w:rsidR="004570E4" w:rsidRPr="0017566A" w:rsidRDefault="00603C79" w:rsidP="00603C79">
      <w:pPr>
        <w:pStyle w:val="SingleTxt"/>
        <w:tabs>
          <w:tab w:val="right" w:pos="1685"/>
        </w:tabs>
        <w:spacing w:line="240" w:lineRule="atLeast"/>
        <w:ind w:left="1742" w:hanging="475"/>
        <w:rPr>
          <w:lang w:val="es-ES_tradnl"/>
        </w:rPr>
      </w:pPr>
      <w:r w:rsidRPr="0017566A">
        <w:rPr>
          <w:lang w:val="es-ES_tradnl"/>
        </w:rPr>
        <w:tab/>
      </w:r>
      <w:r w:rsidR="004570E4" w:rsidRPr="0017566A">
        <w:rPr>
          <w:lang w:val="es-ES_tradnl"/>
        </w:rPr>
        <w:t>•</w:t>
      </w:r>
      <w:r w:rsidR="004570E4" w:rsidRPr="0017566A">
        <w:rPr>
          <w:lang w:val="es-ES_tradnl"/>
        </w:rPr>
        <w:tab/>
        <w:t>Capítulo 18.45 de la Ley de Igualdad Salarial;</w:t>
      </w:r>
    </w:p>
    <w:p w14:paraId="57D5FD87" w14:textId="0AE288AD" w:rsidR="004570E4" w:rsidRPr="0017566A" w:rsidRDefault="00603C79" w:rsidP="00603C79">
      <w:pPr>
        <w:pStyle w:val="SingleTxt"/>
        <w:tabs>
          <w:tab w:val="right" w:pos="1685"/>
        </w:tabs>
        <w:spacing w:line="240" w:lineRule="atLeast"/>
        <w:ind w:left="1742" w:hanging="475"/>
        <w:rPr>
          <w:i/>
          <w:lang w:val="es-ES_tradnl"/>
        </w:rPr>
      </w:pPr>
      <w:r w:rsidRPr="0017566A">
        <w:rPr>
          <w:lang w:val="es-ES_tradnl"/>
        </w:rPr>
        <w:tab/>
      </w:r>
      <w:r w:rsidR="004570E4" w:rsidRPr="0017566A">
        <w:rPr>
          <w:lang w:val="es-ES_tradnl"/>
        </w:rPr>
        <w:t>•</w:t>
      </w:r>
      <w:r w:rsidR="004570E4" w:rsidRPr="0017566A">
        <w:rPr>
          <w:lang w:val="es-ES_tradnl"/>
        </w:rPr>
        <w:tab/>
      </w:r>
      <w:r w:rsidR="00B01A25" w:rsidRPr="0017566A">
        <w:rPr>
          <w:i/>
          <w:iCs/>
          <w:lang w:val="es-ES_tradnl"/>
        </w:rPr>
        <w:t>“</w:t>
      </w:r>
      <w:r w:rsidR="004570E4" w:rsidRPr="0017566A">
        <w:rPr>
          <w:i/>
          <w:iCs/>
          <w:lang w:val="es-ES_tradnl"/>
        </w:rPr>
        <w:t xml:space="preserve">Una ley para adoptar disposiciones en favor de la eliminación y prevención de la discriminación basada en el sexo del empleado en el contexto del trabajo remunerado, y para contemplar </w:t>
      </w:r>
      <w:r w:rsidR="004570E4" w:rsidRPr="0017566A">
        <w:rPr>
          <w:szCs w:val="20"/>
          <w:lang w:val="es-ES_tradnl"/>
        </w:rPr>
        <w:t>asuntos</w:t>
      </w:r>
      <w:r w:rsidR="004570E4" w:rsidRPr="0017566A">
        <w:rPr>
          <w:i/>
          <w:iCs/>
          <w:lang w:val="es-ES_tradnl"/>
        </w:rPr>
        <w:t xml:space="preserve"> relacionados o incidentales</w:t>
      </w:r>
      <w:r w:rsidR="00B01A25" w:rsidRPr="0017566A">
        <w:rPr>
          <w:i/>
          <w:iCs/>
          <w:lang w:val="es-ES_tradnl"/>
        </w:rPr>
        <w:t>”</w:t>
      </w:r>
      <w:r w:rsidR="004570E4" w:rsidRPr="0017566A">
        <w:rPr>
          <w:i/>
          <w:iCs/>
          <w:lang w:val="es-ES_tradnl"/>
        </w:rPr>
        <w:t>.</w:t>
      </w:r>
    </w:p>
    <w:p w14:paraId="476C084C" w14:textId="77777777" w:rsidR="004570E4" w:rsidRPr="0017566A" w:rsidRDefault="004570E4" w:rsidP="004570E4">
      <w:pPr>
        <w:pStyle w:val="SingleTxt"/>
        <w:rPr>
          <w:lang w:val="es-ES_tradnl"/>
        </w:rPr>
      </w:pPr>
      <w:r w:rsidRPr="0017566A">
        <w:rPr>
          <w:lang w:val="es-ES_tradnl"/>
        </w:rPr>
        <w:t>67.</w:t>
      </w:r>
      <w:r w:rsidRPr="0017566A">
        <w:rPr>
          <w:lang w:val="es-ES_tradnl"/>
        </w:rPr>
        <w:tab/>
        <w:t xml:space="preserve">El Departamento de Trabajo ha adoptado medidas para aumentar las inspecciones sociales en la economía informal. Además, los funcionarios responsables de los asuntos laborales reciben formación continua y están capacitados para conocer la legislación laboral, tal y como se recoge en el capítulo 18.27 de la Ley de Protección del Empleo y en la Ley de Seguridad Social. Estas medidas también cuentan con el apoyo de la Administración de la Seguridad Social, que se asegura de que haya oficiales sobre el terreno y oficiales de cumplimiento para investigar los problemas laborales y las cuestiones de incumplimiento. </w:t>
      </w:r>
    </w:p>
    <w:p w14:paraId="168726CD" w14:textId="77777777" w:rsidR="004570E4" w:rsidRPr="0017566A" w:rsidRDefault="004570E4" w:rsidP="004570E4">
      <w:pPr>
        <w:pStyle w:val="SingleTxt"/>
        <w:rPr>
          <w:lang w:val="es-ES_tradnl"/>
        </w:rPr>
      </w:pPr>
      <w:r w:rsidRPr="0017566A">
        <w:rPr>
          <w:lang w:val="es-ES_tradnl"/>
        </w:rPr>
        <w:t>68.</w:t>
      </w:r>
      <w:r w:rsidRPr="0017566A">
        <w:rPr>
          <w:lang w:val="es-ES_tradnl"/>
        </w:rPr>
        <w:tab/>
        <w:t xml:space="preserve">La Política y el Plan de Acción Nacionales sobre la Igualdad de Género, puestos en marcha en mayo de 2022, constituyen un protocolo de apoyo a la Ley de Igualdad, capítulo 18.45, de 2012, cuyo objetivo es respaldar e integrar las cuestiones de género en la Federación de Saint Kitts y Nevis. Este documento proporcionaría un respaldo legislativo adicional para garantizar que las mujeres tienen una posición equitativa en la fuerza de trabajo. </w:t>
      </w:r>
    </w:p>
    <w:p w14:paraId="59E83C1F" w14:textId="77777777" w:rsidR="004570E4" w:rsidRPr="0017566A" w:rsidRDefault="004570E4" w:rsidP="004570E4">
      <w:pPr>
        <w:pStyle w:val="SingleTxt"/>
        <w:rPr>
          <w:lang w:val="es-ES_tradnl"/>
        </w:rPr>
      </w:pPr>
      <w:r w:rsidRPr="0017566A">
        <w:rPr>
          <w:lang w:val="es-ES_tradnl"/>
        </w:rPr>
        <w:t>69.</w:t>
      </w:r>
      <w:r w:rsidRPr="0017566A">
        <w:rPr>
          <w:lang w:val="es-ES_tradnl"/>
        </w:rPr>
        <w:tab/>
        <w:t xml:space="preserve">A pesar de las recomendaciones de considerar la modificación de la Ley de Igualdad de Remuneración de 2012, no se ha tomado ninguna medida hasta la fecha. Las enmiendas, una vez adoptadas, deben establecer claramente el principio de igualdad de remuneración entre hombres y mujeres por un trabajo de igual valor, lo cual comprende la igualdad de remuneración entre hombres y mujeres que realicen un trabajo similar o esencialmente similar, y deben incluir además la igualdad de remuneración por el trabajo realizado por hombres y mujeres que sea de naturaleza diferente pero de igual valor. En la actualidad, el proyecto de código laboral no se ha desarrollado, principalmente debido a la pandemia de COVID-19. El Comité Nacional Tripartito ha propuesto varias enmiendas al Código Laboral a raíz de la pandemia y se espera que cuando se consideren estas enmiendas se incluya cualquier otra recomendación adicional. </w:t>
      </w:r>
    </w:p>
    <w:p w14:paraId="3D574D33" w14:textId="77777777" w:rsidR="004570E4" w:rsidRPr="0017566A" w:rsidRDefault="004570E4" w:rsidP="004570E4">
      <w:pPr>
        <w:pStyle w:val="SingleTxt"/>
        <w:rPr>
          <w:lang w:val="es-ES_tradnl"/>
        </w:rPr>
      </w:pPr>
      <w:r w:rsidRPr="0017566A">
        <w:rPr>
          <w:lang w:val="es-ES_tradnl"/>
        </w:rPr>
        <w:t>70.</w:t>
      </w:r>
      <w:r w:rsidRPr="0017566A">
        <w:rPr>
          <w:lang w:val="es-ES_tradnl"/>
        </w:rPr>
        <w:tab/>
        <w:t>El Ministerio de Trabajo ha reforzado su Dependencia de Relaciones Públicas para educar a la población en general a través de simposios y talleres sobre la importancia de la igualdad salarial, que actualmente está integrada en la legislación local a través de la Ley de Igualdad Salarial, capítulo 18.45. El Ministerio de Trabajo también ha asumido la firme determinación de integrar una plataforma educativa digital en línea denominada Sistema Nacional de Clasificación de Actividades, que proporciona directrices sobre cómo deben integrarse las estructuras y escalas salariales en el entorno empresarial según el nivel de educación, experiencia laboral y competencias adquiridas.</w:t>
      </w:r>
    </w:p>
    <w:p w14:paraId="5939727F" w14:textId="77777777" w:rsidR="004570E4" w:rsidRPr="0017566A" w:rsidRDefault="004570E4" w:rsidP="004570E4">
      <w:pPr>
        <w:pStyle w:val="SingleTxt"/>
        <w:rPr>
          <w:lang w:val="es-ES_tradnl"/>
        </w:rPr>
      </w:pPr>
      <w:r w:rsidRPr="0017566A">
        <w:rPr>
          <w:lang w:val="es-ES_tradnl"/>
        </w:rPr>
        <w:t>71.</w:t>
      </w:r>
      <w:r w:rsidRPr="0017566A">
        <w:rPr>
          <w:lang w:val="es-ES_tradnl"/>
        </w:rPr>
        <w:tab/>
        <w:t xml:space="preserve">El Estado adoptó las disposiciones pertinentes en la Ley de la Función Pública, que tipifica como delito el acoso sexual en el lugar de trabajo. Además, la Política y el Plan de Acción Nacionales sobre la Igualdad de Género establecen el marco fundacional necesario para abordar todos los tipos de abusos relacionados con el género en el lugar de trabajo. </w:t>
      </w:r>
    </w:p>
    <w:p w14:paraId="0BEA4B3B" w14:textId="77777777" w:rsidR="004570E4" w:rsidRPr="0017566A" w:rsidRDefault="004570E4" w:rsidP="004570E4">
      <w:pPr>
        <w:pStyle w:val="SingleTxt"/>
        <w:rPr>
          <w:lang w:val="es-ES_tradnl"/>
        </w:rPr>
      </w:pPr>
      <w:r w:rsidRPr="0017566A">
        <w:rPr>
          <w:lang w:val="es-ES_tradnl"/>
        </w:rPr>
        <w:t>72.</w:t>
      </w:r>
      <w:r w:rsidRPr="0017566A">
        <w:rPr>
          <w:lang w:val="es-ES_tradnl"/>
        </w:rPr>
        <w:tab/>
        <w:t xml:space="preserve">En 2005 se presentó ante el Comité Nacional Tripartito la Ley de Acoso Sexual, que se basó en la Ley Modelo de la CARICOM. El Comité consideró que era necesario seguir trabajando para adaptar la legislación al contexto local y decidió incluirla en el proyecto de código laboral de Pegasis. El nuevo proyecto de código laboral consta de dos fases: la primera consiste en la integración de todas las leyes publicadas en materia laboral y la segunda, en abordar los convenios de la Organización Internacional del Trabajo (OIT) y sus ratificaciones, así como el acoso sexual y la igualdad de oportunidades en el empleo. </w:t>
      </w:r>
    </w:p>
    <w:p w14:paraId="3654C8C9" w14:textId="77777777" w:rsidR="004570E4" w:rsidRPr="0017566A" w:rsidRDefault="004570E4" w:rsidP="004570E4">
      <w:pPr>
        <w:pStyle w:val="SingleTxt"/>
        <w:rPr>
          <w:lang w:val="es-ES_tradnl"/>
        </w:rPr>
      </w:pPr>
      <w:r w:rsidRPr="0017566A">
        <w:rPr>
          <w:lang w:val="es-ES_tradnl"/>
        </w:rPr>
        <w:t>73.</w:t>
      </w:r>
      <w:r w:rsidRPr="0017566A">
        <w:rPr>
          <w:lang w:val="es-ES_tradnl"/>
        </w:rPr>
        <w:tab/>
        <w:t xml:space="preserve">En diciembre de 2021, el Departamento de Trabajo también presentó a la autoridad competente una recomendación para considerar la ratificación del Convenio sobre la Violencia y el Acoso, 2019 (núm. 190). </w:t>
      </w:r>
    </w:p>
    <w:p w14:paraId="6DA7A341" w14:textId="77777777" w:rsidR="004570E4" w:rsidRPr="0017566A" w:rsidRDefault="004570E4" w:rsidP="004570E4">
      <w:pPr>
        <w:pStyle w:val="SingleTxt"/>
        <w:rPr>
          <w:lang w:val="es-ES_tradnl"/>
        </w:rPr>
      </w:pPr>
      <w:r w:rsidRPr="0017566A">
        <w:rPr>
          <w:lang w:val="es-ES_tradnl"/>
        </w:rPr>
        <w:t>74.</w:t>
      </w:r>
      <w:r w:rsidRPr="0017566A">
        <w:rPr>
          <w:lang w:val="es-ES_tradnl"/>
        </w:rPr>
        <w:tab/>
        <w:t xml:space="preserve">El tema del acoso sexual sigue ocupando un primer plano. Las actividades de concienciación pública realizadas durante la Campaña de 16 Días contra la Violencia de Género en 2020 incluyeron un debate transmitido en directo sobre el proyecto de ley modelo de la CARICOM acerca del acoso sexual en el simulacro anual de sesión parlamentaria, dirigido por la St. Kitts National Youth Parliament Association (SKNYPA). La Fuerza de Defensa de Saint Kitts y Nevis está elaborando en la actualidad una política de acoso sexual y comportamiento inapropiado. </w:t>
      </w:r>
    </w:p>
    <w:p w14:paraId="532EE574" w14:textId="77777777" w:rsidR="004570E4" w:rsidRPr="0017566A" w:rsidRDefault="004570E4" w:rsidP="004570E4">
      <w:pPr>
        <w:pStyle w:val="SingleTxt"/>
        <w:rPr>
          <w:lang w:val="es-ES_tradnl"/>
        </w:rPr>
      </w:pPr>
      <w:r w:rsidRPr="0017566A">
        <w:rPr>
          <w:lang w:val="es-ES_tradnl"/>
        </w:rPr>
        <w:t>75.</w:t>
      </w:r>
      <w:r w:rsidRPr="0017566A">
        <w:rPr>
          <w:lang w:val="es-ES_tradnl"/>
        </w:rPr>
        <w:tab/>
        <w:t>El Departamento de Asuntos de Género (Nevis) está en proceso de implementar un registro de desempleo de las mujeres en octubre de 2022, en colaboración con el Departamento de Trabajo y la Cámara de Industria y Comercio, con el fin de ayudar a las mujeres a conseguir un trabajo decente mientras la economía se recupera de los últimos coletazos de la pandemia. Quienes se inscriban recibirán, cuando corresponda, formación para aumentar la competencia y la empleabilidad. Una ONG local también proporcionará asistencia en la redacción del currículum, las solicitudes de empleo y la preparación de entrevistas.</w:t>
      </w:r>
    </w:p>
    <w:p w14:paraId="49258242" w14:textId="279E85F4" w:rsidR="004570E4" w:rsidRPr="0017566A" w:rsidRDefault="004570E4" w:rsidP="00603C79">
      <w:pPr>
        <w:pStyle w:val="SingleTxt"/>
        <w:spacing w:after="0" w:line="120" w:lineRule="exact"/>
        <w:rPr>
          <w:sz w:val="10"/>
          <w:lang w:val="es-ES_tradnl"/>
        </w:rPr>
      </w:pPr>
    </w:p>
    <w:p w14:paraId="0785A2D5" w14:textId="2CC479E8" w:rsidR="00603C79" w:rsidRPr="0017566A" w:rsidRDefault="00603C79" w:rsidP="00603C79">
      <w:pPr>
        <w:pStyle w:val="SingleTxt"/>
        <w:spacing w:after="0" w:line="120" w:lineRule="exact"/>
        <w:rPr>
          <w:sz w:val="10"/>
          <w:lang w:val="es-ES_tradnl"/>
        </w:rPr>
      </w:pPr>
    </w:p>
    <w:p w14:paraId="720EE5E5" w14:textId="39CB1F53" w:rsidR="004570E4" w:rsidRPr="0017566A" w:rsidRDefault="004570E4" w:rsidP="00603C7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Salud</w:t>
      </w:r>
    </w:p>
    <w:p w14:paraId="40966E17" w14:textId="038FEA4C" w:rsidR="004570E4" w:rsidRPr="0017566A" w:rsidRDefault="004570E4" w:rsidP="00603C79">
      <w:pPr>
        <w:pStyle w:val="SingleTxt"/>
        <w:spacing w:after="0" w:line="120" w:lineRule="exact"/>
        <w:rPr>
          <w:sz w:val="10"/>
          <w:lang w:val="es-ES_tradnl"/>
        </w:rPr>
      </w:pPr>
    </w:p>
    <w:p w14:paraId="431C12B7" w14:textId="2706DDA9" w:rsidR="00603C79" w:rsidRPr="0017566A" w:rsidRDefault="00603C79" w:rsidP="00603C79">
      <w:pPr>
        <w:pStyle w:val="SingleTxt"/>
        <w:spacing w:after="0" w:line="120" w:lineRule="exact"/>
        <w:rPr>
          <w:sz w:val="10"/>
          <w:lang w:val="es-ES_tradnl"/>
        </w:rPr>
      </w:pPr>
    </w:p>
    <w:p w14:paraId="301666CE"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17 de la lista de cuestiones y preguntas</w:t>
      </w:r>
    </w:p>
    <w:p w14:paraId="6672C89F" w14:textId="361E47CC" w:rsidR="004570E4" w:rsidRPr="0017566A" w:rsidRDefault="004570E4" w:rsidP="00603C79">
      <w:pPr>
        <w:pStyle w:val="SingleTxt"/>
        <w:spacing w:after="0" w:line="120" w:lineRule="exact"/>
        <w:rPr>
          <w:sz w:val="10"/>
          <w:lang w:val="es-ES_tradnl"/>
        </w:rPr>
      </w:pPr>
    </w:p>
    <w:p w14:paraId="5C876928" w14:textId="77777777" w:rsidR="004570E4" w:rsidRPr="0017566A" w:rsidRDefault="004570E4" w:rsidP="004570E4">
      <w:pPr>
        <w:pStyle w:val="SingleTxt"/>
        <w:rPr>
          <w:lang w:val="es-ES_tradnl"/>
        </w:rPr>
      </w:pPr>
      <w:r w:rsidRPr="0017566A">
        <w:rPr>
          <w:lang w:val="es-ES_tradnl"/>
        </w:rPr>
        <w:t>76.</w:t>
      </w:r>
      <w:r w:rsidRPr="0017566A">
        <w:rPr>
          <w:lang w:val="es-ES_tradnl"/>
        </w:rPr>
        <w:tab/>
        <w:t>El Ministerio de Sanidad hace especial hincapié en las áreas clave definidas en el Plan Estratégico Nacional; una de esas áreas prioritarias son las enfermedades no transmisibles. Entre las principales actividades se encuentran la influencia en los cambios de estilo de vida, la ampliación de las pruebas de cribado y la detección de nuevos casos de enfermedades no transmisibles (ENT). Las estadísticas epidemiológicas indican que durante el periodo comprendido entre 2015 y 2020, la incidencia de nuevos casos de diabetes e hipertensión arterial disminuyó un 46,9% y un 44,7% respectivamente. Además, los datos de mortalidad media asociados con la diabetes y la hipertensión arterial disminuyeron del 83% al 63%.</w:t>
      </w:r>
      <w:r w:rsidRPr="0017566A">
        <w:rPr>
          <w:vertAlign w:val="superscript"/>
          <w:lang w:val="es-ES_tradnl"/>
        </w:rPr>
        <w:footnoteReference w:id="11"/>
      </w:r>
      <w:r w:rsidRPr="0017566A">
        <w:rPr>
          <w:lang w:val="es-ES_tradnl"/>
        </w:rPr>
        <w:t xml:space="preserve"> </w:t>
      </w:r>
    </w:p>
    <w:p w14:paraId="51DA04DD" w14:textId="77777777" w:rsidR="004570E4" w:rsidRPr="0017566A" w:rsidRDefault="004570E4" w:rsidP="004570E4">
      <w:pPr>
        <w:pStyle w:val="SingleTxt"/>
        <w:rPr>
          <w:lang w:val="es-ES_tradnl"/>
        </w:rPr>
      </w:pPr>
      <w:r w:rsidRPr="0017566A">
        <w:rPr>
          <w:lang w:val="es-ES_tradnl"/>
        </w:rPr>
        <w:t>77.</w:t>
      </w:r>
      <w:r w:rsidRPr="0017566A">
        <w:rPr>
          <w:lang w:val="es-ES_tradnl"/>
        </w:rPr>
        <w:tab/>
        <w:t>Continúan los esfuerzos emprendidos para promover las iniciativas relacionadas con las enfermedades no transmisibles (ENT), entre las que se incluyen:</w:t>
      </w:r>
    </w:p>
    <w:p w14:paraId="33F96A41"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La elaboración del Plan Nacional Multisectorial de Prevención y Control de las ENT;</w:t>
      </w:r>
    </w:p>
    <w:p w14:paraId="026DFC89"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 xml:space="preserve">Finalización de una encuesta sobre salud basada en la población (encuesta STEPS) en colaboración con la OPS; </w:t>
      </w:r>
    </w:p>
    <w:p w14:paraId="507DBABB"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Programa de Autogestión de Enfermedades Crónicas (CDSMP) - formación de actualización para 6 facilitadores;</w:t>
      </w:r>
    </w:p>
    <w:p w14:paraId="0271832A"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 xml:space="preserve">Proyecto de enfermedades metabólicas. En 2021 se impartieron más de 26 horas de talleres para enfermeros, médicos y trabajadores sociales. Hasta la fecha, más de 2.000 personas de toda la Federación han participado en el cribado que ofrece el programa de detección de salud comunitaria; </w:t>
      </w:r>
    </w:p>
    <w:p w14:paraId="57C1839A"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 xml:space="preserve">Proyecto de consumo de alimentos (Mejora de la seguridad nutricional de los hogares y de la salud pública). En 2021 se llevó a cabo el proyecto financiado por la Universidad de las Indias Occidentales y la Organización de las Naciones Unidas para la Alimentación y la Agricultura (FAO) para analizar el consumo dietético en el hogar con vistas a mejorar los sistemas alimentarios locales; </w:t>
      </w:r>
    </w:p>
    <w:p w14:paraId="35E27E45"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Campaña en los medios de comunicación de la Dependencia de Fomento de la Salud, en colaboración con una ONG local de salud pública, para concienciar sobre los efectos nocivos de las bebidas azucaradas y la importancia de beber agua;</w:t>
      </w:r>
    </w:p>
    <w:p w14:paraId="4D12E6F2"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 xml:space="preserve">El programa SKN Moves, puesto en marcha en 2019, se centra en la alimentación saludable, el aumento de la actividad física y los exámenes médicos periódicos; </w:t>
      </w:r>
    </w:p>
    <w:p w14:paraId="6932AF7F"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Publicación del Manual SKN de cuantificación de porciones de alimentos en septiembre de 2021;</w:t>
      </w:r>
    </w:p>
    <w:p w14:paraId="58839651" w14:textId="7800747B"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 xml:space="preserve">Producción y lanzamiento de </w:t>
      </w:r>
      <w:r w:rsidR="00B01A25" w:rsidRPr="0017566A">
        <w:rPr>
          <w:lang w:val="es-ES_tradnl"/>
        </w:rPr>
        <w:t>“</w:t>
      </w:r>
      <w:r w:rsidRPr="0017566A">
        <w:rPr>
          <w:lang w:val="es-ES_tradnl"/>
        </w:rPr>
        <w:t>In Ya Kitchen Cookbook</w:t>
      </w:r>
      <w:r w:rsidR="00B01A25" w:rsidRPr="0017566A">
        <w:rPr>
          <w:lang w:val="es-ES_tradnl"/>
        </w:rPr>
        <w:t>”</w:t>
      </w:r>
      <w:r w:rsidRPr="0017566A">
        <w:rPr>
          <w:lang w:val="es-ES_tradnl"/>
        </w:rPr>
        <w:t xml:space="preserve"> con recetas sencillas y saludables diseñadas para fomentar el uso de productos locales y ayudar a la gestión del presupuesto alimentario.</w:t>
      </w:r>
    </w:p>
    <w:p w14:paraId="4B2A92F1" w14:textId="77777777" w:rsidR="004570E4" w:rsidRPr="0017566A" w:rsidRDefault="004570E4" w:rsidP="004570E4">
      <w:pPr>
        <w:pStyle w:val="SingleTxt"/>
        <w:rPr>
          <w:lang w:val="es-ES_tradnl"/>
        </w:rPr>
      </w:pPr>
      <w:r w:rsidRPr="0017566A">
        <w:rPr>
          <w:lang w:val="es-ES_tradnl"/>
        </w:rPr>
        <w:t>78.</w:t>
      </w:r>
      <w:r w:rsidRPr="0017566A">
        <w:rPr>
          <w:lang w:val="es-ES_tradnl"/>
        </w:rPr>
        <w:tab/>
        <w:t>En octubre de 2019, el Ministerio de Sanidad llevó a cabo un amplio programa de concienciación/educación pública orientado a sensibilizar a padres y adolescentes sobre la vacuna del papilomavirus humano (VPH). Los destinatarios eran los alumnos de sexto curso y se alcanzó una cobertura del 90% en todas las escuelas primarias. Los niños recibieron su segunda y última dosis en abril/mayo de 2020. Se prevé que dentro de unos años se produzca una disminución drástica de la incidencia de la cepa relacionada con el cáncer de cuello uterino, ya que continúan las iniciativas encaminadas a mitigar las ENT en la Federación.</w:t>
      </w:r>
    </w:p>
    <w:p w14:paraId="3B540882" w14:textId="77777777" w:rsidR="004570E4" w:rsidRPr="0017566A" w:rsidRDefault="004570E4" w:rsidP="004570E4">
      <w:pPr>
        <w:pStyle w:val="SingleTxt"/>
        <w:rPr>
          <w:lang w:val="es-ES_tradnl"/>
        </w:rPr>
      </w:pPr>
      <w:r w:rsidRPr="0017566A">
        <w:rPr>
          <w:lang w:val="es-ES_tradnl"/>
        </w:rPr>
        <w:t>79.</w:t>
      </w:r>
      <w:r w:rsidRPr="0017566A">
        <w:rPr>
          <w:lang w:val="es-ES_tradnl"/>
        </w:rPr>
        <w:tab/>
        <w:t>Se prestan servicios de salud para la familia en 17 distritos de enfermería de la Federación, 11 en Saint Kitts y 6 en Nevis. Los servicios de salud sexual y reproductiva de alta calidad para las mujeres están fácilmente disponibles y son accesibles y gratuitos. Las mujeres tienen acceso a la atención prenatal, a la atención posnatal, a las clínicas de planificación familiar (anticonceptivos) y de citología vaginal, así como a otros exámenes médicos/sanitarios.</w:t>
      </w:r>
    </w:p>
    <w:p w14:paraId="21D73EB7" w14:textId="77777777" w:rsidR="004570E4" w:rsidRPr="0017566A" w:rsidRDefault="004570E4" w:rsidP="004570E4">
      <w:pPr>
        <w:pStyle w:val="SingleTxt"/>
        <w:rPr>
          <w:lang w:val="es-ES_tradnl"/>
        </w:rPr>
      </w:pPr>
      <w:r w:rsidRPr="0017566A">
        <w:rPr>
          <w:lang w:val="es-ES_tradnl"/>
        </w:rPr>
        <w:t>80.</w:t>
      </w:r>
      <w:r w:rsidRPr="0017566A">
        <w:rPr>
          <w:lang w:val="es-ES_tradnl"/>
        </w:rPr>
        <w:tab/>
        <w:t>De acuerdo con las directrices nacionales, todas las mujeres embarazadas que acceden al sistema de salud pública son sometidas a pruebas de detección del virus de la inmunodeficiencia humana (VIH), hepatitis B, sífilis, HTLV 1 y HTLV 2, como una forma de prevención de la transmisión de madre a hijo.</w:t>
      </w:r>
    </w:p>
    <w:p w14:paraId="598DC400" w14:textId="77777777" w:rsidR="004570E4" w:rsidRPr="0017566A" w:rsidRDefault="004570E4" w:rsidP="004570E4">
      <w:pPr>
        <w:pStyle w:val="SingleTxt"/>
        <w:rPr>
          <w:lang w:val="es-ES_tradnl"/>
        </w:rPr>
      </w:pPr>
      <w:r w:rsidRPr="0017566A">
        <w:rPr>
          <w:lang w:val="es-ES_tradnl"/>
        </w:rPr>
        <w:t>81.</w:t>
      </w:r>
      <w:r w:rsidRPr="0017566A">
        <w:rPr>
          <w:lang w:val="es-ES_tradnl"/>
        </w:rPr>
        <w:tab/>
        <w:t>Se realizan otros exámenes médicos para:</w:t>
      </w:r>
    </w:p>
    <w:p w14:paraId="2EA525D1"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Controlar la evolución del embarazo con el fin de garantizar la salud de la madre y el desarrollo normal del feto;</w:t>
      </w:r>
    </w:p>
    <w:p w14:paraId="10A89965"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Identificar la desviación de los patrones normales y ofrecer un tratamiento precoz y adecuado para que la mujer llegue al final de su embarazo preparada física y psicológicamente para el trabajo de parto y el parto;</w:t>
      </w:r>
    </w:p>
    <w:p w14:paraId="2F1182B2" w14:textId="77777777" w:rsidR="004570E4" w:rsidRPr="0017566A" w:rsidRDefault="004570E4" w:rsidP="00603C79">
      <w:pPr>
        <w:pStyle w:val="SingleTxt"/>
        <w:tabs>
          <w:tab w:val="right" w:pos="1685"/>
        </w:tabs>
        <w:spacing w:line="234" w:lineRule="atLeast"/>
        <w:ind w:left="1742" w:hanging="475"/>
        <w:rPr>
          <w:lang w:val="es-ES_tradnl"/>
        </w:rPr>
      </w:pPr>
      <w:r w:rsidRPr="0017566A">
        <w:rPr>
          <w:lang w:val="es-ES_tradnl"/>
        </w:rPr>
        <w:tab/>
        <w:t>•</w:t>
      </w:r>
      <w:r w:rsidRPr="0017566A">
        <w:rPr>
          <w:lang w:val="es-ES_tradnl"/>
        </w:rPr>
        <w:tab/>
        <w:t>Mientras están embarazadas, las mujeres solo se vacunan contra la difteria y el tétanos, la gripe y, más recientemente, contra la COVID-19.</w:t>
      </w:r>
    </w:p>
    <w:p w14:paraId="4DCFB9AF" w14:textId="77777777" w:rsidR="004570E4" w:rsidRPr="0017566A" w:rsidRDefault="004570E4" w:rsidP="004570E4">
      <w:pPr>
        <w:pStyle w:val="SingleTxt"/>
        <w:rPr>
          <w:lang w:val="es-ES_tradnl"/>
        </w:rPr>
      </w:pPr>
      <w:r w:rsidRPr="0017566A">
        <w:rPr>
          <w:lang w:val="es-ES_tradnl"/>
        </w:rPr>
        <w:t>82.</w:t>
      </w:r>
      <w:r w:rsidRPr="0017566A">
        <w:rPr>
          <w:lang w:val="es-ES_tradnl"/>
        </w:rPr>
        <w:tab/>
        <w:t>Durante el embarazo, todas las mujeres participan en sesiones educativas que contribuyen a dotarlas de los conocimientos y habilidades esenciales y a identificar mecanismos de apoyo para gestionar con éxito el periodo posnatal.</w:t>
      </w:r>
    </w:p>
    <w:p w14:paraId="3513524E" w14:textId="77777777" w:rsidR="004570E4" w:rsidRPr="0017566A" w:rsidRDefault="004570E4" w:rsidP="004570E4">
      <w:pPr>
        <w:pStyle w:val="SingleTxt"/>
        <w:rPr>
          <w:lang w:val="es-ES_tradnl"/>
        </w:rPr>
      </w:pPr>
      <w:r w:rsidRPr="0017566A">
        <w:rPr>
          <w:lang w:val="es-ES_tradnl"/>
        </w:rPr>
        <w:t>83.</w:t>
      </w:r>
      <w:r w:rsidRPr="0017566A">
        <w:rPr>
          <w:lang w:val="es-ES_tradnl"/>
        </w:rPr>
        <w:tab/>
        <w:t xml:space="preserve">La citología vaginal anual forma parte del plan de atención sanitaria preventiva de la mujer. No cabe duda de que la detección precoz de cambios anormales en el cuello uterino permitirá una intervención temprana y evitará la pérdida de vidas. </w:t>
      </w:r>
    </w:p>
    <w:p w14:paraId="41494B1C" w14:textId="3B70EED4" w:rsidR="004570E4" w:rsidRPr="0017566A" w:rsidRDefault="004570E4" w:rsidP="004570E4">
      <w:pPr>
        <w:pStyle w:val="SingleTxt"/>
        <w:rPr>
          <w:lang w:val="es-ES_tradnl"/>
        </w:rPr>
      </w:pPr>
      <w:r w:rsidRPr="0017566A">
        <w:rPr>
          <w:lang w:val="es-ES_tradnl"/>
        </w:rPr>
        <w:t>84.</w:t>
      </w:r>
      <w:r w:rsidRPr="0017566A">
        <w:rPr>
          <w:lang w:val="es-ES_tradnl"/>
        </w:rPr>
        <w:tab/>
        <w:t>Otros avances logrados por el Ministerio de Sanidad en materia de salud de la mujer</w:t>
      </w:r>
      <w:r w:rsidRPr="0017566A">
        <w:rPr>
          <w:vertAlign w:val="superscript"/>
          <w:lang w:val="es-ES_tradnl"/>
        </w:rPr>
        <w:footnoteReference w:id="12"/>
      </w:r>
      <w:r w:rsidRPr="0017566A">
        <w:rPr>
          <w:lang w:val="es-ES_tradnl"/>
        </w:rPr>
        <w:t xml:space="preserve"> engloban la elaboración de un manual de directrices sobre salud de la madre, el recién nacido, el niño y el adolescente en colaboración con la OPS/OMS, que servirá de guía para las prácticas de salud maternoinfantil en la Federación; además, se ha encargado la elaboración de un manual de directrices para la maternidad, con información prenatal, intranatal y posnatal, que aborde, entre otras cuestiones, los beneficios de la lactancia materna, que contribuirá a alcanzar la condición de </w:t>
      </w:r>
      <w:r w:rsidR="00B01A25" w:rsidRPr="0017566A">
        <w:rPr>
          <w:lang w:val="es-ES_tradnl"/>
        </w:rPr>
        <w:t>“</w:t>
      </w:r>
      <w:r w:rsidRPr="0017566A">
        <w:rPr>
          <w:lang w:val="es-ES_tradnl"/>
        </w:rPr>
        <w:t>hospital amigo del niño</w:t>
      </w:r>
      <w:r w:rsidR="00B01A25" w:rsidRPr="0017566A">
        <w:rPr>
          <w:lang w:val="es-ES_tradnl"/>
        </w:rPr>
        <w:t>”</w:t>
      </w:r>
      <w:r w:rsidRPr="0017566A">
        <w:rPr>
          <w:lang w:val="es-ES_tradnl"/>
        </w:rPr>
        <w:t xml:space="preserve"> para promover la salud de los bebés y de todas las personas.</w:t>
      </w:r>
    </w:p>
    <w:p w14:paraId="33D343AB" w14:textId="77777777" w:rsidR="004570E4" w:rsidRPr="0017566A" w:rsidRDefault="004570E4" w:rsidP="004570E4">
      <w:pPr>
        <w:pStyle w:val="SingleTxt"/>
        <w:rPr>
          <w:lang w:val="es-ES_tradnl"/>
        </w:rPr>
      </w:pPr>
      <w:r w:rsidRPr="0017566A">
        <w:rPr>
          <w:lang w:val="es-ES_tradnl"/>
        </w:rPr>
        <w:t>85.</w:t>
      </w:r>
      <w:r w:rsidRPr="0017566A">
        <w:rPr>
          <w:lang w:val="es-ES_tradnl"/>
        </w:rPr>
        <w:tab/>
        <w:t>El Business and Professional Women’s Club (BPW)</w:t>
      </w:r>
      <w:r w:rsidRPr="0017566A">
        <w:rPr>
          <w:vertAlign w:val="superscript"/>
          <w:lang w:val="es-ES_tradnl"/>
        </w:rPr>
        <w:footnoteReference w:id="13"/>
      </w:r>
      <w:r w:rsidRPr="0017566A">
        <w:rPr>
          <w:lang w:val="es-ES_tradnl"/>
        </w:rPr>
        <w:t xml:space="preserve"> se ha asociado en dos ocasiones con el Ministerio de Sanidad para crear clínicas de bienestar. Las sesiones se celebraron un sábado por la mañana y se dispuso la apertura de clínicas de salud en las que se realizaron cribados de cáncer de cuello uterino, presión arterial, diabetes y salud ocular. Aunque estos servicios son gratuitos en las clínicas de salud, las clínicas de bienestar proporcionaron acceso a las mujeres que no podían asistir a las clínicas durante la semana debido a sus compromisos laborales. Se hicieron pruebas a más de 400 personas. Otro ejemplo es el de una clínica para el cuidado de los pies de las personas de edad. </w:t>
      </w:r>
    </w:p>
    <w:p w14:paraId="4AD7D06F" w14:textId="0D695837" w:rsidR="004570E4" w:rsidRPr="0017566A" w:rsidRDefault="004570E4" w:rsidP="00603C79">
      <w:pPr>
        <w:pStyle w:val="SingleTxt"/>
        <w:spacing w:after="0" w:line="120" w:lineRule="exact"/>
        <w:rPr>
          <w:sz w:val="10"/>
          <w:lang w:val="es-ES_tradnl"/>
        </w:rPr>
      </w:pPr>
    </w:p>
    <w:p w14:paraId="202A56CA" w14:textId="77777777" w:rsidR="004570E4" w:rsidRPr="0017566A" w:rsidRDefault="004570E4" w:rsidP="00603C7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18 de la lista de cuestiones y preguntas</w:t>
      </w:r>
    </w:p>
    <w:p w14:paraId="13504EFD" w14:textId="04D76C0A" w:rsidR="004570E4" w:rsidRPr="0017566A" w:rsidRDefault="004570E4" w:rsidP="00603C79">
      <w:pPr>
        <w:pStyle w:val="SingleTxt"/>
        <w:spacing w:after="0" w:line="120" w:lineRule="exact"/>
        <w:rPr>
          <w:sz w:val="10"/>
          <w:lang w:val="es-ES_tradnl"/>
        </w:rPr>
      </w:pPr>
    </w:p>
    <w:p w14:paraId="0AF2FDF4" w14:textId="77777777" w:rsidR="004570E4" w:rsidRPr="0017566A" w:rsidRDefault="004570E4" w:rsidP="004570E4">
      <w:pPr>
        <w:pStyle w:val="SingleTxt"/>
        <w:rPr>
          <w:lang w:val="es-ES_tradnl"/>
        </w:rPr>
      </w:pPr>
      <w:r w:rsidRPr="0017566A">
        <w:rPr>
          <w:lang w:val="es-ES_tradnl"/>
        </w:rPr>
        <w:t>86.</w:t>
      </w:r>
      <w:r w:rsidRPr="0017566A">
        <w:rPr>
          <w:lang w:val="es-ES_tradnl"/>
        </w:rPr>
        <w:tab/>
        <w:t>Las mujeres que acceden al servicio de planificación familiar reciben toda la información necesaria para orientarlas en la elección del método anticonceptivo más adecuado para retrasar/prevenir embarazos no deseados/no planificados.</w:t>
      </w:r>
    </w:p>
    <w:p w14:paraId="76D67CD3" w14:textId="1D7FB08D" w:rsidR="00603C79" w:rsidRPr="0017566A" w:rsidRDefault="004570E4" w:rsidP="00603C79">
      <w:pPr>
        <w:pStyle w:val="SingleTxt"/>
        <w:rPr>
          <w:lang w:val="es-ES_tradnl"/>
        </w:rPr>
      </w:pPr>
      <w:r w:rsidRPr="0017566A">
        <w:rPr>
          <w:lang w:val="es-ES_tradnl"/>
        </w:rPr>
        <w:t>87.</w:t>
      </w:r>
      <w:r w:rsidRPr="0017566A">
        <w:rPr>
          <w:lang w:val="es-ES_tradnl"/>
        </w:rPr>
        <w:tab/>
        <w:t>Los escolares solo pueden acceder a los servicios de planificación familiar con el consentimiento de los padres. En el sistema de salud pública no hay anticonceptivos de emergencia disponibles y no se ofrecen servicios de aborto. El aborto sigue siendo ilegal en Saint Kitts y Nevis.</w:t>
      </w:r>
    </w:p>
    <w:p w14:paraId="5D10768D" w14:textId="77777777" w:rsidR="004570E4" w:rsidRPr="0017566A" w:rsidRDefault="004570E4" w:rsidP="00DC6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Empoderamiento económico de las mujeres </w:t>
      </w:r>
    </w:p>
    <w:p w14:paraId="5BA0D577" w14:textId="6F5EDCAE" w:rsidR="004570E4" w:rsidRPr="0017566A" w:rsidRDefault="004570E4" w:rsidP="00DC6272">
      <w:pPr>
        <w:pStyle w:val="SingleTxt"/>
        <w:spacing w:after="0" w:line="120" w:lineRule="exact"/>
        <w:rPr>
          <w:sz w:val="10"/>
          <w:lang w:val="es-ES_tradnl"/>
        </w:rPr>
      </w:pPr>
    </w:p>
    <w:p w14:paraId="2544E5B7" w14:textId="5F2D6389" w:rsidR="00DC6272" w:rsidRPr="0017566A" w:rsidRDefault="00DC6272" w:rsidP="00DC6272">
      <w:pPr>
        <w:pStyle w:val="SingleTxt"/>
        <w:spacing w:after="0" w:line="120" w:lineRule="exact"/>
        <w:rPr>
          <w:sz w:val="10"/>
          <w:lang w:val="es-ES_tradnl"/>
        </w:rPr>
      </w:pPr>
    </w:p>
    <w:p w14:paraId="1D1BEFB0" w14:textId="77777777" w:rsidR="004570E4" w:rsidRPr="0017566A" w:rsidRDefault="004570E4" w:rsidP="00DC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19 de la lista de cuestiones y preguntas</w:t>
      </w:r>
    </w:p>
    <w:p w14:paraId="53C6EF2E" w14:textId="092F9320" w:rsidR="004570E4" w:rsidRPr="0017566A" w:rsidRDefault="004570E4" w:rsidP="00DC6272">
      <w:pPr>
        <w:pStyle w:val="SingleTxt"/>
        <w:spacing w:after="0" w:line="120" w:lineRule="exact"/>
        <w:rPr>
          <w:sz w:val="10"/>
          <w:lang w:val="es-ES_tradnl"/>
        </w:rPr>
      </w:pPr>
    </w:p>
    <w:p w14:paraId="11D2930D" w14:textId="77777777" w:rsidR="004570E4" w:rsidRPr="0017566A" w:rsidRDefault="004570E4" w:rsidP="004570E4">
      <w:pPr>
        <w:pStyle w:val="SingleTxt"/>
        <w:rPr>
          <w:b/>
          <w:lang w:val="es-ES_tradnl"/>
        </w:rPr>
      </w:pPr>
      <w:r w:rsidRPr="0017566A">
        <w:rPr>
          <w:lang w:val="es-ES_tradnl"/>
        </w:rPr>
        <w:t>88.</w:t>
      </w:r>
      <w:r w:rsidRPr="0017566A">
        <w:rPr>
          <w:lang w:val="es-ES_tradnl"/>
        </w:rPr>
        <w:tab/>
        <w:t>Se ha finalizado la redacción de la Política y Plan de Acción Nacionales de Protección Social</w:t>
      </w:r>
      <w:r w:rsidRPr="0017566A">
        <w:rPr>
          <w:vertAlign w:val="superscript"/>
          <w:lang w:val="es-ES_tradnl"/>
        </w:rPr>
        <w:footnoteReference w:id="14"/>
      </w:r>
      <w:r w:rsidRPr="0017566A">
        <w:rPr>
          <w:lang w:val="es-ES_tradnl"/>
        </w:rPr>
        <w:t xml:space="preserve"> con la ayuda del Fondo de las Naciones Unidas para la Infancia (UNICEF). El objetivo de la política es la consecución de la protección social universal y el apoyo a una alta calidad de vida para los habitantes de la Federación. El Gobierno brinda apoyo a las personas y las familias mediante servicios y programas para proteger a la población contra la pobreza crónica y el hambre, las crisis, la indigencia y la exclusión social. Concebida según un enfoque basado en los derechos humanos, la Política Nacional de Protección Social integra la receptividad a las cuestiones de género para comprender y responder a las diferentes necesidades de mujeres y hombres, niñas y niños. </w:t>
      </w:r>
    </w:p>
    <w:p w14:paraId="56601D4F" w14:textId="0CD97D1A" w:rsidR="004570E4" w:rsidRPr="0017566A" w:rsidRDefault="004570E4" w:rsidP="00DC6272">
      <w:pPr>
        <w:pStyle w:val="SingleTxt"/>
        <w:spacing w:after="0" w:line="120" w:lineRule="exact"/>
        <w:rPr>
          <w:sz w:val="10"/>
          <w:lang w:val="es-ES_tradnl"/>
        </w:rPr>
      </w:pPr>
    </w:p>
    <w:p w14:paraId="062D7F6A" w14:textId="77777777" w:rsidR="004570E4" w:rsidRPr="0017566A" w:rsidRDefault="004570E4" w:rsidP="00DC62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Iniciativas económicas</w:t>
      </w:r>
    </w:p>
    <w:p w14:paraId="1A7DB132" w14:textId="53B6822E" w:rsidR="004570E4" w:rsidRPr="0017566A" w:rsidRDefault="004570E4" w:rsidP="00DC6272">
      <w:pPr>
        <w:pStyle w:val="SingleTxt"/>
        <w:spacing w:after="0" w:line="120" w:lineRule="exact"/>
        <w:rPr>
          <w:sz w:val="10"/>
          <w:lang w:val="es-ES_tradnl"/>
        </w:rPr>
      </w:pPr>
    </w:p>
    <w:p w14:paraId="63037AAB" w14:textId="77777777" w:rsidR="004570E4" w:rsidRPr="0017566A" w:rsidRDefault="004570E4" w:rsidP="004570E4">
      <w:pPr>
        <w:pStyle w:val="SingleTxt"/>
        <w:rPr>
          <w:lang w:val="es-ES_tradnl"/>
        </w:rPr>
      </w:pPr>
      <w:r w:rsidRPr="0017566A">
        <w:rPr>
          <w:lang w:val="es-ES_tradnl"/>
        </w:rPr>
        <w:t>89.</w:t>
      </w:r>
      <w:r w:rsidRPr="0017566A">
        <w:rPr>
          <w:lang w:val="es-ES_tradnl"/>
        </w:rPr>
        <w:tab/>
        <w:t xml:space="preserve">Además del paquete de estímulo del Gobierno y otras formas de asistencia social para los trabajadores directamente afectados, las iniciativas de la Federación para volver a dotar de recursos a las mujeres y diversificar sus habilidades en respuesta a los tiempos de incertidumbre comprenden una serie de actividades económicas. </w:t>
      </w:r>
    </w:p>
    <w:p w14:paraId="1785D21B" w14:textId="77777777" w:rsidR="004570E4" w:rsidRPr="0017566A" w:rsidRDefault="004570E4" w:rsidP="004570E4">
      <w:pPr>
        <w:pStyle w:val="SingleTxt"/>
        <w:rPr>
          <w:lang w:val="es-ES_tradnl"/>
        </w:rPr>
      </w:pPr>
      <w:r w:rsidRPr="0017566A">
        <w:rPr>
          <w:lang w:val="es-ES_tradnl"/>
        </w:rPr>
        <w:t>90.</w:t>
      </w:r>
      <w:r w:rsidRPr="0017566A">
        <w:rPr>
          <w:lang w:val="es-ES_tradnl"/>
        </w:rPr>
        <w:tab/>
        <w:t>Se constató una presencia insuficiente de hombres y mujeres jóvenes en la creación y gestión de pequeñas empresas. Por lo tanto, en 2019 el Ministerio de Finanzas de la Administración de la isla de Nevis puso en marcha oficialmente un Fondo de Emprendimiento</w:t>
      </w:r>
      <w:r w:rsidRPr="0017566A">
        <w:rPr>
          <w:vertAlign w:val="superscript"/>
          <w:lang w:val="es-ES_tradnl"/>
        </w:rPr>
        <w:footnoteReference w:id="15"/>
      </w:r>
      <w:r w:rsidRPr="0017566A">
        <w:rPr>
          <w:lang w:val="es-ES_tradnl"/>
        </w:rPr>
        <w:t xml:space="preserve"> destinado a promover una mayor participación de mujeres y jóvenes. Reconociendo las dificultades para acceder a los préstamos a través de los mecanismos habituales, el Gobierno y los fondos asistidos por Taiwán ofrecieron préstamos a tasas de interés nominales a pequeñas empresas y empresas emergentes cuyas propietarias o gestoras son mujeres y jóvenes de 35 años o menos.</w:t>
      </w:r>
    </w:p>
    <w:p w14:paraId="03DA2370" w14:textId="77777777" w:rsidR="004570E4" w:rsidRPr="0017566A" w:rsidRDefault="004570E4" w:rsidP="004570E4">
      <w:pPr>
        <w:pStyle w:val="SingleTxt"/>
        <w:rPr>
          <w:lang w:val="es-ES_tradnl"/>
        </w:rPr>
      </w:pPr>
      <w:r w:rsidRPr="0017566A">
        <w:rPr>
          <w:lang w:val="es-ES_tradnl"/>
        </w:rPr>
        <w:t>91.</w:t>
      </w:r>
      <w:r w:rsidRPr="0017566A">
        <w:rPr>
          <w:lang w:val="es-ES_tradnl"/>
        </w:rPr>
        <w:tab/>
        <w:t xml:space="preserve">Además de las iniciativas de empoderamiento económico ofrecidas en la isla de Nevis, existen otras medidas que incluyen un seminario sobre agricultura doméstica (2020), el suministro de cajas de cultivo a familias desfavorecidas para fomentar prácticas agrícolas domésticas sostenibles y la asistencia del personal a las mujeres en la adquisición de préstamos de la Cooperativa de Crédito de Nevis. </w:t>
      </w:r>
    </w:p>
    <w:p w14:paraId="628E3A0E" w14:textId="77777777" w:rsidR="004570E4" w:rsidRPr="0017566A" w:rsidRDefault="004570E4" w:rsidP="004570E4">
      <w:pPr>
        <w:pStyle w:val="SingleTxt"/>
        <w:rPr>
          <w:lang w:val="es-ES_tradnl"/>
        </w:rPr>
      </w:pPr>
      <w:r w:rsidRPr="0017566A">
        <w:rPr>
          <w:lang w:val="es-ES_tradnl"/>
        </w:rPr>
        <w:t>92.</w:t>
      </w:r>
      <w:r w:rsidRPr="0017566A">
        <w:rPr>
          <w:lang w:val="es-ES_tradnl"/>
        </w:rPr>
        <w:tab/>
        <w:t xml:space="preserve">El Centro de Desarrollo de la Pequeña Empresa (SBDC) brinda apoyo al empoderamiento económico de las mujeres a través de la capacitación, por ejemplo, en la redacción de planes de actividades, el establecimiento de redes a través de ferias comerciales, el acceso a la concesión libre de impuestos y la capacitación sobre principios empresariales. El SBDC también entabla alianzas con organizaciones cuyo objetivo es mejorar el sector de las microempresas y pequeñas y medianas empresas (mipymes). </w:t>
      </w:r>
    </w:p>
    <w:p w14:paraId="05561809" w14:textId="365A9130" w:rsidR="004570E4" w:rsidRPr="0017566A" w:rsidRDefault="004570E4" w:rsidP="004570E4">
      <w:pPr>
        <w:pStyle w:val="SingleTxt"/>
        <w:rPr>
          <w:u w:val="single"/>
          <w:lang w:val="es-ES_tradnl"/>
        </w:rPr>
      </w:pPr>
      <w:r w:rsidRPr="0017566A">
        <w:rPr>
          <w:lang w:val="es-ES_tradnl"/>
        </w:rPr>
        <w:t>93.</w:t>
      </w:r>
      <w:r w:rsidRPr="0017566A">
        <w:rPr>
          <w:lang w:val="es-ES_tradnl"/>
        </w:rPr>
        <w:tab/>
        <w:t>El Business and Professional Women’s Club organiza distintas actividades, una de las cuales incluye una venta mensual de ropa nueva o casi nueva (</w:t>
      </w:r>
      <w:r w:rsidR="00B01A25" w:rsidRPr="0017566A">
        <w:rPr>
          <w:lang w:val="es-ES_tradnl"/>
        </w:rPr>
        <w:t>“</w:t>
      </w:r>
      <w:r w:rsidRPr="0017566A">
        <w:rPr>
          <w:lang w:val="es-ES_tradnl"/>
        </w:rPr>
        <w:t>New to You</w:t>
      </w:r>
      <w:r w:rsidR="00B01A25" w:rsidRPr="0017566A">
        <w:rPr>
          <w:lang w:val="es-ES_tradnl"/>
        </w:rPr>
        <w:t>”</w:t>
      </w:r>
      <w:r w:rsidRPr="0017566A">
        <w:rPr>
          <w:lang w:val="es-ES_tradnl"/>
        </w:rPr>
        <w:t>) a un precio conservador (menos de 50 dólares del Caribe Oriental) para ayudar a las mujeres a comprar ropa para introducirse en el mundo laboral. Además, la ONG ofrece sesiones de coaching con alumnas de secundaria.</w:t>
      </w:r>
    </w:p>
    <w:p w14:paraId="52E4C8CA" w14:textId="57A3C587" w:rsidR="004570E4" w:rsidRPr="0017566A" w:rsidRDefault="004570E4" w:rsidP="00DC6272">
      <w:pPr>
        <w:pStyle w:val="SingleTxt"/>
        <w:spacing w:after="0" w:line="120" w:lineRule="exact"/>
        <w:rPr>
          <w:sz w:val="10"/>
          <w:lang w:val="es-ES_tradnl"/>
        </w:rPr>
      </w:pPr>
    </w:p>
    <w:p w14:paraId="190F5FF0" w14:textId="77777777" w:rsidR="004570E4" w:rsidRPr="0017566A" w:rsidRDefault="004570E4" w:rsidP="00DC62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Ministerio de Turismo y Transporte</w:t>
      </w:r>
    </w:p>
    <w:p w14:paraId="7DE03647" w14:textId="13EC4CDC" w:rsidR="004570E4" w:rsidRPr="0017566A" w:rsidRDefault="004570E4" w:rsidP="00DC6272">
      <w:pPr>
        <w:pStyle w:val="SingleTxt"/>
        <w:keepNext/>
        <w:keepLines/>
        <w:spacing w:after="0" w:line="120" w:lineRule="exact"/>
        <w:rPr>
          <w:sz w:val="10"/>
          <w:lang w:val="es-ES_tradnl"/>
        </w:rPr>
      </w:pPr>
    </w:p>
    <w:p w14:paraId="1D8F358F" w14:textId="77777777" w:rsidR="004570E4" w:rsidRPr="0017566A" w:rsidRDefault="004570E4" w:rsidP="00DC6272">
      <w:pPr>
        <w:pStyle w:val="SingleTxt"/>
        <w:keepNext/>
        <w:keepLines/>
        <w:rPr>
          <w:lang w:val="es-ES_tradnl"/>
        </w:rPr>
      </w:pPr>
      <w:r w:rsidRPr="0017566A">
        <w:rPr>
          <w:lang w:val="es-ES_tradnl"/>
        </w:rPr>
        <w:t>94.</w:t>
      </w:r>
      <w:r w:rsidRPr="0017566A">
        <w:rPr>
          <w:lang w:val="es-ES_tradnl"/>
        </w:rPr>
        <w:tab/>
        <w:t>El Ministerio de Turismo y Transporte ha colaborado estrechamente con el Equipo de Tareas de la COVID-19 con el objetivo de desarrollar los Protocolos de Salud y Seguridad en el contexto de la COVID-19 a fin de revisar las normas y prácticas del sector. Un total de 5.205 trabajadores de toda la Federación participaron en el Programa de Formación y Certificación Homologada de Viajes</w:t>
      </w:r>
      <w:r w:rsidRPr="0017566A">
        <w:rPr>
          <w:vertAlign w:val="superscript"/>
          <w:lang w:val="es-ES_tradnl"/>
        </w:rPr>
        <w:footnoteReference w:id="16"/>
      </w:r>
      <w:r w:rsidRPr="0017566A">
        <w:rPr>
          <w:lang w:val="es-ES_tradnl"/>
        </w:rPr>
        <w:t xml:space="preserve"> con exención de todas las tasas para garantizar el máximo número de asistentes. </w:t>
      </w:r>
    </w:p>
    <w:p w14:paraId="1A067ADB" w14:textId="77777777" w:rsidR="004570E4" w:rsidRPr="0017566A" w:rsidRDefault="004570E4" w:rsidP="004570E4">
      <w:pPr>
        <w:pStyle w:val="SingleTxt"/>
        <w:rPr>
          <w:lang w:val="es-ES_tradnl"/>
        </w:rPr>
      </w:pPr>
      <w:r w:rsidRPr="0017566A">
        <w:rPr>
          <w:lang w:val="es-ES_tradnl"/>
        </w:rPr>
        <w:t>95.</w:t>
      </w:r>
      <w:r w:rsidRPr="0017566A">
        <w:rPr>
          <w:lang w:val="es-ES_tradnl"/>
        </w:rPr>
        <w:tab/>
        <w:t>Un porcentaje significativo de las mipymes son gestionadas por mujeres procedentes de hogares monoparentales. El ministerio facilitó la participación de 46 mipymes (principalmente de mujeres) del sector que se beneficiarán del Programa de Adaptación de las Empresas al Turismo del Futuro</w:t>
      </w:r>
      <w:r w:rsidRPr="0017566A">
        <w:rPr>
          <w:vertAlign w:val="superscript"/>
          <w:lang w:val="es-ES_tradnl"/>
        </w:rPr>
        <w:footnoteReference w:id="17"/>
      </w:r>
      <w:r w:rsidRPr="0017566A">
        <w:rPr>
          <w:lang w:val="es-ES_tradnl"/>
        </w:rPr>
        <w:t xml:space="preserve">, de 18 meses de duración, financiado conjuntamente por el Programa de las Naciones Unidas para el Desarrollo (PNUD), la Universidad de las Indias Occidentales y la Frankfurt School of Finance and Management. </w:t>
      </w:r>
    </w:p>
    <w:p w14:paraId="05A3D71D" w14:textId="77777777" w:rsidR="004570E4" w:rsidRPr="0017566A" w:rsidRDefault="004570E4" w:rsidP="004570E4">
      <w:pPr>
        <w:pStyle w:val="SingleTxt"/>
        <w:rPr>
          <w:lang w:val="es-ES_tradnl"/>
        </w:rPr>
      </w:pPr>
      <w:r w:rsidRPr="0017566A">
        <w:rPr>
          <w:lang w:val="es-ES_tradnl"/>
        </w:rPr>
        <w:t>96.</w:t>
      </w:r>
      <w:r w:rsidRPr="0017566A">
        <w:rPr>
          <w:lang w:val="es-ES_tradnl"/>
        </w:rPr>
        <w:tab/>
        <w:t>El ministerio contrata directamente a las mipymes y a cientos de ciudadanos y residentes para suministrar bienes y servicios al Festival de Música de Saint Kitts</w:t>
      </w:r>
      <w:r w:rsidRPr="0017566A">
        <w:rPr>
          <w:vertAlign w:val="superscript"/>
          <w:lang w:val="es-ES_tradnl"/>
        </w:rPr>
        <w:footnoteReference w:id="18"/>
      </w:r>
      <w:r w:rsidRPr="0017566A">
        <w:rPr>
          <w:lang w:val="es-ES_tradnl"/>
        </w:rPr>
        <w:t xml:space="preserve">, uno de los festivales más antiguos que atrae a mecenas locales, regionales e internacionales. </w:t>
      </w:r>
    </w:p>
    <w:p w14:paraId="798025CF" w14:textId="63562D82" w:rsidR="004570E4" w:rsidRPr="0017566A" w:rsidRDefault="004570E4" w:rsidP="00DC6272">
      <w:pPr>
        <w:pStyle w:val="SingleTxt"/>
        <w:spacing w:after="0" w:line="120" w:lineRule="exact"/>
        <w:rPr>
          <w:sz w:val="10"/>
          <w:lang w:val="es-ES_tradnl"/>
        </w:rPr>
      </w:pPr>
    </w:p>
    <w:p w14:paraId="1E16C722" w14:textId="77777777" w:rsidR="004570E4" w:rsidRPr="0017566A" w:rsidRDefault="004570E4" w:rsidP="00DC62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Empoderamiento económico mediante el desarrollo del espíritu emprendedor</w:t>
      </w:r>
    </w:p>
    <w:p w14:paraId="6AE21327" w14:textId="74120B0D" w:rsidR="004570E4" w:rsidRPr="0017566A" w:rsidRDefault="004570E4" w:rsidP="00DC6272">
      <w:pPr>
        <w:pStyle w:val="SingleTxt"/>
        <w:spacing w:after="0" w:line="120" w:lineRule="exact"/>
        <w:rPr>
          <w:sz w:val="10"/>
          <w:lang w:val="es-ES_tradnl"/>
        </w:rPr>
      </w:pPr>
    </w:p>
    <w:p w14:paraId="7E05BB05" w14:textId="25AB7C23" w:rsidR="004570E4" w:rsidRPr="0017566A" w:rsidRDefault="004570E4" w:rsidP="004570E4">
      <w:pPr>
        <w:pStyle w:val="SingleTxt"/>
        <w:rPr>
          <w:lang w:val="es-ES_tradnl"/>
        </w:rPr>
      </w:pPr>
      <w:r w:rsidRPr="0017566A">
        <w:rPr>
          <w:lang w:val="es-ES_tradnl"/>
        </w:rPr>
        <w:t>97.</w:t>
      </w:r>
      <w:r w:rsidRPr="0017566A">
        <w:rPr>
          <w:lang w:val="es-ES_tradnl"/>
        </w:rPr>
        <w:tab/>
        <w:t xml:space="preserve">La Embajada de la República de China (Taiwán) presentó en tres Estados miembros de la OECO (Saint Kitts y Nevis, Santa Lucía y San Vicente y las Granadinas) la propuesta de proyecto del Fondo de Desarrollo de la Capacidad de Innovación de Taiwán para contribuir al empoderamiento económico de las mujeres en América Latina y el Caribe tras la pandemia. Para la Federación de Saint Kitts y Nevis, el proyecto se denominó </w:t>
      </w:r>
      <w:r w:rsidR="00B01A25" w:rsidRPr="0017566A">
        <w:rPr>
          <w:lang w:val="es-ES_tradnl"/>
        </w:rPr>
        <w:t>“</w:t>
      </w:r>
      <w:r w:rsidRPr="0017566A">
        <w:rPr>
          <w:lang w:val="es-ES_tradnl"/>
        </w:rPr>
        <w:t>Asistencia técnica para el empleo, la iniciativa empresarial y la inclusión financiera de las mujeres en Saint Kitts y Nevis</w:t>
      </w:r>
      <w:r w:rsidR="00B01A25" w:rsidRPr="0017566A">
        <w:rPr>
          <w:lang w:val="es-ES_tradnl"/>
        </w:rPr>
        <w:t>”</w:t>
      </w:r>
      <w:r w:rsidRPr="0017566A">
        <w:rPr>
          <w:lang w:val="es-ES_tradnl"/>
        </w:rPr>
        <w:t xml:space="preserve"> y se puso en marcha en la ceremonia de firma del acuerdo celebrada el martes 11 de octubre de 2021. El acuerdo fue firmado por el Ministro encargado del Desarrollo Social, el Honorable Eugene Hamilton, y el Embajador de la República de China (Taiwán), el Excelentísimo Señor Michael Chau-Hong Lin. </w:t>
      </w:r>
    </w:p>
    <w:p w14:paraId="3CE4B8C3" w14:textId="77777777" w:rsidR="004570E4" w:rsidRPr="0017566A" w:rsidRDefault="004570E4" w:rsidP="004570E4">
      <w:pPr>
        <w:pStyle w:val="SingleTxt"/>
        <w:rPr>
          <w:lang w:val="es-ES_tradnl"/>
        </w:rPr>
      </w:pPr>
      <w:r w:rsidRPr="0017566A">
        <w:rPr>
          <w:lang w:val="es-ES_tradnl"/>
        </w:rPr>
        <w:t>98.</w:t>
      </w:r>
      <w:r w:rsidRPr="0017566A">
        <w:rPr>
          <w:lang w:val="es-ES_tradnl"/>
        </w:rPr>
        <w:tab/>
        <w:t xml:space="preserve">La misión técnica de Taiwán es responsable de ejecutar el proyecto con el apoyo de los principales organismos de realización del sector público. Entre otros, se incluyen el Ministerio de Desarrollo Social y Asuntos de Género, el Centro de Desarrollo de la Pequeña Empresa (Saint Kitts), la Dependencia de Desarrollo de la Pequeña Empres (Nevis) y Advanced Vocational Education and Training Center (AVEC) en Saint Kitts. Se contrató a un equipo para el proyecto que contaba con los puestos de Coordinador del Proyecto, Oficial de Comunicaciones y Enlace de Personas en Formación. Los tres puestos deben ser ocupados por mujeres. </w:t>
      </w:r>
    </w:p>
    <w:p w14:paraId="2D90D3C1" w14:textId="77777777" w:rsidR="004570E4" w:rsidRPr="0017566A" w:rsidRDefault="004570E4" w:rsidP="004570E4">
      <w:pPr>
        <w:pStyle w:val="SingleTxt"/>
        <w:rPr>
          <w:lang w:val="es-ES_tradnl"/>
        </w:rPr>
      </w:pPr>
      <w:r w:rsidRPr="0017566A">
        <w:rPr>
          <w:lang w:val="es-ES_tradnl"/>
        </w:rPr>
        <w:t>99.</w:t>
      </w:r>
      <w:r w:rsidRPr="0017566A">
        <w:rPr>
          <w:lang w:val="es-ES_tradnl"/>
        </w:rPr>
        <w:tab/>
        <w:t xml:space="preserve">El asesoramiento técnico corre a cargo de un Comité Directivo Nacional que está formado por los principales organismos de realización y otros establecimientos del sector público y privado que desempeñan un papel clave en materia de empleo y emprendimiento femenino. Véase la lista completa en el Apéndice. </w:t>
      </w:r>
    </w:p>
    <w:p w14:paraId="28184E75" w14:textId="77777777" w:rsidR="004570E4" w:rsidRPr="0017566A" w:rsidRDefault="004570E4" w:rsidP="004570E4">
      <w:pPr>
        <w:pStyle w:val="SingleTxt"/>
        <w:rPr>
          <w:lang w:val="es-ES_tradnl"/>
        </w:rPr>
      </w:pPr>
      <w:r w:rsidRPr="0017566A">
        <w:rPr>
          <w:lang w:val="es-ES_tradnl"/>
        </w:rPr>
        <w:t>100.</w:t>
      </w:r>
      <w:r w:rsidRPr="0017566A">
        <w:rPr>
          <w:lang w:val="es-ES_tradnl"/>
        </w:rPr>
        <w:tab/>
        <w:t xml:space="preserve">El proyecto fue diseñado para respaldar el impulso de la economía tras la pandemia y el mantenimiento de la estabilidad social mediante el fortalecimiento del empoderamiento económico de las mujeres. Proporciona ayuda financiera a las microempresas y a las mujeres, combinando el mecanismo de garantía de crédito y la creación de capacidad de empleo e iniciativa empresarial para mejorar las oportunidades de financiación de las empresas. Los principales componentes son la mejora de la función institucional, la formación profesional de las mujeres, el asesoramiento para el emprendimiento y el desarrollo de las mujeres, y el asesoramiento para el crecimiento y el desarrollo de las mipymes. El proyecto va dirigido a mujeres desempleadas mayores de 16 años que tengan el interés y el deseo de ser emprendedoras, mujeres empresarias, propietarias de empresas en las que hasta 1/3 de los trabajadores son mujeres y mipymes en las que hasta la mitad de los trabajadores son mujeres. </w:t>
      </w:r>
    </w:p>
    <w:p w14:paraId="4786B2F3" w14:textId="7FB02A64" w:rsidR="004570E4" w:rsidRPr="0017566A" w:rsidRDefault="004570E4" w:rsidP="00DC6272">
      <w:pPr>
        <w:pStyle w:val="SingleTxt"/>
        <w:spacing w:after="0" w:line="120" w:lineRule="exact"/>
        <w:rPr>
          <w:sz w:val="10"/>
          <w:lang w:val="es-ES_tradnl"/>
        </w:rPr>
      </w:pPr>
    </w:p>
    <w:p w14:paraId="328E79D7" w14:textId="4F07F789" w:rsidR="004570E4" w:rsidRPr="0017566A" w:rsidRDefault="004570E4" w:rsidP="00DC62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Formación profesional</w:t>
      </w:r>
    </w:p>
    <w:p w14:paraId="1EE506B9" w14:textId="433A4B64" w:rsidR="004570E4" w:rsidRPr="0017566A" w:rsidRDefault="004570E4" w:rsidP="00DC6272">
      <w:pPr>
        <w:pStyle w:val="SingleTxt"/>
        <w:spacing w:after="0" w:line="120" w:lineRule="exact"/>
        <w:rPr>
          <w:sz w:val="10"/>
          <w:lang w:val="es-ES_tradnl"/>
        </w:rPr>
      </w:pPr>
    </w:p>
    <w:p w14:paraId="533FA3F9" w14:textId="77777777" w:rsidR="004570E4" w:rsidRPr="0017566A" w:rsidRDefault="004570E4" w:rsidP="004570E4">
      <w:pPr>
        <w:pStyle w:val="SingleTxt"/>
        <w:rPr>
          <w:lang w:val="es-ES_tradnl"/>
        </w:rPr>
      </w:pPr>
      <w:r w:rsidRPr="0017566A">
        <w:rPr>
          <w:lang w:val="es-ES_tradnl"/>
        </w:rPr>
        <w:t>101.</w:t>
      </w:r>
      <w:r w:rsidRPr="0017566A">
        <w:rPr>
          <w:lang w:val="es-ES_tradnl"/>
        </w:rPr>
        <w:tab/>
        <w:t xml:space="preserve">Se ofrecieron 7 áreas temáticas a las mujeres interesadas que no tenían empleo, divididas en cuatro temas en Saint Kitts y tres en Nevis. Las sesiones de capacitación comprendieron áreas temáticas críticas para la creación de un plan de actividades que posteriormente se presentó ante un panel de jueces para elegir a las ganadoras, que recibieron subsidios en efectivo para iniciar la puesta en marcha o la mejora de las ideas de negocio. El resumen se reproduce a continuación: </w:t>
      </w:r>
    </w:p>
    <w:p w14:paraId="4B826D36" w14:textId="77777777" w:rsidR="004570E4" w:rsidRPr="0017566A" w:rsidRDefault="004570E4" w:rsidP="004570E4">
      <w:pPr>
        <w:pStyle w:val="SingleTxt"/>
        <w:rPr>
          <w:lang w:val="es-ES_tradnl"/>
        </w:rPr>
      </w:pPr>
      <w:r w:rsidRPr="0017566A">
        <w:rPr>
          <w:lang w:val="es-ES_tradnl"/>
        </w:rPr>
        <w:t xml:space="preserve">St. Kitts: </w:t>
      </w:r>
    </w:p>
    <w:p w14:paraId="548D914A" w14:textId="172D5A02" w:rsidR="00F644AB" w:rsidRPr="0017566A" w:rsidRDefault="00F644AB" w:rsidP="004570E4">
      <w:pPr>
        <w:pStyle w:val="SingleTxt"/>
        <w:spacing w:after="0" w:line="120" w:lineRule="exact"/>
        <w:rPr>
          <w:sz w:val="10"/>
          <w:lang w:val="es-ES_tradnl"/>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73"/>
        <w:gridCol w:w="769"/>
        <w:gridCol w:w="1031"/>
        <w:gridCol w:w="1260"/>
        <w:gridCol w:w="1387"/>
      </w:tblGrid>
      <w:tr w:rsidR="00DC6272" w:rsidRPr="0017566A" w14:paraId="7CD2E5E6" w14:textId="77777777" w:rsidTr="00DC6272">
        <w:trPr>
          <w:tblHeader/>
        </w:trPr>
        <w:tc>
          <w:tcPr>
            <w:tcW w:w="2873" w:type="dxa"/>
            <w:tcBorders>
              <w:top w:val="single" w:sz="4" w:space="0" w:color="auto"/>
              <w:bottom w:val="single" w:sz="12" w:space="0" w:color="auto"/>
            </w:tcBorders>
            <w:shd w:val="clear" w:color="auto" w:fill="auto"/>
            <w:vAlign w:val="bottom"/>
          </w:tcPr>
          <w:p w14:paraId="302BEE74" w14:textId="262099B5"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s-ES_tradnl"/>
              </w:rPr>
            </w:pPr>
            <w:r w:rsidRPr="0017566A">
              <w:rPr>
                <w:i/>
                <w:sz w:val="14"/>
                <w:lang w:val="es-ES_tradnl"/>
              </w:rPr>
              <w:t>Temas de capacitación</w:t>
            </w:r>
          </w:p>
        </w:tc>
        <w:tc>
          <w:tcPr>
            <w:tcW w:w="769" w:type="dxa"/>
            <w:tcBorders>
              <w:top w:val="single" w:sz="4" w:space="0" w:color="auto"/>
              <w:bottom w:val="single" w:sz="12" w:space="0" w:color="auto"/>
            </w:tcBorders>
            <w:shd w:val="clear" w:color="auto" w:fill="auto"/>
            <w:vAlign w:val="bottom"/>
          </w:tcPr>
          <w:p w14:paraId="2067A060" w14:textId="49632A0B"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17566A">
              <w:rPr>
                <w:i/>
                <w:sz w:val="14"/>
                <w:lang w:val="es-ES_tradnl"/>
              </w:rPr>
              <w:t>Número total de candidatas</w:t>
            </w:r>
          </w:p>
        </w:tc>
        <w:tc>
          <w:tcPr>
            <w:tcW w:w="1031" w:type="dxa"/>
            <w:tcBorders>
              <w:top w:val="single" w:sz="4" w:space="0" w:color="auto"/>
              <w:bottom w:val="single" w:sz="12" w:space="0" w:color="auto"/>
            </w:tcBorders>
            <w:shd w:val="clear" w:color="auto" w:fill="auto"/>
            <w:vAlign w:val="bottom"/>
          </w:tcPr>
          <w:p w14:paraId="42803A3F" w14:textId="1CBDECD9"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17566A">
              <w:rPr>
                <w:i/>
                <w:sz w:val="14"/>
                <w:lang w:val="es-ES_tradnl"/>
              </w:rPr>
              <w:t>Número total de personas</w:t>
            </w:r>
            <w:r w:rsidRPr="0017566A">
              <w:rPr>
                <w:i/>
                <w:sz w:val="14"/>
                <w:lang w:val="es-ES_tradnl"/>
              </w:rPr>
              <w:br/>
              <w:t>en formación</w:t>
            </w:r>
          </w:p>
        </w:tc>
        <w:tc>
          <w:tcPr>
            <w:tcW w:w="1260" w:type="dxa"/>
            <w:tcBorders>
              <w:top w:val="single" w:sz="4" w:space="0" w:color="auto"/>
              <w:bottom w:val="single" w:sz="12" w:space="0" w:color="auto"/>
            </w:tcBorders>
            <w:shd w:val="clear" w:color="auto" w:fill="auto"/>
            <w:vAlign w:val="bottom"/>
          </w:tcPr>
          <w:p w14:paraId="4C4765A4" w14:textId="2F0E5CC8"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17566A">
              <w:rPr>
                <w:i/>
                <w:sz w:val="14"/>
                <w:lang w:val="es-ES_tradnl"/>
              </w:rPr>
              <w:t>Número total de personas que superaron la formación</w:t>
            </w:r>
          </w:p>
        </w:tc>
        <w:tc>
          <w:tcPr>
            <w:tcW w:w="1387" w:type="dxa"/>
            <w:tcBorders>
              <w:top w:val="single" w:sz="4" w:space="0" w:color="auto"/>
              <w:bottom w:val="single" w:sz="12" w:space="0" w:color="auto"/>
            </w:tcBorders>
            <w:shd w:val="clear" w:color="auto" w:fill="auto"/>
            <w:vAlign w:val="bottom"/>
          </w:tcPr>
          <w:p w14:paraId="6A132DDA" w14:textId="02C1FA32"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right"/>
              <w:rPr>
                <w:i/>
                <w:sz w:val="14"/>
                <w:lang w:val="es-ES_tradnl"/>
              </w:rPr>
            </w:pPr>
            <w:r w:rsidRPr="0017566A">
              <w:rPr>
                <w:i/>
                <w:sz w:val="14"/>
                <w:lang w:val="es-ES_tradnl"/>
              </w:rPr>
              <w:t>Número total de beneficiarias de los subsidios</w:t>
            </w:r>
          </w:p>
        </w:tc>
      </w:tr>
      <w:tr w:rsidR="004570E4" w:rsidRPr="0017566A" w14:paraId="39A2AEB6" w14:textId="77777777" w:rsidTr="00DC6272">
        <w:trPr>
          <w:trHeight w:hRule="exact" w:val="115"/>
          <w:tblHeader/>
        </w:trPr>
        <w:tc>
          <w:tcPr>
            <w:tcW w:w="2873" w:type="dxa"/>
            <w:tcBorders>
              <w:top w:val="single" w:sz="12" w:space="0" w:color="auto"/>
            </w:tcBorders>
            <w:shd w:val="clear" w:color="auto" w:fill="auto"/>
            <w:vAlign w:val="bottom"/>
          </w:tcPr>
          <w:p w14:paraId="41CAA35D"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_tradnl"/>
              </w:rPr>
            </w:pPr>
          </w:p>
        </w:tc>
        <w:tc>
          <w:tcPr>
            <w:tcW w:w="769" w:type="dxa"/>
            <w:tcBorders>
              <w:top w:val="single" w:sz="12" w:space="0" w:color="auto"/>
            </w:tcBorders>
            <w:shd w:val="clear" w:color="auto" w:fill="auto"/>
            <w:vAlign w:val="bottom"/>
          </w:tcPr>
          <w:p w14:paraId="15E9F58A"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c>
          <w:tcPr>
            <w:tcW w:w="1031" w:type="dxa"/>
            <w:tcBorders>
              <w:top w:val="single" w:sz="12" w:space="0" w:color="auto"/>
            </w:tcBorders>
            <w:shd w:val="clear" w:color="auto" w:fill="auto"/>
            <w:vAlign w:val="bottom"/>
          </w:tcPr>
          <w:p w14:paraId="4B7D5EF0"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c>
          <w:tcPr>
            <w:tcW w:w="1260" w:type="dxa"/>
            <w:tcBorders>
              <w:top w:val="single" w:sz="12" w:space="0" w:color="auto"/>
            </w:tcBorders>
            <w:shd w:val="clear" w:color="auto" w:fill="auto"/>
            <w:vAlign w:val="bottom"/>
          </w:tcPr>
          <w:p w14:paraId="23AFF2AF"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c>
          <w:tcPr>
            <w:tcW w:w="1387" w:type="dxa"/>
            <w:tcBorders>
              <w:top w:val="single" w:sz="12" w:space="0" w:color="auto"/>
            </w:tcBorders>
            <w:shd w:val="clear" w:color="auto" w:fill="auto"/>
            <w:vAlign w:val="bottom"/>
          </w:tcPr>
          <w:p w14:paraId="2FFDE0B8"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72" w:right="40"/>
              <w:jc w:val="right"/>
              <w:rPr>
                <w:sz w:val="17"/>
                <w:lang w:val="es-ES_tradnl"/>
              </w:rPr>
            </w:pPr>
          </w:p>
        </w:tc>
      </w:tr>
      <w:tr w:rsidR="00DC6272" w:rsidRPr="0017566A" w14:paraId="0D85F78E" w14:textId="77777777" w:rsidTr="00DA4EF3">
        <w:tc>
          <w:tcPr>
            <w:tcW w:w="2873" w:type="dxa"/>
            <w:shd w:val="clear" w:color="auto" w:fill="auto"/>
          </w:tcPr>
          <w:p w14:paraId="31155AFA" w14:textId="100B31C2"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17566A">
              <w:rPr>
                <w:sz w:val="17"/>
                <w:lang w:val="es-ES_tradnl"/>
              </w:rPr>
              <w:t>Estrategia empresarial e innovación I</w:t>
            </w:r>
          </w:p>
        </w:tc>
        <w:tc>
          <w:tcPr>
            <w:tcW w:w="769" w:type="dxa"/>
            <w:shd w:val="clear" w:color="auto" w:fill="auto"/>
            <w:vAlign w:val="bottom"/>
          </w:tcPr>
          <w:p w14:paraId="1B500103"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206</w:t>
            </w:r>
          </w:p>
        </w:tc>
        <w:tc>
          <w:tcPr>
            <w:tcW w:w="1031" w:type="dxa"/>
            <w:shd w:val="clear" w:color="auto" w:fill="auto"/>
            <w:vAlign w:val="bottom"/>
          </w:tcPr>
          <w:p w14:paraId="6743A1E9"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45</w:t>
            </w:r>
          </w:p>
        </w:tc>
        <w:tc>
          <w:tcPr>
            <w:tcW w:w="1260" w:type="dxa"/>
            <w:shd w:val="clear" w:color="auto" w:fill="auto"/>
            <w:vAlign w:val="bottom"/>
          </w:tcPr>
          <w:p w14:paraId="28A74EF9"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30</w:t>
            </w:r>
          </w:p>
        </w:tc>
        <w:tc>
          <w:tcPr>
            <w:tcW w:w="1387" w:type="dxa"/>
            <w:shd w:val="clear" w:color="auto" w:fill="auto"/>
            <w:vAlign w:val="bottom"/>
          </w:tcPr>
          <w:p w14:paraId="358D6C71"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10</w:t>
            </w:r>
          </w:p>
        </w:tc>
      </w:tr>
      <w:tr w:rsidR="00DC6272" w:rsidRPr="0017566A" w14:paraId="07E92706" w14:textId="77777777" w:rsidTr="00DA4EF3">
        <w:tc>
          <w:tcPr>
            <w:tcW w:w="2873" w:type="dxa"/>
            <w:shd w:val="clear" w:color="auto" w:fill="auto"/>
          </w:tcPr>
          <w:p w14:paraId="6776C785" w14:textId="19025BC3"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17566A">
              <w:rPr>
                <w:sz w:val="17"/>
                <w:lang w:val="es-ES_tradnl"/>
              </w:rPr>
              <w:t>Emprendimiento en el sector de la alimentación y las bebidas</w:t>
            </w:r>
          </w:p>
        </w:tc>
        <w:tc>
          <w:tcPr>
            <w:tcW w:w="769" w:type="dxa"/>
            <w:shd w:val="clear" w:color="auto" w:fill="auto"/>
            <w:vAlign w:val="bottom"/>
          </w:tcPr>
          <w:p w14:paraId="52D1175A"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47</w:t>
            </w:r>
          </w:p>
        </w:tc>
        <w:tc>
          <w:tcPr>
            <w:tcW w:w="1031" w:type="dxa"/>
            <w:shd w:val="clear" w:color="auto" w:fill="auto"/>
            <w:vAlign w:val="bottom"/>
          </w:tcPr>
          <w:p w14:paraId="3A79AFF6"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35</w:t>
            </w:r>
          </w:p>
        </w:tc>
        <w:tc>
          <w:tcPr>
            <w:tcW w:w="1260" w:type="dxa"/>
            <w:shd w:val="clear" w:color="auto" w:fill="auto"/>
            <w:vAlign w:val="bottom"/>
          </w:tcPr>
          <w:p w14:paraId="69604928"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31</w:t>
            </w:r>
          </w:p>
        </w:tc>
        <w:tc>
          <w:tcPr>
            <w:tcW w:w="1387" w:type="dxa"/>
            <w:shd w:val="clear" w:color="auto" w:fill="auto"/>
            <w:vAlign w:val="bottom"/>
          </w:tcPr>
          <w:p w14:paraId="2DE366BD"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10</w:t>
            </w:r>
          </w:p>
        </w:tc>
      </w:tr>
      <w:tr w:rsidR="00DC6272" w:rsidRPr="0017566A" w14:paraId="548E9696" w14:textId="77777777" w:rsidTr="00DA4EF3">
        <w:tc>
          <w:tcPr>
            <w:tcW w:w="2873" w:type="dxa"/>
            <w:shd w:val="clear" w:color="auto" w:fill="auto"/>
          </w:tcPr>
          <w:p w14:paraId="168AB3CD" w14:textId="78C2D451"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s-ES_tradnl"/>
              </w:rPr>
            </w:pPr>
            <w:r w:rsidRPr="0017566A">
              <w:rPr>
                <w:sz w:val="17"/>
                <w:lang w:val="es-ES_tradnl"/>
              </w:rPr>
              <w:t>Emprendimiento en el sector de la belleza</w:t>
            </w:r>
          </w:p>
        </w:tc>
        <w:tc>
          <w:tcPr>
            <w:tcW w:w="769" w:type="dxa"/>
            <w:shd w:val="clear" w:color="auto" w:fill="auto"/>
            <w:vAlign w:val="bottom"/>
          </w:tcPr>
          <w:p w14:paraId="62206FCD"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114</w:t>
            </w:r>
          </w:p>
        </w:tc>
        <w:tc>
          <w:tcPr>
            <w:tcW w:w="1031" w:type="dxa"/>
            <w:shd w:val="clear" w:color="auto" w:fill="auto"/>
            <w:vAlign w:val="bottom"/>
          </w:tcPr>
          <w:p w14:paraId="116DEB62"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40</w:t>
            </w:r>
          </w:p>
        </w:tc>
        <w:tc>
          <w:tcPr>
            <w:tcW w:w="1260" w:type="dxa"/>
            <w:shd w:val="clear" w:color="auto" w:fill="auto"/>
            <w:vAlign w:val="bottom"/>
          </w:tcPr>
          <w:p w14:paraId="40EBD542"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36</w:t>
            </w:r>
          </w:p>
        </w:tc>
        <w:tc>
          <w:tcPr>
            <w:tcW w:w="1387" w:type="dxa"/>
            <w:shd w:val="clear" w:color="auto" w:fill="auto"/>
            <w:vAlign w:val="bottom"/>
          </w:tcPr>
          <w:p w14:paraId="326129D5"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72" w:right="40"/>
              <w:jc w:val="right"/>
              <w:rPr>
                <w:sz w:val="17"/>
                <w:lang w:val="es-ES_tradnl"/>
              </w:rPr>
            </w:pPr>
            <w:r w:rsidRPr="0017566A">
              <w:rPr>
                <w:sz w:val="17"/>
                <w:lang w:val="es-ES_tradnl"/>
              </w:rPr>
              <w:t>11</w:t>
            </w:r>
          </w:p>
        </w:tc>
      </w:tr>
      <w:tr w:rsidR="00DC6272" w:rsidRPr="0017566A" w14:paraId="733C8F30" w14:textId="77777777" w:rsidTr="00DA4EF3">
        <w:tc>
          <w:tcPr>
            <w:tcW w:w="2873" w:type="dxa"/>
            <w:tcBorders>
              <w:bottom w:val="single" w:sz="4" w:space="0" w:color="auto"/>
            </w:tcBorders>
            <w:shd w:val="clear" w:color="auto" w:fill="auto"/>
          </w:tcPr>
          <w:p w14:paraId="7D33D9E5" w14:textId="0148A500"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jc w:val="left"/>
              <w:rPr>
                <w:sz w:val="17"/>
                <w:lang w:val="es-ES_tradnl"/>
              </w:rPr>
            </w:pPr>
            <w:r w:rsidRPr="0017566A">
              <w:rPr>
                <w:sz w:val="17"/>
                <w:lang w:val="es-ES_tradnl"/>
              </w:rPr>
              <w:t>Estrategia empresarial e innovación II</w:t>
            </w:r>
          </w:p>
        </w:tc>
        <w:tc>
          <w:tcPr>
            <w:tcW w:w="769" w:type="dxa"/>
            <w:tcBorders>
              <w:bottom w:val="single" w:sz="4" w:space="0" w:color="auto"/>
            </w:tcBorders>
            <w:shd w:val="clear" w:color="auto" w:fill="auto"/>
            <w:vAlign w:val="bottom"/>
          </w:tcPr>
          <w:p w14:paraId="493B2B7D"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lang w:val="es-ES_tradnl"/>
              </w:rPr>
            </w:pPr>
            <w:r w:rsidRPr="0017566A">
              <w:rPr>
                <w:sz w:val="17"/>
                <w:lang w:val="es-ES_tradnl"/>
              </w:rPr>
              <w:t>56</w:t>
            </w:r>
          </w:p>
        </w:tc>
        <w:tc>
          <w:tcPr>
            <w:tcW w:w="1031" w:type="dxa"/>
            <w:tcBorders>
              <w:bottom w:val="single" w:sz="4" w:space="0" w:color="auto"/>
            </w:tcBorders>
            <w:shd w:val="clear" w:color="auto" w:fill="auto"/>
            <w:vAlign w:val="bottom"/>
          </w:tcPr>
          <w:p w14:paraId="7E0039A4"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lang w:val="es-ES_tradnl"/>
              </w:rPr>
            </w:pPr>
            <w:r w:rsidRPr="0017566A">
              <w:rPr>
                <w:sz w:val="17"/>
                <w:lang w:val="es-ES_tradnl"/>
              </w:rPr>
              <w:t>34</w:t>
            </w:r>
          </w:p>
        </w:tc>
        <w:tc>
          <w:tcPr>
            <w:tcW w:w="1260" w:type="dxa"/>
            <w:tcBorders>
              <w:bottom w:val="single" w:sz="4" w:space="0" w:color="auto"/>
            </w:tcBorders>
            <w:shd w:val="clear" w:color="auto" w:fill="auto"/>
            <w:vAlign w:val="bottom"/>
          </w:tcPr>
          <w:p w14:paraId="69B0439C"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lang w:val="es-ES_tradnl"/>
              </w:rPr>
            </w:pPr>
            <w:r w:rsidRPr="0017566A">
              <w:rPr>
                <w:sz w:val="17"/>
                <w:lang w:val="es-ES_tradnl"/>
              </w:rPr>
              <w:t>28</w:t>
            </w:r>
          </w:p>
        </w:tc>
        <w:tc>
          <w:tcPr>
            <w:tcW w:w="1387" w:type="dxa"/>
            <w:tcBorders>
              <w:bottom w:val="single" w:sz="4" w:space="0" w:color="auto"/>
            </w:tcBorders>
            <w:shd w:val="clear" w:color="auto" w:fill="auto"/>
            <w:vAlign w:val="bottom"/>
          </w:tcPr>
          <w:p w14:paraId="2A1E9B67" w14:textId="77777777" w:rsidR="00DC6272" w:rsidRPr="0017566A" w:rsidRDefault="00DC6272" w:rsidP="00DC627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72" w:right="40"/>
              <w:jc w:val="right"/>
              <w:rPr>
                <w:sz w:val="17"/>
                <w:lang w:val="es-ES_tradnl"/>
              </w:rPr>
            </w:pPr>
            <w:r w:rsidRPr="0017566A">
              <w:rPr>
                <w:sz w:val="17"/>
                <w:lang w:val="es-ES_tradnl"/>
              </w:rPr>
              <w:t>9</w:t>
            </w:r>
          </w:p>
        </w:tc>
      </w:tr>
      <w:tr w:rsidR="004570E4" w:rsidRPr="0017566A" w14:paraId="37DBDB93" w14:textId="77777777" w:rsidTr="00DC6272">
        <w:tc>
          <w:tcPr>
            <w:tcW w:w="2873" w:type="dxa"/>
            <w:tcBorders>
              <w:top w:val="single" w:sz="4" w:space="0" w:color="auto"/>
              <w:bottom w:val="single" w:sz="12" w:space="0" w:color="auto"/>
            </w:tcBorders>
            <w:shd w:val="clear" w:color="auto" w:fill="auto"/>
            <w:vAlign w:val="bottom"/>
          </w:tcPr>
          <w:p w14:paraId="754E1D4B" w14:textId="00C6EB8E"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jc w:val="left"/>
              <w:rPr>
                <w:b/>
                <w:sz w:val="17"/>
                <w:lang w:val="es-ES_tradnl"/>
              </w:rPr>
            </w:pPr>
            <w:r w:rsidRPr="0017566A">
              <w:rPr>
                <w:b/>
                <w:sz w:val="17"/>
                <w:lang w:val="es-ES_tradnl"/>
              </w:rPr>
              <w:tab/>
            </w:r>
            <w:r w:rsidR="008F617C" w:rsidRPr="0017566A">
              <w:rPr>
                <w:b/>
                <w:sz w:val="17"/>
                <w:lang w:val="es-ES_tradnl"/>
              </w:rPr>
              <w:t>Total</w:t>
            </w:r>
          </w:p>
        </w:tc>
        <w:tc>
          <w:tcPr>
            <w:tcW w:w="769" w:type="dxa"/>
            <w:tcBorders>
              <w:top w:val="single" w:sz="4" w:space="0" w:color="auto"/>
              <w:bottom w:val="single" w:sz="12" w:space="0" w:color="auto"/>
            </w:tcBorders>
            <w:shd w:val="clear" w:color="auto" w:fill="auto"/>
            <w:vAlign w:val="bottom"/>
          </w:tcPr>
          <w:p w14:paraId="50C6C600"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lang w:val="es-ES_tradnl"/>
              </w:rPr>
            </w:pPr>
            <w:r w:rsidRPr="0017566A">
              <w:rPr>
                <w:b/>
                <w:sz w:val="17"/>
                <w:lang w:val="es-ES_tradnl"/>
              </w:rPr>
              <w:t>367</w:t>
            </w:r>
          </w:p>
        </w:tc>
        <w:tc>
          <w:tcPr>
            <w:tcW w:w="1031" w:type="dxa"/>
            <w:tcBorders>
              <w:top w:val="single" w:sz="4" w:space="0" w:color="auto"/>
              <w:bottom w:val="single" w:sz="12" w:space="0" w:color="auto"/>
            </w:tcBorders>
            <w:shd w:val="clear" w:color="auto" w:fill="auto"/>
            <w:vAlign w:val="bottom"/>
          </w:tcPr>
          <w:p w14:paraId="74A6BC4C"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lang w:val="es-ES_tradnl"/>
              </w:rPr>
            </w:pPr>
            <w:r w:rsidRPr="0017566A">
              <w:rPr>
                <w:b/>
                <w:sz w:val="17"/>
                <w:lang w:val="es-ES_tradnl"/>
              </w:rPr>
              <w:t>154</w:t>
            </w:r>
          </w:p>
        </w:tc>
        <w:tc>
          <w:tcPr>
            <w:tcW w:w="1260" w:type="dxa"/>
            <w:tcBorders>
              <w:top w:val="single" w:sz="4" w:space="0" w:color="auto"/>
              <w:bottom w:val="single" w:sz="12" w:space="0" w:color="auto"/>
            </w:tcBorders>
            <w:shd w:val="clear" w:color="auto" w:fill="auto"/>
            <w:vAlign w:val="bottom"/>
          </w:tcPr>
          <w:p w14:paraId="3B92A8B2"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lang w:val="es-ES_tradnl"/>
              </w:rPr>
            </w:pPr>
            <w:r w:rsidRPr="0017566A">
              <w:rPr>
                <w:b/>
                <w:sz w:val="17"/>
                <w:lang w:val="es-ES_tradnl"/>
              </w:rPr>
              <w:t>125</w:t>
            </w:r>
          </w:p>
        </w:tc>
        <w:tc>
          <w:tcPr>
            <w:tcW w:w="1387" w:type="dxa"/>
            <w:tcBorders>
              <w:top w:val="single" w:sz="4" w:space="0" w:color="auto"/>
              <w:bottom w:val="single" w:sz="12" w:space="0" w:color="auto"/>
            </w:tcBorders>
            <w:shd w:val="clear" w:color="auto" w:fill="auto"/>
            <w:vAlign w:val="bottom"/>
          </w:tcPr>
          <w:p w14:paraId="045E7C86" w14:textId="77777777" w:rsidR="004570E4" w:rsidRPr="0017566A" w:rsidRDefault="004570E4" w:rsidP="005C59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72" w:right="40"/>
              <w:jc w:val="right"/>
              <w:rPr>
                <w:b/>
                <w:sz w:val="17"/>
                <w:lang w:val="es-ES_tradnl"/>
              </w:rPr>
            </w:pPr>
            <w:r w:rsidRPr="0017566A">
              <w:rPr>
                <w:b/>
                <w:sz w:val="17"/>
                <w:lang w:val="es-ES_tradnl"/>
              </w:rPr>
              <w:t>40</w:t>
            </w:r>
          </w:p>
        </w:tc>
      </w:tr>
    </w:tbl>
    <w:p w14:paraId="41E2ADA2" w14:textId="2EB2A475" w:rsidR="004570E4" w:rsidRPr="0017566A" w:rsidRDefault="004570E4" w:rsidP="004570E4">
      <w:pPr>
        <w:pStyle w:val="SingleTxt"/>
        <w:spacing w:after="0" w:line="120" w:lineRule="exact"/>
        <w:rPr>
          <w:sz w:val="10"/>
          <w:lang w:val="es-ES_tradnl"/>
        </w:rPr>
      </w:pPr>
    </w:p>
    <w:p w14:paraId="165BE4E3" w14:textId="5E689DC6" w:rsidR="004570E4" w:rsidRPr="0017566A" w:rsidRDefault="004570E4" w:rsidP="004570E4">
      <w:pPr>
        <w:pStyle w:val="SingleTxt"/>
        <w:spacing w:after="0" w:line="120" w:lineRule="exact"/>
        <w:rPr>
          <w:sz w:val="10"/>
          <w:lang w:val="es-ES_tradnl"/>
        </w:rPr>
      </w:pPr>
    </w:p>
    <w:p w14:paraId="443E1627" w14:textId="77777777" w:rsidR="004570E4" w:rsidRPr="0017566A" w:rsidRDefault="004570E4" w:rsidP="004570E4">
      <w:pPr>
        <w:pStyle w:val="SingleTxt"/>
        <w:rPr>
          <w:lang w:val="es-ES_tradnl"/>
        </w:rPr>
      </w:pPr>
      <w:r w:rsidRPr="0017566A">
        <w:rPr>
          <w:lang w:val="es-ES_tradnl"/>
        </w:rPr>
        <w:t>Nevis:</w:t>
      </w:r>
    </w:p>
    <w:p w14:paraId="1CE4AAD7" w14:textId="77777777" w:rsidR="004570E4" w:rsidRPr="0017566A" w:rsidRDefault="004570E4" w:rsidP="004570E4">
      <w:pPr>
        <w:pStyle w:val="SingleTxt"/>
        <w:rPr>
          <w:lang w:val="es-ES_tradnl"/>
        </w:rPr>
      </w:pPr>
      <w:r w:rsidRPr="0017566A">
        <w:rPr>
          <w:lang w:val="es-ES_tradnl"/>
        </w:rPr>
        <w:t>102.</w:t>
      </w:r>
      <w:r w:rsidRPr="0017566A">
        <w:rPr>
          <w:lang w:val="es-ES_tradnl"/>
        </w:rPr>
        <w:tab/>
        <w:t xml:space="preserve">Todavía no se han recibido los datos de Nevis. </w:t>
      </w:r>
    </w:p>
    <w:p w14:paraId="0B7AB753" w14:textId="77777777" w:rsidR="004570E4" w:rsidRPr="0017566A" w:rsidRDefault="004570E4" w:rsidP="004570E4">
      <w:pPr>
        <w:pStyle w:val="SingleTxt"/>
        <w:rPr>
          <w:lang w:val="es-ES_tradnl"/>
        </w:rPr>
      </w:pPr>
      <w:r w:rsidRPr="0017566A">
        <w:rPr>
          <w:lang w:val="es-ES_tradnl"/>
        </w:rPr>
        <w:t>103.</w:t>
      </w:r>
      <w:r w:rsidRPr="0017566A">
        <w:rPr>
          <w:lang w:val="es-ES_tradnl"/>
        </w:rPr>
        <w:tab/>
        <w:t xml:space="preserve">El proyecto también incluía un concurso de empoderamiento de la mujer, al que podían optar las organizaciones no gubernamentales registradas en la Comisión de Servicios Financieros, así como las organizaciones comunitarias sin fines de lucro inscritas en los organismos gubernamentales asociados, con el fin de promover y destacar las iniciativas de base. La cuantía máxima de la ayuda es de 80.000 dólares CO (ochenta mil dólares del Caribe Oriental) por cada idea de proyecto. </w:t>
      </w:r>
    </w:p>
    <w:p w14:paraId="7DD7ADFC" w14:textId="277851AB" w:rsidR="004570E4" w:rsidRPr="0017566A" w:rsidRDefault="004570E4" w:rsidP="00DC6272">
      <w:pPr>
        <w:pStyle w:val="SingleTxt"/>
        <w:spacing w:after="0" w:line="120" w:lineRule="exact"/>
        <w:rPr>
          <w:sz w:val="10"/>
          <w:lang w:val="es-ES_tradnl"/>
        </w:rPr>
      </w:pPr>
    </w:p>
    <w:p w14:paraId="21BEC1F2" w14:textId="77777777" w:rsidR="004570E4" w:rsidRPr="0017566A" w:rsidRDefault="004570E4" w:rsidP="00DC627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Campamentos de iniciación para pequeñas empresas y exposición</w:t>
      </w:r>
    </w:p>
    <w:p w14:paraId="2E23362F" w14:textId="6BE539E0" w:rsidR="004570E4" w:rsidRPr="0017566A" w:rsidRDefault="004570E4" w:rsidP="00DC6272">
      <w:pPr>
        <w:pStyle w:val="SingleTxt"/>
        <w:spacing w:after="0" w:line="120" w:lineRule="exact"/>
        <w:rPr>
          <w:sz w:val="10"/>
          <w:lang w:val="es-ES_tradnl"/>
        </w:rPr>
      </w:pPr>
    </w:p>
    <w:p w14:paraId="17E277AD" w14:textId="5B200D1B" w:rsidR="004570E4" w:rsidRPr="0017566A" w:rsidRDefault="004570E4" w:rsidP="004570E4">
      <w:pPr>
        <w:pStyle w:val="SingleTxt"/>
        <w:rPr>
          <w:lang w:val="es-ES_tradnl"/>
        </w:rPr>
      </w:pPr>
      <w:r w:rsidRPr="0017566A">
        <w:rPr>
          <w:lang w:val="es-ES_tradnl"/>
        </w:rPr>
        <w:t>104.</w:t>
      </w:r>
      <w:r w:rsidRPr="0017566A">
        <w:rPr>
          <w:lang w:val="es-ES_tradnl"/>
        </w:rPr>
        <w:tab/>
        <w:t>El trabajo en pro de la sostenibilidad como respuesta a las dificultades planteadas por la pandemia de COVID-19 y la iniciativa empresarial femenina siguió desarrollándose mediante campamentos</w:t>
      </w:r>
      <w:r w:rsidRPr="0017566A">
        <w:rPr>
          <w:vertAlign w:val="superscript"/>
          <w:lang w:val="es-ES_tradnl"/>
        </w:rPr>
        <w:footnoteReference w:id="19"/>
      </w:r>
      <w:r w:rsidRPr="0017566A">
        <w:rPr>
          <w:lang w:val="es-ES_tradnl"/>
        </w:rPr>
        <w:t xml:space="preserve"> para pequeñas empresas celebrados en 2020 y concebidos para empoderar económicamente a hombres y mujeres. Los campamentos de iniciación, celebrados en Nevis, mejoraron los negocios de los empresarios existentes y dotaron a los posibles empresarios con las habilidades y los conocimientos necesarios para llevar sus empresas de la conceptualización a la realización. Entre los temas que se abordan en las sesiones de capacitación se incluye el marketing, la atención al cliente, la financiación, la gestión financiera, la fijación de precios, la seguridad social, la fiscalidad, la estructura jurídica de la empresa, el etiquetado y las normas de calidad, según lo exigido por la Oficina de Normas. En consonancia con el tema </w:t>
      </w:r>
      <w:r w:rsidR="00B01A25" w:rsidRPr="0017566A">
        <w:rPr>
          <w:lang w:val="es-ES_tradnl"/>
        </w:rPr>
        <w:t>“</w:t>
      </w:r>
      <w:r w:rsidRPr="0017566A">
        <w:rPr>
          <w:lang w:val="es-ES_tradnl"/>
        </w:rPr>
        <w:t>Igualdad de género hoy para un mañana sostenible</w:t>
      </w:r>
      <w:r w:rsidR="00B01A25" w:rsidRPr="0017566A">
        <w:rPr>
          <w:lang w:val="es-ES_tradnl"/>
        </w:rPr>
        <w:t>”</w:t>
      </w:r>
      <w:r w:rsidRPr="0017566A">
        <w:rPr>
          <w:lang w:val="es-ES_tradnl"/>
        </w:rPr>
        <w:t>, el Departamento de Género de Nevis organizó su primera Exposición sobre Género en marzo de 2022 como parte de sus actividades para conmemorar el Mes de la Mujer, con el fin de exhibir bienes y servicios. Los empresarios también adquirieron conocimientos durante las sesiones de capacitación en los ámbitos de la fabricación de trampas para peces, fontanería, cestería, confección de sombreros y tocados, costura y talla de frutas y verduras, lo cual les ha permitido generar ingresos.</w:t>
      </w:r>
    </w:p>
    <w:p w14:paraId="6615F014" w14:textId="5D4F1156" w:rsidR="004570E4" w:rsidRPr="0017566A" w:rsidRDefault="004570E4" w:rsidP="00DC6272">
      <w:pPr>
        <w:pStyle w:val="SingleTxt"/>
        <w:spacing w:after="0" w:line="120" w:lineRule="exact"/>
        <w:rPr>
          <w:sz w:val="10"/>
          <w:lang w:val="es-ES_tradnl"/>
        </w:rPr>
      </w:pPr>
    </w:p>
    <w:p w14:paraId="3D58FBFD" w14:textId="19C7FA65" w:rsidR="00DC6272" w:rsidRPr="0017566A" w:rsidRDefault="00DC6272" w:rsidP="00DC6272">
      <w:pPr>
        <w:pStyle w:val="SingleTxt"/>
        <w:spacing w:after="0" w:line="120" w:lineRule="exact"/>
        <w:rPr>
          <w:sz w:val="10"/>
          <w:lang w:val="es-ES_tradnl"/>
        </w:rPr>
      </w:pPr>
    </w:p>
    <w:p w14:paraId="34079BC2" w14:textId="77777777" w:rsidR="004570E4" w:rsidRPr="0017566A" w:rsidRDefault="004570E4" w:rsidP="00DC6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Mujeres del medio rural </w:t>
      </w:r>
    </w:p>
    <w:p w14:paraId="22EF248A" w14:textId="7F581678" w:rsidR="004570E4" w:rsidRPr="0017566A" w:rsidRDefault="004570E4" w:rsidP="00DC6272">
      <w:pPr>
        <w:pStyle w:val="SingleTxt"/>
        <w:spacing w:after="0" w:line="120" w:lineRule="exact"/>
        <w:rPr>
          <w:sz w:val="10"/>
          <w:lang w:val="es-ES_tradnl"/>
        </w:rPr>
      </w:pPr>
    </w:p>
    <w:p w14:paraId="7162EE08" w14:textId="7B528D3B" w:rsidR="00DC6272" w:rsidRPr="0017566A" w:rsidRDefault="00DC6272" w:rsidP="00DC6272">
      <w:pPr>
        <w:pStyle w:val="SingleTxt"/>
        <w:spacing w:after="0" w:line="120" w:lineRule="exact"/>
        <w:rPr>
          <w:sz w:val="10"/>
          <w:lang w:val="es-ES_tradnl"/>
        </w:rPr>
      </w:pPr>
    </w:p>
    <w:p w14:paraId="45462DB6" w14:textId="77777777" w:rsidR="004570E4" w:rsidRPr="0017566A" w:rsidRDefault="004570E4" w:rsidP="00DC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20 de la lista de cuestiones y preguntas</w:t>
      </w:r>
    </w:p>
    <w:p w14:paraId="30546E8B" w14:textId="2A2A007B" w:rsidR="004570E4" w:rsidRPr="0017566A" w:rsidRDefault="004570E4" w:rsidP="00DC6272">
      <w:pPr>
        <w:pStyle w:val="SingleTxt"/>
        <w:spacing w:after="0" w:line="120" w:lineRule="exact"/>
        <w:rPr>
          <w:sz w:val="10"/>
          <w:lang w:val="es-ES_tradnl"/>
        </w:rPr>
      </w:pPr>
    </w:p>
    <w:p w14:paraId="322192A7" w14:textId="77777777" w:rsidR="004570E4" w:rsidRPr="0017566A" w:rsidRDefault="004570E4" w:rsidP="004570E4">
      <w:pPr>
        <w:pStyle w:val="SingleTxt"/>
        <w:rPr>
          <w:lang w:val="es-ES_tradnl"/>
        </w:rPr>
      </w:pPr>
      <w:r w:rsidRPr="0017566A">
        <w:rPr>
          <w:lang w:val="es-ES_tradnl"/>
        </w:rPr>
        <w:t>105.</w:t>
      </w:r>
      <w:r w:rsidRPr="0017566A">
        <w:rPr>
          <w:lang w:val="es-ES_tradnl"/>
        </w:rPr>
        <w:tab/>
        <w:t>En la actualidad, no existe ninguna política ni programa oficial en el Departamento de Agricultura dirigido a las mujeres o a las mujeres de las zonas rurales de Saint Kitts. No obstante, las mujeres en la agricultura y en general gozan de igualdad de oportunidades en el acceso a las tierras de cultivo, aunque el sector agrícola sigue estando dominado por los hombres. Hasta la fecha, el registro de agricultores indica que ha habido un aumento significativo en la inscripción de agricultores en los últimos 5 años y se ha alcanzado la cifra de 1.599 agricultores aproximadamente, de los cuales 216 (14%) eran mujeres y 1.383 (86%) eran hombres.</w:t>
      </w:r>
    </w:p>
    <w:p w14:paraId="4D03E76F" w14:textId="77777777" w:rsidR="004570E4" w:rsidRPr="0017566A" w:rsidRDefault="004570E4" w:rsidP="004570E4">
      <w:pPr>
        <w:pStyle w:val="SingleTxt"/>
        <w:rPr>
          <w:lang w:val="es-ES_tradnl"/>
        </w:rPr>
      </w:pPr>
      <w:r w:rsidRPr="0017566A">
        <w:rPr>
          <w:lang w:val="es-ES_tradnl"/>
        </w:rPr>
        <w:t>106.</w:t>
      </w:r>
      <w:r w:rsidRPr="0017566A">
        <w:rPr>
          <w:lang w:val="es-ES_tradnl"/>
        </w:rPr>
        <w:tab/>
        <w:t>La Fahies Women Cooperative Society, que se creó tras el cierre de la industria azucarera, sigue activa y continúa recibiendo el apoyo del Ministerio de Agricultura. A lo largo de los últimos cuatro años, este grupo se ha beneficiado de varios talleres de elaboración de productos agropecuarios orientados a ampliar y mejorar sus medios de vida. Dicha capacitación se centró en la elaboración de chips y harina de fruta del árbol del pan, queso de guayaba y vino.</w:t>
      </w:r>
    </w:p>
    <w:p w14:paraId="29D27434" w14:textId="77777777" w:rsidR="004570E4" w:rsidRPr="0017566A" w:rsidRDefault="004570E4" w:rsidP="004570E4">
      <w:pPr>
        <w:pStyle w:val="SingleTxt"/>
        <w:rPr>
          <w:lang w:val="es-ES_tradnl"/>
        </w:rPr>
      </w:pPr>
      <w:r w:rsidRPr="0017566A">
        <w:rPr>
          <w:lang w:val="es-ES_tradnl"/>
        </w:rPr>
        <w:t>107.</w:t>
      </w:r>
      <w:r w:rsidRPr="0017566A">
        <w:rPr>
          <w:lang w:val="es-ES_tradnl"/>
        </w:rPr>
        <w:tab/>
        <w:t>El Departamento de Agricultura continuó con su iniciativa de desarrollar resiliencia ante una crisis como la de COVID-19 a través de su programa de asistencia a los agricultores, al que tienen acceso por igual tanto los agricultores como las agricultoras, ya sean de zonas rurales o urbanas. Hasta el momento, 203 agricultores (25 mujeres y 178 hombres) se han beneficiado de este programa, a través del cual han recibido alambre, postes para vallados, lonas de revestimiento del suelo, semillas, fertilizantes, insecticidas, tanques de almacenamiento de agua e invernaderos.</w:t>
      </w:r>
    </w:p>
    <w:p w14:paraId="09C0B16E" w14:textId="77777777" w:rsidR="004570E4" w:rsidRPr="0017566A" w:rsidRDefault="004570E4" w:rsidP="004570E4">
      <w:pPr>
        <w:pStyle w:val="SingleTxt"/>
        <w:rPr>
          <w:lang w:val="es-ES_tradnl"/>
        </w:rPr>
      </w:pPr>
      <w:r w:rsidRPr="0017566A">
        <w:rPr>
          <w:lang w:val="es-ES_tradnl"/>
        </w:rPr>
        <w:t>108.</w:t>
      </w:r>
      <w:r w:rsidRPr="0017566A">
        <w:rPr>
          <w:lang w:val="es-ES_tradnl"/>
        </w:rPr>
        <w:tab/>
        <w:t>En el Departamento de Agricultura, se ha promocionado a más mujeres a puestos de dirección y subdirección. Actualmente, el Comité de Operaciones Estratégicas está formado por más de un 50% de mujeres.</w:t>
      </w:r>
    </w:p>
    <w:p w14:paraId="406387D3" w14:textId="77777777" w:rsidR="004570E4" w:rsidRPr="0017566A" w:rsidRDefault="004570E4" w:rsidP="004570E4">
      <w:pPr>
        <w:pStyle w:val="SingleTxt"/>
        <w:rPr>
          <w:lang w:val="es-ES_tradnl"/>
        </w:rPr>
      </w:pPr>
      <w:r w:rsidRPr="0017566A">
        <w:rPr>
          <w:lang w:val="es-ES_tradnl"/>
        </w:rPr>
        <w:t>109.</w:t>
      </w:r>
      <w:r w:rsidRPr="0017566A">
        <w:rPr>
          <w:lang w:val="es-ES_tradnl"/>
        </w:rPr>
        <w:tab/>
        <w:t>El Ministerio de Agricultura sigue respaldando el desarrollo de las mujeres agricultoras. En 2022, varias agricultoras entablaron fructíferas conversaciones con el fin de aplicar una serie de medidas para seguir brindando apoyo a la participación de las mujeres locales en el sector agrícola. Algunos ejemplos de ello son las relaciones con una serie de mujeres de la Federación con el fin de constituir la sección de Saint Kitts de la Red Caribeña de Mujeres Productoras Rurales (CANROP)</w:t>
      </w:r>
      <w:r w:rsidRPr="0017566A">
        <w:rPr>
          <w:vertAlign w:val="superscript"/>
          <w:lang w:val="es-ES_tradnl"/>
        </w:rPr>
        <w:footnoteReference w:id="20"/>
      </w:r>
      <w:r w:rsidRPr="0017566A">
        <w:rPr>
          <w:lang w:val="es-ES_tradnl"/>
        </w:rPr>
        <w:t>. Los servicios especiales de extensión y asesoramiento también formarán parte del apoyo que presta el ministerio a las mujeres y esta ayuda les permitirá entender el mercado y su funcionamiento, además de conocer las necesidades comerciales tanto en lo que se refiere a los productos como a la calidad y el volumen.</w:t>
      </w:r>
    </w:p>
    <w:p w14:paraId="455E92B4" w14:textId="77777777" w:rsidR="004570E4" w:rsidRPr="0017566A" w:rsidRDefault="004570E4" w:rsidP="004570E4">
      <w:pPr>
        <w:pStyle w:val="SingleTxt"/>
        <w:rPr>
          <w:lang w:val="es-ES_tradnl"/>
        </w:rPr>
      </w:pPr>
      <w:r w:rsidRPr="0017566A">
        <w:rPr>
          <w:lang w:val="es-ES_tradnl"/>
        </w:rPr>
        <w:t>110.</w:t>
      </w:r>
      <w:r w:rsidRPr="0017566A">
        <w:rPr>
          <w:lang w:val="es-ES_tradnl"/>
        </w:rPr>
        <w:tab/>
        <w:t xml:space="preserve">Otros ejemplos son el proyecto relativo al nexo entre agua, energía y alimentación de la FAO, que pretende incorporar la perspectiva de género en su ejecución. Se seleccionó a 20 agricultores como beneficiarios directos del proyecto relativo al nexo entre agua, energía y alimentación que tiene como objetivo, en 2022, instalar y dotar a las granjas con sistemas de riego por goteo, captación de agua y almacenamiento alimentados por energía solar. El proyecto establecía que el 20% de los agricultores seleccionados debían ser mujeres. De los 20 agricultores beneficiarios seleccionados, 6 son mujeres (30%). La capacitación comprenderá la instalación, el funcionamiento, el mantenimiento y la gestión de sistemas que les permitan adaptarse a los retos que plantea el cambio climático, con la posibilidad de aumentar la producción agrícola, la productividad y los ingresos de las familias. Como parte del enfoque de integración de la perspectiva de género del proyecto, las sesiones de los grupos focales previstas sobre la integración de la perspectiva de género en la agricultura pretenden reunir a mujeres agricultoras y a mujeres empleadas en puestos técnicos y de extensión agrícola. Las sesiones ofrecen la oportunidad de plantear preocupaciones, limitaciones, dar una perspectiva sobre las desventajas a las que se enfrentan en relación con el acceso a los recursos, los servicios de apoyo, las deficiencias de los existentes y sus recomendaciones para las soluciones en el futuro. </w:t>
      </w:r>
    </w:p>
    <w:p w14:paraId="582ED031" w14:textId="32346763" w:rsidR="004570E4" w:rsidRPr="0017566A" w:rsidRDefault="004570E4" w:rsidP="00DC6272">
      <w:pPr>
        <w:pStyle w:val="SingleTxt"/>
        <w:spacing w:after="0" w:line="120" w:lineRule="exact"/>
        <w:rPr>
          <w:sz w:val="10"/>
          <w:lang w:val="es-ES_tradnl"/>
        </w:rPr>
      </w:pPr>
    </w:p>
    <w:p w14:paraId="1F6F024E" w14:textId="00B82CCD" w:rsidR="00DC6272" w:rsidRPr="0017566A" w:rsidRDefault="00DC6272" w:rsidP="00DC6272">
      <w:pPr>
        <w:pStyle w:val="SingleTxt"/>
        <w:spacing w:after="0" w:line="120" w:lineRule="exact"/>
        <w:rPr>
          <w:sz w:val="10"/>
          <w:lang w:val="es-ES_tradnl"/>
        </w:rPr>
      </w:pPr>
    </w:p>
    <w:p w14:paraId="6E1DD638" w14:textId="77777777" w:rsidR="004570E4" w:rsidRPr="0017566A" w:rsidRDefault="004570E4" w:rsidP="00DC6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 xml:space="preserve">Cambio climático y reducción del riesgo de desastres </w:t>
      </w:r>
    </w:p>
    <w:p w14:paraId="09B0227A" w14:textId="49993F52" w:rsidR="004570E4" w:rsidRPr="0017566A" w:rsidRDefault="004570E4" w:rsidP="00DC6272">
      <w:pPr>
        <w:pStyle w:val="SingleTxt"/>
        <w:spacing w:after="0" w:line="120" w:lineRule="exact"/>
        <w:rPr>
          <w:sz w:val="10"/>
          <w:lang w:val="es-ES_tradnl"/>
        </w:rPr>
      </w:pPr>
    </w:p>
    <w:p w14:paraId="171F04B8" w14:textId="1C04D36C" w:rsidR="00DC6272" w:rsidRPr="0017566A" w:rsidRDefault="00DC6272" w:rsidP="00DC6272">
      <w:pPr>
        <w:pStyle w:val="SingleTxt"/>
        <w:spacing w:after="0" w:line="120" w:lineRule="exact"/>
        <w:rPr>
          <w:sz w:val="10"/>
          <w:lang w:val="es-ES_tradnl"/>
        </w:rPr>
      </w:pPr>
    </w:p>
    <w:p w14:paraId="0ED45EA6" w14:textId="77777777" w:rsidR="004570E4" w:rsidRPr="0017566A" w:rsidRDefault="004570E4" w:rsidP="00DC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21 de la lista de cuestiones y preguntas</w:t>
      </w:r>
    </w:p>
    <w:p w14:paraId="043FCBEB" w14:textId="3E6BF2A1" w:rsidR="004570E4" w:rsidRPr="0017566A" w:rsidRDefault="004570E4" w:rsidP="00DC6272">
      <w:pPr>
        <w:pStyle w:val="SingleTxt"/>
        <w:spacing w:after="0" w:line="120" w:lineRule="exact"/>
        <w:rPr>
          <w:sz w:val="10"/>
          <w:lang w:val="es-ES_tradnl"/>
        </w:rPr>
      </w:pPr>
    </w:p>
    <w:p w14:paraId="1E7EA009" w14:textId="5EDE4BE0" w:rsidR="004570E4" w:rsidRPr="0017566A" w:rsidRDefault="004570E4" w:rsidP="004570E4">
      <w:pPr>
        <w:pStyle w:val="SingleTxt"/>
        <w:rPr>
          <w:lang w:val="es-ES_tradnl"/>
        </w:rPr>
      </w:pPr>
      <w:r w:rsidRPr="0017566A">
        <w:rPr>
          <w:lang w:val="es-ES_tradnl"/>
        </w:rPr>
        <w:t>111.</w:t>
      </w:r>
      <w:r w:rsidRPr="0017566A">
        <w:rPr>
          <w:lang w:val="es-ES_tradnl"/>
        </w:rPr>
        <w:tab/>
        <w:t xml:space="preserve">El Departamento de Asuntos de Género (Nevis) ha organizado mesas redondas televisadas centradas en las mujeres que tratan el tema de las mujeres de Saint Kitts y Nevis y el futuro sostenible, arrojando luz sobre la igualdad de género y sus efectos en el riesgo de desastres y el cambio climático. Reuniones con el Ministerio Federal de Desarrollo Sostenible para colaborar en la ejecución del proyecto </w:t>
      </w:r>
      <w:r w:rsidR="00B01A25" w:rsidRPr="0017566A">
        <w:rPr>
          <w:lang w:val="es-ES_tradnl"/>
        </w:rPr>
        <w:t>“</w:t>
      </w:r>
      <w:r w:rsidRPr="0017566A">
        <w:rPr>
          <w:lang w:val="es-ES_tradnl"/>
        </w:rPr>
        <w:t>Mejora de la gestión medioambiental mediante la ordenación sostenible de las tierras en Saint Kitts y Nevis</w:t>
      </w:r>
      <w:r w:rsidR="00B01A25" w:rsidRPr="0017566A">
        <w:rPr>
          <w:lang w:val="es-ES_tradnl"/>
        </w:rPr>
        <w:t>”</w:t>
      </w:r>
      <w:r w:rsidRPr="0017566A">
        <w:rPr>
          <w:lang w:val="es-ES_tradnl"/>
        </w:rPr>
        <w:t>. El Departamento desempeñó un papel fundamental al explicar la importancia de la incorporación de la perspectiva de género en la ejecución del proyecto. En la misma línea, el Departamento ha mantenido reuniones con el Ministerio Federal de Desarrollo Sostenible sobre la ejecución de conferencias locales y regionales sobre mujeres y acción climática.</w:t>
      </w:r>
    </w:p>
    <w:p w14:paraId="7ACE2C71" w14:textId="77777777" w:rsidR="004570E4" w:rsidRPr="0017566A" w:rsidRDefault="004570E4" w:rsidP="004570E4">
      <w:pPr>
        <w:pStyle w:val="SingleTxt"/>
        <w:rPr>
          <w:lang w:val="es-ES_tradnl"/>
        </w:rPr>
      </w:pPr>
      <w:r w:rsidRPr="0017566A">
        <w:rPr>
          <w:lang w:val="es-ES_tradnl"/>
        </w:rPr>
        <w:t>112.</w:t>
      </w:r>
      <w:r w:rsidRPr="0017566A">
        <w:rPr>
          <w:lang w:val="es-ES_tradnl"/>
        </w:rPr>
        <w:tab/>
        <w:t>La Política Nacional de Igualdad de Género señala que el informe bienal de actualización de 2021 de Saint Kitts y Nevis llevó a cabo evaluaciones con diferentes públicos sobre el nivel actual de compromiso e inclusión de las cuestiones de género y los grupos vulnerables en el compromiso y los procesos de planificación del cambio climático. El informe también evaluó de qué forma se podría mejorar su capacidad de adaptación. Entre las conclusiones más relevantes de la política se encuentran las siguientes:</w:t>
      </w:r>
    </w:p>
    <w:p w14:paraId="528BED93" w14:textId="77777777" w:rsidR="004570E4" w:rsidRPr="0017566A" w:rsidRDefault="004570E4" w:rsidP="00DC6272">
      <w:pPr>
        <w:pStyle w:val="SingleTxt"/>
        <w:tabs>
          <w:tab w:val="right" w:pos="1685"/>
        </w:tabs>
        <w:spacing w:line="240" w:lineRule="atLeast"/>
        <w:ind w:left="1742" w:hanging="475"/>
        <w:rPr>
          <w:lang w:val="es-ES_tradnl"/>
        </w:rPr>
      </w:pPr>
      <w:r w:rsidRPr="0017566A">
        <w:rPr>
          <w:lang w:val="es-ES_tradnl"/>
        </w:rPr>
        <w:tab/>
        <w:t>•</w:t>
      </w:r>
      <w:r w:rsidRPr="0017566A">
        <w:rPr>
          <w:lang w:val="es-ES_tradnl"/>
        </w:rPr>
        <w:tab/>
        <w:t xml:space="preserve">El cambio climático afecta y repercute de manera diferente a hombres y mujeres y a otros grupos vulnerables (diferentes funciones y responsabilidades en el hogar y la comunidad); </w:t>
      </w:r>
    </w:p>
    <w:p w14:paraId="5D260A6D" w14:textId="77777777" w:rsidR="004570E4" w:rsidRPr="0017566A" w:rsidRDefault="004570E4" w:rsidP="00DC6272">
      <w:pPr>
        <w:pStyle w:val="SingleTxt"/>
        <w:tabs>
          <w:tab w:val="right" w:pos="1685"/>
        </w:tabs>
        <w:spacing w:line="240" w:lineRule="atLeast"/>
        <w:ind w:left="1742" w:hanging="475"/>
        <w:rPr>
          <w:lang w:val="es-ES_tradnl"/>
        </w:rPr>
      </w:pPr>
      <w:r w:rsidRPr="0017566A">
        <w:rPr>
          <w:lang w:val="es-ES_tradnl"/>
        </w:rPr>
        <w:tab/>
        <w:t>•</w:t>
      </w:r>
      <w:r w:rsidRPr="0017566A">
        <w:rPr>
          <w:lang w:val="es-ES_tradnl"/>
        </w:rPr>
        <w:tab/>
        <w:t xml:space="preserve">Las mujeres están más expuestas y son más vulnerables al cambio climático porque suelen ser más pobres, reciben menos educación y no participan en los procesos de toma de decisiones políticas y domésticas que afectan a sus vidas; </w:t>
      </w:r>
    </w:p>
    <w:p w14:paraId="176AD244" w14:textId="77777777" w:rsidR="004570E4" w:rsidRPr="0017566A" w:rsidRDefault="004570E4" w:rsidP="00DC6272">
      <w:pPr>
        <w:pStyle w:val="SingleTxt"/>
        <w:tabs>
          <w:tab w:val="right" w:pos="1685"/>
        </w:tabs>
        <w:spacing w:line="240" w:lineRule="atLeast"/>
        <w:ind w:left="1742" w:hanging="475"/>
        <w:rPr>
          <w:lang w:val="es-ES_tradnl"/>
        </w:rPr>
      </w:pPr>
      <w:r w:rsidRPr="0017566A">
        <w:rPr>
          <w:lang w:val="es-ES_tradnl"/>
        </w:rPr>
        <w:tab/>
        <w:t>•</w:t>
      </w:r>
      <w:r w:rsidRPr="0017566A">
        <w:rPr>
          <w:lang w:val="es-ES_tradnl"/>
        </w:rPr>
        <w:tab/>
        <w:t xml:space="preserve">Las vulnerabilidades que tienen en común los distintos grupos afectan a su participación en los procesos productivos y en la toma de decisiones, y dificultan la concienciación sobre el cambio climático. </w:t>
      </w:r>
    </w:p>
    <w:p w14:paraId="781125EF" w14:textId="77777777" w:rsidR="004570E4" w:rsidRPr="0017566A" w:rsidRDefault="004570E4" w:rsidP="004570E4">
      <w:pPr>
        <w:pStyle w:val="SingleTxt"/>
        <w:rPr>
          <w:lang w:val="es-ES_tradnl"/>
        </w:rPr>
      </w:pPr>
      <w:r w:rsidRPr="0017566A">
        <w:rPr>
          <w:lang w:val="es-ES_tradnl"/>
        </w:rPr>
        <w:t>113.</w:t>
      </w:r>
      <w:r w:rsidRPr="0017566A">
        <w:rPr>
          <w:lang w:val="es-ES_tradnl"/>
        </w:rPr>
        <w:tab/>
        <w:t xml:space="preserve">La Política de Género promueve un enfoque que responde a las cuestiones de género en materia de cambio climático, medio ambiente y desarrollo sostenible, así como la participación equitativa de hombres y mujeres en la toma de decisiones sobre todos los aspectos del sector. </w:t>
      </w:r>
    </w:p>
    <w:p w14:paraId="44E93A9C" w14:textId="77777777" w:rsidR="004570E4" w:rsidRPr="0017566A" w:rsidRDefault="004570E4" w:rsidP="004570E4">
      <w:pPr>
        <w:pStyle w:val="SingleTxt"/>
        <w:rPr>
          <w:lang w:val="es-ES_tradnl"/>
        </w:rPr>
      </w:pPr>
      <w:r w:rsidRPr="0017566A">
        <w:rPr>
          <w:lang w:val="es-ES_tradnl"/>
        </w:rPr>
        <w:t>114.</w:t>
      </w:r>
      <w:r w:rsidRPr="0017566A">
        <w:rPr>
          <w:lang w:val="es-ES_tradnl"/>
        </w:rPr>
        <w:tab/>
        <w:t xml:space="preserve">A pesar de los retos a los que se enfrentan, la contribución activa de las mujeres en la construcción de comunidades resilientes está bien documentada, lo cual se reflejó en la ceremonia de entrega de los premios del Día Internacional de la Mujer de 2022, que rindió homenaje a varias mujeres que han realizado importantes contribuciones en los ámbitos de la ciencia, la economía digital, azul y verde; la respuesta y recuperación ante la COVID-19. </w:t>
      </w:r>
    </w:p>
    <w:p w14:paraId="427A4505" w14:textId="3247B9F3" w:rsidR="004570E4" w:rsidRPr="0017566A" w:rsidRDefault="004570E4" w:rsidP="00DC6272">
      <w:pPr>
        <w:pStyle w:val="SingleTxt"/>
        <w:spacing w:after="0" w:line="120" w:lineRule="exact"/>
        <w:rPr>
          <w:sz w:val="10"/>
          <w:lang w:val="es-ES_tradnl"/>
        </w:rPr>
      </w:pPr>
    </w:p>
    <w:p w14:paraId="04B57E4A" w14:textId="41BA9CA6" w:rsidR="00DC6272" w:rsidRPr="0017566A" w:rsidRDefault="00DC6272" w:rsidP="00DC6272">
      <w:pPr>
        <w:pStyle w:val="SingleTxt"/>
        <w:spacing w:after="0" w:line="120" w:lineRule="exact"/>
        <w:rPr>
          <w:sz w:val="10"/>
          <w:lang w:val="es-ES_tradnl"/>
        </w:rPr>
      </w:pPr>
    </w:p>
    <w:p w14:paraId="6392F9A9" w14:textId="1111B801" w:rsidR="004570E4" w:rsidRPr="0017566A" w:rsidRDefault="004570E4" w:rsidP="00DC62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Matrimonio y relaciones familiares</w:t>
      </w:r>
    </w:p>
    <w:p w14:paraId="1880BDE3" w14:textId="53A3A72D" w:rsidR="004570E4" w:rsidRPr="0017566A" w:rsidRDefault="004570E4" w:rsidP="00DC6272">
      <w:pPr>
        <w:pStyle w:val="SingleTxt"/>
        <w:spacing w:after="0" w:line="120" w:lineRule="exact"/>
        <w:rPr>
          <w:sz w:val="10"/>
          <w:lang w:val="es-ES_tradnl"/>
        </w:rPr>
      </w:pPr>
    </w:p>
    <w:p w14:paraId="48514EA7" w14:textId="72432652" w:rsidR="00DC6272" w:rsidRPr="0017566A" w:rsidRDefault="00DC6272" w:rsidP="00DC6272">
      <w:pPr>
        <w:pStyle w:val="SingleTxt"/>
        <w:spacing w:after="0" w:line="120" w:lineRule="exact"/>
        <w:rPr>
          <w:sz w:val="10"/>
          <w:lang w:val="es-ES_tradnl"/>
        </w:rPr>
      </w:pPr>
    </w:p>
    <w:p w14:paraId="34DCDBA4" w14:textId="77777777" w:rsidR="004570E4" w:rsidRPr="0017566A" w:rsidRDefault="004570E4" w:rsidP="00DC62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Respuesta al párrafo 22 de la lista de cuestiones y preguntas</w:t>
      </w:r>
    </w:p>
    <w:p w14:paraId="17E2E198" w14:textId="556CFAB6" w:rsidR="004570E4" w:rsidRPr="0017566A" w:rsidRDefault="004570E4" w:rsidP="00DC6272">
      <w:pPr>
        <w:pStyle w:val="SingleTxt"/>
        <w:spacing w:after="0" w:line="120" w:lineRule="exact"/>
        <w:rPr>
          <w:sz w:val="10"/>
          <w:lang w:val="es-ES_tradnl"/>
        </w:rPr>
      </w:pPr>
    </w:p>
    <w:p w14:paraId="75F554D7" w14:textId="77777777" w:rsidR="004570E4" w:rsidRPr="0017566A" w:rsidRDefault="004570E4" w:rsidP="004570E4">
      <w:pPr>
        <w:pStyle w:val="SingleTxt"/>
        <w:rPr>
          <w:lang w:val="es-ES_tradnl"/>
        </w:rPr>
      </w:pPr>
      <w:r w:rsidRPr="0017566A">
        <w:rPr>
          <w:lang w:val="es-ES_tradnl"/>
        </w:rPr>
        <w:t>115.</w:t>
      </w:r>
      <w:r w:rsidRPr="0017566A">
        <w:rPr>
          <w:lang w:val="es-ES_tradnl"/>
        </w:rPr>
        <w:tab/>
        <w:t>El Estado ha promulgado el siguiente conjunto de leyes para abordar las cuestiones planteadas en esta pregunta, a saber: la Ley relativa a la Junta de Libertad Provisional y Bienestar Infantil, cap. 12.12, la Ley de Justicia Juvenil, cap. 4.15 y la Ley de Cuidados y Adopción de Niños, cap. 12.01.</w:t>
      </w:r>
    </w:p>
    <w:p w14:paraId="5FC4A707" w14:textId="1C02E8F1" w:rsidR="004570E4" w:rsidRPr="0017566A" w:rsidRDefault="004570E4" w:rsidP="004570E4">
      <w:pPr>
        <w:pStyle w:val="SingleTxt"/>
        <w:rPr>
          <w:lang w:val="es-ES_tradnl"/>
        </w:rPr>
      </w:pPr>
      <w:r w:rsidRPr="0017566A">
        <w:rPr>
          <w:lang w:val="es-ES_tradnl"/>
        </w:rPr>
        <w:t>116.</w:t>
      </w:r>
      <w:r w:rsidRPr="0017566A">
        <w:rPr>
          <w:lang w:val="es-ES_tradnl"/>
        </w:rPr>
        <w:tab/>
        <w:t xml:space="preserve">La Ley del Divorcio, cap. 12.03, no definía la propiedad en el contexto estricto de los procedimientos de divorcio; sin embargo, la propiedad se define en la Ley de Interpretación, cap. 1.02, según la cual el concepto de </w:t>
      </w:r>
      <w:r w:rsidR="00B01A25" w:rsidRPr="0017566A">
        <w:rPr>
          <w:lang w:val="es-ES_tradnl"/>
        </w:rPr>
        <w:t>“</w:t>
      </w:r>
      <w:r w:rsidRPr="0017566A">
        <w:rPr>
          <w:lang w:val="es-ES_tradnl"/>
        </w:rPr>
        <w:t>propiedad</w:t>
      </w:r>
      <w:r w:rsidR="00B01A25" w:rsidRPr="0017566A">
        <w:rPr>
          <w:lang w:val="es-ES_tradnl"/>
        </w:rPr>
        <w:t>”</w:t>
      </w:r>
      <w:r w:rsidRPr="0017566A">
        <w:rPr>
          <w:lang w:val="es-ES_tradnl"/>
        </w:rPr>
        <w:t xml:space="preserve"> incluye el dinero, los bienes, el derecho de acción, la tierra y cualquier descripción de la propiedad, ya sean bienes raíces o efectos personales; también las obligaciones, las servidumbres y toda clase de patrimonio, intereses y beneficios netos, presentes o futuros, adquiridos o contingentes, que se deriven de la propiedad, tal como se define en el presente documento, o que sean accesorios a la misma.</w:t>
      </w:r>
    </w:p>
    <w:p w14:paraId="1648992D" w14:textId="77777777" w:rsidR="004570E4" w:rsidRPr="0017566A" w:rsidRDefault="004570E4" w:rsidP="004570E4">
      <w:pPr>
        <w:pStyle w:val="SingleTxt"/>
        <w:rPr>
          <w:lang w:val="es-ES_tradnl"/>
        </w:rPr>
      </w:pPr>
      <w:r w:rsidRPr="0017566A">
        <w:rPr>
          <w:lang w:val="es-ES_tradnl"/>
        </w:rPr>
        <w:t>117.</w:t>
      </w:r>
      <w:r w:rsidRPr="0017566A">
        <w:rPr>
          <w:lang w:val="es-ES_tradnl"/>
        </w:rPr>
        <w:tab/>
        <w:t>La Ley del Divorcio no establece una distinción específica entre las mujeres con discapacidad y las mujeres sin discapacidad en lo que respecta a los derechos parentales, pero dada la protección constitucional que se ofrece contra la no discriminación por ningún motivo, una mujer con una discapacidad no será tratada de forma menos favorable a causa de esa discapacidad.</w:t>
      </w:r>
    </w:p>
    <w:p w14:paraId="16DD1173" w14:textId="77777777" w:rsidR="004570E4" w:rsidRPr="0017566A" w:rsidRDefault="004570E4" w:rsidP="004570E4">
      <w:pPr>
        <w:pStyle w:val="SingleTxt"/>
        <w:rPr>
          <w:bCs/>
          <w:u w:val="single"/>
          <w:lang w:val="es-ES_tradnl"/>
        </w:rPr>
      </w:pPr>
      <w:r w:rsidRPr="0017566A">
        <w:rPr>
          <w:bCs/>
          <w:u w:val="single"/>
          <w:lang w:val="es-ES_tradnl"/>
        </w:rPr>
        <w:br w:type="page"/>
      </w:r>
    </w:p>
    <w:p w14:paraId="39F337AD" w14:textId="77777777" w:rsidR="004570E4" w:rsidRPr="0017566A" w:rsidRDefault="004570E4" w:rsidP="004570E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Apéndice</w:t>
      </w:r>
    </w:p>
    <w:p w14:paraId="42ABCBF4" w14:textId="0AE8AACD" w:rsidR="004570E4" w:rsidRPr="0017566A" w:rsidRDefault="004570E4" w:rsidP="004570E4">
      <w:pPr>
        <w:pStyle w:val="SingleTxt"/>
        <w:spacing w:after="0" w:line="120" w:lineRule="exact"/>
        <w:rPr>
          <w:sz w:val="10"/>
          <w:lang w:val="es-ES_tradnl"/>
        </w:rPr>
      </w:pPr>
    </w:p>
    <w:p w14:paraId="1AED240F" w14:textId="168D2606" w:rsidR="004570E4" w:rsidRPr="0017566A" w:rsidRDefault="004570E4" w:rsidP="004570E4">
      <w:pPr>
        <w:pStyle w:val="SingleTxt"/>
        <w:spacing w:after="0" w:line="120" w:lineRule="exact"/>
        <w:rPr>
          <w:sz w:val="10"/>
          <w:lang w:val="es-ES_tradnl"/>
        </w:rPr>
      </w:pPr>
    </w:p>
    <w:p w14:paraId="72AD3B14" w14:textId="77777777" w:rsidR="004570E4" w:rsidRPr="0017566A" w:rsidRDefault="004570E4" w:rsidP="004570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17566A">
        <w:rPr>
          <w:lang w:val="es-ES_tradnl"/>
        </w:rPr>
        <w:tab/>
      </w:r>
      <w:r w:rsidRPr="0017566A">
        <w:rPr>
          <w:lang w:val="es-ES_tradnl"/>
        </w:rPr>
        <w:tab/>
        <w:t>Representantes del Comité Directivo Nacional del proyecto de asistencia técnica para el empleo, la iniciativa empresarial y la inclusión financiera de las mujeres en Saint Kitts y Nevis</w:t>
      </w:r>
    </w:p>
    <w:p w14:paraId="7AC06FD0" w14:textId="38A49E95" w:rsidR="004570E4" w:rsidRPr="0017566A" w:rsidRDefault="004570E4" w:rsidP="004570E4">
      <w:pPr>
        <w:pStyle w:val="SingleTxt"/>
        <w:spacing w:after="0" w:line="120" w:lineRule="exact"/>
        <w:rPr>
          <w:sz w:val="10"/>
          <w:lang w:val="es-ES_tradnl"/>
        </w:rPr>
      </w:pPr>
    </w:p>
    <w:p w14:paraId="438E8103" w14:textId="77777777" w:rsidR="004570E4" w:rsidRPr="0017566A" w:rsidRDefault="004570E4" w:rsidP="004570E4">
      <w:pPr>
        <w:pStyle w:val="SingleTxt"/>
        <w:tabs>
          <w:tab w:val="right" w:pos="1685"/>
        </w:tabs>
        <w:spacing w:line="240" w:lineRule="atLeast"/>
        <w:rPr>
          <w:szCs w:val="20"/>
          <w:lang w:val="es-ES_tradnl"/>
        </w:rPr>
      </w:pPr>
      <w:r w:rsidRPr="0017566A">
        <w:rPr>
          <w:lang w:val="es-ES_tradnl"/>
        </w:rPr>
        <w:tab/>
        <w:t>•</w:t>
      </w:r>
      <w:r w:rsidRPr="0017566A">
        <w:rPr>
          <w:lang w:val="es-ES_tradnl"/>
        </w:rPr>
        <w:tab/>
      </w:r>
      <w:r w:rsidRPr="0017566A">
        <w:rPr>
          <w:szCs w:val="20"/>
          <w:lang w:val="es-ES_tradnl"/>
        </w:rPr>
        <w:t>Ministerio de Desarrollo Social y Asuntos de Género (SK) - Presidencia</w:t>
      </w:r>
    </w:p>
    <w:p w14:paraId="4CF83312" w14:textId="77777777" w:rsidR="004570E4" w:rsidRPr="0017566A" w:rsidRDefault="004570E4" w:rsidP="00DC6272">
      <w:pPr>
        <w:pStyle w:val="SingleTxt"/>
        <w:tabs>
          <w:tab w:val="right" w:pos="1685"/>
        </w:tabs>
        <w:spacing w:line="240" w:lineRule="atLeast"/>
        <w:ind w:left="1742" w:hanging="475"/>
        <w:rPr>
          <w:szCs w:val="20"/>
          <w:lang w:val="es-ES_tradnl"/>
        </w:rPr>
      </w:pPr>
      <w:r w:rsidRPr="0017566A">
        <w:rPr>
          <w:szCs w:val="20"/>
          <w:lang w:val="es-ES_tradnl"/>
        </w:rPr>
        <w:tab/>
        <w:t>•</w:t>
      </w:r>
      <w:r w:rsidRPr="0017566A">
        <w:rPr>
          <w:szCs w:val="20"/>
          <w:lang w:val="es-ES_tradnl"/>
        </w:rPr>
        <w:tab/>
        <w:t>Dependencia de Desarrollo de la Pequeña Empresa - Ministerio de Finanzas - Nevis - Vicepresidencia</w:t>
      </w:r>
    </w:p>
    <w:p w14:paraId="68CC115A"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Misión técnica de Taiwán</w:t>
      </w:r>
    </w:p>
    <w:p w14:paraId="77C2A566"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Departamento de Asuntos de Género (Saint Kitts)</w:t>
      </w:r>
    </w:p>
    <w:p w14:paraId="015035FE"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Departamento de Trabajo (Saint Kitts)</w:t>
      </w:r>
    </w:p>
    <w:p w14:paraId="7D33EF2B" w14:textId="77777777" w:rsidR="004570E4" w:rsidRPr="0017566A" w:rsidRDefault="004570E4" w:rsidP="00DC6272">
      <w:pPr>
        <w:pStyle w:val="SingleTxt"/>
        <w:tabs>
          <w:tab w:val="right" w:pos="1685"/>
        </w:tabs>
        <w:spacing w:line="240" w:lineRule="atLeast"/>
        <w:ind w:left="1742" w:hanging="475"/>
        <w:rPr>
          <w:szCs w:val="20"/>
          <w:lang w:val="es-ES_tradnl"/>
        </w:rPr>
      </w:pPr>
      <w:r w:rsidRPr="0017566A">
        <w:rPr>
          <w:szCs w:val="20"/>
          <w:lang w:val="es-ES_tradnl"/>
        </w:rPr>
        <w:tab/>
        <w:t>•</w:t>
      </w:r>
      <w:r w:rsidRPr="0017566A">
        <w:rPr>
          <w:szCs w:val="20"/>
          <w:lang w:val="es-ES_tradnl"/>
        </w:rPr>
        <w:tab/>
        <w:t>Centro de Desarrollo de la Pequeña Empresa - Ministerio de Industria y Comercio (Saint Kitts)</w:t>
      </w:r>
    </w:p>
    <w:p w14:paraId="4C6B30AB"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Centro de Formación Profesional Avanzada (AVEC)</w:t>
      </w:r>
    </w:p>
    <w:p w14:paraId="4736F2A7"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Ministerio de Educación (Saint Kitts)</w:t>
      </w:r>
    </w:p>
    <w:p w14:paraId="2207C50A"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Comisión Nacional de Mujeres</w:t>
      </w:r>
    </w:p>
    <w:p w14:paraId="1F1ED857" w14:textId="77777777" w:rsidR="004570E4" w:rsidRPr="0017566A" w:rsidRDefault="004570E4" w:rsidP="004570E4">
      <w:pPr>
        <w:pStyle w:val="SingleTxt"/>
        <w:tabs>
          <w:tab w:val="right" w:pos="1685"/>
        </w:tabs>
        <w:spacing w:line="240" w:lineRule="atLeast"/>
        <w:rPr>
          <w:szCs w:val="20"/>
          <w:lang w:val="es-ES_tradnl"/>
        </w:rPr>
      </w:pPr>
      <w:r w:rsidRPr="0017566A">
        <w:rPr>
          <w:szCs w:val="20"/>
          <w:lang w:val="es-ES_tradnl"/>
        </w:rPr>
        <w:tab/>
        <w:t>•</w:t>
      </w:r>
      <w:r w:rsidRPr="0017566A">
        <w:rPr>
          <w:szCs w:val="20"/>
          <w:lang w:val="es-ES_tradnl"/>
        </w:rPr>
        <w:tab/>
        <w:t>Unidad de crédito del Banco Central del Caribe Oriental</w:t>
      </w:r>
    </w:p>
    <w:p w14:paraId="3EA28528" w14:textId="49E43E80" w:rsidR="004570E4" w:rsidRPr="0017566A" w:rsidRDefault="004570E4" w:rsidP="00F644AB">
      <w:pPr>
        <w:pStyle w:val="SingleTxt"/>
        <w:rPr>
          <w:lang w:val="es-ES_tradnl"/>
        </w:rPr>
      </w:pPr>
      <w:r w:rsidRPr="0017566A">
        <w:rPr>
          <w:noProof/>
          <w:w w:val="100"/>
          <w:lang w:val="es-ES_tradnl"/>
        </w:rPr>
        <mc:AlternateContent>
          <mc:Choice Requires="wps">
            <w:drawing>
              <wp:anchor distT="0" distB="0" distL="114300" distR="114300" simplePos="0" relativeHeight="251660288" behindDoc="0" locked="0" layoutInCell="1" allowOverlap="1" wp14:anchorId="543E9CF3" wp14:editId="5B8E4DBA">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B1F905"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4570E4" w:rsidRPr="0017566A" w:rsidSect="00F644AB">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0-25T13:05:00Z" w:initials="Start">
    <w:p w14:paraId="7F70ABDB" w14:textId="77777777" w:rsidR="006A2D09" w:rsidRPr="00F644AB" w:rsidRDefault="006A2D09">
      <w:pPr>
        <w:pStyle w:val="CommentText"/>
        <w:rPr>
          <w:lang w:val="en-US"/>
        </w:rPr>
      </w:pPr>
      <w:r>
        <w:rPr>
          <w:rStyle w:val="CommentReference"/>
        </w:rPr>
        <w:annotationRef/>
      </w:r>
      <w:r w:rsidRPr="00F644AB">
        <w:rPr>
          <w:lang w:val="en-US"/>
        </w:rPr>
        <w:t>&lt;&lt;ODS JOB NO&gt;&gt;N2261482S&lt;&lt;ODS JOB NO&gt;&gt;</w:t>
      </w:r>
    </w:p>
    <w:p w14:paraId="207DF170" w14:textId="77777777" w:rsidR="006A2D09" w:rsidRDefault="006A2D09">
      <w:pPr>
        <w:pStyle w:val="CommentText"/>
      </w:pPr>
      <w:r>
        <w:t>&lt;&lt;ODS DOC SYMBOL1&gt;&gt;CEDAW/C/KNA/RQ/5-9&lt;&lt;ODS DOC SYMBOL1&gt;&gt;</w:t>
      </w:r>
    </w:p>
    <w:p w14:paraId="1AA4195A" w14:textId="77777777" w:rsidR="006A2D09" w:rsidRDefault="006A2D0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AA4195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025DB3" w16cex:dateUtc="2022-10-25T17:0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AA4195A" w16cid:durableId="27025DB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E2EB6" w14:textId="77777777" w:rsidR="00E31AEE" w:rsidRDefault="00E31AEE" w:rsidP="00101B18">
      <w:r>
        <w:separator/>
      </w:r>
    </w:p>
  </w:endnote>
  <w:endnote w:type="continuationSeparator" w:id="0">
    <w:p w14:paraId="6AEEBC0A" w14:textId="77777777" w:rsidR="00E31AEE" w:rsidRDefault="00E31AEE"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A2D09" w14:paraId="7C5604AD" w14:textId="77777777" w:rsidTr="006A2D09">
      <w:tc>
        <w:tcPr>
          <w:tcW w:w="4920" w:type="dxa"/>
          <w:shd w:val="clear" w:color="auto" w:fill="auto"/>
          <w:vAlign w:val="bottom"/>
        </w:tcPr>
        <w:p w14:paraId="609DC50E" w14:textId="77777777" w:rsidR="006A2D09" w:rsidRPr="006A2D09" w:rsidRDefault="006A2D09" w:rsidP="006A2D09">
          <w:pPr>
            <w:pStyle w:val="Footer"/>
            <w:rPr>
              <w:color w:val="000000"/>
            </w:rPr>
          </w:pPr>
          <w:r>
            <w:fldChar w:fldCharType="begin"/>
          </w:r>
          <w:r>
            <w:instrText xml:space="preserve"> PAGE  \* Arabic  \* MERGEFORMAT </w:instrText>
          </w:r>
          <w:r>
            <w:fldChar w:fldCharType="separate"/>
          </w:r>
          <w:r>
            <w:t>3</w:t>
          </w:r>
          <w:r>
            <w:fldChar w:fldCharType="end"/>
          </w:r>
          <w:r>
            <w:t>/</w:t>
          </w:r>
          <w:r w:rsidR="00346E2D">
            <w:fldChar w:fldCharType="begin"/>
          </w:r>
          <w:r w:rsidR="00346E2D">
            <w:instrText xml:space="preserve"> NUMPAGES  \* Arabic  \* MERGEFORMAT </w:instrText>
          </w:r>
          <w:r w:rsidR="00346E2D">
            <w:fldChar w:fldCharType="separate"/>
          </w:r>
          <w:r>
            <w:t>4</w:t>
          </w:r>
          <w:r w:rsidR="00346E2D">
            <w:fldChar w:fldCharType="end"/>
          </w:r>
        </w:p>
      </w:tc>
      <w:tc>
        <w:tcPr>
          <w:tcW w:w="4920" w:type="dxa"/>
          <w:shd w:val="clear" w:color="auto" w:fill="auto"/>
          <w:vAlign w:val="bottom"/>
        </w:tcPr>
        <w:p w14:paraId="1F9D9B28" w14:textId="76E1F7AC" w:rsidR="006A2D09" w:rsidRPr="006A2D09" w:rsidRDefault="006A2D09" w:rsidP="006A2D09">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46E2D">
            <w:rPr>
              <w:b w:val="0"/>
              <w:color w:val="000000"/>
              <w:sz w:val="14"/>
            </w:rPr>
            <w:t>22-22786</w:t>
          </w:r>
          <w:r>
            <w:rPr>
              <w:b w:val="0"/>
              <w:color w:val="000000"/>
              <w:sz w:val="14"/>
            </w:rPr>
            <w:fldChar w:fldCharType="end"/>
          </w:r>
        </w:p>
      </w:tc>
    </w:tr>
  </w:tbl>
  <w:p w14:paraId="0AFE5511" w14:textId="77777777" w:rsidR="006A2D09" w:rsidRPr="006A2D09" w:rsidRDefault="006A2D09" w:rsidP="006A2D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6A2D09" w14:paraId="31F37A7A" w14:textId="77777777" w:rsidTr="006A2D09">
      <w:tc>
        <w:tcPr>
          <w:tcW w:w="4920" w:type="dxa"/>
          <w:shd w:val="clear" w:color="auto" w:fill="auto"/>
          <w:vAlign w:val="bottom"/>
        </w:tcPr>
        <w:p w14:paraId="02E90A73" w14:textId="2E27A619" w:rsidR="006A2D09" w:rsidRPr="006A2D09" w:rsidRDefault="006A2D09" w:rsidP="006A2D09">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46E2D">
            <w:rPr>
              <w:b w:val="0"/>
              <w:color w:val="000000"/>
              <w:sz w:val="14"/>
            </w:rPr>
            <w:t>22-22786</w:t>
          </w:r>
          <w:r>
            <w:rPr>
              <w:b w:val="0"/>
              <w:color w:val="000000"/>
              <w:sz w:val="14"/>
            </w:rPr>
            <w:fldChar w:fldCharType="end"/>
          </w:r>
        </w:p>
      </w:tc>
      <w:tc>
        <w:tcPr>
          <w:tcW w:w="4920" w:type="dxa"/>
          <w:shd w:val="clear" w:color="auto" w:fill="auto"/>
          <w:vAlign w:val="bottom"/>
        </w:tcPr>
        <w:p w14:paraId="4142924D" w14:textId="77777777" w:rsidR="006A2D09" w:rsidRPr="006A2D09" w:rsidRDefault="006A2D09" w:rsidP="006A2D09">
          <w:pPr>
            <w:pStyle w:val="Footer"/>
            <w:jc w:val="right"/>
          </w:pPr>
          <w:r>
            <w:fldChar w:fldCharType="begin"/>
          </w:r>
          <w:r>
            <w:instrText xml:space="preserve"> PAGE  \* Arabic  \* MERGEFORMAT </w:instrText>
          </w:r>
          <w:r>
            <w:fldChar w:fldCharType="separate"/>
          </w:r>
          <w:r>
            <w:t>2</w:t>
          </w:r>
          <w:r>
            <w:fldChar w:fldCharType="end"/>
          </w:r>
          <w:r>
            <w:t>/</w:t>
          </w:r>
          <w:r w:rsidR="00346E2D">
            <w:fldChar w:fldCharType="begin"/>
          </w:r>
          <w:r w:rsidR="00346E2D">
            <w:instrText xml:space="preserve"> NUMPAGES  \* Arabic  \* MERGEFORMAT </w:instrText>
          </w:r>
          <w:r w:rsidR="00346E2D">
            <w:fldChar w:fldCharType="separate"/>
          </w:r>
          <w:r>
            <w:t>4</w:t>
          </w:r>
          <w:r w:rsidR="00346E2D">
            <w:fldChar w:fldCharType="end"/>
          </w:r>
        </w:p>
      </w:tc>
    </w:tr>
  </w:tbl>
  <w:p w14:paraId="64AE7761" w14:textId="77777777" w:rsidR="006A2D09" w:rsidRPr="006A2D09" w:rsidRDefault="006A2D09" w:rsidP="006A2D0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0C461" w14:textId="77777777" w:rsidR="006A2D09" w:rsidRPr="006A2D09" w:rsidRDefault="006A2D09" w:rsidP="006A2D09">
    <w:pPr>
      <w:pStyle w:val="Footer"/>
      <w:spacing w:line="120" w:lineRule="exact"/>
      <w:rPr>
        <w:b w:val="0"/>
        <w:sz w:val="10"/>
      </w:rPr>
    </w:pPr>
    <w:r>
      <w:rPr>
        <w:b w:val="0"/>
        <w:sz w:val="10"/>
      </w:rPr>
      <w:drawing>
        <wp:anchor distT="0" distB="0" distL="114300" distR="114300" simplePos="0" relativeHeight="251658240" behindDoc="0" locked="0" layoutInCell="1" allowOverlap="1" wp14:anchorId="06A532AC" wp14:editId="0A9592E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6A2D09" w14:paraId="14DCE80B" w14:textId="77777777" w:rsidTr="006A2D09">
      <w:tc>
        <w:tcPr>
          <w:tcW w:w="3830" w:type="dxa"/>
          <w:shd w:val="clear" w:color="auto" w:fill="auto"/>
        </w:tcPr>
        <w:p w14:paraId="19CA82C6" w14:textId="566EFE02" w:rsidR="006A2D09" w:rsidRDefault="006A2D09" w:rsidP="006A2D09">
          <w:pPr>
            <w:pStyle w:val="ReleaseDate0"/>
          </w:pPr>
          <w:r>
            <w:t>22-22786</w:t>
          </w:r>
          <w:r w:rsidR="00AF7596">
            <w:t>X</w:t>
          </w:r>
          <w:r>
            <w:t xml:space="preserve"> (S)    </w:t>
          </w:r>
          <w:r w:rsidR="00F644AB">
            <w:t>18</w:t>
          </w:r>
          <w:r>
            <w:t>1022    2</w:t>
          </w:r>
          <w:r w:rsidR="00F644AB">
            <w:t>6</w:t>
          </w:r>
          <w:r>
            <w:t>1022</w:t>
          </w:r>
        </w:p>
        <w:p w14:paraId="0907AEFD" w14:textId="77777777" w:rsidR="006A2D09" w:rsidRPr="006A2D09" w:rsidRDefault="006A2D09" w:rsidP="006A2D09">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*2222786*</w:t>
          </w:r>
        </w:p>
      </w:tc>
      <w:tc>
        <w:tcPr>
          <w:tcW w:w="4920" w:type="dxa"/>
          <w:shd w:val="clear" w:color="auto" w:fill="auto"/>
        </w:tcPr>
        <w:p w14:paraId="06D0D736" w14:textId="77777777" w:rsidR="006A2D09" w:rsidRDefault="006A2D09" w:rsidP="006A2D09">
          <w:pPr>
            <w:pStyle w:val="Footer"/>
            <w:jc w:val="right"/>
            <w:rPr>
              <w:b w:val="0"/>
              <w:sz w:val="20"/>
            </w:rPr>
          </w:pPr>
          <w:r>
            <w:rPr>
              <w:b w:val="0"/>
              <w:sz w:val="20"/>
            </w:rPr>
            <w:drawing>
              <wp:inline distT="0" distB="0" distL="0" distR="0" wp14:anchorId="27308387" wp14:editId="0B3297F4">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9BEB506" w14:textId="77777777" w:rsidR="006A2D09" w:rsidRPr="006A2D09" w:rsidRDefault="006A2D09" w:rsidP="006A2D09">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23193D" w14:textId="6E607EBE" w:rsidR="00E31AEE" w:rsidRPr="00926748" w:rsidRDefault="00926748" w:rsidP="00926748">
      <w:pPr>
        <w:pStyle w:val="Footer"/>
        <w:spacing w:after="80"/>
        <w:ind w:left="792"/>
        <w:rPr>
          <w:sz w:val="16"/>
        </w:rPr>
      </w:pPr>
      <w:r w:rsidRPr="00926748">
        <w:rPr>
          <w:sz w:val="16"/>
        </w:rPr>
        <w:t>__________________</w:t>
      </w:r>
    </w:p>
  </w:footnote>
  <w:footnote w:type="continuationSeparator" w:id="0">
    <w:p w14:paraId="21E567B1" w14:textId="09052FE8" w:rsidR="00E31AEE" w:rsidRPr="00926748" w:rsidRDefault="00926748" w:rsidP="00926748">
      <w:pPr>
        <w:pStyle w:val="Footer"/>
        <w:spacing w:after="80"/>
        <w:ind w:left="792"/>
        <w:rPr>
          <w:sz w:val="16"/>
        </w:rPr>
      </w:pPr>
      <w:r w:rsidRPr="00926748">
        <w:rPr>
          <w:sz w:val="16"/>
        </w:rPr>
        <w:t>__________________</w:t>
      </w:r>
    </w:p>
  </w:footnote>
  <w:footnote w:id="1">
    <w:p w14:paraId="65A47DB7" w14:textId="421BC67A"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r>
      <w:r w:rsidR="00603C79" w:rsidRPr="0017566A">
        <w:rPr>
          <w:lang w:val="es-ES_tradnl"/>
        </w:rPr>
        <w:t>“</w:t>
      </w:r>
      <w:r w:rsidRPr="0017566A">
        <w:rPr>
          <w:lang w:val="es-ES_tradnl"/>
        </w:rPr>
        <w:t>The COVID-19 Pandemic impact on Tourism Industry in St. Kitts and Nevis, St. Kitts and Nevis Statistics</w:t>
      </w:r>
      <w:r w:rsidR="00603C79" w:rsidRPr="0017566A">
        <w:rPr>
          <w:lang w:val="es-ES_tradnl"/>
        </w:rPr>
        <w:t>”</w:t>
      </w:r>
      <w:r w:rsidRPr="0017566A">
        <w:rPr>
          <w:lang w:val="es-ES_tradnl"/>
        </w:rPr>
        <w:t>, (</w:t>
      </w:r>
      <w:hyperlink r:id="rId1" w:history="1">
        <w:r w:rsidRPr="0017566A">
          <w:rPr>
            <w:rStyle w:val="Hyperlink"/>
            <w:u w:val="none"/>
            <w:lang w:val="es-ES_tradnl"/>
          </w:rPr>
          <w:t>https://www.stats.gov.kn/wp-content/uploads/2017/11/The-COVID-Impact-Tourism-2019-20-April.pdf</w:t>
        </w:r>
      </w:hyperlink>
      <w:r w:rsidRPr="0017566A">
        <w:rPr>
          <w:lang w:val="es-ES_tradnl"/>
        </w:rPr>
        <w:t>) [consultado el 30.8.22].</w:t>
      </w:r>
    </w:p>
  </w:footnote>
  <w:footnote w:id="2">
    <w:p w14:paraId="7277D229"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t>Discurso sobre el presupuesto del Gobierno de Saint Kitts y Nevis de 2022, pág. 2.</w:t>
      </w:r>
    </w:p>
  </w:footnote>
  <w:footnote w:id="3">
    <w:p w14:paraId="79C65252"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t>Discurso sobre el presupuesto del Gobierno de Saint Kitts y Nevis de 2022, pág. 3.</w:t>
      </w:r>
    </w:p>
  </w:footnote>
  <w:footnote w:id="4">
    <w:p w14:paraId="4851157D"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t>Datos procedentes de los recibos firmados por el Departamento de Asuntos de Género (Saint Kitts y Nevis) y de la lista propuesta por la Cruz Roja.</w:t>
      </w:r>
    </w:p>
  </w:footnote>
  <w:footnote w:id="5">
    <w:p w14:paraId="69B2466E" w14:textId="74E447F1"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t xml:space="preserve">Curso gratuito en línea </w:t>
      </w:r>
      <w:r w:rsidR="00603C79" w:rsidRPr="0017566A">
        <w:rPr>
          <w:lang w:val="es-ES_tradnl"/>
        </w:rPr>
        <w:t>“</w:t>
      </w:r>
      <w:r w:rsidRPr="0017566A">
        <w:rPr>
          <w:lang w:val="es-ES_tradnl"/>
        </w:rPr>
        <w:t>Habilidades psicosociales básicas: capacitación para los equipos de respuesta a la COVID-19</w:t>
      </w:r>
      <w:r w:rsidR="00603C79" w:rsidRPr="0017566A">
        <w:rPr>
          <w:lang w:val="es-ES_tradnl"/>
        </w:rPr>
        <w:t>”</w:t>
      </w:r>
      <w:r w:rsidRPr="0017566A">
        <w:rPr>
          <w:lang w:val="es-ES_tradnl"/>
        </w:rPr>
        <w:t xml:space="preserve"> ofrecido por el centro colaborador de la OMS en enfermería, partería y desarrollo de la salud, promovido por el Comité de Apoyo Psicosocial en Salud Mental, y compartido con las redes.</w:t>
      </w:r>
    </w:p>
  </w:footnote>
  <w:footnote w:id="6">
    <w:p w14:paraId="7744EAFC" w14:textId="3E9A1568"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r>
      <w:hyperlink r:id="rId2" w:history="1">
        <w:r w:rsidR="00603C79" w:rsidRPr="0017566A">
          <w:rPr>
            <w:rStyle w:val="Hyperlink"/>
            <w:u w:val="none"/>
            <w:lang w:val="es-ES_tradnl"/>
          </w:rPr>
          <w:t>https://www.thestkittsnevisobserver.com/500-cloth-masks-produced-for-the-federations-vulnerable-groups/</w:t>
        </w:r>
      </w:hyperlink>
      <w:r w:rsidR="00603C79" w:rsidRPr="0017566A">
        <w:rPr>
          <w:lang w:val="es-ES_tradnl"/>
        </w:rPr>
        <w:t xml:space="preserve"> </w:t>
      </w:r>
      <w:r w:rsidRPr="0017566A">
        <w:rPr>
          <w:lang w:val="es-ES_tradnl"/>
        </w:rPr>
        <w:t>[consultado el 9.9.22].</w:t>
      </w:r>
    </w:p>
  </w:footnote>
  <w:footnote w:id="7">
    <w:p w14:paraId="29F7BD82"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color w:val="0070C0"/>
          <w:sz w:val="16"/>
          <w:szCs w:val="16"/>
          <w:lang w:val="es-ES_tradnl"/>
        </w:rPr>
        <w:tab/>
      </w:r>
      <w:r w:rsidRPr="0017566A">
        <w:rPr>
          <w:rStyle w:val="FootnoteReference"/>
          <w:lang w:val="es-ES_tradnl"/>
        </w:rPr>
        <w:footnoteRef/>
      </w:r>
      <w:r w:rsidRPr="0017566A">
        <w:rPr>
          <w:lang w:val="es-ES_tradnl"/>
        </w:rPr>
        <w:tab/>
        <w:t>Banco de Desarrollo del Caribe en los sistemas estadísticos con perspectiva de género del proyecto regional y el desarrollo de la política de género.</w:t>
      </w:r>
    </w:p>
  </w:footnote>
  <w:footnote w:id="8">
    <w:p w14:paraId="202DF6BA" w14:textId="3833FD84"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lang w:val="es-ES_tradnl"/>
        </w:rPr>
        <w:tab/>
      </w:r>
      <w:r w:rsidRPr="0017566A">
        <w:rPr>
          <w:rStyle w:val="FootnoteReference"/>
          <w:lang w:val="es-ES_tradnl"/>
        </w:rPr>
        <w:footnoteRef/>
      </w:r>
      <w:r w:rsidRPr="0017566A">
        <w:rPr>
          <w:lang w:val="es-ES_tradnl"/>
        </w:rPr>
        <w:tab/>
      </w:r>
      <w:hyperlink r:id="rId3" w:history="1">
        <w:r w:rsidRPr="0017566A">
          <w:rPr>
            <w:rStyle w:val="Hyperlink"/>
            <w:u w:val="none"/>
            <w:lang w:val="es-ES_tradnl"/>
          </w:rPr>
          <w:t>https://www.sknis.gov.kn/2020/02/20/department-of-gender-affairs-salutes-the-temple-for-opening-rehoboth-centre/</w:t>
        </w:r>
      </w:hyperlink>
      <w:r w:rsidRPr="0017566A">
        <w:rPr>
          <w:lang w:val="es-ES_tradnl"/>
        </w:rPr>
        <w:t xml:space="preserve"> [consultado el 9.9.22].</w:t>
      </w:r>
    </w:p>
  </w:footnote>
  <w:footnote w:id="9">
    <w:p w14:paraId="1E5EF086" w14:textId="3D91766A"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lang w:val="es-ES_tradnl"/>
        </w:rPr>
        <w:tab/>
      </w:r>
      <w:r w:rsidRPr="0017566A">
        <w:rPr>
          <w:rStyle w:val="FootnoteReference"/>
          <w:lang w:val="es-ES_tradnl"/>
        </w:rPr>
        <w:footnoteRef/>
      </w:r>
      <w:r w:rsidRPr="0017566A">
        <w:rPr>
          <w:lang w:val="es-ES_tradnl"/>
        </w:rPr>
        <w:tab/>
        <w:t>(</w:t>
      </w:r>
      <w:hyperlink r:id="rId4" w:history="1">
        <w:r w:rsidRPr="0017566A">
          <w:rPr>
            <w:rStyle w:val="Hyperlink"/>
            <w:u w:val="none"/>
            <w:lang w:val="es-ES_tradnl"/>
          </w:rPr>
          <w:t>https://www.youtube.com/watch?v=kJ6NUx3ALe8</w:t>
        </w:r>
      </w:hyperlink>
      <w:r w:rsidRPr="0017566A">
        <w:rPr>
          <w:lang w:val="es-ES_tradnl"/>
        </w:rPr>
        <w:t>) [consultado el 24.6.22].</w:t>
      </w:r>
    </w:p>
  </w:footnote>
  <w:footnote w:id="10">
    <w:p w14:paraId="3B3E0BF0" w14:textId="10788299"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color w:val="0070C0"/>
          <w:lang w:val="es-ES_tradnl"/>
        </w:rPr>
      </w:pPr>
      <w:r w:rsidRPr="0017566A">
        <w:rPr>
          <w:rStyle w:val="FootnoteReference"/>
          <w:lang w:val="es-ES_tradnl"/>
        </w:rPr>
        <w:tab/>
      </w:r>
      <w:r w:rsidRPr="0017566A">
        <w:rPr>
          <w:rStyle w:val="FootnoteReference"/>
          <w:lang w:val="es-ES_tradnl"/>
        </w:rPr>
        <w:footnoteRef/>
      </w:r>
      <w:r w:rsidRPr="0017566A">
        <w:rPr>
          <w:lang w:val="es-ES_tradnl"/>
        </w:rPr>
        <w:tab/>
        <w:t xml:space="preserve">Junta de Seguridad Social de Saint Kitts y Nevis, </w:t>
      </w:r>
      <w:r w:rsidR="00603C79" w:rsidRPr="0017566A">
        <w:rPr>
          <w:lang w:val="es-ES_tradnl"/>
        </w:rPr>
        <w:t>“</w:t>
      </w:r>
      <w:r w:rsidRPr="0017566A">
        <w:rPr>
          <w:lang w:val="es-ES_tradnl"/>
        </w:rPr>
        <w:t>Things You Should Know</w:t>
      </w:r>
      <w:r w:rsidR="00603C79" w:rsidRPr="0017566A">
        <w:rPr>
          <w:lang w:val="es-ES_tradnl"/>
        </w:rPr>
        <w:t>”</w:t>
      </w:r>
      <w:r w:rsidRPr="0017566A">
        <w:rPr>
          <w:lang w:val="es-ES_tradnl"/>
        </w:rPr>
        <w:t xml:space="preserve">, cuadernillo que puede descargarse en </w:t>
      </w:r>
      <w:hyperlink r:id="rId5" w:history="1">
        <w:r w:rsidRPr="0017566A">
          <w:rPr>
            <w:rStyle w:val="Hyperlink"/>
            <w:u w:val="none"/>
            <w:lang w:val="es-ES_tradnl"/>
          </w:rPr>
          <w:t>https://socialsecurity.kn/booklets/ or https://socialsecurity.kn/wp-content/uploads/2018/05/Things-You-Should-Know-2018.pdf</w:t>
        </w:r>
      </w:hyperlink>
      <w:r w:rsidRPr="0017566A">
        <w:rPr>
          <w:lang w:val="es-ES_tradnl"/>
        </w:rPr>
        <w:t xml:space="preserve"> [consultado el 8.9.22].</w:t>
      </w:r>
    </w:p>
  </w:footnote>
  <w:footnote w:id="11">
    <w:p w14:paraId="565CC60F" w14:textId="7A36E2FF"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lang w:val="es-ES_tradnl"/>
        </w:rPr>
        <w:tab/>
      </w:r>
      <w:r w:rsidRPr="0017566A">
        <w:rPr>
          <w:rStyle w:val="FootnoteReference"/>
          <w:lang w:val="es-ES_tradnl"/>
        </w:rPr>
        <w:footnoteRef/>
      </w:r>
      <w:r w:rsidRPr="0017566A">
        <w:rPr>
          <w:lang w:val="es-ES_tradnl"/>
        </w:rPr>
        <w:tab/>
      </w:r>
      <w:hyperlink r:id="rId6" w:history="1">
        <w:r w:rsidRPr="0017566A">
          <w:rPr>
            <w:rStyle w:val="Hyperlink"/>
            <w:u w:val="none"/>
            <w:lang w:val="es-ES_tradnl"/>
          </w:rPr>
          <w:t>https://www.sknis.gov.kn/2020/12/17/robust-outreach-activities-to-reduce-the-incidence-and-impact-of-ncds-have-realised-significant-returns/</w:t>
        </w:r>
      </w:hyperlink>
      <w:r w:rsidRPr="0017566A">
        <w:rPr>
          <w:lang w:val="es-ES_tradnl"/>
        </w:rPr>
        <w:t xml:space="preserve"> [consultado el 25.8.22].</w:t>
      </w:r>
    </w:p>
  </w:footnote>
  <w:footnote w:id="12">
    <w:p w14:paraId="40271F6A"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sz w:val="16"/>
          <w:szCs w:val="16"/>
          <w:lang w:val="es-ES_tradnl"/>
        </w:rPr>
        <w:tab/>
      </w:r>
      <w:r w:rsidRPr="0017566A">
        <w:rPr>
          <w:rStyle w:val="FootnoteReference"/>
          <w:lang w:val="es-ES_tradnl"/>
        </w:rPr>
        <w:footnoteRef/>
      </w:r>
      <w:r w:rsidRPr="0017566A">
        <w:rPr>
          <w:lang w:val="es-ES_tradnl"/>
        </w:rPr>
        <w:tab/>
        <w:t>Gobierno de Saint Kitts y Nevis, Estimaciones de 2021, pág. 14-11 [consultado el 30.8.22].</w:t>
      </w:r>
    </w:p>
  </w:footnote>
  <w:footnote w:id="13">
    <w:p w14:paraId="37ED09EA" w14:textId="26AF526A"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sz w:val="16"/>
          <w:szCs w:val="16"/>
          <w:lang w:val="es-ES_tradnl"/>
        </w:rPr>
        <w:tab/>
      </w:r>
      <w:r w:rsidRPr="0017566A">
        <w:rPr>
          <w:rStyle w:val="FootnoteReference"/>
          <w:lang w:val="es-ES_tradnl"/>
        </w:rPr>
        <w:footnoteRef/>
      </w:r>
      <w:r w:rsidRPr="0017566A">
        <w:rPr>
          <w:lang w:val="es-ES_tradnl"/>
        </w:rPr>
        <w:tab/>
      </w:r>
      <w:hyperlink r:id="rId7" w:history="1">
        <w:r w:rsidRPr="0017566A">
          <w:rPr>
            <w:rStyle w:val="Hyperlink"/>
            <w:u w:val="none"/>
            <w:lang w:val="es-ES_tradnl"/>
          </w:rPr>
          <w:t>https://www.youtube.com/watch?v=-p-OKMVKidI</w:t>
        </w:r>
      </w:hyperlink>
      <w:r w:rsidRPr="0017566A">
        <w:rPr>
          <w:lang w:val="es-ES_tradnl"/>
        </w:rPr>
        <w:t>[consultado el 14.9.22].</w:t>
      </w:r>
    </w:p>
  </w:footnote>
  <w:footnote w:id="14">
    <w:p w14:paraId="1BA218C5"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sz w:val="16"/>
          <w:szCs w:val="16"/>
          <w:lang w:val="es-ES_tradnl"/>
        </w:rPr>
        <w:tab/>
      </w:r>
      <w:r w:rsidRPr="0017566A">
        <w:rPr>
          <w:rStyle w:val="FootnoteReference"/>
          <w:lang w:val="es-ES_tradnl"/>
        </w:rPr>
        <w:footnoteRef/>
      </w:r>
      <w:r w:rsidRPr="0017566A">
        <w:rPr>
          <w:lang w:val="es-ES_tradnl"/>
        </w:rPr>
        <w:tab/>
        <w:t>Gobierno de Saint Kitts y Nevis, Estimaciones de 2022, vol. 2, pág. 09-2.</w:t>
      </w:r>
    </w:p>
  </w:footnote>
  <w:footnote w:id="15">
    <w:p w14:paraId="349D1156" w14:textId="2EF97710"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sz w:val="16"/>
          <w:szCs w:val="16"/>
          <w:lang w:val="es-ES_tradnl"/>
        </w:rPr>
        <w:tab/>
      </w:r>
      <w:r w:rsidRPr="0017566A">
        <w:rPr>
          <w:rStyle w:val="FootnoteReference"/>
          <w:lang w:val="es-ES_tradnl"/>
        </w:rPr>
        <w:footnoteRef/>
      </w:r>
      <w:r w:rsidRPr="0017566A">
        <w:rPr>
          <w:lang w:val="es-ES_tradnl"/>
        </w:rPr>
        <w:tab/>
      </w:r>
      <w:hyperlink r:id="rId8" w:history="1">
        <w:r w:rsidRPr="0017566A">
          <w:rPr>
            <w:rStyle w:val="Hyperlink"/>
            <w:u w:val="none"/>
            <w:lang w:val="es-ES_tradnl"/>
          </w:rPr>
          <w:t>https://nia.gov.kn/entrepreneurship-fund-for-women-and-youth-launched-by-nevis-island-administration</w:t>
        </w:r>
      </w:hyperlink>
      <w:r w:rsidRPr="0017566A">
        <w:rPr>
          <w:lang w:val="es-ES_tradnl"/>
        </w:rPr>
        <w:t>/ [consultado el 14.9.22].</w:t>
      </w:r>
    </w:p>
  </w:footnote>
  <w:footnote w:id="16">
    <w:p w14:paraId="08AEECEF"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sz w:val="16"/>
          <w:szCs w:val="16"/>
          <w:lang w:val="es-ES_tradnl"/>
        </w:rPr>
        <w:tab/>
      </w:r>
      <w:r w:rsidRPr="0017566A">
        <w:rPr>
          <w:rStyle w:val="FootnoteReference"/>
          <w:lang w:val="es-ES_tradnl"/>
        </w:rPr>
        <w:footnoteRef/>
      </w:r>
      <w:r w:rsidRPr="0017566A">
        <w:rPr>
          <w:lang w:val="es-ES_tradnl"/>
        </w:rPr>
        <w:tab/>
        <w:t xml:space="preserve">Gobierno de Saint Kitts y Nevis, Estimaciones de 2022, vol. 2, pág. 11-2. </w:t>
      </w:r>
    </w:p>
  </w:footnote>
  <w:footnote w:id="17">
    <w:p w14:paraId="39C43463"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sz w:val="16"/>
          <w:szCs w:val="16"/>
          <w:lang w:val="es-ES_tradnl"/>
        </w:rPr>
        <w:tab/>
      </w:r>
      <w:r w:rsidRPr="0017566A">
        <w:rPr>
          <w:rStyle w:val="FootnoteReference"/>
          <w:lang w:val="es-ES_tradnl"/>
        </w:rPr>
        <w:footnoteRef/>
      </w:r>
      <w:r w:rsidRPr="0017566A">
        <w:rPr>
          <w:lang w:val="es-ES_tradnl"/>
        </w:rPr>
        <w:tab/>
        <w:t xml:space="preserve">Gobierno de Saint Kitts y Nevis, 2022, Estimaciones, vol. 2, págs. 11-2. </w:t>
      </w:r>
    </w:p>
  </w:footnote>
  <w:footnote w:id="18">
    <w:p w14:paraId="371A9035" w14:textId="77777777"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sz w:val="16"/>
          <w:szCs w:val="16"/>
          <w:lang w:val="es-ES_tradnl"/>
        </w:rPr>
      </w:pPr>
      <w:r w:rsidRPr="0017566A">
        <w:rPr>
          <w:sz w:val="16"/>
          <w:szCs w:val="16"/>
          <w:lang w:val="es-ES_tradnl"/>
        </w:rPr>
        <w:tab/>
      </w:r>
      <w:r w:rsidRPr="0017566A">
        <w:rPr>
          <w:rStyle w:val="FootnoteReference"/>
          <w:lang w:val="es-ES_tradnl"/>
        </w:rPr>
        <w:footnoteRef/>
      </w:r>
      <w:r w:rsidRPr="0017566A">
        <w:rPr>
          <w:lang w:val="es-ES_tradnl"/>
        </w:rPr>
        <w:tab/>
        <w:t>Gobierno de Saint Kitts y Nevis, Estimaciones de 2022, vol. 2, pág. 11-4.</w:t>
      </w:r>
    </w:p>
  </w:footnote>
  <w:footnote w:id="19">
    <w:p w14:paraId="7D5E54EC" w14:textId="33597063" w:rsidR="004570E4" w:rsidRPr="0017566A" w:rsidRDefault="004570E4" w:rsidP="00B01A25">
      <w:pPr>
        <w:pStyle w:val="FootnoteText"/>
        <w:widowControl w:val="0"/>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s-ES_tradnl"/>
        </w:rPr>
      </w:pPr>
      <w:r w:rsidRPr="0017566A">
        <w:rPr>
          <w:lang w:val="es-ES_tradnl"/>
        </w:rPr>
        <w:tab/>
      </w:r>
      <w:r w:rsidRPr="0017566A">
        <w:rPr>
          <w:rStyle w:val="FootnoteReference"/>
          <w:lang w:val="es-ES_tradnl"/>
        </w:rPr>
        <w:footnoteRef/>
      </w:r>
      <w:r w:rsidRPr="0017566A">
        <w:rPr>
          <w:lang w:val="es-ES_tradnl"/>
        </w:rPr>
        <w:tab/>
      </w:r>
      <w:hyperlink r:id="rId9" w:history="1">
        <w:r w:rsidRPr="0017566A">
          <w:rPr>
            <w:rStyle w:val="Hyperlink"/>
            <w:u w:val="none"/>
            <w:lang w:val="es-ES_tradnl"/>
          </w:rPr>
          <w:t>https://nia.gov.kn/first-business-boot-camp-completed-gender-minister-proud-of-participants/</w:t>
        </w:r>
      </w:hyperlink>
      <w:r w:rsidRPr="0017566A">
        <w:rPr>
          <w:lang w:val="es-ES_tradnl"/>
        </w:rPr>
        <w:t>[consultado el 9.9.22].</w:t>
      </w:r>
    </w:p>
  </w:footnote>
  <w:footnote w:id="20">
    <w:p w14:paraId="26ECE157" w14:textId="09395C10" w:rsidR="004570E4" w:rsidRPr="0017566A" w:rsidRDefault="004570E4" w:rsidP="00926748">
      <w:pPr>
        <w:pStyle w:val="FootnoteText"/>
        <w:tabs>
          <w:tab w:val="clear" w:pos="418"/>
          <w:tab w:val="right" w:pos="1195"/>
          <w:tab w:val="left" w:pos="1267"/>
          <w:tab w:val="left" w:pos="1742"/>
          <w:tab w:val="left" w:pos="2218"/>
          <w:tab w:val="left" w:pos="2693"/>
        </w:tabs>
        <w:ind w:left="1267" w:right="1267" w:hanging="432"/>
        <w:rPr>
          <w:lang w:val="es-ES_tradnl"/>
        </w:rPr>
      </w:pPr>
      <w:r w:rsidRPr="0017566A">
        <w:rPr>
          <w:lang w:val="es-ES_tradnl"/>
        </w:rPr>
        <w:tab/>
      </w:r>
      <w:r w:rsidRPr="0017566A">
        <w:rPr>
          <w:rStyle w:val="FootnoteReference"/>
          <w:lang w:val="es-ES_tradnl"/>
        </w:rPr>
        <w:footnoteRef/>
      </w:r>
      <w:r w:rsidRPr="0017566A">
        <w:rPr>
          <w:lang w:val="es-ES_tradnl"/>
        </w:rPr>
        <w:tab/>
      </w:r>
      <w:hyperlink r:id="rId10" w:history="1">
        <w:r w:rsidRPr="0017566A">
          <w:rPr>
            <w:rStyle w:val="Hyperlink"/>
            <w:u w:val="none"/>
            <w:lang w:val="es-ES_tradnl"/>
          </w:rPr>
          <w:t>https://www.sknis.gov.kn/2022/03/11/ministry-of-agriculture-provides-platforms-for-female-food-producers-to-succeed</w:t>
        </w:r>
      </w:hyperlink>
      <w:r w:rsidRPr="0017566A">
        <w:rPr>
          <w:lang w:val="es-ES_tradnl"/>
        </w:rPr>
        <w:t>/ [consultado el 9.9.22].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2D09" w14:paraId="5FDF41FF" w14:textId="77777777" w:rsidTr="006A2D09">
      <w:trPr>
        <w:trHeight w:hRule="exact" w:val="864"/>
      </w:trPr>
      <w:tc>
        <w:tcPr>
          <w:tcW w:w="4920" w:type="dxa"/>
          <w:shd w:val="clear" w:color="auto" w:fill="auto"/>
          <w:vAlign w:val="bottom"/>
        </w:tcPr>
        <w:p w14:paraId="0C2D54AC" w14:textId="270213D0" w:rsidR="006A2D09" w:rsidRPr="006A2D09" w:rsidRDefault="006A2D09" w:rsidP="006A2D09">
          <w:pPr>
            <w:pStyle w:val="Header"/>
            <w:spacing w:after="80"/>
            <w:rPr>
              <w:b/>
            </w:rPr>
          </w:pPr>
          <w:r>
            <w:rPr>
              <w:b/>
            </w:rPr>
            <w:fldChar w:fldCharType="begin"/>
          </w:r>
          <w:r>
            <w:rPr>
              <w:b/>
            </w:rPr>
            <w:instrText xml:space="preserve"> DOCVARIABLE "sss1" \* MERGEFORMAT </w:instrText>
          </w:r>
          <w:r>
            <w:rPr>
              <w:b/>
            </w:rPr>
            <w:fldChar w:fldCharType="separate"/>
          </w:r>
          <w:r w:rsidR="00346E2D">
            <w:rPr>
              <w:b/>
            </w:rPr>
            <w:t>CEDAW/C/KNA/RQ/5-9</w:t>
          </w:r>
          <w:r>
            <w:rPr>
              <w:b/>
            </w:rPr>
            <w:fldChar w:fldCharType="end"/>
          </w:r>
        </w:p>
      </w:tc>
      <w:tc>
        <w:tcPr>
          <w:tcW w:w="4920" w:type="dxa"/>
          <w:shd w:val="clear" w:color="auto" w:fill="auto"/>
          <w:vAlign w:val="bottom"/>
        </w:tcPr>
        <w:p w14:paraId="4215F831" w14:textId="77777777" w:rsidR="006A2D09" w:rsidRDefault="006A2D09" w:rsidP="006A2D09">
          <w:pPr>
            <w:pStyle w:val="Header"/>
          </w:pPr>
        </w:p>
      </w:tc>
    </w:tr>
  </w:tbl>
  <w:p w14:paraId="12F3B772" w14:textId="77777777" w:rsidR="006A2D09" w:rsidRPr="006A2D09" w:rsidRDefault="006A2D09" w:rsidP="006A2D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A2D09" w14:paraId="71E0E960" w14:textId="77777777" w:rsidTr="006A2D09">
      <w:trPr>
        <w:trHeight w:hRule="exact" w:val="864"/>
      </w:trPr>
      <w:tc>
        <w:tcPr>
          <w:tcW w:w="4920" w:type="dxa"/>
          <w:shd w:val="clear" w:color="auto" w:fill="auto"/>
          <w:vAlign w:val="bottom"/>
        </w:tcPr>
        <w:p w14:paraId="38D5D71F" w14:textId="77777777" w:rsidR="006A2D09" w:rsidRDefault="006A2D09" w:rsidP="006A2D09">
          <w:pPr>
            <w:pStyle w:val="Header"/>
          </w:pPr>
        </w:p>
      </w:tc>
      <w:tc>
        <w:tcPr>
          <w:tcW w:w="4920" w:type="dxa"/>
          <w:shd w:val="clear" w:color="auto" w:fill="auto"/>
          <w:vAlign w:val="bottom"/>
        </w:tcPr>
        <w:p w14:paraId="7EAA99F3" w14:textId="57F3236D" w:rsidR="006A2D09" w:rsidRPr="006A2D09" w:rsidRDefault="006A2D09" w:rsidP="006A2D09">
          <w:pPr>
            <w:pStyle w:val="Header"/>
            <w:spacing w:after="80"/>
            <w:jc w:val="right"/>
            <w:rPr>
              <w:b/>
            </w:rPr>
          </w:pPr>
          <w:r>
            <w:rPr>
              <w:b/>
            </w:rPr>
            <w:fldChar w:fldCharType="begin"/>
          </w:r>
          <w:r>
            <w:rPr>
              <w:b/>
            </w:rPr>
            <w:instrText xml:space="preserve"> DOCVARIABLE "sss1" \* MERGEFORMAT </w:instrText>
          </w:r>
          <w:r>
            <w:rPr>
              <w:b/>
            </w:rPr>
            <w:fldChar w:fldCharType="separate"/>
          </w:r>
          <w:r w:rsidR="00346E2D">
            <w:rPr>
              <w:b/>
            </w:rPr>
            <w:t>CEDAW/C/KNA/RQ/5-9</w:t>
          </w:r>
          <w:r>
            <w:rPr>
              <w:b/>
            </w:rPr>
            <w:fldChar w:fldCharType="end"/>
          </w:r>
        </w:p>
      </w:tc>
    </w:tr>
  </w:tbl>
  <w:p w14:paraId="5C65E981" w14:textId="77777777" w:rsidR="006A2D09" w:rsidRPr="006A2D09" w:rsidRDefault="006A2D09" w:rsidP="006A2D0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6A2D09" w14:paraId="7106F6E3" w14:textId="77777777" w:rsidTr="006A2D09">
      <w:trPr>
        <w:gridAfter w:val="1"/>
        <w:wAfter w:w="15" w:type="dxa"/>
        <w:trHeight w:hRule="exact" w:val="864"/>
      </w:trPr>
      <w:tc>
        <w:tcPr>
          <w:tcW w:w="1267" w:type="dxa"/>
          <w:tcBorders>
            <w:bottom w:val="single" w:sz="4" w:space="0" w:color="auto"/>
          </w:tcBorders>
          <w:shd w:val="clear" w:color="auto" w:fill="auto"/>
          <w:vAlign w:val="bottom"/>
        </w:tcPr>
        <w:p w14:paraId="2BFACF5E" w14:textId="77777777" w:rsidR="006A2D09" w:rsidRDefault="006A2D09" w:rsidP="006A2D09">
          <w:pPr>
            <w:pStyle w:val="Header"/>
            <w:spacing w:after="120"/>
          </w:pPr>
        </w:p>
      </w:tc>
      <w:tc>
        <w:tcPr>
          <w:tcW w:w="2059" w:type="dxa"/>
          <w:tcBorders>
            <w:bottom w:val="single" w:sz="4" w:space="0" w:color="auto"/>
          </w:tcBorders>
          <w:shd w:val="clear" w:color="auto" w:fill="auto"/>
          <w:vAlign w:val="bottom"/>
        </w:tcPr>
        <w:p w14:paraId="4FF2011F" w14:textId="77777777" w:rsidR="006A2D09" w:rsidRPr="006A2D09" w:rsidRDefault="006A2D09" w:rsidP="006A2D09">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221D00A" w14:textId="77777777" w:rsidR="006A2D09" w:rsidRDefault="006A2D09" w:rsidP="006A2D09">
          <w:pPr>
            <w:pStyle w:val="Header"/>
            <w:spacing w:after="120"/>
          </w:pPr>
        </w:p>
      </w:tc>
      <w:tc>
        <w:tcPr>
          <w:tcW w:w="6480" w:type="dxa"/>
          <w:gridSpan w:val="3"/>
          <w:tcBorders>
            <w:bottom w:val="single" w:sz="4" w:space="0" w:color="auto"/>
          </w:tcBorders>
          <w:shd w:val="clear" w:color="auto" w:fill="auto"/>
          <w:vAlign w:val="bottom"/>
        </w:tcPr>
        <w:p w14:paraId="3636D7F1" w14:textId="77777777" w:rsidR="006A2D09" w:rsidRPr="006A2D09" w:rsidRDefault="006A2D09" w:rsidP="006A2D09">
          <w:pPr>
            <w:spacing w:after="80" w:line="240" w:lineRule="auto"/>
            <w:jc w:val="right"/>
            <w:rPr>
              <w:position w:val="-4"/>
            </w:rPr>
          </w:pPr>
          <w:r>
            <w:rPr>
              <w:position w:val="-4"/>
              <w:sz w:val="40"/>
            </w:rPr>
            <w:t>CEDAW</w:t>
          </w:r>
          <w:r>
            <w:rPr>
              <w:position w:val="-4"/>
            </w:rPr>
            <w:t>/C/KNA/RQ/5-9</w:t>
          </w:r>
        </w:p>
      </w:tc>
    </w:tr>
    <w:tr w:rsidR="006A2D09" w:rsidRPr="006A2D09" w14:paraId="4DBF39F3" w14:textId="77777777" w:rsidTr="006A2D09">
      <w:trPr>
        <w:trHeight w:hRule="exact" w:val="2880"/>
      </w:trPr>
      <w:tc>
        <w:tcPr>
          <w:tcW w:w="1267" w:type="dxa"/>
          <w:tcBorders>
            <w:top w:val="single" w:sz="4" w:space="0" w:color="auto"/>
            <w:bottom w:val="single" w:sz="12" w:space="0" w:color="auto"/>
          </w:tcBorders>
          <w:shd w:val="clear" w:color="auto" w:fill="auto"/>
        </w:tcPr>
        <w:p w14:paraId="333A6777" w14:textId="77777777" w:rsidR="006A2D09" w:rsidRPr="006A2D09" w:rsidRDefault="006A2D09" w:rsidP="006A2D09">
          <w:pPr>
            <w:pStyle w:val="Header"/>
            <w:spacing w:before="120"/>
            <w:jc w:val="center"/>
          </w:pPr>
          <w:r>
            <w:t xml:space="preserve"> </w:t>
          </w:r>
          <w:r>
            <w:drawing>
              <wp:inline distT="0" distB="0" distL="0" distR="0" wp14:anchorId="1AB02A3C" wp14:editId="735107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2A00397" w14:textId="77777777" w:rsidR="006A2D09" w:rsidRPr="006A2D09" w:rsidRDefault="006A2D09" w:rsidP="006A2D09">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FB69D03" w14:textId="77777777" w:rsidR="006A2D09" w:rsidRPr="00F644AB" w:rsidRDefault="006A2D09" w:rsidP="006A2D09">
          <w:pPr>
            <w:pStyle w:val="Header"/>
            <w:spacing w:before="109"/>
            <w:rPr>
              <w:lang w:val="es-ES_tradnl"/>
            </w:rPr>
          </w:pPr>
        </w:p>
      </w:tc>
      <w:tc>
        <w:tcPr>
          <w:tcW w:w="3140" w:type="dxa"/>
          <w:gridSpan w:val="2"/>
          <w:tcBorders>
            <w:top w:val="single" w:sz="4" w:space="0" w:color="auto"/>
            <w:bottom w:val="single" w:sz="12" w:space="0" w:color="auto"/>
          </w:tcBorders>
          <w:shd w:val="clear" w:color="auto" w:fill="auto"/>
        </w:tcPr>
        <w:p w14:paraId="0BB237D0" w14:textId="77777777" w:rsidR="006A2D09" w:rsidRDefault="006A2D09" w:rsidP="006A2D09">
          <w:pPr>
            <w:pStyle w:val="Distribution"/>
            <w:spacing w:before="240"/>
          </w:pPr>
          <w:r>
            <w:t>Distr. general</w:t>
          </w:r>
        </w:p>
        <w:p w14:paraId="4F13D11F" w14:textId="77777777" w:rsidR="006A2D09" w:rsidRDefault="006A2D09" w:rsidP="006A2D09">
          <w:pPr>
            <w:pStyle w:val="Publication"/>
          </w:pPr>
          <w:r>
            <w:t>5 de octubre de 2022</w:t>
          </w:r>
        </w:p>
        <w:p w14:paraId="464A72B2" w14:textId="77777777" w:rsidR="006A2D09" w:rsidRDefault="006A2D09" w:rsidP="006A2D09">
          <w:r>
            <w:t>Español</w:t>
          </w:r>
        </w:p>
        <w:p w14:paraId="311EE7BD" w14:textId="77777777" w:rsidR="006A2D09" w:rsidRDefault="006A2D09" w:rsidP="006A2D09">
          <w:pPr>
            <w:pStyle w:val="Original"/>
          </w:pPr>
          <w:r>
            <w:t>Original: inglés</w:t>
          </w:r>
        </w:p>
        <w:p w14:paraId="09AD05AB" w14:textId="6E82C823" w:rsidR="006A2D09" w:rsidRPr="006A2D09" w:rsidRDefault="00F644AB" w:rsidP="006A2D09">
          <w:r w:rsidRPr="003130A5">
            <w:rPr>
              <w:rFonts w:eastAsia="Times New Roman"/>
              <w:spacing w:val="0"/>
              <w:w w:val="100"/>
            </w:rPr>
            <w:t>Español, francés e inglés únicamente</w:t>
          </w:r>
        </w:p>
      </w:tc>
    </w:tr>
  </w:tbl>
  <w:p w14:paraId="3C1F0E66" w14:textId="77777777" w:rsidR="006A2D09" w:rsidRPr="00F644AB" w:rsidRDefault="006A2D09" w:rsidP="006A2D09">
    <w:pPr>
      <w:pStyle w:val="Header"/>
      <w:rPr>
        <w:sz w:val="2"/>
        <w:lang w:val="es-ES_tradn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475"/>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222786*"/>
    <w:docVar w:name="CreationDt" w:val="25/10/2022 1:05: PM"/>
    <w:docVar w:name="DocCategory" w:val="Doc"/>
    <w:docVar w:name="DocType" w:val="Final"/>
    <w:docVar w:name="DutyStation" w:val="New York"/>
    <w:docVar w:name="FooterJN" w:val="22-22786"/>
    <w:docVar w:name="jobn" w:val="22-22786 (S)"/>
    <w:docVar w:name="jobnDT" w:val="22-22786 (S)   251022"/>
    <w:docVar w:name="jobnDTDT" w:val="22-22786 (S)   251022   251022"/>
    <w:docVar w:name="JobNo" w:val="2222786S"/>
    <w:docVar w:name="JobNo2" w:val="22614821:05: PM"/>
    <w:docVar w:name="LocalDrive" w:val="0"/>
    <w:docVar w:name="OandT" w:val="JMártin/EVarela"/>
    <w:docVar w:name="Session1" w:val="83er período de sesiones_x000d_"/>
    <w:docVar w:name="sss1" w:val="CEDAW/C/KNA/RQ/5-9"/>
    <w:docVar w:name="sss2" w:val="-"/>
    <w:docVar w:name="Symbol1" w:val="CEDAW/C/KNA/RQ/5-9"/>
    <w:docVar w:name="Symbol2" w:val="-"/>
    <w:docVar w:name="Title1" w:val="_x0009__x0009_Respuestas a la lista de cuestiones y preguntas relativa a los informes periódicos quinto a noveno combinados de Saint Kitts y Nevis*,**_x000d_"/>
  </w:docVars>
  <w:rsids>
    <w:rsidRoot w:val="00E31AEE"/>
    <w:rsid w:val="00002584"/>
    <w:rsid w:val="00004671"/>
    <w:rsid w:val="00016A99"/>
    <w:rsid w:val="00017C93"/>
    <w:rsid w:val="00022F6E"/>
    <w:rsid w:val="00023042"/>
    <w:rsid w:val="000301BD"/>
    <w:rsid w:val="0003320E"/>
    <w:rsid w:val="00047E62"/>
    <w:rsid w:val="0005390D"/>
    <w:rsid w:val="00056518"/>
    <w:rsid w:val="0006491F"/>
    <w:rsid w:val="00067B89"/>
    <w:rsid w:val="00071D43"/>
    <w:rsid w:val="000742B1"/>
    <w:rsid w:val="00082144"/>
    <w:rsid w:val="00084E59"/>
    <w:rsid w:val="00094AE4"/>
    <w:rsid w:val="000A7A6E"/>
    <w:rsid w:val="000A7C4B"/>
    <w:rsid w:val="000B09A8"/>
    <w:rsid w:val="000B7E9A"/>
    <w:rsid w:val="000C260F"/>
    <w:rsid w:val="000C627B"/>
    <w:rsid w:val="000D35E3"/>
    <w:rsid w:val="000D668D"/>
    <w:rsid w:val="000D6A38"/>
    <w:rsid w:val="000E2864"/>
    <w:rsid w:val="000E2D2E"/>
    <w:rsid w:val="000F1F99"/>
    <w:rsid w:val="000F2246"/>
    <w:rsid w:val="00101B18"/>
    <w:rsid w:val="00104444"/>
    <w:rsid w:val="00114EE8"/>
    <w:rsid w:val="0011690B"/>
    <w:rsid w:val="00117EA0"/>
    <w:rsid w:val="00120168"/>
    <w:rsid w:val="00122A56"/>
    <w:rsid w:val="0012365A"/>
    <w:rsid w:val="00134FEE"/>
    <w:rsid w:val="00135D35"/>
    <w:rsid w:val="001363BF"/>
    <w:rsid w:val="0014433D"/>
    <w:rsid w:val="00146C6A"/>
    <w:rsid w:val="00147570"/>
    <w:rsid w:val="00151388"/>
    <w:rsid w:val="00153828"/>
    <w:rsid w:val="00156327"/>
    <w:rsid w:val="001563D3"/>
    <w:rsid w:val="001569AC"/>
    <w:rsid w:val="0016053C"/>
    <w:rsid w:val="0016203A"/>
    <w:rsid w:val="0016517D"/>
    <w:rsid w:val="00166A0D"/>
    <w:rsid w:val="001709FE"/>
    <w:rsid w:val="0017566A"/>
    <w:rsid w:val="001A1E16"/>
    <w:rsid w:val="001B0E06"/>
    <w:rsid w:val="001C0D72"/>
    <w:rsid w:val="001D2451"/>
    <w:rsid w:val="001D4ADA"/>
    <w:rsid w:val="001D5969"/>
    <w:rsid w:val="001E4B50"/>
    <w:rsid w:val="00212B48"/>
    <w:rsid w:val="002135F2"/>
    <w:rsid w:val="00236EED"/>
    <w:rsid w:val="002412D6"/>
    <w:rsid w:val="00241B93"/>
    <w:rsid w:val="002478A0"/>
    <w:rsid w:val="0025133C"/>
    <w:rsid w:val="00252060"/>
    <w:rsid w:val="002538E9"/>
    <w:rsid w:val="002600F4"/>
    <w:rsid w:val="00261364"/>
    <w:rsid w:val="00264325"/>
    <w:rsid w:val="00281925"/>
    <w:rsid w:val="00285E64"/>
    <w:rsid w:val="00296B42"/>
    <w:rsid w:val="00296C6A"/>
    <w:rsid w:val="002A0EC5"/>
    <w:rsid w:val="002A5E20"/>
    <w:rsid w:val="002B156D"/>
    <w:rsid w:val="002D1584"/>
    <w:rsid w:val="002E154D"/>
    <w:rsid w:val="002F5300"/>
    <w:rsid w:val="002F78EB"/>
    <w:rsid w:val="00304428"/>
    <w:rsid w:val="00304F75"/>
    <w:rsid w:val="00316504"/>
    <w:rsid w:val="003279FB"/>
    <w:rsid w:val="00327A71"/>
    <w:rsid w:val="003367E0"/>
    <w:rsid w:val="00341E4F"/>
    <w:rsid w:val="00344FB3"/>
    <w:rsid w:val="00346E2D"/>
    <w:rsid w:val="0035575B"/>
    <w:rsid w:val="00356DCA"/>
    <w:rsid w:val="00364AC5"/>
    <w:rsid w:val="00366D21"/>
    <w:rsid w:val="003817EB"/>
    <w:rsid w:val="003849DF"/>
    <w:rsid w:val="0039127C"/>
    <w:rsid w:val="003925BC"/>
    <w:rsid w:val="003931F3"/>
    <w:rsid w:val="00393D7D"/>
    <w:rsid w:val="0039509B"/>
    <w:rsid w:val="003A675A"/>
    <w:rsid w:val="003A7EE3"/>
    <w:rsid w:val="003B24AA"/>
    <w:rsid w:val="003C2E4D"/>
    <w:rsid w:val="003C507C"/>
    <w:rsid w:val="003C527C"/>
    <w:rsid w:val="003C5C57"/>
    <w:rsid w:val="003D096D"/>
    <w:rsid w:val="003D3022"/>
    <w:rsid w:val="003D427E"/>
    <w:rsid w:val="003E0C0E"/>
    <w:rsid w:val="003E7C74"/>
    <w:rsid w:val="003F02DB"/>
    <w:rsid w:val="003F15DB"/>
    <w:rsid w:val="003F2F19"/>
    <w:rsid w:val="003F61E1"/>
    <w:rsid w:val="003F71F4"/>
    <w:rsid w:val="004059E8"/>
    <w:rsid w:val="0040653D"/>
    <w:rsid w:val="00415E1D"/>
    <w:rsid w:val="00420189"/>
    <w:rsid w:val="0042051B"/>
    <w:rsid w:val="00431E47"/>
    <w:rsid w:val="00440781"/>
    <w:rsid w:val="00440C93"/>
    <w:rsid w:val="004570E4"/>
    <w:rsid w:val="0045795D"/>
    <w:rsid w:val="00461D1D"/>
    <w:rsid w:val="00473F9A"/>
    <w:rsid w:val="004776B1"/>
    <w:rsid w:val="00480B84"/>
    <w:rsid w:val="00481248"/>
    <w:rsid w:val="00495F0B"/>
    <w:rsid w:val="004961EE"/>
    <w:rsid w:val="00496CA6"/>
    <w:rsid w:val="004B4FFF"/>
    <w:rsid w:val="004B64F9"/>
    <w:rsid w:val="004C1A25"/>
    <w:rsid w:val="004C5456"/>
    <w:rsid w:val="004D4188"/>
    <w:rsid w:val="004D5396"/>
    <w:rsid w:val="004D7571"/>
    <w:rsid w:val="004E2143"/>
    <w:rsid w:val="004E4A94"/>
    <w:rsid w:val="004F0EA9"/>
    <w:rsid w:val="004F7E3E"/>
    <w:rsid w:val="00511BB1"/>
    <w:rsid w:val="00515991"/>
    <w:rsid w:val="005225EC"/>
    <w:rsid w:val="00525097"/>
    <w:rsid w:val="005349BF"/>
    <w:rsid w:val="005368CB"/>
    <w:rsid w:val="0054110E"/>
    <w:rsid w:val="00541113"/>
    <w:rsid w:val="0054493E"/>
    <w:rsid w:val="00544B47"/>
    <w:rsid w:val="00546B18"/>
    <w:rsid w:val="005509B6"/>
    <w:rsid w:val="00571D6C"/>
    <w:rsid w:val="005735F1"/>
    <w:rsid w:val="005817BE"/>
    <w:rsid w:val="005819A9"/>
    <w:rsid w:val="005854C3"/>
    <w:rsid w:val="005A2C09"/>
    <w:rsid w:val="005A3F8E"/>
    <w:rsid w:val="005A77F0"/>
    <w:rsid w:val="005B618F"/>
    <w:rsid w:val="005C1497"/>
    <w:rsid w:val="005C71FF"/>
    <w:rsid w:val="005E3145"/>
    <w:rsid w:val="005E3F43"/>
    <w:rsid w:val="005E57B5"/>
    <w:rsid w:val="005E621B"/>
    <w:rsid w:val="005E7FF4"/>
    <w:rsid w:val="005F1F5F"/>
    <w:rsid w:val="00603C79"/>
    <w:rsid w:val="00607BE8"/>
    <w:rsid w:val="00620C48"/>
    <w:rsid w:val="00622288"/>
    <w:rsid w:val="006225D5"/>
    <w:rsid w:val="006236FD"/>
    <w:rsid w:val="006327BA"/>
    <w:rsid w:val="00632C10"/>
    <w:rsid w:val="006460E4"/>
    <w:rsid w:val="00646A90"/>
    <w:rsid w:val="00654EDA"/>
    <w:rsid w:val="00657C5A"/>
    <w:rsid w:val="00683EDB"/>
    <w:rsid w:val="00684C8B"/>
    <w:rsid w:val="0068603F"/>
    <w:rsid w:val="00687302"/>
    <w:rsid w:val="00690698"/>
    <w:rsid w:val="00690858"/>
    <w:rsid w:val="00690FBB"/>
    <w:rsid w:val="00692102"/>
    <w:rsid w:val="006A2D09"/>
    <w:rsid w:val="006B0A61"/>
    <w:rsid w:val="006B4A4E"/>
    <w:rsid w:val="006B6AA9"/>
    <w:rsid w:val="006C7DEE"/>
    <w:rsid w:val="006E3DD4"/>
    <w:rsid w:val="006E4A4B"/>
    <w:rsid w:val="006F3466"/>
    <w:rsid w:val="00703106"/>
    <w:rsid w:val="00707929"/>
    <w:rsid w:val="00710493"/>
    <w:rsid w:val="007137AF"/>
    <w:rsid w:val="007155BE"/>
    <w:rsid w:val="0072039F"/>
    <w:rsid w:val="00724628"/>
    <w:rsid w:val="0073025A"/>
    <w:rsid w:val="00731FFD"/>
    <w:rsid w:val="00734BB3"/>
    <w:rsid w:val="007459AE"/>
    <w:rsid w:val="007526FF"/>
    <w:rsid w:val="007531A5"/>
    <w:rsid w:val="00753D8A"/>
    <w:rsid w:val="00754099"/>
    <w:rsid w:val="007648FE"/>
    <w:rsid w:val="00771C9E"/>
    <w:rsid w:val="00771D46"/>
    <w:rsid w:val="00774018"/>
    <w:rsid w:val="007760EF"/>
    <w:rsid w:val="00783685"/>
    <w:rsid w:val="007904EC"/>
    <w:rsid w:val="0079137B"/>
    <w:rsid w:val="007A2CC4"/>
    <w:rsid w:val="007C1EAC"/>
    <w:rsid w:val="007C2ACD"/>
    <w:rsid w:val="007C649F"/>
    <w:rsid w:val="007E0D64"/>
    <w:rsid w:val="0080424E"/>
    <w:rsid w:val="00807B29"/>
    <w:rsid w:val="0082045E"/>
    <w:rsid w:val="008222A3"/>
    <w:rsid w:val="00822636"/>
    <w:rsid w:val="0082736C"/>
    <w:rsid w:val="00830856"/>
    <w:rsid w:val="0083669C"/>
    <w:rsid w:val="00840664"/>
    <w:rsid w:val="00842A4D"/>
    <w:rsid w:val="00852020"/>
    <w:rsid w:val="0086189E"/>
    <w:rsid w:val="00872386"/>
    <w:rsid w:val="0087649B"/>
    <w:rsid w:val="00886017"/>
    <w:rsid w:val="008A40C7"/>
    <w:rsid w:val="008B0A53"/>
    <w:rsid w:val="008B3B5D"/>
    <w:rsid w:val="008B3FC7"/>
    <w:rsid w:val="008C2672"/>
    <w:rsid w:val="008C2D13"/>
    <w:rsid w:val="008D4373"/>
    <w:rsid w:val="008D4EAF"/>
    <w:rsid w:val="008F2FBE"/>
    <w:rsid w:val="008F3462"/>
    <w:rsid w:val="008F3C0A"/>
    <w:rsid w:val="008F617C"/>
    <w:rsid w:val="008F6EAE"/>
    <w:rsid w:val="00901819"/>
    <w:rsid w:val="00903446"/>
    <w:rsid w:val="00906FCB"/>
    <w:rsid w:val="00914AD9"/>
    <w:rsid w:val="009236A2"/>
    <w:rsid w:val="009248F5"/>
    <w:rsid w:val="00926748"/>
    <w:rsid w:val="00935932"/>
    <w:rsid w:val="0093687C"/>
    <w:rsid w:val="009444DF"/>
    <w:rsid w:val="009559A6"/>
    <w:rsid w:val="00955FFA"/>
    <w:rsid w:val="009610A1"/>
    <w:rsid w:val="00970B64"/>
    <w:rsid w:val="00971F7F"/>
    <w:rsid w:val="0097696C"/>
    <w:rsid w:val="00993CB7"/>
    <w:rsid w:val="009B0167"/>
    <w:rsid w:val="009B5020"/>
    <w:rsid w:val="009B693E"/>
    <w:rsid w:val="009B71C5"/>
    <w:rsid w:val="009C6767"/>
    <w:rsid w:val="009D0EE3"/>
    <w:rsid w:val="009D24F1"/>
    <w:rsid w:val="009D5A5A"/>
    <w:rsid w:val="009E7145"/>
    <w:rsid w:val="009F3D83"/>
    <w:rsid w:val="009F4607"/>
    <w:rsid w:val="00A1038C"/>
    <w:rsid w:val="00A145EA"/>
    <w:rsid w:val="00A2494D"/>
    <w:rsid w:val="00A27AEF"/>
    <w:rsid w:val="00A31C1D"/>
    <w:rsid w:val="00A3201A"/>
    <w:rsid w:val="00A34315"/>
    <w:rsid w:val="00A45646"/>
    <w:rsid w:val="00A536A1"/>
    <w:rsid w:val="00A55818"/>
    <w:rsid w:val="00A578F4"/>
    <w:rsid w:val="00A72CF6"/>
    <w:rsid w:val="00A772AD"/>
    <w:rsid w:val="00A8263C"/>
    <w:rsid w:val="00A90866"/>
    <w:rsid w:val="00A9759E"/>
    <w:rsid w:val="00AA06C8"/>
    <w:rsid w:val="00AA2E65"/>
    <w:rsid w:val="00AA7661"/>
    <w:rsid w:val="00AA77B6"/>
    <w:rsid w:val="00AB0B7D"/>
    <w:rsid w:val="00AB7850"/>
    <w:rsid w:val="00AD075C"/>
    <w:rsid w:val="00AD4F88"/>
    <w:rsid w:val="00AD5F2F"/>
    <w:rsid w:val="00AE1E84"/>
    <w:rsid w:val="00AE26CF"/>
    <w:rsid w:val="00AF4336"/>
    <w:rsid w:val="00AF7596"/>
    <w:rsid w:val="00B013BF"/>
    <w:rsid w:val="00B01A25"/>
    <w:rsid w:val="00B114E4"/>
    <w:rsid w:val="00B21BE8"/>
    <w:rsid w:val="00B307FA"/>
    <w:rsid w:val="00B334D9"/>
    <w:rsid w:val="00B33FDC"/>
    <w:rsid w:val="00B35265"/>
    <w:rsid w:val="00B56BDA"/>
    <w:rsid w:val="00B63315"/>
    <w:rsid w:val="00B659E9"/>
    <w:rsid w:val="00B85387"/>
    <w:rsid w:val="00B858D5"/>
    <w:rsid w:val="00BB1EA3"/>
    <w:rsid w:val="00BB462D"/>
    <w:rsid w:val="00BB4ECD"/>
    <w:rsid w:val="00BC1090"/>
    <w:rsid w:val="00BC538B"/>
    <w:rsid w:val="00BC61F4"/>
    <w:rsid w:val="00BD113B"/>
    <w:rsid w:val="00BD34CF"/>
    <w:rsid w:val="00BE3FA0"/>
    <w:rsid w:val="00BF0037"/>
    <w:rsid w:val="00BF2011"/>
    <w:rsid w:val="00C00465"/>
    <w:rsid w:val="00C026EE"/>
    <w:rsid w:val="00C07FF6"/>
    <w:rsid w:val="00C11CCB"/>
    <w:rsid w:val="00C15DC5"/>
    <w:rsid w:val="00C2563D"/>
    <w:rsid w:val="00C26CF3"/>
    <w:rsid w:val="00C32BC2"/>
    <w:rsid w:val="00C33008"/>
    <w:rsid w:val="00C43505"/>
    <w:rsid w:val="00C47826"/>
    <w:rsid w:val="00C5036A"/>
    <w:rsid w:val="00C537CD"/>
    <w:rsid w:val="00C64D51"/>
    <w:rsid w:val="00C66348"/>
    <w:rsid w:val="00C7124B"/>
    <w:rsid w:val="00C7749F"/>
    <w:rsid w:val="00C777AD"/>
    <w:rsid w:val="00C77A00"/>
    <w:rsid w:val="00C82FCC"/>
    <w:rsid w:val="00C9404D"/>
    <w:rsid w:val="00CA099F"/>
    <w:rsid w:val="00CA1BAE"/>
    <w:rsid w:val="00CA2064"/>
    <w:rsid w:val="00CB06FB"/>
    <w:rsid w:val="00CB63C5"/>
    <w:rsid w:val="00CC372F"/>
    <w:rsid w:val="00CC3D5A"/>
    <w:rsid w:val="00CE417C"/>
    <w:rsid w:val="00CF14B8"/>
    <w:rsid w:val="00D0035F"/>
    <w:rsid w:val="00D0296E"/>
    <w:rsid w:val="00D12051"/>
    <w:rsid w:val="00D14790"/>
    <w:rsid w:val="00D21447"/>
    <w:rsid w:val="00D3073B"/>
    <w:rsid w:val="00D30EED"/>
    <w:rsid w:val="00D3562B"/>
    <w:rsid w:val="00D473EB"/>
    <w:rsid w:val="00D61793"/>
    <w:rsid w:val="00D80EFD"/>
    <w:rsid w:val="00D81189"/>
    <w:rsid w:val="00D8322C"/>
    <w:rsid w:val="00D843DB"/>
    <w:rsid w:val="00D870F7"/>
    <w:rsid w:val="00D942B2"/>
    <w:rsid w:val="00DA3DAC"/>
    <w:rsid w:val="00DA617E"/>
    <w:rsid w:val="00DB32F0"/>
    <w:rsid w:val="00DB66DE"/>
    <w:rsid w:val="00DC0273"/>
    <w:rsid w:val="00DC6272"/>
    <w:rsid w:val="00DC7881"/>
    <w:rsid w:val="00DD5701"/>
    <w:rsid w:val="00DE0A2F"/>
    <w:rsid w:val="00DF2173"/>
    <w:rsid w:val="00DF2D19"/>
    <w:rsid w:val="00DF4F8C"/>
    <w:rsid w:val="00E0520F"/>
    <w:rsid w:val="00E06B65"/>
    <w:rsid w:val="00E117BC"/>
    <w:rsid w:val="00E230D3"/>
    <w:rsid w:val="00E30CDF"/>
    <w:rsid w:val="00E31AEE"/>
    <w:rsid w:val="00E32816"/>
    <w:rsid w:val="00E343A6"/>
    <w:rsid w:val="00E42AAD"/>
    <w:rsid w:val="00E443AC"/>
    <w:rsid w:val="00E47A1E"/>
    <w:rsid w:val="00E517AD"/>
    <w:rsid w:val="00E7105F"/>
    <w:rsid w:val="00E71D1E"/>
    <w:rsid w:val="00E818DE"/>
    <w:rsid w:val="00E97E7B"/>
    <w:rsid w:val="00EA1D58"/>
    <w:rsid w:val="00EB229B"/>
    <w:rsid w:val="00EC1C76"/>
    <w:rsid w:val="00EC24B0"/>
    <w:rsid w:val="00ED0E56"/>
    <w:rsid w:val="00ED471D"/>
    <w:rsid w:val="00EE37EC"/>
    <w:rsid w:val="00EE4CEE"/>
    <w:rsid w:val="00EF2DFA"/>
    <w:rsid w:val="00F0704E"/>
    <w:rsid w:val="00F07172"/>
    <w:rsid w:val="00F129FC"/>
    <w:rsid w:val="00F1410F"/>
    <w:rsid w:val="00F241B6"/>
    <w:rsid w:val="00F272D7"/>
    <w:rsid w:val="00F30288"/>
    <w:rsid w:val="00F313F6"/>
    <w:rsid w:val="00F46A86"/>
    <w:rsid w:val="00F5012D"/>
    <w:rsid w:val="00F51853"/>
    <w:rsid w:val="00F562F7"/>
    <w:rsid w:val="00F619A6"/>
    <w:rsid w:val="00F644AB"/>
    <w:rsid w:val="00F70FBE"/>
    <w:rsid w:val="00F73093"/>
    <w:rsid w:val="00F7455C"/>
    <w:rsid w:val="00F74628"/>
    <w:rsid w:val="00F844EE"/>
    <w:rsid w:val="00F873D4"/>
    <w:rsid w:val="00F87679"/>
    <w:rsid w:val="00F92D6C"/>
    <w:rsid w:val="00FA3D05"/>
    <w:rsid w:val="00FA5CC9"/>
    <w:rsid w:val="00FA6CD8"/>
    <w:rsid w:val="00FB0A2C"/>
    <w:rsid w:val="00FB2215"/>
    <w:rsid w:val="00FB30DB"/>
    <w:rsid w:val="00FB6AC8"/>
    <w:rsid w:val="00FB7FC1"/>
    <w:rsid w:val="00FC0635"/>
    <w:rsid w:val="00FC0A53"/>
    <w:rsid w:val="00FC59F1"/>
    <w:rsid w:val="00FD5745"/>
    <w:rsid w:val="00FE1656"/>
    <w:rsid w:val="00FE3C75"/>
    <w:rsid w:val="00FF4F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EFC312D"/>
  <w15:chartTrackingRefBased/>
  <w15:docId w15:val="{9C79FC20-171A-472E-B8F4-A1A6DE04D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68C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368CB"/>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368CB"/>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368CB"/>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5368CB"/>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5368CB"/>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5368CB"/>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368CB"/>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368CB"/>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368CB"/>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368CB"/>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5368CB"/>
    <w:pPr>
      <w:spacing w:line="360" w:lineRule="exact"/>
    </w:pPr>
    <w:rPr>
      <w:spacing w:val="-3"/>
      <w:w w:val="99"/>
      <w:sz w:val="34"/>
    </w:rPr>
  </w:style>
  <w:style w:type="paragraph" w:customStyle="1" w:styleId="H23">
    <w:name w:val="_ H_2/3"/>
    <w:basedOn w:val="H1"/>
    <w:next w:val="SingleTxt"/>
    <w:qFormat/>
    <w:rsid w:val="005368CB"/>
    <w:pPr>
      <w:spacing w:line="240" w:lineRule="exact"/>
      <w:outlineLvl w:val="1"/>
    </w:pPr>
    <w:rPr>
      <w:spacing w:val="2"/>
      <w:sz w:val="20"/>
    </w:rPr>
  </w:style>
  <w:style w:type="paragraph" w:customStyle="1" w:styleId="H4">
    <w:name w:val="_ H_4"/>
    <w:basedOn w:val="Normal"/>
    <w:next w:val="SingleTxt"/>
    <w:qFormat/>
    <w:rsid w:val="005368CB"/>
    <w:pPr>
      <w:keepNext/>
      <w:keepLines/>
      <w:tabs>
        <w:tab w:val="right" w:pos="360"/>
      </w:tabs>
      <w:outlineLvl w:val="3"/>
    </w:pPr>
    <w:rPr>
      <w:i/>
      <w:spacing w:val="3"/>
      <w:kern w:val="14"/>
    </w:rPr>
  </w:style>
  <w:style w:type="paragraph" w:customStyle="1" w:styleId="H56">
    <w:name w:val="_ H_5/6"/>
    <w:basedOn w:val="Normal"/>
    <w:next w:val="Normal"/>
    <w:qFormat/>
    <w:rsid w:val="005368CB"/>
    <w:pPr>
      <w:keepNext/>
      <w:keepLines/>
      <w:tabs>
        <w:tab w:val="right" w:pos="360"/>
      </w:tabs>
      <w:outlineLvl w:val="4"/>
    </w:pPr>
    <w:rPr>
      <w:kern w:val="14"/>
    </w:rPr>
  </w:style>
  <w:style w:type="paragraph" w:customStyle="1" w:styleId="DualTxt">
    <w:name w:val="__Dual Txt"/>
    <w:basedOn w:val="Normal"/>
    <w:qFormat/>
    <w:rsid w:val="005368C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368C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368CB"/>
    <w:pPr>
      <w:spacing w:line="540" w:lineRule="exact"/>
    </w:pPr>
    <w:rPr>
      <w:spacing w:val="-8"/>
      <w:w w:val="96"/>
      <w:sz w:val="57"/>
    </w:rPr>
  </w:style>
  <w:style w:type="paragraph" w:customStyle="1" w:styleId="SS">
    <w:name w:val="__S_S"/>
    <w:basedOn w:val="HCh0"/>
    <w:next w:val="Normal"/>
    <w:qFormat/>
    <w:rsid w:val="005368CB"/>
    <w:pPr>
      <w:ind w:left="1267" w:right="1267"/>
    </w:pPr>
  </w:style>
  <w:style w:type="paragraph" w:customStyle="1" w:styleId="SingleTxt">
    <w:name w:val="__Single Txt"/>
    <w:basedOn w:val="Normal"/>
    <w:link w:val="SingleTxtChar"/>
    <w:qFormat/>
    <w:rsid w:val="005368C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368C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368C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4570E4"/>
    <w:pPr>
      <w:keepNext/>
      <w:keepLines/>
      <w:spacing w:line="240" w:lineRule="exact"/>
      <w:ind w:left="0" w:right="4080" w:firstLine="0"/>
      <w:outlineLvl w:val="1"/>
    </w:pPr>
    <w:rPr>
      <w:sz w:val="20"/>
    </w:rPr>
  </w:style>
  <w:style w:type="paragraph" w:styleId="BalloonText">
    <w:name w:val="Balloon Text"/>
    <w:basedOn w:val="Normal"/>
    <w:link w:val="BalloonTextChar"/>
    <w:semiHidden/>
    <w:rsid w:val="005368CB"/>
    <w:rPr>
      <w:rFonts w:ascii="Tahoma" w:hAnsi="Tahoma" w:cs="Tahoma"/>
      <w:sz w:val="16"/>
      <w:szCs w:val="16"/>
    </w:rPr>
  </w:style>
  <w:style w:type="character" w:customStyle="1" w:styleId="BalloonTextChar">
    <w:name w:val="Balloon Text Char"/>
    <w:basedOn w:val="DefaultParagraphFont"/>
    <w:link w:val="BalloonText"/>
    <w:semiHidden/>
    <w:rsid w:val="005368C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368CB"/>
    <w:pPr>
      <w:numPr>
        <w:numId w:val="1"/>
      </w:numPr>
      <w:spacing w:after="120"/>
      <w:ind w:right="1264"/>
      <w:jc w:val="both"/>
    </w:pPr>
  </w:style>
  <w:style w:type="paragraph" w:customStyle="1" w:styleId="Bullet2">
    <w:name w:val="Bullet 2"/>
    <w:basedOn w:val="Normal"/>
    <w:qFormat/>
    <w:rsid w:val="005368CB"/>
    <w:pPr>
      <w:numPr>
        <w:numId w:val="2"/>
      </w:numPr>
      <w:spacing w:after="120"/>
      <w:ind w:right="1264"/>
      <w:jc w:val="both"/>
    </w:pPr>
  </w:style>
  <w:style w:type="paragraph" w:customStyle="1" w:styleId="Bullet3">
    <w:name w:val="Bullet 3"/>
    <w:basedOn w:val="SingleTxt"/>
    <w:qFormat/>
    <w:rsid w:val="005368C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5368CB"/>
    <w:pPr>
      <w:spacing w:after="80"/>
    </w:pPr>
  </w:style>
  <w:style w:type="character" w:customStyle="1" w:styleId="EndnoteTextChar">
    <w:name w:val="Endnote Text Char"/>
    <w:basedOn w:val="DefaultParagraphFont"/>
    <w:link w:val="EndnoteText"/>
    <w:semiHidden/>
    <w:rsid w:val="005368CB"/>
    <w:rPr>
      <w:rFonts w:ascii="Times New Roman" w:eastAsiaTheme="minorHAnsi" w:hAnsi="Times New Roman" w:cs="Times New Roman"/>
      <w:spacing w:val="5"/>
      <w:w w:val="104"/>
      <w:sz w:val="17"/>
      <w:lang w:val="es-ES" w:eastAsia="en-US"/>
    </w:rPr>
  </w:style>
  <w:style w:type="paragraph" w:styleId="Footer">
    <w:name w:val="footer"/>
    <w:link w:val="FooterChar"/>
    <w:qFormat/>
    <w:rsid w:val="005368C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368CB"/>
    <w:rPr>
      <w:rFonts w:ascii="Times New Roman" w:eastAsiaTheme="minorHAnsi" w:hAnsi="Times New Roman" w:cs="Times New Roman"/>
      <w:b/>
      <w:noProof/>
      <w:sz w:val="17"/>
      <w:lang w:val="en-US" w:eastAsia="en-US"/>
    </w:rPr>
  </w:style>
  <w:style w:type="character" w:styleId="FootnoteReference">
    <w:name w:val="footnote reference"/>
    <w:aliases w:val="4_G"/>
    <w:uiPriority w:val="99"/>
    <w:qFormat/>
    <w:rsid w:val="005368C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368C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368CB"/>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5368C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5368C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368C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368C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368C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5368C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5368C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5368C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368C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368C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368CB"/>
    <w:rPr>
      <w:rFonts w:ascii="Cambria" w:eastAsia="Times New Roman" w:hAnsi="Cambria" w:cs="Times New Roman"/>
      <w:i/>
      <w:iCs/>
      <w:spacing w:val="5"/>
      <w:w w:val="103"/>
      <w:sz w:val="20"/>
      <w:szCs w:val="20"/>
      <w:lang w:val="es-ES" w:eastAsia="en-US"/>
    </w:rPr>
  </w:style>
  <w:style w:type="character" w:styleId="LineNumber">
    <w:name w:val="line number"/>
    <w:qFormat/>
    <w:rsid w:val="005368CB"/>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5368CB"/>
    <w:pPr>
      <w:spacing w:line="240" w:lineRule="auto"/>
    </w:pPr>
  </w:style>
  <w:style w:type="paragraph" w:customStyle="1" w:styleId="Original">
    <w:name w:val="Original"/>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5368CB"/>
    <w:pPr>
      <w:tabs>
        <w:tab w:val="right" w:pos="9965"/>
      </w:tabs>
      <w:spacing w:line="210" w:lineRule="exact"/>
    </w:pPr>
    <w:rPr>
      <w:spacing w:val="5"/>
      <w:w w:val="104"/>
      <w:kern w:val="14"/>
      <w:sz w:val="17"/>
    </w:rPr>
  </w:style>
  <w:style w:type="paragraph" w:customStyle="1" w:styleId="SmallX">
    <w:name w:val="SmallX"/>
    <w:basedOn w:val="Small"/>
    <w:next w:val="Normal"/>
    <w:qFormat/>
    <w:rsid w:val="005368CB"/>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368C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5368CB"/>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5368C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5368CB"/>
    <w:pPr>
      <w:spacing w:line="300" w:lineRule="exact"/>
    </w:pPr>
    <w:rPr>
      <w:spacing w:val="-2"/>
      <w:sz w:val="28"/>
    </w:rPr>
  </w:style>
  <w:style w:type="paragraph" w:styleId="Caption">
    <w:name w:val="caption"/>
    <w:basedOn w:val="Normal"/>
    <w:next w:val="Normal"/>
    <w:uiPriority w:val="35"/>
    <w:semiHidden/>
    <w:unhideWhenUsed/>
    <w:rsid w:val="005368CB"/>
    <w:pPr>
      <w:spacing w:line="240" w:lineRule="auto"/>
    </w:pPr>
    <w:rPr>
      <w:b/>
      <w:bCs/>
      <w:color w:val="4F81BD"/>
      <w:sz w:val="18"/>
      <w:szCs w:val="18"/>
    </w:rPr>
  </w:style>
  <w:style w:type="character" w:styleId="CommentReference">
    <w:name w:val="annotation reference"/>
    <w:semiHidden/>
    <w:rsid w:val="005368CB"/>
    <w:rPr>
      <w:sz w:val="6"/>
    </w:rPr>
  </w:style>
  <w:style w:type="paragraph" w:customStyle="1" w:styleId="HdBanner">
    <w:name w:val="Hd Banner"/>
    <w:basedOn w:val="Normal"/>
    <w:next w:val="Normal"/>
    <w:qFormat/>
    <w:rsid w:val="005368C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368C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368CB"/>
    <w:pPr>
      <w:spacing w:before="240"/>
    </w:pPr>
    <w:rPr>
      <w:b/>
      <w:spacing w:val="-2"/>
      <w:w w:val="100"/>
    </w:rPr>
  </w:style>
  <w:style w:type="paragraph" w:customStyle="1" w:styleId="HdChapterBdLg">
    <w:name w:val="Hd Chapter Bd Lg"/>
    <w:basedOn w:val="HdChapterBD"/>
    <w:next w:val="Normal"/>
    <w:qFormat/>
    <w:rsid w:val="005368CB"/>
    <w:rPr>
      <w:spacing w:val="-3"/>
      <w:w w:val="99"/>
      <w:kern w:val="14"/>
      <w:sz w:val="34"/>
      <w:szCs w:val="34"/>
    </w:rPr>
  </w:style>
  <w:style w:type="paragraph" w:customStyle="1" w:styleId="JournalHeading1">
    <w:name w:val="Journal_Heading1"/>
    <w:basedOn w:val="Normal"/>
    <w:next w:val="Normal"/>
    <w:qFormat/>
    <w:rsid w:val="005368CB"/>
    <w:pPr>
      <w:keepNext/>
      <w:spacing w:before="190" w:line="270" w:lineRule="exact"/>
    </w:pPr>
    <w:rPr>
      <w:b/>
      <w:kern w:val="14"/>
      <w:sz w:val="24"/>
    </w:rPr>
  </w:style>
  <w:style w:type="paragraph" w:customStyle="1" w:styleId="JournalHeading2">
    <w:name w:val="Journal_Heading2"/>
    <w:basedOn w:val="Normal"/>
    <w:next w:val="Normal"/>
    <w:qFormat/>
    <w:rsid w:val="005368CB"/>
    <w:pPr>
      <w:keepNext/>
      <w:keepLines/>
      <w:spacing w:before="240"/>
      <w:outlineLvl w:val="1"/>
    </w:pPr>
    <w:rPr>
      <w:b/>
      <w:spacing w:val="2"/>
      <w:kern w:val="14"/>
    </w:rPr>
  </w:style>
  <w:style w:type="paragraph" w:customStyle="1" w:styleId="JournalHeading4">
    <w:name w:val="Journal_Heading4"/>
    <w:basedOn w:val="Normal"/>
    <w:next w:val="Normal"/>
    <w:qFormat/>
    <w:rsid w:val="005368CB"/>
    <w:pPr>
      <w:keepNext/>
      <w:keepLines/>
      <w:spacing w:before="240"/>
      <w:outlineLvl w:val="3"/>
    </w:pPr>
    <w:rPr>
      <w:i/>
      <w:kern w:val="14"/>
    </w:rPr>
  </w:style>
  <w:style w:type="paragraph" w:customStyle="1" w:styleId="NormalBullet">
    <w:name w:val="Normal Bullet"/>
    <w:basedOn w:val="Normal"/>
    <w:next w:val="Normal"/>
    <w:qFormat/>
    <w:rsid w:val="005368CB"/>
    <w:pPr>
      <w:keepLines/>
      <w:numPr>
        <w:numId w:val="4"/>
      </w:numPr>
      <w:tabs>
        <w:tab w:val="clear" w:pos="2376"/>
        <w:tab w:val="left" w:pos="2218"/>
      </w:tabs>
      <w:spacing w:before="40" w:after="80"/>
      <w:ind w:left="3283" w:right="302" w:hanging="360"/>
    </w:pPr>
    <w:rPr>
      <w:kern w:val="14"/>
    </w:rPr>
  </w:style>
  <w:style w:type="paragraph" w:customStyle="1" w:styleId="NormalSchedule">
    <w:name w:val="Normal Schedule"/>
    <w:basedOn w:val="Normal"/>
    <w:next w:val="Normal"/>
    <w:qFormat/>
    <w:rsid w:val="005368CB"/>
    <w:pPr>
      <w:tabs>
        <w:tab w:val="left" w:leader="dot" w:pos="2218"/>
        <w:tab w:val="left" w:pos="2707"/>
        <w:tab w:val="right" w:leader="dot" w:pos="9835"/>
      </w:tabs>
    </w:pPr>
    <w:rPr>
      <w:kern w:val="14"/>
    </w:rPr>
  </w:style>
  <w:style w:type="paragraph" w:customStyle="1" w:styleId="ReleaseDate0">
    <w:name w:val="ReleaseDate"/>
    <w:next w:val="Footer"/>
    <w:autoRedefine/>
    <w:qFormat/>
    <w:rsid w:val="005368CB"/>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5368CB"/>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single"/>
    </w:rPr>
  </w:style>
  <w:style w:type="character" w:styleId="Hyperlink">
    <w:name w:val="Hyperlink"/>
    <w:basedOn w:val="DefaultParagraphFont"/>
    <w:uiPriority w:val="99"/>
    <w:unhideWhenUsed/>
    <w:rsid w:val="00E818DE"/>
    <w:rPr>
      <w:color w:val="0000FF" w:themeColor="hyperlink"/>
      <w:u w:val="singl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5368CB"/>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6A2D09"/>
    <w:pPr>
      <w:spacing w:line="240" w:lineRule="auto"/>
    </w:pPr>
    <w:rPr>
      <w:szCs w:val="20"/>
    </w:rPr>
  </w:style>
  <w:style w:type="character" w:customStyle="1" w:styleId="CommentTextChar">
    <w:name w:val="Comment Text Char"/>
    <w:basedOn w:val="DefaultParagraphFont"/>
    <w:link w:val="CommentText"/>
    <w:uiPriority w:val="99"/>
    <w:semiHidden/>
    <w:rsid w:val="006A2D09"/>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6A2D09"/>
    <w:rPr>
      <w:b/>
      <w:bCs/>
    </w:rPr>
  </w:style>
  <w:style w:type="character" w:customStyle="1" w:styleId="CommentSubjectChar">
    <w:name w:val="Comment Subject Char"/>
    <w:basedOn w:val="CommentTextChar"/>
    <w:link w:val="CommentSubject"/>
    <w:uiPriority w:val="99"/>
    <w:semiHidden/>
    <w:rsid w:val="006A2D09"/>
    <w:rPr>
      <w:rFonts w:ascii="Times New Roman" w:eastAsiaTheme="minorHAnsi" w:hAnsi="Times New Roman" w:cs="Times New Roman"/>
      <w:b/>
      <w:bCs/>
      <w:spacing w:val="4"/>
      <w:w w:val="103"/>
      <w:sz w:val="20"/>
      <w:szCs w:val="20"/>
      <w:lang w:val="es-ES" w:eastAsia="en-US"/>
    </w:rPr>
  </w:style>
  <w:style w:type="table" w:styleId="TableGrid">
    <w:name w:val="Table Grid"/>
    <w:basedOn w:val="TableNormal"/>
    <w:rsid w:val="004570E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qFormat/>
    <w:rsid w:val="004570E4"/>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4570E4"/>
    <w:rPr>
      <w:rFonts w:ascii="Times New Roman" w:eastAsiaTheme="minorHAnsi" w:hAnsi="Times New Roman" w:cs="Times New Roman"/>
      <w:sz w:val="20"/>
      <w:szCs w:val="20"/>
      <w:lang w:eastAsia="en-US"/>
    </w:rPr>
  </w:style>
  <w:style w:type="character" w:styleId="UnresolvedMention">
    <w:name w:val="Unresolved Mention"/>
    <w:basedOn w:val="DefaultParagraphFont"/>
    <w:uiPriority w:val="99"/>
    <w:semiHidden/>
    <w:unhideWhenUsed/>
    <w:rsid w:val="00603C79"/>
    <w:rPr>
      <w:color w:val="605E5C"/>
      <w:shd w:val="clear" w:color="auto" w:fill="E1DFDD"/>
    </w:rPr>
  </w:style>
  <w:style w:type="paragraph" w:styleId="Revision">
    <w:name w:val="Revision"/>
    <w:hidden/>
    <w:uiPriority w:val="99"/>
    <w:semiHidden/>
    <w:rsid w:val="0014433D"/>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nia.gov.kn/entrepreneurship-fund-for-women-and-youth-launched-by-nevis-island-administration/" TargetMode="External"/><Relationship Id="rId3" Type="http://schemas.openxmlformats.org/officeDocument/2006/relationships/hyperlink" Target="https://www.sknis.gov.kn/2020/02/20/department-of-gender-affairs-salutes-the-temple-for-opening-rehoboth-centre/" TargetMode="External"/><Relationship Id="rId7" Type="http://schemas.openxmlformats.org/officeDocument/2006/relationships/hyperlink" Target="https://www.youtube.com/watch?v=-p-OKMVKidI" TargetMode="External"/><Relationship Id="rId2" Type="http://schemas.openxmlformats.org/officeDocument/2006/relationships/hyperlink" Target="https://www.thestkittsnevisobserver.com/500-cloth-masks-produced-for-the-federations-vulnerable-groups/" TargetMode="External"/><Relationship Id="rId1" Type="http://schemas.openxmlformats.org/officeDocument/2006/relationships/hyperlink" Target="https://www.stats.gov.kn/wp-content/uploads/2017/11/The-COVID-Impact-Tourism-2019-20-April.pdf" TargetMode="External"/><Relationship Id="rId6" Type="http://schemas.openxmlformats.org/officeDocument/2006/relationships/hyperlink" Target="https://www.sknis.gov.kn/2020/12/17/robust-outreach-activities-to-reduce-the-incidence-and-impact-of-ncds-have-realised-significant-returns/" TargetMode="External"/><Relationship Id="rId5" Type="http://schemas.openxmlformats.org/officeDocument/2006/relationships/hyperlink" Target="https://socialsecurity.kn/booklets/%20or%20https:/socialsecurity.kn/wp-content/uploads/2018/05/Things-You-Should-Know-2018.pdf" TargetMode="External"/><Relationship Id="rId10" Type="http://schemas.openxmlformats.org/officeDocument/2006/relationships/hyperlink" Target="https://www.sknis.gov.kn/2022/03/11/ministry-of-agriculture-provides-platforms-for-female-food-producers-to-succeed/" TargetMode="External"/><Relationship Id="rId4" Type="http://schemas.openxmlformats.org/officeDocument/2006/relationships/hyperlink" Target="https://www.youtube.com/watch?v=kJ6NUx3ALe8" TargetMode="External"/><Relationship Id="rId9" Type="http://schemas.openxmlformats.org/officeDocument/2006/relationships/hyperlink" Target="https://nia.gov.kn/first-business-boot-camp-completed-gender-minister-proud-of-participants/"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9997</Words>
  <Characters>56986</Characters>
  <Application>Microsoft Office Word</Application>
  <DocSecurity>0</DocSecurity>
  <Lines>474</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 Martin Bejarano</dc:creator>
  <cp:keywords/>
  <dc:description/>
  <cp:lastModifiedBy>Maria Cristina Arias Bal</cp:lastModifiedBy>
  <cp:revision>3</cp:revision>
  <cp:lastPrinted>2022-10-26T20:26:00Z</cp:lastPrinted>
  <dcterms:created xsi:type="dcterms:W3CDTF">2022-10-26T20:26:00Z</dcterms:created>
  <dcterms:modified xsi:type="dcterms:W3CDTF">2022-10-26T20:26:00Z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2222786</vt:lpwstr>
  </property>
  <property fmtid="{D5CDD505-2E9C-101B-9397-08002B2CF9AE}" pid="3" name="ODSRefJobNo">
    <vt:lpwstr>2261482</vt:lpwstr>
  </property>
  <property fmtid="{D5CDD505-2E9C-101B-9397-08002B2CF9AE}" pid="4" name="Symbol1">
    <vt:lpwstr>CEDAW/C/KNA/RQ/5-9</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2222786S_Quality control of external TR_EDIT_QR Rev.</vt:lpwstr>
  </property>
  <property fmtid="{D5CDD505-2E9C-101B-9397-08002B2CF9AE}" pid="9" name="DraftPages">
    <vt:lpwstr>22</vt:lpwstr>
  </property>
  <property fmtid="{D5CDD505-2E9C-101B-9397-08002B2CF9AE}" pid="10" name="Operator">
    <vt:lpwstr>JMártin</vt:lpwstr>
  </property>
  <property fmtid="{D5CDD505-2E9C-101B-9397-08002B2CF9AE}" pid="11" name="Translator">
    <vt:lpwstr>EVarela</vt:lpwstr>
  </property>
  <property fmtid="{D5CDD505-2E9C-101B-9397-08002B2CF9AE}" pid="12" name="Session1">
    <vt:lpwstr>83er período de sesiones_x000d_</vt:lpwstr>
  </property>
  <property fmtid="{D5CDD505-2E9C-101B-9397-08002B2CF9AE}" pid="13" name="Agenda1">
    <vt:lpwstr>Tema 4 del programa provisional_x000d_</vt:lpwstr>
  </property>
  <property fmtid="{D5CDD505-2E9C-101B-9397-08002B2CF9AE}" pid="14"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5" name="Title1">
    <vt:lpwstr>		Respuestas a la lista de cuestiones y preguntas relativa a los informes periódicos quinto a noveno combinados de Saint Kitts y Nevis*,**_x000d_</vt:lpwstr>
  </property>
</Properties>
</file>