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BD35376" w14:textId="77777777" w:rsidTr="00DD06A1">
        <w:trPr>
          <w:trHeight w:hRule="exact" w:val="851"/>
        </w:trPr>
        <w:tc>
          <w:tcPr>
            <w:tcW w:w="1280" w:type="dxa"/>
            <w:tcBorders>
              <w:bottom w:val="single" w:sz="4" w:space="0" w:color="auto"/>
            </w:tcBorders>
          </w:tcPr>
          <w:p w14:paraId="634E0655" w14:textId="77777777" w:rsidR="002D5AAC" w:rsidRPr="001359DC" w:rsidRDefault="002D5AAC" w:rsidP="00471307">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355D7D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F459789" w14:textId="1C39A747" w:rsidR="002D5AAC" w:rsidRPr="001359DC" w:rsidRDefault="00471307" w:rsidP="00471307">
            <w:pPr>
              <w:jc w:val="right"/>
              <w:rPr>
                <w:lang w:val="es-ES"/>
              </w:rPr>
            </w:pPr>
            <w:r w:rsidRPr="00471307">
              <w:rPr>
                <w:sz w:val="40"/>
                <w:lang w:val="es-ES"/>
              </w:rPr>
              <w:t>A</w:t>
            </w:r>
            <w:r>
              <w:rPr>
                <w:lang w:val="es-ES"/>
              </w:rPr>
              <w:t>/HRC/54/31/</w:t>
            </w:r>
            <w:proofErr w:type="spellStart"/>
            <w:r>
              <w:rPr>
                <w:lang w:val="es-ES"/>
              </w:rPr>
              <w:t>Add.2</w:t>
            </w:r>
            <w:proofErr w:type="spellEnd"/>
          </w:p>
        </w:tc>
      </w:tr>
      <w:tr w:rsidR="002D5AAC" w:rsidRPr="001359DC" w14:paraId="5C4C2599" w14:textId="77777777" w:rsidTr="00DD06A1">
        <w:trPr>
          <w:trHeight w:hRule="exact" w:val="2835"/>
        </w:trPr>
        <w:tc>
          <w:tcPr>
            <w:tcW w:w="1280" w:type="dxa"/>
            <w:tcBorders>
              <w:top w:val="single" w:sz="4" w:space="0" w:color="auto"/>
              <w:bottom w:val="single" w:sz="12" w:space="0" w:color="auto"/>
            </w:tcBorders>
          </w:tcPr>
          <w:p w14:paraId="3535B6E6" w14:textId="77777777" w:rsidR="002D5AAC" w:rsidRPr="001359DC" w:rsidRDefault="002E5067" w:rsidP="0008244E">
            <w:pPr>
              <w:spacing w:before="120"/>
              <w:jc w:val="center"/>
              <w:rPr>
                <w:lang w:val="es-ES"/>
              </w:rPr>
            </w:pPr>
            <w:r w:rsidRPr="001359DC">
              <w:rPr>
                <w:noProof/>
              </w:rPr>
              <w:drawing>
                <wp:inline distT="0" distB="0" distL="0" distR="0" wp14:anchorId="1577A298" wp14:editId="29A54FE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B6780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080A880" w14:textId="77777777" w:rsidR="002D5AAC" w:rsidRDefault="00471307" w:rsidP="0008244E">
            <w:pPr>
              <w:spacing w:before="240"/>
              <w:rPr>
                <w:lang w:val="es-ES"/>
              </w:rPr>
            </w:pPr>
            <w:r>
              <w:rPr>
                <w:lang w:val="es-ES"/>
              </w:rPr>
              <w:t>Distr. general</w:t>
            </w:r>
          </w:p>
          <w:p w14:paraId="4A55EFE9" w14:textId="77777777" w:rsidR="00471307" w:rsidRDefault="00471307" w:rsidP="00471307">
            <w:pPr>
              <w:spacing w:line="240" w:lineRule="exact"/>
              <w:rPr>
                <w:lang w:val="es-ES"/>
              </w:rPr>
            </w:pPr>
            <w:r>
              <w:rPr>
                <w:lang w:val="es-ES"/>
              </w:rPr>
              <w:t>24 de julio de 2023</w:t>
            </w:r>
          </w:p>
          <w:p w14:paraId="6900FB4A" w14:textId="77777777" w:rsidR="00471307" w:rsidRDefault="00471307" w:rsidP="00471307">
            <w:pPr>
              <w:spacing w:line="240" w:lineRule="exact"/>
              <w:rPr>
                <w:lang w:val="es-ES"/>
              </w:rPr>
            </w:pPr>
            <w:r>
              <w:rPr>
                <w:lang w:val="es-ES"/>
              </w:rPr>
              <w:t>Español</w:t>
            </w:r>
          </w:p>
          <w:p w14:paraId="3B26D87E" w14:textId="752678FB" w:rsidR="00471307" w:rsidRPr="001359DC" w:rsidRDefault="00471307" w:rsidP="00471307">
            <w:pPr>
              <w:spacing w:line="240" w:lineRule="exact"/>
              <w:rPr>
                <w:lang w:val="es-ES"/>
              </w:rPr>
            </w:pPr>
            <w:r>
              <w:rPr>
                <w:lang w:val="es-ES"/>
              </w:rPr>
              <w:t>Original: inglés</w:t>
            </w:r>
          </w:p>
        </w:tc>
      </w:tr>
    </w:tbl>
    <w:p w14:paraId="66F8E703" w14:textId="77777777" w:rsidR="00DD06A1" w:rsidRPr="00DD06A1" w:rsidRDefault="00DD06A1" w:rsidP="00DD06A1">
      <w:pPr>
        <w:spacing w:before="120"/>
        <w:rPr>
          <w:b/>
          <w:bCs/>
          <w:sz w:val="32"/>
          <w:szCs w:val="32"/>
        </w:rPr>
      </w:pPr>
      <w:r w:rsidRPr="00DD06A1">
        <w:rPr>
          <w:b/>
          <w:bCs/>
          <w:sz w:val="24"/>
          <w:szCs w:val="24"/>
        </w:rPr>
        <w:t>Consejo de Derechos Humanos</w:t>
      </w:r>
    </w:p>
    <w:p w14:paraId="75C33FDE" w14:textId="77777777" w:rsidR="00DD06A1" w:rsidRPr="009B5A85" w:rsidRDefault="00DD06A1" w:rsidP="00DD06A1">
      <w:pPr>
        <w:tabs>
          <w:tab w:val="right" w:pos="1701"/>
        </w:tabs>
        <w:rPr>
          <w:b/>
          <w:bCs/>
        </w:rPr>
      </w:pPr>
      <w:r>
        <w:rPr>
          <w:b/>
          <w:bCs/>
        </w:rPr>
        <w:t>54º período de sesiones</w:t>
      </w:r>
    </w:p>
    <w:p w14:paraId="5E76296C" w14:textId="77777777" w:rsidR="00DD06A1" w:rsidRPr="00B2791A" w:rsidRDefault="00DD06A1" w:rsidP="00DD06A1">
      <w:pPr>
        <w:tabs>
          <w:tab w:val="right" w:pos="1701"/>
        </w:tabs>
        <w:rPr>
          <w:lang w:val="es-AR"/>
        </w:rPr>
      </w:pPr>
      <w:r>
        <w:t>11 de septiembre a 6 de octubre de 2023</w:t>
      </w:r>
    </w:p>
    <w:p w14:paraId="76200526" w14:textId="77777777" w:rsidR="00DD06A1" w:rsidRPr="009B5A85" w:rsidRDefault="00DD06A1" w:rsidP="00DD06A1">
      <w:pPr>
        <w:tabs>
          <w:tab w:val="right" w:pos="1701"/>
        </w:tabs>
      </w:pPr>
      <w:r>
        <w:t>Tema 3 de la agenda</w:t>
      </w:r>
    </w:p>
    <w:p w14:paraId="457278BE" w14:textId="6A4F6D82" w:rsidR="00DD06A1" w:rsidRPr="007A7FB7" w:rsidRDefault="00DD06A1" w:rsidP="00DD06A1">
      <w:pPr>
        <w:tabs>
          <w:tab w:val="right" w:pos="1701"/>
        </w:tabs>
        <w:rPr>
          <w:b/>
          <w:bCs/>
          <w:lang w:val="es-AR"/>
        </w:rPr>
      </w:pPr>
      <w:r>
        <w:rPr>
          <w:b/>
          <w:bCs/>
        </w:rPr>
        <w:t xml:space="preserve">Promoción y protección de todos los derechos humanos, </w:t>
      </w:r>
      <w:r>
        <w:rPr>
          <w:b/>
          <w:bCs/>
        </w:rPr>
        <w:br/>
      </w:r>
      <w:r>
        <w:rPr>
          <w:b/>
          <w:bCs/>
        </w:rPr>
        <w:t>civiles, políticos, económicos, sociales y culturales,</w:t>
      </w:r>
      <w:r>
        <w:rPr>
          <w:b/>
          <w:bCs/>
        </w:rPr>
        <w:br/>
      </w:r>
      <w:r>
        <w:rPr>
          <w:b/>
          <w:bCs/>
        </w:rPr>
        <w:t>incluido el derecho al desarrollo</w:t>
      </w:r>
    </w:p>
    <w:p w14:paraId="538EE744" w14:textId="77777777" w:rsidR="00DD06A1" w:rsidRPr="00B2791A" w:rsidRDefault="00DD06A1" w:rsidP="00DD06A1">
      <w:pPr>
        <w:pStyle w:val="HChG"/>
        <w:rPr>
          <w:lang w:val="es-AR"/>
        </w:rPr>
      </w:pPr>
      <w:r>
        <w:tab/>
      </w:r>
      <w:r>
        <w:tab/>
        <w:t>Visita al Canadá</w:t>
      </w:r>
    </w:p>
    <w:p w14:paraId="2C4AF82B" w14:textId="77777777" w:rsidR="00DD06A1" w:rsidRPr="00B2791A" w:rsidRDefault="00DD06A1" w:rsidP="00DD06A1">
      <w:pPr>
        <w:pStyle w:val="H1G"/>
        <w:rPr>
          <w:lang w:val="es-AR"/>
        </w:rPr>
      </w:pPr>
      <w:r>
        <w:tab/>
      </w:r>
      <w:r>
        <w:tab/>
        <w:t xml:space="preserve">Informe del Relator Especial sobre los derechos de los Pueblos Indígenas, José Francisco </w:t>
      </w:r>
      <w:proofErr w:type="spellStart"/>
      <w:r>
        <w:t>Calí</w:t>
      </w:r>
      <w:proofErr w:type="spellEnd"/>
      <w:r>
        <w:t xml:space="preserve"> </w:t>
      </w:r>
      <w:proofErr w:type="spellStart"/>
      <w:r>
        <w:t>Tzay</w:t>
      </w:r>
      <w:proofErr w:type="spellEnd"/>
      <w:r w:rsidRPr="00DD06A1">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DD06A1" w14:paraId="35C55FDC" w14:textId="77777777">
        <w:trPr>
          <w:jc w:val="center"/>
        </w:trPr>
        <w:tc>
          <w:tcPr>
            <w:tcW w:w="9637" w:type="dxa"/>
            <w:tcBorders>
              <w:bottom w:val="nil"/>
            </w:tcBorders>
          </w:tcPr>
          <w:p w14:paraId="04290C31" w14:textId="77777777" w:rsidR="00DD06A1" w:rsidRDefault="00DD06A1">
            <w:pPr>
              <w:tabs>
                <w:tab w:val="left" w:pos="255"/>
              </w:tabs>
              <w:spacing w:before="240" w:after="120"/>
              <w:rPr>
                <w:sz w:val="24"/>
              </w:rPr>
            </w:pPr>
            <w:r>
              <w:tab/>
            </w:r>
            <w:proofErr w:type="spellStart"/>
            <w:r>
              <w:rPr>
                <w:i/>
                <w:sz w:val="24"/>
              </w:rPr>
              <w:t>Resumen</w:t>
            </w:r>
            <w:proofErr w:type="spellEnd"/>
          </w:p>
        </w:tc>
      </w:tr>
      <w:tr w:rsidR="00DD06A1" w14:paraId="16D01B72" w14:textId="77777777">
        <w:trPr>
          <w:jc w:val="center"/>
        </w:trPr>
        <w:tc>
          <w:tcPr>
            <w:tcW w:w="9637" w:type="dxa"/>
            <w:tcBorders>
              <w:top w:val="nil"/>
              <w:bottom w:val="nil"/>
            </w:tcBorders>
            <w:shd w:val="clear" w:color="auto" w:fill="auto"/>
          </w:tcPr>
          <w:p w14:paraId="6FFB4D44" w14:textId="4C217FBB" w:rsidR="00DD06A1" w:rsidRPr="00DD06A1" w:rsidRDefault="00DD06A1">
            <w:pPr>
              <w:pStyle w:val="SingleTxtG"/>
              <w:rPr>
                <w:lang w:val="es-ES"/>
              </w:rPr>
            </w:pPr>
            <w:r w:rsidRPr="00DD06A1">
              <w:tab/>
            </w:r>
            <w:r w:rsidRPr="00DD06A1">
              <w:rPr>
                <w:lang w:val="es-ES"/>
              </w:rPr>
              <w:t xml:space="preserve">En el informe se examina la situación de los Pueblos Indígenas en el Canadá a partir de la información recibida por el Relator Especial sobre los derechos de los Pueblos Indígenas, José Francisco </w:t>
            </w:r>
            <w:proofErr w:type="spellStart"/>
            <w:r w:rsidRPr="00DD06A1">
              <w:rPr>
                <w:lang w:val="es-ES"/>
              </w:rPr>
              <w:t>Calí</w:t>
            </w:r>
            <w:proofErr w:type="spellEnd"/>
            <w:r w:rsidRPr="00DD06A1">
              <w:rPr>
                <w:lang w:val="es-ES"/>
              </w:rPr>
              <w:t xml:space="preserve"> </w:t>
            </w:r>
            <w:proofErr w:type="spellStart"/>
            <w:r w:rsidRPr="00DD06A1">
              <w:rPr>
                <w:lang w:val="es-ES"/>
              </w:rPr>
              <w:t>Tzay</w:t>
            </w:r>
            <w:proofErr w:type="spellEnd"/>
            <w:r w:rsidRPr="00DD06A1">
              <w:rPr>
                <w:lang w:val="es-ES"/>
              </w:rPr>
              <w:t>, en la preparación de su visita al país y en el transcurso de esta, que se llevó a cabo del 1 al 10 de marzo de 2023.</w:t>
            </w:r>
          </w:p>
        </w:tc>
      </w:tr>
      <w:tr w:rsidR="00DD06A1" w14:paraId="173DA6E0" w14:textId="77777777">
        <w:trPr>
          <w:jc w:val="center"/>
        </w:trPr>
        <w:tc>
          <w:tcPr>
            <w:tcW w:w="9637" w:type="dxa"/>
            <w:tcBorders>
              <w:top w:val="nil"/>
            </w:tcBorders>
          </w:tcPr>
          <w:p w14:paraId="48B9B410" w14:textId="77777777" w:rsidR="00DD06A1" w:rsidRPr="00DD06A1" w:rsidRDefault="00DD06A1">
            <w:pPr>
              <w:rPr>
                <w:lang w:val="es-ES"/>
              </w:rPr>
            </w:pPr>
          </w:p>
        </w:tc>
      </w:tr>
    </w:tbl>
    <w:p w14:paraId="36BD60C0" w14:textId="250D8A51" w:rsidR="00471307" w:rsidRDefault="00471307">
      <w:pPr>
        <w:spacing w:line="240" w:lineRule="auto"/>
      </w:pPr>
    </w:p>
    <w:p w14:paraId="0A5760E5" w14:textId="0E5AE4D2" w:rsidR="0019647B" w:rsidRDefault="0019647B">
      <w:pPr>
        <w:spacing w:line="240" w:lineRule="auto"/>
      </w:pPr>
      <w:r>
        <w:br w:type="page"/>
      </w:r>
    </w:p>
    <w:p w14:paraId="1D86250A" w14:textId="77777777" w:rsidR="0019647B" w:rsidRPr="0019647B" w:rsidRDefault="0019647B" w:rsidP="0019647B">
      <w:pPr>
        <w:pStyle w:val="HChG"/>
        <w:outlineLvl w:val="0"/>
        <w:rPr>
          <w:lang w:val="en-US"/>
        </w:rPr>
      </w:pPr>
      <w:r w:rsidRPr="0019647B">
        <w:rPr>
          <w:lang w:val="en-US"/>
        </w:rPr>
        <w:lastRenderedPageBreak/>
        <w:t>Annex</w:t>
      </w:r>
    </w:p>
    <w:p w14:paraId="3E47BE1C" w14:textId="77777777" w:rsidR="0019647B" w:rsidRPr="0019647B" w:rsidRDefault="0019647B" w:rsidP="0019647B">
      <w:pPr>
        <w:pStyle w:val="HChG"/>
        <w:outlineLvl w:val="0"/>
        <w:rPr>
          <w:lang w:val="en-US"/>
        </w:rPr>
      </w:pPr>
      <w:r w:rsidRPr="0019647B">
        <w:rPr>
          <w:lang w:val="en-US"/>
        </w:rPr>
        <w:tab/>
      </w:r>
      <w:r w:rsidRPr="0019647B">
        <w:rPr>
          <w:lang w:val="en-US"/>
        </w:rPr>
        <w:tab/>
        <w:t xml:space="preserve">Report of the Special Rapporteur on the rights of Indigenous Peoples, José Francisco </w:t>
      </w:r>
      <w:proofErr w:type="spellStart"/>
      <w:r w:rsidRPr="0019647B">
        <w:rPr>
          <w:lang w:val="en-US"/>
        </w:rPr>
        <w:t>Calí</w:t>
      </w:r>
      <w:proofErr w:type="spellEnd"/>
      <w:r w:rsidRPr="0019647B">
        <w:rPr>
          <w:lang w:val="en-US"/>
        </w:rPr>
        <w:t xml:space="preserve"> </w:t>
      </w:r>
      <w:proofErr w:type="spellStart"/>
      <w:r w:rsidRPr="0019647B">
        <w:rPr>
          <w:lang w:val="en-US"/>
        </w:rPr>
        <w:t>Tzay</w:t>
      </w:r>
      <w:proofErr w:type="spellEnd"/>
      <w:r w:rsidRPr="0019647B">
        <w:rPr>
          <w:lang w:val="en-US"/>
        </w:rPr>
        <w:t>, on his visit to Canada</w:t>
      </w:r>
    </w:p>
    <w:p w14:paraId="61550AF7" w14:textId="77777777" w:rsidR="0019647B" w:rsidRPr="009B5A85" w:rsidRDefault="0019647B" w:rsidP="0019647B">
      <w:pPr>
        <w:pStyle w:val="HChG"/>
        <w:outlineLvl w:val="0"/>
      </w:pPr>
      <w:r w:rsidRPr="0019647B">
        <w:rPr>
          <w:lang w:val="en-US"/>
        </w:rPr>
        <w:tab/>
      </w:r>
      <w:r w:rsidRPr="009B5A85">
        <w:t>I.</w:t>
      </w:r>
      <w:r w:rsidRPr="009B5A85">
        <w:tab/>
      </w:r>
      <w:proofErr w:type="spellStart"/>
      <w:r w:rsidRPr="009B5A85">
        <w:t>Introduction</w:t>
      </w:r>
      <w:proofErr w:type="spellEnd"/>
    </w:p>
    <w:p w14:paraId="16929AE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present report contains a review of the situation of Indigenous Peoples in Canada, based on information received by the Special Rapporteur on the rights of Indigenous Peoples in preparation for and during his country visit, which was conducted from 1 to 10 March 2023, including 290 written submissions. The Special Rapporteur has also </w:t>
      </w:r>
      <w:proofErr w:type="gramStart"/>
      <w:r w:rsidRPr="00BB50D4">
        <w:rPr>
          <w:lang w:val="en-US"/>
        </w:rPr>
        <w:t>taken into account</w:t>
      </w:r>
      <w:proofErr w:type="gramEnd"/>
      <w:r w:rsidRPr="00BB50D4">
        <w:rPr>
          <w:lang w:val="en-US"/>
        </w:rPr>
        <w:t xml:space="preserve"> the observations made by his predecessors in 2004 and 2014,</w:t>
      </w:r>
      <w:r w:rsidRPr="00D26C5A">
        <w:rPr>
          <w:rStyle w:val="Refdenotaalpie"/>
        </w:rPr>
        <w:footnoteReference w:id="2"/>
      </w:r>
      <w:r w:rsidRPr="00BB50D4">
        <w:rPr>
          <w:lang w:val="en-US"/>
        </w:rPr>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114E0683" w14:textId="77777777" w:rsidR="0019647B" w:rsidRPr="009B5A85" w:rsidRDefault="0019647B" w:rsidP="0019647B">
      <w:pPr>
        <w:pStyle w:val="SingleTxtG"/>
        <w:numPr>
          <w:ilvl w:val="0"/>
          <w:numId w:val="35"/>
        </w:numPr>
        <w:tabs>
          <w:tab w:val="right" w:pos="1701"/>
        </w:tabs>
        <w:ind w:left="1134" w:firstLine="0"/>
      </w:pPr>
      <w:r w:rsidRPr="00BB50D4">
        <w:rPr>
          <w:lang w:val="en-US"/>
        </w:rPr>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BB50D4" w:rsidDel="003A19F2">
        <w:rPr>
          <w:lang w:val="en-US"/>
        </w:rPr>
        <w:t xml:space="preserve"> </w:t>
      </w:r>
      <w:r w:rsidRPr="00BB50D4">
        <w:rPr>
          <w:lang w:val="en-US"/>
        </w:rPr>
        <w:t xml:space="preserve">Québec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w:t>
      </w:r>
      <w:r w:rsidRPr="009B5A85">
        <w:t xml:space="preserve">He </w:t>
      </w:r>
      <w:proofErr w:type="spellStart"/>
      <w:r w:rsidRPr="009B5A85">
        <w:t>also</w:t>
      </w:r>
      <w:proofErr w:type="spellEnd"/>
      <w:r w:rsidRPr="009B5A85">
        <w:t xml:space="preserve"> </w:t>
      </w:r>
      <w:proofErr w:type="spellStart"/>
      <w:r w:rsidRPr="009B5A85">
        <w:t>visited</w:t>
      </w:r>
      <w:proofErr w:type="spellEnd"/>
      <w:r w:rsidRPr="009B5A85">
        <w:t xml:space="preserve"> </w:t>
      </w:r>
      <w:proofErr w:type="spellStart"/>
      <w:r w:rsidRPr="009B5A85">
        <w:t>two</w:t>
      </w:r>
      <w:proofErr w:type="spellEnd"/>
      <w:r w:rsidRPr="009B5A85">
        <w:t xml:space="preserve"> federal </w:t>
      </w:r>
      <w:proofErr w:type="spellStart"/>
      <w:r w:rsidRPr="009B5A85">
        <w:t>prisons</w:t>
      </w:r>
      <w:proofErr w:type="spellEnd"/>
      <w:r w:rsidRPr="009B5A85">
        <w:t xml:space="preserve">. </w:t>
      </w:r>
    </w:p>
    <w:p w14:paraId="795C7A98"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Special Rapporteur met with a broad range of First Nations, Inuit and Métis governments, organizations and individuals in Ontario, Québec, Manitoba, Alberta and British Columbia, as well as civil society organizations.</w:t>
      </w:r>
    </w:p>
    <w:p w14:paraId="6BD8237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Special Rapporteur expresses his gratitude to the Government and the Indigenous Peoples of Canada for the cooperation extended to him throughout the visit.</w:t>
      </w:r>
    </w:p>
    <w:p w14:paraId="5DD544A6" w14:textId="77777777" w:rsidR="0019647B" w:rsidRPr="009B5A85" w:rsidRDefault="0019647B" w:rsidP="0019647B">
      <w:pPr>
        <w:pStyle w:val="HChG"/>
        <w:outlineLvl w:val="0"/>
      </w:pPr>
      <w:bookmarkStart w:id="0" w:name="_Toc134715778"/>
      <w:bookmarkStart w:id="1" w:name="_Toc188657250"/>
      <w:bookmarkStart w:id="2" w:name="_Toc705989372"/>
      <w:r w:rsidRPr="00BB50D4">
        <w:rPr>
          <w:lang w:val="en-US"/>
        </w:rPr>
        <w:tab/>
      </w:r>
      <w:r w:rsidRPr="009B5A85">
        <w:t>II.</w:t>
      </w:r>
      <w:r w:rsidRPr="009B5A85">
        <w:tab/>
      </w:r>
      <w:proofErr w:type="spellStart"/>
      <w:r w:rsidRPr="009B5A85">
        <w:t>Institutional</w:t>
      </w:r>
      <w:proofErr w:type="spellEnd"/>
      <w:r w:rsidRPr="009B5A85">
        <w:t xml:space="preserve"> and legal </w:t>
      </w:r>
      <w:proofErr w:type="spellStart"/>
      <w:r w:rsidRPr="009B5A85">
        <w:t>framework</w:t>
      </w:r>
      <w:bookmarkEnd w:id="0"/>
      <w:bookmarkEnd w:id="1"/>
      <w:bookmarkEnd w:id="2"/>
      <w:proofErr w:type="spellEnd"/>
    </w:p>
    <w:p w14:paraId="59B78BF7"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Canada is home to three Indigenous Peoples – First Nations, Métis and Inuit – who are recognized under section 35 of the Constitution of Canada. According to the 2021 Census of Population, approximately 1.8 million persons belong to Indigenous Peoples in Canada, approximately 5 per cent of the country’s population – a 9.4 per cent increase from 2016. Of those, 1,048,405 identified as First Nations, 624,220 as Métis and 70,545 as Inuit.</w:t>
      </w:r>
      <w:r w:rsidRPr="00D26C5A">
        <w:rPr>
          <w:rStyle w:val="Refdenotaalpie"/>
        </w:rPr>
        <w:footnoteReference w:id="3"/>
      </w:r>
      <w:r w:rsidRPr="00BB50D4">
        <w:rPr>
          <w:lang w:val="en-US"/>
        </w:rPr>
        <w:t xml:space="preserve"> There are 634 First Nations in Canada and more than 70 Indigenous languages.</w:t>
      </w:r>
    </w:p>
    <w:p w14:paraId="71815FA4"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 2010, Canada endorsed the United Nations Declaration on the Rights of Indigenous Peoples. It has ratified most international human rights </w:t>
      </w:r>
      <w:proofErr w:type="gramStart"/>
      <w:r w:rsidRPr="00BB50D4">
        <w:rPr>
          <w:lang w:val="en-US"/>
        </w:rPr>
        <w:t>treaties,</w:t>
      </w:r>
      <w:proofErr w:type="gramEnd"/>
      <w:r w:rsidRPr="00BB50D4">
        <w:rPr>
          <w:lang w:val="en-US"/>
        </w:rPr>
        <w:t xml:space="preserve"> however, it has not ratified the Indigenous and Tribal Peoples Convention, 1989 (No. 169) of the International </w:t>
      </w:r>
      <w:proofErr w:type="spellStart"/>
      <w:r w:rsidRPr="00BB50D4">
        <w:rPr>
          <w:lang w:val="en-US"/>
        </w:rPr>
        <w:t>Labour</w:t>
      </w:r>
      <w:proofErr w:type="spellEnd"/>
      <w:r w:rsidRPr="00BB50D4">
        <w:rPr>
          <w:lang w:val="en-US"/>
        </w:rPr>
        <w:t xml:space="preserve"> Organization or the American Convention on Human Rights. </w:t>
      </w:r>
    </w:p>
    <w:p w14:paraId="0B3EF96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constitutional, legislative and judicial framework governing relations with Indigenous Peoples in Canada is set out in the report issued following the 2013 country visit of the Special Rapporteur to Canada. Since 2015, Canada has adopted additional acts and </w:t>
      </w:r>
      <w:r w:rsidRPr="00BB50D4">
        <w:rPr>
          <w:lang w:val="en-US"/>
        </w:rPr>
        <w:lastRenderedPageBreak/>
        <w:t>policies to advance the implementation of modern treaties.</w:t>
      </w:r>
      <w:r w:rsidRPr="00D26C5A">
        <w:rPr>
          <w:rStyle w:val="Refdenotaalpie"/>
        </w:rPr>
        <w:footnoteReference w:id="4"/>
      </w:r>
      <w:r w:rsidRPr="00BB50D4">
        <w:rPr>
          <w:lang w:val="en-US"/>
        </w:rPr>
        <w:t xml:space="preserve"> The Collaborative Modern Treaty Implementation Policy provides direction to federal departments and agencies to ensure timely and effective fulfilment of obligations and objectives in the spirit in which the agreements were signed and with the purpose of strengthening intergovernmental relationships. First Nations without treaties are generally subject to the </w:t>
      </w:r>
      <w:r w:rsidRPr="00BB50D4">
        <w:rPr>
          <w:rFonts w:cstheme="minorHAnsi"/>
          <w:iCs/>
          <w:lang w:val="en-US"/>
        </w:rPr>
        <w:t>Indian Act</w:t>
      </w:r>
      <w:r w:rsidRPr="00BB50D4">
        <w:rPr>
          <w:rFonts w:cstheme="minorHAnsi"/>
          <w:lang w:val="en-US"/>
        </w:rPr>
        <w:t>, R.S.C., 1985, c. I-5</w:t>
      </w:r>
      <w:r w:rsidRPr="00BB50D4">
        <w:rPr>
          <w:lang w:val="en-US"/>
        </w:rPr>
        <w:t>.</w:t>
      </w:r>
    </w:p>
    <w:p w14:paraId="09F2FB1A"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2017, after the Department of Indigenous and Northern Affairs Canada was dissolved. The provinces and territories have jurisdiction, for the most part, over economic and social policies and natural resource use.</w:t>
      </w:r>
    </w:p>
    <w:p w14:paraId="4997D2A3" w14:textId="77777777" w:rsidR="0019647B" w:rsidRPr="00BB50D4" w:rsidRDefault="0019647B" w:rsidP="0019647B">
      <w:pPr>
        <w:pStyle w:val="HChG"/>
        <w:outlineLvl w:val="0"/>
        <w:rPr>
          <w:lang w:val="en-US"/>
        </w:rPr>
      </w:pPr>
      <w:bookmarkStart w:id="3" w:name="_Toc1553276113"/>
      <w:bookmarkStart w:id="4" w:name="_Toc561833741"/>
      <w:bookmarkStart w:id="5" w:name="_Toc134715779"/>
      <w:r w:rsidRPr="00BB50D4">
        <w:rPr>
          <w:lang w:val="en-US"/>
        </w:rPr>
        <w:tab/>
        <w:t>III.</w:t>
      </w:r>
      <w:r w:rsidRPr="00BB50D4">
        <w:rPr>
          <w:lang w:val="en-US"/>
        </w:rPr>
        <w:tab/>
        <w:t>Recent progress in advancing Indigenous Peoples’ rights</w:t>
      </w:r>
      <w:bookmarkEnd w:id="3"/>
      <w:bookmarkEnd w:id="4"/>
      <w:bookmarkEnd w:id="5"/>
    </w:p>
    <w:p w14:paraId="607887E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Since the visit under the mandate in 2013, there have been </w:t>
      </w:r>
      <w:proofErr w:type="gramStart"/>
      <w:r w:rsidRPr="00BB50D4">
        <w:rPr>
          <w:lang w:val="en-US"/>
        </w:rPr>
        <w:t>a number of</w:t>
      </w:r>
      <w:proofErr w:type="gramEnd"/>
      <w:r w:rsidRPr="00BB50D4">
        <w:rPr>
          <w:lang w:val="en-US"/>
        </w:rPr>
        <w:t xml:space="preserve"> positive developments. The Federal Government of Canada, and the provinces and territories, have taken significant steps to engage in meaningful negotiations to transfer governance responsibilities to First Nations, Inuit and Métis authorities in relation to criminal justice, child and family services, health and other areas. The governments signed self-government agreements with three Métis nations, in Alberta, Ontario and Saskatchewan, to negotiate modern day treaties, and have established more than 130 new negotiation tables across the country since 2017 – important steps towards reconciliation and overcoming the negative legacies of colonialism. On 26 June 2014, the Supreme Court of Canada unanimously declared Aboriginal title in the homeland of the Tsilhqot’in Nation. This was the first time that Aboriginal title had been declared by the courts; it has contributed to a new era of recognition of Indigenous rights that is still unfolding.</w:t>
      </w:r>
    </w:p>
    <w:p w14:paraId="0B02E78A"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Canada has worked towards advancing implementation of the United Nations Declaration on the Rights of Indigenous Peoples with federal legislation. On 21 June 2021, the</w:t>
      </w:r>
      <w:r w:rsidRPr="00BB50D4">
        <w:rPr>
          <w:i/>
          <w:iCs/>
          <w:lang w:val="en-US"/>
        </w:rPr>
        <w:t xml:space="preserve"> </w:t>
      </w:r>
      <w:r w:rsidRPr="00BB50D4">
        <w:rPr>
          <w:lang w:val="en-US"/>
        </w:rPr>
        <w:t xml:space="preserve">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2023 and to issue annual progress reports. </w:t>
      </w:r>
    </w:p>
    <w:p w14:paraId="09795035"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Department of Justice released a draft action plan to implement the United Nations Declaration on the Rights of Indigenous Peoples Act on 20 March 2023, after engaging in a series of consultations with First Nations, Métis and Inuit representatives between December 2021 and January 2023. To increase accessibility and inform consultations, the Declaration was translated into Indigenous languages.</w:t>
      </w:r>
      <w:r w:rsidRPr="00D26C5A">
        <w:rPr>
          <w:rStyle w:val="Refdenotaalpie"/>
        </w:rPr>
        <w:footnoteReference w:id="5"/>
      </w:r>
      <w:r w:rsidRPr="00BB50D4">
        <w:rPr>
          <w:lang w:val="en-US"/>
        </w:rPr>
        <w:t xml:space="preserve"> On 21 June 2023, after the Special Rapporteur’s visit was completed, Canada released the final version of the action plan.</w:t>
      </w:r>
    </w:p>
    <w:p w14:paraId="0E06C824"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action plan includes 181 measures for implementing the legislation and the Declaration more generally, including Measure 32, on, inter alia, developing guidance on free, prior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3538BA1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Provinces and territories can develop their own plans and approaches to implementation of the Declaration but, consistent with Canadian principles of federalism, are </w:t>
      </w:r>
      <w:r w:rsidRPr="00BB50D4">
        <w:rPr>
          <w:lang w:val="en-US"/>
        </w:rPr>
        <w:lastRenderedPageBreak/>
        <w:t xml:space="preserve">not required to do so. To date, only the provinces of British Columbia and Québec and the Northwest Territories have undertaken similar initiatives. A 2019 law in British Columbia predates the federal legislation, and in March 2022 the province released its </w:t>
      </w:r>
      <w:r w:rsidRPr="00BB50D4">
        <w:rPr>
          <w:rFonts w:cstheme="minorHAnsi"/>
          <w:color w:val="000000" w:themeColor="text1"/>
          <w:lang w:val="en-US" w:eastAsia="en-CA"/>
        </w:rPr>
        <w:t>Declaration on the Rights of Indigenous Peoples Act Action Plan</w:t>
      </w:r>
      <w:r w:rsidRPr="00BB50D4">
        <w:rPr>
          <w:lang w:val="en-US"/>
        </w:rPr>
        <w:t xml:space="preserve">. The National Assembly of Québec unanimously adopted a motion in October 2019 that supports the principles of the Declaration, but it is not binding on the province. In March 2023, the government of the Northwest Territories introduced in the Legislative Assembly a proposed United Nations Declaration on the Rights of Indigenous Peoples Implementation Act. </w:t>
      </w:r>
    </w:p>
    <w:p w14:paraId="5C48A46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preambular paragraphs of the federal United Nations Declaration on the Rights of Indigenous Peoples Act include a repudiation of the doctrines of discovery and </w:t>
      </w:r>
      <w:r w:rsidRPr="00BB50D4">
        <w:rPr>
          <w:i/>
          <w:iCs/>
          <w:lang w:val="en-US"/>
        </w:rPr>
        <w:t>terra nullius</w:t>
      </w:r>
      <w:r w:rsidRPr="00BB50D4">
        <w:rPr>
          <w:lang w:val="en-US"/>
        </w:rPr>
        <w:t>,</w:t>
      </w:r>
      <w:r w:rsidRPr="00D26C5A">
        <w:rPr>
          <w:rStyle w:val="Refdenotaalpie"/>
        </w:rPr>
        <w:footnoteReference w:id="6"/>
      </w:r>
      <w:r w:rsidRPr="00BB50D4">
        <w:rPr>
          <w:lang w:val="en-US"/>
        </w:rPr>
        <w:t>acknowledging them as</w:t>
      </w:r>
      <w:r w:rsidRPr="00BB50D4">
        <w:rPr>
          <w:rFonts w:cstheme="minorHAnsi"/>
          <w:b/>
          <w:color w:val="00B050"/>
          <w:lang w:val="en-US"/>
        </w:rPr>
        <w:t xml:space="preserve"> </w:t>
      </w:r>
      <w:r w:rsidRPr="00BB50D4">
        <w:rPr>
          <w:rFonts w:cstheme="minorHAnsi"/>
          <w:bCs/>
          <w:lang w:val="en-US"/>
        </w:rPr>
        <w:t>racist, scientifically false, legally invalid, morally condemnable and socially unjust.</w:t>
      </w:r>
      <w:r w:rsidRPr="00BB50D4">
        <w:rPr>
          <w:i/>
          <w:iCs/>
          <w:lang w:val="en-US"/>
        </w:rPr>
        <w:t xml:space="preserve"> </w:t>
      </w:r>
      <w:r w:rsidRPr="00BB50D4">
        <w:rPr>
          <w:lang w:val="en-US"/>
        </w:rPr>
        <w:t xml:space="preserve">Indigenous Peoples repeatedly emphasized the role of the Catholic Church in running the residential school system and in issuing the papal bulls that led to the colonial </w:t>
      </w:r>
      <w:proofErr w:type="gramStart"/>
      <w:r w:rsidRPr="00BB50D4">
        <w:rPr>
          <w:lang w:val="en-US"/>
        </w:rPr>
        <w:t>doctrines, and</w:t>
      </w:r>
      <w:proofErr w:type="gramEnd"/>
      <w:r w:rsidRPr="00BB50D4">
        <w:rPr>
          <w:lang w:val="en-US"/>
        </w:rPr>
        <w:t xml:space="preserve"> urged the Vatican to rescind them. On 30 March 2023 the Holy See issued a statement, in which it declared: “The Catholic Church therefore repudiates those concepts that fail to recognize the inherent human rights of indigenous peoples, including what has become known as the legal and political ‘doctrine of discovery’.”</w:t>
      </w:r>
      <w:r w:rsidRPr="00D26C5A">
        <w:rPr>
          <w:rStyle w:val="Refdenotaalpie"/>
        </w:rPr>
        <w:footnoteReference w:id="7"/>
      </w:r>
      <w:r w:rsidRPr="00BB50D4">
        <w:rPr>
          <w:lang w:val="en-US"/>
        </w:rPr>
        <w:t xml:space="preserve"> The Church also declared its strong support for the United Nations Declaration on the Rights of Indigenous Peoples.</w:t>
      </w:r>
    </w:p>
    <w:p w14:paraId="69D6FFC4"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representative organizations in Canada have urged Canada to establish an independent Indigenous-led human rights commission, tribunal and/or ombudsperson to monitor and enforce the State’s compliance with and progress in implementing the United Nations Declaration on the Rights of Indigenous Peoples Act.</w:t>
      </w:r>
      <w:r w:rsidRPr="00D26C5A">
        <w:rPr>
          <w:rStyle w:val="Refdenotaalpie"/>
        </w:rPr>
        <w:footnoteReference w:id="8"/>
      </w:r>
      <w:r w:rsidRPr="00BB50D4">
        <w:rPr>
          <w:lang w:val="en-US"/>
        </w:rPr>
        <w:t xml:space="preserve"> Accordingly, in Measure 19 of the federal Action Plan, the Government commits to an “Indigenous rights monitoring, oversight, recourse or remedy mechanism”.</w:t>
      </w:r>
    </w:p>
    <w:p w14:paraId="781EFCE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2015, setting out 94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 efforts to identify missing children and unmarked burials, and created the National Advisory Committee on Residential Schools Missing Children and Unmarked Burials to ensure that Indigenous Peoples have access to independent, trusted information and expertise to identify, locate and commemorate their missing children. In 2021, the Government of Canada passed legislation to mark September 30 as the National Day for Truth and Reconciliation to recognize the ongoing impacts of residential schools.</w:t>
      </w:r>
    </w:p>
    <w:p w14:paraId="57DA4AE5" w14:textId="77777777" w:rsidR="0019647B" w:rsidRPr="00BB50D4" w:rsidRDefault="0019647B" w:rsidP="0019647B">
      <w:pPr>
        <w:pStyle w:val="SingleTxtG"/>
        <w:numPr>
          <w:ilvl w:val="0"/>
          <w:numId w:val="35"/>
        </w:numPr>
        <w:tabs>
          <w:tab w:val="right" w:pos="1701"/>
        </w:tabs>
        <w:ind w:left="1134" w:firstLine="0"/>
        <w:rPr>
          <w:lang w:val="en-US"/>
        </w:rPr>
      </w:pPr>
      <w:proofErr w:type="gramStart"/>
      <w:r w:rsidRPr="00BB50D4">
        <w:rPr>
          <w:lang w:val="en-US"/>
        </w:rPr>
        <w:t>A number of</w:t>
      </w:r>
      <w:proofErr w:type="gramEnd"/>
      <w:r w:rsidRPr="00BB50D4">
        <w:rPr>
          <w:lang w:val="en-US"/>
        </w:rPr>
        <w:t xml:space="preserve"> settlement agreements between Canada and Indigenous Peoples have been signed to provide compensation for: Indigenous children taken into care during the “Sixties Scoop”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“Indian hospitals”; and discrimination in policing and corrections.</w:t>
      </w:r>
    </w:p>
    <w:p w14:paraId="6C78069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After the visit in 2013, Canada was called upon to undertake a comprehensive, nationwide inquiry into the situation of missing and murdered Indigenous women and girls.</w:t>
      </w:r>
      <w:r w:rsidRPr="00D26C5A">
        <w:rPr>
          <w:rStyle w:val="Refdenotaalpie"/>
        </w:rPr>
        <w:footnoteReference w:id="9"/>
      </w:r>
      <w:r w:rsidRPr="00BB50D4">
        <w:rPr>
          <w:lang w:val="en-US"/>
        </w:rPr>
        <w:t xml:space="preserve"> </w:t>
      </w:r>
      <w:r w:rsidRPr="00BB50D4">
        <w:rPr>
          <w:lang w:val="en-US"/>
        </w:rPr>
        <w:lastRenderedPageBreak/>
        <w:t xml:space="preserve">In response to the Special Rapporteur’s recommendation, and Call to Action 41 of the Truth and Reconciliation Commission, Canada established the National Inquiry into Missing and Murdered Indigenous Women and Girls. On 3 June 2019, the National Inquiry delivered its final report, </w:t>
      </w:r>
      <w:r w:rsidRPr="00BB50D4">
        <w:rPr>
          <w:i/>
          <w:iCs/>
          <w:lang w:val="en-US"/>
        </w:rPr>
        <w:t>Reclaiming Power and Place</w:t>
      </w:r>
      <w:r w:rsidRPr="00BB50D4">
        <w:rPr>
          <w:lang w:val="en-US"/>
        </w:rPr>
        <w:t>, which set out 231 Calls for Justice directed at governments, institutions, social service providers, industries and the Canadian public.</w:t>
      </w:r>
    </w:p>
    <w:p w14:paraId="53A188B3"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Indigenous Peoples are leading conservation efforts in Canada through the Indigenous Guardian </w:t>
      </w:r>
      <w:proofErr w:type="spellStart"/>
      <w:r w:rsidRPr="00BB50D4">
        <w:rPr>
          <w:lang w:val="en-US"/>
        </w:rPr>
        <w:t>programme</w:t>
      </w:r>
      <w:proofErr w:type="spellEnd"/>
      <w:r w:rsidRPr="00BB50D4">
        <w:rPr>
          <w:lang w:val="en-US"/>
        </w:rPr>
        <w:t xml:space="preserve"> and other initiatives. To further these initiatives, in December 2022, at the fifteenth meeting of the Conference of the Parties to the Convention on Biological Diversity, Canada announced that it would provide Can$ 800 million over seven years for large Indigenous-led conservation projects covering almost 1 million square </w:t>
      </w:r>
      <w:proofErr w:type="spellStart"/>
      <w:r w:rsidRPr="00BB50D4">
        <w:rPr>
          <w:lang w:val="en-US"/>
        </w:rPr>
        <w:t>kilometres</w:t>
      </w:r>
      <w:proofErr w:type="spellEnd"/>
      <w:r w:rsidRPr="00BB50D4">
        <w:rPr>
          <w:lang w:val="en-US"/>
        </w:rPr>
        <w:t xml:space="preserve"> of land.</w:t>
      </w:r>
    </w:p>
    <w:p w14:paraId="77061D8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Finally, Canada has advanced representation of Indigenous Peoples in political and public life at the highest levels by appointing Indigenous women to the office of Governor General and to the Supreme Court of Canada.</w:t>
      </w:r>
    </w:p>
    <w:p w14:paraId="40A8CB52" w14:textId="77777777" w:rsidR="0019647B" w:rsidRPr="009B5A85" w:rsidRDefault="0019647B" w:rsidP="0019647B">
      <w:pPr>
        <w:pStyle w:val="HChG"/>
        <w:outlineLvl w:val="0"/>
      </w:pPr>
      <w:r w:rsidRPr="00BB50D4">
        <w:rPr>
          <w:lang w:val="en-US"/>
        </w:rPr>
        <w:tab/>
      </w:r>
      <w:r w:rsidRPr="009B5A85">
        <w:t>IV.</w:t>
      </w:r>
      <w:r w:rsidRPr="009B5A85">
        <w:tab/>
        <w:t xml:space="preserve">Key </w:t>
      </w:r>
      <w:proofErr w:type="spellStart"/>
      <w:r w:rsidRPr="009B5A85">
        <w:t>challenges</w:t>
      </w:r>
      <w:proofErr w:type="spellEnd"/>
      <w:r w:rsidRPr="009B5A85">
        <w:t xml:space="preserve"> </w:t>
      </w:r>
      <w:proofErr w:type="spellStart"/>
      <w:r w:rsidRPr="009B5A85">
        <w:t>remaining</w:t>
      </w:r>
      <w:proofErr w:type="spellEnd"/>
    </w:p>
    <w:p w14:paraId="268CD0A6" w14:textId="77777777" w:rsidR="0019647B" w:rsidRPr="00BB50D4" w:rsidRDefault="0019647B" w:rsidP="0019647B">
      <w:pPr>
        <w:pStyle w:val="SingleTxtG"/>
        <w:numPr>
          <w:ilvl w:val="0"/>
          <w:numId w:val="35"/>
        </w:numPr>
        <w:tabs>
          <w:tab w:val="right" w:pos="1701"/>
        </w:tabs>
        <w:ind w:left="1134" w:firstLine="0"/>
        <w:rPr>
          <w:lang w:val="en-US"/>
        </w:rPr>
      </w:pPr>
      <w:bookmarkStart w:id="6" w:name="_Toc134715781"/>
      <w:r w:rsidRPr="00BB50D4">
        <w:rPr>
          <w:lang w:val="en-US"/>
        </w:rPr>
        <w:t>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depression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6"/>
      <w:r w:rsidRPr="00BB50D4">
        <w:rPr>
          <w:lang w:val="en-US"/>
        </w:rPr>
        <w:t xml:space="preserve"> </w:t>
      </w:r>
    </w:p>
    <w:p w14:paraId="032D2B34"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lang w:val="en-US"/>
        </w:rPr>
        <w:t xml:space="preserve">The challenges faced by Indigenous Peoples in Canada are all interconnected. The overrepresentation of Indigenous Peoples in the child welfare and correctional systems can lead to addiction, homelessness and becoming missing or murdered. </w:t>
      </w:r>
      <w:proofErr w:type="gramStart"/>
      <w:r w:rsidRPr="00BB50D4">
        <w:rPr>
          <w:lang w:val="en-US"/>
        </w:rPr>
        <w:t>In order to</w:t>
      </w:r>
      <w:proofErr w:type="gramEnd"/>
      <w:r w:rsidRPr="00BB50D4">
        <w:rPr>
          <w:lang w:val="en-US"/>
        </w:rPr>
        <w:t xml:space="preserve"> tackle the issue in an effective manner, the structural racism and intergenerational trauma caused by the residential school experience should be addressed comprehensively.</w:t>
      </w:r>
      <w:r w:rsidRPr="00BB50D4">
        <w:rPr>
          <w:b/>
          <w:bCs/>
          <w:lang w:val="en-US"/>
        </w:rPr>
        <w:t xml:space="preserve"> </w:t>
      </w:r>
    </w:p>
    <w:p w14:paraId="76DF1486" w14:textId="77777777" w:rsidR="0019647B" w:rsidRPr="00BB50D4" w:rsidRDefault="0019647B" w:rsidP="0019647B">
      <w:pPr>
        <w:pStyle w:val="H1G"/>
        <w:outlineLvl w:val="1"/>
        <w:rPr>
          <w:lang w:val="en-US"/>
        </w:rPr>
      </w:pPr>
      <w:r w:rsidRPr="00BB50D4">
        <w:rPr>
          <w:lang w:val="en-US"/>
        </w:rPr>
        <w:tab/>
        <w:t>A.</w:t>
      </w:r>
      <w:r w:rsidRPr="00BB50D4">
        <w:rPr>
          <w:lang w:val="en-US"/>
        </w:rPr>
        <w:tab/>
        <w:t xml:space="preserve">Residential schools and the discovery of unmarked graves </w:t>
      </w:r>
    </w:p>
    <w:p w14:paraId="67234015"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continue to face serious obstacles to achieving full enjoyment of their individual and collective rights. The current human rights situation of Indigenous Peoples in Canada cannot be fully understood without considering the negative</w:t>
      </w:r>
      <w:r w:rsidRPr="00BB50D4">
        <w:rPr>
          <w:b/>
          <w:bCs/>
          <w:lang w:val="en-US"/>
        </w:rPr>
        <w:t xml:space="preserve"> </w:t>
      </w:r>
      <w:r w:rsidRPr="00BB50D4">
        <w:rPr>
          <w:lang w:val="en-US"/>
        </w:rPr>
        <w:t xml:space="preserve">legacy of the Indian residential school system and the intergenerational trauma it created. </w:t>
      </w:r>
    </w:p>
    <w:p w14:paraId="4E5E49A8"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Over 150,000 First Nations, Métis and Inuit children were separated from their families and forced to attend government-funded schools between the </w:t>
      </w:r>
      <w:proofErr w:type="spellStart"/>
      <w:r w:rsidRPr="00BB50D4">
        <w:rPr>
          <w:lang w:val="en-US"/>
        </w:rPr>
        <w:t>1870s</w:t>
      </w:r>
      <w:proofErr w:type="spellEnd"/>
      <w:r w:rsidRPr="00BB50D4">
        <w:rPr>
          <w:lang w:val="en-US"/>
        </w:rPr>
        <w:t xml:space="preserve"> and 1996. The residential school system was characterized as genocide by the Truth and Reconciliation Commission and the National Inquiry into Missing and Murdered Indigenous Women and Girls. The House of Commons unanimously recognized the residential school system as genocide on 27 October 2022, building on the findings of the Commission and the National Inquiry. During his “penitential pilgrimage” to Canada in July 2022, Pope Francis issued an apology at </w:t>
      </w:r>
      <w:proofErr w:type="spellStart"/>
      <w:r w:rsidRPr="00BB50D4">
        <w:rPr>
          <w:lang w:val="en-US"/>
        </w:rPr>
        <w:t>Maskwacis</w:t>
      </w:r>
      <w:proofErr w:type="spellEnd"/>
      <w:r w:rsidRPr="00BB50D4">
        <w:rPr>
          <w:lang w:val="en-US"/>
        </w:rPr>
        <w:t>, Alberta, to survivors for the Catholic Church’s role, pursuant to the Commission’s Call to Action 58, and has acknowledged the residential school system as genocide.</w:t>
      </w:r>
    </w:p>
    <w:p w14:paraId="123C9EA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Survivors shared with the Truth and Reconciliation Commission stories of children who were there one day then disappeared the next, of newborn babies burned in incinerators, and of children being forced to dig the graves of classmates who died.</w:t>
      </w:r>
    </w:p>
    <w:p w14:paraId="3AA03B3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“Indian residential schools”, more appropriately termed “institutions”, were largely hidden in the history of Canada until the 2021 discovery of 215 unmarked graves at a former residential school in Kamloops, British Columbia, which captured the world’s attention. Investigations into unmarked graves and efforts to collect archival information have revealed </w:t>
      </w:r>
      <w:r w:rsidRPr="00BB50D4">
        <w:rPr>
          <w:lang w:val="en-US"/>
        </w:rPr>
        <w:lastRenderedPageBreak/>
        <w:t xml:space="preserve">numerous accounts of Indigenous children who entered residential schools, hospitals and mental health facilities and went missing, often with no information provided to their families. Children were subjected to physical and sexual abuse. Many survivors now live with post-traumatic stress, substance abuse, depression and other mental health issues. Access to information is critical for affected families looking for closure and healing. </w:t>
      </w:r>
    </w:p>
    <w:p w14:paraId="300CD485"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Since the discovery of the unmarked graves at the Kamloops residential school, there has been an alarming rise in denialism among those who reject, misrepresent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2027. This action frustrates education efforts and may obstruct future attempts to collect evidence of physical, sexual and emotional abuse and other criminal wrongdoing, including potential information about the location of unmarked burial sites.</w:t>
      </w:r>
    </w:p>
    <w:p w14:paraId="7741D1D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exhumation and DNA matching.</w:t>
      </w:r>
    </w:p>
    <w:p w14:paraId="331C6260"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negative legacies of colonialism and history of abuse and discrimination have left survivors and their families with a deep mistrust of Canadian institutions. First Nations, Métis and Inuit peoples want to lead the repatriation of the remains of their children in a culturally relevant way with adequate financial support from Canada to cover the costs of forensic investigation, exhumation and/or commemoration, healing and wellness. Additionally, numerous concerns were presented about the 2023 technical arrangement with the International Commission on Missing Persons that Canada reportedly concluded without consulting Indigenous Peoples.</w:t>
      </w:r>
    </w:p>
    <w:p w14:paraId="62F6D01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Canada has taken important steps towards recognition and redress of the abuse and trauma caused by Indian residential schools and day schools. In July 2022,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t>
      </w:r>
      <w:proofErr w:type="gramStart"/>
      <w:r w:rsidRPr="00BB50D4">
        <w:rPr>
          <w:lang w:val="en-US"/>
        </w:rPr>
        <w:t>with regard to</w:t>
      </w:r>
      <w:proofErr w:type="gramEnd"/>
      <w:r w:rsidRPr="00BB50D4">
        <w:rPr>
          <w:lang w:val="en-US"/>
        </w:rPr>
        <w:t xml:space="preserve"> Catholic and other church-run institutions and residential schools established by provinces, and the claims of Métis survivors and their families. Some survivors who suffered severe trauma were not emotionally prepared to present claims by the Government’s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319B0789" w14:textId="77777777" w:rsidR="0019647B" w:rsidRPr="009B5A85" w:rsidRDefault="0019647B" w:rsidP="0019647B">
      <w:pPr>
        <w:pStyle w:val="H1G"/>
        <w:outlineLvl w:val="1"/>
      </w:pPr>
      <w:r w:rsidRPr="00BB50D4">
        <w:rPr>
          <w:lang w:val="en-US"/>
        </w:rPr>
        <w:tab/>
      </w:r>
      <w:r w:rsidRPr="009B5A85">
        <w:t>B.</w:t>
      </w:r>
      <w:r w:rsidRPr="009B5A85">
        <w:tab/>
        <w:t xml:space="preserve">Child </w:t>
      </w:r>
      <w:proofErr w:type="spellStart"/>
      <w:r w:rsidRPr="009B5A85">
        <w:t>welfare</w:t>
      </w:r>
      <w:proofErr w:type="spellEnd"/>
      <w:r w:rsidRPr="009B5A85">
        <w:t xml:space="preserve"> </w:t>
      </w:r>
      <w:proofErr w:type="spellStart"/>
      <w:r w:rsidRPr="009B5A85">
        <w:t>system</w:t>
      </w:r>
      <w:proofErr w:type="spellEnd"/>
    </w:p>
    <w:p w14:paraId="237CD72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forced removal of Indigenous children from their families continues, as children are placed in foster care or adopted, often off-reserve, reproducing the negative impacts of residential schools.</w:t>
      </w:r>
      <w:r w:rsidRPr="00D26C5A">
        <w:rPr>
          <w:rStyle w:val="Refdenotaalpie"/>
        </w:rPr>
        <w:footnoteReference w:id="10"/>
      </w:r>
      <w:r w:rsidRPr="00BB50D4">
        <w:rPr>
          <w:lang w:val="en-US"/>
        </w:rPr>
        <w:t xml:space="preserve"> Despite comprising 7.7 per cent of the Canadian population, 53.8 per cent of children in foster care are Indigenous;</w:t>
      </w:r>
      <w:r w:rsidRPr="00D26C5A">
        <w:rPr>
          <w:rStyle w:val="Refdenotaalpie"/>
        </w:rPr>
        <w:footnoteReference w:id="11"/>
      </w:r>
      <w:r w:rsidRPr="00BB50D4">
        <w:rPr>
          <w:lang w:val="en-US"/>
        </w:rPr>
        <w:t xml:space="preserve"> the figure is as high as 90 per cent in some provinces. Entering the child welfare system increases the risk of incarceration and of becoming murdered or missing. Indigenous youth, who make up 8 per cent of the population </w:t>
      </w:r>
      <w:r w:rsidRPr="00BB50D4">
        <w:rPr>
          <w:lang w:val="en-US"/>
        </w:rPr>
        <w:lastRenderedPageBreak/>
        <w:t>in Canada, accounted for 50 per cent of youth incarceration.</w:t>
      </w:r>
      <w:r w:rsidRPr="00D26C5A">
        <w:rPr>
          <w:rStyle w:val="Refdenotaalpie"/>
        </w:rPr>
        <w:footnoteReference w:id="12"/>
      </w:r>
      <w:r w:rsidRPr="00BB50D4">
        <w:rPr>
          <w:lang w:val="en-US"/>
        </w:rPr>
        <w:t xml:space="preserve"> The majority of children in care are placed with non-Indigenous families, which can result in children losing their language, culture, identity and family ties.</w:t>
      </w:r>
    </w:p>
    <w:p w14:paraId="0757D35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Often the decision to place Indigenous children in foster care is due to a lack of adequate housing; poorly researched and ill-defined reasons for placement; racial discrimination;</w:t>
      </w:r>
      <w:r w:rsidRPr="00BB50D4">
        <w:rPr>
          <w:b/>
          <w:bCs/>
          <w:lang w:val="en-US"/>
        </w:rPr>
        <w:t xml:space="preserve"> </w:t>
      </w:r>
      <w:r w:rsidRPr="00BB50D4">
        <w:rPr>
          <w:lang w:val="en-US"/>
        </w:rPr>
        <w:t>disparities in funding and quality of child services for Indigenous children; and lack of respect for the Nation-to-Nation relationship with Indigenous Peoples. Those concerns have been previously noted by the Special Rapporteur and treaty bodies.</w:t>
      </w:r>
      <w:r w:rsidRPr="00D26C5A">
        <w:rPr>
          <w:rStyle w:val="Refdenotaalpie"/>
        </w:rPr>
        <w:footnoteReference w:id="13"/>
      </w:r>
    </w:p>
    <w:p w14:paraId="4F5332A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Assembly of First Nations and the First Nations Child and Family Caring Society of Canada filed a complaint before the Canadian Human Rights Commission in 2007</w:t>
      </w:r>
      <w:r w:rsidRPr="00D26C5A">
        <w:rPr>
          <w:rStyle w:val="Refdenotaalpie"/>
        </w:rPr>
        <w:footnoteReference w:id="14"/>
      </w:r>
      <w:r w:rsidRPr="00BB50D4">
        <w:rPr>
          <w:lang w:val="en-US"/>
        </w:rPr>
        <w:t xml:space="preserve"> alleging that the Government of Canada discriminated in the provision of child and family services by underfunding services to First Nations on reserves and in the Yukon territory. In 2016, the Canadian Human Rights Tribunal found that the chronic underfunding of on-reserve child and family services and the refusal of Canada to pay for essential health care was discriminatory and a violation of Jordan’s Principle to provide services for Indigenous Peoples regardless of where they live.</w:t>
      </w:r>
      <w:r w:rsidRPr="00D26C5A">
        <w:rPr>
          <w:rStyle w:val="Refdenotaalpie"/>
        </w:rPr>
        <w:footnoteReference w:id="15"/>
      </w:r>
      <w:r w:rsidRPr="00BB50D4">
        <w:rPr>
          <w:lang w:val="en-US"/>
        </w:rPr>
        <w:t xml:space="preserve"> The Tribunal ordered Canada to cease its discriminatory practices, reform the child and family services </w:t>
      </w:r>
      <w:proofErr w:type="spellStart"/>
      <w:r w:rsidRPr="00BB50D4">
        <w:rPr>
          <w:lang w:val="en-US"/>
        </w:rPr>
        <w:t>programme</w:t>
      </w:r>
      <w:proofErr w:type="spellEnd"/>
      <w:r w:rsidRPr="00BB50D4">
        <w:rPr>
          <w:lang w:val="en-US"/>
        </w:rPr>
        <w:t xml:space="preserve"> and take immediate action to fully implement Jordan’s Principle. In 2019 the Tribunal ordered Canada to pay compensation to individual victims and their families. After announcing agreements in principle in January 2022, the parties finally reached a revised settlement agreement in April 2023 of Can$ 23.4 billion to compensate victims and caregivers of the underfunded First Nations child-welfare system. The agreement is awaiting approval from the Tribunal and the Federal Court. </w:t>
      </w:r>
    </w:p>
    <w:p w14:paraId="45CA20A8"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 January 2020, Bill C-92, entitled: “An Act respecting First Nations, Inuit and Métis children, youth and families”, became law, recognizing the inherent right of Indigenous Peoples to self-governance over child welfare and reassigning the provision of such services to Indigenous Peoples in coordination with the federal, provincial and territorial governments. The law is intended to address the overrepresentation of Indigenous children in care, to help Indigenous children maintain ties with their families, communities and culture, and to affirm the inherent right of self-government, thus contributing to the implementation of the United Nations Declaration on the Rights of Indigenous Peoples. Since the statute came into force, 10 communities of Indigenous Peoples </w:t>
      </w:r>
      <w:bookmarkStart w:id="7" w:name="_Hlk140756953"/>
      <w:r w:rsidRPr="00BB50D4">
        <w:rPr>
          <w:lang w:val="en-US"/>
        </w:rPr>
        <w:t xml:space="preserve">have passed their own child and family services laws </w:t>
      </w:r>
      <w:bookmarkEnd w:id="7"/>
      <w:r w:rsidRPr="00BB50D4">
        <w:rPr>
          <w:lang w:val="en-US"/>
        </w:rPr>
        <w:t>under the framework of the legislation. However, the fate of the Act remains uncertain, as the province of Québec appealed its constitutionality before the Supreme Court of Canada.</w:t>
      </w:r>
      <w:r w:rsidRPr="00D26C5A">
        <w:rPr>
          <w:rStyle w:val="Refdenotaalpie"/>
        </w:rPr>
        <w:footnoteReference w:id="16"/>
      </w:r>
      <w:r w:rsidRPr="00BB50D4">
        <w:rPr>
          <w:lang w:val="en-US"/>
        </w:rPr>
        <w:t xml:space="preserve"> </w:t>
      </w:r>
    </w:p>
    <w:p w14:paraId="7653A285"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lang w:val="en-US"/>
        </w:rPr>
        <w:t xml:space="preserve">First Nations, Métis and Inuit peoples must be able to decide for themselves what happens to their children in accordance with their culture and their inherent right to self-determination over their internal affairs, </w:t>
      </w:r>
      <w:proofErr w:type="gramStart"/>
      <w:r w:rsidRPr="00BB50D4">
        <w:rPr>
          <w:lang w:val="en-US"/>
        </w:rPr>
        <w:t>at all times</w:t>
      </w:r>
      <w:proofErr w:type="gramEnd"/>
      <w:r w:rsidRPr="00BB50D4">
        <w:rPr>
          <w:lang w:val="en-US"/>
        </w:rPr>
        <w:t xml:space="preserve"> keeping in mind the best interests of the child.</w:t>
      </w:r>
      <w:r w:rsidRPr="00D26C5A">
        <w:rPr>
          <w:rStyle w:val="Refdenotaalpie"/>
        </w:rPr>
        <w:footnoteReference w:id="17"/>
      </w:r>
    </w:p>
    <w:p w14:paraId="018ED230" w14:textId="77777777" w:rsidR="0019647B" w:rsidRPr="00BB50D4" w:rsidRDefault="0019647B" w:rsidP="0019647B">
      <w:pPr>
        <w:pStyle w:val="H1G"/>
        <w:outlineLvl w:val="1"/>
        <w:rPr>
          <w:lang w:val="en-US"/>
        </w:rPr>
      </w:pPr>
      <w:r w:rsidRPr="00BB50D4">
        <w:rPr>
          <w:lang w:val="en-US"/>
        </w:rPr>
        <w:lastRenderedPageBreak/>
        <w:tab/>
        <w:t>C.</w:t>
      </w:r>
      <w:r w:rsidRPr="00BB50D4">
        <w:rPr>
          <w:lang w:val="en-US"/>
        </w:rPr>
        <w:tab/>
      </w:r>
      <w:r w:rsidRPr="00BB50D4">
        <w:rPr>
          <w:lang w:val="en-US"/>
        </w:rPr>
        <w:tab/>
        <w:t xml:space="preserve">Missing and murdered Indigenous women and girls </w:t>
      </w:r>
    </w:p>
    <w:p w14:paraId="5F22374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Native Women’s Association of Canada found that at least 4,000 Indigenous women and girls had been murdered or disappeared in recent decades,</w:t>
      </w:r>
      <w:r w:rsidRPr="00D26C5A">
        <w:rPr>
          <w:rStyle w:val="Refdenotaalpie"/>
        </w:rPr>
        <w:footnoteReference w:id="18"/>
      </w:r>
      <w:r w:rsidRPr="00BB50D4">
        <w:rPr>
          <w:lang w:val="en-US"/>
        </w:rPr>
        <w:t xml:space="preserve"> and the National Inquiry into Missing and Murdered Indigenous Women and Girls has characterized the situation as an ongoing genocide.</w:t>
      </w:r>
      <w:r w:rsidRPr="00D26C5A">
        <w:rPr>
          <w:rStyle w:val="Refdenotaalpie"/>
        </w:rPr>
        <w:footnoteReference w:id="19"/>
      </w:r>
      <w:r w:rsidRPr="00BB50D4">
        <w:rPr>
          <w:lang w:val="en-US"/>
        </w:rPr>
        <w:t xml:space="preserve"> According to Statistics Canada, almost two thirds of Indigenous women have experienced physical or sexual violence in their lifetime.</w:t>
      </w:r>
      <w:r w:rsidRPr="00D26C5A">
        <w:rPr>
          <w:rStyle w:val="Refdenotaalpie"/>
        </w:rPr>
        <w:footnoteReference w:id="20"/>
      </w:r>
      <w:r w:rsidRPr="00BB50D4">
        <w:rPr>
          <w:lang w:val="en-US"/>
        </w:rPr>
        <w:t xml:space="preserve"> The homicide rate for Indigenous women in 2020 was more than five times higher than that of non-Indigenous women,</w:t>
      </w:r>
      <w:r w:rsidRPr="00D26C5A">
        <w:rPr>
          <w:rStyle w:val="Refdenotaalpie"/>
        </w:rPr>
        <w:footnoteReference w:id="21"/>
      </w:r>
      <w:r w:rsidRPr="00BB50D4">
        <w:rPr>
          <w:lang w:val="en-US"/>
        </w:rPr>
        <w:t xml:space="preserve"> and a recent study found that 50 per cent of women and girls who were trafficked in Canada were Indigenous.</w:t>
      </w:r>
      <w:r w:rsidRPr="00D26C5A">
        <w:rPr>
          <w:rStyle w:val="Refdenotaalpie"/>
        </w:rPr>
        <w:footnoteReference w:id="22"/>
      </w:r>
      <w:r w:rsidRPr="00BB50D4">
        <w:rPr>
          <w:lang w:val="en-US"/>
        </w:rPr>
        <w:t xml:space="preserve"> As the Special Rapporteur on violence against women, its causes and consequences, stated following her visit to Canada, Indigenous women are disadvantaged within their societies and at the national level. They face marginalization, exclusion and poverty because of institutional, systemic, multiple and intersecting forms of discrimination that have not been addressed adequately by the State.</w:t>
      </w:r>
      <w:r w:rsidRPr="00D26C5A">
        <w:rPr>
          <w:rStyle w:val="Refdenotaalpie"/>
        </w:rPr>
        <w:footnoteReference w:id="23"/>
      </w:r>
    </w:p>
    <w:p w14:paraId="3EB08A32"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Numerous United Nations treaty monitoring bodies</w:t>
      </w:r>
      <w:r w:rsidRPr="00D26C5A">
        <w:rPr>
          <w:rStyle w:val="Refdenotaalpie"/>
        </w:rPr>
        <w:footnoteReference w:id="24"/>
      </w:r>
      <w:r w:rsidRPr="00BB50D4">
        <w:rPr>
          <w:lang w:val="en-US"/>
        </w:rPr>
        <w:t xml:space="preserve"> and special procedure mandate holders</w:t>
      </w:r>
      <w:r w:rsidRPr="00D26C5A">
        <w:rPr>
          <w:rStyle w:val="Refdenotaalpie"/>
        </w:rPr>
        <w:footnoteReference w:id="25"/>
      </w:r>
      <w:r w:rsidRPr="00BB50D4">
        <w:rPr>
          <w:lang w:val="en-US"/>
        </w:rPr>
        <w:t xml:space="preserve"> have commented on this epidemic, including </w:t>
      </w:r>
      <w:proofErr w:type="gramStart"/>
      <w:r w:rsidRPr="00BB50D4">
        <w:rPr>
          <w:lang w:val="en-US"/>
        </w:rPr>
        <w:t>with regard to</w:t>
      </w:r>
      <w:proofErr w:type="gramEnd"/>
      <w:r w:rsidRPr="00BB50D4">
        <w:rPr>
          <w:lang w:val="en-US"/>
        </w:rPr>
        <w:t xml:space="preserve"> the low number of cases reported to police, the insufficiency of shelters and other protective measures, the failure to effectively investigate, prosecute and convict perpetrators and the lack of data collection.</w:t>
      </w:r>
      <w:r w:rsidRPr="00D26C5A">
        <w:rPr>
          <w:rStyle w:val="Refdenotaalpie"/>
        </w:rPr>
        <w:footnoteReference w:id="26"/>
      </w:r>
      <w:r w:rsidRPr="00BB50D4">
        <w:rPr>
          <w:lang w:val="en-US"/>
        </w:rPr>
        <w:t xml:space="preserve"> </w:t>
      </w:r>
    </w:p>
    <w:p w14:paraId="15B283D2"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are calling for the full implementation of the 231 Calls for Justice issued by the National Inquiry into Missing and Murdered Indigenous Women and Girls. While some initiatives are under way, many of the Calls for Justice have not been addressed.</w:t>
      </w:r>
      <w:r w:rsidRPr="00D26C5A">
        <w:rPr>
          <w:rStyle w:val="Refdenotaalpie"/>
        </w:rPr>
        <w:footnoteReference w:id="27"/>
      </w:r>
      <w:r w:rsidRPr="00BB50D4">
        <w:rPr>
          <w:lang w:val="en-US"/>
        </w:rPr>
        <w:t xml:space="preserve"> Despite the findings of the Royal Commission on Aboriginal Peoples (published in 1996), the Truth and Reconciliation Commission (published in 2015), and the National Inquiry (published in 2019), the number of missing and murdered Indigenous women and girls continues to increase, and domestic and other violence against Indigenous women and girls increased during the coronavirus disease (COVID-19) pandemic.</w:t>
      </w:r>
      <w:r w:rsidRPr="00D26C5A">
        <w:rPr>
          <w:rStyle w:val="Refdenotaalpie"/>
        </w:rPr>
        <w:footnoteReference w:id="28"/>
      </w:r>
      <w:r w:rsidRPr="00BB50D4">
        <w:rPr>
          <w:lang w:val="en-US"/>
        </w:rPr>
        <w:t xml:space="preserve"> T</w:t>
      </w:r>
      <w:r w:rsidRPr="00BB50D4" w:rsidDel="039233BF">
        <w:rPr>
          <w:lang w:val="en-US"/>
        </w:rPr>
        <w:t>he National Inquiry found</w:t>
      </w:r>
      <w:r w:rsidRPr="00BB50D4">
        <w:rPr>
          <w:lang w:val="en-US"/>
        </w:rPr>
        <w:t xml:space="preserve"> that</w:t>
      </w:r>
      <w:r w:rsidRPr="00BB50D4" w:rsidDel="039233BF">
        <w:rPr>
          <w:lang w:val="en-US"/>
        </w:rPr>
        <w:t xml:space="preserve"> violence increased </w:t>
      </w:r>
      <w:r w:rsidRPr="00BB50D4">
        <w:rPr>
          <w:lang w:val="en-US"/>
        </w:rPr>
        <w:t>with</w:t>
      </w:r>
      <w:r w:rsidRPr="00BB50D4" w:rsidDel="039233BF">
        <w:rPr>
          <w:lang w:val="en-US"/>
        </w:rPr>
        <w:t xml:space="preserve"> t</w:t>
      </w:r>
      <w:r w:rsidRPr="00BB50D4">
        <w:rPr>
          <w:lang w:val="en-US"/>
        </w:rPr>
        <w:t>he presence of work camps providing temporary housing for employees of extraction projects located near Indigenous lands.</w:t>
      </w:r>
      <w:r w:rsidRPr="00D26C5A">
        <w:rPr>
          <w:rStyle w:val="Refdenotaalpie"/>
        </w:rPr>
        <w:footnoteReference w:id="29"/>
      </w:r>
      <w:r w:rsidRPr="00BB50D4">
        <w:rPr>
          <w:lang w:val="en-US"/>
        </w:rPr>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7C77D917"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Late in 2020, the Federal Government announced Can</w:t>
      </w:r>
      <w:r w:rsidRPr="00BB50D4" w:rsidDel="28917C3C">
        <w:rPr>
          <w:lang w:val="en-US"/>
        </w:rPr>
        <w:t>$</w:t>
      </w:r>
      <w:r w:rsidRPr="00BB50D4">
        <w:rPr>
          <w:lang w:val="en-US"/>
        </w:rPr>
        <w:t xml:space="preserve"> 724.1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2SLGBTQQIA+ People and announced the investment of Can$ 2.2 billion over five years and Can$ 160.9 million per year ongoing to end violence against Indigenous women, girls and </w:t>
      </w:r>
      <w:r w:rsidRPr="00BB50D4">
        <w:rPr>
          <w:lang w:val="en-US"/>
        </w:rPr>
        <w:lastRenderedPageBreak/>
        <w:t>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systems and implementation committees.</w:t>
      </w:r>
    </w:p>
    <w:p w14:paraId="1CD04457" w14:textId="77777777" w:rsidR="0019647B" w:rsidRPr="00BB50D4" w:rsidRDefault="0019647B" w:rsidP="0019647B">
      <w:pPr>
        <w:pStyle w:val="H1G"/>
        <w:outlineLvl w:val="1"/>
        <w:rPr>
          <w:lang w:val="en-US"/>
        </w:rPr>
      </w:pPr>
      <w:r w:rsidRPr="00BB50D4">
        <w:rPr>
          <w:lang w:val="en-US"/>
        </w:rPr>
        <w:tab/>
        <w:t>D.</w:t>
      </w:r>
      <w:r w:rsidRPr="00BB50D4">
        <w:rPr>
          <w:lang w:val="en-US"/>
        </w:rPr>
        <w:tab/>
        <w:t>Gender-based discrimination in the Indian Act</w:t>
      </w:r>
    </w:p>
    <w:p w14:paraId="7CDA702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Currently, the Federal Government has authority under section 6 of the Indian Act to determine who has First Nations status, forcibly shaping the identities of Indigenous Peoples. The Act’s</w:t>
      </w:r>
      <w:r w:rsidRPr="00BB50D4">
        <w:rPr>
          <w:i/>
          <w:iCs/>
          <w:lang w:val="en-US"/>
        </w:rPr>
        <w:t xml:space="preserve"> </w:t>
      </w:r>
      <w:r w:rsidRPr="00BB50D4">
        <w:rPr>
          <w:lang w:val="en-US"/>
        </w:rPr>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630E85DA" w14:textId="77777777" w:rsidR="0019647B" w:rsidRPr="00BB50D4" w:rsidRDefault="0019647B" w:rsidP="0019647B">
      <w:pPr>
        <w:pStyle w:val="SingleTxtG"/>
        <w:numPr>
          <w:ilvl w:val="0"/>
          <w:numId w:val="35"/>
        </w:numPr>
        <w:tabs>
          <w:tab w:val="right" w:pos="1701"/>
        </w:tabs>
        <w:ind w:left="1134" w:firstLine="0"/>
        <w:rPr>
          <w:b/>
          <w:bCs/>
          <w:i/>
          <w:iCs/>
          <w:lang w:val="en-US"/>
        </w:rPr>
      </w:pPr>
      <w:proofErr w:type="gramStart"/>
      <w:r w:rsidRPr="00BB50D4">
        <w:rPr>
          <w:lang w:val="en-US"/>
        </w:rPr>
        <w:t>A number of</w:t>
      </w:r>
      <w:proofErr w:type="gramEnd"/>
      <w:r w:rsidRPr="00BB50D4">
        <w:rPr>
          <w:lang w:val="en-US"/>
        </w:rPr>
        <w:t xml:space="preserve"> amendments to the Indian Act were made in response to court challenges in 1985, 2010 and 2017 in an attempt to rectify the gender discrimination. The Parliamentary Budget Officer had estimated that the 2017 amendment (Bill S-3)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2019,</w:t>
      </w:r>
      <w:r w:rsidRPr="00D26C5A">
        <w:rPr>
          <w:rStyle w:val="Refdenotaalpie"/>
        </w:rPr>
        <w:footnoteReference w:id="30"/>
      </w:r>
      <w:r w:rsidRPr="00BB50D4">
        <w:rPr>
          <w:lang w:val="en-US"/>
        </w:rPr>
        <w:t xml:space="preserve"> the Human Rights Committee held that the current provisions of the Indian Act and its amendments violated the right to equal protection under the law and discriminated based on sex</w:t>
      </w:r>
      <w:r w:rsidRPr="00D26C5A">
        <w:rPr>
          <w:rStyle w:val="Refdenotaalpie"/>
        </w:rPr>
        <w:footnoteReference w:id="31"/>
      </w:r>
      <w:r w:rsidRPr="00BB50D4">
        <w:rPr>
          <w:lang w:val="en-US"/>
        </w:rPr>
        <w:t xml:space="preserve"> and the right to culture.</w:t>
      </w:r>
      <w:r w:rsidRPr="00D26C5A">
        <w:rPr>
          <w:rStyle w:val="Refdenotaalpie"/>
        </w:rPr>
        <w:footnoteReference w:id="32"/>
      </w:r>
      <w:r w:rsidRPr="00BB50D4">
        <w:rPr>
          <w:vertAlign w:val="superscript"/>
          <w:lang w:val="en-US"/>
        </w:rPr>
        <w:t>,</w:t>
      </w:r>
      <w:r w:rsidRPr="00D26C5A">
        <w:rPr>
          <w:rStyle w:val="Refdenotaalpie"/>
        </w:rPr>
        <w:footnoteReference w:id="33"/>
      </w:r>
    </w:p>
    <w:p w14:paraId="3F31E0D3" w14:textId="77777777" w:rsidR="0019647B" w:rsidRPr="00BB50D4" w:rsidRDefault="0019647B" w:rsidP="0019647B">
      <w:pPr>
        <w:pStyle w:val="H1G"/>
        <w:outlineLvl w:val="1"/>
        <w:rPr>
          <w:lang w:val="en-US"/>
        </w:rPr>
      </w:pPr>
      <w:r w:rsidRPr="00BB50D4">
        <w:rPr>
          <w:lang w:val="en-US"/>
        </w:rPr>
        <w:tab/>
        <w:t>E.</w:t>
      </w:r>
      <w:r w:rsidRPr="00BB50D4">
        <w:rPr>
          <w:lang w:val="en-US"/>
        </w:rPr>
        <w:tab/>
        <w:t>Overincarceration and access to justice</w:t>
      </w:r>
    </w:p>
    <w:p w14:paraId="778AD65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50 per cent of federally incarcerated women in Canada, even though they make up less than 4 per cent of the country’s population.</w:t>
      </w:r>
      <w:r w:rsidRPr="00D26C5A">
        <w:rPr>
          <w:rStyle w:val="Refdenotaalpie"/>
        </w:rPr>
        <w:footnoteReference w:id="34"/>
      </w:r>
      <w:r w:rsidRPr="00BB50D4">
        <w:rPr>
          <w:lang w:val="en-US"/>
        </w:rPr>
        <w:t xml:space="preserve"> The Special Rapporteur heard that in some provinces the numbers are as high as 80 per cent. The Committee on the Rights of the Child noted that in Canada, Indigenous youth were more likely to be involved in the criminal justice system than to graduate from high school.</w:t>
      </w:r>
      <w:r w:rsidRPr="00D26C5A">
        <w:rPr>
          <w:rStyle w:val="Refdenotaalpie"/>
        </w:rPr>
        <w:footnoteReference w:id="35"/>
      </w:r>
    </w:p>
    <w:p w14:paraId="244CCF33"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are disproportionately held in higher-security settings and have limited access to education, training and culturally appropriate and responsive rehabilitative programming.</w:t>
      </w:r>
      <w:r w:rsidRPr="00D26C5A">
        <w:rPr>
          <w:rStyle w:val="Refdenotaalpie"/>
        </w:rPr>
        <w:footnoteReference w:id="36"/>
      </w:r>
      <w:r w:rsidRPr="00BB50D4">
        <w:rPr>
          <w:lang w:val="en-US"/>
        </w:rPr>
        <w:t xml:space="preserve"> They are also more likely to be classified as a higher security risk, receive longer sentences and are frequently subjected to the use of force, isolation and segregation.</w:t>
      </w:r>
      <w:r w:rsidRPr="00D26C5A">
        <w:rPr>
          <w:rStyle w:val="Refdenotaalpie"/>
        </w:rPr>
        <w:footnoteReference w:id="37"/>
      </w:r>
      <w:r w:rsidRPr="00BB50D4">
        <w:rPr>
          <w:lang w:val="en-US"/>
        </w:rPr>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informed that the institution did not provide specific accommodations for two-spirited, lesbian, gay, bisexual, trans and gender-diverse prisoners.</w:t>
      </w:r>
    </w:p>
    <w:p w14:paraId="31B58F0D"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lastRenderedPageBreak/>
        <w:t xml:space="preserve">Concerns remain over the use of segregation, as almost half of prisoners held in isolation, as </w:t>
      </w:r>
      <w:proofErr w:type="gramStart"/>
      <w:r w:rsidRPr="00BB50D4">
        <w:rPr>
          <w:lang w:val="en-US"/>
        </w:rPr>
        <w:t>at</w:t>
      </w:r>
      <w:proofErr w:type="gramEnd"/>
      <w:r w:rsidRPr="00BB50D4">
        <w:rPr>
          <w:lang w:val="en-US"/>
        </w:rPr>
        <w:t xml:space="preserve"> 22 August 2021, were Indigenous.</w:t>
      </w:r>
      <w:r w:rsidRPr="00D26C5A">
        <w:rPr>
          <w:rStyle w:val="Refdenotaalpie"/>
        </w:rPr>
        <w:footnoteReference w:id="38"/>
      </w:r>
      <w:r w:rsidRPr="00BB50D4">
        <w:rPr>
          <w:lang w:val="en-US"/>
        </w:rPr>
        <w:t xml:space="preserve"> The Federal Government officially abolished solitary confinement in November 2019 after provincial courts declared it unconstitutional, and replaced it with a new system comprised of structured intervention units. However, such units are being used more often and for longer than the maximum periods </w:t>
      </w:r>
      <w:r w:rsidRPr="00BB50D4">
        <w:rPr>
          <w:rFonts w:cstheme="minorHAnsi"/>
          <w:color w:val="000000" w:themeColor="text1"/>
          <w:lang w:val="en-US" w:eastAsia="en-CA"/>
        </w:rPr>
        <w:t>outlined in the United Nations Standard Minimum Rules for the Treatment of Prisoners (the Nelson Mandela Rules)</w:t>
      </w:r>
      <w:r w:rsidRPr="00BB50D4">
        <w:rPr>
          <w:lang w:val="en-US"/>
        </w:rPr>
        <w:t>. An oversight panel</w:t>
      </w:r>
      <w:r w:rsidRPr="00D26C5A">
        <w:rPr>
          <w:rStyle w:val="Refdenotaalpie"/>
        </w:rPr>
        <w:footnoteReference w:id="39"/>
      </w:r>
      <w:r w:rsidRPr="00BB50D4">
        <w:rPr>
          <w:lang w:val="en-US"/>
        </w:rPr>
        <w:t xml:space="preserve"> found that isolated prisoners routinely were out of their cells for less than four hours</w:t>
      </w:r>
      <w:r w:rsidRPr="00BB50D4">
        <w:rPr>
          <w:b/>
          <w:bCs/>
          <w:lang w:val="en-US"/>
        </w:rPr>
        <w:t xml:space="preserve"> </w:t>
      </w:r>
      <w:r w:rsidRPr="00BB50D4">
        <w:rPr>
          <w:lang w:val="en-US"/>
        </w:rPr>
        <w:t>per day.</w:t>
      </w:r>
      <w:r w:rsidRPr="00D26C5A">
        <w:rPr>
          <w:rStyle w:val="Refdenotaalpie"/>
        </w:rPr>
        <w:footnoteReference w:id="40"/>
      </w:r>
    </w:p>
    <w:p w14:paraId="1D3DB00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National Inquiry into Missing and Murdered Indigenous Women and Girls identified several inequalities experienced by Indigenous Peoples in relation to policing, justice, and corrections, </w:t>
      </w:r>
      <w:proofErr w:type="gramStart"/>
      <w:r w:rsidRPr="00BB50D4">
        <w:rPr>
          <w:lang w:val="en-US"/>
        </w:rPr>
        <w:t>including:</w:t>
      </w:r>
      <w:proofErr w:type="gramEnd"/>
      <w:r w:rsidRPr="00BB50D4">
        <w:rPr>
          <w:lang w:val="en-US"/>
        </w:rPr>
        <w:t xml:space="preserve"> delays in court proceedings; discrimination and inequalities; discrediting of victim’s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BB50D4">
        <w:rPr>
          <w:lang w:val="en-US"/>
        </w:rPr>
        <w:t>overpolicing</w:t>
      </w:r>
      <w:proofErr w:type="spellEnd"/>
      <w:r w:rsidRPr="00BB50D4">
        <w:rPr>
          <w:lang w:val="en-US"/>
        </w:rPr>
        <w:t xml:space="preserve"> of Indigenous Peoples, coupled with a lack of diversity and representation of Indigenous Peoples in the legal system, including among members of law enforcement, judges and lawyers, has significantly contributed to their overincarceration. </w:t>
      </w:r>
    </w:p>
    <w:p w14:paraId="6297C3C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Government of Canada has responded to these inequalities by instituting the Aboriginal Justice Strategy that currently has provided for 110 Indigenous justice </w:t>
      </w:r>
      <w:proofErr w:type="spellStart"/>
      <w:r w:rsidRPr="00BB50D4">
        <w:rPr>
          <w:lang w:val="en-US"/>
        </w:rPr>
        <w:t>programmes</w:t>
      </w:r>
      <w:proofErr w:type="spellEnd"/>
      <w:r w:rsidRPr="00BB50D4">
        <w:rPr>
          <w:lang w:val="en-US"/>
        </w:rPr>
        <w:t xml:space="preserve"> serving nearly 400 Indigenous communities across Canada. This bottom-up approach recognizes Indigenous Peoples’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733DA591"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lang w:val="en-US"/>
        </w:rPr>
        <w:t>Other positive developments include the 2022 Criminal Code amendments to address systemic racism and the overincarceration of Indigenous Peoples.</w:t>
      </w:r>
      <w:r w:rsidRPr="00D26C5A">
        <w:rPr>
          <w:rStyle w:val="Refdenotaalpie"/>
        </w:rPr>
        <w:footnoteReference w:id="41"/>
      </w:r>
      <w:r w:rsidRPr="00BB50D4">
        <w:rPr>
          <w:lang w:val="en-US"/>
        </w:rPr>
        <w:t xml:space="preserve"> Bill C-5 provides for the removal of mandatory minimum sentences for some offences that disproportionately affect Indigenous Peoples and brings back conditional sentences as an alternative to incarceration.</w:t>
      </w:r>
      <w:r w:rsidRPr="00D26C5A">
        <w:rPr>
          <w:rStyle w:val="Refdenotaalpie"/>
        </w:rPr>
        <w:footnoteReference w:id="42"/>
      </w:r>
      <w:r w:rsidRPr="00BB50D4">
        <w:rPr>
          <w:lang w:val="en-US"/>
        </w:rPr>
        <w:t xml:space="preserve"> Furthermore, the decision of the Supreme Court in </w:t>
      </w:r>
      <w:r w:rsidRPr="00BB50D4">
        <w:rPr>
          <w:i/>
          <w:iCs/>
          <w:lang w:val="en-US"/>
        </w:rPr>
        <w:t xml:space="preserve">R. v. </w:t>
      </w:r>
      <w:proofErr w:type="spellStart"/>
      <w:r w:rsidRPr="00BB50D4">
        <w:rPr>
          <w:i/>
          <w:iCs/>
          <w:lang w:val="en-US"/>
        </w:rPr>
        <w:t>Gladue</w:t>
      </w:r>
      <w:proofErr w:type="spellEnd"/>
      <w:r w:rsidRPr="00BB50D4">
        <w:rPr>
          <w:lang w:val="en-US"/>
        </w:rPr>
        <w:t xml:space="preserve"> requires judges to consider the background circumstances of Indigenous offenders prior to sentencing. However, reports submitted to provide such background, known as </w:t>
      </w:r>
      <w:proofErr w:type="spellStart"/>
      <w:r w:rsidRPr="00BB50D4">
        <w:rPr>
          <w:lang w:val="en-US"/>
        </w:rPr>
        <w:t>Gladue</w:t>
      </w:r>
      <w:proofErr w:type="spellEnd"/>
      <w:r w:rsidRPr="00BB50D4">
        <w:rPr>
          <w:lang w:val="en-US"/>
        </w:rPr>
        <w:t xml:space="preserve"> reports, remain poorly understood and sometimes serve to reinforce stereotypes. </w:t>
      </w:r>
    </w:p>
    <w:p w14:paraId="1F059F71"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lang w:val="en-US"/>
        </w:rPr>
        <w:t>Section 81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81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35C27DF4"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As a good practice, the Samson Cree Nation is developing a treaty-based restorative justice system known as </w:t>
      </w:r>
      <w:proofErr w:type="spellStart"/>
      <w:r w:rsidRPr="00BB50D4">
        <w:rPr>
          <w:i/>
          <w:iCs/>
          <w:lang w:val="en-US"/>
        </w:rPr>
        <w:t>Pamihowin</w:t>
      </w:r>
      <w:proofErr w:type="spellEnd"/>
      <w:r w:rsidRPr="00BB50D4">
        <w:rPr>
          <w:lang w:val="en-US"/>
        </w:rPr>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0166D38F" w14:textId="77777777" w:rsidR="0019647B" w:rsidRPr="00BB50D4" w:rsidRDefault="0019647B" w:rsidP="0019647B">
      <w:pPr>
        <w:pStyle w:val="H1G"/>
        <w:outlineLvl w:val="1"/>
        <w:rPr>
          <w:lang w:val="en-US"/>
        </w:rPr>
      </w:pPr>
      <w:r w:rsidRPr="00BB50D4">
        <w:rPr>
          <w:lang w:val="en-US"/>
        </w:rPr>
        <w:lastRenderedPageBreak/>
        <w:tab/>
        <w:t>F.</w:t>
      </w:r>
      <w:r w:rsidRPr="00BB50D4">
        <w:rPr>
          <w:lang w:val="en-US"/>
        </w:rPr>
        <w:tab/>
        <w:t>Treaties and self-government agreements</w:t>
      </w:r>
    </w:p>
    <w:p w14:paraId="60CEC73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For Indigenous Peoples and Nations in Canada, implementation of the State’s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77BDD15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Special Rapporteur heard from many Indigenous nations that their inherent and treaty rights based on the Nation-to-Nation treaties concluded with the Crown in the </w:t>
      </w:r>
      <w:proofErr w:type="spellStart"/>
      <w:r w:rsidRPr="00BB50D4">
        <w:rPr>
          <w:lang w:val="en-US"/>
        </w:rPr>
        <w:t>1800s</w:t>
      </w:r>
      <w:proofErr w:type="spellEnd"/>
      <w:r w:rsidRPr="00BB50D4">
        <w:rPr>
          <w:lang w:val="en-US"/>
        </w:rPr>
        <w:t xml:space="preserve"> had never been implemented. They are calling for a treaty-based bilateral relationship with the Crown to fully implement their right to self-determination, legal jurisdiction and equal decision-making in relation to their treaty lands and territories.</w:t>
      </w:r>
    </w:p>
    <w:p w14:paraId="4814D0AB"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lang w:val="en-US"/>
        </w:rPr>
        <w:t>Since the Special Rapporteur’s visit in 2013, Canada has adopted an incremental approach to “modern treaty” negotiations, which can be characterized as self-government agreements, sectoral agreements and other constructive arrangements. Currently, there are approximately 185 self-government negotiation tables across the country at various stages of negotiation. Since 2015, 35 self-government agreements have been signed across Canada, including the Anishinabek Nation Education Agreement (2017), the Anishinabek Nation Governance Agreement (2022) and the Métis Nation of Ontario Recognition of Core Governance Agreement (2019).</w:t>
      </w:r>
      <w:r w:rsidRPr="00D26C5A">
        <w:rPr>
          <w:rStyle w:val="Refdenotaalpie"/>
        </w:rPr>
        <w:footnoteReference w:id="43"/>
      </w:r>
      <w:r w:rsidRPr="00BB50D4">
        <w:rPr>
          <w:lang w:val="en-US"/>
        </w:rPr>
        <w:t xml:space="preserve"> In British Columbia, where many ongoing “modern treaty” negotiations are under way, Canada worked with First Nations and the provincial government to develop the new Recognition and Reconciliation of Rights Policy for Treaty Negotiations in British Columbia, endorsed in 2019, which states, in paragraph 8, that </w:t>
      </w:r>
      <w:r w:rsidRPr="00BB50D4">
        <w:rPr>
          <w:color w:val="333333"/>
          <w:shd w:val="clear" w:color="auto" w:fill="FFFFFF"/>
          <w:lang w:val="en-US"/>
        </w:rPr>
        <w:t>Canada and British Columbia endorse the United Nations Declaration on the Rights of Indigenous Peoples as the foundation for the British Columbia treaty negotiations framework.</w:t>
      </w:r>
    </w:p>
    <w:p w14:paraId="619616D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title and jurisdiction, including their right to free, prior and informed consent.</w:t>
      </w:r>
    </w:p>
    <w:p w14:paraId="55F75DCB"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0DD62238"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territories and resources. Protracted land disputes impose a heavy burden on aboriginal title litigants. Due to high costs and complex judicial and treaty negotiation processes, some Indigenous Peoples </w:t>
      </w:r>
      <w:proofErr w:type="gramStart"/>
      <w:r w:rsidRPr="00BB50D4">
        <w:rPr>
          <w:lang w:val="en-US"/>
        </w:rPr>
        <w:t>have to</w:t>
      </w:r>
      <w:proofErr w:type="gramEnd"/>
      <w:r w:rsidRPr="00BB50D4">
        <w:rPr>
          <w:lang w:val="en-US"/>
        </w:rPr>
        <w:t xml:space="preserve"> abandon their land claims. </w:t>
      </w:r>
    </w:p>
    <w:p w14:paraId="6AEB8047"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w:t>
      </w:r>
      <w:proofErr w:type="gramStart"/>
      <w:r w:rsidRPr="00BB50D4">
        <w:rPr>
          <w:lang w:val="en-US"/>
        </w:rPr>
        <w:t>are able to</w:t>
      </w:r>
      <w:proofErr w:type="gramEnd"/>
      <w:r w:rsidRPr="00BB50D4">
        <w:rPr>
          <w:lang w:val="en-US"/>
        </w:rPr>
        <w:t xml:space="preserve"> exercise their right to free, prior and informed consent.</w:t>
      </w:r>
    </w:p>
    <w:p w14:paraId="67A51E00" w14:textId="77777777" w:rsidR="0019647B" w:rsidRPr="00BB50D4" w:rsidRDefault="0019647B" w:rsidP="0019647B">
      <w:pPr>
        <w:pStyle w:val="H1G"/>
        <w:outlineLvl w:val="1"/>
        <w:rPr>
          <w:lang w:val="en-US"/>
        </w:rPr>
      </w:pPr>
      <w:r w:rsidRPr="00BB50D4">
        <w:rPr>
          <w:lang w:val="en-US"/>
        </w:rPr>
        <w:lastRenderedPageBreak/>
        <w:tab/>
        <w:t>G.</w:t>
      </w:r>
      <w:r w:rsidRPr="00BB50D4">
        <w:rPr>
          <w:lang w:val="en-US"/>
        </w:rPr>
        <w:tab/>
        <w:t>Impact of business activities and climate change on Indigenous Peoples</w:t>
      </w:r>
    </w:p>
    <w:p w14:paraId="447CC9BB"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Secure and equitable access to, use of and control over land can have direct and indirect implications for the enjoyment of a range of rights enshrined in the Covenant on Economic, Social and Cultural Rights,</w:t>
      </w:r>
      <w:r w:rsidRPr="00D26C5A">
        <w:rPr>
          <w:rStyle w:val="Refdenotaalpie"/>
        </w:rPr>
        <w:footnoteReference w:id="44"/>
      </w:r>
      <w:r w:rsidRPr="00BB50D4">
        <w:rPr>
          <w:lang w:val="en-US"/>
        </w:rPr>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t>
      </w:r>
      <w:proofErr w:type="gramStart"/>
      <w:r w:rsidRPr="00BB50D4">
        <w:rPr>
          <w:lang w:val="en-US"/>
        </w:rPr>
        <w:t>with regard to</w:t>
      </w:r>
      <w:proofErr w:type="gramEnd"/>
      <w:r w:rsidRPr="00BB50D4">
        <w:rPr>
          <w:lang w:val="en-US"/>
        </w:rPr>
        <w:t xml:space="preserve">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 health, cultural practices, plant medicine and food security. Most Grassy Narrows members have received no compensation for harm caused by the ongoing mercury contamination. In an important step forward, the First Nation reached an agreement with Canada to provide</w:t>
      </w:r>
      <w:r w:rsidRPr="00BB50D4">
        <w:rPr>
          <w:rFonts w:eastAsia="Arial" w:cstheme="minorHAnsi"/>
          <w:lang w:val="en-US"/>
        </w:rPr>
        <w:t xml:space="preserve"> Can$ 19.5 million towards the construction of the Mercury Care Home,</w:t>
      </w:r>
      <w:r w:rsidRPr="00BB50D4">
        <w:rPr>
          <w:lang w:val="en-US"/>
        </w:rPr>
        <w:t xml:space="preserve"> expected to open in 2023, </w:t>
      </w:r>
      <w:r w:rsidRPr="00BB50D4">
        <w:rPr>
          <w:rFonts w:eastAsia="Arial" w:cstheme="minorHAnsi"/>
          <w:lang w:val="en-US"/>
        </w:rPr>
        <w:t>and Can$ 68.9 million towards its services and operations</w:t>
      </w:r>
      <w:r w:rsidRPr="00BB50D4">
        <w:rPr>
          <w:lang w:val="en-US"/>
        </w:rPr>
        <w:t>.</w:t>
      </w:r>
    </w:p>
    <w:p w14:paraId="0253DBB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 2019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6620813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particularly in the north, are increasingly experiencing the negative effects of climate change, including deforestation, wildfires, flooding, drought and other extreme weather events that threaten community health and safety. Such effects have led to evacuations and additional risks to community members, especially where there is housing insecurity and deficiencies in emergency management.</w:t>
      </w:r>
    </w:p>
    <w:p w14:paraId="080B4D92"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impacts of climate change, alongside hydroelectric power projects and clear-cutting of forests in the Innu territory of </w:t>
      </w:r>
      <w:proofErr w:type="spellStart"/>
      <w:r w:rsidRPr="00BB50D4">
        <w:rPr>
          <w:lang w:val="en-US"/>
        </w:rPr>
        <w:t>Passamit</w:t>
      </w:r>
      <w:proofErr w:type="spellEnd"/>
      <w:r w:rsidRPr="00BB50D4">
        <w:rPr>
          <w:lang w:val="en-US"/>
        </w:rPr>
        <w:t xml:space="preserve"> in Québec, have negatively reshaped subsistence lifestyles, leading to the loss of culturally significant species such as caribou. The </w:t>
      </w:r>
      <w:proofErr w:type="spellStart"/>
      <w:r w:rsidRPr="00BB50D4">
        <w:rPr>
          <w:lang w:val="en-US"/>
        </w:rPr>
        <w:t>Passamit</w:t>
      </w:r>
      <w:proofErr w:type="spellEnd"/>
      <w:r w:rsidRPr="00BB50D4">
        <w:rPr>
          <w:lang w:val="en-US"/>
        </w:rPr>
        <w:t xml:space="preserve"> Innu are fighting to maintain their cultural and Indigenous </w:t>
      </w:r>
      <w:proofErr w:type="gramStart"/>
      <w:r w:rsidRPr="00BB50D4">
        <w:rPr>
          <w:lang w:val="en-US"/>
        </w:rPr>
        <w:t>knowledge, and</w:t>
      </w:r>
      <w:proofErr w:type="gramEnd"/>
      <w:r w:rsidRPr="00BB50D4">
        <w:rPr>
          <w:lang w:val="en-US"/>
        </w:rPr>
        <w:t xml:space="preserve"> have asked the provincial government to engage in meaningful consultations to provide restitution of land and compensation for the loss of resources. </w:t>
      </w:r>
    </w:p>
    <w:p w14:paraId="34AB91F0"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 his 2022 report to the Human Rights Council,</w:t>
      </w:r>
      <w:r w:rsidRPr="00D26C5A">
        <w:rPr>
          <w:rStyle w:val="Refdenotaalpie"/>
        </w:rPr>
        <w:footnoteReference w:id="45"/>
      </w:r>
      <w:r w:rsidRPr="00BB50D4">
        <w:rPr>
          <w:lang w:val="en-US"/>
        </w:rPr>
        <w:t xml:space="preserve"> the Special Rapporteur highlighted the importance of recognizing Indigenous women’s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350A6AF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w:t>
      </w:r>
      <w:proofErr w:type="spellStart"/>
      <w:r w:rsidRPr="00BB50D4">
        <w:rPr>
          <w:lang w:val="en-US"/>
        </w:rPr>
        <w:t>Kaska</w:t>
      </w:r>
      <w:proofErr w:type="spellEnd"/>
      <w:r w:rsidRPr="00BB50D4">
        <w:rPr>
          <w:lang w:val="en-US"/>
        </w:rPr>
        <w:t xml:space="preserve"> Dene are one of many First Nations in Canada who have established Indigenous Protected and Conserved Areas governed through Indigenous law and knowledge systems. Indigenous women lead two thirds of the 23 proposed Indigenous Protected and Conserved Areas of the Indigenous Leadership Initiative and nearly half the Indigenous Land Guardian </w:t>
      </w:r>
      <w:proofErr w:type="spellStart"/>
      <w:r w:rsidRPr="00BB50D4">
        <w:rPr>
          <w:lang w:val="en-US"/>
        </w:rPr>
        <w:t>programmes</w:t>
      </w:r>
      <w:proofErr w:type="spellEnd"/>
      <w:r w:rsidRPr="00BB50D4">
        <w:rPr>
          <w:lang w:val="en-US"/>
        </w:rPr>
        <w:t>, which manage, restore and monitor protected areas.</w:t>
      </w:r>
    </w:p>
    <w:p w14:paraId="6BB78510"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lastRenderedPageBreak/>
        <w:t>The extractive industry is not only responsible for half of global greenhouse gas emissions and 90 per cent of biodiversity loss,</w:t>
      </w:r>
      <w:r w:rsidRPr="00D26C5A">
        <w:rPr>
          <w:rStyle w:val="Refdenotaalpie"/>
        </w:rPr>
        <w:footnoteReference w:id="46"/>
      </w:r>
      <w:r w:rsidRPr="00BB50D4">
        <w:rPr>
          <w:lang w:val="en-US"/>
        </w:rPr>
        <w:t xml:space="preserve"> but it is also at the root of conflicts created by the criminalization of Indigenous Peoples defending their lands and resources from companies and governments who support the projects of those companies.</w:t>
      </w:r>
      <w:r w:rsidRPr="00D26C5A">
        <w:rPr>
          <w:rStyle w:val="Refdenotaalpie"/>
        </w:rPr>
        <w:footnoteReference w:id="47"/>
      </w:r>
    </w:p>
    <w:p w14:paraId="7A789B23"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 Canada, Indigenous Peoples are taking up the fight for climate justice by opposing the construction of TC Energy’s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D26C5A">
        <w:rPr>
          <w:rStyle w:val="Refdenotaalpie"/>
        </w:rPr>
        <w:footnoteReference w:id="48"/>
      </w:r>
      <w:r w:rsidRPr="00BB50D4">
        <w:rPr>
          <w:lang w:val="en-US"/>
        </w:rPr>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74 Wet'suwet'en land rights defenders. Nineteen Indigenous defenders were charged with criminal contempt for violating an injunction prohibiting entry to the pipeline construction site on the community’s unceded, ancestral territory. Five pleaded guilty, the remaining land defenders will face trial later this year and could be sentenced to prison.</w:t>
      </w:r>
    </w:p>
    <w:p w14:paraId="7FE4964E"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Land defenders have also been arrested and charged after blockading the Trans Mountain pipeline route. A Tsleil-Waututh member received a 28-day sentence of imprisonment despite recent Criminal Code amendments providing for consideration of alternatives to incarceration.</w:t>
      </w:r>
    </w:p>
    <w:p w14:paraId="7F6733A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There is a concern that recent bills introduced to protect against “critical infrastructure sabotage” may suppress the growing movement against fossil fuels, in which Indigenous Peoples play a central role, by silencing dissent against planned or existing projects. </w:t>
      </w:r>
    </w:p>
    <w:p w14:paraId="3534AD16"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Conservation measures taken by Northwest Territories wildlife authorities to conserve caribou have had a negative effect on the </w:t>
      </w:r>
      <w:proofErr w:type="spellStart"/>
      <w:r w:rsidRPr="00BB50D4">
        <w:rPr>
          <w:lang w:val="en-US"/>
        </w:rPr>
        <w:t>Lutsel</w:t>
      </w:r>
      <w:proofErr w:type="spellEnd"/>
      <w:r w:rsidRPr="00BB50D4">
        <w:rPr>
          <w:lang w:val="en-US"/>
        </w:rPr>
        <w:t xml:space="preserve"> </w:t>
      </w:r>
      <w:proofErr w:type="spellStart"/>
      <w:r w:rsidRPr="00BB50D4">
        <w:rPr>
          <w:lang w:val="en-US"/>
        </w:rPr>
        <w:t>K’e</w:t>
      </w:r>
      <w:proofErr w:type="spellEnd"/>
      <w:r w:rsidRPr="00BB50D4">
        <w:rPr>
          <w:lang w:val="en-US"/>
        </w:rPr>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40E0F9BD" w14:textId="77777777" w:rsidR="0019647B" w:rsidRPr="009B5A85" w:rsidRDefault="0019647B" w:rsidP="0019647B">
      <w:pPr>
        <w:pStyle w:val="H1G"/>
        <w:outlineLvl w:val="1"/>
      </w:pPr>
      <w:r w:rsidRPr="00BB50D4">
        <w:rPr>
          <w:lang w:val="en-US"/>
        </w:rPr>
        <w:tab/>
      </w:r>
      <w:r w:rsidRPr="009B5A85">
        <w:t>H.</w:t>
      </w:r>
      <w:r w:rsidRPr="009B5A85">
        <w:tab/>
        <w:t xml:space="preserve">Canadian </w:t>
      </w:r>
      <w:proofErr w:type="spellStart"/>
      <w:r w:rsidRPr="009B5A85">
        <w:t>transnational</w:t>
      </w:r>
      <w:proofErr w:type="spellEnd"/>
      <w:r w:rsidRPr="009B5A85">
        <w:t xml:space="preserve"> </w:t>
      </w:r>
      <w:proofErr w:type="spellStart"/>
      <w:r w:rsidRPr="009B5A85">
        <w:t>corporations</w:t>
      </w:r>
      <w:proofErr w:type="spellEnd"/>
    </w:p>
    <w:p w14:paraId="11D98BD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On several occasions, the Special Rapporteur, along with other mandate holders, has expressed concern regarding human rights abuses against Indigenous Peoples committed by Canadian companies operating abroad.</w:t>
      </w:r>
      <w:r w:rsidRPr="00D26C5A">
        <w:rPr>
          <w:rStyle w:val="Refdenotaalpie"/>
        </w:rPr>
        <w:footnoteReference w:id="49"/>
      </w:r>
      <w:r w:rsidRPr="00BB50D4">
        <w:rPr>
          <w:lang w:val="en-US"/>
        </w:rPr>
        <w:t xml:space="preserve"> United Nations treaty monitoring bodies have called on Canada to adopt a regulatory framework to hold these transnational corporations accountable for human rights violations and environmental abuses.</w:t>
      </w:r>
      <w:r w:rsidRPr="00D26C5A">
        <w:rPr>
          <w:rStyle w:val="Refdenotaalpie"/>
        </w:rPr>
        <w:footnoteReference w:id="50"/>
      </w:r>
      <w:r w:rsidRPr="00BB50D4">
        <w:rPr>
          <w:lang w:val="en-US"/>
        </w:rPr>
        <w:t xml:space="preserve"> According to the information received, Canada is home to almost half of the world’s publicly listed mining and mineral exploration companies, and 200 Canadian companies are present in 97 foreign countries</w:t>
      </w:r>
    </w:p>
    <w:p w14:paraId="61D6C28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 2022, Canada launched the Responsible Business Conduct Abroad strategy to promote good business practices in alignment with the Guiding Principles on Business and Human Rights through prevention, legislation and non-judicial dispute resolution mechanisms. Canada has two</w:t>
      </w:r>
      <w:r w:rsidRPr="00BB50D4">
        <w:rPr>
          <w:i/>
          <w:iCs/>
          <w:lang w:val="en-US"/>
        </w:rPr>
        <w:t xml:space="preserve"> </w:t>
      </w:r>
      <w:r w:rsidRPr="00BB50D4">
        <w:rPr>
          <w:lang w:val="en-US"/>
        </w:rPr>
        <w:t>dispute resolution</w:t>
      </w:r>
      <w:r w:rsidRPr="00BB50D4">
        <w:rPr>
          <w:i/>
          <w:iCs/>
          <w:lang w:val="en-US"/>
        </w:rPr>
        <w:t xml:space="preserve"> </w:t>
      </w:r>
      <w:r w:rsidRPr="00BB50D4">
        <w:rPr>
          <w:lang w:val="en-US"/>
        </w:rPr>
        <w:t xml:space="preserve">mechanisms competent to consider allegations of human rights abuses committed by Canadian corporations abroad: a national </w:t>
      </w:r>
      <w:r w:rsidRPr="00BB50D4">
        <w:rPr>
          <w:lang w:val="en-US"/>
        </w:rPr>
        <w:lastRenderedPageBreak/>
        <w:t>contact point, established in alignment with the OECD Guidelines for Multinational Enterprises on Responsible Business Conduct; and the office of the Canadian Ombudsperson for Responsible Enterprises, launched in 2019.</w:t>
      </w:r>
    </w:p>
    <w:p w14:paraId="06F24FFA"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 Canadian Ombudsperson for Responsible Enterprises has a mandate to review alleged human rights abuses arising from the activities of Canadian companies operating abroad in the garment, mining or oil and gas sectors. Indigenous Peoples and others affected by a Canadian company’s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w:t>
      </w:r>
      <w:proofErr w:type="gramStart"/>
      <w:r w:rsidRPr="00BB50D4">
        <w:rPr>
          <w:lang w:val="en-US"/>
        </w:rPr>
        <w:t>operating transnationally,</w:t>
      </w:r>
      <w:proofErr w:type="gramEnd"/>
      <w:r w:rsidRPr="00BB50D4">
        <w:rPr>
          <w:lang w:val="en-US"/>
        </w:rPr>
        <w:t xml:space="preserve"> on the assumption that this is primarily the role of the host State. </w:t>
      </w:r>
    </w:p>
    <w:p w14:paraId="18F2D881"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For example, Canada continues to support the operation of the Line 5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1977 transit pipeline treaty with the United States to prolong Line 5 operations, which is inconsistent with its international commitment to prevent and mitigate the effects of climate change by phasing out fossil fuels.</w:t>
      </w:r>
    </w:p>
    <w:p w14:paraId="3768868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 2020,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BB50D4">
        <w:rPr>
          <w:i/>
          <w:iCs/>
          <w:lang w:val="en-US"/>
        </w:rPr>
        <w:t>Nevsun</w:t>
      </w:r>
      <w:proofErr w:type="spellEnd"/>
      <w:r w:rsidRPr="00BB50D4">
        <w:rPr>
          <w:i/>
          <w:iCs/>
          <w:lang w:val="en-US"/>
        </w:rPr>
        <w:t xml:space="preserve"> Resources Ltd. v. Araya et al.</w:t>
      </w:r>
      <w:r w:rsidRPr="00BB50D4">
        <w:rPr>
          <w:lang w:val="en-US"/>
        </w:rPr>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3FFEF08B"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responsibility to respect human rights is a global standard of expected conduct for all business enterprises wherever they operate,</w:t>
      </w:r>
      <w:r w:rsidRPr="00D26C5A">
        <w:rPr>
          <w:rStyle w:val="Refdenotaalpie"/>
        </w:rPr>
        <w:footnoteReference w:id="51"/>
      </w:r>
      <w:r w:rsidRPr="00BB50D4">
        <w:rPr>
          <w:lang w:val="en-US"/>
        </w:rPr>
        <w:t xml:space="preserve"> and the State has extraterritorial obligations to take steps to prevent and redress infringements of these rights committed abroad by business entities over which it exercises control.</w:t>
      </w:r>
      <w:r w:rsidRPr="00D26C5A">
        <w:rPr>
          <w:rStyle w:val="Refdenotaalpie"/>
        </w:rPr>
        <w:footnoteReference w:id="52"/>
      </w:r>
      <w:r w:rsidRPr="00BB50D4">
        <w:rPr>
          <w:lang w:val="en-US"/>
        </w:rPr>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D26C5A">
        <w:rPr>
          <w:rStyle w:val="Refdenotaalpie"/>
        </w:rPr>
        <w:footnoteReference w:id="53"/>
      </w:r>
    </w:p>
    <w:p w14:paraId="325EE11C" w14:textId="77777777" w:rsidR="0019647B" w:rsidRPr="00BB50D4" w:rsidRDefault="0019647B" w:rsidP="0019647B">
      <w:pPr>
        <w:pStyle w:val="H1G"/>
        <w:outlineLvl w:val="1"/>
        <w:rPr>
          <w:lang w:val="en-US"/>
        </w:rPr>
      </w:pPr>
      <w:r w:rsidRPr="00BB50D4">
        <w:rPr>
          <w:lang w:val="en-US"/>
        </w:rPr>
        <w:lastRenderedPageBreak/>
        <w:tab/>
        <w:t>I.</w:t>
      </w:r>
      <w:r w:rsidRPr="00BB50D4">
        <w:rPr>
          <w:lang w:val="en-US"/>
        </w:rPr>
        <w:tab/>
        <w:t>Economic, social and cultural rights</w:t>
      </w:r>
    </w:p>
    <w:p w14:paraId="7CEEB620" w14:textId="77777777" w:rsidR="0019647B" w:rsidRPr="00BB50D4" w:rsidRDefault="0019647B" w:rsidP="0019647B">
      <w:pPr>
        <w:pStyle w:val="SingleTxtG"/>
        <w:numPr>
          <w:ilvl w:val="0"/>
          <w:numId w:val="35"/>
        </w:numPr>
        <w:tabs>
          <w:tab w:val="right" w:pos="1701"/>
        </w:tabs>
        <w:ind w:left="1134" w:firstLine="0"/>
        <w:rPr>
          <w:lang w:val="en-US"/>
        </w:rPr>
      </w:pPr>
      <w:bookmarkStart w:id="8" w:name="_Toc682837662"/>
      <w:bookmarkStart w:id="9" w:name="_Toc640955103"/>
      <w:r w:rsidRPr="00BB50D4">
        <w:rPr>
          <w:lang w:val="en-US"/>
        </w:rPr>
        <w:t xml:space="preserve">The housing crisis described in the Special Rapporteur’s 2014 report on the visit to Canada is still an urgent issue. </w:t>
      </w:r>
      <w:bookmarkEnd w:id="8"/>
      <w:bookmarkEnd w:id="9"/>
      <w:r w:rsidRPr="00BB50D4">
        <w:rPr>
          <w:lang w:val="en-US"/>
        </w:rPr>
        <w:t>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education and access to social services.</w:t>
      </w:r>
    </w:p>
    <w:p w14:paraId="6CCDEA59"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Indigenous Peoples in urban, rural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w:t>
      </w:r>
      <w:proofErr w:type="spellStart"/>
      <w:r w:rsidRPr="00BB50D4">
        <w:rPr>
          <w:lang w:val="en-US"/>
        </w:rPr>
        <w:t>programmes</w:t>
      </w:r>
      <w:proofErr w:type="spellEnd"/>
      <w:r w:rsidRPr="00BB50D4">
        <w:rPr>
          <w:lang w:val="en-US"/>
        </w:rPr>
        <w:t xml:space="preserve"> and services offered by public institutions than are non-Indigenous people.</w:t>
      </w:r>
    </w:p>
    <w:p w14:paraId="32A45AE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Métis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w:t>
      </w:r>
      <w:proofErr w:type="gramStart"/>
      <w:r w:rsidRPr="00BB50D4">
        <w:rPr>
          <w:lang w:val="en-US"/>
        </w:rPr>
        <w:t>in order to</w:t>
      </w:r>
      <w:proofErr w:type="gramEnd"/>
      <w:r w:rsidRPr="00BB50D4">
        <w:rPr>
          <w:lang w:val="en-US"/>
        </w:rPr>
        <w:t xml:space="preserve"> have their housing needs met. This barrier can have a disproportionate impact, particularly on older persons who want, but are unable, to remain connected to their communities.</w:t>
      </w:r>
    </w:p>
    <w:p w14:paraId="66414D60"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Canada created the National Housing Strategy and passed the National Housing Strategy Act,</w:t>
      </w:r>
      <w:r w:rsidRPr="00BB50D4">
        <w:rPr>
          <w:i/>
          <w:iCs/>
          <w:lang w:val="en-US"/>
        </w:rPr>
        <w:t xml:space="preserve"> </w:t>
      </w:r>
      <w:r w:rsidRPr="00BB50D4">
        <w:rPr>
          <w:lang w:val="en-US"/>
        </w:rPr>
        <w:t>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rural and northern Indigenous housing strategy that would equip Indigenous governments to respond to the housing crises in their communities.</w:t>
      </w:r>
    </w:p>
    <w:p w14:paraId="724251C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In 2021, the First Nations and Inuit Health Branch, under Indigenous Services Canada, instituted a </w:t>
      </w:r>
      <w:proofErr w:type="spellStart"/>
      <w:r w:rsidRPr="00BB50D4">
        <w:rPr>
          <w:lang w:val="en-US"/>
        </w:rPr>
        <w:t>programme</w:t>
      </w:r>
      <w:proofErr w:type="spellEnd"/>
      <w:r w:rsidRPr="00BB50D4">
        <w:rPr>
          <w:lang w:val="en-US"/>
        </w:rPr>
        <w:t xml:space="preserve"> to combat racism against Indigenous people, dedicating Can$ 126.7 million over three years to addressing racism against Indigenous people in the country’s health systems. The reasons for this are clear: Indigenous Peoples face unique barriers in accessing health services, due to historical mistrust and structural racism. </w:t>
      </w:r>
    </w:p>
    <w:p w14:paraId="75496EA7" w14:textId="77777777" w:rsidR="0019647B" w:rsidRPr="00BB50D4" w:rsidRDefault="0019647B" w:rsidP="0019647B">
      <w:pPr>
        <w:pStyle w:val="SingleTxtG"/>
        <w:numPr>
          <w:ilvl w:val="0"/>
          <w:numId w:val="35"/>
        </w:numPr>
        <w:tabs>
          <w:tab w:val="right" w:pos="1701"/>
        </w:tabs>
        <w:ind w:left="1134" w:firstLine="0"/>
        <w:rPr>
          <w:lang w:val="en-US"/>
        </w:rPr>
      </w:pPr>
      <w:bookmarkStart w:id="10" w:name="_Hlk139472044"/>
      <w:r w:rsidRPr="00BB50D4">
        <w:rPr>
          <w:lang w:val="en-US"/>
        </w:rPr>
        <w:t xml:space="preserve">The death of Joyce </w:t>
      </w:r>
      <w:proofErr w:type="spellStart"/>
      <w:r w:rsidRPr="00BB50D4">
        <w:rPr>
          <w:lang w:val="en-US"/>
        </w:rPr>
        <w:t>Echaquan</w:t>
      </w:r>
      <w:proofErr w:type="spellEnd"/>
      <w:r w:rsidRPr="00BB50D4">
        <w:rPr>
          <w:lang w:val="en-US"/>
        </w:rPr>
        <w:t xml:space="preserve"> in 2020 highlights the devastating reality of racial discrimination in the health-care system. </w:t>
      </w:r>
      <w:bookmarkEnd w:id="10"/>
      <w:r w:rsidRPr="00BB50D4">
        <w:rPr>
          <w:lang w:val="en-US"/>
        </w:rPr>
        <w:t xml:space="preserve">Ms. </w:t>
      </w:r>
      <w:proofErr w:type="spellStart"/>
      <w:r w:rsidRPr="00BB50D4">
        <w:rPr>
          <w:lang w:val="en-US"/>
        </w:rPr>
        <w:t>Echaquan</w:t>
      </w:r>
      <w:proofErr w:type="spellEnd"/>
      <w:r w:rsidRPr="00BB50D4">
        <w:rPr>
          <w:lang w:val="en-US"/>
        </w:rPr>
        <w:t xml:space="preserve">, a mother of seven, was admitted to Joliette hospital, nearly 300 </w:t>
      </w:r>
      <w:proofErr w:type="spellStart"/>
      <w:r w:rsidRPr="00BB50D4">
        <w:rPr>
          <w:lang w:val="en-US"/>
        </w:rPr>
        <w:t>kilometres</w:t>
      </w:r>
      <w:proofErr w:type="spellEnd"/>
      <w:r w:rsidRPr="00BB50D4">
        <w:rPr>
          <w:lang w:val="en-US"/>
        </w:rPr>
        <w:t xml:space="preserve"> from her community of </w:t>
      </w:r>
      <w:proofErr w:type="spellStart"/>
      <w:r w:rsidRPr="00BB50D4">
        <w:rPr>
          <w:lang w:val="en-US"/>
        </w:rPr>
        <w:t>Manawan</w:t>
      </w:r>
      <w:proofErr w:type="spellEnd"/>
      <w:r w:rsidRPr="00BB50D4">
        <w:rPr>
          <w:lang w:val="en-US"/>
        </w:rPr>
        <w:t>. She recorded a video capturing the racist comments of nurses shortly before she died without receiving the medical care she required. Indigenous Peoples are calling for the adoption of “Joyce’s Principle” to guarantee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r w:rsidRPr="00D26C5A">
        <w:rPr>
          <w:rStyle w:val="Refdenotaalpie"/>
        </w:rPr>
        <w:footnoteReference w:id="54"/>
      </w:r>
    </w:p>
    <w:p w14:paraId="1D26F1A2"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Forced and coerced sterilization has been identified as part of a continuum of violence against Indigenous women in the health-care systems by the Truth and Reconciliation Commission, the National Inquiry into Missing and Murdered Indigenous Women and Girls, in the context of Senate hearings held in 2021 and 2022 and in a 2022 report on the situation </w:t>
      </w:r>
      <w:r w:rsidRPr="00BB50D4">
        <w:rPr>
          <w:lang w:val="en-US"/>
        </w:rPr>
        <w:lastRenderedPageBreak/>
        <w:t>in Québec,</w:t>
      </w:r>
      <w:r w:rsidRPr="00D26C5A">
        <w:rPr>
          <w:rStyle w:val="Refdenotaalpie"/>
        </w:rPr>
        <w:footnoteReference w:id="55"/>
      </w:r>
      <w:r w:rsidRPr="00BB50D4">
        <w:rPr>
          <w:lang w:val="en-US"/>
        </w:rPr>
        <w:t xml:space="preserve"> among others. In many of the cases reported, women did not provide consent and the procedure was performed without the patient’s knowledge, or consent was not informed owing to the absence of complete or correct information, and/or consent was obtained without the presence of an interpreter. As demonstrated by the case of Ms. </w:t>
      </w:r>
      <w:proofErr w:type="spellStart"/>
      <w:r w:rsidRPr="00BB50D4">
        <w:rPr>
          <w:lang w:val="en-US"/>
        </w:rPr>
        <w:t>Echaquan</w:t>
      </w:r>
      <w:proofErr w:type="spellEnd"/>
      <w:r w:rsidRPr="00BB50D4">
        <w:rPr>
          <w:lang w:val="en-US"/>
        </w:rPr>
        <w:t>, Indigenous women and girls experience differential and discriminatory treatment in hospitals, including stereotypes that they are unable to care for children.</w:t>
      </w:r>
      <w:r w:rsidRPr="00D26C5A">
        <w:rPr>
          <w:rStyle w:val="Refdenotaalpie"/>
        </w:rPr>
        <w:footnoteReference w:id="56"/>
      </w:r>
    </w:p>
    <w:p w14:paraId="7A109C27"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15 to 24 years, suicide rates are 7 times higher for First Nations and 30 times higher for Inuit than among non-Indigenous males of the same age.</w:t>
      </w:r>
      <w:r w:rsidRPr="00D26C5A">
        <w:rPr>
          <w:rStyle w:val="Refdenotaalpie"/>
        </w:rPr>
        <w:footnoteReference w:id="57"/>
      </w:r>
    </w:p>
    <w:p w14:paraId="6A438F3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languages are the repository of collective knowledge, history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75 per cent of Indigenous languages in Canada are in danger of disappearing.</w:t>
      </w:r>
      <w:r w:rsidRPr="00D26C5A">
        <w:rPr>
          <w:rStyle w:val="Refdenotaalpie"/>
        </w:rPr>
        <w:footnoteReference w:id="58"/>
      </w:r>
    </w:p>
    <w:p w14:paraId="3CDACF6F"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 xml:space="preserve">Among Inuit of Canada, the vast majority speak their Indigenous languages, yet those are not the official language in all of Inuit </w:t>
      </w:r>
      <w:proofErr w:type="spellStart"/>
      <w:r w:rsidRPr="00BB50D4">
        <w:rPr>
          <w:lang w:val="en-US"/>
        </w:rPr>
        <w:t>Nunangat</w:t>
      </w:r>
      <w:proofErr w:type="spellEnd"/>
      <w:r w:rsidRPr="00BB50D4">
        <w:rPr>
          <w:lang w:val="en-US"/>
        </w:rPr>
        <w:t xml:space="preserve">, the Inuit homeland, and Inuit are not offered education in their languages. In 2021, the Special Rapporteur raised the issue in a communication to Canada detailing the persistent challenges faced by the Inuit of Nunavut in receiving essential public services in their language in the education, </w:t>
      </w:r>
      <w:proofErr w:type="gramStart"/>
      <w:r w:rsidRPr="00BB50D4">
        <w:rPr>
          <w:lang w:val="en-US"/>
        </w:rPr>
        <w:t>health-care</w:t>
      </w:r>
      <w:proofErr w:type="gramEnd"/>
      <w:r w:rsidRPr="00BB50D4">
        <w:rPr>
          <w:lang w:val="en-US"/>
        </w:rPr>
        <w:t xml:space="preserve"> and criminal justice systems.</w:t>
      </w:r>
      <w:r w:rsidRPr="00D26C5A">
        <w:rPr>
          <w:rStyle w:val="Refdenotaalpie"/>
        </w:rPr>
        <w:footnoteReference w:id="59"/>
      </w:r>
    </w:p>
    <w:p w14:paraId="3154989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Indigenous Peoples in Québec expressed concern over recent legislative changes affecting language of instruction that could cause Indigenous children and youth to drop out of school. In May 2022, the Québec National Assembly adopted an Act on respecting French as the official and common language of Québec.</w:t>
      </w:r>
      <w:r w:rsidRPr="00BB50D4">
        <w:rPr>
          <w:i/>
          <w:iCs/>
          <w:lang w:val="en-US"/>
        </w:rPr>
        <w:t xml:space="preserve"> </w:t>
      </w:r>
      <w:r w:rsidRPr="00BB50D4">
        <w:rPr>
          <w:lang w:val="en-US"/>
        </w:rPr>
        <w:t>One aim of the</w:t>
      </w:r>
      <w:r w:rsidRPr="00BB50D4">
        <w:rPr>
          <w:i/>
          <w:iCs/>
          <w:lang w:val="en-US"/>
        </w:rPr>
        <w:t xml:space="preserve"> </w:t>
      </w:r>
      <w:r w:rsidRPr="00BB50D4">
        <w:rPr>
          <w:lang w:val="en-US"/>
        </w:rPr>
        <w:t>Act is to reinforce French instruction at all levels of education without any exemption for those whose first language is neither French nor English, such as Indigenous Peoples. It reinforces the province’s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Québec.</w:t>
      </w:r>
    </w:p>
    <w:p w14:paraId="156F76DC" w14:textId="77777777" w:rsidR="0019647B" w:rsidRPr="00BB50D4" w:rsidRDefault="0019647B" w:rsidP="0019647B">
      <w:pPr>
        <w:pStyle w:val="SingleTxtG"/>
        <w:numPr>
          <w:ilvl w:val="0"/>
          <w:numId w:val="35"/>
        </w:numPr>
        <w:tabs>
          <w:tab w:val="right" w:pos="1701"/>
        </w:tabs>
        <w:ind w:left="1134" w:firstLine="0"/>
        <w:rPr>
          <w:lang w:val="en-US"/>
        </w:rPr>
      </w:pPr>
      <w:r w:rsidRPr="00BB50D4">
        <w:rPr>
          <w:lang w:val="en-US"/>
        </w:rPr>
        <w:t>The Government of Canada has taken some positive steps on the preservation of Indigenous languages through the implementation of the Indigenous Languages Act (2019) and the creation of the Office of the Commissioner of Indigenous Languages. Long-term and dedicated funding is required for operationalization and implementation of the</w:t>
      </w:r>
      <w:r w:rsidRPr="00BB50D4">
        <w:rPr>
          <w:i/>
          <w:iCs/>
          <w:lang w:val="en-US"/>
        </w:rPr>
        <w:t xml:space="preserve"> </w:t>
      </w:r>
      <w:r w:rsidRPr="00BB50D4">
        <w:rPr>
          <w:lang w:val="en-US"/>
        </w:rPr>
        <w:t xml:space="preserve">Act, </w:t>
      </w:r>
      <w:proofErr w:type="gramStart"/>
      <w:r w:rsidRPr="00BB50D4">
        <w:rPr>
          <w:lang w:val="en-US"/>
        </w:rPr>
        <w:t>in order to</w:t>
      </w:r>
      <w:proofErr w:type="gramEnd"/>
      <w:r w:rsidRPr="00BB50D4">
        <w:rPr>
          <w:lang w:val="en-US"/>
        </w:rPr>
        <w:t xml:space="preserve"> increase the number of language learners and speakers, to support the preservation, revitalization, normalization and fluency of Indigenous languages, and to ensure that such actions are </w:t>
      </w:r>
      <w:proofErr w:type="spellStart"/>
      <w:r w:rsidRPr="00BB50D4">
        <w:rPr>
          <w:lang w:val="en-US"/>
        </w:rPr>
        <w:t>centred</w:t>
      </w:r>
      <w:proofErr w:type="spellEnd"/>
      <w:r w:rsidRPr="00BB50D4">
        <w:rPr>
          <w:lang w:val="en-US"/>
        </w:rPr>
        <w:t xml:space="preserve"> on the principle of Indigenous control.</w:t>
      </w:r>
    </w:p>
    <w:p w14:paraId="702F95C2" w14:textId="77777777" w:rsidR="0019647B" w:rsidRPr="009B5A85" w:rsidRDefault="0019647B" w:rsidP="0019647B">
      <w:pPr>
        <w:pStyle w:val="HChG"/>
        <w:outlineLvl w:val="0"/>
      </w:pPr>
      <w:r w:rsidRPr="00BB50D4">
        <w:rPr>
          <w:lang w:val="en-US"/>
        </w:rPr>
        <w:lastRenderedPageBreak/>
        <w:tab/>
      </w:r>
      <w:r w:rsidRPr="009B5A85">
        <w:t>V.</w:t>
      </w:r>
      <w:r w:rsidRPr="009B5A85">
        <w:tab/>
      </w:r>
      <w:proofErr w:type="spellStart"/>
      <w:r w:rsidRPr="009B5A85">
        <w:t>Conclusions</w:t>
      </w:r>
      <w:proofErr w:type="spellEnd"/>
      <w:r w:rsidRPr="009B5A85">
        <w:t xml:space="preserve"> and </w:t>
      </w:r>
      <w:proofErr w:type="spellStart"/>
      <w:r w:rsidRPr="009B5A85">
        <w:t>recommendations</w:t>
      </w:r>
      <w:bookmarkStart w:id="11" w:name="_Toc1898986834"/>
      <w:bookmarkStart w:id="12" w:name="_Toc1596120452"/>
      <w:proofErr w:type="spellEnd"/>
    </w:p>
    <w:p w14:paraId="6C912A63"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b/>
          <w:bCs/>
          <w:lang w:val="en-US"/>
        </w:rPr>
        <w:t xml:space="preserve">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t>
      </w:r>
      <w:proofErr w:type="gramStart"/>
      <w:r w:rsidRPr="00BB50D4">
        <w:rPr>
          <w:b/>
          <w:bCs/>
          <w:lang w:val="en-US"/>
        </w:rPr>
        <w:t>with regard to</w:t>
      </w:r>
      <w:proofErr w:type="gramEnd"/>
      <w:r w:rsidRPr="00BB50D4">
        <w:rPr>
          <w:b/>
          <w:bCs/>
          <w:lang w:val="en-US"/>
        </w:rPr>
        <w:t xml:space="preserve"> acknowledging the historical and ongoing harms against Indigenous Peoples and to advance reconciliation. It is laudable that Canada has taken many important steps to advance Indigenous Peoples’ rights. 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 </w:t>
      </w:r>
    </w:p>
    <w:p w14:paraId="1813FBFF"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b/>
          <w:bCs/>
          <w:lang w:val="en-US"/>
        </w:rPr>
        <w:t xml:space="preserve">The Government must address, as a priority, the deep-set, systemic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 lives, the country’s perceived progressiveness at the international level will be questioned. Indigenous Peoples are asking Canada to respect their Nation-to-Nation relationships, treaties and self-government agreements and to ensure their full and equal participation in decisions that affect their rights, title and interests. </w:t>
      </w:r>
      <w:bookmarkEnd w:id="11"/>
      <w:bookmarkEnd w:id="12"/>
      <w:r w:rsidRPr="00BB50D4">
        <w:rPr>
          <w:b/>
          <w:bCs/>
          <w:lang w:val="en-US"/>
        </w:rPr>
        <w:t>Canada has embarked on an important journey towards reconciliation that must dismantle the foundation of structural racial discrimination against Indigenous Peoples.</w:t>
      </w:r>
    </w:p>
    <w:p w14:paraId="51B72BFE" w14:textId="77777777" w:rsidR="0019647B" w:rsidRPr="00BB50D4" w:rsidRDefault="0019647B" w:rsidP="0019647B">
      <w:pPr>
        <w:pStyle w:val="SingleTxtG"/>
        <w:numPr>
          <w:ilvl w:val="0"/>
          <w:numId w:val="35"/>
        </w:numPr>
        <w:tabs>
          <w:tab w:val="right" w:pos="1701"/>
        </w:tabs>
        <w:ind w:left="1134" w:firstLine="0"/>
        <w:rPr>
          <w:b/>
          <w:bCs/>
          <w:lang w:val="en-US"/>
        </w:rPr>
      </w:pPr>
      <w:r w:rsidRPr="00BB50D4">
        <w:rPr>
          <w:b/>
          <w:bCs/>
          <w:lang w:val="en-US"/>
        </w:rPr>
        <w:t>The Special Rapporteur recommends that Canada take the following actions in respect of collaboration, cooperation and consultation with Indigenous Peoples, including representatives of non-status and off-reserve people.</w:t>
      </w:r>
    </w:p>
    <w:p w14:paraId="7B1F9E9D" w14:textId="77777777" w:rsidR="0019647B" w:rsidRPr="009B5A85" w:rsidRDefault="0019647B" w:rsidP="0019647B">
      <w:pPr>
        <w:pStyle w:val="H23G"/>
        <w:outlineLvl w:val="2"/>
      </w:pPr>
      <w:r w:rsidRPr="00BB50D4">
        <w:rPr>
          <w:lang w:val="en-US"/>
        </w:rPr>
        <w:tab/>
      </w:r>
      <w:r w:rsidRPr="00BB50D4">
        <w:rPr>
          <w:lang w:val="en-US"/>
        </w:rPr>
        <w:tab/>
      </w:r>
      <w:r w:rsidRPr="009B5A85">
        <w:t xml:space="preserve">Legal and </w:t>
      </w:r>
      <w:proofErr w:type="spellStart"/>
      <w:r w:rsidRPr="009B5A85">
        <w:t>institutional</w:t>
      </w:r>
      <w:proofErr w:type="spellEnd"/>
      <w:r w:rsidRPr="009B5A85">
        <w:t xml:space="preserve"> </w:t>
      </w:r>
      <w:proofErr w:type="spellStart"/>
      <w:r w:rsidRPr="009B5A85">
        <w:t>framework</w:t>
      </w:r>
      <w:proofErr w:type="spellEnd"/>
    </w:p>
    <w:p w14:paraId="0714EA18"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 xml:space="preserve">: </w:t>
      </w:r>
    </w:p>
    <w:p w14:paraId="48655457" w14:textId="77777777" w:rsidR="0019647B" w:rsidRPr="00BB50D4" w:rsidRDefault="0019647B" w:rsidP="0019647B">
      <w:pPr>
        <w:pStyle w:val="SingleTxtG"/>
        <w:rPr>
          <w:b/>
          <w:bCs/>
          <w:lang w:val="en-US"/>
        </w:rPr>
      </w:pPr>
      <w:r w:rsidRPr="00BB50D4">
        <w:rPr>
          <w:lang w:val="en-US"/>
        </w:rPr>
        <w:tab/>
        <w:t>(a)</w:t>
      </w:r>
      <w:r w:rsidRPr="00BB50D4">
        <w:rPr>
          <w:lang w:val="en-US"/>
        </w:rPr>
        <w:tab/>
      </w:r>
      <w:r w:rsidRPr="00BB50D4">
        <w:rPr>
          <w:b/>
          <w:bCs/>
          <w:lang w:val="en-US"/>
        </w:rPr>
        <w:t>Encourage all provinces and territories to incorporate the provisions of the United Nations Declaration on the Rights of Indigenous Peoples into binding legislation and establish a commemoration day of truth and reconciliation;</w:t>
      </w:r>
    </w:p>
    <w:p w14:paraId="72615B3A" w14:textId="77777777" w:rsidR="0019647B" w:rsidRPr="00BB50D4" w:rsidRDefault="0019647B" w:rsidP="0019647B">
      <w:pPr>
        <w:pStyle w:val="SingleTxtG"/>
        <w:rPr>
          <w:b/>
          <w:bCs/>
          <w:lang w:val="en-US"/>
        </w:rPr>
      </w:pPr>
      <w:r w:rsidRPr="00BB50D4">
        <w:rPr>
          <w:lang w:val="en-US"/>
        </w:rPr>
        <w:tab/>
        <w:t>(b)</w:t>
      </w:r>
      <w:r w:rsidRPr="00BB50D4">
        <w:rPr>
          <w:lang w:val="en-US"/>
        </w:rPr>
        <w:tab/>
      </w:r>
      <w:r w:rsidRPr="00BB50D4">
        <w:rPr>
          <w:b/>
          <w:bCs/>
          <w:lang w:val="en-U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1BF5C72B" w14:textId="77777777" w:rsidR="0019647B" w:rsidRPr="00BB50D4" w:rsidRDefault="0019647B" w:rsidP="0019647B">
      <w:pPr>
        <w:pStyle w:val="SingleTxtG"/>
        <w:rPr>
          <w:b/>
          <w:bCs/>
          <w:lang w:val="en-US"/>
        </w:rPr>
      </w:pPr>
      <w:r w:rsidRPr="00BB50D4">
        <w:rPr>
          <w:lang w:val="en-US"/>
        </w:rPr>
        <w:tab/>
        <w:t>(c)</w:t>
      </w:r>
      <w:r w:rsidRPr="00BB50D4">
        <w:rPr>
          <w:lang w:val="en-US"/>
        </w:rPr>
        <w:tab/>
      </w:r>
      <w:r w:rsidRPr="00BB50D4">
        <w:rPr>
          <w:b/>
          <w:bCs/>
          <w:lang w:val="en-US"/>
        </w:rPr>
        <w:t>Review and amend all relevant laws to ensure they align with the State’s domestic and international obligations towards Indigenous Peoples and remove any existing legal barriers to the effective exercise of Indigenous self-government;</w:t>
      </w:r>
    </w:p>
    <w:p w14:paraId="3EE68347" w14:textId="77777777" w:rsidR="0019647B" w:rsidRPr="00BB50D4" w:rsidRDefault="0019647B" w:rsidP="0019647B">
      <w:pPr>
        <w:pStyle w:val="SingleTxtG"/>
        <w:rPr>
          <w:b/>
          <w:bCs/>
          <w:lang w:val="en-US"/>
        </w:rPr>
      </w:pPr>
      <w:r w:rsidRPr="00BB50D4">
        <w:rPr>
          <w:lang w:val="en-US"/>
        </w:rPr>
        <w:tab/>
        <w:t>(d)</w:t>
      </w:r>
      <w:r w:rsidRPr="00BB50D4">
        <w:rPr>
          <w:lang w:val="en-US"/>
        </w:rPr>
        <w:tab/>
      </w:r>
      <w:r w:rsidRPr="00BB50D4">
        <w:rPr>
          <w:b/>
          <w:bCs/>
          <w:lang w:val="en-US"/>
        </w:rPr>
        <w:t xml:space="preserve">Ratify the Optional Protocol to the Convention against Torture and Other Cruel, Inhuman or Degrading Treatment or Punishment, the Indigenous and Tribal Peoples Convention, 1989 (No. 169) of the International </w:t>
      </w:r>
      <w:proofErr w:type="spellStart"/>
      <w:r w:rsidRPr="00BB50D4">
        <w:rPr>
          <w:b/>
          <w:bCs/>
          <w:lang w:val="en-US"/>
        </w:rPr>
        <w:t>Labour</w:t>
      </w:r>
      <w:proofErr w:type="spellEnd"/>
      <w:r w:rsidRPr="00BB50D4">
        <w:rPr>
          <w:b/>
          <w:bCs/>
          <w:lang w:val="en-US"/>
        </w:rPr>
        <w:t xml:space="preserve"> Organization and the American Convention on Human Rights.</w:t>
      </w:r>
    </w:p>
    <w:p w14:paraId="2C471FA6" w14:textId="77777777" w:rsidR="0019647B" w:rsidRPr="009B5A85" w:rsidRDefault="0019647B" w:rsidP="0019647B">
      <w:pPr>
        <w:pStyle w:val="H23G"/>
        <w:outlineLvl w:val="2"/>
      </w:pPr>
      <w:r w:rsidRPr="00BB50D4">
        <w:rPr>
          <w:lang w:val="en-US"/>
        </w:rPr>
        <w:tab/>
      </w:r>
      <w:r w:rsidRPr="00BB50D4">
        <w:rPr>
          <w:lang w:val="en-US"/>
        </w:rPr>
        <w:tab/>
      </w:r>
      <w:proofErr w:type="spellStart"/>
      <w:r w:rsidRPr="009B5A85">
        <w:t>Residential</w:t>
      </w:r>
      <w:proofErr w:type="spellEnd"/>
      <w:r w:rsidRPr="009B5A85">
        <w:t xml:space="preserve"> </w:t>
      </w:r>
      <w:proofErr w:type="spellStart"/>
      <w:r w:rsidRPr="009B5A85">
        <w:t>schools</w:t>
      </w:r>
      <w:proofErr w:type="spellEnd"/>
    </w:p>
    <w:p w14:paraId="3F95E983"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752C27FE" w14:textId="77777777" w:rsidR="0019647B" w:rsidRPr="00BB50D4" w:rsidRDefault="0019647B" w:rsidP="0019647B">
      <w:pPr>
        <w:pStyle w:val="SingleTxtG"/>
        <w:rPr>
          <w:b/>
          <w:bCs/>
          <w:lang w:val="en-US"/>
        </w:rPr>
      </w:pPr>
      <w:r w:rsidRPr="00BB50D4">
        <w:rPr>
          <w:b/>
          <w:bCs/>
          <w:lang w:val="en-US"/>
        </w:rPr>
        <w:lastRenderedPageBreak/>
        <w:tab/>
      </w:r>
      <w:r w:rsidRPr="00BB50D4">
        <w:rPr>
          <w:lang w:val="en-US"/>
        </w:rPr>
        <w:t>(a)</w:t>
      </w:r>
      <w:r w:rsidRPr="00BB50D4">
        <w:rPr>
          <w:b/>
          <w:bCs/>
          <w:lang w:val="en-US"/>
        </w:rPr>
        <w:tab/>
        <w:t>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documentation;</w:t>
      </w:r>
    </w:p>
    <w:p w14:paraId="3A074092" w14:textId="77777777" w:rsidR="0019647B" w:rsidRPr="00BB50D4" w:rsidRDefault="0019647B" w:rsidP="0019647B">
      <w:pPr>
        <w:pStyle w:val="SingleTxtG"/>
        <w:rPr>
          <w:b/>
          <w:bCs/>
          <w:lang w:val="en-US"/>
        </w:rPr>
      </w:pPr>
      <w:r w:rsidRPr="00BB50D4">
        <w:rPr>
          <w:b/>
          <w:bCs/>
          <w:lang w:val="en-US"/>
        </w:rPr>
        <w:tab/>
      </w:r>
      <w:r w:rsidRPr="00BB50D4">
        <w:rPr>
          <w:lang w:val="en-US"/>
        </w:rPr>
        <w:t>(b)</w:t>
      </w:r>
      <w:r w:rsidRPr="00BB50D4">
        <w:rPr>
          <w:b/>
          <w:bCs/>
          <w:lang w:val="en-US"/>
        </w:rPr>
        <w:tab/>
        <w:t>Pass legislation and take other measures necessary to preserve residential school records set for destruction in 2027 by Supreme Court order;</w:t>
      </w:r>
    </w:p>
    <w:p w14:paraId="43450046" w14:textId="77777777" w:rsidR="0019647B" w:rsidRPr="00BB50D4" w:rsidRDefault="0019647B" w:rsidP="0019647B">
      <w:pPr>
        <w:pStyle w:val="SingleTxtG"/>
        <w:rPr>
          <w:b/>
          <w:bCs/>
          <w:lang w:val="en-US"/>
        </w:rPr>
      </w:pPr>
      <w:r w:rsidRPr="00BB50D4">
        <w:rPr>
          <w:b/>
          <w:bCs/>
          <w:lang w:val="en-US"/>
        </w:rPr>
        <w:tab/>
      </w:r>
      <w:r w:rsidRPr="00BB50D4">
        <w:rPr>
          <w:lang w:val="en-US"/>
        </w:rPr>
        <w:t>(c)</w:t>
      </w:r>
      <w:r w:rsidRPr="00BB50D4">
        <w:rPr>
          <w:b/>
          <w:bCs/>
          <w:lang w:val="en-US"/>
        </w:rPr>
        <w:tab/>
        <w:t>Fully support Indigenous Peoples’ calls for survivor-</w:t>
      </w:r>
      <w:proofErr w:type="spellStart"/>
      <w:r w:rsidRPr="00BB50D4">
        <w:rPr>
          <w:b/>
          <w:bCs/>
          <w:lang w:val="en-US"/>
        </w:rPr>
        <w:t>centred</w:t>
      </w:r>
      <w:proofErr w:type="spellEnd"/>
      <w:r w:rsidRPr="00BB50D4">
        <w:rPr>
          <w:b/>
          <w:bCs/>
          <w:lang w:val="en-US"/>
        </w:rPr>
        <w:t>, Indigenous-led investigations into residential school burial sites, including those located on private lands, to mitigate against further harm in accordance with Truth and Reconciliation Commission Call to Action 76, and respect Indigenous Peoples’ laws and protocols related to grieving, death and burial practices in any investigation of residential school burial sites;</w:t>
      </w:r>
    </w:p>
    <w:p w14:paraId="49285219" w14:textId="77777777" w:rsidR="0019647B" w:rsidRPr="00BB50D4" w:rsidRDefault="0019647B" w:rsidP="0019647B">
      <w:pPr>
        <w:pStyle w:val="SingleTxtG"/>
        <w:rPr>
          <w:b/>
          <w:bCs/>
          <w:lang w:val="en-US"/>
        </w:rPr>
      </w:pPr>
      <w:r w:rsidRPr="00BB50D4">
        <w:rPr>
          <w:b/>
          <w:bCs/>
          <w:lang w:val="en-US"/>
        </w:rPr>
        <w:tab/>
      </w:r>
      <w:r w:rsidRPr="00BB50D4">
        <w:rPr>
          <w:lang w:val="en-US"/>
        </w:rPr>
        <w:t>(d)</w:t>
      </w:r>
      <w:r w:rsidRPr="00BB50D4">
        <w:rPr>
          <w:b/>
          <w:bCs/>
          <w:lang w:val="en-US"/>
        </w:rPr>
        <w:tab/>
        <w:t>Counter denialism and misinformation about residential schools with ongoing public education and awareness-raising campaigns;</w:t>
      </w:r>
    </w:p>
    <w:p w14:paraId="2AE26CAA" w14:textId="77777777" w:rsidR="0019647B" w:rsidRPr="00BB50D4" w:rsidRDefault="0019647B" w:rsidP="0019647B">
      <w:pPr>
        <w:pStyle w:val="SingleTxtG"/>
        <w:rPr>
          <w:b/>
          <w:bCs/>
          <w:lang w:val="en-US"/>
        </w:rPr>
      </w:pPr>
      <w:r w:rsidRPr="00BB50D4">
        <w:rPr>
          <w:b/>
          <w:bCs/>
          <w:lang w:val="en-US"/>
        </w:rPr>
        <w:tab/>
      </w:r>
      <w:r w:rsidRPr="00BB50D4">
        <w:rPr>
          <w:lang w:val="en-US"/>
        </w:rPr>
        <w:t>(e)</w:t>
      </w:r>
      <w:r w:rsidRPr="00BB50D4">
        <w:rPr>
          <w:b/>
          <w:bCs/>
          <w:lang w:val="en-US"/>
        </w:rPr>
        <w:tab/>
        <w:t>Fully resolve all residential school claims, including for all church-run institutions and residential schools established by provinces, as well as the claims of Métis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4B6F7898" w14:textId="77777777" w:rsidR="0019647B" w:rsidRPr="00BB50D4" w:rsidRDefault="0019647B" w:rsidP="0019647B">
      <w:pPr>
        <w:pStyle w:val="SingleTxtG"/>
        <w:rPr>
          <w:b/>
          <w:bCs/>
          <w:lang w:val="en-US"/>
        </w:rPr>
      </w:pPr>
      <w:r w:rsidRPr="00BB50D4">
        <w:rPr>
          <w:b/>
          <w:bCs/>
          <w:lang w:val="en-US"/>
        </w:rPr>
        <w:tab/>
      </w:r>
      <w:r w:rsidRPr="00BB50D4">
        <w:rPr>
          <w:lang w:val="en-US"/>
        </w:rPr>
        <w:t>(f)</w:t>
      </w:r>
      <w:r w:rsidRPr="00BB50D4">
        <w:rPr>
          <w:b/>
          <w:bCs/>
          <w:lang w:val="en-US"/>
        </w:rPr>
        <w:tab/>
        <w:t>Pass legislation to protect Indigenous Peoples’ human remains, funerary objects, sacred objects and objects of cultural patrimony found on federal, provincial, territorial, municipal, church or private lands.</w:t>
      </w:r>
    </w:p>
    <w:p w14:paraId="0E7239F6" w14:textId="77777777" w:rsidR="0019647B" w:rsidRPr="009B5A85" w:rsidRDefault="0019647B" w:rsidP="0019647B">
      <w:pPr>
        <w:pStyle w:val="H23G"/>
        <w:outlineLvl w:val="2"/>
      </w:pPr>
      <w:r w:rsidRPr="00BB50D4">
        <w:rPr>
          <w:lang w:val="en-US"/>
        </w:rPr>
        <w:tab/>
      </w:r>
      <w:r w:rsidRPr="00BB50D4">
        <w:rPr>
          <w:lang w:val="en-US"/>
        </w:rPr>
        <w:tab/>
      </w:r>
      <w:r w:rsidRPr="009B5A85">
        <w:t xml:space="preserve">Child </w:t>
      </w:r>
      <w:proofErr w:type="spellStart"/>
      <w:r w:rsidRPr="009B5A85">
        <w:t>welfare</w:t>
      </w:r>
      <w:proofErr w:type="spellEnd"/>
      <w:r w:rsidRPr="009B5A85">
        <w:t xml:space="preserve"> </w:t>
      </w:r>
      <w:proofErr w:type="spellStart"/>
      <w:r w:rsidRPr="009B5A85">
        <w:t>system</w:t>
      </w:r>
      <w:proofErr w:type="spellEnd"/>
    </w:p>
    <w:p w14:paraId="4F264492"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0A216358" w14:textId="77777777" w:rsidR="0019647B" w:rsidRPr="00BB50D4" w:rsidRDefault="0019647B" w:rsidP="0019647B">
      <w:pPr>
        <w:pStyle w:val="SingleTxtG"/>
        <w:rPr>
          <w:b/>
          <w:bCs/>
          <w:lang w:val="en-US"/>
        </w:rPr>
      </w:pPr>
      <w:r w:rsidRPr="00BB50D4">
        <w:rPr>
          <w:lang w:val="en-US"/>
        </w:rPr>
        <w:tab/>
        <w:t>(a)</w:t>
      </w:r>
      <w:r w:rsidRPr="00BB50D4">
        <w:rPr>
          <w:lang w:val="en-US"/>
        </w:rPr>
        <w:tab/>
      </w:r>
      <w:r w:rsidRPr="00BB50D4">
        <w:rPr>
          <w:b/>
          <w:bCs/>
          <w:lang w:val="en-US"/>
        </w:rPr>
        <w:t>Adopt holistic legal and administrative reforms to address the root causes of Indigenous children’s overrepresentation in the child welfare system, including racial discrimination, poverty, inadequate housing and the lack of culturally appropriate interpretations of the best interests of the Indigenous child;</w:t>
      </w:r>
    </w:p>
    <w:p w14:paraId="3DECD354" w14:textId="77777777" w:rsidR="0019647B" w:rsidRPr="00BB50D4" w:rsidRDefault="0019647B" w:rsidP="0019647B">
      <w:pPr>
        <w:pStyle w:val="SingleTxtG"/>
        <w:rPr>
          <w:lang w:val="en-US"/>
        </w:rPr>
      </w:pPr>
      <w:r w:rsidRPr="00BB50D4">
        <w:rPr>
          <w:lang w:val="en-US"/>
        </w:rPr>
        <w:tab/>
        <w:t>(b)</w:t>
      </w:r>
      <w:r w:rsidRPr="00BB50D4">
        <w:rPr>
          <w:lang w:val="en-US"/>
        </w:rPr>
        <w:tab/>
      </w:r>
      <w:r w:rsidRPr="00BB50D4">
        <w:rPr>
          <w:b/>
          <w:bCs/>
          <w:lang w:val="en-US"/>
        </w:rPr>
        <w:t xml:space="preserve">Implement the recommendations of the Committee on the Rights of the Child to ensure that Indigenous children in care </w:t>
      </w:r>
      <w:proofErr w:type="gramStart"/>
      <w:r w:rsidRPr="00BB50D4">
        <w:rPr>
          <w:b/>
          <w:bCs/>
          <w:lang w:val="en-US"/>
        </w:rPr>
        <w:t>are able to</w:t>
      </w:r>
      <w:proofErr w:type="gramEnd"/>
      <w:r w:rsidRPr="00BB50D4">
        <w:rPr>
          <w:b/>
          <w:bCs/>
          <w:lang w:val="en-US"/>
        </w:rPr>
        <w:t xml:space="preserve"> preserve their identity, by adopting legislative and administrative measures to protect their rights to identity, name, culture and language, and culturally appropriate education.</w:t>
      </w:r>
      <w:r w:rsidRPr="00D26C5A">
        <w:rPr>
          <w:rStyle w:val="Refdenotaalpie"/>
        </w:rPr>
        <w:footnoteReference w:id="60"/>
      </w:r>
    </w:p>
    <w:p w14:paraId="4174055F" w14:textId="77777777" w:rsidR="0019647B" w:rsidRPr="00BB50D4" w:rsidRDefault="0019647B" w:rsidP="0019647B">
      <w:pPr>
        <w:pStyle w:val="H23G"/>
        <w:outlineLvl w:val="2"/>
        <w:rPr>
          <w:lang w:val="en-US"/>
        </w:rPr>
      </w:pPr>
      <w:r w:rsidRPr="00BB50D4">
        <w:rPr>
          <w:lang w:val="en-US"/>
        </w:rPr>
        <w:tab/>
      </w:r>
      <w:r w:rsidRPr="00BB50D4">
        <w:rPr>
          <w:lang w:val="en-US"/>
        </w:rPr>
        <w:tab/>
        <w:t xml:space="preserve">Missing and murdered Indigenous women and </w:t>
      </w:r>
      <w:proofErr w:type="gramStart"/>
      <w:r w:rsidRPr="00BB50D4">
        <w:rPr>
          <w:lang w:val="en-US"/>
        </w:rPr>
        <w:t>girls</w:t>
      </w:r>
      <w:proofErr w:type="gramEnd"/>
    </w:p>
    <w:p w14:paraId="1AFEEEC5"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411ACC90" w14:textId="77777777" w:rsidR="0019647B" w:rsidRPr="00BB50D4" w:rsidRDefault="0019647B" w:rsidP="0019647B">
      <w:pPr>
        <w:pStyle w:val="SingleTxtG"/>
        <w:rPr>
          <w:b/>
          <w:bCs/>
          <w:lang w:val="en-US"/>
        </w:rPr>
      </w:pPr>
      <w:r w:rsidRPr="00BB50D4">
        <w:rPr>
          <w:lang w:val="en-US"/>
        </w:rPr>
        <w:tab/>
        <w:t>(a)</w:t>
      </w:r>
      <w:r w:rsidRPr="00BB50D4">
        <w:rPr>
          <w:lang w:val="en-US"/>
        </w:rPr>
        <w:tab/>
      </w:r>
      <w:r w:rsidRPr="00BB50D4">
        <w:rPr>
          <w:b/>
          <w:bCs/>
          <w:lang w:val="en-US"/>
        </w:rPr>
        <w:t>Develop a joint action plan to advance implementation of the National Inquiry’s 231 calls to justice, along with a comprehensive and coordinated national violence prevention strategy for Indigenous women and girls, and hold an inquiry into missing and murdered Indigenous boys and men;</w:t>
      </w:r>
    </w:p>
    <w:p w14:paraId="3C2697B7" w14:textId="77777777" w:rsidR="0019647B" w:rsidRPr="00BB50D4" w:rsidRDefault="0019647B" w:rsidP="0019647B">
      <w:pPr>
        <w:pStyle w:val="SingleTxtG"/>
        <w:rPr>
          <w:lang w:val="en-US"/>
        </w:rPr>
      </w:pPr>
      <w:r w:rsidRPr="00BB50D4">
        <w:rPr>
          <w:lang w:val="en-US"/>
        </w:rPr>
        <w:tab/>
        <w:t>(b)</w:t>
      </w:r>
      <w:r w:rsidRPr="00BB50D4">
        <w:rPr>
          <w:lang w:val="en-US"/>
        </w:rPr>
        <w:tab/>
      </w:r>
      <w:r w:rsidRPr="00BB50D4">
        <w:rPr>
          <w:b/>
          <w:bCs/>
          <w:lang w:val="en-US"/>
        </w:rPr>
        <w:t>Implement the recommendation of Committee on the Elimination of Racial Discrimination to establish an independent review mechanism for unsolved cases of missing and murdered Indigenous women and girls</w:t>
      </w:r>
      <w:r w:rsidRPr="00BB50D4" w:rsidDel="00030692">
        <w:rPr>
          <w:b/>
          <w:bCs/>
          <w:lang w:val="en-US"/>
        </w:rPr>
        <w:t xml:space="preserve"> </w:t>
      </w:r>
      <w:r w:rsidRPr="00BB50D4">
        <w:rPr>
          <w:b/>
          <w:bCs/>
          <w:lang w:val="en-US"/>
        </w:rPr>
        <w:t>where there is evidence of bias or error in the investigation,</w:t>
      </w:r>
      <w:r w:rsidRPr="00D26C5A">
        <w:rPr>
          <w:rStyle w:val="Refdenotaalpie"/>
        </w:rPr>
        <w:footnoteReference w:id="61"/>
      </w:r>
      <w:r w:rsidRPr="00BB50D4">
        <w:rPr>
          <w:b/>
          <w:bCs/>
          <w:lang w:val="en-US"/>
        </w:rPr>
        <w:t xml:space="preserve"> including through the creation and funding of a national investigative taskforce to review or reopen unresolved investigations;</w:t>
      </w:r>
    </w:p>
    <w:p w14:paraId="2F97146F" w14:textId="77777777" w:rsidR="0019647B" w:rsidRPr="00BB50D4" w:rsidRDefault="0019647B" w:rsidP="0019647B">
      <w:pPr>
        <w:pStyle w:val="SingleTxtG"/>
        <w:rPr>
          <w:b/>
          <w:bCs/>
          <w:lang w:val="en-US"/>
        </w:rPr>
      </w:pPr>
      <w:r w:rsidRPr="00BB50D4">
        <w:rPr>
          <w:lang w:val="en-US"/>
        </w:rPr>
        <w:lastRenderedPageBreak/>
        <w:tab/>
        <w:t>(c)</w:t>
      </w:r>
      <w:r w:rsidRPr="00BB50D4">
        <w:rPr>
          <w:lang w:val="en-US"/>
        </w:rPr>
        <w:tab/>
      </w:r>
      <w:r w:rsidRPr="00BB50D4">
        <w:rPr>
          <w:b/>
          <w:bCs/>
          <w:lang w:val="en-US"/>
        </w:rPr>
        <w:t xml:space="preserve">Provide core sustainable funding for Indigenous women’s </w:t>
      </w:r>
      <w:proofErr w:type="spellStart"/>
      <w:r w:rsidRPr="00BB50D4">
        <w:rPr>
          <w:b/>
          <w:bCs/>
          <w:lang w:val="en-US"/>
        </w:rPr>
        <w:t>centres</w:t>
      </w:r>
      <w:proofErr w:type="spellEnd"/>
      <w:r w:rsidRPr="00BB50D4">
        <w:rPr>
          <w:b/>
          <w:bCs/>
          <w:lang w:val="en-US"/>
        </w:rPr>
        <w:t>, shelters, transitional housing, treatment facilities and other safe spaces, including culturally relevant, comprehensive health-care support;</w:t>
      </w:r>
    </w:p>
    <w:p w14:paraId="51F7AEB4" w14:textId="77777777" w:rsidR="0019647B" w:rsidRPr="00BB50D4" w:rsidRDefault="0019647B" w:rsidP="0019647B">
      <w:pPr>
        <w:pStyle w:val="SingleTxtG"/>
        <w:rPr>
          <w:b/>
          <w:bCs/>
          <w:lang w:val="en-US"/>
        </w:rPr>
      </w:pPr>
      <w:r w:rsidRPr="00BB50D4">
        <w:rPr>
          <w:lang w:val="en-US"/>
        </w:rPr>
        <w:tab/>
        <w:t>(d)</w:t>
      </w:r>
      <w:r w:rsidRPr="00BB50D4">
        <w:rPr>
          <w:lang w:val="en-US"/>
        </w:rPr>
        <w:tab/>
      </w:r>
      <w:r w:rsidRPr="00BB50D4">
        <w:rPr>
          <w:b/>
          <w:bCs/>
          <w:lang w:val="en-US"/>
        </w:rPr>
        <w:t xml:space="preserve">Increase funding and resources to develop culturally appropriate </w:t>
      </w:r>
      <w:proofErr w:type="spellStart"/>
      <w:r w:rsidRPr="00BB50D4">
        <w:rPr>
          <w:b/>
          <w:bCs/>
          <w:lang w:val="en-US"/>
        </w:rPr>
        <w:t>programmes</w:t>
      </w:r>
      <w:proofErr w:type="spellEnd"/>
      <w:r w:rsidRPr="00BB50D4">
        <w:rPr>
          <w:b/>
          <w:bCs/>
          <w:lang w:val="en-US"/>
        </w:rPr>
        <w:t xml:space="preserve"> and services for men and boys to address the intergenerational trauma and abuse suffered by Indigenous men that contributes to the many types of violence experienced by Indigenous women and girls.</w:t>
      </w:r>
    </w:p>
    <w:p w14:paraId="25F61B11" w14:textId="77777777" w:rsidR="0019647B" w:rsidRPr="00BB50D4" w:rsidRDefault="0019647B" w:rsidP="0019647B">
      <w:pPr>
        <w:pStyle w:val="H23G"/>
        <w:outlineLvl w:val="2"/>
        <w:rPr>
          <w:lang w:val="en-US"/>
        </w:rPr>
      </w:pPr>
      <w:r w:rsidRPr="00BB50D4">
        <w:rPr>
          <w:lang w:val="en-US"/>
        </w:rPr>
        <w:tab/>
      </w:r>
      <w:r w:rsidRPr="00BB50D4">
        <w:rPr>
          <w:lang w:val="en-US"/>
        </w:rPr>
        <w:tab/>
        <w:t>Gender-based discrimination in the Indian Act</w:t>
      </w:r>
    </w:p>
    <w:p w14:paraId="6D790F53"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584DCD2D" w14:textId="77777777" w:rsidR="0019647B" w:rsidRPr="00BB50D4" w:rsidRDefault="0019647B" w:rsidP="0019647B">
      <w:pPr>
        <w:pStyle w:val="SingleTxtG"/>
        <w:rPr>
          <w:b/>
          <w:bCs/>
          <w:lang w:val="en-US"/>
        </w:rPr>
      </w:pPr>
      <w:r w:rsidRPr="00BB50D4">
        <w:rPr>
          <w:lang w:val="en-US"/>
        </w:rPr>
        <w:tab/>
        <w:t>(a)</w:t>
      </w:r>
      <w:r w:rsidRPr="00BB50D4">
        <w:rPr>
          <w:lang w:val="en-US"/>
        </w:rPr>
        <w:tab/>
      </w:r>
      <w:r w:rsidRPr="00BB50D4">
        <w:rPr>
          <w:b/>
          <w:bCs/>
          <w:lang w:val="en-US"/>
        </w:rPr>
        <w:t>Implement the recommendations of the Standing Senate Committee on Indigenous Peoples to repeal section 6 (2) of the Indian Act (the “second generation cut-off”),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country’s official languages to explain the eligibility and the registration process;</w:t>
      </w:r>
      <w:r w:rsidRPr="00D26C5A">
        <w:rPr>
          <w:rStyle w:val="Refdenotaalpie"/>
        </w:rPr>
        <w:footnoteReference w:id="62"/>
      </w:r>
    </w:p>
    <w:p w14:paraId="3BC51216" w14:textId="77777777" w:rsidR="0019647B" w:rsidRPr="00BB50D4" w:rsidRDefault="0019647B" w:rsidP="0019647B">
      <w:pPr>
        <w:pStyle w:val="SingleTxtG"/>
        <w:rPr>
          <w:b/>
          <w:bCs/>
          <w:lang w:val="en-US"/>
        </w:rPr>
      </w:pPr>
      <w:r w:rsidRPr="00BB50D4">
        <w:rPr>
          <w:lang w:val="en-US"/>
        </w:rPr>
        <w:tab/>
        <w:t>(b)</w:t>
      </w:r>
      <w:r w:rsidRPr="00BB50D4">
        <w:rPr>
          <w:lang w:val="en-US"/>
        </w:rPr>
        <w:tab/>
      </w:r>
      <w:r w:rsidRPr="00BB50D4">
        <w:rPr>
          <w:b/>
          <w:bCs/>
          <w:lang w:val="en-U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1253AE8F" w14:textId="77777777" w:rsidR="0019647B" w:rsidRPr="009B5A85" w:rsidRDefault="0019647B" w:rsidP="0019647B">
      <w:pPr>
        <w:pStyle w:val="H23G"/>
        <w:outlineLvl w:val="2"/>
      </w:pPr>
      <w:r w:rsidRPr="00BB50D4">
        <w:rPr>
          <w:lang w:val="en-US"/>
        </w:rPr>
        <w:tab/>
      </w:r>
      <w:r w:rsidRPr="00BB50D4">
        <w:rPr>
          <w:lang w:val="en-US"/>
        </w:rPr>
        <w:tab/>
      </w:r>
      <w:proofErr w:type="spellStart"/>
      <w:r w:rsidRPr="009B5A85">
        <w:t>Overincarceration</w:t>
      </w:r>
      <w:proofErr w:type="spellEnd"/>
      <w:r w:rsidRPr="009B5A85">
        <w:t xml:space="preserve"> and </w:t>
      </w:r>
      <w:proofErr w:type="spellStart"/>
      <w:r w:rsidRPr="009B5A85">
        <w:t>access</w:t>
      </w:r>
      <w:proofErr w:type="spellEnd"/>
      <w:r w:rsidRPr="009B5A85">
        <w:t xml:space="preserve"> </w:t>
      </w:r>
      <w:proofErr w:type="spellStart"/>
      <w:r w:rsidRPr="009B5A85">
        <w:t>to</w:t>
      </w:r>
      <w:proofErr w:type="spellEnd"/>
      <w:r w:rsidRPr="009B5A85">
        <w:t xml:space="preserve"> </w:t>
      </w:r>
      <w:proofErr w:type="spellStart"/>
      <w:r w:rsidRPr="009B5A85">
        <w:t>justice</w:t>
      </w:r>
      <w:proofErr w:type="spellEnd"/>
    </w:p>
    <w:p w14:paraId="2F5C7240"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0897D3F9" w14:textId="77777777" w:rsidR="0019647B" w:rsidRPr="00BB50D4" w:rsidRDefault="0019647B" w:rsidP="0019647B">
      <w:pPr>
        <w:pStyle w:val="SingleTxtG"/>
        <w:rPr>
          <w:b/>
          <w:bCs/>
          <w:lang w:val="en-US"/>
        </w:rPr>
      </w:pPr>
      <w:r w:rsidRPr="00BB50D4">
        <w:rPr>
          <w:lang w:val="en-US"/>
        </w:rPr>
        <w:tab/>
        <w:t>(a)</w:t>
      </w:r>
      <w:r w:rsidRPr="00BB50D4">
        <w:rPr>
          <w:lang w:val="en-US"/>
        </w:rPr>
        <w:tab/>
      </w:r>
      <w:r w:rsidRPr="00BB50D4">
        <w:rPr>
          <w:b/>
          <w:bCs/>
          <w:lang w:val="en-US"/>
        </w:rPr>
        <w:t xml:space="preserve">Address the concerns of human rights treaty monitoring bodies and special procedures </w:t>
      </w:r>
      <w:proofErr w:type="gramStart"/>
      <w:r w:rsidRPr="00BB50D4">
        <w:rPr>
          <w:b/>
          <w:bCs/>
          <w:lang w:val="en-US"/>
        </w:rPr>
        <w:t>with regard to</w:t>
      </w:r>
      <w:proofErr w:type="gramEnd"/>
      <w:r w:rsidRPr="00BB50D4">
        <w:rPr>
          <w:b/>
          <w:bCs/>
          <w:lang w:val="en-US"/>
        </w:rPr>
        <w:t xml:space="preserve"> providing human rights training to all legal, correctional and law enforcement professionals;</w:t>
      </w:r>
      <w:r w:rsidRPr="00D26C5A">
        <w:rPr>
          <w:rStyle w:val="Refdenotaalpie"/>
        </w:rPr>
        <w:footnoteReference w:id="63"/>
      </w:r>
    </w:p>
    <w:p w14:paraId="43ABBF50" w14:textId="77777777" w:rsidR="0019647B" w:rsidRPr="00BB50D4" w:rsidRDefault="0019647B" w:rsidP="0019647B">
      <w:pPr>
        <w:pStyle w:val="SingleTxtG"/>
        <w:rPr>
          <w:b/>
          <w:bCs/>
          <w:lang w:val="en-US"/>
        </w:rPr>
      </w:pPr>
      <w:r w:rsidRPr="00BB50D4">
        <w:rPr>
          <w:lang w:val="en-US"/>
        </w:rPr>
        <w:tab/>
        <w:t>(b)</w:t>
      </w:r>
      <w:r w:rsidRPr="00BB50D4">
        <w:rPr>
          <w:lang w:val="en-US"/>
        </w:rPr>
        <w:tab/>
      </w:r>
      <w:r w:rsidRPr="00BB50D4">
        <w:rPr>
          <w:b/>
          <w:bCs/>
          <w:lang w:val="en-US"/>
        </w:rPr>
        <w:t>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facilities;</w:t>
      </w:r>
    </w:p>
    <w:p w14:paraId="2ED74152" w14:textId="77777777" w:rsidR="0019647B" w:rsidRPr="00BB50D4" w:rsidRDefault="0019647B" w:rsidP="0019647B">
      <w:pPr>
        <w:pStyle w:val="SingleTxtG"/>
        <w:rPr>
          <w:b/>
          <w:bCs/>
          <w:lang w:val="en-US"/>
        </w:rPr>
      </w:pPr>
      <w:r w:rsidRPr="00BB50D4">
        <w:rPr>
          <w:lang w:val="en-US"/>
        </w:rPr>
        <w:tab/>
        <w:t>(c)</w:t>
      </w:r>
      <w:r w:rsidRPr="00BB50D4">
        <w:rPr>
          <w:lang w:val="en-US"/>
        </w:rPr>
        <w:tab/>
      </w:r>
      <w:r w:rsidRPr="00BB50D4">
        <w:rPr>
          <w:b/>
          <w:bCs/>
          <w:lang w:val="en-US"/>
        </w:rPr>
        <w:t>Ensure that any imposition of administrative segregation complies with the Nelson Mandela Rules;</w:t>
      </w:r>
    </w:p>
    <w:p w14:paraId="12F1B7CA" w14:textId="77777777" w:rsidR="0019647B" w:rsidRPr="00BB50D4" w:rsidRDefault="0019647B" w:rsidP="0019647B">
      <w:pPr>
        <w:pStyle w:val="SingleTxtG"/>
        <w:rPr>
          <w:b/>
          <w:bCs/>
          <w:lang w:val="en-US"/>
        </w:rPr>
      </w:pPr>
      <w:r w:rsidRPr="00BB50D4">
        <w:rPr>
          <w:lang w:val="en-US"/>
        </w:rPr>
        <w:tab/>
        <w:t>(d)</w:t>
      </w:r>
      <w:r w:rsidRPr="00BB50D4">
        <w:rPr>
          <w:lang w:val="en-US"/>
        </w:rPr>
        <w:tab/>
      </w:r>
      <w:r w:rsidRPr="00BB50D4">
        <w:rPr>
          <w:b/>
          <w:bCs/>
          <w:lang w:val="en-US"/>
        </w:rPr>
        <w:t>Resort, wherever possible, to alternatives to detention enabling Indigenous persons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5E24816B" w14:textId="77777777" w:rsidR="0019647B" w:rsidRPr="00BB50D4" w:rsidRDefault="0019647B" w:rsidP="0019647B">
      <w:pPr>
        <w:pStyle w:val="SingleTxtG"/>
        <w:rPr>
          <w:b/>
          <w:bCs/>
          <w:lang w:val="en-US"/>
        </w:rPr>
      </w:pPr>
      <w:r w:rsidRPr="00BB50D4">
        <w:rPr>
          <w:lang w:val="en-US"/>
        </w:rPr>
        <w:tab/>
        <w:t>(e)</w:t>
      </w:r>
      <w:r w:rsidRPr="00BB50D4">
        <w:rPr>
          <w:lang w:val="en-US"/>
        </w:rPr>
        <w:tab/>
      </w:r>
      <w:r w:rsidRPr="00BB50D4">
        <w:rPr>
          <w:b/>
          <w:bCs/>
          <w:lang w:val="en-US"/>
        </w:rPr>
        <w:t xml:space="preserve">Continue to expand the Aboriginal Justice Strategy and strengthen Indigenous legal systems, restorative justice </w:t>
      </w:r>
      <w:proofErr w:type="spellStart"/>
      <w:r w:rsidRPr="00BB50D4">
        <w:rPr>
          <w:b/>
          <w:bCs/>
          <w:lang w:val="en-US"/>
        </w:rPr>
        <w:t>programmes</w:t>
      </w:r>
      <w:proofErr w:type="spellEnd"/>
      <w:r w:rsidRPr="00BB50D4">
        <w:rPr>
          <w:b/>
          <w:bCs/>
          <w:lang w:val="en-US"/>
        </w:rPr>
        <w:t xml:space="preserve"> and healing lodges and culturally appropriate victim and offender treatment </w:t>
      </w:r>
      <w:proofErr w:type="spellStart"/>
      <w:r w:rsidRPr="00BB50D4">
        <w:rPr>
          <w:b/>
          <w:bCs/>
          <w:lang w:val="en-US"/>
        </w:rPr>
        <w:t>programmes</w:t>
      </w:r>
      <w:proofErr w:type="spellEnd"/>
      <w:r w:rsidRPr="00BB50D4">
        <w:rPr>
          <w:b/>
          <w:bCs/>
          <w:lang w:val="en-US"/>
        </w:rPr>
        <w:t>.</w:t>
      </w:r>
    </w:p>
    <w:p w14:paraId="3985D930" w14:textId="77777777" w:rsidR="0019647B" w:rsidRPr="009B5A85" w:rsidRDefault="0019647B" w:rsidP="0019647B">
      <w:pPr>
        <w:pStyle w:val="H23G"/>
        <w:outlineLvl w:val="2"/>
      </w:pPr>
      <w:r w:rsidRPr="00BB50D4">
        <w:rPr>
          <w:lang w:val="en-US"/>
        </w:rPr>
        <w:tab/>
      </w:r>
      <w:r w:rsidRPr="00BB50D4">
        <w:rPr>
          <w:lang w:val="en-US"/>
        </w:rPr>
        <w:tab/>
      </w:r>
      <w:proofErr w:type="spellStart"/>
      <w:r w:rsidRPr="009B5A85">
        <w:t>Treaties</w:t>
      </w:r>
      <w:proofErr w:type="spellEnd"/>
      <w:r w:rsidRPr="009B5A85">
        <w:t xml:space="preserve"> and </w:t>
      </w:r>
      <w:proofErr w:type="spellStart"/>
      <w:r w:rsidRPr="009B5A85">
        <w:t>self-government</w:t>
      </w:r>
      <w:proofErr w:type="spellEnd"/>
      <w:r w:rsidRPr="009B5A85">
        <w:t xml:space="preserve"> </w:t>
      </w:r>
      <w:proofErr w:type="spellStart"/>
      <w:r w:rsidRPr="009B5A85">
        <w:t>agreements</w:t>
      </w:r>
      <w:proofErr w:type="spellEnd"/>
    </w:p>
    <w:p w14:paraId="5EE9CED1"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4AB01399" w14:textId="77777777" w:rsidR="0019647B" w:rsidRPr="00BB50D4" w:rsidRDefault="0019647B" w:rsidP="0019647B">
      <w:pPr>
        <w:pStyle w:val="SingleTxtG"/>
        <w:rPr>
          <w:b/>
          <w:bCs/>
          <w:lang w:val="en-US"/>
        </w:rPr>
      </w:pPr>
      <w:r w:rsidRPr="00BB50D4">
        <w:rPr>
          <w:b/>
          <w:bCs/>
          <w:lang w:val="en-US"/>
        </w:rPr>
        <w:lastRenderedPageBreak/>
        <w:tab/>
      </w:r>
      <w:r w:rsidRPr="00BB50D4">
        <w:rPr>
          <w:lang w:val="en-US"/>
        </w:rPr>
        <w:t>(a)</w:t>
      </w:r>
      <w:r w:rsidRPr="00BB50D4">
        <w:rPr>
          <w:b/>
          <w:bCs/>
          <w:lang w:val="en-US"/>
        </w:rPr>
        <w:tab/>
        <w:t>Support an Indigenous-led process to develop new federal policies and legislation addressing the recognition and implementation of treaty rights to land title, and legal jurisdiction;</w:t>
      </w:r>
    </w:p>
    <w:p w14:paraId="5FECAF18" w14:textId="77777777" w:rsidR="0019647B" w:rsidRPr="00BB50D4" w:rsidRDefault="0019647B" w:rsidP="0019647B">
      <w:pPr>
        <w:pStyle w:val="SingleTxtG"/>
        <w:rPr>
          <w:b/>
          <w:bCs/>
          <w:lang w:val="en-US"/>
        </w:rPr>
      </w:pPr>
      <w:r w:rsidRPr="00BB50D4">
        <w:rPr>
          <w:b/>
          <w:bCs/>
          <w:lang w:val="en-US"/>
        </w:rPr>
        <w:tab/>
      </w:r>
      <w:r w:rsidRPr="00BB50D4">
        <w:rPr>
          <w:lang w:val="en-US"/>
        </w:rPr>
        <w:t>(b)</w:t>
      </w:r>
      <w:r w:rsidRPr="00BB50D4">
        <w:rPr>
          <w:b/>
          <w:bCs/>
          <w:lang w:val="en-US"/>
        </w:rPr>
        <w:tab/>
      </w:r>
      <w:proofErr w:type="spellStart"/>
      <w:r w:rsidRPr="00BB50D4">
        <w:rPr>
          <w:b/>
          <w:bCs/>
          <w:lang w:val="en-US"/>
        </w:rPr>
        <w:t>Honour</w:t>
      </w:r>
      <w:proofErr w:type="spellEnd"/>
      <w:r w:rsidRPr="00BB50D4">
        <w:rPr>
          <w:b/>
          <w:bCs/>
          <w:lang w:val="en-US"/>
        </w:rPr>
        <w:t xml:space="preserve"> the treaties </w:t>
      </w:r>
      <w:proofErr w:type="gramStart"/>
      <w:r w:rsidRPr="00BB50D4">
        <w:rPr>
          <w:b/>
          <w:bCs/>
          <w:lang w:val="en-US"/>
        </w:rPr>
        <w:t>entered into</w:t>
      </w:r>
      <w:proofErr w:type="gramEnd"/>
      <w:r w:rsidRPr="00BB50D4">
        <w:rPr>
          <w:b/>
          <w:bCs/>
          <w:lang w:val="en-US"/>
        </w:rPr>
        <w:t xml:space="preserve"> with Indigenous Peoples and establish effective, transparent bilateral processes with the full participation of Indigenous Peoples to resolve conflicts, ensure implementation, and settle disputes concerning land, water, food, health, consent and other rights affirmed in those treaties;</w:t>
      </w:r>
    </w:p>
    <w:p w14:paraId="160615BF" w14:textId="77777777" w:rsidR="0019647B" w:rsidRPr="00BB50D4" w:rsidRDefault="0019647B" w:rsidP="0019647B">
      <w:pPr>
        <w:pStyle w:val="SingleTxtG"/>
        <w:rPr>
          <w:b/>
          <w:bCs/>
          <w:lang w:val="en-US"/>
        </w:rPr>
      </w:pPr>
      <w:r w:rsidRPr="00BB50D4">
        <w:rPr>
          <w:b/>
          <w:bCs/>
          <w:lang w:val="en-US"/>
        </w:rPr>
        <w:tab/>
      </w:r>
      <w:r w:rsidRPr="00BB50D4">
        <w:rPr>
          <w:lang w:val="en-US"/>
        </w:rPr>
        <w:t>(c)</w:t>
      </w:r>
      <w:r w:rsidRPr="00BB50D4">
        <w:rPr>
          <w:b/>
          <w:bCs/>
          <w:lang w:val="en-US"/>
        </w:rPr>
        <w:tab/>
        <w:t>Guarantee in law and in practice the right to free, prior and informed consent, in accordance with the United Nations Declaration on the Rights of Indigenous Peoples and other relevant international standards, including the treaties concluded with Indigenous Peoples.</w:t>
      </w:r>
    </w:p>
    <w:p w14:paraId="027CF4B1" w14:textId="77777777" w:rsidR="0019647B" w:rsidRPr="00BB50D4" w:rsidRDefault="0019647B" w:rsidP="0019647B">
      <w:pPr>
        <w:pStyle w:val="H23G"/>
        <w:outlineLvl w:val="2"/>
        <w:rPr>
          <w:lang w:val="en-US"/>
        </w:rPr>
      </w:pPr>
      <w:r w:rsidRPr="00BB50D4">
        <w:rPr>
          <w:lang w:val="en-US"/>
        </w:rPr>
        <w:tab/>
      </w:r>
      <w:r w:rsidRPr="00BB50D4">
        <w:rPr>
          <w:lang w:val="en-US"/>
        </w:rPr>
        <w:tab/>
        <w:t>Impact of business activities and climate change on Indigenous Peoples</w:t>
      </w:r>
    </w:p>
    <w:p w14:paraId="0EC3D58A"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09E3BB32" w14:textId="77777777" w:rsidR="0019647B" w:rsidRPr="00BB50D4" w:rsidRDefault="0019647B" w:rsidP="0019647B">
      <w:pPr>
        <w:pStyle w:val="SingleTxtG"/>
        <w:rPr>
          <w:b/>
          <w:bCs/>
          <w:lang w:val="en-US"/>
        </w:rPr>
      </w:pPr>
      <w:r w:rsidRPr="00BB50D4">
        <w:rPr>
          <w:b/>
          <w:bCs/>
          <w:lang w:val="en-US"/>
        </w:rPr>
        <w:tab/>
      </w:r>
      <w:r w:rsidRPr="00BB50D4">
        <w:rPr>
          <w:lang w:val="en-US"/>
        </w:rPr>
        <w:t>(a)</w:t>
      </w:r>
      <w:r w:rsidRPr="00BB50D4">
        <w:rPr>
          <w:lang w:val="en-US"/>
        </w:rPr>
        <w:tab/>
      </w:r>
      <w:r w:rsidRPr="00BB50D4">
        <w:rPr>
          <w:b/>
          <w:bCs/>
          <w:lang w:val="en-US"/>
        </w:rPr>
        <w:t>Develop a national action plan on business and human rights;</w:t>
      </w:r>
    </w:p>
    <w:p w14:paraId="00913027" w14:textId="77777777" w:rsidR="0019647B" w:rsidRPr="00BB50D4" w:rsidRDefault="0019647B" w:rsidP="0019647B">
      <w:pPr>
        <w:pStyle w:val="SingleTxtG"/>
        <w:rPr>
          <w:b/>
          <w:bCs/>
          <w:lang w:val="en-US"/>
        </w:rPr>
      </w:pPr>
      <w:r w:rsidRPr="00BB50D4">
        <w:rPr>
          <w:lang w:val="en-US"/>
        </w:rPr>
        <w:tab/>
        <w:t>(b)</w:t>
      </w:r>
      <w:r w:rsidRPr="00BB50D4">
        <w:rPr>
          <w:b/>
          <w:bCs/>
          <w:lang w:val="en-US"/>
        </w:rPr>
        <w:tab/>
        <w:t>Recognize the extraterritorial human rights obligations of Canadian companies operating abroad and ensure that they are held accountable for human rights violations committed in other countries, including against Indigenous Peoples;</w:t>
      </w:r>
    </w:p>
    <w:p w14:paraId="5CF10A7A" w14:textId="77777777" w:rsidR="0019647B" w:rsidRPr="00BB50D4" w:rsidRDefault="0019647B" w:rsidP="0019647B">
      <w:pPr>
        <w:pStyle w:val="SingleTxtG"/>
        <w:rPr>
          <w:b/>
          <w:bCs/>
          <w:lang w:val="en-US"/>
        </w:rPr>
      </w:pPr>
      <w:r w:rsidRPr="00BB50D4">
        <w:rPr>
          <w:b/>
          <w:bCs/>
          <w:lang w:val="en-US"/>
        </w:rPr>
        <w:tab/>
      </w:r>
      <w:r w:rsidRPr="00BB50D4">
        <w:rPr>
          <w:lang w:val="en-US"/>
        </w:rPr>
        <w:t>(c)</w:t>
      </w:r>
      <w:r w:rsidRPr="00BB50D4">
        <w:rPr>
          <w:b/>
          <w:bCs/>
          <w:lang w:val="en-US"/>
        </w:rPr>
        <w:tab/>
        <w:t>Adopt human rights and environmental due diligence legislation to require companies to proactively prevent violations of human rights, including rights contained in the United Nations Declaration on the Rights of Indigenous Peoples;</w:t>
      </w:r>
    </w:p>
    <w:p w14:paraId="262BE103" w14:textId="77777777" w:rsidR="0019647B" w:rsidRPr="00BB50D4" w:rsidRDefault="0019647B" w:rsidP="0019647B">
      <w:pPr>
        <w:pStyle w:val="SingleTxtG"/>
        <w:rPr>
          <w:b/>
          <w:bCs/>
          <w:lang w:val="en-US"/>
        </w:rPr>
      </w:pPr>
      <w:r w:rsidRPr="00BB50D4">
        <w:rPr>
          <w:b/>
          <w:bCs/>
          <w:lang w:val="en-US"/>
        </w:rPr>
        <w:tab/>
      </w:r>
      <w:r w:rsidRPr="00BB50D4">
        <w:rPr>
          <w:lang w:val="en-US"/>
        </w:rPr>
        <w:t>(d)</w:t>
      </w:r>
      <w:r w:rsidRPr="00BB50D4">
        <w:rPr>
          <w:b/>
          <w:bCs/>
          <w:lang w:val="en-US"/>
        </w:rPr>
        <w:tab/>
        <w:t>Establish mechanisms to ensure that government support to companies, including political and commercial support by embassies and financing through Export Development Canada, is conditional on respect for international human rights and environmental standards, including the Declaration;</w:t>
      </w:r>
    </w:p>
    <w:p w14:paraId="7C63E43D" w14:textId="77777777" w:rsidR="0019647B" w:rsidRPr="00BB50D4" w:rsidRDefault="0019647B" w:rsidP="0019647B">
      <w:pPr>
        <w:pStyle w:val="SingleTxtG"/>
        <w:rPr>
          <w:b/>
          <w:bCs/>
          <w:lang w:val="en-US"/>
        </w:rPr>
      </w:pPr>
      <w:r w:rsidRPr="00BB50D4">
        <w:rPr>
          <w:b/>
          <w:bCs/>
          <w:lang w:val="en-US"/>
        </w:rPr>
        <w:tab/>
      </w:r>
      <w:r w:rsidRPr="00BB50D4">
        <w:rPr>
          <w:lang w:val="en-US"/>
        </w:rPr>
        <w:t>(e)</w:t>
      </w:r>
      <w:r w:rsidRPr="00BB50D4">
        <w:rPr>
          <w:b/>
          <w:bCs/>
          <w:lang w:val="en-US"/>
        </w:rPr>
        <w:tab/>
        <w:t>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mechanism;</w:t>
      </w:r>
    </w:p>
    <w:p w14:paraId="1F37E230" w14:textId="77777777" w:rsidR="0019647B" w:rsidRPr="00BB50D4" w:rsidRDefault="0019647B" w:rsidP="0019647B">
      <w:pPr>
        <w:pStyle w:val="SingleTxtG"/>
        <w:rPr>
          <w:b/>
          <w:bCs/>
          <w:lang w:val="en-US"/>
        </w:rPr>
      </w:pPr>
      <w:r w:rsidRPr="00BB50D4">
        <w:rPr>
          <w:b/>
          <w:bCs/>
          <w:lang w:val="en-US"/>
        </w:rPr>
        <w:tab/>
      </w:r>
      <w:r w:rsidRPr="00BB50D4">
        <w:rPr>
          <w:lang w:val="en-US"/>
        </w:rPr>
        <w:t>(f)</w:t>
      </w:r>
      <w:r w:rsidRPr="00BB50D4">
        <w:rPr>
          <w:b/>
          <w:bCs/>
          <w:lang w:val="en-US"/>
        </w:rPr>
        <w:tab/>
        <w:t>Adopt a rights-based approach to the establishment or expansion of existing protected areas and conduct meaningful consultations with Indigenous Peoples to obtain their free, prior and informed consent when their rights are affected;</w:t>
      </w:r>
    </w:p>
    <w:p w14:paraId="3DECFFD0" w14:textId="77777777" w:rsidR="0019647B" w:rsidRPr="00BB50D4" w:rsidRDefault="0019647B" w:rsidP="0019647B">
      <w:pPr>
        <w:pStyle w:val="SingleTxtG"/>
        <w:rPr>
          <w:b/>
          <w:bCs/>
          <w:lang w:val="en-US"/>
        </w:rPr>
      </w:pPr>
      <w:r w:rsidRPr="00BB50D4">
        <w:rPr>
          <w:lang w:val="en-US"/>
        </w:rPr>
        <w:tab/>
        <w:t>(g)</w:t>
      </w:r>
      <w:r w:rsidRPr="00BB50D4">
        <w:rPr>
          <w:b/>
          <w:bCs/>
          <w:lang w:val="en-US"/>
        </w:rPr>
        <w:tab/>
        <w:t>Provide support and adequate funding for Indigenous-led initiatives related to biodiversity conservation, climate resiliency and environmental disaster mitigation;</w:t>
      </w:r>
    </w:p>
    <w:p w14:paraId="481EA721" w14:textId="77777777" w:rsidR="0019647B" w:rsidRPr="00BB50D4" w:rsidRDefault="0019647B" w:rsidP="0019647B">
      <w:pPr>
        <w:pStyle w:val="SingleTxtG"/>
        <w:rPr>
          <w:b/>
          <w:bCs/>
          <w:lang w:val="en-US"/>
        </w:rPr>
      </w:pPr>
      <w:r w:rsidRPr="00BB50D4">
        <w:rPr>
          <w:b/>
          <w:bCs/>
          <w:lang w:val="en-US"/>
        </w:rPr>
        <w:tab/>
      </w:r>
      <w:r w:rsidRPr="00BB50D4">
        <w:rPr>
          <w:lang w:val="en-US"/>
        </w:rPr>
        <w:t>(h)</w:t>
      </w:r>
      <w:r w:rsidRPr="00BB50D4">
        <w:rPr>
          <w:b/>
          <w:bCs/>
          <w:lang w:val="en-US"/>
        </w:rPr>
        <w:tab/>
        <w:t>Implement existing commitments to remediate mercury contamination in the Grassy Narrows First Nation and take immediate measures to address its ongoing impacts on the community’s health and well-being, including compensation for the mercury contamination and other environmental harms;</w:t>
      </w:r>
    </w:p>
    <w:p w14:paraId="5AFE6B49" w14:textId="77777777" w:rsidR="0019647B" w:rsidRPr="00BB50D4" w:rsidRDefault="0019647B" w:rsidP="0019647B">
      <w:pPr>
        <w:pStyle w:val="SingleTxtG"/>
        <w:rPr>
          <w:b/>
          <w:bCs/>
          <w:lang w:val="en-US"/>
        </w:rPr>
      </w:pPr>
      <w:r w:rsidRPr="00BB50D4">
        <w:rPr>
          <w:b/>
          <w:bCs/>
          <w:lang w:val="en-US"/>
        </w:rPr>
        <w:tab/>
      </w:r>
      <w:r w:rsidRPr="00BB50D4">
        <w:rPr>
          <w:lang w:val="en-US"/>
        </w:rPr>
        <w:t>(</w:t>
      </w:r>
      <w:proofErr w:type="spellStart"/>
      <w:r w:rsidRPr="00BB50D4">
        <w:rPr>
          <w:lang w:val="en-US"/>
        </w:rPr>
        <w:t>i</w:t>
      </w:r>
      <w:proofErr w:type="spellEnd"/>
      <w:r w:rsidRPr="00BB50D4">
        <w:rPr>
          <w:lang w:val="en-US"/>
        </w:rPr>
        <w:t>)</w:t>
      </w:r>
      <w:r w:rsidRPr="00BB50D4">
        <w:rPr>
          <w:b/>
          <w:bCs/>
          <w:lang w:val="en-US"/>
        </w:rPr>
        <w:tab/>
        <w:t>Suspend large-scale mining and other business activities in the Ring of Fire region and cease construction or operation of the Coastal GasLink, Trans Mountain and Line 5 pipelines, until the free, prior and informed consent of the Indigenous Peoples affected is secured;</w:t>
      </w:r>
    </w:p>
    <w:p w14:paraId="6D66C89A" w14:textId="77777777" w:rsidR="0019647B" w:rsidRPr="00BB50D4" w:rsidRDefault="0019647B" w:rsidP="0019647B">
      <w:pPr>
        <w:pStyle w:val="SingleTxtG"/>
        <w:rPr>
          <w:b/>
          <w:bCs/>
          <w:lang w:val="en-US"/>
        </w:rPr>
      </w:pPr>
      <w:r w:rsidRPr="00BB50D4">
        <w:rPr>
          <w:b/>
          <w:bCs/>
          <w:lang w:val="en-US"/>
        </w:rPr>
        <w:tab/>
      </w:r>
      <w:r w:rsidRPr="00BB50D4">
        <w:rPr>
          <w:lang w:val="en-US"/>
        </w:rPr>
        <w:t>(j)</w:t>
      </w:r>
      <w:r w:rsidRPr="00BB50D4">
        <w:rPr>
          <w:b/>
          <w:bCs/>
          <w:lang w:val="en-US"/>
        </w:rPr>
        <w:tab/>
        <w:t xml:space="preserve">Implement the Impact Assessment Act in consultation and coordination with affected Indigenous Peoples and respect impact assessments conducted by Indigenous Peoples according to their own laws and protocols </w:t>
      </w:r>
      <w:proofErr w:type="gramStart"/>
      <w:r w:rsidRPr="00BB50D4">
        <w:rPr>
          <w:b/>
          <w:bCs/>
          <w:lang w:val="en-US"/>
        </w:rPr>
        <w:t>with regard to</w:t>
      </w:r>
      <w:proofErr w:type="gramEnd"/>
      <w:r w:rsidRPr="00BB50D4">
        <w:rPr>
          <w:b/>
          <w:bCs/>
          <w:lang w:val="en-US"/>
        </w:rPr>
        <w:t xml:space="preserve"> business activities and projects affecting them;</w:t>
      </w:r>
    </w:p>
    <w:p w14:paraId="1B2AAA2B" w14:textId="77777777" w:rsidR="0019647B" w:rsidRPr="00BB50D4" w:rsidRDefault="0019647B" w:rsidP="0019647B">
      <w:pPr>
        <w:pStyle w:val="SingleTxtG"/>
        <w:rPr>
          <w:b/>
          <w:bCs/>
          <w:lang w:val="en-US"/>
        </w:rPr>
      </w:pPr>
      <w:r w:rsidRPr="00BB50D4">
        <w:rPr>
          <w:b/>
          <w:bCs/>
          <w:lang w:val="en-US"/>
        </w:rPr>
        <w:tab/>
      </w:r>
      <w:r w:rsidRPr="00BB50D4">
        <w:rPr>
          <w:lang w:val="en-US"/>
        </w:rPr>
        <w:t>(k)</w:t>
      </w:r>
      <w:r w:rsidRPr="00BB50D4">
        <w:rPr>
          <w:b/>
          <w:bCs/>
          <w:lang w:val="en-US"/>
        </w:rPr>
        <w:tab/>
        <w:t>Halt the criminalization of Indigenous human rights defenders peacefully defending their lands and resources from extractive industries and other business actors.</w:t>
      </w:r>
    </w:p>
    <w:p w14:paraId="4ECEEE97" w14:textId="77777777" w:rsidR="0019647B" w:rsidRPr="009B5A85" w:rsidRDefault="0019647B" w:rsidP="0019647B">
      <w:pPr>
        <w:pStyle w:val="H23G"/>
        <w:ind w:left="0" w:firstLine="0"/>
        <w:outlineLvl w:val="2"/>
      </w:pPr>
      <w:r w:rsidRPr="00BB50D4">
        <w:rPr>
          <w:lang w:val="en-US"/>
        </w:rPr>
        <w:lastRenderedPageBreak/>
        <w:tab/>
      </w:r>
      <w:r w:rsidRPr="00BB50D4">
        <w:rPr>
          <w:lang w:val="en-US"/>
        </w:rPr>
        <w:tab/>
      </w:r>
      <w:proofErr w:type="spellStart"/>
      <w:r w:rsidRPr="009B5A85">
        <w:t>Economic</w:t>
      </w:r>
      <w:proofErr w:type="spellEnd"/>
      <w:r w:rsidRPr="009B5A85">
        <w:t xml:space="preserve">, social and cultural </w:t>
      </w:r>
      <w:proofErr w:type="spellStart"/>
      <w:r w:rsidRPr="009B5A85">
        <w:t>rights</w:t>
      </w:r>
      <w:proofErr w:type="spellEnd"/>
    </w:p>
    <w:p w14:paraId="73A3EED2" w14:textId="77777777" w:rsidR="0019647B" w:rsidRPr="009B5A85" w:rsidRDefault="0019647B" w:rsidP="0019647B">
      <w:pPr>
        <w:pStyle w:val="SingleTxtG"/>
        <w:numPr>
          <w:ilvl w:val="0"/>
          <w:numId w:val="35"/>
        </w:numPr>
        <w:tabs>
          <w:tab w:val="right" w:pos="1701"/>
        </w:tabs>
        <w:ind w:left="1134" w:firstLine="0"/>
        <w:rPr>
          <w:b/>
          <w:bCs/>
        </w:rPr>
      </w:pPr>
      <w:proofErr w:type="spellStart"/>
      <w:r w:rsidRPr="009B5A85">
        <w:rPr>
          <w:b/>
          <w:bCs/>
        </w:rPr>
        <w:t>Canada</w:t>
      </w:r>
      <w:proofErr w:type="spellEnd"/>
      <w:r w:rsidRPr="009B5A85">
        <w:rPr>
          <w:b/>
          <w:bCs/>
        </w:rPr>
        <w:t xml:space="preserve"> </w:t>
      </w:r>
      <w:proofErr w:type="spellStart"/>
      <w:r w:rsidRPr="009B5A85">
        <w:rPr>
          <w:b/>
          <w:bCs/>
        </w:rPr>
        <w:t>should</w:t>
      </w:r>
      <w:proofErr w:type="spellEnd"/>
      <w:r w:rsidRPr="009B5A85">
        <w:rPr>
          <w:b/>
          <w:bCs/>
        </w:rPr>
        <w:t>:</w:t>
      </w:r>
    </w:p>
    <w:p w14:paraId="730DD191" w14:textId="77777777" w:rsidR="0019647B" w:rsidRPr="00BB50D4" w:rsidRDefault="0019647B" w:rsidP="0019647B">
      <w:pPr>
        <w:pStyle w:val="SingleTxtG"/>
        <w:rPr>
          <w:b/>
          <w:bCs/>
          <w:lang w:val="en-US"/>
        </w:rPr>
      </w:pPr>
      <w:r w:rsidRPr="00BB50D4">
        <w:rPr>
          <w:b/>
          <w:bCs/>
          <w:lang w:val="en-US"/>
        </w:rPr>
        <w:tab/>
      </w:r>
      <w:r w:rsidRPr="00BB50D4">
        <w:rPr>
          <w:lang w:val="en-US"/>
        </w:rPr>
        <w:t>(a)</w:t>
      </w:r>
      <w:r w:rsidRPr="00BB50D4">
        <w:rPr>
          <w:b/>
          <w:bCs/>
          <w:lang w:val="en-US"/>
        </w:rPr>
        <w:tab/>
        <w:t xml:space="preserve">Provide support and adequate funding for targeted Indigenous health, education, housing and social services </w:t>
      </w:r>
      <w:proofErr w:type="spellStart"/>
      <w:r w:rsidRPr="00BB50D4">
        <w:rPr>
          <w:b/>
          <w:bCs/>
          <w:lang w:val="en-US"/>
        </w:rPr>
        <w:t>programmes</w:t>
      </w:r>
      <w:proofErr w:type="spellEnd"/>
      <w:r w:rsidRPr="00BB50D4">
        <w:rPr>
          <w:b/>
          <w:bCs/>
          <w:lang w:val="en-US"/>
        </w:rPr>
        <w:t xml:space="preserve"> so that Indigenous Peoples can implement their own culturally relevant </w:t>
      </w:r>
      <w:proofErr w:type="spellStart"/>
      <w:r w:rsidRPr="00BB50D4">
        <w:rPr>
          <w:b/>
          <w:bCs/>
          <w:lang w:val="en-US"/>
        </w:rPr>
        <w:t>programmes</w:t>
      </w:r>
      <w:proofErr w:type="spellEnd"/>
      <w:r w:rsidRPr="00BB50D4">
        <w:rPr>
          <w:b/>
          <w:bCs/>
          <w:lang w:val="en-US"/>
        </w:rPr>
        <w:t>;</w:t>
      </w:r>
    </w:p>
    <w:p w14:paraId="742D9B70" w14:textId="77777777" w:rsidR="0019647B" w:rsidRPr="00BB50D4" w:rsidRDefault="0019647B" w:rsidP="0019647B">
      <w:pPr>
        <w:pStyle w:val="SingleTxtG"/>
        <w:rPr>
          <w:b/>
          <w:bCs/>
          <w:lang w:val="en-US"/>
        </w:rPr>
      </w:pPr>
      <w:r w:rsidRPr="00BB50D4">
        <w:rPr>
          <w:b/>
          <w:bCs/>
          <w:lang w:val="en-US"/>
        </w:rPr>
        <w:tab/>
      </w:r>
      <w:r w:rsidRPr="00BB50D4">
        <w:rPr>
          <w:lang w:val="en-US"/>
        </w:rPr>
        <w:t>(b)</w:t>
      </w:r>
      <w:r w:rsidRPr="00BB50D4">
        <w:rPr>
          <w:b/>
          <w:bCs/>
          <w:lang w:val="en-US"/>
        </w:rPr>
        <w:tab/>
        <w:t>Adopt, promulgate and monitor national accessibility standards for Indigenous persons with disabilities, and ensure the accessibility of housing and social services within Indigenous Peoples’ communities;</w:t>
      </w:r>
    </w:p>
    <w:p w14:paraId="14B109F5" w14:textId="77777777" w:rsidR="0019647B" w:rsidRPr="00BB50D4" w:rsidRDefault="0019647B" w:rsidP="0019647B">
      <w:pPr>
        <w:pStyle w:val="SingleTxtG"/>
        <w:rPr>
          <w:b/>
          <w:bCs/>
          <w:lang w:val="en-US"/>
        </w:rPr>
      </w:pPr>
      <w:r w:rsidRPr="00BB50D4">
        <w:rPr>
          <w:b/>
          <w:bCs/>
          <w:lang w:val="en-US"/>
        </w:rPr>
        <w:tab/>
      </w:r>
      <w:r w:rsidRPr="00BB50D4">
        <w:rPr>
          <w:lang w:val="en-US"/>
        </w:rPr>
        <w:t>(c)</w:t>
      </w:r>
      <w:r w:rsidRPr="00BB50D4">
        <w:rPr>
          <w:b/>
          <w:bCs/>
          <w:lang w:val="en-US"/>
        </w:rPr>
        <w:tab/>
        <w:t>Take the steps necessary to promote language recovery, conservation and revitalization;</w:t>
      </w:r>
    </w:p>
    <w:p w14:paraId="66D7AFA1" w14:textId="77777777" w:rsidR="0019647B" w:rsidRPr="00BB50D4" w:rsidRDefault="0019647B" w:rsidP="0019647B">
      <w:pPr>
        <w:pStyle w:val="SingleTxtG"/>
        <w:rPr>
          <w:b/>
          <w:bCs/>
          <w:lang w:val="en-US"/>
        </w:rPr>
      </w:pPr>
      <w:r w:rsidRPr="00BB50D4">
        <w:rPr>
          <w:b/>
          <w:bCs/>
          <w:lang w:val="en-US"/>
        </w:rPr>
        <w:tab/>
      </w:r>
      <w:r w:rsidRPr="00BB50D4">
        <w:rPr>
          <w:lang w:val="en-US"/>
        </w:rPr>
        <w:t>(d)</w:t>
      </w:r>
      <w:r w:rsidRPr="00BB50D4">
        <w:rPr>
          <w:b/>
          <w:bCs/>
          <w:lang w:val="en-US"/>
        </w:rPr>
        <w:tab/>
        <w:t>Investigate the practice of forced sterilization and other forms of obstetric violence towards Indigenous women to establish policies and accountability mechanisms and provide victims with full remedy, including compensation;</w:t>
      </w:r>
    </w:p>
    <w:p w14:paraId="7B799318" w14:textId="77777777" w:rsidR="0019647B" w:rsidRPr="00BB50D4" w:rsidRDefault="0019647B" w:rsidP="0019647B">
      <w:pPr>
        <w:pStyle w:val="SingleTxtG"/>
        <w:rPr>
          <w:b/>
          <w:bCs/>
          <w:lang w:val="en-US"/>
        </w:rPr>
      </w:pPr>
      <w:r w:rsidRPr="00BB50D4">
        <w:rPr>
          <w:b/>
          <w:bCs/>
          <w:lang w:val="en-US"/>
        </w:rPr>
        <w:tab/>
      </w:r>
      <w:r w:rsidRPr="00BB50D4">
        <w:rPr>
          <w:lang w:val="en-US"/>
        </w:rPr>
        <w:t>(e)</w:t>
      </w:r>
      <w:r w:rsidRPr="00BB50D4">
        <w:rPr>
          <w:b/>
          <w:bCs/>
          <w:lang w:val="en-US"/>
        </w:rPr>
        <w:tab/>
        <w:t>Adopt “Joyce’s Principle” to guarantee all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p>
    <w:p w14:paraId="020CF73C" w14:textId="77777777" w:rsidR="0019647B" w:rsidRPr="001C3F75" w:rsidRDefault="0019647B" w:rsidP="0019647B">
      <w:pPr>
        <w:jc w:val="center"/>
        <w:rPr>
          <w:u w:val="single"/>
          <w:lang w:val="en-US"/>
        </w:rPr>
      </w:pPr>
      <w:r w:rsidRPr="001C3F75">
        <w:rPr>
          <w:u w:val="single"/>
          <w:lang w:val="en-US"/>
        </w:rPr>
        <w:tab/>
      </w:r>
      <w:r w:rsidRPr="001C3F75">
        <w:rPr>
          <w:u w:val="single"/>
          <w:lang w:val="en-US"/>
        </w:rPr>
        <w:tab/>
      </w:r>
      <w:r w:rsidRPr="001C3F75">
        <w:rPr>
          <w:u w:val="single"/>
          <w:lang w:val="en-US"/>
        </w:rPr>
        <w:tab/>
      </w:r>
    </w:p>
    <w:p w14:paraId="5008F520" w14:textId="77777777" w:rsidR="00471307" w:rsidRPr="00BB50D4" w:rsidRDefault="00471307">
      <w:pPr>
        <w:spacing w:line="240" w:lineRule="auto"/>
        <w:rPr>
          <w:lang w:val="en-US"/>
        </w:rPr>
      </w:pPr>
    </w:p>
    <w:p w14:paraId="26C90E76" w14:textId="77777777" w:rsidR="00381C24" w:rsidRPr="00BB50D4" w:rsidRDefault="00381C24" w:rsidP="002E5067">
      <w:pPr>
        <w:rPr>
          <w:lang w:val="en-US"/>
        </w:rPr>
      </w:pPr>
    </w:p>
    <w:sectPr w:rsidR="00381C24" w:rsidRPr="00BB50D4" w:rsidSect="004713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95BC7" w14:textId="77777777" w:rsidR="00AD4D5B" w:rsidRPr="00A312BC" w:rsidRDefault="00AD4D5B" w:rsidP="00A312BC">
      <w:pPr>
        <w:pStyle w:val="Piedepgina"/>
      </w:pPr>
    </w:p>
  </w:endnote>
  <w:endnote w:type="continuationSeparator" w:id="0">
    <w:p w14:paraId="60B7D301" w14:textId="77777777" w:rsidR="00AD4D5B" w:rsidRPr="00A312BC" w:rsidRDefault="00AD4D5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CC82B" w14:textId="1318C424" w:rsidR="00471307" w:rsidRPr="00471307" w:rsidRDefault="00471307" w:rsidP="00471307">
    <w:pPr>
      <w:pStyle w:val="Piedepgina"/>
      <w:tabs>
        <w:tab w:val="right" w:pos="9638"/>
      </w:tabs>
    </w:pPr>
    <w:r w:rsidRPr="00471307">
      <w:rPr>
        <w:b/>
        <w:sz w:val="18"/>
      </w:rPr>
      <w:fldChar w:fldCharType="begin"/>
    </w:r>
    <w:r w:rsidRPr="00471307">
      <w:rPr>
        <w:b/>
        <w:sz w:val="18"/>
      </w:rPr>
      <w:instrText xml:space="preserve"> PAGE  \* MERGEFORMAT </w:instrText>
    </w:r>
    <w:r w:rsidRPr="00471307">
      <w:rPr>
        <w:b/>
        <w:sz w:val="18"/>
      </w:rPr>
      <w:fldChar w:fldCharType="separate"/>
    </w:r>
    <w:r w:rsidRPr="00471307">
      <w:rPr>
        <w:b/>
        <w:noProof/>
        <w:sz w:val="18"/>
      </w:rPr>
      <w:t>2</w:t>
    </w:r>
    <w:r w:rsidRPr="00471307">
      <w:rPr>
        <w:b/>
        <w:sz w:val="18"/>
      </w:rPr>
      <w:fldChar w:fldCharType="end"/>
    </w:r>
    <w:r>
      <w:rPr>
        <w:b/>
        <w:sz w:val="18"/>
      </w:rPr>
      <w:tab/>
    </w:r>
    <w:proofErr w:type="spellStart"/>
    <w:r>
      <w:t>GE.23</w:t>
    </w:r>
    <w:proofErr w:type="spellEnd"/>
    <w:r>
      <w:t>-13374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6C1D1" w14:textId="4AA7DE72" w:rsidR="00471307" w:rsidRPr="00471307" w:rsidRDefault="00471307" w:rsidP="00471307">
    <w:pPr>
      <w:pStyle w:val="Piedepgina"/>
      <w:tabs>
        <w:tab w:val="right" w:pos="9638"/>
      </w:tabs>
      <w:rPr>
        <w:b/>
        <w:sz w:val="18"/>
      </w:rPr>
    </w:pPr>
    <w:proofErr w:type="spellStart"/>
    <w:r>
      <w:t>GE.23</w:t>
    </w:r>
    <w:proofErr w:type="spellEnd"/>
    <w:r>
      <w:t>-13374</w:t>
    </w:r>
    <w:r>
      <w:tab/>
    </w:r>
    <w:r w:rsidRPr="00471307">
      <w:rPr>
        <w:b/>
        <w:sz w:val="18"/>
      </w:rPr>
      <w:fldChar w:fldCharType="begin"/>
    </w:r>
    <w:r w:rsidRPr="00471307">
      <w:rPr>
        <w:b/>
        <w:sz w:val="18"/>
      </w:rPr>
      <w:instrText xml:space="preserve"> PAGE  \* MERGEFORMAT </w:instrText>
    </w:r>
    <w:r w:rsidRPr="00471307">
      <w:rPr>
        <w:b/>
        <w:sz w:val="18"/>
      </w:rPr>
      <w:fldChar w:fldCharType="separate"/>
    </w:r>
    <w:r w:rsidRPr="00471307">
      <w:rPr>
        <w:b/>
        <w:noProof/>
        <w:sz w:val="18"/>
      </w:rPr>
      <w:t>3</w:t>
    </w:r>
    <w:r w:rsidRPr="004713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C5A0" w14:textId="130032C6" w:rsidR="00042B72" w:rsidRPr="00471307" w:rsidRDefault="00471307" w:rsidP="00471307">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4CF05D98" wp14:editId="16986F5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-13374  (S)</w:t>
    </w:r>
    <w:r>
      <w:rPr>
        <w:noProof/>
        <w:sz w:val="20"/>
      </w:rPr>
      <w:drawing>
        <wp:anchor distT="0" distB="0" distL="114300" distR="114300" simplePos="0" relativeHeight="251658752" behindDoc="0" locked="0" layoutInCell="1" allowOverlap="1" wp14:anchorId="7FC27DD3" wp14:editId="0D23197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040823    100823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70A9D" w14:textId="77777777" w:rsidR="00AD4D5B" w:rsidRPr="001075E9" w:rsidRDefault="00AD4D5B" w:rsidP="001075E9">
      <w:pPr>
        <w:tabs>
          <w:tab w:val="right" w:pos="2155"/>
        </w:tabs>
        <w:spacing w:after="80" w:line="240" w:lineRule="auto"/>
        <w:ind w:left="680"/>
        <w:rPr>
          <w:u w:val="single"/>
        </w:rPr>
      </w:pPr>
      <w:r>
        <w:rPr>
          <w:u w:val="single"/>
        </w:rPr>
        <w:tab/>
      </w:r>
    </w:p>
  </w:footnote>
  <w:footnote w:type="continuationSeparator" w:id="0">
    <w:p w14:paraId="2434E61A" w14:textId="77777777" w:rsidR="00AD4D5B" w:rsidRDefault="00AD4D5B" w:rsidP="00407B78">
      <w:pPr>
        <w:tabs>
          <w:tab w:val="right" w:pos="2155"/>
        </w:tabs>
        <w:spacing w:after="80"/>
        <w:ind w:left="680"/>
        <w:rPr>
          <w:u w:val="single"/>
        </w:rPr>
      </w:pPr>
      <w:r>
        <w:rPr>
          <w:u w:val="single"/>
        </w:rPr>
        <w:tab/>
      </w:r>
    </w:p>
  </w:footnote>
  <w:footnote w:id="1">
    <w:p w14:paraId="531F42A4" w14:textId="77777777" w:rsidR="00DD06A1" w:rsidRPr="00B2791A" w:rsidRDefault="00DD06A1" w:rsidP="00DD06A1">
      <w:pPr>
        <w:pStyle w:val="Textonotapie"/>
        <w:rPr>
          <w:lang w:val="es-AR"/>
        </w:rPr>
      </w:pPr>
      <w:r>
        <w:tab/>
      </w:r>
      <w:r w:rsidRPr="00DD06A1">
        <w:rPr>
          <w:sz w:val="20"/>
          <w:szCs w:val="22"/>
        </w:rPr>
        <w:t>*</w:t>
      </w:r>
      <w:r w:rsidRPr="00DD06A1">
        <w:rPr>
          <w:sz w:val="20"/>
          <w:szCs w:val="22"/>
        </w:rPr>
        <w:tab/>
      </w:r>
      <w:r>
        <w:t>El resumen del presente informe se distribuye en todos los idiomas oficiales. El informe propiamente dicho, que figura en el anexo, se distribuye únicamente en el idioma en que fue presentado.</w:t>
      </w:r>
    </w:p>
  </w:footnote>
  <w:footnote w:id="2">
    <w:p w14:paraId="4675617C" w14:textId="77777777" w:rsidR="0019647B" w:rsidRPr="00BB50D4" w:rsidRDefault="0019647B" w:rsidP="0019647B">
      <w:pPr>
        <w:pStyle w:val="Textonotapie"/>
        <w:rPr>
          <w:lang w:val="en-US"/>
        </w:rPr>
      </w:pPr>
      <w:r>
        <w:rPr>
          <w:sz w:val="16"/>
          <w:szCs w:val="16"/>
        </w:rPr>
        <w:tab/>
      </w:r>
      <w:r w:rsidRPr="00D26C5A">
        <w:rPr>
          <w:rStyle w:val="Refdenotaalpie"/>
        </w:rPr>
        <w:footnoteRef/>
      </w:r>
      <w:r w:rsidRPr="00BB50D4">
        <w:rPr>
          <w:sz w:val="16"/>
          <w:szCs w:val="16"/>
          <w:lang w:val="en-US"/>
        </w:rPr>
        <w:tab/>
      </w:r>
      <w:r w:rsidRPr="00BB50D4">
        <w:rPr>
          <w:lang w:val="en-US"/>
        </w:rPr>
        <w:t xml:space="preserve">See </w:t>
      </w:r>
      <w:hyperlink r:id="rId1" w:history="1">
        <w:r w:rsidRPr="00BB50D4">
          <w:rPr>
            <w:rStyle w:val="Hipervnculo"/>
            <w:lang w:val="en-US"/>
          </w:rPr>
          <w:t>E/</w:t>
        </w:r>
        <w:proofErr w:type="spellStart"/>
        <w:r w:rsidRPr="00BB50D4">
          <w:rPr>
            <w:rStyle w:val="Hipervnculo"/>
            <w:lang w:val="en-US"/>
          </w:rPr>
          <w:t>CN.4</w:t>
        </w:r>
        <w:proofErr w:type="spellEnd"/>
        <w:r w:rsidRPr="00BB50D4">
          <w:rPr>
            <w:rStyle w:val="Hipervnculo"/>
            <w:lang w:val="en-US"/>
          </w:rPr>
          <w:t>/2005/88/</w:t>
        </w:r>
        <w:proofErr w:type="spellStart"/>
        <w:r w:rsidRPr="00BB50D4">
          <w:rPr>
            <w:rStyle w:val="Hipervnculo"/>
            <w:lang w:val="en-US"/>
          </w:rPr>
          <w:t>Add.3</w:t>
        </w:r>
        <w:proofErr w:type="spellEnd"/>
      </w:hyperlink>
      <w:r w:rsidRPr="00BB50D4">
        <w:rPr>
          <w:lang w:val="en-US"/>
        </w:rPr>
        <w:t xml:space="preserve">, </w:t>
      </w:r>
      <w:hyperlink r:id="rId2" w:history="1">
        <w:r w:rsidRPr="00BB50D4">
          <w:rPr>
            <w:rStyle w:val="Hipervnculo"/>
            <w:lang w:val="en-US"/>
          </w:rPr>
          <w:t>E/</w:t>
        </w:r>
        <w:proofErr w:type="spellStart"/>
        <w:r w:rsidRPr="00BB50D4">
          <w:rPr>
            <w:rStyle w:val="Hipervnculo"/>
            <w:lang w:val="en-US"/>
          </w:rPr>
          <w:t>CN.4</w:t>
        </w:r>
        <w:proofErr w:type="spellEnd"/>
        <w:r w:rsidRPr="00BB50D4">
          <w:rPr>
            <w:rStyle w:val="Hipervnculo"/>
            <w:lang w:val="en-US"/>
          </w:rPr>
          <w:t>/2005/88/</w:t>
        </w:r>
        <w:proofErr w:type="spellStart"/>
        <w:r w:rsidRPr="00BB50D4">
          <w:rPr>
            <w:rStyle w:val="Hipervnculo"/>
            <w:lang w:val="en-US"/>
          </w:rPr>
          <w:t>Add.3</w:t>
        </w:r>
        <w:proofErr w:type="spellEnd"/>
        <w:r w:rsidRPr="00BB50D4">
          <w:rPr>
            <w:rStyle w:val="Hipervnculo"/>
            <w:lang w:val="en-US"/>
          </w:rPr>
          <w:t>/</w:t>
        </w:r>
        <w:proofErr w:type="spellStart"/>
        <w:r w:rsidRPr="00BB50D4">
          <w:rPr>
            <w:rStyle w:val="Hipervnculo"/>
            <w:lang w:val="en-US"/>
          </w:rPr>
          <w:t>Corr.1</w:t>
        </w:r>
        <w:proofErr w:type="spellEnd"/>
      </w:hyperlink>
      <w:r w:rsidRPr="00BB50D4">
        <w:rPr>
          <w:lang w:val="en-US"/>
        </w:rPr>
        <w:t xml:space="preserve"> and </w:t>
      </w:r>
      <w:hyperlink r:id="rId3" w:history="1">
        <w:r w:rsidRPr="00BB50D4">
          <w:rPr>
            <w:rStyle w:val="Hipervnculo"/>
            <w:lang w:val="en-US"/>
          </w:rPr>
          <w:t>A/HRC/27/52/</w:t>
        </w:r>
        <w:proofErr w:type="spellStart"/>
        <w:r w:rsidRPr="00BB50D4">
          <w:rPr>
            <w:rStyle w:val="Hipervnculo"/>
            <w:lang w:val="en-US"/>
          </w:rPr>
          <w:t>Add.2</w:t>
        </w:r>
        <w:proofErr w:type="spellEnd"/>
      </w:hyperlink>
      <w:r w:rsidRPr="00BB50D4">
        <w:rPr>
          <w:lang w:val="en-US"/>
        </w:rPr>
        <w:t xml:space="preserve">. </w:t>
      </w:r>
    </w:p>
  </w:footnote>
  <w:footnote w:id="3">
    <w:p w14:paraId="20299DBB"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 xml:space="preserve">See </w:t>
      </w:r>
      <w:hyperlink r:id="rId4">
        <w:r w:rsidRPr="00BB50D4">
          <w:rPr>
            <w:rStyle w:val="Hipervnculo"/>
            <w:lang w:val="en-US"/>
          </w:rPr>
          <w:t>https://</w:t>
        </w:r>
        <w:proofErr w:type="spellStart"/>
        <w:r w:rsidRPr="00BB50D4">
          <w:rPr>
            <w:rStyle w:val="Hipervnculo"/>
            <w:lang w:val="en-US"/>
          </w:rPr>
          <w:t>www.statcan.gc.ca</w:t>
        </w:r>
        <w:proofErr w:type="spellEnd"/>
        <w:r w:rsidRPr="00BB50D4">
          <w:rPr>
            <w:rStyle w:val="Hipervnculo"/>
            <w:lang w:val="en-US"/>
          </w:rPr>
          <w:t>/</w:t>
        </w:r>
        <w:proofErr w:type="spellStart"/>
        <w:r w:rsidRPr="00BB50D4">
          <w:rPr>
            <w:rStyle w:val="Hipervnculo"/>
            <w:lang w:val="en-US"/>
          </w:rPr>
          <w:t>en</w:t>
        </w:r>
        <w:proofErr w:type="spellEnd"/>
        <w:r w:rsidRPr="00BB50D4">
          <w:rPr>
            <w:rStyle w:val="Hipervnculo"/>
            <w:lang w:val="en-US"/>
          </w:rPr>
          <w:t>/subjects-start/</w:t>
        </w:r>
        <w:proofErr w:type="spellStart"/>
        <w:r w:rsidRPr="00BB50D4">
          <w:rPr>
            <w:rStyle w:val="Hipervnculo"/>
            <w:lang w:val="en-US"/>
          </w:rPr>
          <w:t>indigenous_peoples</w:t>
        </w:r>
        <w:proofErr w:type="spellEnd"/>
      </w:hyperlink>
      <w:r w:rsidRPr="00BB50D4">
        <w:rPr>
          <w:lang w:val="en-US"/>
        </w:rPr>
        <w:t>.</w:t>
      </w:r>
    </w:p>
  </w:footnote>
  <w:footnote w:id="4">
    <w:p w14:paraId="7794C494"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The</w:t>
      </w:r>
      <w:r w:rsidRPr="00BB50D4">
        <w:rPr>
          <w:sz w:val="16"/>
          <w:szCs w:val="16"/>
          <w:lang w:val="en-US"/>
        </w:rPr>
        <w:t xml:space="preserve"> </w:t>
      </w:r>
      <w:hyperlink r:id="rId5">
        <w:r w:rsidRPr="00BB50D4">
          <w:rPr>
            <w:lang w:val="en-US"/>
          </w:rPr>
          <w:t>Cabinet Directive on the Federal Approach to Modern Treaty Implementation</w:t>
        </w:r>
      </w:hyperlink>
      <w:r w:rsidRPr="00BB50D4">
        <w:rPr>
          <w:lang w:val="en-US"/>
        </w:rPr>
        <w:t xml:space="preserve">, in 2015; </w:t>
      </w:r>
      <w:hyperlink r:id="rId6">
        <w:r w:rsidRPr="00BB50D4">
          <w:rPr>
            <w:lang w:val="en-US"/>
          </w:rPr>
          <w:t>Statement of Principles on the Federal Approach to Modern Treaty Implementation</w:t>
        </w:r>
      </w:hyperlink>
      <w:r w:rsidRPr="00BB50D4">
        <w:rPr>
          <w:lang w:val="en-US"/>
        </w:rPr>
        <w:t xml:space="preserve">, in 2015; and </w:t>
      </w:r>
      <w:hyperlink r:id="rId7">
        <w:r w:rsidRPr="00BB50D4">
          <w:rPr>
            <w:lang w:val="en-US"/>
          </w:rPr>
          <w:t>Canada’s Collaborative Modern Treaty Implementation Policy</w:t>
        </w:r>
      </w:hyperlink>
      <w:r w:rsidRPr="00BB50D4">
        <w:rPr>
          <w:lang w:val="en-US"/>
        </w:rPr>
        <w:t>, in 2023.</w:t>
      </w:r>
    </w:p>
  </w:footnote>
  <w:footnote w:id="5">
    <w:p w14:paraId="21466411"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See</w:t>
      </w:r>
      <w:r w:rsidRPr="00BB50D4">
        <w:rPr>
          <w:sz w:val="16"/>
          <w:szCs w:val="16"/>
          <w:lang w:val="en-US"/>
        </w:rPr>
        <w:t xml:space="preserve"> </w:t>
      </w:r>
      <w:r w:rsidRPr="00BB50D4">
        <w:rPr>
          <w:lang w:val="en-US"/>
        </w:rPr>
        <w:t>https://</w:t>
      </w:r>
      <w:proofErr w:type="spellStart"/>
      <w:r w:rsidRPr="00BB50D4">
        <w:rPr>
          <w:lang w:val="en-US"/>
        </w:rPr>
        <w:t>www.justice.gc.ca</w:t>
      </w:r>
      <w:proofErr w:type="spellEnd"/>
      <w:r w:rsidRPr="00BB50D4">
        <w:rPr>
          <w:lang w:val="en-US"/>
        </w:rPr>
        <w:t>/</w:t>
      </w:r>
      <w:proofErr w:type="spellStart"/>
      <w:r w:rsidRPr="00BB50D4">
        <w:rPr>
          <w:lang w:val="en-US"/>
        </w:rPr>
        <w:t>eng</w:t>
      </w:r>
      <w:proofErr w:type="spellEnd"/>
      <w:r w:rsidRPr="00BB50D4">
        <w:rPr>
          <w:lang w:val="en-US"/>
        </w:rPr>
        <w:t>/declaration/read-</w:t>
      </w:r>
      <w:proofErr w:type="spellStart"/>
      <w:r w:rsidRPr="00BB50D4">
        <w:rPr>
          <w:lang w:val="en-US"/>
        </w:rPr>
        <w:t>lire.html</w:t>
      </w:r>
      <w:proofErr w:type="spellEnd"/>
      <w:r w:rsidRPr="00BB50D4">
        <w:rPr>
          <w:lang w:val="en-US"/>
        </w:rPr>
        <w:t>.</w:t>
      </w:r>
    </w:p>
  </w:footnote>
  <w:footnote w:id="6">
    <w:p w14:paraId="2479B539"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Indigenous Peoples have expressed concern over the placement of the provision in the preamble instead of in the substantive articles in the main text of the Act.</w:t>
      </w:r>
    </w:p>
  </w:footnote>
  <w:footnote w:id="7">
    <w:p w14:paraId="6C2A0566"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 xml:space="preserve">See </w:t>
      </w:r>
      <w:r w:rsidRPr="00BB50D4">
        <w:rPr>
          <w:lang w:val="en-US"/>
        </w:rPr>
        <w:t>https://press.vatican.va/content/salastampa/en/bollettino/pubblico/2023/03/30/230330b.html.</w:t>
      </w:r>
    </w:p>
  </w:footnote>
  <w:footnote w:id="8">
    <w:p w14:paraId="231E1504"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Submission from</w:t>
      </w:r>
      <w:r w:rsidRPr="00BB50D4">
        <w:rPr>
          <w:sz w:val="16"/>
          <w:szCs w:val="16"/>
          <w:lang w:val="en-US"/>
        </w:rPr>
        <w:t xml:space="preserve"> </w:t>
      </w:r>
      <w:r w:rsidRPr="00BB50D4">
        <w:rPr>
          <w:lang w:val="en-US"/>
        </w:rPr>
        <w:t xml:space="preserve">Inuit </w:t>
      </w:r>
      <w:proofErr w:type="spellStart"/>
      <w:r w:rsidRPr="00BB50D4">
        <w:rPr>
          <w:lang w:val="en-US"/>
        </w:rPr>
        <w:t>Tapiriit</w:t>
      </w:r>
      <w:proofErr w:type="spellEnd"/>
      <w:r w:rsidRPr="00BB50D4">
        <w:rPr>
          <w:lang w:val="en-US"/>
        </w:rPr>
        <w:t xml:space="preserve"> </w:t>
      </w:r>
      <w:proofErr w:type="spellStart"/>
      <w:r w:rsidRPr="00BB50D4">
        <w:rPr>
          <w:lang w:val="en-US"/>
        </w:rPr>
        <w:t>Kanatami</w:t>
      </w:r>
      <w:proofErr w:type="spellEnd"/>
      <w:r w:rsidRPr="00BB50D4">
        <w:rPr>
          <w:lang w:val="en-US"/>
        </w:rPr>
        <w:t xml:space="preserve">; information provided by Métis National Council; and Assembly of First Nations, “Breathing life into the </w:t>
      </w:r>
      <w:r w:rsidRPr="00BB50D4">
        <w:rPr>
          <w:rFonts w:eastAsia="Lato"/>
          <w:sz w:val="16"/>
          <w:szCs w:val="16"/>
          <w:lang w:val="en-US"/>
        </w:rPr>
        <w:t>Calls for Justice</w:t>
      </w:r>
      <w:r w:rsidRPr="00BB50D4">
        <w:rPr>
          <w:rFonts w:eastAsia="Lato"/>
          <w:b/>
          <w:bCs/>
          <w:sz w:val="16"/>
          <w:szCs w:val="16"/>
          <w:lang w:val="en-US"/>
        </w:rPr>
        <w:t xml:space="preserve"> </w:t>
      </w:r>
      <w:r w:rsidRPr="00BB50D4">
        <w:rPr>
          <w:lang w:val="en-US"/>
        </w:rPr>
        <w:t>– an action plan to end violence against First Nations women, girls and 2SLGBTQQIA+ people”.</w:t>
      </w:r>
    </w:p>
  </w:footnote>
  <w:footnote w:id="9">
    <w:p w14:paraId="5418F0C6" w14:textId="77777777" w:rsidR="0019647B" w:rsidRPr="00837B27" w:rsidRDefault="0019647B" w:rsidP="0019647B">
      <w:pPr>
        <w:pStyle w:val="Textonotapie"/>
      </w:pPr>
      <w:r w:rsidRPr="00BB50D4">
        <w:rPr>
          <w:sz w:val="16"/>
          <w:szCs w:val="16"/>
          <w:lang w:val="en-US"/>
        </w:rPr>
        <w:tab/>
      </w:r>
      <w:r w:rsidRPr="00D26C5A">
        <w:rPr>
          <w:rStyle w:val="Refdenotaalpie"/>
        </w:rPr>
        <w:footnoteRef/>
      </w:r>
      <w:r w:rsidRPr="00837B27">
        <w:rPr>
          <w:sz w:val="16"/>
          <w:szCs w:val="16"/>
        </w:rPr>
        <w:tab/>
      </w:r>
      <w:hyperlink r:id="rId8" w:history="1">
        <w:r>
          <w:rPr>
            <w:rStyle w:val="Hipervnculo"/>
          </w:rPr>
          <w:t>A/HRC/27/52/</w:t>
        </w:r>
        <w:proofErr w:type="spellStart"/>
        <w:r>
          <w:rPr>
            <w:rStyle w:val="Hipervnculo"/>
          </w:rPr>
          <w:t>Add.2</w:t>
        </w:r>
        <w:proofErr w:type="spellEnd"/>
      </w:hyperlink>
      <w:r w:rsidRPr="00837B27">
        <w:t>, para. 89.</w:t>
      </w:r>
    </w:p>
  </w:footnote>
  <w:footnote w:id="10">
    <w:p w14:paraId="5BD9D038" w14:textId="77777777" w:rsidR="0019647B" w:rsidRPr="00837B27" w:rsidRDefault="0019647B" w:rsidP="0019647B">
      <w:pPr>
        <w:pStyle w:val="Textonotapie"/>
        <w:rPr>
          <w:lang w:val="en-US"/>
        </w:rPr>
      </w:pPr>
      <w:r w:rsidRPr="00837B27">
        <w:rPr>
          <w:sz w:val="16"/>
          <w:szCs w:val="16"/>
        </w:rPr>
        <w:tab/>
      </w:r>
      <w:r w:rsidRPr="00D26C5A">
        <w:rPr>
          <w:rStyle w:val="Refdenotaalpie"/>
        </w:rPr>
        <w:footnoteRef/>
      </w:r>
      <w:r>
        <w:rPr>
          <w:sz w:val="16"/>
          <w:szCs w:val="16"/>
          <w:lang w:val="es-419"/>
        </w:rPr>
        <w:tab/>
      </w:r>
      <w:hyperlink r:id="rId9" w:history="1">
        <w:r>
          <w:rPr>
            <w:rStyle w:val="Hipervnculo"/>
          </w:rPr>
          <w:t>A/HRC/27/52/</w:t>
        </w:r>
        <w:proofErr w:type="spellStart"/>
        <w:r>
          <w:rPr>
            <w:rStyle w:val="Hipervnculo"/>
          </w:rPr>
          <w:t>Add.2</w:t>
        </w:r>
        <w:proofErr w:type="spellEnd"/>
      </w:hyperlink>
      <w:r>
        <w:t>,</w:t>
      </w:r>
      <w:r w:rsidRPr="00837B27">
        <w:t xml:space="preserve"> para</w:t>
      </w:r>
      <w:r>
        <w:t>.</w:t>
      </w:r>
      <w:r w:rsidRPr="00837B27">
        <w:t xml:space="preserve"> </w:t>
      </w:r>
      <w:r w:rsidRPr="00837B27">
        <w:rPr>
          <w:lang w:val="en-US"/>
        </w:rPr>
        <w:t xml:space="preserve">31; and </w:t>
      </w:r>
      <w:hyperlink r:id="rId10" w:history="1">
        <w:r>
          <w:rPr>
            <w:rStyle w:val="Hipervnculo"/>
            <w:lang w:val="en-US"/>
          </w:rPr>
          <w:t>A/HRC/41/42/</w:t>
        </w:r>
        <w:proofErr w:type="spellStart"/>
        <w:r>
          <w:rPr>
            <w:rStyle w:val="Hipervnculo"/>
            <w:lang w:val="en-US"/>
          </w:rPr>
          <w:t>Add.1</w:t>
        </w:r>
        <w:proofErr w:type="spellEnd"/>
      </w:hyperlink>
      <w:r w:rsidRPr="00837B27">
        <w:rPr>
          <w:lang w:val="en-US"/>
        </w:rPr>
        <w:t>, para. 79.</w:t>
      </w:r>
    </w:p>
  </w:footnote>
  <w:footnote w:id="11">
    <w:p w14:paraId="4E15CA96" w14:textId="77777777" w:rsidR="0019647B" w:rsidRPr="00A611F7" w:rsidRDefault="0019647B" w:rsidP="0019647B">
      <w:pPr>
        <w:pStyle w:val="Textonotapie"/>
        <w:rPr>
          <w:lang w:val="en-US"/>
        </w:rPr>
      </w:pPr>
      <w:r w:rsidRPr="00837B27">
        <w:rPr>
          <w:sz w:val="16"/>
          <w:szCs w:val="16"/>
          <w:lang w:val="en-US"/>
        </w:rPr>
        <w:tab/>
      </w:r>
      <w:r w:rsidRPr="00D26C5A">
        <w:rPr>
          <w:rStyle w:val="Refdenotaalpie"/>
        </w:rPr>
        <w:footnoteRef/>
      </w:r>
      <w:r w:rsidRPr="00A611F7">
        <w:rPr>
          <w:sz w:val="16"/>
          <w:szCs w:val="16"/>
          <w:lang w:val="en-US"/>
        </w:rPr>
        <w:tab/>
      </w:r>
      <w:r w:rsidRPr="00A611F7">
        <w:rPr>
          <w:szCs w:val="16"/>
          <w:lang w:val="en-US"/>
        </w:rPr>
        <w:t xml:space="preserve">See </w:t>
      </w:r>
      <w:r w:rsidRPr="00A611F7">
        <w:rPr>
          <w:lang w:val="en-US"/>
        </w:rPr>
        <w:t>https://www150.statcan.gc.ca/n1/daily-quotidien/220921/dq220921a-eng.htm.</w:t>
      </w:r>
    </w:p>
  </w:footnote>
  <w:footnote w:id="12">
    <w:p w14:paraId="3509B8F4" w14:textId="77777777" w:rsidR="0019647B" w:rsidRPr="00837B27" w:rsidRDefault="0019647B" w:rsidP="0019647B">
      <w:pPr>
        <w:pStyle w:val="Textonotapie"/>
        <w:rPr>
          <w:sz w:val="16"/>
          <w:szCs w:val="16"/>
          <w:lang w:val="en-US"/>
        </w:rPr>
      </w:pPr>
      <w:r w:rsidRPr="00837B27">
        <w:rPr>
          <w:sz w:val="16"/>
          <w:szCs w:val="16"/>
          <w:lang w:val="en-US"/>
        </w:rPr>
        <w:tab/>
      </w:r>
      <w:r w:rsidRPr="00D26C5A">
        <w:rPr>
          <w:rStyle w:val="Refdenotaalpie"/>
        </w:rPr>
        <w:footnoteRef/>
      </w:r>
      <w:r w:rsidRPr="00837B27">
        <w:rPr>
          <w:sz w:val="16"/>
          <w:szCs w:val="16"/>
          <w:lang w:val="en-US"/>
        </w:rPr>
        <w:tab/>
      </w:r>
      <w:r w:rsidRPr="00837B27">
        <w:rPr>
          <w:szCs w:val="16"/>
          <w:lang w:val="en-US"/>
        </w:rPr>
        <w:t>See https://www150.statcan.gc.ca/n1/en/daily-quotidien/220420/dq220420c-eng.pdf?st=o5g3I2Pk.</w:t>
      </w:r>
    </w:p>
  </w:footnote>
  <w:footnote w:id="13">
    <w:p w14:paraId="51094806" w14:textId="77777777" w:rsidR="0019647B" w:rsidRPr="00BB50D4" w:rsidRDefault="0019647B" w:rsidP="0019647B">
      <w:pPr>
        <w:pStyle w:val="Textonotapie"/>
        <w:rPr>
          <w:lang w:val="en-US"/>
        </w:rPr>
      </w:pPr>
      <w:r w:rsidRPr="00837B27">
        <w:rPr>
          <w:lang w:val="en-US"/>
        </w:rPr>
        <w:tab/>
      </w:r>
      <w:r w:rsidRPr="00D26C5A">
        <w:rPr>
          <w:rStyle w:val="Refdenotaalpie"/>
        </w:rPr>
        <w:footnoteRef/>
      </w:r>
      <w:r w:rsidRPr="00104756">
        <w:tab/>
      </w:r>
      <w:hyperlink r:id="rId11" w:history="1">
        <w:r>
          <w:rPr>
            <w:rStyle w:val="Hipervnculo"/>
          </w:rPr>
          <w:t>E/</w:t>
        </w:r>
        <w:proofErr w:type="spellStart"/>
        <w:r>
          <w:rPr>
            <w:rStyle w:val="Hipervnculo"/>
          </w:rPr>
          <w:t>CN.4</w:t>
        </w:r>
        <w:proofErr w:type="spellEnd"/>
        <w:r>
          <w:rPr>
            <w:rStyle w:val="Hipervnculo"/>
          </w:rPr>
          <w:t>/2005/88/</w:t>
        </w:r>
        <w:proofErr w:type="spellStart"/>
        <w:r>
          <w:rPr>
            <w:rStyle w:val="Hipervnculo"/>
          </w:rPr>
          <w:t>Add.3</w:t>
        </w:r>
        <w:proofErr w:type="spellEnd"/>
      </w:hyperlink>
      <w:r>
        <w:t>,</w:t>
      </w:r>
      <w:r w:rsidRPr="00837B27">
        <w:t xml:space="preserve"> </w:t>
      </w:r>
      <w:r w:rsidRPr="00837B27">
        <w:rPr>
          <w:szCs w:val="18"/>
        </w:rPr>
        <w:t xml:space="preserve">para. 31; </w:t>
      </w:r>
      <w:hyperlink r:id="rId12" w:history="1">
        <w:proofErr w:type="spellStart"/>
        <w:r>
          <w:rPr>
            <w:rStyle w:val="Hipervnculo"/>
            <w:szCs w:val="18"/>
          </w:rPr>
          <w:t>CCPR</w:t>
        </w:r>
        <w:proofErr w:type="spellEnd"/>
        <w:r>
          <w:rPr>
            <w:rStyle w:val="Hipervnculo"/>
            <w:szCs w:val="18"/>
          </w:rPr>
          <w:t>/C/CAN/CO/5-6</w:t>
        </w:r>
      </w:hyperlink>
      <w:r w:rsidRPr="00837B27">
        <w:rPr>
          <w:rFonts w:eastAsia="Roboto"/>
          <w:szCs w:val="18"/>
        </w:rPr>
        <w:t xml:space="preserve">, </w:t>
      </w:r>
      <w:r w:rsidRPr="00837B27">
        <w:rPr>
          <w:szCs w:val="18"/>
        </w:rPr>
        <w:t>para</w:t>
      </w:r>
      <w:r w:rsidRPr="00837B27">
        <w:rPr>
          <w:rFonts w:eastAsia="Roboto"/>
          <w:szCs w:val="18"/>
        </w:rPr>
        <w:t xml:space="preserve">. </w:t>
      </w:r>
      <w:r w:rsidRPr="00837B27">
        <w:rPr>
          <w:rFonts w:eastAsia="Roboto"/>
          <w:szCs w:val="18"/>
          <w:lang w:val="en-CA"/>
        </w:rPr>
        <w:t>19</w:t>
      </w:r>
      <w:r w:rsidRPr="00BB50D4">
        <w:rPr>
          <w:szCs w:val="18"/>
          <w:lang w:val="en-US"/>
        </w:rPr>
        <w:t xml:space="preserve">; and </w:t>
      </w:r>
      <w:hyperlink r:id="rId13" w:history="1">
        <w:r w:rsidRPr="00BB50D4">
          <w:rPr>
            <w:rStyle w:val="Hipervnculo"/>
            <w:szCs w:val="18"/>
            <w:lang w:val="en-US"/>
          </w:rPr>
          <w:t>CRC/C/CAN/CO/3-4</w:t>
        </w:r>
      </w:hyperlink>
      <w:r w:rsidRPr="00BB50D4">
        <w:rPr>
          <w:rFonts w:eastAsia="Roboto"/>
          <w:szCs w:val="18"/>
          <w:lang w:val="en-US"/>
        </w:rPr>
        <w:t xml:space="preserve">, </w:t>
      </w:r>
      <w:r w:rsidRPr="00BB50D4">
        <w:rPr>
          <w:lang w:val="en-US"/>
        </w:rPr>
        <w:t>para. 55.</w:t>
      </w:r>
    </w:p>
  </w:footnote>
  <w:footnote w:id="14">
    <w:p w14:paraId="6C1CF0C8" w14:textId="77777777" w:rsidR="0019647B" w:rsidRPr="00BB50D4" w:rsidRDefault="0019647B" w:rsidP="0019647B">
      <w:pPr>
        <w:pStyle w:val="Textonotapie"/>
        <w:rPr>
          <w:lang w:val="en-US"/>
        </w:rPr>
      </w:pPr>
      <w:r w:rsidRPr="00BB50D4">
        <w:rPr>
          <w:lang w:val="en-US"/>
        </w:rPr>
        <w:tab/>
      </w:r>
      <w:r w:rsidRPr="00D26C5A">
        <w:rPr>
          <w:rStyle w:val="Refdenotaalpie"/>
        </w:rPr>
        <w:footnoteRef/>
      </w:r>
      <w:r w:rsidRPr="00BB50D4">
        <w:rPr>
          <w:lang w:val="en-US"/>
        </w:rPr>
        <w:tab/>
        <w:t xml:space="preserve">In 2013 the Special Rapporteur issued a communication to Canada expressing concern over alleged retaliation against the First Nations Child and Family Caring Society of Canada for filing the lawsuit. See communication CAN 4/2013, available at https://spcommreports.ohchr.org/TMResultsBase/DownLoadPublicCommunicationFile?gId=13753. </w:t>
      </w:r>
    </w:p>
  </w:footnote>
  <w:footnote w:id="15">
    <w:p w14:paraId="2D4E2A5C"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Jordan’s Principle is a commitment by the Federal Government to ensure that all First Nations children living in Canada have access to needed products, services and supports, including health, social services and education. See https://</w:t>
      </w:r>
      <w:proofErr w:type="spellStart"/>
      <w:r w:rsidRPr="00BB50D4">
        <w:rPr>
          <w:lang w:val="en-US"/>
        </w:rPr>
        <w:t>www.sac-isc.gc.ca</w:t>
      </w:r>
      <w:proofErr w:type="spellEnd"/>
      <w:r w:rsidRPr="00BB50D4">
        <w:rPr>
          <w:lang w:val="en-US"/>
        </w:rPr>
        <w:t>/</w:t>
      </w:r>
      <w:proofErr w:type="spellStart"/>
      <w:r w:rsidRPr="00BB50D4">
        <w:rPr>
          <w:lang w:val="en-US"/>
        </w:rPr>
        <w:t>eng</w:t>
      </w:r>
      <w:proofErr w:type="spellEnd"/>
      <w:r w:rsidRPr="00BB50D4">
        <w:rPr>
          <w:lang w:val="en-US"/>
        </w:rPr>
        <w:t>/1568396042341/1568396159824.</w:t>
      </w:r>
    </w:p>
  </w:footnote>
  <w:footnote w:id="16">
    <w:p w14:paraId="2ABBCF15" w14:textId="77777777" w:rsidR="0019647B" w:rsidRPr="00BB50D4" w:rsidRDefault="0019647B" w:rsidP="0019647B">
      <w:pPr>
        <w:pStyle w:val="Textonotapie"/>
        <w:rPr>
          <w:szCs w:val="18"/>
          <w:lang w:val="en-US"/>
        </w:rPr>
      </w:pPr>
      <w:r w:rsidRPr="00BB50D4">
        <w:rPr>
          <w:sz w:val="16"/>
          <w:szCs w:val="16"/>
          <w:lang w:val="en-US"/>
        </w:rPr>
        <w:tab/>
      </w:r>
      <w:r w:rsidRPr="00D26C5A">
        <w:rPr>
          <w:rStyle w:val="Refdenotaalpie"/>
        </w:rPr>
        <w:footnoteRef/>
      </w:r>
      <w:r w:rsidRPr="00BB50D4">
        <w:rPr>
          <w:sz w:val="16"/>
          <w:szCs w:val="16"/>
          <w:lang w:val="en-US"/>
        </w:rPr>
        <w:tab/>
      </w:r>
      <w:r w:rsidRPr="00BB50D4">
        <w:rPr>
          <w:i/>
          <w:iCs/>
          <w:szCs w:val="18"/>
          <w:lang w:val="en-US"/>
        </w:rPr>
        <w:t>Attorney General of Québec, et al. v. Attorney General of Canada et al.</w:t>
      </w:r>
      <w:r w:rsidRPr="00BB50D4">
        <w:rPr>
          <w:szCs w:val="18"/>
          <w:lang w:val="en-US"/>
        </w:rPr>
        <w:t xml:space="preserve">, Supreme Court of Canada Court File No. 40061. See https://www.scc-csc.ca/case-dossier/info/sum-som-eng.aspx?cas=40061. </w:t>
      </w:r>
    </w:p>
  </w:footnote>
  <w:footnote w:id="17">
    <w:p w14:paraId="0204334C"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 xml:space="preserve">See </w:t>
      </w:r>
      <w:r w:rsidRPr="00837B27">
        <w:rPr>
          <w:lang w:val="en-US"/>
        </w:rPr>
        <w:t>United Nations Declaration on the Rights of Indigenous Peoples</w:t>
      </w:r>
      <w:r>
        <w:rPr>
          <w:lang w:val="en-US"/>
        </w:rPr>
        <w:t>,</w:t>
      </w:r>
      <w:r w:rsidRPr="00BB50D4">
        <w:rPr>
          <w:lang w:val="en-US"/>
        </w:rPr>
        <w:t xml:space="preserve"> preamble and articles 4 and 7.2; and Committee on the Rights of the Child, general comment No. 11 (2009).</w:t>
      </w:r>
    </w:p>
  </w:footnote>
  <w:footnote w:id="18">
    <w:p w14:paraId="763095D7" w14:textId="77777777" w:rsidR="0019647B" w:rsidRPr="00837B27" w:rsidRDefault="0019647B" w:rsidP="0019647B">
      <w:pPr>
        <w:pStyle w:val="Textonotapie"/>
        <w:rPr>
          <w:lang w:val="en-US"/>
        </w:rPr>
      </w:pPr>
      <w:r w:rsidRPr="00BB50D4">
        <w:rPr>
          <w:lang w:val="en-US"/>
        </w:rPr>
        <w:tab/>
      </w:r>
      <w:r w:rsidRPr="00D26C5A">
        <w:rPr>
          <w:rStyle w:val="Refdenotaalpie"/>
        </w:rPr>
        <w:footnoteRef/>
      </w:r>
      <w:r w:rsidRPr="00BB50D4">
        <w:rPr>
          <w:lang w:val="en-US"/>
        </w:rPr>
        <w:tab/>
      </w:r>
      <w:hyperlink r:id="rId14" w:history="1">
        <w:r>
          <w:rPr>
            <w:rStyle w:val="Hipervnculo"/>
            <w:szCs w:val="18"/>
            <w:lang w:val="en-US"/>
          </w:rPr>
          <w:t>A/HRC/41/42/</w:t>
        </w:r>
        <w:proofErr w:type="spellStart"/>
        <w:r>
          <w:rPr>
            <w:rStyle w:val="Hipervnculo"/>
            <w:szCs w:val="18"/>
            <w:lang w:val="en-US"/>
          </w:rPr>
          <w:t>Add.1</w:t>
        </w:r>
        <w:proofErr w:type="spellEnd"/>
      </w:hyperlink>
      <w:r w:rsidRPr="00837B27">
        <w:rPr>
          <w:szCs w:val="18"/>
          <w:lang w:val="en-US"/>
        </w:rPr>
        <w:t>, para. 74</w:t>
      </w:r>
    </w:p>
  </w:footnote>
  <w:footnote w:id="19">
    <w:p w14:paraId="40F151E4"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“A legal analysis of genocide: supplementary report of the National Inquiry into Missing and Murdered Indigenous Women and Girls” (2019).</w:t>
      </w:r>
    </w:p>
  </w:footnote>
  <w:footnote w:id="20">
    <w:p w14:paraId="04DF8142" w14:textId="77777777" w:rsidR="0019647B" w:rsidRPr="00BB50D4" w:rsidRDefault="0019647B" w:rsidP="0019647B">
      <w:pPr>
        <w:pStyle w:val="Textonotapie"/>
        <w:rPr>
          <w:rFonts w:eastAsia="Calibri"/>
          <w:szCs w:val="18"/>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Canada,</w:t>
      </w:r>
      <w:r w:rsidRPr="00BB50D4">
        <w:rPr>
          <w:sz w:val="16"/>
          <w:szCs w:val="16"/>
          <w:lang w:val="en-US"/>
        </w:rPr>
        <w:t xml:space="preserve"> </w:t>
      </w:r>
      <w:r w:rsidRPr="00BB50D4">
        <w:rPr>
          <w:rFonts w:eastAsia="Calibri"/>
          <w:szCs w:val="18"/>
          <w:lang w:val="en-US"/>
        </w:rPr>
        <w:t>Statistics Canada, “Violent victimization and perceptions of safety: experiences of First Nations, Métis and Inuit women in Canada” (2022).</w:t>
      </w:r>
      <w:hyperlink w:history="1"/>
    </w:p>
  </w:footnote>
  <w:footnote w:id="21">
    <w:p w14:paraId="0D6E63E6" w14:textId="77777777" w:rsidR="0019647B" w:rsidRPr="00243A4B" w:rsidRDefault="0019647B" w:rsidP="0019647B">
      <w:pPr>
        <w:pStyle w:val="Textonotapie"/>
      </w:pPr>
      <w:r w:rsidRPr="00BB50D4">
        <w:rPr>
          <w:lang w:val="en-US"/>
        </w:rPr>
        <w:tab/>
      </w:r>
      <w:r w:rsidRPr="00D26C5A">
        <w:rPr>
          <w:rStyle w:val="Refdenotaalpie"/>
        </w:rPr>
        <w:footnoteRef/>
      </w:r>
      <w:r w:rsidRPr="00243A4B">
        <w:tab/>
        <w:t>Ibid</w:t>
      </w:r>
      <w:r w:rsidRPr="00837B27">
        <w:t>.</w:t>
      </w:r>
      <w:r w:rsidRPr="00243A4B">
        <w:t xml:space="preserve"> </w:t>
      </w:r>
    </w:p>
  </w:footnote>
  <w:footnote w:id="22">
    <w:p w14:paraId="5EFB1464" w14:textId="77777777" w:rsidR="0019647B" w:rsidRPr="00837B27" w:rsidRDefault="0019647B" w:rsidP="0019647B">
      <w:pPr>
        <w:pStyle w:val="Textonotapie"/>
        <w:rPr>
          <w:szCs w:val="18"/>
          <w:lang w:val="en-US"/>
        </w:rPr>
      </w:pPr>
      <w:r w:rsidRPr="00243A4B">
        <w:rPr>
          <w:sz w:val="16"/>
          <w:szCs w:val="16"/>
        </w:rPr>
        <w:tab/>
      </w:r>
      <w:r w:rsidRPr="00D26C5A">
        <w:rPr>
          <w:rStyle w:val="Refdenotaalpie"/>
        </w:rPr>
        <w:footnoteRef/>
      </w:r>
      <w:r w:rsidRPr="00837B27">
        <w:rPr>
          <w:sz w:val="16"/>
          <w:szCs w:val="16"/>
        </w:rPr>
        <w:tab/>
      </w:r>
      <w:hyperlink r:id="rId15" w:history="1">
        <w:r w:rsidRPr="00ED600A">
          <w:rPr>
            <w:rStyle w:val="Hipervnculo"/>
            <w:szCs w:val="18"/>
          </w:rPr>
          <w:t>A/HRC/41/42/</w:t>
        </w:r>
        <w:proofErr w:type="spellStart"/>
        <w:r w:rsidRPr="00ED600A">
          <w:rPr>
            <w:rStyle w:val="Hipervnculo"/>
            <w:szCs w:val="18"/>
          </w:rPr>
          <w:t>Add.1</w:t>
        </w:r>
        <w:proofErr w:type="spellEnd"/>
      </w:hyperlink>
      <w:r w:rsidRPr="00837B27">
        <w:rPr>
          <w:szCs w:val="18"/>
        </w:rPr>
        <w:t xml:space="preserve">, para. </w:t>
      </w:r>
      <w:r w:rsidRPr="00837B27">
        <w:rPr>
          <w:szCs w:val="18"/>
          <w:lang w:val="en-US"/>
        </w:rPr>
        <w:t>74.</w:t>
      </w:r>
    </w:p>
  </w:footnote>
  <w:footnote w:id="23">
    <w:p w14:paraId="614A361D" w14:textId="77777777" w:rsidR="0019647B" w:rsidRPr="00BB50D4" w:rsidRDefault="0019647B" w:rsidP="0019647B">
      <w:pPr>
        <w:pStyle w:val="Textonotapie"/>
        <w:rPr>
          <w:sz w:val="16"/>
          <w:szCs w:val="16"/>
          <w:lang w:val="en-US"/>
        </w:rPr>
      </w:pPr>
      <w:r w:rsidRPr="00837B27">
        <w:rPr>
          <w:sz w:val="16"/>
          <w:szCs w:val="16"/>
          <w:lang w:val="en-US"/>
        </w:rPr>
        <w:tab/>
      </w:r>
      <w:r w:rsidRPr="00D26C5A">
        <w:rPr>
          <w:rStyle w:val="Refdenotaalpie"/>
        </w:rPr>
        <w:footnoteRef/>
      </w:r>
      <w:r w:rsidRPr="00837B27">
        <w:rPr>
          <w:sz w:val="16"/>
          <w:szCs w:val="16"/>
          <w:lang w:val="en-US"/>
        </w:rPr>
        <w:tab/>
      </w:r>
      <w:hyperlink r:id="rId16" w:history="1">
        <w:r w:rsidRPr="00ED600A">
          <w:rPr>
            <w:rStyle w:val="Hipervnculo"/>
            <w:lang w:val="en-US"/>
          </w:rPr>
          <w:t>A/HRC/41/42/</w:t>
        </w:r>
        <w:proofErr w:type="spellStart"/>
        <w:r w:rsidRPr="00ED600A">
          <w:rPr>
            <w:rStyle w:val="Hipervnculo"/>
            <w:lang w:val="en-US"/>
          </w:rPr>
          <w:t>Add</w:t>
        </w:r>
        <w:r w:rsidRPr="00ED600A">
          <w:rPr>
            <w:rStyle w:val="Hipervnculo"/>
            <w:rFonts w:eastAsia="Roboto"/>
            <w:szCs w:val="16"/>
            <w:lang w:val="en-US"/>
          </w:rPr>
          <w:t>.1</w:t>
        </w:r>
        <w:proofErr w:type="spellEnd"/>
      </w:hyperlink>
      <w:r w:rsidRPr="00837B27">
        <w:rPr>
          <w:rFonts w:eastAsia="Roboto"/>
          <w:szCs w:val="16"/>
          <w:lang w:val="en-US"/>
        </w:rPr>
        <w:t xml:space="preserve">, para. </w:t>
      </w:r>
      <w:r w:rsidRPr="00BB50D4">
        <w:rPr>
          <w:rFonts w:eastAsia="Roboto"/>
          <w:szCs w:val="16"/>
          <w:lang w:val="en-US"/>
        </w:rPr>
        <w:t>75.</w:t>
      </w:r>
    </w:p>
  </w:footnote>
  <w:footnote w:id="24">
    <w:p w14:paraId="770AE50D" w14:textId="77777777" w:rsidR="0019647B" w:rsidRPr="00BB50D4" w:rsidRDefault="0019647B" w:rsidP="0019647B">
      <w:pPr>
        <w:pStyle w:val="Textonotapie"/>
        <w:rPr>
          <w:rFonts w:eastAsia="Verdana"/>
          <w:sz w:val="16"/>
          <w:szCs w:val="16"/>
          <w:u w:val="single"/>
          <w:lang w:val="en-US"/>
        </w:rPr>
      </w:pPr>
      <w:r w:rsidRPr="00BB50D4">
        <w:rPr>
          <w:sz w:val="16"/>
          <w:szCs w:val="16"/>
          <w:lang w:val="en-US"/>
        </w:rPr>
        <w:tab/>
      </w:r>
      <w:r w:rsidRPr="00D26C5A">
        <w:rPr>
          <w:rStyle w:val="Refdenotaalpie"/>
        </w:rPr>
        <w:footnoteRef/>
      </w:r>
      <w:r w:rsidRPr="00BB50D4">
        <w:rPr>
          <w:sz w:val="16"/>
          <w:szCs w:val="16"/>
          <w:lang w:val="en-US"/>
        </w:rPr>
        <w:tab/>
      </w:r>
      <w:hyperlink r:id="rId17" w:history="1">
        <w:proofErr w:type="spellStart"/>
        <w:r w:rsidRPr="00BB50D4">
          <w:rPr>
            <w:rStyle w:val="Hipervnculo"/>
            <w:szCs w:val="16"/>
            <w:lang w:val="en-US"/>
          </w:rPr>
          <w:t>CCPR</w:t>
        </w:r>
        <w:proofErr w:type="spellEnd"/>
        <w:r w:rsidRPr="00BB50D4">
          <w:rPr>
            <w:rStyle w:val="Hipervnculo"/>
            <w:szCs w:val="16"/>
            <w:lang w:val="en-US"/>
          </w:rPr>
          <w:t>/C/CAN/CO/6</w:t>
        </w:r>
      </w:hyperlink>
      <w:r w:rsidRPr="00BB50D4">
        <w:rPr>
          <w:szCs w:val="16"/>
          <w:lang w:val="en-US"/>
        </w:rPr>
        <w:t xml:space="preserve">, paras. 8 and 9; and </w:t>
      </w:r>
      <w:hyperlink r:id="rId18" w:history="1">
        <w:r w:rsidRPr="00BB50D4">
          <w:rPr>
            <w:rStyle w:val="Hipervnculo"/>
            <w:rFonts w:eastAsia="Roboto"/>
            <w:szCs w:val="16"/>
            <w:lang w:val="en-US"/>
          </w:rPr>
          <w:t>CEDAW/C/</w:t>
        </w:r>
        <w:proofErr w:type="spellStart"/>
        <w:r w:rsidRPr="00BB50D4">
          <w:rPr>
            <w:rStyle w:val="Hipervnculo"/>
            <w:rFonts w:eastAsia="Roboto"/>
            <w:szCs w:val="16"/>
            <w:lang w:val="en-US"/>
          </w:rPr>
          <w:t>OP.8</w:t>
        </w:r>
        <w:proofErr w:type="spellEnd"/>
        <w:r w:rsidRPr="00BB50D4">
          <w:rPr>
            <w:rStyle w:val="Hipervnculo"/>
            <w:rFonts w:eastAsia="Roboto"/>
            <w:szCs w:val="16"/>
            <w:lang w:val="en-US"/>
          </w:rPr>
          <w:t>/CAN/1</w:t>
        </w:r>
      </w:hyperlink>
      <w:r w:rsidRPr="00BB50D4">
        <w:rPr>
          <w:rFonts w:eastAsia="Roboto"/>
          <w:szCs w:val="16"/>
          <w:lang w:val="en-US"/>
        </w:rPr>
        <w:t xml:space="preserve">. </w:t>
      </w:r>
    </w:p>
  </w:footnote>
  <w:footnote w:id="25">
    <w:p w14:paraId="780220DA" w14:textId="77777777" w:rsidR="0019647B" w:rsidRPr="00BB50D4" w:rsidRDefault="0019647B" w:rsidP="0019647B">
      <w:pPr>
        <w:pStyle w:val="Textonotapie"/>
        <w:rPr>
          <w:rFonts w:eastAsia="Verdana"/>
          <w:sz w:val="16"/>
          <w:szCs w:val="16"/>
          <w:u w:val="single"/>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See communication</w:t>
      </w:r>
      <w:r w:rsidRPr="00BB50D4">
        <w:rPr>
          <w:sz w:val="16"/>
          <w:szCs w:val="16"/>
          <w:lang w:val="en-US"/>
        </w:rPr>
        <w:t xml:space="preserve"> </w:t>
      </w:r>
      <w:r w:rsidRPr="00BB50D4">
        <w:rPr>
          <w:szCs w:val="16"/>
          <w:lang w:val="en-US"/>
        </w:rPr>
        <w:t xml:space="preserve">CAN 1/2011, available at https://spcommreports.ohchr.org/TMResultsBase/DownLoadPublicCommunicationFile?gId=1459; and </w:t>
      </w:r>
      <w:hyperlink r:id="rId19" w:history="1">
        <w:r w:rsidRPr="00BB50D4">
          <w:rPr>
            <w:rStyle w:val="Hipervnculo"/>
            <w:rFonts w:eastAsia="Roboto"/>
            <w:szCs w:val="16"/>
            <w:lang w:val="en-US"/>
          </w:rPr>
          <w:t>A/HRC/41/42/</w:t>
        </w:r>
        <w:proofErr w:type="spellStart"/>
        <w:r w:rsidRPr="00BB50D4">
          <w:rPr>
            <w:rStyle w:val="Hipervnculo"/>
            <w:rFonts w:eastAsia="Roboto"/>
            <w:szCs w:val="16"/>
            <w:lang w:val="en-US"/>
          </w:rPr>
          <w:t>Add.1</w:t>
        </w:r>
        <w:proofErr w:type="spellEnd"/>
      </w:hyperlink>
      <w:r w:rsidRPr="00BB50D4">
        <w:rPr>
          <w:rFonts w:eastAsia="Roboto"/>
          <w:szCs w:val="16"/>
          <w:lang w:val="en-US"/>
        </w:rPr>
        <w:t xml:space="preserve">, paras. 75 and 76. </w:t>
      </w:r>
    </w:p>
  </w:footnote>
  <w:footnote w:id="26">
    <w:p w14:paraId="04B3323A" w14:textId="77777777" w:rsidR="0019647B" w:rsidRPr="00BB50D4" w:rsidRDefault="0019647B" w:rsidP="0019647B">
      <w:pPr>
        <w:pStyle w:val="Textonotapie"/>
        <w:rPr>
          <w:rFonts w:eastAsia="Verdana"/>
          <w:sz w:val="16"/>
          <w:szCs w:val="16"/>
          <w:u w:val="single"/>
          <w:lang w:val="en-US"/>
        </w:rPr>
      </w:pPr>
      <w:r w:rsidRPr="00BB50D4">
        <w:rPr>
          <w:sz w:val="16"/>
          <w:szCs w:val="16"/>
          <w:lang w:val="en-US"/>
        </w:rPr>
        <w:tab/>
      </w:r>
      <w:r w:rsidRPr="00D26C5A">
        <w:rPr>
          <w:rStyle w:val="Refdenotaalpie"/>
        </w:rPr>
        <w:footnoteRef/>
      </w:r>
      <w:r w:rsidRPr="00BB50D4">
        <w:rPr>
          <w:sz w:val="16"/>
          <w:szCs w:val="16"/>
          <w:lang w:val="en-US"/>
        </w:rPr>
        <w:tab/>
      </w:r>
      <w:r w:rsidRPr="00BB50D4">
        <w:rPr>
          <w:rFonts w:eastAsia="Roboto"/>
          <w:szCs w:val="16"/>
          <w:lang w:val="en-US"/>
        </w:rPr>
        <w:t xml:space="preserve">See also </w:t>
      </w:r>
      <w:r w:rsidRPr="00837B27">
        <w:rPr>
          <w:lang w:val="en-US"/>
        </w:rPr>
        <w:t>United Nations Declaration on the Rights of Indigenous Peoples</w:t>
      </w:r>
      <w:r>
        <w:rPr>
          <w:lang w:val="en-US"/>
        </w:rPr>
        <w:t>,</w:t>
      </w:r>
      <w:r w:rsidRPr="00BB50D4">
        <w:rPr>
          <w:rFonts w:eastAsia="Roboto"/>
          <w:szCs w:val="16"/>
          <w:lang w:val="en-US"/>
        </w:rPr>
        <w:t xml:space="preserve"> art. 22 (2).</w:t>
      </w:r>
      <w:r w:rsidRPr="00BB50D4">
        <w:rPr>
          <w:rFonts w:eastAsia="Roboto"/>
          <w:sz w:val="16"/>
          <w:szCs w:val="16"/>
          <w:lang w:val="en-US"/>
        </w:rPr>
        <w:t xml:space="preserve"> </w:t>
      </w:r>
    </w:p>
  </w:footnote>
  <w:footnote w:id="27">
    <w:p w14:paraId="699A8541" w14:textId="77777777" w:rsidR="0019647B" w:rsidRPr="00837B27" w:rsidRDefault="0019647B" w:rsidP="0019647B">
      <w:pPr>
        <w:pStyle w:val="Textonotapie"/>
        <w:rPr>
          <w:lang w:val="en-US"/>
        </w:rPr>
      </w:pPr>
      <w:r w:rsidRPr="00BB50D4">
        <w:rPr>
          <w:lang w:val="en-US"/>
        </w:rPr>
        <w:tab/>
      </w:r>
      <w:r w:rsidRPr="00D26C5A">
        <w:rPr>
          <w:rStyle w:val="Refdenotaalpie"/>
        </w:rPr>
        <w:footnoteRef/>
      </w:r>
      <w:r w:rsidRPr="00837B27">
        <w:rPr>
          <w:lang w:val="en-US"/>
        </w:rPr>
        <w:tab/>
        <w:t xml:space="preserve">See communication CAN 4/2021. </w:t>
      </w:r>
    </w:p>
  </w:footnote>
  <w:footnote w:id="28">
    <w:p w14:paraId="67F6F291" w14:textId="77777777" w:rsidR="0019647B" w:rsidRPr="00837B27" w:rsidRDefault="0019647B" w:rsidP="0019647B">
      <w:pPr>
        <w:pStyle w:val="Textonotapie"/>
        <w:rPr>
          <w:b/>
          <w:bCs/>
          <w:sz w:val="16"/>
          <w:szCs w:val="16"/>
          <w:lang w:val="en-US"/>
        </w:rPr>
      </w:pPr>
      <w:r w:rsidRPr="00837B27">
        <w:rPr>
          <w:sz w:val="16"/>
          <w:szCs w:val="16"/>
          <w:lang w:val="en-US"/>
        </w:rPr>
        <w:tab/>
      </w:r>
      <w:r w:rsidRPr="00D26C5A">
        <w:rPr>
          <w:rStyle w:val="Refdenotaalpie"/>
        </w:rPr>
        <w:footnoteRef/>
      </w:r>
      <w:r w:rsidRPr="00837B27">
        <w:rPr>
          <w:sz w:val="16"/>
          <w:szCs w:val="16"/>
          <w:lang w:val="en-US"/>
        </w:rPr>
        <w:tab/>
      </w:r>
      <w:r w:rsidRPr="00837B27">
        <w:rPr>
          <w:szCs w:val="18"/>
          <w:lang w:val="en-US"/>
        </w:rPr>
        <w:t xml:space="preserve">See </w:t>
      </w:r>
      <w:hyperlink r:id="rId20" w:history="1">
        <w:r w:rsidRPr="00ED600A">
          <w:rPr>
            <w:rStyle w:val="Hipervnculo"/>
            <w:spacing w:val="4"/>
            <w:szCs w:val="16"/>
            <w:lang w:val="en-US"/>
          </w:rPr>
          <w:t>A/75/185</w:t>
        </w:r>
      </w:hyperlink>
      <w:r w:rsidRPr="00837B27">
        <w:rPr>
          <w:szCs w:val="16"/>
          <w:lang w:val="en-US"/>
        </w:rPr>
        <w:t>.</w:t>
      </w:r>
    </w:p>
  </w:footnote>
  <w:footnote w:id="29">
    <w:p w14:paraId="07C48A5B" w14:textId="77777777" w:rsidR="0019647B" w:rsidRPr="00837B27" w:rsidRDefault="0019647B" w:rsidP="0019647B">
      <w:pPr>
        <w:pStyle w:val="Textonotapie"/>
        <w:rPr>
          <w:lang w:val="en-US"/>
        </w:rPr>
      </w:pPr>
      <w:r w:rsidRPr="00837B27">
        <w:rPr>
          <w:sz w:val="16"/>
          <w:szCs w:val="16"/>
          <w:lang w:val="en-US"/>
        </w:rPr>
        <w:tab/>
      </w:r>
      <w:r w:rsidRPr="00D26C5A">
        <w:rPr>
          <w:rStyle w:val="Refdenotaalpie"/>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192C2B">
        <w:rPr>
          <w:i/>
          <w:iCs/>
          <w:lang w:val="en-US"/>
        </w:rPr>
        <w:t xml:space="preserve"> Reclaiming Power and Place</w:t>
      </w:r>
      <w:r w:rsidRPr="00837B27">
        <w:rPr>
          <w:lang w:val="en-US"/>
        </w:rPr>
        <w:t>.</w:t>
      </w:r>
    </w:p>
  </w:footnote>
  <w:footnote w:id="30">
    <w:p w14:paraId="19FC8B32" w14:textId="77777777" w:rsidR="0019647B" w:rsidRPr="00837B27" w:rsidRDefault="0019647B" w:rsidP="0019647B">
      <w:pPr>
        <w:pStyle w:val="Textonotapie"/>
        <w:rPr>
          <w:rFonts w:eastAsia="Roboto"/>
          <w:sz w:val="16"/>
          <w:szCs w:val="16"/>
          <w:lang w:val="en-US"/>
        </w:rPr>
      </w:pPr>
      <w:r w:rsidRPr="00837B27">
        <w:rPr>
          <w:sz w:val="16"/>
          <w:szCs w:val="16"/>
          <w:lang w:val="en-US"/>
        </w:rPr>
        <w:tab/>
      </w:r>
      <w:r w:rsidRPr="00D26C5A">
        <w:rPr>
          <w:rStyle w:val="Refdenotaalpie"/>
        </w:rPr>
        <w:footnoteRef/>
      </w:r>
      <w:r w:rsidRPr="00837B27">
        <w:rPr>
          <w:sz w:val="16"/>
          <w:szCs w:val="16"/>
          <w:lang w:val="en-US"/>
        </w:rPr>
        <w:tab/>
      </w:r>
      <w:r w:rsidRPr="00837B27">
        <w:rPr>
          <w:rFonts w:eastAsia="Calibri"/>
          <w:i/>
          <w:iCs/>
          <w:szCs w:val="16"/>
          <w:lang w:val="en-US"/>
        </w:rPr>
        <w:t xml:space="preserve">McIvor and </w:t>
      </w:r>
      <w:proofErr w:type="spellStart"/>
      <w:r w:rsidRPr="00837B27">
        <w:rPr>
          <w:rFonts w:eastAsia="Calibri"/>
          <w:i/>
          <w:iCs/>
          <w:szCs w:val="16"/>
          <w:lang w:val="en-US"/>
        </w:rPr>
        <w:t>Grismer</w:t>
      </w:r>
      <w:proofErr w:type="spellEnd"/>
      <w:r w:rsidRPr="00837B27">
        <w:rPr>
          <w:rFonts w:eastAsia="Calibri"/>
          <w:i/>
          <w:iCs/>
          <w:szCs w:val="16"/>
          <w:lang w:val="en-US"/>
        </w:rPr>
        <w:t xml:space="preserve"> v. Canada</w:t>
      </w:r>
      <w:r w:rsidRPr="00837B27">
        <w:rPr>
          <w:rFonts w:eastAsia="Calibri"/>
          <w:szCs w:val="16"/>
          <w:lang w:val="en-US"/>
        </w:rPr>
        <w:t xml:space="preserve"> (</w:t>
      </w:r>
      <w:proofErr w:type="spellStart"/>
      <w:r>
        <w:fldChar w:fldCharType="begin"/>
      </w:r>
      <w:r w:rsidRPr="00BB50D4">
        <w:rPr>
          <w:lang w:val="en-US"/>
        </w:rPr>
        <w:instrText>HYPERLINK "http://undocs.org/en/CCPR/C/124/D/2020/2010"</w:instrText>
      </w:r>
      <w:r>
        <w:fldChar w:fldCharType="separate"/>
      </w:r>
      <w:r w:rsidRPr="00ED600A">
        <w:rPr>
          <w:rStyle w:val="Hipervnculo"/>
          <w:rFonts w:eastAsia="Calibri"/>
          <w:szCs w:val="16"/>
          <w:lang w:val="en-US"/>
        </w:rPr>
        <w:t>CCPR</w:t>
      </w:r>
      <w:proofErr w:type="spellEnd"/>
      <w:r w:rsidRPr="00ED600A">
        <w:rPr>
          <w:rStyle w:val="Hipervnculo"/>
          <w:rFonts w:eastAsia="Calibri"/>
          <w:szCs w:val="16"/>
          <w:lang w:val="en-US"/>
        </w:rPr>
        <w:t>/C/124/D/2020/2010</w:t>
      </w:r>
      <w:r>
        <w:rPr>
          <w:rStyle w:val="Hipervnculo"/>
          <w:rFonts w:eastAsia="Calibri"/>
          <w:szCs w:val="16"/>
          <w:lang w:val="en-US"/>
        </w:rPr>
        <w:fldChar w:fldCharType="end"/>
      </w:r>
      <w:r w:rsidRPr="00837B27">
        <w:rPr>
          <w:rFonts w:eastAsia="Calibri"/>
          <w:szCs w:val="16"/>
          <w:lang w:val="en-US"/>
        </w:rPr>
        <w:t xml:space="preserve">). </w:t>
      </w:r>
    </w:p>
  </w:footnote>
  <w:footnote w:id="31">
    <w:p w14:paraId="0874B13E" w14:textId="77777777" w:rsidR="0019647B" w:rsidRPr="00837B27" w:rsidRDefault="0019647B" w:rsidP="0019647B">
      <w:pPr>
        <w:pStyle w:val="Textonotapie"/>
        <w:rPr>
          <w:lang w:val="en-US"/>
        </w:rPr>
      </w:pPr>
      <w:r w:rsidRPr="00BB50D4">
        <w:rPr>
          <w:lang w:val="en-US"/>
        </w:rPr>
        <w:tab/>
      </w:r>
      <w:r w:rsidRPr="00D26C5A">
        <w:rPr>
          <w:rStyle w:val="Refdenotaalpie"/>
        </w:rPr>
        <w:footnoteRef/>
      </w:r>
      <w:r w:rsidRPr="00BB50D4">
        <w:rPr>
          <w:lang w:val="en-US"/>
        </w:rP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3 and 26</w:t>
      </w:r>
      <w:r>
        <w:rPr>
          <w:lang w:val="en-US"/>
        </w:rPr>
        <w:t>.</w:t>
      </w:r>
    </w:p>
  </w:footnote>
  <w:footnote w:id="32">
    <w:p w14:paraId="7FC05436" w14:textId="77777777" w:rsidR="0019647B" w:rsidRPr="00837B27" w:rsidRDefault="0019647B" w:rsidP="0019647B">
      <w:pPr>
        <w:pStyle w:val="Textonotapie"/>
        <w:rPr>
          <w:lang w:val="en-US"/>
        </w:rPr>
      </w:pPr>
      <w:r w:rsidRPr="00BB50D4">
        <w:rPr>
          <w:lang w:val="en-US"/>
        </w:rPr>
        <w:tab/>
      </w:r>
      <w:r w:rsidRPr="00D26C5A">
        <w:rPr>
          <w:rStyle w:val="Refdenotaalpie"/>
        </w:rPr>
        <w:footnoteRef/>
      </w:r>
      <w:r w:rsidRPr="00BB50D4">
        <w:rPr>
          <w:lang w:val="en-US"/>
        </w:rPr>
        <w:tab/>
      </w:r>
      <w:r>
        <w:rPr>
          <w:lang w:val="en-US"/>
        </w:rPr>
        <w:t>Ibid., a</w:t>
      </w:r>
      <w:r w:rsidRPr="000F1D80">
        <w:rPr>
          <w:lang w:val="en-US"/>
        </w:rPr>
        <w:t>rt</w:t>
      </w:r>
      <w:r>
        <w:rPr>
          <w:lang w:val="en-US"/>
        </w:rPr>
        <w:t>.</w:t>
      </w:r>
      <w:r w:rsidRPr="000F1D80">
        <w:rPr>
          <w:lang w:val="en-US"/>
        </w:rPr>
        <w:t xml:space="preserve"> 27</w:t>
      </w:r>
      <w:r>
        <w:rPr>
          <w:lang w:val="en-US"/>
        </w:rPr>
        <w:t>.</w:t>
      </w:r>
    </w:p>
  </w:footnote>
  <w:footnote w:id="33">
    <w:p w14:paraId="106BA0C5" w14:textId="77777777" w:rsidR="0019647B" w:rsidRPr="00BB50D4" w:rsidRDefault="0019647B" w:rsidP="0019647B">
      <w:pPr>
        <w:pStyle w:val="Textonotapie"/>
        <w:rPr>
          <w:rFonts w:eastAsia="Roboto"/>
          <w:sz w:val="16"/>
          <w:szCs w:val="16"/>
          <w:lang w:val="en-US"/>
        </w:rPr>
      </w:pPr>
      <w:r w:rsidRPr="00837B27">
        <w:rPr>
          <w:sz w:val="16"/>
          <w:szCs w:val="16"/>
          <w:lang w:val="en-US"/>
        </w:rPr>
        <w:tab/>
      </w:r>
      <w:r w:rsidRPr="00D26C5A">
        <w:rPr>
          <w:rStyle w:val="Refdenotaalpie"/>
        </w:rPr>
        <w:footnoteRef/>
      </w:r>
      <w:r w:rsidRPr="00837B27">
        <w:rPr>
          <w:sz w:val="16"/>
          <w:szCs w:val="16"/>
          <w:lang w:val="en-US"/>
        </w:rPr>
        <w:tab/>
      </w:r>
      <w:r w:rsidRPr="00BB50D4">
        <w:rPr>
          <w:szCs w:val="16"/>
          <w:lang w:val="en-US"/>
        </w:rPr>
        <w:t xml:space="preserve">See also </w:t>
      </w:r>
      <w:hyperlink r:id="rId21" w:history="1">
        <w:r w:rsidRPr="00BB50D4">
          <w:rPr>
            <w:rStyle w:val="Hipervnculo"/>
            <w:lang w:val="en-US"/>
          </w:rPr>
          <w:t>A/HRC/41/42/</w:t>
        </w:r>
        <w:proofErr w:type="spellStart"/>
        <w:r w:rsidRPr="00BB50D4">
          <w:rPr>
            <w:rStyle w:val="Hipervnculo"/>
            <w:lang w:val="en-US"/>
          </w:rPr>
          <w:t>A</w:t>
        </w:r>
        <w:r w:rsidRPr="00BB50D4">
          <w:rPr>
            <w:rStyle w:val="Hipervnculo"/>
            <w:szCs w:val="16"/>
            <w:lang w:val="en-US"/>
          </w:rPr>
          <w:t>dd</w:t>
        </w:r>
        <w:r w:rsidRPr="00BB50D4">
          <w:rPr>
            <w:rStyle w:val="Hipervnculo"/>
            <w:lang w:val="en-US"/>
          </w:rPr>
          <w:t>.1</w:t>
        </w:r>
        <w:proofErr w:type="spellEnd"/>
      </w:hyperlink>
      <w:r w:rsidRPr="00BB50D4">
        <w:rPr>
          <w:szCs w:val="16"/>
          <w:lang w:val="en-US"/>
        </w:rPr>
        <w:t xml:space="preserve">, para. 18; Convention on the Elimination of All Forms of Discrimination against Women, art. 2; </w:t>
      </w:r>
      <w:hyperlink r:id="rId22" w:history="1">
        <w:r w:rsidRPr="00BB50D4">
          <w:rPr>
            <w:rStyle w:val="Hipervnculo"/>
            <w:rFonts w:eastAsia="Roboto"/>
            <w:szCs w:val="16"/>
            <w:lang w:val="en-US"/>
          </w:rPr>
          <w:t>CEDAW/C/</w:t>
        </w:r>
        <w:proofErr w:type="spellStart"/>
        <w:r w:rsidRPr="00BB50D4">
          <w:rPr>
            <w:rStyle w:val="Hipervnculo"/>
            <w:rFonts w:eastAsia="Roboto"/>
            <w:szCs w:val="16"/>
            <w:lang w:val="en-US"/>
          </w:rPr>
          <w:t>OP.8</w:t>
        </w:r>
        <w:proofErr w:type="spellEnd"/>
        <w:r w:rsidRPr="00BB50D4">
          <w:rPr>
            <w:rStyle w:val="Hipervnculo"/>
            <w:rFonts w:eastAsia="Roboto"/>
            <w:szCs w:val="16"/>
            <w:lang w:val="en-US"/>
          </w:rPr>
          <w:t>/CAN/1</w:t>
        </w:r>
      </w:hyperlink>
      <w:r w:rsidRPr="00BB50D4">
        <w:rPr>
          <w:rFonts w:eastAsia="Roboto"/>
          <w:szCs w:val="16"/>
          <w:lang w:val="en-US"/>
        </w:rPr>
        <w:t xml:space="preserve">, para. 24; and </w:t>
      </w:r>
      <w:r w:rsidRPr="00837B27">
        <w:rPr>
          <w:lang w:val="en-US"/>
        </w:rPr>
        <w:t>United Nations Declaration on the Rights of Indigenous Peoples</w:t>
      </w:r>
      <w:r>
        <w:rPr>
          <w:lang w:val="en-US"/>
        </w:rPr>
        <w:t>,</w:t>
      </w:r>
      <w:r w:rsidRPr="00BB50D4">
        <w:rPr>
          <w:szCs w:val="16"/>
          <w:lang w:val="en-US"/>
        </w:rPr>
        <w:t xml:space="preserve"> arts. 3, 4 and 33.</w:t>
      </w:r>
    </w:p>
  </w:footnote>
  <w:footnote w:id="34">
    <w:p w14:paraId="0C035081"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See also Committee on the Elimination of Discrimination against Women, general recommendation No. 39 (2022), para. 24.</w:t>
      </w:r>
    </w:p>
  </w:footnote>
  <w:footnote w:id="35">
    <w:p w14:paraId="76341B68" w14:textId="77777777" w:rsidR="0019647B" w:rsidRPr="00837B27"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837B27">
        <w:rPr>
          <w:sz w:val="16"/>
          <w:szCs w:val="16"/>
          <w:lang w:val="en-US"/>
        </w:rPr>
        <w:tab/>
      </w:r>
      <w:hyperlink r:id="rId23" w:history="1">
        <w:r w:rsidRPr="00ED600A">
          <w:rPr>
            <w:rStyle w:val="Hipervnculo"/>
            <w:lang w:val="en-US"/>
          </w:rPr>
          <w:t>CRC/C/CAN/CO/3-4</w:t>
        </w:r>
      </w:hyperlink>
      <w:r w:rsidRPr="00837B27">
        <w:rPr>
          <w:rFonts w:eastAsia="Roboto"/>
          <w:szCs w:val="16"/>
          <w:lang w:val="en-US"/>
        </w:rPr>
        <w:t>, para. 85 (e).</w:t>
      </w:r>
    </w:p>
  </w:footnote>
  <w:footnote w:id="36">
    <w:p w14:paraId="480C6DFA" w14:textId="77777777" w:rsidR="0019647B" w:rsidRPr="00BB50D4" w:rsidRDefault="0019647B" w:rsidP="0019647B">
      <w:pPr>
        <w:pStyle w:val="Textonotapie"/>
        <w:rPr>
          <w:lang w:val="en-US"/>
        </w:rPr>
      </w:pPr>
      <w:r w:rsidRPr="00837B27">
        <w:rPr>
          <w:sz w:val="16"/>
          <w:szCs w:val="16"/>
          <w:lang w:val="en-US"/>
        </w:rPr>
        <w:tab/>
      </w:r>
      <w:r w:rsidRPr="00D26C5A">
        <w:rPr>
          <w:rStyle w:val="Refdenotaalpie"/>
        </w:rPr>
        <w:footnoteRef/>
      </w:r>
      <w:r w:rsidRPr="00BB50D4">
        <w:rPr>
          <w:sz w:val="16"/>
          <w:szCs w:val="16"/>
          <w:lang w:val="en-US"/>
        </w:rPr>
        <w:tab/>
      </w:r>
      <w:r w:rsidRPr="00BB50D4">
        <w:rPr>
          <w:lang w:val="en-US"/>
        </w:rPr>
        <w:t>Submission from Prisoners’ Legal Services.</w:t>
      </w:r>
    </w:p>
  </w:footnote>
  <w:footnote w:id="37">
    <w:p w14:paraId="1FE3D9C7"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hyperlink r:id="rId24" w:history="1">
        <w:r w:rsidRPr="00BB50D4">
          <w:rPr>
            <w:rStyle w:val="Hipervnculo"/>
            <w:lang w:val="en-US"/>
          </w:rPr>
          <w:t>A/HRC/41/42/</w:t>
        </w:r>
        <w:proofErr w:type="spellStart"/>
        <w:r w:rsidRPr="00BB50D4">
          <w:rPr>
            <w:rStyle w:val="Hipervnculo"/>
            <w:lang w:val="en-US"/>
          </w:rPr>
          <w:t>Add.1</w:t>
        </w:r>
        <w:proofErr w:type="spellEnd"/>
      </w:hyperlink>
      <w:r w:rsidRPr="00BB50D4">
        <w:rPr>
          <w:lang w:val="en-US"/>
        </w:rPr>
        <w:t>, paras. 68 and 96 (z).</w:t>
      </w:r>
    </w:p>
  </w:footnote>
  <w:footnote w:id="38">
    <w:p w14:paraId="0326657D" w14:textId="77777777" w:rsidR="0019647B" w:rsidRPr="00BB50D4" w:rsidRDefault="0019647B" w:rsidP="0019647B">
      <w:pPr>
        <w:pStyle w:val="Textonotapie"/>
        <w:rPr>
          <w:rFonts w:eastAsia="Calibri"/>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Structured Intervention Unit Implementation Advisory Panel, “Preliminary observations of the operation of Correctional Service of Canada’s structured intervention units” (</w:t>
      </w:r>
      <w:r w:rsidRPr="00BB50D4">
        <w:rPr>
          <w:szCs w:val="16"/>
          <w:lang w:val="en-US"/>
        </w:rPr>
        <w:t xml:space="preserve">Public Safety Canada, 2021). See also </w:t>
      </w:r>
      <w:hyperlink r:id="rId25" w:history="1">
        <w:hyperlink r:id="rId26" w:history="1">
          <w:r w:rsidRPr="00BB50D4">
            <w:rPr>
              <w:rStyle w:val="Hipervnculo"/>
              <w:lang w:val="en-US"/>
            </w:rPr>
            <w:t>CAT/C/CAN/CO/7</w:t>
          </w:r>
        </w:hyperlink>
      </w:hyperlink>
      <w:r w:rsidRPr="00BB50D4">
        <w:rPr>
          <w:szCs w:val="16"/>
          <w:lang w:val="en-US"/>
        </w:rPr>
        <w:t>, para. 14.</w:t>
      </w:r>
    </w:p>
  </w:footnote>
  <w:footnote w:id="39">
    <w:p w14:paraId="731016BE"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See https://www.publicsafety.gc.ca/cnt/cntrng-crm/crrctns/siuiap-ccuis-en.aspx.</w:t>
      </w:r>
    </w:p>
  </w:footnote>
  <w:footnote w:id="40">
    <w:p w14:paraId="4B4568EB"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Structured Intervention Unit Implementation Advisory Panel, “Preliminary observations”.</w:t>
      </w:r>
    </w:p>
  </w:footnote>
  <w:footnote w:id="41">
    <w:p w14:paraId="40D6CD86"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See</w:t>
      </w:r>
      <w:r w:rsidRPr="00BB50D4">
        <w:rPr>
          <w:lang w:val="en-US"/>
        </w:rPr>
        <w:t xml:space="preserve"> https://www.justice.gc.ca/eng/trans/bm-mb/other-autre/c5/messages.html.</w:t>
      </w:r>
    </w:p>
  </w:footnote>
  <w:footnote w:id="42">
    <w:p w14:paraId="0B975278"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See</w:t>
      </w:r>
      <w:r w:rsidRPr="00BB50D4">
        <w:rPr>
          <w:sz w:val="16"/>
          <w:szCs w:val="16"/>
          <w:lang w:val="en-US"/>
        </w:rPr>
        <w:t xml:space="preserve"> </w:t>
      </w:r>
      <w:r w:rsidRPr="00BB50D4">
        <w:rPr>
          <w:lang w:val="en-US"/>
        </w:rPr>
        <w:t>https://</w:t>
      </w:r>
      <w:proofErr w:type="spellStart"/>
      <w:r w:rsidRPr="00BB50D4">
        <w:rPr>
          <w:lang w:val="en-US"/>
        </w:rPr>
        <w:t>www.parl.ca</w:t>
      </w:r>
      <w:proofErr w:type="spellEnd"/>
      <w:r w:rsidRPr="00BB50D4">
        <w:rPr>
          <w:lang w:val="en-US"/>
        </w:rPr>
        <w:t>/</w:t>
      </w:r>
      <w:proofErr w:type="spellStart"/>
      <w:r w:rsidRPr="00BB50D4">
        <w:rPr>
          <w:lang w:val="en-US"/>
        </w:rPr>
        <w:t>legisinfo</w:t>
      </w:r>
      <w:proofErr w:type="spellEnd"/>
      <w:r w:rsidRPr="00BB50D4">
        <w:rPr>
          <w:lang w:val="en-US"/>
        </w:rPr>
        <w:t>/</w:t>
      </w:r>
      <w:proofErr w:type="spellStart"/>
      <w:r w:rsidRPr="00BB50D4">
        <w:rPr>
          <w:lang w:val="en-US"/>
        </w:rPr>
        <w:t>en</w:t>
      </w:r>
      <w:proofErr w:type="spellEnd"/>
      <w:r w:rsidRPr="00BB50D4">
        <w:rPr>
          <w:lang w:val="en-US"/>
        </w:rPr>
        <w:t>/bill/44-1/c-5.</w:t>
      </w:r>
    </w:p>
  </w:footnote>
  <w:footnote w:id="43">
    <w:p w14:paraId="47436F54" w14:textId="77777777" w:rsidR="0019647B" w:rsidRPr="00BB50D4"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 xml:space="preserve">See </w:t>
      </w:r>
      <w:hyperlink r:id="rId27" w:history="1">
        <w:r w:rsidRPr="00BB50D4">
          <w:rPr>
            <w:rStyle w:val="Hipervnculo"/>
            <w:lang w:val="en-US"/>
          </w:rPr>
          <w:t>https://</w:t>
        </w:r>
        <w:proofErr w:type="spellStart"/>
        <w:r w:rsidRPr="00BB50D4">
          <w:rPr>
            <w:rStyle w:val="Hipervnculo"/>
            <w:lang w:val="en-US"/>
          </w:rPr>
          <w:t>www.rcaanc-cirnac.gc.ca</w:t>
        </w:r>
        <w:proofErr w:type="spellEnd"/>
        <w:r w:rsidRPr="00BB50D4">
          <w:rPr>
            <w:rStyle w:val="Hipervnculo"/>
            <w:lang w:val="en-US"/>
          </w:rPr>
          <w:t>/</w:t>
        </w:r>
        <w:proofErr w:type="spellStart"/>
        <w:r w:rsidRPr="00BB50D4">
          <w:rPr>
            <w:rStyle w:val="Hipervnculo"/>
            <w:lang w:val="en-US"/>
          </w:rPr>
          <w:t>eng</w:t>
        </w:r>
        <w:proofErr w:type="spellEnd"/>
        <w:r w:rsidRPr="00BB50D4">
          <w:rPr>
            <w:rStyle w:val="Hipervnculo"/>
            <w:lang w:val="en-US"/>
          </w:rPr>
          <w:t>/1100100032275/1529354547314</w:t>
        </w:r>
      </w:hyperlink>
      <w:r w:rsidRPr="00BB50D4">
        <w:rPr>
          <w:rFonts w:eastAsia="Tahoma"/>
          <w:szCs w:val="16"/>
          <w:lang w:val="en-US"/>
        </w:rPr>
        <w:t>.</w:t>
      </w:r>
    </w:p>
  </w:footnote>
  <w:footnote w:id="44">
    <w:p w14:paraId="0112CA07"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Committee on Economic, Social and Cultural Rights,</w:t>
      </w:r>
      <w:r w:rsidRPr="00BB50D4">
        <w:rPr>
          <w:sz w:val="16"/>
          <w:szCs w:val="16"/>
          <w:lang w:val="en-US"/>
        </w:rPr>
        <w:t xml:space="preserve"> </w:t>
      </w:r>
      <w:r w:rsidRPr="00BB50D4">
        <w:rPr>
          <w:lang w:val="en-US"/>
        </w:rPr>
        <w:t>general comment No. 26 (2022), para. 5.</w:t>
      </w:r>
    </w:p>
  </w:footnote>
  <w:footnote w:id="45">
    <w:p w14:paraId="48DD2038" w14:textId="77777777" w:rsidR="0019647B" w:rsidRPr="00837B27" w:rsidRDefault="0019647B" w:rsidP="0019647B">
      <w:pPr>
        <w:pStyle w:val="Textonotapie"/>
        <w:rPr>
          <w:lang w:val="en-US"/>
        </w:rPr>
      </w:pPr>
      <w:r w:rsidRPr="00BB50D4">
        <w:rPr>
          <w:lang w:val="en-US"/>
        </w:rPr>
        <w:tab/>
      </w:r>
      <w:r w:rsidRPr="00D26C5A">
        <w:rPr>
          <w:rStyle w:val="Refdenotaalpie"/>
        </w:rPr>
        <w:footnoteRef/>
      </w:r>
      <w:r w:rsidRPr="00BB50D4">
        <w:rPr>
          <w:lang w:val="en-US"/>
        </w:rPr>
        <w:tab/>
      </w:r>
      <w:hyperlink r:id="rId28" w:history="1">
        <w:r w:rsidRPr="00BB50D4">
          <w:rPr>
            <w:rStyle w:val="Hipervnculo"/>
            <w:lang w:val="en-US"/>
          </w:rPr>
          <w:t>A/HRC/51/28</w:t>
        </w:r>
      </w:hyperlink>
      <w:r w:rsidRPr="00BB50D4">
        <w:rPr>
          <w:lang w:val="en-US"/>
        </w:rPr>
        <w:t>.</w:t>
      </w:r>
    </w:p>
  </w:footnote>
  <w:footnote w:id="46">
    <w:p w14:paraId="6629EE97"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United Nations</w:t>
      </w:r>
      <w:r w:rsidRPr="00BB50D4">
        <w:rPr>
          <w:lang w:val="en-US"/>
        </w:rPr>
        <w:t xml:space="preserve"> Environment </w:t>
      </w:r>
      <w:proofErr w:type="spellStart"/>
      <w:r w:rsidRPr="00BB50D4">
        <w:rPr>
          <w:lang w:val="en-US"/>
        </w:rPr>
        <w:t>Programme</w:t>
      </w:r>
      <w:proofErr w:type="spellEnd"/>
      <w:r w:rsidRPr="00BB50D4">
        <w:rPr>
          <w:lang w:val="en-US"/>
        </w:rPr>
        <w:t>,</w:t>
      </w:r>
      <w:r w:rsidRPr="00BB50D4">
        <w:rPr>
          <w:i/>
          <w:iCs/>
          <w:lang w:val="en-US"/>
        </w:rPr>
        <w:t xml:space="preserve"> Global Resources Outlook 2019: Natural Resources for the Future We Want </w:t>
      </w:r>
      <w:r w:rsidRPr="00BB50D4">
        <w:rPr>
          <w:lang w:val="en-US"/>
        </w:rPr>
        <w:t>(2019), p. 4.</w:t>
      </w:r>
    </w:p>
  </w:footnote>
  <w:footnote w:id="47">
    <w:p w14:paraId="71B311E3" w14:textId="77777777" w:rsidR="0019647B" w:rsidRPr="00BB50D4"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See</w:t>
      </w:r>
      <w:r w:rsidRPr="00BB50D4">
        <w:rPr>
          <w:sz w:val="16"/>
          <w:szCs w:val="16"/>
          <w:lang w:val="en-US"/>
        </w:rPr>
        <w:t xml:space="preserve"> </w:t>
      </w:r>
      <w:hyperlink r:id="rId29" w:history="1">
        <w:r w:rsidRPr="00BB50D4">
          <w:rPr>
            <w:rStyle w:val="Hipervnculo"/>
            <w:lang w:val="en-US"/>
          </w:rPr>
          <w:t>A/HRC/39/17</w:t>
        </w:r>
      </w:hyperlink>
      <w:r w:rsidRPr="00BB50D4">
        <w:rPr>
          <w:rFonts w:eastAsia="Roboto"/>
          <w:szCs w:val="16"/>
          <w:lang w:val="en-US"/>
        </w:rPr>
        <w:t xml:space="preserve"> </w:t>
      </w:r>
      <w:r w:rsidRPr="00BB50D4">
        <w:rPr>
          <w:lang w:val="en-US"/>
        </w:rPr>
        <w:t>and</w:t>
      </w:r>
      <w:r w:rsidRPr="00BB50D4">
        <w:rPr>
          <w:szCs w:val="16"/>
          <w:lang w:val="en-US"/>
        </w:rPr>
        <w:t xml:space="preserve"> </w:t>
      </w:r>
      <w:hyperlink r:id="rId30" w:history="1">
        <w:r w:rsidRPr="00BB50D4">
          <w:rPr>
            <w:rStyle w:val="Hipervnculo"/>
            <w:szCs w:val="16"/>
            <w:lang w:val="en-US"/>
          </w:rPr>
          <w:t>A/71/281</w:t>
        </w:r>
      </w:hyperlink>
      <w:r w:rsidRPr="00BB50D4">
        <w:rPr>
          <w:sz w:val="16"/>
          <w:szCs w:val="16"/>
          <w:lang w:val="en-US"/>
        </w:rPr>
        <w:t>.</w:t>
      </w:r>
    </w:p>
  </w:footnote>
  <w:footnote w:id="48">
    <w:p w14:paraId="7DC2150B"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See communication CAN 2/2022</w:t>
      </w:r>
      <w:r w:rsidRPr="00BB50D4">
        <w:rPr>
          <w:lang w:val="en-US"/>
        </w:rPr>
        <w:t>, available at https://spcommreports.ohchr.org/TMResultsBase/DownLoadPublicCommunicationFile?gId=27260.</w:t>
      </w:r>
    </w:p>
  </w:footnote>
  <w:footnote w:id="49">
    <w:p w14:paraId="19AE3046" w14:textId="77777777" w:rsidR="0019647B" w:rsidRPr="00BB50D4" w:rsidRDefault="0019647B" w:rsidP="0019647B">
      <w:pPr>
        <w:pStyle w:val="Textonotapie"/>
        <w:rPr>
          <w:rFonts w:eastAsia="Times"/>
          <w:sz w:val="16"/>
          <w:szCs w:val="16"/>
          <w:lang w:val="en-US"/>
        </w:rPr>
      </w:pPr>
      <w:r w:rsidRPr="00BB50D4">
        <w:rPr>
          <w:rFonts w:eastAsia="Times"/>
          <w:sz w:val="16"/>
          <w:szCs w:val="16"/>
          <w:lang w:val="en-US"/>
        </w:rPr>
        <w:tab/>
      </w:r>
      <w:r w:rsidRPr="00D26C5A">
        <w:rPr>
          <w:rStyle w:val="Refdenotaalpie"/>
        </w:rPr>
        <w:footnoteRef/>
      </w:r>
      <w:r w:rsidRPr="00BB50D4">
        <w:rPr>
          <w:rFonts w:eastAsia="Times"/>
          <w:sz w:val="16"/>
          <w:szCs w:val="16"/>
          <w:lang w:val="en-US"/>
        </w:rPr>
        <w:tab/>
      </w:r>
      <w:r w:rsidRPr="00BB50D4">
        <w:rPr>
          <w:szCs w:val="18"/>
          <w:lang w:val="en-US"/>
        </w:rPr>
        <w:t>See communications</w:t>
      </w:r>
      <w:r w:rsidRPr="00BB50D4">
        <w:rPr>
          <w:rFonts w:eastAsia="Times"/>
          <w:szCs w:val="16"/>
          <w:lang w:val="en-US"/>
        </w:rPr>
        <w:t xml:space="preserve"> CAN 1/2022, </w:t>
      </w:r>
      <w:r w:rsidRPr="00BB50D4">
        <w:rPr>
          <w:lang w:val="en-US"/>
        </w:rPr>
        <w:t>CAN 7/2021</w:t>
      </w:r>
      <w:r w:rsidRPr="00BB50D4">
        <w:rPr>
          <w:rFonts w:eastAsia="Times"/>
          <w:szCs w:val="16"/>
          <w:lang w:val="en-US"/>
        </w:rPr>
        <w:t xml:space="preserve"> </w:t>
      </w:r>
      <w:hyperlink r:id="rId31" w:tgtFrame="Com_25425" w:history="1"/>
      <w:r w:rsidRPr="00BB50D4">
        <w:rPr>
          <w:rFonts w:eastAsia="Verdana"/>
          <w:sz w:val="20"/>
          <w:lang w:val="en-US"/>
        </w:rPr>
        <w:t>and</w:t>
      </w:r>
      <w:r w:rsidRPr="00BB50D4">
        <w:rPr>
          <w:rFonts w:eastAsia="Times"/>
          <w:szCs w:val="16"/>
          <w:lang w:val="en-US"/>
        </w:rPr>
        <w:t xml:space="preserve"> </w:t>
      </w:r>
      <w:r w:rsidRPr="00BB50D4">
        <w:rPr>
          <w:rFonts w:eastAsia="Verdana"/>
          <w:szCs w:val="16"/>
          <w:lang w:val="en-US"/>
        </w:rPr>
        <w:t>CAN 5/2020. Available from https://</w:t>
      </w:r>
      <w:proofErr w:type="spellStart"/>
      <w:r w:rsidRPr="00BB50D4">
        <w:rPr>
          <w:rFonts w:eastAsia="Verdana"/>
          <w:szCs w:val="16"/>
          <w:lang w:val="en-US"/>
        </w:rPr>
        <w:t>spcommreports.ohchr.org</w:t>
      </w:r>
      <w:proofErr w:type="spellEnd"/>
      <w:r w:rsidRPr="00BB50D4">
        <w:rPr>
          <w:rFonts w:eastAsia="Verdana"/>
          <w:szCs w:val="16"/>
          <w:lang w:val="en-US"/>
        </w:rPr>
        <w:t>/</w:t>
      </w:r>
      <w:proofErr w:type="spellStart"/>
      <w:r w:rsidRPr="00BB50D4">
        <w:rPr>
          <w:rFonts w:eastAsia="Verdana"/>
          <w:szCs w:val="16"/>
          <w:lang w:val="en-US"/>
        </w:rPr>
        <w:t>Tmsearch</w:t>
      </w:r>
      <w:proofErr w:type="spellEnd"/>
      <w:r w:rsidRPr="00BB50D4">
        <w:rPr>
          <w:rFonts w:eastAsia="Verdana"/>
          <w:szCs w:val="16"/>
          <w:lang w:val="en-US"/>
        </w:rPr>
        <w:t>/</w:t>
      </w:r>
      <w:proofErr w:type="spellStart"/>
      <w:r w:rsidRPr="00BB50D4">
        <w:rPr>
          <w:rFonts w:eastAsia="Verdana"/>
          <w:szCs w:val="16"/>
          <w:lang w:val="en-US"/>
        </w:rPr>
        <w:t>TMDocuments</w:t>
      </w:r>
      <w:proofErr w:type="spellEnd"/>
      <w:r w:rsidRPr="00BB50D4">
        <w:rPr>
          <w:rFonts w:eastAsia="Verdana"/>
          <w:szCs w:val="16"/>
          <w:lang w:val="en-US"/>
        </w:rPr>
        <w:t xml:space="preserve">. </w:t>
      </w:r>
    </w:p>
  </w:footnote>
  <w:footnote w:id="50">
    <w:p w14:paraId="4A7EA8D9" w14:textId="77777777" w:rsidR="0019647B" w:rsidRPr="00BB50D4" w:rsidRDefault="0019647B" w:rsidP="0019647B">
      <w:pPr>
        <w:pStyle w:val="Textonotapie"/>
        <w:rPr>
          <w:rFonts w:eastAsia="Roboto"/>
          <w:b/>
          <w:bCs/>
          <w:sz w:val="16"/>
          <w:szCs w:val="16"/>
          <w:lang w:val="en-US"/>
        </w:rPr>
      </w:pPr>
      <w:r w:rsidRPr="00BB50D4">
        <w:rPr>
          <w:sz w:val="16"/>
          <w:szCs w:val="16"/>
          <w:lang w:val="en-US"/>
        </w:rPr>
        <w:tab/>
      </w:r>
      <w:r w:rsidRPr="00D26C5A">
        <w:rPr>
          <w:rStyle w:val="Refdenotaalpie"/>
        </w:rPr>
        <w:footnoteRef/>
      </w:r>
      <w:r w:rsidRPr="00BB50D4">
        <w:rPr>
          <w:sz w:val="16"/>
          <w:szCs w:val="16"/>
          <w:lang w:val="en-US"/>
        </w:rPr>
        <w:tab/>
      </w:r>
      <w:hyperlink r:id="rId32" w:history="1">
        <w:r w:rsidRPr="00BB50D4">
          <w:rPr>
            <w:rStyle w:val="Hipervnculo"/>
            <w:lang w:val="en-US"/>
          </w:rPr>
          <w:t>CRC/C/CAN/CO/3-4</w:t>
        </w:r>
      </w:hyperlink>
      <w:r w:rsidRPr="00BB50D4">
        <w:rPr>
          <w:rFonts w:eastAsia="Roboto"/>
          <w:szCs w:val="16"/>
          <w:lang w:val="en-US"/>
        </w:rPr>
        <w:t xml:space="preserve">, para. 29; and </w:t>
      </w:r>
      <w:hyperlink r:id="rId33" w:history="1">
        <w:proofErr w:type="spellStart"/>
        <w:r w:rsidRPr="00BB50D4">
          <w:rPr>
            <w:rStyle w:val="Hipervnculo"/>
            <w:rFonts w:eastAsia="Roboto"/>
            <w:szCs w:val="16"/>
            <w:lang w:val="en-US"/>
          </w:rPr>
          <w:t>CERD</w:t>
        </w:r>
        <w:proofErr w:type="spellEnd"/>
        <w:r w:rsidRPr="00BB50D4">
          <w:rPr>
            <w:rStyle w:val="Hipervnculo"/>
            <w:rFonts w:eastAsia="Roboto"/>
            <w:szCs w:val="16"/>
            <w:lang w:val="en-US"/>
          </w:rPr>
          <w:t>/C/CAN</w:t>
        </w:r>
        <w:r w:rsidRPr="00BB50D4">
          <w:rPr>
            <w:rStyle w:val="Hipervnculo"/>
            <w:rFonts w:eastAsia="Roboto"/>
            <w:b/>
            <w:bCs/>
            <w:szCs w:val="16"/>
            <w:lang w:val="en-US"/>
          </w:rPr>
          <w:t>/</w:t>
        </w:r>
        <w:r w:rsidRPr="00BB50D4">
          <w:rPr>
            <w:rStyle w:val="Hipervnculo"/>
            <w:rFonts w:eastAsia="Roboto"/>
            <w:szCs w:val="16"/>
            <w:lang w:val="en-US"/>
          </w:rPr>
          <w:t>CO/19-20</w:t>
        </w:r>
      </w:hyperlink>
      <w:r w:rsidRPr="00BB50D4">
        <w:rPr>
          <w:rFonts w:eastAsia="Roboto"/>
          <w:szCs w:val="16"/>
          <w:lang w:val="en-US"/>
        </w:rPr>
        <w:t>, para. 14.</w:t>
      </w:r>
    </w:p>
  </w:footnote>
  <w:footnote w:id="51">
    <w:p w14:paraId="7820683E"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See Guiding Principles on Business and Human Rights and OECD Guidelines for Multinational Enterprises on Responsible Business Conduct.</w:t>
      </w:r>
    </w:p>
  </w:footnote>
  <w:footnote w:id="52">
    <w:p w14:paraId="0E4C0372" w14:textId="77777777" w:rsidR="0019647B" w:rsidRPr="00BB50D4" w:rsidRDefault="0019647B" w:rsidP="0019647B">
      <w:pPr>
        <w:pStyle w:val="Textonotapie"/>
        <w:rPr>
          <w:lang w:val="en-US"/>
        </w:rPr>
      </w:pPr>
      <w:r>
        <w:rPr>
          <w:sz w:val="16"/>
          <w:szCs w:val="16"/>
          <w:lang w:val="en-CA"/>
        </w:rPr>
        <w:tab/>
      </w:r>
      <w:r w:rsidRPr="00D26C5A">
        <w:rPr>
          <w:rStyle w:val="Refdenotaalpie"/>
        </w:rPr>
        <w:footnoteRef/>
      </w:r>
      <w:r>
        <w:rPr>
          <w:sz w:val="16"/>
          <w:szCs w:val="16"/>
          <w:lang w:val="en-CA"/>
        </w:rPr>
        <w:tab/>
      </w:r>
      <w:r w:rsidRPr="00BB50D4">
        <w:rPr>
          <w:lang w:val="en-US"/>
        </w:rPr>
        <w:t>Committee on Economic, Social and Cultural Rights, general recommendation No. 24 (2017).</w:t>
      </w:r>
    </w:p>
  </w:footnote>
  <w:footnote w:id="53">
    <w:p w14:paraId="152CD5B4" w14:textId="77777777" w:rsidR="0019647B" w:rsidRPr="00837B27" w:rsidRDefault="0019647B" w:rsidP="0019647B">
      <w:pPr>
        <w:pStyle w:val="Textonotapie"/>
      </w:pPr>
      <w:r w:rsidRPr="00BB50D4">
        <w:rPr>
          <w:sz w:val="16"/>
          <w:szCs w:val="16"/>
          <w:lang w:val="en-US"/>
        </w:rPr>
        <w:tab/>
      </w:r>
      <w:r w:rsidRPr="00D26C5A">
        <w:rPr>
          <w:rStyle w:val="Refdenotaalpie"/>
        </w:rPr>
        <w:footnoteRef/>
      </w:r>
      <w:r w:rsidRPr="00837B27">
        <w:rPr>
          <w:sz w:val="16"/>
          <w:szCs w:val="16"/>
        </w:rPr>
        <w:tab/>
      </w:r>
      <w:hyperlink r:id="rId34" w:history="1">
        <w:r w:rsidRPr="00ED600A">
          <w:rPr>
            <w:rStyle w:val="Hipervnculo"/>
          </w:rPr>
          <w:t>A/71/291</w:t>
        </w:r>
      </w:hyperlink>
      <w:r w:rsidRPr="00837B27">
        <w:t>, para. 115.</w:t>
      </w:r>
    </w:p>
  </w:footnote>
  <w:footnote w:id="54">
    <w:p w14:paraId="740F1116" w14:textId="77777777" w:rsidR="0019647B" w:rsidRPr="00BB50D4" w:rsidRDefault="0019647B" w:rsidP="0019647B">
      <w:pPr>
        <w:pStyle w:val="Textonotapie"/>
        <w:rPr>
          <w:rFonts w:eastAsia="Calibri"/>
          <w:b/>
          <w:bCs/>
          <w:sz w:val="16"/>
          <w:szCs w:val="16"/>
        </w:rPr>
      </w:pPr>
      <w:r w:rsidRPr="00837B27">
        <w:rPr>
          <w:sz w:val="16"/>
          <w:szCs w:val="16"/>
        </w:rPr>
        <w:tab/>
      </w:r>
      <w:r w:rsidRPr="00D26C5A">
        <w:rPr>
          <w:rStyle w:val="Refdenotaalpie"/>
        </w:rPr>
        <w:footnoteRef/>
      </w:r>
      <w:r w:rsidRPr="00BB50D4">
        <w:rPr>
          <w:sz w:val="16"/>
          <w:szCs w:val="16"/>
        </w:rPr>
        <w:tab/>
      </w:r>
      <w:proofErr w:type="spellStart"/>
      <w:r w:rsidRPr="00BB50D4">
        <w:rPr>
          <w:szCs w:val="16"/>
        </w:rPr>
        <w:t>See</w:t>
      </w:r>
      <w:proofErr w:type="spellEnd"/>
      <w:r w:rsidRPr="00BB50D4">
        <w:rPr>
          <w:sz w:val="16"/>
          <w:szCs w:val="16"/>
        </w:rPr>
        <w:t xml:space="preserve"> </w:t>
      </w:r>
      <w:hyperlink r:id="rId35" w:history="1">
        <w:r w:rsidRPr="00850BEA">
          <w:rPr>
            <w:rStyle w:val="Hipervnculo"/>
          </w:rPr>
          <w:t>https://</w:t>
        </w:r>
        <w:proofErr w:type="spellStart"/>
        <w:r w:rsidRPr="00850BEA">
          <w:rPr>
            <w:rStyle w:val="Hipervnculo"/>
          </w:rPr>
          <w:t>principedejoyce.com</w:t>
        </w:r>
        <w:proofErr w:type="spellEnd"/>
        <w:r w:rsidRPr="00850BEA">
          <w:rPr>
            <w:rStyle w:val="Hipervnculo"/>
          </w:rPr>
          <w:t>/en/</w:t>
        </w:r>
        <w:proofErr w:type="spellStart"/>
        <w:r w:rsidRPr="00850BEA">
          <w:rPr>
            <w:rStyle w:val="Hipervnculo"/>
          </w:rPr>
          <w:t>index</w:t>
        </w:r>
        <w:proofErr w:type="spellEnd"/>
      </w:hyperlink>
      <w:r w:rsidRPr="00BB50D4">
        <w:rPr>
          <w:rFonts w:eastAsia="Calibri"/>
          <w:szCs w:val="16"/>
        </w:rPr>
        <w:t>.</w:t>
      </w:r>
    </w:p>
  </w:footnote>
  <w:footnote w:id="55">
    <w:p w14:paraId="010F69C3" w14:textId="77777777" w:rsidR="0019647B" w:rsidRPr="00BB50D4" w:rsidRDefault="0019647B" w:rsidP="0019647B">
      <w:pPr>
        <w:pStyle w:val="Textonotapie"/>
        <w:rPr>
          <w:lang w:val="en-US"/>
        </w:rPr>
      </w:pPr>
      <w:r w:rsidRPr="00BB50D4">
        <w:rPr>
          <w:sz w:val="16"/>
          <w:szCs w:val="16"/>
        </w:rPr>
        <w:tab/>
      </w:r>
      <w:r w:rsidRPr="00D26C5A">
        <w:rPr>
          <w:rStyle w:val="Refdenotaalpie"/>
        </w:rPr>
        <w:footnoteRef/>
      </w:r>
      <w:r>
        <w:rPr>
          <w:sz w:val="16"/>
          <w:szCs w:val="16"/>
          <w:lang w:val="en-CA"/>
        </w:rPr>
        <w:tab/>
      </w:r>
      <w:r w:rsidRPr="00BB50D4">
        <w:rPr>
          <w:lang w:val="en-US"/>
        </w:rPr>
        <w:t xml:space="preserve">First Nations of Québec and Labrador Health and Social Services, </w:t>
      </w:r>
      <w:r w:rsidRPr="00BB50D4">
        <w:rPr>
          <w:i/>
          <w:iCs/>
          <w:lang w:val="en-US"/>
        </w:rPr>
        <w:t>Free and Informed Consent and Imposed Sterilizations among First Nations and Inuit Women in Québec</w:t>
      </w:r>
      <w:r w:rsidRPr="00BB50D4">
        <w:rPr>
          <w:lang w:val="en-US"/>
        </w:rPr>
        <w:t>.</w:t>
      </w:r>
    </w:p>
  </w:footnote>
  <w:footnote w:id="56">
    <w:p w14:paraId="47591F8D"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lang w:val="en-US"/>
        </w:rPr>
        <w:t xml:space="preserve">The practice of issuing birth alerts to notify the government when an Indigenous woman gave birth was only discontinued in the past few years. See also </w:t>
      </w:r>
      <w:hyperlink r:id="rId36" w:history="1">
        <w:r w:rsidRPr="00BB50D4">
          <w:rPr>
            <w:rStyle w:val="Hipervnculo"/>
            <w:lang w:val="en-US"/>
          </w:rPr>
          <w:t>A/HRC/41/42/</w:t>
        </w:r>
        <w:proofErr w:type="spellStart"/>
        <w:r w:rsidRPr="00BB50D4">
          <w:rPr>
            <w:rStyle w:val="Hipervnculo"/>
            <w:lang w:val="en-US"/>
          </w:rPr>
          <w:t>Add.1</w:t>
        </w:r>
        <w:proofErr w:type="spellEnd"/>
      </w:hyperlink>
      <w:r w:rsidRPr="00BB50D4">
        <w:rPr>
          <w:lang w:val="en-US"/>
        </w:rPr>
        <w:t xml:space="preserve">, para. 60 – the Saskatoon Health Region apologized to Indigenous women who had been subjected to forced </w:t>
      </w:r>
      <w:proofErr w:type="gramStart"/>
      <w:r w:rsidRPr="00BB50D4">
        <w:rPr>
          <w:lang w:val="en-US"/>
        </w:rPr>
        <w:t>sterilization, and</w:t>
      </w:r>
      <w:proofErr w:type="gramEnd"/>
      <w:r w:rsidRPr="00BB50D4">
        <w:rPr>
          <w:lang w:val="en-US"/>
        </w:rPr>
        <w:t xml:space="preserve"> said that “racism exists within our health care system and we, as leaders, acknowledge this”. </w:t>
      </w:r>
    </w:p>
  </w:footnote>
  <w:footnote w:id="57">
    <w:p w14:paraId="411C4987"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See https://www150.statcan.gc.ca/n1/pub/99-011-x/99-011-x2019001-eng.htm</w:t>
      </w:r>
      <w:r w:rsidRPr="00BB50D4" w:rsidDel="00243A4B">
        <w:rPr>
          <w:szCs w:val="18"/>
          <w:lang w:val="en-US"/>
        </w:rPr>
        <w:t xml:space="preserve"> </w:t>
      </w:r>
      <w:r w:rsidRPr="00BB50D4">
        <w:rPr>
          <w:lang w:val="en-US"/>
        </w:rPr>
        <w:t>.</w:t>
      </w:r>
    </w:p>
  </w:footnote>
  <w:footnote w:id="58">
    <w:p w14:paraId="753D9529" w14:textId="77777777" w:rsidR="0019647B" w:rsidRPr="00BB50D4"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rFonts w:eastAsiaTheme="minorHAnsi"/>
          <w:sz w:val="20"/>
          <w:lang w:val="en-US"/>
        </w:rPr>
        <w:t xml:space="preserve">See also </w:t>
      </w:r>
      <w:hyperlink r:id="rId37" w:history="1">
        <w:proofErr w:type="spellStart"/>
        <w:r w:rsidRPr="00BB50D4">
          <w:rPr>
            <w:rStyle w:val="Hipervnculo"/>
            <w:rFonts w:eastAsiaTheme="minorHAnsi"/>
            <w:lang w:val="en-US"/>
          </w:rPr>
          <w:t>CCPR</w:t>
        </w:r>
        <w:proofErr w:type="spellEnd"/>
        <w:r w:rsidRPr="00BB50D4">
          <w:rPr>
            <w:rStyle w:val="Hipervnculo"/>
            <w:rFonts w:eastAsiaTheme="minorHAnsi"/>
            <w:lang w:val="en-US"/>
          </w:rPr>
          <w:t>/C/CAN/CO/6</w:t>
        </w:r>
      </w:hyperlink>
      <w:r>
        <w:rPr>
          <w:rFonts w:eastAsia="Roboto"/>
          <w:szCs w:val="16"/>
          <w:lang w:val="en-CA"/>
        </w:rPr>
        <w:t>,</w:t>
      </w:r>
      <w:r w:rsidRPr="00837B27">
        <w:rPr>
          <w:rFonts w:eastAsia="Roboto"/>
          <w:szCs w:val="16"/>
          <w:lang w:val="en-CA"/>
        </w:rPr>
        <w:t xml:space="preserve"> para. 19.</w:t>
      </w:r>
    </w:p>
  </w:footnote>
  <w:footnote w:id="59">
    <w:p w14:paraId="56902CEB" w14:textId="77777777" w:rsidR="0019647B" w:rsidRPr="00BB50D4"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8"/>
          <w:lang w:val="en-US"/>
        </w:rPr>
        <w:t>See communication</w:t>
      </w:r>
      <w:r w:rsidRPr="00BB50D4">
        <w:rPr>
          <w:sz w:val="16"/>
          <w:szCs w:val="16"/>
          <w:lang w:val="en-US"/>
        </w:rPr>
        <w:t xml:space="preserve"> </w:t>
      </w:r>
      <w:hyperlink r:id="rId38">
        <w:r w:rsidRPr="00837B27">
          <w:rPr>
            <w:rFonts w:eastAsia="Roboto"/>
            <w:lang w:val="en-CA" w:eastAsia="en-US"/>
          </w:rPr>
          <w:t>CAN 3/2021</w:t>
        </w:r>
      </w:hyperlink>
      <w:r w:rsidRPr="00837B27">
        <w:rPr>
          <w:rFonts w:eastAsia="Roboto"/>
          <w:lang w:val="en-CA" w:eastAsia="en-US"/>
        </w:rPr>
        <w:t>.</w:t>
      </w:r>
      <w:r>
        <w:rPr>
          <w:rFonts w:eastAsia="Roboto"/>
          <w:lang w:val="en-CA" w:eastAsia="en-US"/>
        </w:rPr>
        <w:t xml:space="preserve"> Available at </w:t>
      </w:r>
      <w:r w:rsidRPr="006913EC">
        <w:rPr>
          <w:rFonts w:eastAsia="Roboto"/>
          <w:lang w:val="en-CA" w:eastAsia="en-US"/>
        </w:rPr>
        <w:t>https://spcommreports.ohchr.org/TMResultsBase/DownLoadPublicCommunicationFile?gId=26480</w:t>
      </w:r>
      <w:r>
        <w:rPr>
          <w:rFonts w:eastAsia="Roboto"/>
          <w:lang w:val="en-CA" w:eastAsia="en-US"/>
        </w:rPr>
        <w:t>.</w:t>
      </w:r>
    </w:p>
  </w:footnote>
  <w:footnote w:id="60">
    <w:p w14:paraId="74182A48" w14:textId="77777777" w:rsidR="0019647B" w:rsidRPr="00BB50D4" w:rsidRDefault="0019647B" w:rsidP="0019647B">
      <w:pPr>
        <w:pStyle w:val="Textonotapie"/>
        <w:rPr>
          <w:sz w:val="16"/>
          <w:szCs w:val="16"/>
          <w:lang w:val="en-US"/>
        </w:rPr>
      </w:pPr>
      <w:r w:rsidRPr="00BB50D4">
        <w:rPr>
          <w:sz w:val="16"/>
          <w:szCs w:val="16"/>
          <w:lang w:val="en-US"/>
        </w:rPr>
        <w:tab/>
      </w:r>
      <w:r w:rsidRPr="00D26C5A">
        <w:rPr>
          <w:rStyle w:val="Refdenotaalpie"/>
        </w:rPr>
        <w:footnoteRef/>
      </w:r>
      <w:r w:rsidRPr="00BB50D4">
        <w:rPr>
          <w:sz w:val="16"/>
          <w:szCs w:val="16"/>
          <w:lang w:val="en-US"/>
        </w:rPr>
        <w:tab/>
      </w:r>
      <w:hyperlink r:id="rId39" w:history="1">
        <w:r w:rsidRPr="00BB50D4">
          <w:rPr>
            <w:rStyle w:val="Hipervnculo"/>
            <w:szCs w:val="18"/>
            <w:lang w:val="en-US"/>
          </w:rPr>
          <w:t>CRC/C/CAN/CO/3-4</w:t>
        </w:r>
      </w:hyperlink>
      <w:r w:rsidRPr="00BB50D4">
        <w:rPr>
          <w:lang w:val="en-US"/>
        </w:rPr>
        <w:t>, para. 43.</w:t>
      </w:r>
    </w:p>
  </w:footnote>
  <w:footnote w:id="61">
    <w:p w14:paraId="5E1AF01C" w14:textId="77777777" w:rsidR="0019647B" w:rsidRPr="00BB50D4" w:rsidRDefault="0019647B" w:rsidP="0019647B">
      <w:pPr>
        <w:pStyle w:val="Textonotapie"/>
        <w:rPr>
          <w:lang w:val="en-US"/>
        </w:rPr>
      </w:pPr>
      <w:r w:rsidRPr="00BB50D4">
        <w:rPr>
          <w:sz w:val="16"/>
          <w:szCs w:val="16"/>
          <w:lang w:val="en-US"/>
        </w:rPr>
        <w:tab/>
      </w:r>
      <w:r w:rsidRPr="00D26C5A">
        <w:rPr>
          <w:rStyle w:val="Refdenotaalpie"/>
        </w:rPr>
        <w:footnoteRef/>
      </w:r>
      <w:r w:rsidRPr="00BB50D4">
        <w:rPr>
          <w:sz w:val="16"/>
          <w:szCs w:val="16"/>
          <w:lang w:val="en-US"/>
        </w:rPr>
        <w:tab/>
      </w:r>
      <w:hyperlink r:id="rId40" w:history="1">
        <w:proofErr w:type="spellStart"/>
        <w:r w:rsidRPr="00BB50D4">
          <w:rPr>
            <w:rStyle w:val="Hipervnculo"/>
            <w:lang w:val="en-US"/>
          </w:rPr>
          <w:t>CERD</w:t>
        </w:r>
        <w:proofErr w:type="spellEnd"/>
        <w:r w:rsidRPr="00BB50D4">
          <w:rPr>
            <w:rStyle w:val="Hipervnculo"/>
            <w:lang w:val="en-US"/>
          </w:rPr>
          <w:t>/C/CAN/CO/21-23</w:t>
        </w:r>
      </w:hyperlink>
      <w:r w:rsidRPr="00BB50D4">
        <w:rPr>
          <w:lang w:val="en-US"/>
        </w:rPr>
        <w:t>, para. 24.</w:t>
      </w:r>
    </w:p>
  </w:footnote>
  <w:footnote w:id="62">
    <w:p w14:paraId="4A7A4800" w14:textId="77777777" w:rsidR="0019647B" w:rsidRPr="00837B27" w:rsidRDefault="0019647B" w:rsidP="0019647B">
      <w:pPr>
        <w:pStyle w:val="Textonotapie"/>
        <w:rPr>
          <w:i/>
          <w:iCs/>
          <w:lang w:val="en-US"/>
        </w:rPr>
      </w:pPr>
      <w:r w:rsidRPr="00BB50D4">
        <w:rPr>
          <w:lang w:val="en-US"/>
        </w:rPr>
        <w:tab/>
      </w:r>
      <w:r w:rsidRPr="00D26C5A">
        <w:rPr>
          <w:rStyle w:val="Refdenotaalpie"/>
        </w:rPr>
        <w:footnoteRef/>
      </w:r>
      <w:r w:rsidRPr="00BB50D4">
        <w:rPr>
          <w:lang w:val="en-US"/>
        </w:rPr>
        <w:tab/>
        <w:t>“Make it stop! Ending the remaining discrimination in Indian registration” (2022), pp. 6 and 7.</w:t>
      </w:r>
    </w:p>
  </w:footnote>
  <w:footnote w:id="63">
    <w:p w14:paraId="5028FC12" w14:textId="77777777" w:rsidR="0019647B" w:rsidRPr="00837B27" w:rsidRDefault="0019647B" w:rsidP="0019647B">
      <w:pPr>
        <w:pStyle w:val="Textonotapie"/>
        <w:rPr>
          <w:rFonts w:eastAsia="Roboto"/>
          <w:b/>
          <w:bCs/>
          <w:sz w:val="16"/>
          <w:szCs w:val="16"/>
          <w:lang w:val="en-US"/>
        </w:rPr>
      </w:pPr>
      <w:r w:rsidRPr="00BB50D4">
        <w:rPr>
          <w:sz w:val="16"/>
          <w:szCs w:val="16"/>
          <w:lang w:val="en-US"/>
        </w:rPr>
        <w:tab/>
      </w:r>
      <w:r w:rsidRPr="00D26C5A">
        <w:rPr>
          <w:rStyle w:val="Refdenotaalpie"/>
        </w:rPr>
        <w:footnoteRef/>
      </w:r>
      <w:r w:rsidRPr="00BB50D4">
        <w:rPr>
          <w:sz w:val="16"/>
          <w:szCs w:val="16"/>
          <w:lang w:val="en-US"/>
        </w:rPr>
        <w:tab/>
      </w:r>
      <w:r w:rsidRPr="00BB50D4">
        <w:rPr>
          <w:szCs w:val="16"/>
          <w:lang w:val="en-US"/>
        </w:rPr>
        <w:t xml:space="preserve">See, for example, </w:t>
      </w:r>
      <w:hyperlink r:id="rId41" w:history="1">
        <w:r w:rsidRPr="00BB50D4">
          <w:rPr>
            <w:rStyle w:val="Hipervnculo"/>
            <w:szCs w:val="18"/>
            <w:lang w:val="en-US"/>
          </w:rPr>
          <w:t>CRC/C/CAN/CO/3-4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82DA" w14:textId="2F8AB397" w:rsidR="00471307" w:rsidRPr="00471307" w:rsidRDefault="00471307">
    <w:pPr>
      <w:pStyle w:val="Encabezado"/>
    </w:pPr>
    <w:r>
      <w:fldChar w:fldCharType="begin"/>
    </w:r>
    <w:r>
      <w:instrText xml:space="preserve"> TITLE  \* MERGEFORMAT </w:instrText>
    </w:r>
    <w:r>
      <w:fldChar w:fldCharType="separate"/>
    </w:r>
    <w:r>
      <w:t>A/HRC/54/31/</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2A734" w14:textId="098C98AA" w:rsidR="00471307" w:rsidRPr="00471307" w:rsidRDefault="00471307" w:rsidP="00471307">
    <w:pPr>
      <w:pStyle w:val="Encabezado"/>
      <w:jc w:val="right"/>
    </w:pPr>
    <w:r>
      <w:fldChar w:fldCharType="begin"/>
    </w:r>
    <w:r>
      <w:instrText xml:space="preserve"> TITLE  \* MERGEFORMAT </w:instrText>
    </w:r>
    <w:r>
      <w:fldChar w:fldCharType="separate"/>
    </w:r>
    <w:r>
      <w:t>A/HRC/54/31/</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5"/>
  </w:num>
  <w:num w:numId="2" w16cid:durableId="231277853">
    <w:abstractNumId w:val="12"/>
  </w:num>
  <w:num w:numId="3" w16cid:durableId="56056308">
    <w:abstractNumId w:val="17"/>
  </w:num>
  <w:num w:numId="4" w16cid:durableId="1810703363">
    <w:abstractNumId w:val="16"/>
  </w:num>
  <w:num w:numId="5" w16cid:durableId="1538082960">
    <w:abstractNumId w:val="14"/>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5"/>
  </w:num>
  <w:num w:numId="18" w16cid:durableId="1932010053">
    <w:abstractNumId w:val="12"/>
  </w:num>
  <w:num w:numId="19" w16cid:durableId="1770615626">
    <w:abstractNumId w:val="10"/>
  </w:num>
  <w:num w:numId="20" w16cid:durableId="1223174515">
    <w:abstractNumId w:val="17"/>
  </w:num>
  <w:num w:numId="21" w16cid:durableId="1792169721">
    <w:abstractNumId w:val="16"/>
  </w:num>
  <w:num w:numId="22" w16cid:durableId="433092068">
    <w:abstractNumId w:val="13"/>
  </w:num>
  <w:num w:numId="23" w16cid:durableId="76294565">
    <w:abstractNumId w:val="13"/>
  </w:num>
  <w:num w:numId="24" w16cid:durableId="1920676144">
    <w:abstractNumId w:val="14"/>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 w:numId="35" w16cid:durableId="101249216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5B"/>
    <w:rsid w:val="00033EE1"/>
    <w:rsid w:val="00042B72"/>
    <w:rsid w:val="000558BD"/>
    <w:rsid w:val="0008244E"/>
    <w:rsid w:val="000A4523"/>
    <w:rsid w:val="000B57E7"/>
    <w:rsid w:val="000B6373"/>
    <w:rsid w:val="000F09DF"/>
    <w:rsid w:val="000F61B2"/>
    <w:rsid w:val="001075E9"/>
    <w:rsid w:val="001116B4"/>
    <w:rsid w:val="001359DC"/>
    <w:rsid w:val="00180183"/>
    <w:rsid w:val="0018024D"/>
    <w:rsid w:val="0018649F"/>
    <w:rsid w:val="00196389"/>
    <w:rsid w:val="0019647B"/>
    <w:rsid w:val="001B3EF6"/>
    <w:rsid w:val="001C7A89"/>
    <w:rsid w:val="001E1801"/>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13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D4D5B"/>
    <w:rsid w:val="00B10CC7"/>
    <w:rsid w:val="00B42844"/>
    <w:rsid w:val="00B539E7"/>
    <w:rsid w:val="00B62458"/>
    <w:rsid w:val="00BB50D4"/>
    <w:rsid w:val="00BC18B2"/>
    <w:rsid w:val="00BD33EE"/>
    <w:rsid w:val="00C106D6"/>
    <w:rsid w:val="00C60F0C"/>
    <w:rsid w:val="00C805C9"/>
    <w:rsid w:val="00C92939"/>
    <w:rsid w:val="00CA1679"/>
    <w:rsid w:val="00CB151C"/>
    <w:rsid w:val="00CD0C97"/>
    <w:rsid w:val="00CE5A1A"/>
    <w:rsid w:val="00CF55F6"/>
    <w:rsid w:val="00D33D63"/>
    <w:rsid w:val="00D90138"/>
    <w:rsid w:val="00DD06A1"/>
    <w:rsid w:val="00E45C2F"/>
    <w:rsid w:val="00E728B5"/>
    <w:rsid w:val="00E73F76"/>
    <w:rsid w:val="00EA2C9F"/>
    <w:rsid w:val="00ED0AC8"/>
    <w:rsid w:val="00ED0BDA"/>
    <w:rsid w:val="00EF1360"/>
    <w:rsid w:val="00EF3220"/>
    <w:rsid w:val="00F131B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50F95"/>
  <w15:docId w15:val="{AD1D52D0-ED1F-4423-8F3B-454F332B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99"/>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customStyle="1" w:styleId="HChGChar">
    <w:name w:val="_ H _Ch_G Char"/>
    <w:link w:val="HChG"/>
    <w:rsid w:val="00DD06A1"/>
    <w:rPr>
      <w:b/>
      <w:sz w:val="28"/>
    </w:rPr>
  </w:style>
  <w:style w:type="character" w:customStyle="1" w:styleId="H1GChar">
    <w:name w:val="_ H_1_G Char"/>
    <w:link w:val="H1G"/>
    <w:rsid w:val="00DD06A1"/>
    <w:rPr>
      <w:b/>
      <w:sz w:val="24"/>
    </w:rPr>
  </w:style>
  <w:style w:type="character" w:customStyle="1" w:styleId="H23GChar">
    <w:name w:val="_ H_2/3_G Char"/>
    <w:link w:val="H23G"/>
    <w:rsid w:val="0019647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CAT/C/CAN/CO/7" TargetMode="External"/><Relationship Id="rId39" Type="http://schemas.openxmlformats.org/officeDocument/2006/relationships/hyperlink" Target="http://undocs.org/en/CRC/C/CAN/CO/3-4" TargetMode="External"/><Relationship Id="rId3" Type="http://schemas.openxmlformats.org/officeDocument/2006/relationships/hyperlink" Target="http://undocs.org/en/A/HRC/27/52/Add.2" TargetMode="External"/><Relationship Id="rId21" Type="http://schemas.openxmlformats.org/officeDocument/2006/relationships/hyperlink" Target="http://undocs.org/en/A/HRC/41/42/Add.1" TargetMode="External"/><Relationship Id="rId34" Type="http://schemas.openxmlformats.org/officeDocument/2006/relationships/hyperlink" Target="http://undocs.org/en/A/71/291"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s://uhri.ohchr.org/en/document/ad376efa-434d-4749-b4a1-bb6c1fbffebe" TargetMode="External"/><Relationship Id="rId33" Type="http://schemas.openxmlformats.org/officeDocument/2006/relationships/hyperlink" Target="http://undocs.org/en/CERD/C/CAN/CO/19-20" TargetMode="External"/><Relationship Id="rId38" Type="http://schemas.openxmlformats.org/officeDocument/2006/relationships/hyperlink" Target="https://spcommreports.ohchr.org/TMResultsBase/DownLoadPublicCommunicationFile?gId=26480"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39/17" TargetMode="External"/><Relationship Id="rId41" Type="http://schemas.openxmlformats.org/officeDocument/2006/relationships/hyperlink" Target="http://undocs.org/en/CRC/C/CAN/CO/3-4"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A/HRC/41/42/Add.1" TargetMode="External"/><Relationship Id="rId32" Type="http://schemas.openxmlformats.org/officeDocument/2006/relationships/hyperlink" Target="http://undocs.org/en/CRC/C/CAN/CO/3-4" TargetMode="External"/><Relationship Id="rId37" Type="http://schemas.openxmlformats.org/officeDocument/2006/relationships/hyperlink" Target="http://undocs.org/en/CCPR/C/CAN/CO/6" TargetMode="External"/><Relationship Id="rId40" Type="http://schemas.openxmlformats.org/officeDocument/2006/relationships/hyperlink" Target="http://undocs.org/en/CERD/C/CAN/CO/21-23"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RC/C/CAN/CO/3-4" TargetMode="External"/><Relationship Id="rId28" Type="http://schemas.openxmlformats.org/officeDocument/2006/relationships/hyperlink" Target="http://undocs.org/en/A/HRC/51/28" TargetMode="External"/><Relationship Id="rId36" Type="http://schemas.openxmlformats.org/officeDocument/2006/relationships/hyperlink" Target="http://undocs.org/en/A/HRC/41/42/Add.1"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s://spcommreports.ohchr.org/TMResultsBase/DownLoadPublicCommunicationFile?gId=25425"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CEDAW/C/OP.8/CAN/1" TargetMode="External"/><Relationship Id="rId27" Type="http://schemas.openxmlformats.org/officeDocument/2006/relationships/hyperlink" Target="https://www.rcaanc-cirnac.gc.ca/eng/1100100032275/1529354547314" TargetMode="External"/><Relationship Id="rId30" Type="http://schemas.openxmlformats.org/officeDocument/2006/relationships/hyperlink" Target="http://undocs.org/en/A/71/281" TargetMode="External"/><Relationship Id="rId35" Type="http://schemas.openxmlformats.org/officeDocument/2006/relationships/hyperlink" Target="https://principedejoyce.com/en/inde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8869</Words>
  <Characters>64302</Characters>
  <Application>Microsoft Office Word</Application>
  <DocSecurity>0</DocSecurity>
  <Lines>16075</Lines>
  <Paragraphs>4878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
  <dc:creator>Carlos Ariel BRAGUNDE LOPEZ</dc:creator>
  <cp:keywords/>
  <cp:lastModifiedBy>Carlos Bragunde Lopez</cp:lastModifiedBy>
  <cp:revision>2</cp:revision>
  <cp:lastPrinted>2008-01-15T07:58:00Z</cp:lastPrinted>
  <dcterms:created xsi:type="dcterms:W3CDTF">2023-08-10T12:11:00Z</dcterms:created>
  <dcterms:modified xsi:type="dcterms:W3CDTF">2023-08-10T12:11:00Z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