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627" w:rsidRDefault="00552627" w:rsidP="00552627">
      <w:pPr>
        <w:spacing w:line="60" w:lineRule="exact"/>
        <w:rPr>
          <w:sz w:val="6"/>
        </w:rPr>
        <w:sectPr w:rsidR="00552627" w:rsidSect="00552627">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2A1FD7" w:rsidRPr="00A52FC3" w:rsidRDefault="002A1FD7" w:rsidP="00A52FC3">
      <w:pPr>
        <w:pStyle w:val="SingleTxt"/>
        <w:spacing w:after="360"/>
        <w:ind w:left="0"/>
        <w:rPr>
          <w:rFonts w:ascii="黑体" w:eastAsia="黑体" w:hAnsi="黑体"/>
          <w:sz w:val="24"/>
          <w:szCs w:val="24"/>
        </w:rPr>
      </w:pPr>
      <w:r w:rsidRPr="00A52FC3">
        <w:rPr>
          <w:rFonts w:ascii="黑体" w:eastAsia="黑体" w:hAnsi="黑体" w:hint="eastAsia"/>
          <w:sz w:val="24"/>
          <w:szCs w:val="24"/>
        </w:rPr>
        <w:lastRenderedPageBreak/>
        <w:t>消除对妇女歧视委员会</w:t>
      </w:r>
    </w:p>
    <w:p w:rsidR="002A1FD7" w:rsidRDefault="002A1FD7" w:rsidP="00A52F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pPr>
      <w:r>
        <w:rPr>
          <w:rFonts w:hint="eastAsia"/>
        </w:rPr>
        <w:tab/>
      </w:r>
      <w:r>
        <w:rPr>
          <w:rFonts w:hint="eastAsia"/>
        </w:rPr>
        <w:tab/>
        <w:t>关于瑞士第四和第五次合并定期报告的结论性意见</w:t>
      </w:r>
      <w:r w:rsidRPr="00A52FC3">
        <w:rPr>
          <w:rFonts w:ascii="Times New Roman"/>
          <w:vertAlign w:val="superscript"/>
        </w:rPr>
        <w:t>*</w:t>
      </w:r>
    </w:p>
    <w:p w:rsidR="002A1FD7" w:rsidRDefault="002A1FD7" w:rsidP="002A1FD7">
      <w:pPr>
        <w:pStyle w:val="SingleTxt"/>
      </w:pPr>
      <w:r>
        <w:rPr>
          <w:rFonts w:hint="eastAsia"/>
        </w:rPr>
        <w:t>1.</w:t>
      </w:r>
      <w:r>
        <w:rPr>
          <w:rFonts w:hint="eastAsia"/>
        </w:rPr>
        <w:tab/>
      </w:r>
      <w:r>
        <w:rPr>
          <w:rFonts w:hint="eastAsia"/>
        </w:rPr>
        <w:t>委员会</w:t>
      </w:r>
      <w:r>
        <w:rPr>
          <w:rFonts w:hint="eastAsia"/>
        </w:rPr>
        <w:t>2016</w:t>
      </w:r>
      <w:r>
        <w:rPr>
          <w:rFonts w:hint="eastAsia"/>
        </w:rPr>
        <w:t>年</w:t>
      </w:r>
      <w:r>
        <w:rPr>
          <w:rFonts w:hint="eastAsia"/>
        </w:rPr>
        <w:t>11</w:t>
      </w:r>
      <w:r>
        <w:rPr>
          <w:rFonts w:hint="eastAsia"/>
        </w:rPr>
        <w:t>月</w:t>
      </w:r>
      <w:r>
        <w:rPr>
          <w:rFonts w:hint="eastAsia"/>
        </w:rPr>
        <w:t>2</w:t>
      </w:r>
      <w:r>
        <w:rPr>
          <w:rFonts w:hint="eastAsia"/>
        </w:rPr>
        <w:t>日第</w:t>
      </w:r>
      <w:r>
        <w:rPr>
          <w:rFonts w:hint="eastAsia"/>
        </w:rPr>
        <w:t>1445</w:t>
      </w:r>
      <w:r>
        <w:rPr>
          <w:rFonts w:hint="eastAsia"/>
        </w:rPr>
        <w:t>次和第</w:t>
      </w:r>
      <w:r>
        <w:rPr>
          <w:rFonts w:hint="eastAsia"/>
        </w:rPr>
        <w:t>1446</w:t>
      </w:r>
      <w:r>
        <w:rPr>
          <w:rFonts w:hint="eastAsia"/>
        </w:rPr>
        <w:t>次会议</w:t>
      </w:r>
      <w:r w:rsidR="00A52FC3">
        <w:rPr>
          <w:rFonts w:hint="eastAsia"/>
        </w:rPr>
        <w:t>(</w:t>
      </w:r>
      <w:r>
        <w:rPr>
          <w:rFonts w:hint="eastAsia"/>
        </w:rPr>
        <w:t>见</w:t>
      </w:r>
      <w:hyperlink r:id="rId16" w:history="1">
        <w:r w:rsidRPr="002C41FF">
          <w:rPr>
            <w:rStyle w:val="ad"/>
            <w:rFonts w:hint="eastAsia"/>
          </w:rPr>
          <w:t>CEDAW/SR.1445</w:t>
        </w:r>
      </w:hyperlink>
      <w:r>
        <w:rPr>
          <w:rFonts w:hint="eastAsia"/>
        </w:rPr>
        <w:t>和</w:t>
      </w:r>
      <w:r w:rsidRPr="00A52FC3">
        <w:rPr>
          <w:rFonts w:hint="eastAsia"/>
          <w:spacing w:val="-4"/>
        </w:rPr>
        <w:t>1446</w:t>
      </w:r>
      <w:r w:rsidR="00A52FC3" w:rsidRPr="00A52FC3">
        <w:rPr>
          <w:rFonts w:hint="eastAsia"/>
          <w:spacing w:val="-4"/>
        </w:rPr>
        <w:t>)</w:t>
      </w:r>
      <w:r w:rsidRPr="00A52FC3">
        <w:rPr>
          <w:rFonts w:hint="eastAsia"/>
          <w:spacing w:val="-4"/>
        </w:rPr>
        <w:t>审议了瑞士第四和第五次合并定期报告</w:t>
      </w:r>
      <w:r w:rsidR="00A52FC3" w:rsidRPr="00A52FC3">
        <w:rPr>
          <w:rFonts w:hint="eastAsia"/>
          <w:spacing w:val="-4"/>
        </w:rPr>
        <w:t>(</w:t>
      </w:r>
      <w:hyperlink r:id="rId17" w:history="1">
        <w:r w:rsidRPr="002C41FF">
          <w:rPr>
            <w:rStyle w:val="ad"/>
            <w:rFonts w:hint="eastAsia"/>
            <w:spacing w:val="-4"/>
          </w:rPr>
          <w:t>CEDAW/C/CHE/4-5</w:t>
        </w:r>
      </w:hyperlink>
      <w:r w:rsidR="00A52FC3" w:rsidRPr="00A52FC3">
        <w:rPr>
          <w:rFonts w:hint="eastAsia"/>
          <w:spacing w:val="-4"/>
        </w:rPr>
        <w:t>)</w:t>
      </w:r>
      <w:r w:rsidRPr="00A52FC3">
        <w:rPr>
          <w:rFonts w:hint="eastAsia"/>
          <w:spacing w:val="-4"/>
        </w:rPr>
        <w:t>。委员会的议题和问题清单载于</w:t>
      </w:r>
      <w:hyperlink r:id="rId18" w:history="1">
        <w:r w:rsidRPr="002C41FF">
          <w:rPr>
            <w:rStyle w:val="ad"/>
            <w:rFonts w:hint="eastAsia"/>
            <w:spacing w:val="-4"/>
          </w:rPr>
          <w:t>CEDAW/C/CHE/Q/4-5</w:t>
        </w:r>
      </w:hyperlink>
      <w:r w:rsidRPr="00A52FC3">
        <w:rPr>
          <w:rFonts w:hint="eastAsia"/>
          <w:spacing w:val="-4"/>
        </w:rPr>
        <w:t>，瑞士的答复载于</w:t>
      </w:r>
      <w:hyperlink r:id="rId19" w:history="1">
        <w:r w:rsidRPr="002C41FF">
          <w:rPr>
            <w:rStyle w:val="ad"/>
            <w:rFonts w:hint="eastAsia"/>
            <w:spacing w:val="-4"/>
          </w:rPr>
          <w:t>CEDAW/C/CHE/Q/4-5Add.1</w:t>
        </w:r>
      </w:hyperlink>
      <w:r w:rsidRPr="00A52FC3">
        <w:rPr>
          <w:rFonts w:hint="eastAsia"/>
          <w:spacing w:val="-4"/>
        </w:rPr>
        <w:t>。</w:t>
      </w:r>
    </w:p>
    <w:p w:rsidR="002A1FD7" w:rsidRDefault="002A1FD7" w:rsidP="00A52F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rPr>
          <w:rFonts w:hint="eastAsia"/>
        </w:rPr>
        <w:tab/>
        <w:t>A.</w:t>
      </w:r>
      <w:r>
        <w:rPr>
          <w:rFonts w:hint="eastAsia"/>
        </w:rPr>
        <w:tab/>
        <w:t>导言</w:t>
      </w:r>
    </w:p>
    <w:p w:rsidR="00A52FC3" w:rsidRPr="00A52FC3" w:rsidRDefault="00A52FC3" w:rsidP="00A52FC3">
      <w:pPr>
        <w:framePr w:w="9792" w:h="432" w:hSpace="180" w:wrap="around" w:hAnchor="page" w:x="1210" w:yAlign="bottom"/>
        <w:spacing w:line="100" w:lineRule="exact"/>
        <w:rPr>
          <w:sz w:val="10"/>
        </w:rPr>
      </w:pPr>
    </w:p>
    <w:p w:rsidR="00A52FC3" w:rsidRPr="00A52FC3" w:rsidRDefault="00A52FC3" w:rsidP="00A52FC3">
      <w:pPr>
        <w:framePr w:w="9792" w:h="432" w:hSpace="180" w:wrap="around" w:hAnchor="page" w:x="1210" w:yAlign="bottom"/>
        <w:spacing w:line="60" w:lineRule="exact"/>
        <w:rPr>
          <w:sz w:val="6"/>
        </w:rPr>
      </w:pPr>
      <w:r w:rsidRPr="00A52FC3">
        <w:rPr>
          <w:noProof/>
          <w:sz w:val="6"/>
        </w:rPr>
        <mc:AlternateContent>
          <mc:Choice Requires="wps">
            <w:drawing>
              <wp:anchor distT="0" distB="0" distL="114300" distR="114300" simplePos="0" relativeHeight="251659264" behindDoc="0" locked="0" layoutInCell="1" allowOverlap="1" wp14:anchorId="2A99E9D6" wp14:editId="6DAC7754">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A52FC3" w:rsidRPr="00A52FC3" w:rsidRDefault="00A52FC3" w:rsidP="00A52FC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40" w:line="240" w:lineRule="exact"/>
        <w:ind w:left="1264" w:right="1264" w:hanging="578"/>
        <w:rPr>
          <w:sz w:val="18"/>
        </w:rPr>
      </w:pPr>
      <w:r w:rsidRPr="00A52FC3">
        <w:rPr>
          <w:rFonts w:hint="eastAsia"/>
          <w:sz w:val="18"/>
        </w:rPr>
        <w:tab/>
      </w:r>
      <w:r w:rsidRPr="00A52FC3">
        <w:rPr>
          <w:rFonts w:hint="eastAsia"/>
          <w:szCs w:val="21"/>
          <w:vertAlign w:val="superscript"/>
        </w:rPr>
        <w:t>*</w:t>
      </w:r>
      <w:r w:rsidRPr="00A52FC3">
        <w:rPr>
          <w:rFonts w:hint="eastAsia"/>
          <w:sz w:val="18"/>
        </w:rPr>
        <w:tab/>
      </w:r>
      <w:r w:rsidRPr="00A52FC3">
        <w:rPr>
          <w:rFonts w:hint="eastAsia"/>
          <w:sz w:val="18"/>
        </w:rPr>
        <w:t>委员会第六十五届会议</w:t>
      </w:r>
      <w:r>
        <w:rPr>
          <w:sz w:val="18"/>
        </w:rPr>
        <w:t>(</w:t>
      </w:r>
      <w:r w:rsidRPr="00A52FC3">
        <w:rPr>
          <w:rFonts w:hint="eastAsia"/>
          <w:sz w:val="18"/>
        </w:rPr>
        <w:t>2016</w:t>
      </w:r>
      <w:r w:rsidRPr="00A52FC3">
        <w:rPr>
          <w:rFonts w:hint="eastAsia"/>
          <w:sz w:val="18"/>
        </w:rPr>
        <w:t>年</w:t>
      </w:r>
      <w:r w:rsidRPr="00A52FC3">
        <w:rPr>
          <w:rFonts w:hint="eastAsia"/>
          <w:sz w:val="18"/>
        </w:rPr>
        <w:t>10</w:t>
      </w:r>
      <w:r w:rsidRPr="00A52FC3">
        <w:rPr>
          <w:rFonts w:hint="eastAsia"/>
          <w:sz w:val="18"/>
        </w:rPr>
        <w:t>月</w:t>
      </w:r>
      <w:r w:rsidRPr="00A52FC3">
        <w:rPr>
          <w:rFonts w:hint="eastAsia"/>
          <w:sz w:val="18"/>
        </w:rPr>
        <w:t>24</w:t>
      </w:r>
      <w:r w:rsidRPr="00A52FC3">
        <w:rPr>
          <w:rFonts w:hint="eastAsia"/>
          <w:sz w:val="18"/>
        </w:rPr>
        <w:t>日至</w:t>
      </w:r>
      <w:r w:rsidRPr="00A52FC3">
        <w:rPr>
          <w:rFonts w:hint="eastAsia"/>
          <w:sz w:val="18"/>
        </w:rPr>
        <w:t>11</w:t>
      </w:r>
      <w:r w:rsidRPr="00A52FC3">
        <w:rPr>
          <w:rFonts w:hint="eastAsia"/>
          <w:sz w:val="18"/>
        </w:rPr>
        <w:t>月</w:t>
      </w:r>
      <w:r w:rsidRPr="00A52FC3">
        <w:rPr>
          <w:rFonts w:hint="eastAsia"/>
          <w:sz w:val="18"/>
        </w:rPr>
        <w:t>18</w:t>
      </w:r>
      <w:r w:rsidRPr="00A52FC3">
        <w:rPr>
          <w:rFonts w:hint="eastAsia"/>
          <w:sz w:val="18"/>
        </w:rPr>
        <w:t>日</w:t>
      </w:r>
      <w:r>
        <w:rPr>
          <w:sz w:val="18"/>
        </w:rPr>
        <w:t>)</w:t>
      </w:r>
      <w:r w:rsidRPr="00A52FC3">
        <w:rPr>
          <w:rFonts w:hint="eastAsia"/>
          <w:sz w:val="18"/>
        </w:rPr>
        <w:t>通过。</w:t>
      </w:r>
    </w:p>
    <w:p w:rsidR="002A1FD7" w:rsidRDefault="002A1FD7" w:rsidP="00A52FC3">
      <w:pPr>
        <w:pStyle w:val="SingleTxt"/>
        <w:spacing w:after="120"/>
      </w:pPr>
      <w:r>
        <w:rPr>
          <w:rFonts w:hint="eastAsia"/>
        </w:rPr>
        <w:t>2.</w:t>
      </w:r>
      <w:r>
        <w:rPr>
          <w:rFonts w:hint="eastAsia"/>
        </w:rPr>
        <w:tab/>
      </w:r>
      <w:r w:rsidRPr="00A52FC3">
        <w:rPr>
          <w:rFonts w:hint="eastAsia"/>
          <w:spacing w:val="-3"/>
        </w:rPr>
        <w:t>委员会感谢缔约国提交第四和第五次合并定期报告。委员会还感谢缔约国对委员会会前工作组提出的议题和问题清单的书面答复，并欢迎代表团的口头说明和对委员会在对话期间口头提出的问题提供进一步澄清，并在对话之后提供电子资料。</w:t>
      </w:r>
    </w:p>
    <w:p w:rsidR="002A1FD7" w:rsidRDefault="002A1FD7" w:rsidP="002A1FD7">
      <w:pPr>
        <w:pStyle w:val="SingleTxt"/>
      </w:pPr>
      <w:r>
        <w:rPr>
          <w:rFonts w:hint="eastAsia"/>
        </w:rPr>
        <w:t>3.</w:t>
      </w:r>
      <w:r>
        <w:rPr>
          <w:rFonts w:hint="eastAsia"/>
        </w:rPr>
        <w:tab/>
      </w:r>
      <w:r>
        <w:rPr>
          <w:rFonts w:hint="eastAsia"/>
        </w:rPr>
        <w:t>委员会赞扬缔约国派遣由联邦男女平等办公室主任</w:t>
      </w:r>
      <w:r>
        <w:rPr>
          <w:rFonts w:hint="eastAsia"/>
        </w:rPr>
        <w:t>Sylvie Durrer</w:t>
      </w:r>
      <w:r>
        <w:rPr>
          <w:rFonts w:hint="eastAsia"/>
        </w:rPr>
        <w:t>率领的多部门代表团出席会议，代表团成员包括她在联邦男女平等办公室法律事务局和家庭暴力局的同事们。代表团成员还包括联邦内务部</w:t>
      </w:r>
      <w:r w:rsidR="00A52FC3">
        <w:rPr>
          <w:rFonts w:hint="eastAsia"/>
        </w:rPr>
        <w:t>(</w:t>
      </w:r>
      <w:r>
        <w:rPr>
          <w:rFonts w:hint="eastAsia"/>
        </w:rPr>
        <w:t>包括联邦统计局、联邦社会保险局、反种族歧视联邦服务局及人口和移民秘书处</w:t>
      </w:r>
      <w:r w:rsidR="00A52FC3">
        <w:rPr>
          <w:rFonts w:hint="eastAsia"/>
        </w:rPr>
        <w:t>)</w:t>
      </w:r>
      <w:r>
        <w:rPr>
          <w:rFonts w:hint="eastAsia"/>
        </w:rPr>
        <w:t>、联邦司法和警务部</w:t>
      </w:r>
      <w:r w:rsidR="00A52FC3">
        <w:rPr>
          <w:rFonts w:hint="eastAsia"/>
        </w:rPr>
        <w:t>(</w:t>
      </w:r>
      <w:r>
        <w:rPr>
          <w:rFonts w:hint="eastAsia"/>
        </w:rPr>
        <w:t>包括国家移民秘书处、联邦警察局和公法局</w:t>
      </w:r>
      <w:r w:rsidR="00A52FC3">
        <w:rPr>
          <w:rFonts w:hint="eastAsia"/>
        </w:rPr>
        <w:t>)</w:t>
      </w:r>
      <w:r>
        <w:rPr>
          <w:rFonts w:hint="eastAsia"/>
        </w:rPr>
        <w:t>、联邦外交部</w:t>
      </w:r>
      <w:r w:rsidR="00A52FC3">
        <w:rPr>
          <w:rFonts w:hint="eastAsia"/>
        </w:rPr>
        <w:t>(</w:t>
      </w:r>
      <w:r>
        <w:rPr>
          <w:rFonts w:hint="eastAsia"/>
        </w:rPr>
        <w:t>包括国际法司、人类安全司和男女平等总秘书处</w:t>
      </w:r>
      <w:r w:rsidR="00A52FC3">
        <w:rPr>
          <w:rFonts w:hint="eastAsia"/>
        </w:rPr>
        <w:t>)</w:t>
      </w:r>
      <w:r>
        <w:rPr>
          <w:rFonts w:hint="eastAsia"/>
        </w:rPr>
        <w:t>、联邦财政部</w:t>
      </w:r>
      <w:r w:rsidR="00A52FC3">
        <w:rPr>
          <w:rFonts w:hint="eastAsia"/>
        </w:rPr>
        <w:t>(</w:t>
      </w:r>
      <w:r>
        <w:rPr>
          <w:rFonts w:hint="eastAsia"/>
        </w:rPr>
        <w:t>包括联邦人事局</w:t>
      </w:r>
      <w:r w:rsidR="00A52FC3">
        <w:rPr>
          <w:rFonts w:hint="eastAsia"/>
        </w:rPr>
        <w:t>)</w:t>
      </w:r>
      <w:r>
        <w:rPr>
          <w:rFonts w:hint="eastAsia"/>
        </w:rPr>
        <w:t>、联邦经济事务、教育和研究部</w:t>
      </w:r>
      <w:r w:rsidR="00A52FC3">
        <w:rPr>
          <w:rFonts w:hint="eastAsia"/>
        </w:rPr>
        <w:t>(</w:t>
      </w:r>
      <w:r>
        <w:rPr>
          <w:rFonts w:hint="eastAsia"/>
        </w:rPr>
        <w:t>包括国家教育、研究和创新秘书处以及国家经济事务秘书处</w:t>
      </w:r>
      <w:r w:rsidR="00A52FC3">
        <w:rPr>
          <w:rFonts w:hint="eastAsia"/>
        </w:rPr>
        <w:t>)</w:t>
      </w:r>
      <w:r>
        <w:rPr>
          <w:rFonts w:hint="eastAsia"/>
        </w:rPr>
        <w:t>以及伯尔尼男女平等州办公室和瑞士常驻联合国日内瓦办事处代表团和常驻日内瓦其他国际组织的代表。委员会感谢代表团与委员会成员进行建设性对话。</w:t>
      </w:r>
    </w:p>
    <w:p w:rsidR="002A1FD7" w:rsidRDefault="002A1FD7" w:rsidP="00A52F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rPr>
          <w:rFonts w:hint="eastAsia"/>
        </w:rPr>
        <w:tab/>
        <w:t>B.</w:t>
      </w:r>
      <w:r>
        <w:rPr>
          <w:rFonts w:hint="eastAsia"/>
        </w:rPr>
        <w:tab/>
        <w:t>积极方面</w:t>
      </w:r>
    </w:p>
    <w:p w:rsidR="002A1FD7" w:rsidRDefault="002A1FD7" w:rsidP="00A52FC3">
      <w:pPr>
        <w:pStyle w:val="SingleTxt"/>
        <w:spacing w:after="120"/>
      </w:pPr>
      <w:r>
        <w:rPr>
          <w:rFonts w:hint="eastAsia"/>
        </w:rPr>
        <w:t>4.</w:t>
      </w:r>
      <w:r>
        <w:rPr>
          <w:rFonts w:hint="eastAsia"/>
        </w:rPr>
        <w:tab/>
      </w:r>
      <w:r>
        <w:rPr>
          <w:rFonts w:hint="eastAsia"/>
        </w:rPr>
        <w:t>委员会欢迎自从</w:t>
      </w:r>
      <w:r>
        <w:rPr>
          <w:rFonts w:hint="eastAsia"/>
        </w:rPr>
        <w:t>2009</w:t>
      </w:r>
      <w:r>
        <w:rPr>
          <w:rFonts w:hint="eastAsia"/>
        </w:rPr>
        <w:t>年审议缔约国第三次定期报告</w:t>
      </w:r>
      <w:r w:rsidR="00A52FC3">
        <w:rPr>
          <w:rFonts w:hint="eastAsia"/>
        </w:rPr>
        <w:t>(</w:t>
      </w:r>
      <w:hyperlink r:id="rId20" w:history="1">
        <w:r w:rsidRPr="002C41FF">
          <w:rPr>
            <w:rStyle w:val="ad"/>
            <w:rFonts w:hint="eastAsia"/>
          </w:rPr>
          <w:t>CEDAW/C/CHE/CO/3</w:t>
        </w:r>
      </w:hyperlink>
      <w:r w:rsidR="00A52FC3">
        <w:rPr>
          <w:rFonts w:hint="eastAsia"/>
        </w:rPr>
        <w:t>)</w:t>
      </w:r>
      <w:r>
        <w:rPr>
          <w:rFonts w:hint="eastAsia"/>
        </w:rPr>
        <w:t>以来在开展立法改革方面取得的进展，特别是通过了以下法案：</w:t>
      </w:r>
    </w:p>
    <w:p w:rsidR="002A1FD7" w:rsidRDefault="002A1FD7" w:rsidP="00A52FC3">
      <w:pPr>
        <w:pStyle w:val="SingleTxt"/>
        <w:spacing w:after="120"/>
      </w:pPr>
      <w:r>
        <w:rPr>
          <w:rFonts w:hint="eastAsia"/>
        </w:rPr>
        <w:tab/>
        <w:t>(a)</w:t>
      </w:r>
      <w:r>
        <w:rPr>
          <w:rFonts w:hint="eastAsia"/>
        </w:rPr>
        <w:tab/>
        <w:t>2013</w:t>
      </w:r>
      <w:r>
        <w:rPr>
          <w:rFonts w:hint="eastAsia"/>
        </w:rPr>
        <w:t>年通过《联邦禁止强迫婚姻措施法》；</w:t>
      </w:r>
    </w:p>
    <w:p w:rsidR="002A1FD7" w:rsidRDefault="002A1FD7" w:rsidP="002A1FD7">
      <w:pPr>
        <w:pStyle w:val="SingleTxt"/>
      </w:pPr>
      <w:r>
        <w:rPr>
          <w:rFonts w:hint="eastAsia"/>
        </w:rPr>
        <w:tab/>
        <w:t>(b)</w:t>
      </w:r>
      <w:r>
        <w:rPr>
          <w:rFonts w:hint="eastAsia"/>
        </w:rPr>
        <w:tab/>
      </w:r>
      <w:r>
        <w:rPr>
          <w:rFonts w:hint="eastAsia"/>
        </w:rPr>
        <w:t>《刑法》第</w:t>
      </w:r>
      <w:r>
        <w:rPr>
          <w:rFonts w:hint="eastAsia"/>
        </w:rPr>
        <w:t>124</w:t>
      </w:r>
      <w:r>
        <w:rPr>
          <w:rFonts w:hint="eastAsia"/>
        </w:rPr>
        <w:t>条，禁止残割女性生殖器。</w:t>
      </w:r>
    </w:p>
    <w:p w:rsidR="002A1FD7" w:rsidRDefault="002A1FD7" w:rsidP="00A52FC3">
      <w:pPr>
        <w:pStyle w:val="SingleTxt"/>
        <w:spacing w:after="120" w:line="314" w:lineRule="exact"/>
      </w:pPr>
      <w:r>
        <w:rPr>
          <w:rFonts w:hint="eastAsia"/>
        </w:rPr>
        <w:lastRenderedPageBreak/>
        <w:t>5.</w:t>
      </w:r>
      <w:r>
        <w:rPr>
          <w:rFonts w:hint="eastAsia"/>
        </w:rPr>
        <w:tab/>
      </w:r>
      <w:r>
        <w:rPr>
          <w:rFonts w:hint="eastAsia"/>
        </w:rPr>
        <w:t>委员会欢迎缔约国努力改善机制和政策框架，旨在加速消除对妇女的歧视和促进男女平等，包括通过或制定了以下：</w:t>
      </w:r>
    </w:p>
    <w:p w:rsidR="002A1FD7" w:rsidRDefault="002A1FD7" w:rsidP="00A52FC3">
      <w:pPr>
        <w:pStyle w:val="SingleTxt"/>
        <w:spacing w:after="120" w:line="314" w:lineRule="exact"/>
      </w:pPr>
      <w:r>
        <w:rPr>
          <w:rFonts w:hint="eastAsia"/>
        </w:rPr>
        <w:tab/>
        <w:t>(a)</w:t>
      </w:r>
      <w:r>
        <w:rPr>
          <w:rFonts w:hint="eastAsia"/>
        </w:rPr>
        <w:tab/>
      </w:r>
      <w:r>
        <w:rPr>
          <w:rFonts w:hint="eastAsia"/>
        </w:rPr>
        <w:t>《立法方案中的性别平等准则》</w:t>
      </w:r>
      <w:r w:rsidR="00A52FC3">
        <w:rPr>
          <w:rFonts w:hint="eastAsia"/>
        </w:rPr>
        <w:t>(</w:t>
      </w:r>
      <w:r>
        <w:rPr>
          <w:rFonts w:hint="eastAsia"/>
        </w:rPr>
        <w:t>2016</w:t>
      </w:r>
      <w:r>
        <w:rPr>
          <w:rFonts w:hint="eastAsia"/>
        </w:rPr>
        <w:t>–</w:t>
      </w:r>
      <w:r>
        <w:rPr>
          <w:rFonts w:hint="eastAsia"/>
        </w:rPr>
        <w:t>2019</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(b)</w:t>
      </w:r>
      <w:r>
        <w:rPr>
          <w:rFonts w:hint="eastAsia"/>
        </w:rPr>
        <w:tab/>
      </w:r>
      <w:r>
        <w:rPr>
          <w:rFonts w:hint="eastAsia"/>
        </w:rPr>
        <w:t>《可持续发展战略》</w:t>
      </w:r>
      <w:r w:rsidR="00A52FC3">
        <w:rPr>
          <w:rFonts w:hint="eastAsia"/>
        </w:rPr>
        <w:t>(</w:t>
      </w:r>
      <w:r>
        <w:rPr>
          <w:rFonts w:hint="eastAsia"/>
        </w:rPr>
        <w:t>(2016</w:t>
      </w:r>
      <w:r>
        <w:rPr>
          <w:rFonts w:hint="eastAsia"/>
        </w:rPr>
        <w:t>–</w:t>
      </w:r>
      <w:r>
        <w:rPr>
          <w:rFonts w:hint="eastAsia"/>
        </w:rPr>
        <w:t>2019</w:t>
      </w:r>
      <w:r>
        <w:rPr>
          <w:rFonts w:hint="eastAsia"/>
        </w:rPr>
        <w:t>年</w:t>
      </w:r>
      <w:r>
        <w:rPr>
          <w:rFonts w:hint="eastAsia"/>
        </w:rPr>
        <w:t>)</w:t>
      </w:r>
      <w:r>
        <w:rPr>
          <w:rFonts w:hint="eastAsia"/>
        </w:rPr>
        <w:t>；</w:t>
      </w:r>
    </w:p>
    <w:p w:rsidR="002A1FD7" w:rsidRDefault="002A1FD7" w:rsidP="00A52FC3">
      <w:pPr>
        <w:pStyle w:val="SingleTxt"/>
        <w:spacing w:after="120" w:line="314" w:lineRule="exact"/>
      </w:pPr>
      <w:r>
        <w:rPr>
          <w:rFonts w:hint="eastAsia"/>
        </w:rPr>
        <w:tab/>
        <w:t>(c)</w:t>
      </w:r>
      <w:r>
        <w:rPr>
          <w:rFonts w:hint="eastAsia"/>
        </w:rPr>
        <w:tab/>
      </w:r>
      <w:r>
        <w:rPr>
          <w:rFonts w:hint="eastAsia"/>
        </w:rPr>
        <w:t>《移民和卫生国家方案》</w:t>
      </w:r>
      <w:r w:rsidR="00A52FC3">
        <w:rPr>
          <w:rFonts w:hint="eastAsia"/>
        </w:rPr>
        <w:t>(</w:t>
      </w:r>
      <w:r>
        <w:rPr>
          <w:rFonts w:hint="eastAsia"/>
        </w:rPr>
        <w:t>2014</w:t>
      </w:r>
      <w:r>
        <w:rPr>
          <w:rFonts w:hint="eastAsia"/>
        </w:rPr>
        <w:t>–</w:t>
      </w:r>
      <w:r>
        <w:rPr>
          <w:rFonts w:hint="eastAsia"/>
        </w:rPr>
        <w:t>2017</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(d)</w:t>
      </w:r>
      <w:r>
        <w:rPr>
          <w:rFonts w:hint="eastAsia"/>
        </w:rPr>
        <w:tab/>
      </w:r>
      <w:r>
        <w:rPr>
          <w:rFonts w:hint="eastAsia"/>
        </w:rPr>
        <w:t>《打击人口贩运国家行动计划》</w:t>
      </w:r>
      <w:r w:rsidR="00A52FC3">
        <w:rPr>
          <w:rFonts w:hint="eastAsia"/>
        </w:rPr>
        <w:t>(</w:t>
      </w:r>
      <w:r>
        <w:rPr>
          <w:rFonts w:hint="eastAsia"/>
        </w:rPr>
        <w:t>2012</w:t>
      </w:r>
      <w:r>
        <w:rPr>
          <w:rFonts w:hint="eastAsia"/>
        </w:rPr>
        <w:t>–</w:t>
      </w:r>
      <w:r>
        <w:rPr>
          <w:rFonts w:hint="eastAsia"/>
        </w:rPr>
        <w:t>2014</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(e)</w:t>
      </w:r>
      <w:r>
        <w:rPr>
          <w:rFonts w:hint="eastAsia"/>
        </w:rPr>
        <w:tab/>
      </w:r>
      <w:r>
        <w:rPr>
          <w:rFonts w:hint="eastAsia"/>
        </w:rPr>
        <w:t>《禁止强迫婚姻联邦方案》</w:t>
      </w:r>
      <w:r w:rsidR="00A52FC3">
        <w:rPr>
          <w:rFonts w:hint="eastAsia"/>
        </w:rPr>
        <w:t>(</w:t>
      </w:r>
      <w:r>
        <w:rPr>
          <w:rFonts w:hint="eastAsia"/>
        </w:rPr>
        <w:t>2013</w:t>
      </w:r>
      <w:r>
        <w:rPr>
          <w:rFonts w:hint="eastAsia"/>
        </w:rPr>
        <w:t>–</w:t>
      </w:r>
      <w:r>
        <w:rPr>
          <w:rFonts w:hint="eastAsia"/>
        </w:rPr>
        <w:t>2017</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(f)</w:t>
      </w:r>
      <w:r>
        <w:rPr>
          <w:rFonts w:hint="eastAsia"/>
        </w:rPr>
        <w:tab/>
      </w:r>
      <w:r>
        <w:rPr>
          <w:rFonts w:hint="eastAsia"/>
        </w:rPr>
        <w:t>《男女平等国家行动计划》</w:t>
      </w:r>
      <w:r w:rsidR="00A52FC3">
        <w:rPr>
          <w:rFonts w:hint="eastAsia"/>
        </w:rPr>
        <w:t>(</w:t>
      </w:r>
      <w:r>
        <w:rPr>
          <w:rFonts w:hint="eastAsia"/>
        </w:rPr>
        <w:t>2010-2014</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(g)</w:t>
      </w:r>
      <w:r>
        <w:rPr>
          <w:rFonts w:hint="eastAsia"/>
        </w:rPr>
        <w:tab/>
      </w:r>
      <w:r>
        <w:rPr>
          <w:rFonts w:hint="eastAsia"/>
        </w:rPr>
        <w:t>《妇女、和平与安全国家行动计划》</w:t>
      </w:r>
      <w:r w:rsidR="00A52FC3">
        <w:rPr>
          <w:rFonts w:hint="eastAsia"/>
        </w:rPr>
        <w:t>(</w:t>
      </w:r>
      <w:r>
        <w:rPr>
          <w:rFonts w:hint="eastAsia"/>
        </w:rPr>
        <w:t>2013-2016</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(h)</w:t>
      </w:r>
      <w:r>
        <w:rPr>
          <w:rFonts w:hint="eastAsia"/>
        </w:rPr>
        <w:tab/>
        <w:t>2013</w:t>
      </w:r>
      <w:r>
        <w:rPr>
          <w:rFonts w:hint="eastAsia"/>
        </w:rPr>
        <w:t>年通过《保护人权维护者准则》；</w:t>
      </w:r>
    </w:p>
    <w:p w:rsidR="002A1FD7" w:rsidRDefault="002A1FD7" w:rsidP="00A52FC3">
      <w:pPr>
        <w:pStyle w:val="SingleTxt"/>
        <w:spacing w:after="120" w:line="314" w:lineRule="exact"/>
      </w:pPr>
      <w:r>
        <w:rPr>
          <w:rFonts w:hint="eastAsia"/>
        </w:rPr>
        <w:tab/>
        <w:t>(i)</w:t>
      </w:r>
      <w:r>
        <w:rPr>
          <w:rFonts w:hint="eastAsia"/>
        </w:rPr>
        <w:tab/>
      </w:r>
      <w:r>
        <w:rPr>
          <w:rFonts w:hint="eastAsia"/>
        </w:rPr>
        <w:t>《大学</w:t>
      </w:r>
      <w:r>
        <w:rPr>
          <w:rFonts w:hint="eastAsia"/>
        </w:rPr>
        <w:t>/</w:t>
      </w:r>
      <w:r>
        <w:rPr>
          <w:rFonts w:hint="eastAsia"/>
        </w:rPr>
        <w:t>性别研究男女机会平等方案》</w:t>
      </w:r>
      <w:r w:rsidR="00A52FC3">
        <w:rPr>
          <w:rFonts w:hint="eastAsia"/>
        </w:rPr>
        <w:t>(</w:t>
      </w:r>
      <w:r>
        <w:rPr>
          <w:rFonts w:hint="eastAsia"/>
        </w:rPr>
        <w:t>2013</w:t>
      </w:r>
      <w:r>
        <w:rPr>
          <w:rFonts w:hint="eastAsia"/>
        </w:rPr>
        <w:t>–</w:t>
      </w:r>
      <w:r>
        <w:rPr>
          <w:rFonts w:hint="eastAsia"/>
        </w:rPr>
        <w:t>2016</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(j)</w:t>
      </w:r>
      <w:r>
        <w:rPr>
          <w:rFonts w:hint="eastAsia"/>
        </w:rPr>
        <w:tab/>
      </w:r>
      <w:r>
        <w:rPr>
          <w:rFonts w:hint="eastAsia"/>
        </w:rPr>
        <w:t>《应用科学大学机会平等方案》</w:t>
      </w:r>
      <w:r w:rsidR="00A52FC3">
        <w:rPr>
          <w:rFonts w:hint="eastAsia"/>
        </w:rPr>
        <w:t>(</w:t>
      </w:r>
      <w:r>
        <w:rPr>
          <w:rFonts w:hint="eastAsia"/>
        </w:rPr>
        <w:t>2013-2016</w:t>
      </w:r>
      <w:r>
        <w:rPr>
          <w:rFonts w:hint="eastAsia"/>
        </w:rPr>
        <w:t>年</w:t>
      </w:r>
      <w:r w:rsidR="00A52FC3">
        <w:rPr>
          <w:rFonts w:hint="eastAsia"/>
        </w:rPr>
        <w:t>)</w:t>
      </w:r>
      <w:r>
        <w:rPr>
          <w:rFonts w:hint="eastAsia"/>
        </w:rPr>
        <w:t>；</w:t>
      </w:r>
    </w:p>
    <w:p w:rsidR="002A1FD7" w:rsidRDefault="002A1FD7" w:rsidP="00A52FC3">
      <w:pPr>
        <w:pStyle w:val="SingleTxt"/>
        <w:spacing w:after="120" w:line="314" w:lineRule="exact"/>
      </w:pPr>
      <w:r>
        <w:rPr>
          <w:rFonts w:hint="eastAsia"/>
        </w:rPr>
        <w:tab/>
        <w:t>(k)</w:t>
      </w:r>
      <w:r>
        <w:rPr>
          <w:rFonts w:hint="eastAsia"/>
        </w:rPr>
        <w:tab/>
        <w:t>2011</w:t>
      </w:r>
      <w:r>
        <w:rPr>
          <w:rFonts w:hint="eastAsia"/>
        </w:rPr>
        <w:t>年设立瑞士人权专业知识中心。</w:t>
      </w:r>
    </w:p>
    <w:p w:rsidR="002A1FD7" w:rsidRDefault="002A1FD7" w:rsidP="00A52FC3">
      <w:pPr>
        <w:pStyle w:val="SingleTxt"/>
        <w:spacing w:after="120" w:line="314" w:lineRule="exact"/>
      </w:pPr>
      <w:r>
        <w:rPr>
          <w:rFonts w:hint="eastAsia"/>
        </w:rPr>
        <w:t>6.</w:t>
      </w:r>
      <w:r>
        <w:rPr>
          <w:rFonts w:hint="eastAsia"/>
        </w:rPr>
        <w:tab/>
      </w:r>
      <w:r>
        <w:rPr>
          <w:rFonts w:hint="eastAsia"/>
        </w:rPr>
        <w:t>委员会欢迎自从审议上一份报告以来缔约国批准或加入了以下国际和区域文书这一事实：</w:t>
      </w:r>
    </w:p>
    <w:p w:rsidR="002A1FD7" w:rsidRDefault="002A1FD7" w:rsidP="00A52FC3">
      <w:pPr>
        <w:pStyle w:val="SingleTxt"/>
        <w:spacing w:after="120" w:line="314" w:lineRule="exact"/>
      </w:pPr>
      <w:r>
        <w:rPr>
          <w:rFonts w:hint="eastAsia"/>
        </w:rPr>
        <w:tab/>
        <w:t>(a)</w:t>
      </w:r>
      <w:r>
        <w:rPr>
          <w:rFonts w:hint="eastAsia"/>
        </w:rPr>
        <w:tab/>
        <w:t>2014</w:t>
      </w:r>
      <w:r>
        <w:rPr>
          <w:rFonts w:hint="eastAsia"/>
        </w:rPr>
        <w:t>年，《残疾人权利公约》及其《任择议定书》；</w:t>
      </w:r>
    </w:p>
    <w:p w:rsidR="002A1FD7" w:rsidRDefault="002A1FD7" w:rsidP="00A52FC3">
      <w:pPr>
        <w:pStyle w:val="SingleTxt"/>
        <w:spacing w:after="120" w:line="314" w:lineRule="exact"/>
      </w:pPr>
      <w:r>
        <w:rPr>
          <w:rFonts w:hint="eastAsia"/>
        </w:rPr>
        <w:tab/>
        <w:t>(b)</w:t>
      </w:r>
      <w:r>
        <w:rPr>
          <w:rFonts w:hint="eastAsia"/>
        </w:rPr>
        <w:tab/>
        <w:t>2011</w:t>
      </w:r>
      <w:r>
        <w:rPr>
          <w:rFonts w:hint="eastAsia"/>
        </w:rPr>
        <w:t>年，《保护所有人免遭强迫失踪国际公约》；</w:t>
      </w:r>
    </w:p>
    <w:p w:rsidR="002A1FD7" w:rsidRDefault="002A1FD7" w:rsidP="00A52FC3">
      <w:pPr>
        <w:pStyle w:val="SingleTxt"/>
        <w:spacing w:after="120" w:line="314" w:lineRule="exact"/>
      </w:pPr>
      <w:r>
        <w:rPr>
          <w:rFonts w:hint="eastAsia"/>
        </w:rPr>
        <w:tab/>
        <w:t>(c)</w:t>
      </w:r>
      <w:r>
        <w:rPr>
          <w:rFonts w:hint="eastAsia"/>
        </w:rPr>
        <w:tab/>
        <w:t>2009</w:t>
      </w:r>
      <w:r>
        <w:rPr>
          <w:rFonts w:hint="eastAsia"/>
        </w:rPr>
        <w:t>年，《禁止酷刑和其他残忍、不人道或有辱人格的待遇或处罚公约任择议定书》；</w:t>
      </w:r>
    </w:p>
    <w:p w:rsidR="002A1FD7" w:rsidRDefault="002A1FD7" w:rsidP="00A52FC3">
      <w:pPr>
        <w:pStyle w:val="SingleTxt"/>
        <w:spacing w:after="120" w:line="314" w:lineRule="exact"/>
      </w:pPr>
      <w:r>
        <w:rPr>
          <w:rFonts w:hint="eastAsia"/>
        </w:rPr>
        <w:tab/>
        <w:t>(d)</w:t>
      </w:r>
      <w:r>
        <w:rPr>
          <w:rFonts w:hint="eastAsia"/>
        </w:rPr>
        <w:tab/>
        <w:t>2014</w:t>
      </w:r>
      <w:r>
        <w:rPr>
          <w:rFonts w:hint="eastAsia"/>
        </w:rPr>
        <w:t>年，国际劳工组织《</w:t>
      </w:r>
      <w:r>
        <w:rPr>
          <w:rFonts w:hint="eastAsia"/>
        </w:rPr>
        <w:t>2000</w:t>
      </w:r>
      <w:r>
        <w:rPr>
          <w:rFonts w:hint="eastAsia"/>
        </w:rPr>
        <w:t>年保护生育公约》</w:t>
      </w:r>
      <w:r w:rsidR="00A52FC3">
        <w:rPr>
          <w:rFonts w:hint="eastAsia"/>
        </w:rPr>
        <w:t>(</w:t>
      </w:r>
      <w:r>
        <w:rPr>
          <w:rFonts w:hint="eastAsia"/>
        </w:rPr>
        <w:t>第</w:t>
      </w:r>
      <w:r>
        <w:rPr>
          <w:rFonts w:hint="eastAsia"/>
        </w:rPr>
        <w:t>183</w:t>
      </w:r>
      <w:r>
        <w:rPr>
          <w:rFonts w:hint="eastAsia"/>
        </w:rPr>
        <w:t>号</w:t>
      </w:r>
      <w:r w:rsidR="00A52FC3">
        <w:rPr>
          <w:rFonts w:hint="eastAsia"/>
        </w:rPr>
        <w:t>)</w:t>
      </w:r>
      <w:r>
        <w:rPr>
          <w:rFonts w:hint="eastAsia"/>
        </w:rPr>
        <w:t>；</w:t>
      </w:r>
    </w:p>
    <w:p w:rsidR="002A1FD7" w:rsidRDefault="002A1FD7" w:rsidP="00A52FC3">
      <w:pPr>
        <w:pStyle w:val="SingleTxt"/>
        <w:spacing w:line="314" w:lineRule="exact"/>
      </w:pPr>
      <w:r>
        <w:rPr>
          <w:rFonts w:hint="eastAsia"/>
        </w:rPr>
        <w:tab/>
        <w:t>(e)</w:t>
      </w:r>
      <w:r>
        <w:rPr>
          <w:rFonts w:hint="eastAsia"/>
        </w:rPr>
        <w:tab/>
        <w:t>2014</w:t>
      </w:r>
      <w:r>
        <w:rPr>
          <w:rFonts w:hint="eastAsia"/>
        </w:rPr>
        <w:t>年，国际劳工组织《</w:t>
      </w:r>
      <w:r>
        <w:rPr>
          <w:rFonts w:hint="eastAsia"/>
        </w:rPr>
        <w:t>2011</w:t>
      </w:r>
      <w:r>
        <w:rPr>
          <w:rFonts w:hint="eastAsia"/>
        </w:rPr>
        <w:t>年家庭工人公约》</w:t>
      </w:r>
      <w:r w:rsidR="00A52FC3">
        <w:rPr>
          <w:rFonts w:hint="eastAsia"/>
        </w:rPr>
        <w:t>(</w:t>
      </w:r>
      <w:r>
        <w:rPr>
          <w:rFonts w:hint="eastAsia"/>
        </w:rPr>
        <w:t>第</w:t>
      </w:r>
      <w:r>
        <w:rPr>
          <w:rFonts w:hint="eastAsia"/>
        </w:rPr>
        <w:t>189</w:t>
      </w:r>
      <w:r>
        <w:rPr>
          <w:rFonts w:hint="eastAsia"/>
        </w:rPr>
        <w:t>号</w:t>
      </w:r>
      <w:r w:rsidR="00A52FC3">
        <w:rPr>
          <w:rFonts w:hint="eastAsia"/>
        </w:rPr>
        <w:t>)</w:t>
      </w:r>
      <w:r>
        <w:rPr>
          <w:rFonts w:hint="eastAsia"/>
        </w:rPr>
        <w:t>。</w:t>
      </w:r>
    </w:p>
    <w:p w:rsidR="002A1FD7" w:rsidRDefault="002A1FD7" w:rsidP="00A52F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rPr>
          <w:rFonts w:hint="eastAsia"/>
        </w:rPr>
        <w:tab/>
        <w:t>C.</w:t>
      </w:r>
      <w:r>
        <w:rPr>
          <w:rFonts w:hint="eastAsia"/>
        </w:rPr>
        <w:tab/>
        <w:t>议会</w:t>
      </w:r>
    </w:p>
    <w:p w:rsidR="002A1FD7" w:rsidRDefault="002A1FD7" w:rsidP="002A1FD7">
      <w:pPr>
        <w:pStyle w:val="SingleTxt"/>
      </w:pPr>
      <w:r>
        <w:rPr>
          <w:rFonts w:hint="eastAsia"/>
        </w:rPr>
        <w:t>7.</w:t>
      </w:r>
      <w:r>
        <w:rPr>
          <w:rFonts w:hint="eastAsia"/>
        </w:rPr>
        <w:tab/>
      </w:r>
      <w:r w:rsidRPr="00A52FC3">
        <w:rPr>
          <w:rFonts w:ascii="黑体" w:eastAsia="黑体" w:hAnsi="黑体" w:hint="eastAsia"/>
        </w:rPr>
        <w:t>委员会强调立法机构在确保全面执行《公约》方面的关键作用</w:t>
      </w:r>
      <w:r w:rsidR="00A52FC3" w:rsidRPr="00A52FC3">
        <w:rPr>
          <w:rFonts w:ascii="黑体" w:eastAsia="黑体" w:hAnsi="黑体" w:hint="eastAsia"/>
        </w:rPr>
        <w:t>(</w:t>
      </w:r>
      <w:r w:rsidRPr="00A52FC3">
        <w:rPr>
          <w:rFonts w:ascii="黑体" w:eastAsia="黑体" w:hAnsi="黑体" w:hint="eastAsia"/>
        </w:rPr>
        <w:t>见委员会2010年第四十五届会议上通过的关于其与议员关系的声明</w:t>
      </w:r>
      <w:r w:rsidR="00A52FC3" w:rsidRPr="00A52FC3">
        <w:rPr>
          <w:rFonts w:ascii="黑体" w:eastAsia="黑体" w:hAnsi="黑体" w:hint="eastAsia"/>
        </w:rPr>
        <w:t>)</w:t>
      </w:r>
      <w:r w:rsidRPr="00A52FC3">
        <w:rPr>
          <w:rFonts w:ascii="黑体" w:eastAsia="黑体" w:hAnsi="黑体" w:hint="eastAsia"/>
        </w:rPr>
        <w:t>，并请联邦议会根据其任务授权，在从现在起到《公约》规定的下一个报告期间，采取必要步骤落实本结论性意见</w:t>
      </w:r>
      <w:r>
        <w:rPr>
          <w:rFonts w:hint="eastAsia"/>
        </w:rPr>
        <w:t>。</w:t>
      </w:r>
    </w:p>
    <w:p w:rsidR="002A1FD7" w:rsidRDefault="002A1FD7" w:rsidP="00A52F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rPr>
          <w:rFonts w:hint="eastAsia"/>
        </w:rPr>
        <w:tab/>
        <w:t>D.</w:t>
      </w:r>
      <w:r>
        <w:rPr>
          <w:rFonts w:hint="eastAsia"/>
        </w:rPr>
        <w:tab/>
        <w:t>主要关切领域和建议</w:t>
      </w:r>
    </w:p>
    <w:p w:rsidR="002A1FD7" w:rsidRPr="00A52FC3" w:rsidRDefault="002A1FD7" w:rsidP="002A1FD7">
      <w:pPr>
        <w:pStyle w:val="SingleTxt"/>
        <w:rPr>
          <w:rFonts w:ascii="黑体" w:eastAsia="黑体" w:hAnsi="黑体"/>
        </w:rPr>
      </w:pPr>
      <w:r w:rsidRPr="00A52FC3">
        <w:rPr>
          <w:rFonts w:ascii="黑体" w:eastAsia="黑体" w:hAnsi="黑体" w:hint="eastAsia"/>
        </w:rPr>
        <w:t>撤销保留</w:t>
      </w:r>
    </w:p>
    <w:p w:rsidR="002A1FD7" w:rsidRDefault="002A1FD7" w:rsidP="002A1FD7">
      <w:pPr>
        <w:pStyle w:val="SingleTxt"/>
      </w:pPr>
      <w:r>
        <w:rPr>
          <w:rFonts w:hint="eastAsia"/>
        </w:rPr>
        <w:t>8.</w:t>
      </w:r>
      <w:r>
        <w:rPr>
          <w:rFonts w:hint="eastAsia"/>
        </w:rPr>
        <w:tab/>
      </w:r>
      <w:r w:rsidRPr="00A52FC3">
        <w:rPr>
          <w:rFonts w:hint="eastAsia"/>
          <w:spacing w:val="-2"/>
        </w:rPr>
        <w:t>委员会欢迎缔约国</w:t>
      </w:r>
      <w:r w:rsidRPr="00A52FC3">
        <w:rPr>
          <w:rFonts w:hint="eastAsia"/>
          <w:spacing w:val="-2"/>
        </w:rPr>
        <w:t>2013</w:t>
      </w:r>
      <w:r w:rsidRPr="00A52FC3">
        <w:rPr>
          <w:rFonts w:hint="eastAsia"/>
          <w:spacing w:val="-2"/>
        </w:rPr>
        <w:t>年撤销对《公约》第十六条第</w:t>
      </w:r>
      <w:r w:rsidR="00A52FC3" w:rsidRPr="00A52FC3">
        <w:rPr>
          <w:rFonts w:hint="eastAsia"/>
          <w:spacing w:val="-2"/>
        </w:rPr>
        <w:t>(</w:t>
      </w:r>
      <w:r w:rsidRPr="00A52FC3">
        <w:rPr>
          <w:rFonts w:hint="eastAsia"/>
          <w:spacing w:val="-2"/>
        </w:rPr>
        <w:t>1</w:t>
      </w:r>
      <w:r w:rsidR="00A52FC3" w:rsidRPr="00A52FC3">
        <w:rPr>
          <w:rFonts w:hint="eastAsia"/>
          <w:spacing w:val="-2"/>
        </w:rPr>
        <w:t>)</w:t>
      </w:r>
      <w:r w:rsidRPr="00A52FC3">
        <w:rPr>
          <w:rFonts w:hint="eastAsia"/>
          <w:spacing w:val="-2"/>
        </w:rPr>
        <w:t>款</w:t>
      </w:r>
      <w:r w:rsidRPr="00A52FC3">
        <w:rPr>
          <w:rFonts w:hint="eastAsia"/>
          <w:spacing w:val="-2"/>
        </w:rPr>
        <w:t>(g)</w:t>
      </w:r>
      <w:r w:rsidRPr="00A52FC3">
        <w:rPr>
          <w:rFonts w:hint="eastAsia"/>
          <w:spacing w:val="-2"/>
        </w:rPr>
        <w:t>项的保留，但是对缔约国尚未撤销其对第十五条第</w:t>
      </w:r>
      <w:r w:rsidR="00A52FC3" w:rsidRPr="00A52FC3">
        <w:rPr>
          <w:rFonts w:hint="eastAsia"/>
          <w:spacing w:val="-2"/>
        </w:rPr>
        <w:t>(</w:t>
      </w:r>
      <w:r w:rsidRPr="00A52FC3">
        <w:rPr>
          <w:rFonts w:hint="eastAsia"/>
          <w:spacing w:val="-2"/>
        </w:rPr>
        <w:t>2</w:t>
      </w:r>
      <w:r w:rsidR="00A52FC3" w:rsidRPr="00A52FC3">
        <w:rPr>
          <w:rFonts w:hint="eastAsia"/>
          <w:spacing w:val="-2"/>
        </w:rPr>
        <w:t>)</w:t>
      </w:r>
      <w:r w:rsidRPr="00A52FC3">
        <w:rPr>
          <w:rFonts w:hint="eastAsia"/>
          <w:spacing w:val="-2"/>
        </w:rPr>
        <w:t>款和第十六条第</w:t>
      </w:r>
      <w:r w:rsidR="00A52FC3" w:rsidRPr="00A52FC3">
        <w:rPr>
          <w:rFonts w:hint="eastAsia"/>
          <w:spacing w:val="-2"/>
        </w:rPr>
        <w:t>(</w:t>
      </w:r>
      <w:r w:rsidRPr="00A52FC3">
        <w:rPr>
          <w:rFonts w:hint="eastAsia"/>
          <w:spacing w:val="-2"/>
        </w:rPr>
        <w:t>1</w:t>
      </w:r>
      <w:r w:rsidR="00A52FC3" w:rsidRPr="00A52FC3">
        <w:rPr>
          <w:rFonts w:hint="eastAsia"/>
          <w:spacing w:val="-2"/>
        </w:rPr>
        <w:t>)</w:t>
      </w:r>
      <w:r w:rsidRPr="00A52FC3">
        <w:rPr>
          <w:rFonts w:hint="eastAsia"/>
          <w:spacing w:val="-2"/>
        </w:rPr>
        <w:t>款</w:t>
      </w:r>
      <w:r w:rsidRPr="00A52FC3">
        <w:rPr>
          <w:rFonts w:hint="eastAsia"/>
          <w:spacing w:val="-2"/>
        </w:rPr>
        <w:t>(h)</w:t>
      </w:r>
      <w:r w:rsidRPr="00A52FC3">
        <w:rPr>
          <w:rFonts w:hint="eastAsia"/>
          <w:spacing w:val="-2"/>
        </w:rPr>
        <w:t>项的保留感到关切。</w:t>
      </w:r>
    </w:p>
    <w:p w:rsidR="002A1FD7" w:rsidRDefault="002A1FD7" w:rsidP="00A52FC3">
      <w:pPr>
        <w:pStyle w:val="SingleTxt"/>
        <w:spacing w:line="326" w:lineRule="exact"/>
      </w:pPr>
      <w:r>
        <w:rPr>
          <w:rFonts w:hint="eastAsia"/>
        </w:rPr>
        <w:lastRenderedPageBreak/>
        <w:t>9.</w:t>
      </w:r>
      <w:r>
        <w:rPr>
          <w:rFonts w:hint="eastAsia"/>
        </w:rPr>
        <w:tab/>
      </w:r>
      <w:r w:rsidRPr="00A52FC3">
        <w:rPr>
          <w:rFonts w:ascii="黑体" w:eastAsia="黑体" w:hAnsi="黑体" w:hint="eastAsia"/>
        </w:rPr>
        <w:t>委员会重申其此前提出的结论性意见</w:t>
      </w:r>
      <w:r w:rsidR="00A52FC3" w:rsidRPr="00A52FC3">
        <w:rPr>
          <w:rFonts w:ascii="黑体" w:eastAsia="黑体" w:hAnsi="黑体" w:hint="eastAsia"/>
        </w:rPr>
        <w:t>(</w:t>
      </w:r>
      <w:r w:rsidRPr="00A52FC3">
        <w:rPr>
          <w:rFonts w:ascii="黑体" w:eastAsia="黑体" w:hAnsi="黑体" w:hint="eastAsia"/>
        </w:rPr>
        <w:t>见</w:t>
      </w:r>
      <w:hyperlink r:id="rId21" w:history="1">
        <w:r w:rsidRPr="002C41FF">
          <w:rPr>
            <w:rStyle w:val="ad"/>
            <w:rFonts w:ascii="黑体" w:eastAsia="黑体" w:hAnsi="黑体" w:hint="eastAsia"/>
          </w:rPr>
          <w:t>CEDAW/C/CHE/CO/3</w:t>
        </w:r>
      </w:hyperlink>
      <w:r w:rsidRPr="00A52FC3">
        <w:rPr>
          <w:rFonts w:ascii="黑体" w:eastAsia="黑体" w:hAnsi="黑体" w:hint="eastAsia"/>
        </w:rPr>
        <w:t>，第12段</w:t>
      </w:r>
      <w:r w:rsidR="00A52FC3" w:rsidRPr="00A52FC3">
        <w:rPr>
          <w:rFonts w:ascii="黑体" w:eastAsia="黑体" w:hAnsi="黑体" w:hint="eastAsia"/>
        </w:rPr>
        <w:t>)</w:t>
      </w:r>
      <w:r w:rsidRPr="00A52FC3">
        <w:rPr>
          <w:rFonts w:ascii="黑体" w:eastAsia="黑体" w:hAnsi="黑体" w:hint="eastAsia"/>
        </w:rPr>
        <w:t>，并促请缔约国在下次定期报告中，如果可能并在仍然相关的情况下，说明撤销对第十五条第</w:t>
      </w:r>
      <w:r w:rsidR="00A52FC3" w:rsidRPr="00A52FC3">
        <w:rPr>
          <w:rFonts w:ascii="黑体" w:eastAsia="黑体" w:hAnsi="黑体" w:hint="eastAsia"/>
        </w:rPr>
        <w:t>(</w:t>
      </w:r>
      <w:r w:rsidRPr="00A52FC3">
        <w:rPr>
          <w:rFonts w:ascii="黑体" w:eastAsia="黑体" w:hAnsi="黑体" w:hint="eastAsia"/>
        </w:rPr>
        <w:t>2</w:t>
      </w:r>
      <w:r w:rsidR="00A52FC3" w:rsidRPr="00A52FC3">
        <w:rPr>
          <w:rFonts w:ascii="黑体" w:eastAsia="黑体" w:hAnsi="黑体" w:hint="eastAsia"/>
        </w:rPr>
        <w:t>)</w:t>
      </w:r>
      <w:r w:rsidRPr="00A52FC3">
        <w:rPr>
          <w:rFonts w:ascii="黑体" w:eastAsia="黑体" w:hAnsi="黑体" w:hint="eastAsia"/>
        </w:rPr>
        <w:t>款和第十六条第</w:t>
      </w:r>
      <w:r w:rsidR="00A52FC3" w:rsidRPr="00A52FC3">
        <w:rPr>
          <w:rFonts w:ascii="黑体" w:eastAsia="黑体" w:hAnsi="黑体" w:hint="eastAsia"/>
        </w:rPr>
        <w:t>(</w:t>
      </w:r>
      <w:r w:rsidRPr="00A52FC3">
        <w:rPr>
          <w:rFonts w:ascii="黑体" w:eastAsia="黑体" w:hAnsi="黑体" w:hint="eastAsia"/>
        </w:rPr>
        <w:t>1</w:t>
      </w:r>
      <w:r w:rsidR="00A52FC3" w:rsidRPr="00A52FC3">
        <w:rPr>
          <w:rFonts w:ascii="黑体" w:eastAsia="黑体" w:hAnsi="黑体" w:hint="eastAsia"/>
        </w:rPr>
        <w:t>)</w:t>
      </w:r>
      <w:r w:rsidRPr="00A52FC3">
        <w:rPr>
          <w:rFonts w:ascii="黑体" w:eastAsia="黑体" w:hAnsi="黑体" w:hint="eastAsia"/>
        </w:rPr>
        <w:t>款(h)项的保留的时间表，它们涉及1988年1月1日之前适用的婚姻制度相关法律</w:t>
      </w:r>
      <w:r>
        <w:rPr>
          <w:rFonts w:hint="eastAsia"/>
        </w:rPr>
        <w:t>。</w:t>
      </w:r>
    </w:p>
    <w:p w:rsidR="002A1FD7" w:rsidRPr="00A52FC3" w:rsidRDefault="002A1FD7" w:rsidP="00A52FC3">
      <w:pPr>
        <w:pStyle w:val="SingleTxt"/>
        <w:spacing w:line="326" w:lineRule="exact"/>
        <w:rPr>
          <w:rFonts w:ascii="黑体" w:eastAsia="黑体" w:hAnsi="黑体"/>
        </w:rPr>
      </w:pPr>
      <w:r w:rsidRPr="00A52FC3">
        <w:rPr>
          <w:rFonts w:ascii="黑体" w:eastAsia="黑体" w:hAnsi="黑体" w:hint="eastAsia"/>
        </w:rPr>
        <w:t>《公约》及其《任择议定书》和委员会一般性建议的可见度</w:t>
      </w:r>
    </w:p>
    <w:p w:rsidR="002A1FD7" w:rsidRDefault="002A1FD7" w:rsidP="00A52FC3">
      <w:pPr>
        <w:pStyle w:val="SingleTxt"/>
        <w:spacing w:line="326" w:lineRule="exact"/>
      </w:pPr>
      <w:r>
        <w:rPr>
          <w:rFonts w:hint="eastAsia"/>
        </w:rPr>
        <w:t>10.</w:t>
      </w:r>
      <w:r>
        <w:rPr>
          <w:rFonts w:hint="eastAsia"/>
        </w:rPr>
        <w:tab/>
      </w:r>
      <w:r>
        <w:rPr>
          <w:rFonts w:hint="eastAsia"/>
        </w:rPr>
        <w:t>委员会注意到，作为一个积极方面，在联邦男女平等办公室的主持下，设立了一个部门间工作组，负责监测缔约国根据《公约》履行承诺的情况。但是，委员会仍然感到关切的是，各州和社区之间在执行《公约》方面的差异没有得到充分解决。委员会还感到关切的是，联邦和州两级的司法诉讼程序中对《公约》的援引不足，司法机构、法律界和妇女本身对《公约》和委员会各项一般性建议作为重要解释工具的认识有限。</w:t>
      </w:r>
    </w:p>
    <w:p w:rsidR="002A1FD7" w:rsidRDefault="002A1FD7" w:rsidP="00A52FC3">
      <w:pPr>
        <w:pStyle w:val="SingleTxt"/>
        <w:spacing w:line="328" w:lineRule="exact"/>
      </w:pPr>
      <w:r>
        <w:rPr>
          <w:rFonts w:hint="eastAsia"/>
        </w:rPr>
        <w:t>11.</w:t>
      </w:r>
      <w:r>
        <w:rPr>
          <w:rFonts w:hint="eastAsia"/>
        </w:rPr>
        <w:tab/>
      </w:r>
      <w:r w:rsidRPr="00A52FC3">
        <w:rPr>
          <w:rFonts w:ascii="黑体" w:eastAsia="黑体" w:hAnsi="黑体" w:hint="eastAsia"/>
        </w:rPr>
        <w:t>委员会建议缔约国</w:t>
      </w:r>
      <w:r>
        <w:rPr>
          <w:rFonts w:hint="eastAsia"/>
        </w:rPr>
        <w:t>：</w:t>
      </w:r>
    </w:p>
    <w:p w:rsidR="002A1FD7" w:rsidRDefault="002A1FD7" w:rsidP="00A52FC3">
      <w:pPr>
        <w:pStyle w:val="SingleTxt"/>
        <w:spacing w:line="328" w:lineRule="exact"/>
      </w:pPr>
      <w:r>
        <w:rPr>
          <w:rFonts w:hint="eastAsia"/>
        </w:rPr>
        <w:tab/>
        <w:t>(a)</w:t>
      </w:r>
      <w:r>
        <w:rPr>
          <w:rFonts w:hint="eastAsia"/>
        </w:rPr>
        <w:tab/>
      </w:r>
      <w:r w:rsidRPr="00A52FC3">
        <w:rPr>
          <w:rFonts w:ascii="黑体" w:eastAsia="黑体" w:hAnsi="黑体" w:hint="eastAsia"/>
        </w:rPr>
        <w:t>在联邦和州两级制定可持续战略，包括通过划拨充足的财政资源，在包括妇女组织在内的所有利益攸关方中间传播《公约》及其《任择议定书》和委员会各项一般性建议</w:t>
      </w:r>
      <w:r>
        <w:rPr>
          <w:rFonts w:hint="eastAsia"/>
        </w:rPr>
        <w:t>；</w:t>
      </w:r>
    </w:p>
    <w:p w:rsidR="002A1FD7" w:rsidRDefault="002A1FD7" w:rsidP="00A52FC3">
      <w:pPr>
        <w:pStyle w:val="SingleTxt"/>
        <w:spacing w:line="328" w:lineRule="exact"/>
      </w:pPr>
      <w:r>
        <w:rPr>
          <w:rFonts w:hint="eastAsia"/>
        </w:rPr>
        <w:tab/>
        <w:t>(b)</w:t>
      </w:r>
      <w:r>
        <w:rPr>
          <w:rFonts w:hint="eastAsia"/>
        </w:rPr>
        <w:tab/>
      </w:r>
      <w:r w:rsidRPr="00A52FC3">
        <w:rPr>
          <w:rFonts w:ascii="黑体" w:eastAsia="黑体" w:hAnsi="黑体" w:hint="eastAsia"/>
        </w:rPr>
        <w:t>加大努力，开展关于《公约》的公共宣传运动，并提高妇女，包括弱势妇女群体，特别是移民妇女、寻求庇护的妇女、难民妇女、少数群体妇女以及残疾妇女，对她们根据《公约》所享有的权利及相应补救措施的认识</w:t>
      </w:r>
      <w:r>
        <w:rPr>
          <w:rFonts w:hint="eastAsia"/>
        </w:rPr>
        <w:t>；</w:t>
      </w:r>
    </w:p>
    <w:p w:rsidR="002A1FD7" w:rsidRDefault="002A1FD7" w:rsidP="00A52FC3">
      <w:pPr>
        <w:pStyle w:val="SingleTxt"/>
        <w:spacing w:line="328" w:lineRule="exact"/>
      </w:pPr>
      <w:r>
        <w:rPr>
          <w:rFonts w:hint="eastAsia"/>
        </w:rPr>
        <w:tab/>
        <w:t>(c)</w:t>
      </w:r>
      <w:r>
        <w:rPr>
          <w:rFonts w:hint="eastAsia"/>
        </w:rPr>
        <w:tab/>
      </w:r>
      <w:r w:rsidRPr="00A52FC3">
        <w:rPr>
          <w:rFonts w:ascii="黑体" w:eastAsia="黑体" w:hAnsi="黑体" w:hint="eastAsia"/>
        </w:rPr>
        <w:t>采取必要的立法措施，在国家法律秩序范围内全面落实《公约》规定的权利并促进此类权利的可诉性</w:t>
      </w:r>
      <w:r>
        <w:rPr>
          <w:rFonts w:hint="eastAsia"/>
        </w:rPr>
        <w:t>；</w:t>
      </w:r>
    </w:p>
    <w:p w:rsidR="002A1FD7" w:rsidRDefault="002A1FD7" w:rsidP="00A52FC3">
      <w:pPr>
        <w:pStyle w:val="SingleTxt"/>
        <w:spacing w:line="328" w:lineRule="exact"/>
      </w:pPr>
      <w:r>
        <w:rPr>
          <w:rFonts w:hint="eastAsia"/>
        </w:rPr>
        <w:tab/>
        <w:t>(d)</w:t>
      </w:r>
      <w:r>
        <w:rPr>
          <w:rFonts w:hint="eastAsia"/>
        </w:rPr>
        <w:tab/>
      </w:r>
      <w:r w:rsidRPr="00A52FC3">
        <w:rPr>
          <w:rFonts w:ascii="黑体" w:eastAsia="黑体" w:hAnsi="黑体" w:hint="eastAsia"/>
        </w:rPr>
        <w:t>促进针对法官、检察官和律师的能力建设方案，涉及《公约》及其《任择议定书》、委员会一般性建议、委员会关于报告程序的建议、委员会关于个人来文的意见以及调查和报告程序调查结果，并使他们能够在国家法院分别直接适用或援引这些文书，以相应地解释国家立法</w:t>
      </w:r>
      <w:r>
        <w:rPr>
          <w:rFonts w:hint="eastAsia"/>
        </w:rPr>
        <w:t>。</w:t>
      </w:r>
    </w:p>
    <w:p w:rsidR="002A1FD7" w:rsidRPr="00A52FC3" w:rsidRDefault="002A1FD7" w:rsidP="00A52FC3">
      <w:pPr>
        <w:pStyle w:val="SingleTxt"/>
        <w:spacing w:line="326" w:lineRule="exact"/>
        <w:rPr>
          <w:rFonts w:ascii="黑体" w:eastAsia="黑体" w:hAnsi="黑体"/>
        </w:rPr>
      </w:pPr>
      <w:r w:rsidRPr="00A52FC3">
        <w:rPr>
          <w:rFonts w:ascii="黑体" w:eastAsia="黑体" w:hAnsi="黑体" w:hint="eastAsia"/>
        </w:rPr>
        <w:t>《公约》在联邦制下的适用情况</w:t>
      </w:r>
    </w:p>
    <w:p w:rsidR="002A1FD7" w:rsidRDefault="002A1FD7" w:rsidP="00A52FC3">
      <w:pPr>
        <w:pStyle w:val="SingleTxt"/>
        <w:spacing w:line="326" w:lineRule="exact"/>
      </w:pPr>
      <w:r>
        <w:rPr>
          <w:rFonts w:hint="eastAsia"/>
        </w:rPr>
        <w:t>12.</w:t>
      </w:r>
      <w:r>
        <w:rPr>
          <w:rFonts w:hint="eastAsia"/>
        </w:rPr>
        <w:tab/>
      </w:r>
      <w:r w:rsidRPr="00A52FC3">
        <w:rPr>
          <w:rFonts w:hint="eastAsia"/>
          <w:spacing w:val="2"/>
        </w:rPr>
        <w:t>委员会感谢缔约国在对话期间提供关于《公约》直接适用性的解释，但是重申委员会的关切</w:t>
      </w:r>
      <w:r w:rsidR="00A52FC3" w:rsidRPr="00A52FC3">
        <w:rPr>
          <w:rFonts w:hint="eastAsia"/>
          <w:spacing w:val="2"/>
        </w:rPr>
        <w:t>(</w:t>
      </w:r>
      <w:r w:rsidRPr="00A52FC3">
        <w:rPr>
          <w:rFonts w:hint="eastAsia"/>
          <w:spacing w:val="2"/>
        </w:rPr>
        <w:t>见</w:t>
      </w:r>
      <w:hyperlink r:id="rId22" w:history="1">
        <w:r w:rsidRPr="002C41FF">
          <w:rPr>
            <w:rStyle w:val="ad"/>
            <w:rFonts w:hint="eastAsia"/>
            <w:spacing w:val="2"/>
          </w:rPr>
          <w:t>CEDAW/C/CHE/CO/3</w:t>
        </w:r>
      </w:hyperlink>
      <w:r w:rsidRPr="00A52FC3">
        <w:rPr>
          <w:rFonts w:hint="eastAsia"/>
          <w:spacing w:val="2"/>
        </w:rPr>
        <w:t>，第</w:t>
      </w:r>
      <w:r w:rsidRPr="00A52FC3">
        <w:rPr>
          <w:rFonts w:hint="eastAsia"/>
          <w:spacing w:val="2"/>
        </w:rPr>
        <w:t>15</w:t>
      </w:r>
      <w:r w:rsidRPr="00A52FC3">
        <w:rPr>
          <w:rFonts w:hint="eastAsia"/>
          <w:spacing w:val="2"/>
        </w:rPr>
        <w:t>段</w:t>
      </w:r>
      <w:r w:rsidR="00A52FC3" w:rsidRPr="00A52FC3">
        <w:rPr>
          <w:rFonts w:hint="eastAsia"/>
          <w:spacing w:val="2"/>
        </w:rPr>
        <w:t>)</w:t>
      </w:r>
      <w:r w:rsidRPr="00A52FC3">
        <w:rPr>
          <w:rFonts w:hint="eastAsia"/>
          <w:spacing w:val="2"/>
        </w:rPr>
        <w:t>，即，根据一元论原则，由联邦法院以及联邦和州两级其他司法当局酌情决定《公约》的规定是否直接适用</w:t>
      </w:r>
      <w:r>
        <w:rPr>
          <w:rFonts w:hint="eastAsia"/>
        </w:rPr>
        <w:t>。</w:t>
      </w:r>
    </w:p>
    <w:p w:rsidR="002A1FD7" w:rsidRDefault="002A1FD7" w:rsidP="00A52FC3">
      <w:pPr>
        <w:pStyle w:val="SingleTxt"/>
        <w:spacing w:line="326" w:lineRule="exact"/>
      </w:pPr>
      <w:r>
        <w:rPr>
          <w:rFonts w:hint="eastAsia"/>
        </w:rPr>
        <w:t>13.</w:t>
      </w:r>
      <w:r>
        <w:rPr>
          <w:rFonts w:hint="eastAsia"/>
        </w:rPr>
        <w:tab/>
      </w:r>
      <w:r w:rsidRPr="00EC017A">
        <w:rPr>
          <w:rFonts w:ascii="黑体" w:eastAsia="黑体" w:hAnsi="黑体" w:hint="eastAsia"/>
        </w:rPr>
        <w:t>委员会重申其之前的建议</w:t>
      </w:r>
      <w:r w:rsidR="00A52FC3" w:rsidRPr="00EC017A">
        <w:rPr>
          <w:rFonts w:ascii="黑体" w:eastAsia="黑体" w:hAnsi="黑体" w:hint="eastAsia"/>
        </w:rPr>
        <w:t>(</w:t>
      </w:r>
      <w:r w:rsidRPr="00EC017A">
        <w:rPr>
          <w:rFonts w:ascii="黑体" w:eastAsia="黑体" w:hAnsi="黑体" w:hint="eastAsia"/>
        </w:rPr>
        <w:t>见</w:t>
      </w:r>
      <w:hyperlink r:id="rId23" w:history="1">
        <w:r w:rsidRPr="002C41FF">
          <w:rPr>
            <w:rStyle w:val="ad"/>
            <w:rFonts w:ascii="黑体" w:eastAsia="黑体" w:hAnsi="黑体" w:hint="eastAsia"/>
          </w:rPr>
          <w:t>CEDAW/C/CHE/CO/3</w:t>
        </w:r>
      </w:hyperlink>
      <w:r w:rsidRPr="00EC017A">
        <w:rPr>
          <w:rFonts w:ascii="黑体" w:eastAsia="黑体" w:hAnsi="黑体" w:hint="eastAsia"/>
        </w:rPr>
        <w:t>，第16段</w:t>
      </w:r>
      <w:r w:rsidR="00A52FC3" w:rsidRPr="00EC017A">
        <w:rPr>
          <w:rFonts w:ascii="黑体" w:eastAsia="黑体" w:hAnsi="黑体" w:hint="eastAsia"/>
        </w:rPr>
        <w:t>)</w:t>
      </w:r>
      <w:r w:rsidRPr="00EC017A">
        <w:rPr>
          <w:rFonts w:ascii="黑体" w:eastAsia="黑体" w:hAnsi="黑体" w:hint="eastAsia"/>
        </w:rPr>
        <w:t>，即缔约国应面向司法和法律专业人员以及广大公众开展提高认识运动。委员会还鼓励缔约国就《公约》向司法机构人员、执法官员以及法律专业人士提供系统的培训，以鼓励他们在司法和行政诉讼程序中利用《公约》</w:t>
      </w:r>
      <w:r>
        <w:rPr>
          <w:rFonts w:hint="eastAsia"/>
        </w:rPr>
        <w:t>。</w:t>
      </w:r>
    </w:p>
    <w:p w:rsidR="002A1FD7" w:rsidRPr="00A52FC3" w:rsidRDefault="002A1FD7" w:rsidP="00EC017A">
      <w:pPr>
        <w:pStyle w:val="SingleTxt"/>
        <w:spacing w:after="120" w:line="318" w:lineRule="exact"/>
        <w:rPr>
          <w:rFonts w:ascii="黑体" w:eastAsia="黑体" w:hAnsi="黑体"/>
        </w:rPr>
      </w:pPr>
      <w:r w:rsidRPr="00A52FC3">
        <w:rPr>
          <w:rFonts w:ascii="黑体" w:eastAsia="黑体" w:hAnsi="黑体" w:hint="eastAsia"/>
        </w:rPr>
        <w:t>立法框架</w:t>
      </w:r>
    </w:p>
    <w:p w:rsidR="002A1FD7" w:rsidRDefault="002A1FD7" w:rsidP="00EC017A">
      <w:pPr>
        <w:pStyle w:val="SingleTxt"/>
        <w:spacing w:after="120" w:line="318" w:lineRule="exact"/>
      </w:pPr>
      <w:r>
        <w:rPr>
          <w:rFonts w:hint="eastAsia"/>
        </w:rPr>
        <w:t>14.</w:t>
      </w:r>
      <w:r>
        <w:rPr>
          <w:rFonts w:hint="eastAsia"/>
        </w:rPr>
        <w:tab/>
      </w:r>
      <w:r>
        <w:rPr>
          <w:rFonts w:hint="eastAsia"/>
        </w:rPr>
        <w:t>委员会注意到，作为一个积极方面，联邦法院做出决定，详细分析根据《公约》第二条</w:t>
      </w:r>
      <w:r>
        <w:rPr>
          <w:rFonts w:hint="eastAsia"/>
        </w:rPr>
        <w:t>(a)</w:t>
      </w:r>
      <w:r>
        <w:rPr>
          <w:rFonts w:hint="eastAsia"/>
        </w:rPr>
        <w:t>项以及委员会先前的结论性意见缔约国应履行的义务。但是，委员会感到遗憾的是，法院适用的关于对妇女的歧视和男女平等的定义范围仍然保持不变，“宪法没有授予建立事实上平等的任何权利”。委员会还感到关切的是，尽管新《宪法》第</w:t>
      </w:r>
      <w:r>
        <w:rPr>
          <w:rFonts w:hint="eastAsia"/>
        </w:rPr>
        <w:t>8</w:t>
      </w:r>
      <w:r>
        <w:rPr>
          <w:rFonts w:hint="eastAsia"/>
        </w:rPr>
        <w:t>条规定了平等原则的宽泛定义，它没有得到充分适用。</w:t>
      </w:r>
    </w:p>
    <w:p w:rsidR="002A1FD7" w:rsidRDefault="002A1FD7" w:rsidP="00EC017A">
      <w:pPr>
        <w:pStyle w:val="SingleTxt"/>
        <w:spacing w:after="120" w:line="318" w:lineRule="exact"/>
      </w:pPr>
      <w:r>
        <w:rPr>
          <w:rFonts w:hint="eastAsia"/>
        </w:rPr>
        <w:t>15.</w:t>
      </w:r>
      <w:r>
        <w:rPr>
          <w:rFonts w:hint="eastAsia"/>
        </w:rPr>
        <w:tab/>
      </w:r>
      <w:r w:rsidRPr="00EC017A">
        <w:rPr>
          <w:rFonts w:ascii="黑体" w:eastAsia="黑体" w:hAnsi="黑体" w:hint="eastAsia"/>
          <w:spacing w:val="2"/>
        </w:rPr>
        <w:t>根据缔约国在《公约》下应履行的义务并遵照可持续发展目标的具体目标5.1</w:t>
      </w:r>
      <w:r w:rsidRPr="00EC017A">
        <w:rPr>
          <w:rFonts w:ascii="黑体" w:eastAsia="黑体" w:hAnsi="黑体" w:hint="eastAsia"/>
        </w:rPr>
        <w:t>在全球消除对妇女和女童的一切形式歧视，委员会重申其之前的建议</w:t>
      </w:r>
      <w:r w:rsidR="00A52FC3" w:rsidRPr="00EC017A">
        <w:rPr>
          <w:rFonts w:ascii="黑体" w:eastAsia="黑体" w:hAnsi="黑体" w:hint="eastAsia"/>
        </w:rPr>
        <w:t>(</w:t>
      </w:r>
      <w:r w:rsidRPr="00EC017A">
        <w:rPr>
          <w:rFonts w:ascii="黑体" w:eastAsia="黑体" w:hAnsi="黑体" w:hint="eastAsia"/>
        </w:rPr>
        <w:t>见</w:t>
      </w:r>
      <w:hyperlink r:id="rId24" w:history="1">
        <w:r w:rsidRPr="002C41FF">
          <w:rPr>
            <w:rStyle w:val="ad"/>
            <w:rFonts w:ascii="黑体" w:eastAsia="黑体" w:hAnsi="黑体" w:hint="eastAsia"/>
          </w:rPr>
          <w:t>CEDAW/C/CHE/CO/3</w:t>
        </w:r>
      </w:hyperlink>
      <w:r w:rsidRPr="00EC017A">
        <w:rPr>
          <w:rFonts w:ascii="黑体" w:eastAsia="黑体" w:hAnsi="黑体" w:hint="eastAsia"/>
        </w:rPr>
        <w:t>，第18段</w:t>
      </w:r>
      <w:r w:rsidR="00A52FC3" w:rsidRPr="00EC017A">
        <w:rPr>
          <w:rFonts w:ascii="黑体" w:eastAsia="黑体" w:hAnsi="黑体" w:hint="eastAsia"/>
        </w:rPr>
        <w:t>)</w:t>
      </w:r>
      <w:r w:rsidRPr="00EC017A">
        <w:rPr>
          <w:rFonts w:ascii="黑体" w:eastAsia="黑体" w:hAnsi="黑体" w:hint="eastAsia"/>
        </w:rPr>
        <w:t>，即，缔约国采取措施，确保按照《公约》第一条实施男女平等和不歧视妇女的原则</w:t>
      </w:r>
      <w:r>
        <w:rPr>
          <w:rFonts w:hint="eastAsia"/>
        </w:rPr>
        <w:t>。</w:t>
      </w:r>
    </w:p>
    <w:p w:rsidR="002A1FD7" w:rsidRPr="00A52FC3" w:rsidRDefault="002A1FD7" w:rsidP="00EC017A">
      <w:pPr>
        <w:pStyle w:val="SingleTxt"/>
        <w:spacing w:after="120" w:line="318" w:lineRule="exact"/>
        <w:rPr>
          <w:rFonts w:ascii="黑体" w:eastAsia="黑体" w:hAnsi="黑体"/>
        </w:rPr>
      </w:pPr>
      <w:r w:rsidRPr="00A52FC3">
        <w:rPr>
          <w:rFonts w:ascii="黑体" w:eastAsia="黑体" w:hAnsi="黑体" w:hint="eastAsia"/>
        </w:rPr>
        <w:t>妇女、和平与安全</w:t>
      </w:r>
    </w:p>
    <w:p w:rsidR="002A1FD7" w:rsidRDefault="002A1FD7" w:rsidP="00EC017A">
      <w:pPr>
        <w:pStyle w:val="SingleTxt"/>
        <w:spacing w:after="120" w:line="318" w:lineRule="exact"/>
      </w:pPr>
      <w:r>
        <w:rPr>
          <w:rFonts w:hint="eastAsia"/>
        </w:rPr>
        <w:t>16.</w:t>
      </w:r>
      <w:r>
        <w:rPr>
          <w:rFonts w:hint="eastAsia"/>
        </w:rPr>
        <w:tab/>
      </w:r>
      <w:r>
        <w:rPr>
          <w:rFonts w:hint="eastAsia"/>
        </w:rPr>
        <w:t>委员会欢迎缔约国按照安全理事会第</w:t>
      </w:r>
      <w:hyperlink r:id="rId25" w:history="1">
        <w:r w:rsidRPr="002C41FF">
          <w:rPr>
            <w:rStyle w:val="ad"/>
            <w:rFonts w:hint="eastAsia"/>
          </w:rPr>
          <w:t>1325(2000)</w:t>
        </w:r>
      </w:hyperlink>
      <w:r>
        <w:rPr>
          <w:rFonts w:hint="eastAsia"/>
        </w:rPr>
        <w:t>号决议在民间社会行为体参与的情况下制定《第三个妇女、和平与安全国家行动计划》</w:t>
      </w:r>
      <w:r w:rsidR="00A52FC3">
        <w:rPr>
          <w:rFonts w:hint="eastAsia"/>
        </w:rPr>
        <w:t>(</w:t>
      </w:r>
      <w:r>
        <w:rPr>
          <w:rFonts w:hint="eastAsia"/>
        </w:rPr>
        <w:t>2013-2016</w:t>
      </w:r>
      <w:r>
        <w:rPr>
          <w:rFonts w:hint="eastAsia"/>
        </w:rPr>
        <w:t>年</w:t>
      </w:r>
      <w:r w:rsidR="00A52FC3">
        <w:rPr>
          <w:rFonts w:hint="eastAsia"/>
        </w:rPr>
        <w:t>)</w:t>
      </w:r>
      <w:r>
        <w:rPr>
          <w:rFonts w:hint="eastAsia"/>
        </w:rPr>
        <w:t>，并赞扬缔约国在人道主义和发展行动中发挥重要作用。但是，委员会感到关切的是：</w:t>
      </w:r>
    </w:p>
    <w:p w:rsidR="002A1FD7" w:rsidRDefault="002A1FD7" w:rsidP="00EC017A">
      <w:pPr>
        <w:pStyle w:val="SingleTxt"/>
        <w:spacing w:after="120" w:line="318" w:lineRule="exact"/>
      </w:pPr>
      <w:r>
        <w:rPr>
          <w:rFonts w:hint="eastAsia"/>
        </w:rPr>
        <w:tab/>
        <w:t>(a)</w:t>
      </w:r>
      <w:r>
        <w:rPr>
          <w:rFonts w:hint="eastAsia"/>
        </w:rPr>
        <w:tab/>
      </w:r>
      <w:r>
        <w:rPr>
          <w:rFonts w:hint="eastAsia"/>
        </w:rPr>
        <w:t>妇女参与和纳入和平进程有限；</w:t>
      </w:r>
    </w:p>
    <w:p w:rsidR="002A1FD7" w:rsidRDefault="002A1FD7" w:rsidP="00EC017A">
      <w:pPr>
        <w:pStyle w:val="SingleTxt"/>
        <w:spacing w:after="120" w:line="318" w:lineRule="exact"/>
      </w:pPr>
      <w:r>
        <w:rPr>
          <w:rFonts w:hint="eastAsia"/>
        </w:rPr>
        <w:tab/>
        <w:t>(b)</w:t>
      </w:r>
      <w:r>
        <w:rPr>
          <w:rFonts w:hint="eastAsia"/>
        </w:rPr>
        <w:tab/>
      </w:r>
      <w:r>
        <w:rPr>
          <w:rFonts w:hint="eastAsia"/>
        </w:rPr>
        <w:t>在将性别平等的视角纳入防止暴力极端主义和打击恐怖主义的战略方面努力不足；</w:t>
      </w:r>
    </w:p>
    <w:p w:rsidR="002A1FD7" w:rsidRDefault="002A1FD7" w:rsidP="00EC017A">
      <w:pPr>
        <w:pStyle w:val="SingleTxt"/>
        <w:spacing w:after="120" w:line="318" w:lineRule="exact"/>
      </w:pPr>
      <w:r>
        <w:rPr>
          <w:rFonts w:hint="eastAsia"/>
        </w:rPr>
        <w:tab/>
        <w:t>(c)</w:t>
      </w:r>
      <w:r>
        <w:rPr>
          <w:rFonts w:hint="eastAsia"/>
        </w:rPr>
        <w:tab/>
      </w:r>
      <w:r>
        <w:rPr>
          <w:rFonts w:hint="eastAsia"/>
        </w:rPr>
        <w:t>小武器贸易以及向冲突地带出口枪支弹药对妇女具有负面影响，以及根据《武器贸易条约》规定的义务，武器制造公司对它们制造的武器被用于暴力侵害妇女方面监测不足。</w:t>
      </w:r>
    </w:p>
    <w:p w:rsidR="002A1FD7" w:rsidRDefault="002A1FD7" w:rsidP="00EC017A">
      <w:pPr>
        <w:pStyle w:val="SingleTxt"/>
        <w:spacing w:after="120" w:line="318" w:lineRule="exact"/>
      </w:pPr>
      <w:r>
        <w:rPr>
          <w:rFonts w:hint="eastAsia"/>
        </w:rPr>
        <w:t>17.</w:t>
      </w:r>
      <w:r>
        <w:rPr>
          <w:rFonts w:hint="eastAsia"/>
        </w:rPr>
        <w:tab/>
      </w:r>
      <w:r w:rsidRPr="00EC017A">
        <w:rPr>
          <w:rFonts w:ascii="黑体" w:eastAsia="黑体" w:hAnsi="黑体" w:hint="eastAsia"/>
        </w:rPr>
        <w:t>委员会建议缔约国</w:t>
      </w:r>
      <w:r>
        <w:rPr>
          <w:rFonts w:hint="eastAsia"/>
        </w:rPr>
        <w:t>：</w:t>
      </w:r>
    </w:p>
    <w:p w:rsidR="002A1FD7" w:rsidRDefault="00EC017A" w:rsidP="00EC017A">
      <w:pPr>
        <w:pStyle w:val="SingleTxt"/>
        <w:spacing w:after="120" w:line="318" w:lineRule="exact"/>
      </w:pPr>
      <w:r>
        <w:tab/>
      </w:r>
      <w:r w:rsidR="002A1FD7">
        <w:rPr>
          <w:rFonts w:hint="eastAsia"/>
        </w:rPr>
        <w:t>(a)</w:t>
      </w:r>
      <w:r w:rsidR="002A1FD7">
        <w:rPr>
          <w:rFonts w:hint="eastAsia"/>
        </w:rPr>
        <w:tab/>
      </w:r>
      <w:r w:rsidR="002A1FD7" w:rsidRPr="00EC017A">
        <w:rPr>
          <w:rFonts w:ascii="黑体" w:eastAsia="黑体" w:hAnsi="黑体" w:hint="eastAsia"/>
        </w:rPr>
        <w:t>加大努力，将妇女纳入谈判和调解活动，包括在高级层面上，并在冲突解决进程中向刚刚摆脱冲突的国家提供技术援助，促进妇女在这方面的有效参与</w:t>
      </w:r>
      <w:r w:rsidR="002A1FD7">
        <w:rPr>
          <w:rFonts w:hint="eastAsia"/>
        </w:rPr>
        <w:t>；</w:t>
      </w:r>
    </w:p>
    <w:p w:rsidR="002A1FD7" w:rsidRDefault="00EC017A" w:rsidP="00EC017A">
      <w:pPr>
        <w:pStyle w:val="SingleTxt"/>
        <w:spacing w:after="120" w:line="318" w:lineRule="exact"/>
      </w:pPr>
      <w:r>
        <w:tab/>
      </w:r>
      <w:r w:rsidR="002A1FD7">
        <w:rPr>
          <w:rFonts w:hint="eastAsia"/>
        </w:rPr>
        <w:t>(b)</w:t>
      </w:r>
      <w:r w:rsidR="002A1FD7">
        <w:rPr>
          <w:rFonts w:hint="eastAsia"/>
        </w:rPr>
        <w:tab/>
      </w:r>
      <w:r w:rsidR="002A1FD7" w:rsidRPr="00EC017A">
        <w:rPr>
          <w:rFonts w:ascii="黑体" w:eastAsia="黑体" w:hAnsi="黑体" w:hint="eastAsia"/>
        </w:rPr>
        <w:t>加大努力，将性别平等的视角纳入防止暴力极端主义的战略，并建设妇女和女童包括妇女民间社会群体的能力，以参与努力打击恐怖主义</w:t>
      </w:r>
      <w:r w:rsidR="002A1FD7">
        <w:rPr>
          <w:rFonts w:hint="eastAsia"/>
        </w:rPr>
        <w:t>；</w:t>
      </w:r>
    </w:p>
    <w:p w:rsidR="002A1FD7" w:rsidRPr="00EC017A" w:rsidRDefault="00EC017A" w:rsidP="00EC017A">
      <w:pPr>
        <w:pStyle w:val="SingleTxt"/>
        <w:spacing w:after="120" w:line="318" w:lineRule="exact"/>
        <w:rPr>
          <w:rFonts w:ascii="黑体" w:eastAsia="黑体" w:hAnsi="黑体"/>
        </w:rPr>
      </w:pPr>
      <w:r>
        <w:tab/>
      </w:r>
      <w:r w:rsidR="002A1FD7">
        <w:rPr>
          <w:rFonts w:hint="eastAsia"/>
        </w:rPr>
        <w:t>(c)</w:t>
      </w:r>
      <w:r w:rsidR="002A1FD7">
        <w:rPr>
          <w:rFonts w:hint="eastAsia"/>
        </w:rPr>
        <w:tab/>
      </w:r>
      <w:r w:rsidR="002A1FD7" w:rsidRPr="00EC017A">
        <w:rPr>
          <w:rFonts w:ascii="黑体" w:eastAsia="黑体" w:hAnsi="黑体" w:hint="eastAsia"/>
        </w:rPr>
        <w:t>促进政策和业务活动中的性别平等问题主流化，监测小武器和轻武器滥用及非法贸易对妇女特别是冲突地带妇女的影响，并确保武器制造公司监测和报告它们的武器被用于暴力侵害妇女的情况。</w:t>
      </w:r>
    </w:p>
    <w:p w:rsidR="002A1FD7" w:rsidRPr="00EC017A" w:rsidRDefault="002A1FD7" w:rsidP="00EC017A">
      <w:pPr>
        <w:pStyle w:val="SingleTxt"/>
        <w:spacing w:after="120" w:line="318" w:lineRule="exact"/>
        <w:rPr>
          <w:rFonts w:ascii="黑体" w:eastAsia="黑体" w:hAnsi="黑体"/>
        </w:rPr>
      </w:pPr>
      <w:r w:rsidRPr="00EC017A">
        <w:rPr>
          <w:rFonts w:ascii="黑体" w:eastAsia="黑体" w:hAnsi="黑体" w:hint="eastAsia"/>
        </w:rPr>
        <w:t>提高妇女地位和性别平等主流化的国家机构</w:t>
      </w:r>
    </w:p>
    <w:p w:rsidR="002A1FD7" w:rsidRDefault="002A1FD7" w:rsidP="00EC017A">
      <w:pPr>
        <w:pStyle w:val="SingleTxt"/>
        <w:spacing w:after="120" w:line="318" w:lineRule="exact"/>
      </w:pPr>
      <w:r>
        <w:rPr>
          <w:rFonts w:hint="eastAsia"/>
        </w:rPr>
        <w:t>18.</w:t>
      </w:r>
      <w:r>
        <w:rPr>
          <w:rFonts w:hint="eastAsia"/>
        </w:rPr>
        <w:tab/>
      </w:r>
      <w:r>
        <w:rPr>
          <w:rFonts w:hint="eastAsia"/>
        </w:rPr>
        <w:t>委员会欢迎</w:t>
      </w:r>
      <w:r>
        <w:rPr>
          <w:rFonts w:hint="eastAsia"/>
        </w:rPr>
        <w:t>2011</w:t>
      </w:r>
      <w:r>
        <w:rPr>
          <w:rFonts w:hint="eastAsia"/>
        </w:rPr>
        <w:t>年设立瑞士人权专业知识中心，并注意到缔约国为加强相关体制结构和机制之间合作做出的努力。但是，委员会感到关切的是：</w:t>
      </w:r>
    </w:p>
    <w:p w:rsidR="002A1FD7" w:rsidRDefault="002A1FD7" w:rsidP="002A1FD7">
      <w:pPr>
        <w:pStyle w:val="SingleTxt"/>
      </w:pPr>
      <w:r>
        <w:rPr>
          <w:rFonts w:hint="eastAsia"/>
        </w:rPr>
        <w:tab/>
        <w:t>(a)</w:t>
      </w:r>
      <w:r>
        <w:rPr>
          <w:rFonts w:hint="eastAsia"/>
        </w:rPr>
        <w:tab/>
      </w:r>
      <w:r>
        <w:rPr>
          <w:rFonts w:hint="eastAsia"/>
        </w:rPr>
        <w:t>缺少一个总体的性别平等主流化综合战略，以及联邦委员会决定不实施将性别平等观点纳入预算编制的程序；</w:t>
      </w:r>
    </w:p>
    <w:p w:rsidR="002A1FD7" w:rsidRDefault="002A1FD7" w:rsidP="002A1FD7">
      <w:pPr>
        <w:pStyle w:val="SingleTxt"/>
      </w:pPr>
      <w:r>
        <w:rPr>
          <w:rFonts w:hint="eastAsia"/>
        </w:rPr>
        <w:tab/>
        <w:t>(b)</w:t>
      </w:r>
      <w:r>
        <w:rPr>
          <w:rFonts w:hint="eastAsia"/>
        </w:rPr>
        <w:tab/>
      </w:r>
      <w:r>
        <w:rPr>
          <w:rFonts w:hint="eastAsia"/>
        </w:rPr>
        <w:t>缺少一份全面的国家性别平等战略、政策和行动计划，以解决导致男女不平等长期存在的结构性因素；</w:t>
      </w:r>
    </w:p>
    <w:p w:rsidR="002A1FD7" w:rsidRDefault="002A1FD7" w:rsidP="002A1FD7">
      <w:pPr>
        <w:pStyle w:val="SingleTxt"/>
      </w:pPr>
      <w:r>
        <w:rPr>
          <w:rFonts w:hint="eastAsia"/>
        </w:rPr>
        <w:tab/>
        <w:t>(c)</w:t>
      </w:r>
      <w:r>
        <w:rPr>
          <w:rFonts w:hint="eastAsia"/>
        </w:rPr>
        <w:tab/>
      </w:r>
      <w:r>
        <w:rPr>
          <w:rFonts w:hint="eastAsia"/>
        </w:rPr>
        <w:t>预算考虑对包括联邦男女平等办公室和联邦妇女问题委员会在内的大多数州的男女平等办公室或委员会人力和财政资源的消极影响，以及这些组织缺乏足够的权力和知名度；</w:t>
      </w:r>
    </w:p>
    <w:p w:rsidR="002A1FD7" w:rsidRDefault="00EC017A" w:rsidP="002A1FD7">
      <w:pPr>
        <w:pStyle w:val="SingleTxt"/>
      </w:pPr>
      <w:r>
        <w:tab/>
      </w:r>
      <w:r w:rsidR="002A1FD7">
        <w:rPr>
          <w:rFonts w:hint="eastAsia"/>
        </w:rPr>
        <w:t>(d)</w:t>
      </w:r>
      <w:r w:rsidR="002A1FD7">
        <w:rPr>
          <w:rFonts w:hint="eastAsia"/>
        </w:rPr>
        <w:tab/>
      </w:r>
      <w:r w:rsidR="002A1FD7">
        <w:rPr>
          <w:rFonts w:hint="eastAsia"/>
        </w:rPr>
        <w:t>瑞士人权专业知识中心地位的不确定性，并且缔约国表示，只有一份短期计划将其任务授权延长五年，以及有必要加强中心成员的独立性；</w:t>
      </w:r>
    </w:p>
    <w:p w:rsidR="002A1FD7" w:rsidRDefault="00EC017A" w:rsidP="002A1FD7">
      <w:pPr>
        <w:pStyle w:val="SingleTxt"/>
      </w:pPr>
      <w:r>
        <w:tab/>
      </w:r>
      <w:r w:rsidR="002A1FD7">
        <w:rPr>
          <w:rFonts w:hint="eastAsia"/>
        </w:rPr>
        <w:t>(e)</w:t>
      </w:r>
      <w:r w:rsidR="002A1FD7">
        <w:rPr>
          <w:rFonts w:hint="eastAsia"/>
        </w:rPr>
        <w:tab/>
      </w:r>
      <w:r w:rsidR="002A1FD7" w:rsidRPr="00EC017A">
        <w:rPr>
          <w:rFonts w:hint="eastAsia"/>
          <w:spacing w:val="-4"/>
        </w:rPr>
        <w:t>在确保不带性别色彩的语言适用于缔约国的所有官方语文方面存在不足。</w:t>
      </w:r>
    </w:p>
    <w:p w:rsidR="002A1FD7" w:rsidRDefault="002A1FD7" w:rsidP="00EC017A">
      <w:pPr>
        <w:pStyle w:val="SingleTxt"/>
        <w:spacing w:after="120"/>
      </w:pPr>
      <w:r>
        <w:rPr>
          <w:rFonts w:hint="eastAsia"/>
        </w:rPr>
        <w:t>19.</w:t>
      </w:r>
      <w:r>
        <w:rPr>
          <w:rFonts w:hint="eastAsia"/>
        </w:rPr>
        <w:tab/>
      </w:r>
      <w:r w:rsidRPr="00EC017A">
        <w:rPr>
          <w:rFonts w:ascii="黑体" w:eastAsia="黑体" w:hAnsi="黑体" w:hint="eastAsia"/>
        </w:rPr>
        <w:t>委员会建议缔约国</w:t>
      </w:r>
      <w:r>
        <w:rPr>
          <w:rFonts w:hint="eastAsia"/>
        </w:rPr>
        <w:t>：</w:t>
      </w:r>
    </w:p>
    <w:p w:rsidR="002A1FD7" w:rsidRDefault="00EC017A" w:rsidP="002A1FD7">
      <w:pPr>
        <w:pStyle w:val="SingleTxt"/>
      </w:pPr>
      <w:r>
        <w:tab/>
      </w:r>
      <w:r w:rsidR="002A1FD7">
        <w:rPr>
          <w:rFonts w:hint="eastAsia"/>
        </w:rPr>
        <w:t>(a)</w:t>
      </w:r>
      <w:r w:rsidR="002A1FD7">
        <w:rPr>
          <w:rFonts w:hint="eastAsia"/>
        </w:rPr>
        <w:tab/>
      </w:r>
      <w:r w:rsidR="002A1FD7" w:rsidRPr="00EC017A">
        <w:rPr>
          <w:rFonts w:ascii="黑体" w:eastAsia="黑体" w:hAnsi="黑体" w:hint="eastAsia"/>
        </w:rPr>
        <w:t>重新审议关于性别平等主流化的决定并审查委员会先前提出的建议</w:t>
      </w:r>
      <w:r w:rsidR="00A52FC3" w:rsidRPr="00EC017A">
        <w:rPr>
          <w:rFonts w:ascii="黑体" w:eastAsia="黑体" w:hAnsi="黑体" w:hint="eastAsia"/>
        </w:rPr>
        <w:t>(</w:t>
      </w:r>
      <w:r w:rsidR="002A1FD7" w:rsidRPr="00EC017A">
        <w:rPr>
          <w:rFonts w:ascii="黑体" w:eastAsia="黑体" w:hAnsi="黑体" w:hint="eastAsia"/>
        </w:rPr>
        <w:t>见</w:t>
      </w:r>
      <w:hyperlink r:id="rId26" w:history="1">
        <w:r w:rsidR="002A1FD7" w:rsidRPr="002C41FF">
          <w:rPr>
            <w:rStyle w:val="ad"/>
            <w:rFonts w:ascii="黑体" w:eastAsia="黑体" w:hAnsi="黑体" w:hint="eastAsia"/>
          </w:rPr>
          <w:t>CEDAW/C/CHE/CO/3</w:t>
        </w:r>
      </w:hyperlink>
      <w:r w:rsidR="002A1FD7" w:rsidRPr="00EC017A">
        <w:rPr>
          <w:rFonts w:ascii="黑体" w:eastAsia="黑体" w:hAnsi="黑体" w:hint="eastAsia"/>
        </w:rPr>
        <w:t>，第22段</w:t>
      </w:r>
      <w:r w:rsidR="00A52FC3" w:rsidRPr="00EC017A">
        <w:rPr>
          <w:rFonts w:ascii="黑体" w:eastAsia="黑体" w:hAnsi="黑体" w:hint="eastAsia"/>
        </w:rPr>
        <w:t>)</w:t>
      </w:r>
      <w:r w:rsidR="002A1FD7" w:rsidRPr="00EC017A">
        <w:rPr>
          <w:rFonts w:ascii="黑体" w:eastAsia="黑体" w:hAnsi="黑体" w:hint="eastAsia"/>
        </w:rPr>
        <w:t>，通过一个综合的性别平等主流化战略，包括使用将性别平等观点纳入预算编制的程序，并在政府各部门和各级实施有效的监测和问责机制</w:t>
      </w:r>
      <w:r w:rsidR="002A1FD7">
        <w:rPr>
          <w:rFonts w:hint="eastAsia"/>
        </w:rPr>
        <w:t>；</w:t>
      </w:r>
    </w:p>
    <w:p w:rsidR="002A1FD7" w:rsidRDefault="00EC017A" w:rsidP="002A1FD7">
      <w:pPr>
        <w:pStyle w:val="SingleTxt"/>
      </w:pPr>
      <w:r>
        <w:tab/>
      </w:r>
      <w:r w:rsidR="002A1FD7">
        <w:rPr>
          <w:rFonts w:hint="eastAsia"/>
        </w:rPr>
        <w:t>(b)</w:t>
      </w:r>
      <w:r w:rsidR="002A1FD7">
        <w:rPr>
          <w:rFonts w:hint="eastAsia"/>
        </w:rPr>
        <w:tab/>
      </w:r>
      <w:r w:rsidR="002A1FD7" w:rsidRPr="00EC017A">
        <w:rPr>
          <w:rFonts w:ascii="黑体" w:eastAsia="黑体" w:hAnsi="黑体" w:hint="eastAsia"/>
        </w:rPr>
        <w:t>制定一份全面的国家性别平等战略、政策和行动计划，以解决导致男女不平等长期存在的结构性因素，包括对妇女和女童的交叉形式的歧视</w:t>
      </w:r>
      <w:r w:rsidR="002A1FD7">
        <w:rPr>
          <w:rFonts w:hint="eastAsia"/>
        </w:rPr>
        <w:t>；</w:t>
      </w:r>
    </w:p>
    <w:p w:rsidR="002A1FD7" w:rsidRDefault="00EC017A" w:rsidP="002A1FD7">
      <w:pPr>
        <w:pStyle w:val="SingleTxt"/>
      </w:pPr>
      <w:r>
        <w:tab/>
      </w:r>
      <w:r w:rsidR="002A1FD7">
        <w:rPr>
          <w:rFonts w:hint="eastAsia"/>
        </w:rPr>
        <w:t>(c)</w:t>
      </w:r>
      <w:r w:rsidR="002A1FD7">
        <w:rPr>
          <w:rFonts w:hint="eastAsia"/>
        </w:rPr>
        <w:tab/>
      </w:r>
      <w:r w:rsidR="002A1FD7" w:rsidRPr="00EC017A">
        <w:rPr>
          <w:rFonts w:ascii="黑体" w:eastAsia="黑体" w:hAnsi="黑体" w:hint="eastAsia"/>
        </w:rPr>
        <w:t>加强现有的州一级男女平等办公室和委员会并确保向它们以及联邦男女平等办公室和联邦妇女问题委员会，提供必要的权力、知名度以及人力和财政资源，以有效促进妇女权利，定期评估联邦和州的性别平等政策、计划和方案的执行进度，并评价此类努力的影响</w:t>
      </w:r>
      <w:r w:rsidR="002A1FD7">
        <w:rPr>
          <w:rFonts w:hint="eastAsia"/>
        </w:rPr>
        <w:t>；</w:t>
      </w:r>
    </w:p>
    <w:p w:rsidR="002A1FD7" w:rsidRDefault="00EC017A" w:rsidP="00EC017A">
      <w:pPr>
        <w:pStyle w:val="SingleTxt"/>
        <w:spacing w:after="120"/>
      </w:pPr>
      <w:r>
        <w:tab/>
      </w:r>
      <w:r w:rsidR="002A1FD7">
        <w:rPr>
          <w:rFonts w:hint="eastAsia"/>
        </w:rPr>
        <w:t>(d)</w:t>
      </w:r>
      <w:r w:rsidR="002A1FD7">
        <w:rPr>
          <w:rFonts w:hint="eastAsia"/>
        </w:rPr>
        <w:tab/>
      </w:r>
      <w:r w:rsidR="002A1FD7" w:rsidRPr="00EC017A">
        <w:rPr>
          <w:rFonts w:ascii="黑体" w:eastAsia="黑体" w:hAnsi="黑体" w:hint="eastAsia"/>
        </w:rPr>
        <w:t>加强瑞士人权专业知识中心的任务授权，特别是在性别平等方面，并确保它遵守《关于促进和保护人权的国家机构的地位的原则》</w:t>
      </w:r>
      <w:r w:rsidR="00A52FC3" w:rsidRPr="00EC017A">
        <w:rPr>
          <w:rFonts w:ascii="黑体" w:eastAsia="黑体" w:hAnsi="黑体" w:hint="eastAsia"/>
        </w:rPr>
        <w:t>(</w:t>
      </w:r>
      <w:r w:rsidR="002A1FD7" w:rsidRPr="00EC017A">
        <w:rPr>
          <w:rFonts w:ascii="黑体" w:eastAsia="黑体" w:hAnsi="黑体" w:hint="eastAsia"/>
        </w:rPr>
        <w:t>《巴黎原则》</w:t>
      </w:r>
      <w:r w:rsidR="00A52FC3" w:rsidRPr="00EC017A">
        <w:rPr>
          <w:rFonts w:ascii="黑体" w:eastAsia="黑体" w:hAnsi="黑体" w:hint="eastAsia"/>
        </w:rPr>
        <w:t>)</w:t>
      </w:r>
      <w:r w:rsidR="002A1FD7">
        <w:rPr>
          <w:rFonts w:hint="eastAsia"/>
        </w:rPr>
        <w:t>；</w:t>
      </w:r>
    </w:p>
    <w:p w:rsidR="002A1FD7" w:rsidRPr="00EC017A" w:rsidRDefault="00EC017A" w:rsidP="002A1FD7">
      <w:pPr>
        <w:pStyle w:val="SingleTxt"/>
        <w:rPr>
          <w:rFonts w:ascii="黑体" w:eastAsia="黑体" w:hAnsi="黑体"/>
        </w:rPr>
      </w:pPr>
      <w:r>
        <w:tab/>
      </w:r>
      <w:r w:rsidR="002A1FD7">
        <w:rPr>
          <w:rFonts w:hint="eastAsia"/>
        </w:rPr>
        <w:t>(e)</w:t>
      </w:r>
      <w:r w:rsidR="002A1FD7">
        <w:rPr>
          <w:rFonts w:hint="eastAsia"/>
        </w:rPr>
        <w:tab/>
      </w:r>
      <w:r w:rsidR="002A1FD7" w:rsidRPr="00EC017A">
        <w:rPr>
          <w:rFonts w:ascii="黑体" w:eastAsia="黑体" w:hAnsi="黑体" w:hint="eastAsia"/>
        </w:rPr>
        <w:t>确保不带性别色彩的语言适用于缔约国的所有官方语文。</w:t>
      </w:r>
    </w:p>
    <w:p w:rsidR="002A1FD7" w:rsidRPr="00EC017A" w:rsidRDefault="002A1FD7" w:rsidP="00EC017A">
      <w:pPr>
        <w:pStyle w:val="SingleTxt"/>
        <w:spacing w:after="120"/>
        <w:rPr>
          <w:rFonts w:ascii="黑体" w:eastAsia="黑体" w:hAnsi="黑体"/>
        </w:rPr>
      </w:pPr>
      <w:r w:rsidRPr="00EC017A">
        <w:rPr>
          <w:rFonts w:ascii="黑体" w:eastAsia="黑体" w:hAnsi="黑体" w:hint="eastAsia"/>
        </w:rPr>
        <w:t>暂行特别措施</w:t>
      </w:r>
    </w:p>
    <w:p w:rsidR="002A1FD7" w:rsidRPr="00EC017A" w:rsidRDefault="002A1FD7" w:rsidP="002A1FD7">
      <w:pPr>
        <w:pStyle w:val="SingleTxt"/>
      </w:pPr>
      <w:r>
        <w:rPr>
          <w:rFonts w:hint="eastAsia"/>
        </w:rPr>
        <w:t>20.</w:t>
      </w:r>
      <w:r>
        <w:rPr>
          <w:rFonts w:hint="eastAsia"/>
        </w:rPr>
        <w:tab/>
      </w:r>
      <w:r w:rsidRPr="00EC017A">
        <w:rPr>
          <w:rFonts w:hint="eastAsia"/>
        </w:rPr>
        <w:t>委员会注意到，作为一个积极方面，缔约国采取措施促进实现实质性平等；但是，委员会仍然感到关切的是，妇女在议会外的委员会和其他机构、与联邦联系紧密的公司和机构的主管部门代表不足，并且在高级管理层和决策职位上代表不足。委员会还感到关切的是，学术机构的女教授和各级司法机构的女法官数量较少。</w:t>
      </w:r>
    </w:p>
    <w:p w:rsidR="002A1FD7" w:rsidRPr="00EC017A" w:rsidRDefault="002A1FD7" w:rsidP="002A1FD7">
      <w:pPr>
        <w:pStyle w:val="SingleTxt"/>
        <w:rPr>
          <w:rFonts w:ascii="黑体" w:eastAsia="黑体" w:hAnsi="黑体"/>
        </w:rPr>
      </w:pPr>
      <w:r>
        <w:rPr>
          <w:rFonts w:hint="eastAsia"/>
        </w:rPr>
        <w:t>21.</w:t>
      </w:r>
      <w:r>
        <w:rPr>
          <w:rFonts w:hint="eastAsia"/>
        </w:rPr>
        <w:tab/>
      </w:r>
      <w:r w:rsidRPr="00EC017A">
        <w:rPr>
          <w:rFonts w:ascii="黑体" w:eastAsia="黑体" w:hAnsi="黑体" w:hint="eastAsia"/>
        </w:rPr>
        <w:t>委员会提到关于暂行特别措施的第25</w:t>
      </w:r>
      <w:r w:rsidR="00A52FC3" w:rsidRPr="00EC017A">
        <w:rPr>
          <w:rFonts w:ascii="黑体" w:eastAsia="黑体" w:hAnsi="黑体" w:hint="eastAsia"/>
        </w:rPr>
        <w:t>(</w:t>
      </w:r>
      <w:r w:rsidRPr="00EC017A">
        <w:rPr>
          <w:rFonts w:ascii="黑体" w:eastAsia="黑体" w:hAnsi="黑体" w:hint="eastAsia"/>
        </w:rPr>
        <w:t>2004</w:t>
      </w:r>
      <w:r w:rsidR="00A52FC3" w:rsidRPr="00EC017A">
        <w:rPr>
          <w:rFonts w:ascii="黑体" w:eastAsia="黑体" w:hAnsi="黑体" w:hint="eastAsia"/>
        </w:rPr>
        <w:t>)</w:t>
      </w:r>
      <w:r w:rsidRPr="00EC017A">
        <w:rPr>
          <w:rFonts w:ascii="黑体" w:eastAsia="黑体" w:hAnsi="黑体" w:hint="eastAsia"/>
        </w:rPr>
        <w:t>号一般性建议，重申其之前的建议</w:t>
      </w:r>
      <w:r w:rsidR="00A52FC3" w:rsidRPr="00EC017A">
        <w:rPr>
          <w:rFonts w:ascii="黑体" w:eastAsia="黑体" w:hAnsi="黑体" w:hint="eastAsia"/>
        </w:rPr>
        <w:t>(</w:t>
      </w:r>
      <w:r w:rsidRPr="00EC017A">
        <w:rPr>
          <w:rFonts w:ascii="黑体" w:eastAsia="黑体" w:hAnsi="黑体" w:hint="eastAsia"/>
        </w:rPr>
        <w:t>见</w:t>
      </w:r>
      <w:hyperlink r:id="rId27" w:history="1">
        <w:r w:rsidRPr="002C41FF">
          <w:rPr>
            <w:rStyle w:val="ad"/>
            <w:rFonts w:ascii="黑体" w:eastAsia="黑体" w:hAnsi="黑体" w:hint="eastAsia"/>
          </w:rPr>
          <w:t>CEDAW/C/CHE/CO/3</w:t>
        </w:r>
      </w:hyperlink>
      <w:r w:rsidRPr="00EC017A">
        <w:rPr>
          <w:rFonts w:ascii="黑体" w:eastAsia="黑体" w:hAnsi="黑体" w:hint="eastAsia"/>
        </w:rPr>
        <w:t>，第24段</w:t>
      </w:r>
      <w:r w:rsidR="00A52FC3" w:rsidRPr="00EC017A">
        <w:rPr>
          <w:rFonts w:ascii="黑体" w:eastAsia="黑体" w:hAnsi="黑体" w:hint="eastAsia"/>
        </w:rPr>
        <w:t>)</w:t>
      </w:r>
      <w:r w:rsidRPr="00EC017A">
        <w:rPr>
          <w:rFonts w:ascii="黑体" w:eastAsia="黑体" w:hAnsi="黑体" w:hint="eastAsia"/>
        </w:rPr>
        <w:t>并敦促缔约国进一步通过和实施措施，或者作为暂行特别措施，或者作为永久性措施，旨在实现男女在所有领域的实质性平等，并确保划拨资源和制定激励措施，并在公共部门和私营部门妇女任职人数不足或处于不利地位的领域实施定向征聘和设定限期完成的目标和配额。</w:t>
      </w:r>
    </w:p>
    <w:p w:rsidR="002A1FD7" w:rsidRPr="00EC017A" w:rsidRDefault="002A1FD7" w:rsidP="00EC017A">
      <w:pPr>
        <w:pStyle w:val="SingleTxt"/>
        <w:spacing w:after="120" w:line="318" w:lineRule="exact"/>
        <w:rPr>
          <w:rFonts w:ascii="黑体" w:eastAsia="黑体" w:hAnsi="黑体"/>
        </w:rPr>
      </w:pPr>
      <w:r w:rsidRPr="00EC017A">
        <w:rPr>
          <w:rFonts w:ascii="黑体" w:eastAsia="黑体" w:hAnsi="黑体" w:hint="eastAsia"/>
        </w:rPr>
        <w:t>陈规定型观念</w:t>
      </w:r>
    </w:p>
    <w:p w:rsidR="002A1FD7" w:rsidRDefault="002A1FD7" w:rsidP="00EC017A">
      <w:pPr>
        <w:pStyle w:val="SingleTxt"/>
        <w:spacing w:after="120" w:line="318" w:lineRule="exact"/>
      </w:pPr>
      <w:r>
        <w:rPr>
          <w:rFonts w:hint="eastAsia"/>
        </w:rPr>
        <w:t>22.</w:t>
      </w:r>
      <w:r>
        <w:rPr>
          <w:rFonts w:hint="eastAsia"/>
        </w:rPr>
        <w:tab/>
      </w:r>
      <w:r>
        <w:rPr>
          <w:rFonts w:hint="eastAsia"/>
        </w:rPr>
        <w:t>委员会欢迎缔约国为消除歧视性陈规定型观念所采取的措施，包括在讲法语的州修订教育大纲，并消除针对少数族裔妇女和移徙妇女的歧视性性别陈规定型观念。但是，委员会仍然感到关切的是：</w:t>
      </w:r>
    </w:p>
    <w:p w:rsidR="002A1FD7" w:rsidRDefault="002A1FD7" w:rsidP="00EC017A">
      <w:pPr>
        <w:pStyle w:val="SingleTxt"/>
        <w:spacing w:after="120" w:line="318" w:lineRule="exact"/>
      </w:pPr>
      <w:r>
        <w:rPr>
          <w:rFonts w:hint="eastAsia"/>
        </w:rPr>
        <w:tab/>
        <w:t>(a)</w:t>
      </w:r>
      <w:r>
        <w:rPr>
          <w:rFonts w:hint="eastAsia"/>
        </w:rPr>
        <w:tab/>
      </w:r>
      <w:r>
        <w:rPr>
          <w:rFonts w:hint="eastAsia"/>
        </w:rPr>
        <w:t>关于妇女和男子在家庭和社会中作用和责任的占主导地位的陈规定型观念，以及根深蒂固的重男轻女态度，继续阻碍在促进性别平等方面取得进步；</w:t>
      </w:r>
    </w:p>
    <w:p w:rsidR="002A1FD7" w:rsidRDefault="002A1FD7" w:rsidP="00EC017A">
      <w:pPr>
        <w:pStyle w:val="SingleTxt"/>
        <w:spacing w:after="120" w:line="318" w:lineRule="exact"/>
      </w:pPr>
      <w:r>
        <w:rPr>
          <w:rFonts w:hint="eastAsia"/>
        </w:rPr>
        <w:tab/>
        <w:t>(b)</w:t>
      </w:r>
      <w:r>
        <w:rPr>
          <w:rFonts w:hint="eastAsia"/>
        </w:rPr>
        <w:tab/>
      </w:r>
      <w:r>
        <w:rPr>
          <w:rFonts w:hint="eastAsia"/>
        </w:rPr>
        <w:t>媒体的结构性障碍导致近年来女性媒体专业人士减少，同时，媒体和广告继续塑造妇女的陈规定型和性别化形象；</w:t>
      </w:r>
    </w:p>
    <w:p w:rsidR="002A1FD7" w:rsidRDefault="002A1FD7" w:rsidP="00EC017A">
      <w:pPr>
        <w:pStyle w:val="SingleTxt"/>
        <w:spacing w:after="120" w:line="318" w:lineRule="exact"/>
      </w:pPr>
      <w:r>
        <w:rPr>
          <w:rFonts w:hint="eastAsia"/>
        </w:rPr>
        <w:tab/>
        <w:t>(c)</w:t>
      </w:r>
      <w:r>
        <w:rPr>
          <w:rFonts w:hint="eastAsia"/>
        </w:rPr>
        <w:tab/>
      </w:r>
      <w:r>
        <w:rPr>
          <w:rFonts w:hint="eastAsia"/>
        </w:rPr>
        <w:t>媒体塑造的少数族裔妇女和移徙妇女的陈规定型及负面形象影响了她们融入社会的能力。</w:t>
      </w:r>
    </w:p>
    <w:p w:rsidR="002A1FD7" w:rsidRDefault="002A1FD7" w:rsidP="00EC017A">
      <w:pPr>
        <w:pStyle w:val="SingleTxt"/>
        <w:spacing w:after="120" w:line="318" w:lineRule="exact"/>
      </w:pPr>
      <w:r>
        <w:rPr>
          <w:rFonts w:hint="eastAsia"/>
        </w:rPr>
        <w:t>23.</w:t>
      </w:r>
      <w:r>
        <w:rPr>
          <w:rFonts w:hint="eastAsia"/>
        </w:rPr>
        <w:tab/>
      </w:r>
      <w:r w:rsidRPr="00EC017A">
        <w:rPr>
          <w:rFonts w:ascii="黑体" w:eastAsia="黑体" w:hAnsi="黑体" w:hint="eastAsia"/>
        </w:rPr>
        <w:t>委员会重申其之前的建议</w:t>
      </w:r>
      <w:r w:rsidR="00A52FC3" w:rsidRPr="00EC017A">
        <w:rPr>
          <w:rFonts w:ascii="黑体" w:eastAsia="黑体" w:hAnsi="黑体" w:hint="eastAsia"/>
        </w:rPr>
        <w:t>(</w:t>
      </w:r>
      <w:r w:rsidRPr="00EC017A">
        <w:rPr>
          <w:rFonts w:ascii="黑体" w:eastAsia="黑体" w:hAnsi="黑体" w:hint="eastAsia"/>
        </w:rPr>
        <w:t>见</w:t>
      </w:r>
      <w:hyperlink r:id="rId28" w:history="1">
        <w:r w:rsidRPr="002C41FF">
          <w:rPr>
            <w:rStyle w:val="ad"/>
            <w:rFonts w:ascii="黑体" w:eastAsia="黑体" w:hAnsi="黑体" w:hint="eastAsia"/>
          </w:rPr>
          <w:t>CEDAW/C/CHE/CO/3</w:t>
        </w:r>
      </w:hyperlink>
      <w:r w:rsidRPr="00EC017A">
        <w:rPr>
          <w:rFonts w:ascii="黑体" w:eastAsia="黑体" w:hAnsi="黑体" w:hint="eastAsia"/>
        </w:rPr>
        <w:t>，第26段</w:t>
      </w:r>
      <w:r w:rsidR="00A52FC3" w:rsidRPr="00EC017A">
        <w:rPr>
          <w:rFonts w:ascii="黑体" w:eastAsia="黑体" w:hAnsi="黑体" w:hint="eastAsia"/>
        </w:rPr>
        <w:t>)</w:t>
      </w:r>
      <w:r w:rsidRPr="00EC017A">
        <w:rPr>
          <w:rFonts w:ascii="黑体" w:eastAsia="黑体" w:hAnsi="黑体" w:hint="eastAsia"/>
        </w:rPr>
        <w:t>，建议缔约国</w:t>
      </w:r>
      <w:r>
        <w:rPr>
          <w:rFonts w:hint="eastAsia"/>
        </w:rPr>
        <w:t>：</w:t>
      </w:r>
    </w:p>
    <w:p w:rsidR="002A1FD7" w:rsidRDefault="002A1FD7" w:rsidP="00EC017A">
      <w:pPr>
        <w:pStyle w:val="SingleTxt"/>
        <w:spacing w:after="120" w:line="318" w:lineRule="exact"/>
      </w:pPr>
      <w:r>
        <w:rPr>
          <w:rFonts w:hint="eastAsia"/>
        </w:rPr>
        <w:tab/>
        <w:t>(a)</w:t>
      </w:r>
      <w:r>
        <w:rPr>
          <w:rFonts w:hint="eastAsia"/>
        </w:rPr>
        <w:tab/>
      </w:r>
      <w:r w:rsidRPr="00EC017A">
        <w:rPr>
          <w:rFonts w:ascii="黑体" w:eastAsia="黑体" w:hAnsi="黑体" w:hint="eastAsia"/>
        </w:rPr>
        <w:t>加强努力，消除对妇女和男子在家庭和社会中作用和责任的歧视性陈规定型观念，包括通过针对妇女和男子开展提高认识的活动</w:t>
      </w:r>
      <w:r>
        <w:rPr>
          <w:rFonts w:hint="eastAsia"/>
        </w:rPr>
        <w:t>；</w:t>
      </w:r>
    </w:p>
    <w:p w:rsidR="002A1FD7" w:rsidRDefault="002A1FD7" w:rsidP="00EC017A">
      <w:pPr>
        <w:pStyle w:val="SingleTxt"/>
        <w:spacing w:after="120" w:line="318" w:lineRule="exact"/>
      </w:pPr>
      <w:r>
        <w:rPr>
          <w:rFonts w:hint="eastAsia"/>
        </w:rPr>
        <w:tab/>
        <w:t>(b)</w:t>
      </w:r>
      <w:r>
        <w:rPr>
          <w:rFonts w:hint="eastAsia"/>
        </w:rPr>
        <w:tab/>
      </w:r>
      <w:r w:rsidRPr="00EC017A">
        <w:rPr>
          <w:rFonts w:ascii="黑体" w:eastAsia="黑体" w:hAnsi="黑体" w:hint="eastAsia"/>
        </w:rPr>
        <w:t>为媒体专业人士制定教育战略，包括准则和监测机制，以消除针对妇女的歧视性陈规定型观念，并鼓励媒体报道不带有性别色彩，特别是在选举前夕，采取措施促进妇女和男子在媒体领域的平等代表权，并修订《联邦广播和电视法》，明确提及媒体领域内的平等代表权</w:t>
      </w:r>
      <w:r>
        <w:rPr>
          <w:rFonts w:hint="eastAsia"/>
        </w:rPr>
        <w:t>；</w:t>
      </w:r>
    </w:p>
    <w:p w:rsidR="002A1FD7" w:rsidRPr="00EC017A" w:rsidRDefault="002A1FD7" w:rsidP="00EC017A">
      <w:pPr>
        <w:pStyle w:val="SingleTxt"/>
        <w:spacing w:after="120" w:line="318" w:lineRule="exact"/>
        <w:rPr>
          <w:rFonts w:ascii="黑体" w:eastAsia="黑体" w:hAnsi="黑体"/>
        </w:rPr>
      </w:pPr>
      <w:r>
        <w:rPr>
          <w:rFonts w:hint="eastAsia"/>
        </w:rPr>
        <w:tab/>
        <w:t>(c)</w:t>
      </w:r>
      <w:r>
        <w:rPr>
          <w:rFonts w:hint="eastAsia"/>
        </w:rPr>
        <w:tab/>
      </w:r>
      <w:r w:rsidRPr="00EC017A">
        <w:rPr>
          <w:rFonts w:ascii="黑体" w:eastAsia="黑体" w:hAnsi="黑体" w:hint="eastAsia"/>
        </w:rPr>
        <w:t>针对媒体实施激励措施，以促进少数族裔妇女和移徙妇女的正面形象。</w:t>
      </w:r>
    </w:p>
    <w:p w:rsidR="002A1FD7" w:rsidRPr="00EC017A" w:rsidRDefault="002A1FD7" w:rsidP="00EC017A">
      <w:pPr>
        <w:pStyle w:val="SingleTxt"/>
        <w:spacing w:after="120" w:line="318" w:lineRule="exact"/>
        <w:rPr>
          <w:rFonts w:ascii="黑体" w:eastAsia="黑体" w:hAnsi="黑体"/>
        </w:rPr>
      </w:pPr>
      <w:r w:rsidRPr="00EC017A">
        <w:rPr>
          <w:rFonts w:ascii="黑体" w:eastAsia="黑体" w:hAnsi="黑体" w:hint="eastAsia"/>
        </w:rPr>
        <w:t>有害做法</w:t>
      </w:r>
    </w:p>
    <w:p w:rsidR="002A1FD7" w:rsidRDefault="002A1FD7" w:rsidP="00EC017A">
      <w:pPr>
        <w:pStyle w:val="SingleTxt"/>
        <w:spacing w:after="120" w:line="318" w:lineRule="exact"/>
      </w:pPr>
      <w:r>
        <w:rPr>
          <w:rFonts w:hint="eastAsia"/>
        </w:rPr>
        <w:t>24.</w:t>
      </w:r>
      <w:r>
        <w:rPr>
          <w:rFonts w:hint="eastAsia"/>
        </w:rPr>
        <w:tab/>
      </w:r>
      <w:r>
        <w:rPr>
          <w:rFonts w:hint="eastAsia"/>
        </w:rPr>
        <w:t>委员会欢迎通过了消除有害做法的立法和其他措施，包括残割女性生殖器、残割双性人生殖器、童婚和强迫婚姻。但是，委员会感到关切的是：</w:t>
      </w:r>
    </w:p>
    <w:p w:rsidR="002A1FD7" w:rsidRDefault="00EC017A" w:rsidP="00EC017A">
      <w:pPr>
        <w:pStyle w:val="SingleTxt"/>
        <w:spacing w:after="120" w:line="318" w:lineRule="exact"/>
      </w:pPr>
      <w:r>
        <w:tab/>
      </w:r>
      <w:r w:rsidR="002A1FD7">
        <w:rPr>
          <w:rFonts w:hint="eastAsia"/>
        </w:rPr>
        <w:t>(a)</w:t>
      </w:r>
      <w:r w:rsidR="002A1FD7">
        <w:rPr>
          <w:rFonts w:hint="eastAsia"/>
        </w:rPr>
        <w:tab/>
      </w:r>
      <w:r w:rsidR="002A1FD7">
        <w:rPr>
          <w:rFonts w:hint="eastAsia"/>
        </w:rPr>
        <w:t>缔约国的女童，经常是来自移民家庭的女童，经历过或者面临遭受残割女性生殖器和其他有害做法的风险；</w:t>
      </w:r>
    </w:p>
    <w:p w:rsidR="002A1FD7" w:rsidRDefault="00EC017A" w:rsidP="00EC017A">
      <w:pPr>
        <w:pStyle w:val="SingleTxt"/>
        <w:spacing w:after="120" w:line="318" w:lineRule="exact"/>
      </w:pPr>
      <w:r>
        <w:tab/>
      </w:r>
      <w:r w:rsidR="002A1FD7">
        <w:rPr>
          <w:rFonts w:hint="eastAsia"/>
        </w:rPr>
        <w:t>(b)</w:t>
      </w:r>
      <w:r w:rsidR="002A1FD7">
        <w:rPr>
          <w:rFonts w:hint="eastAsia"/>
        </w:rPr>
        <w:tab/>
      </w:r>
      <w:r w:rsidR="002A1FD7">
        <w:rPr>
          <w:rFonts w:hint="eastAsia"/>
        </w:rPr>
        <w:t>无法获得关于有害做法的信息，特别是对少数族裔妇女和移徙妇女来说，这是因为她们面临语言和文化障碍，尤其缺乏一项消除残割女性生殖器做法的全面国家战略，以及对相关专业人员的培训有限；</w:t>
      </w:r>
    </w:p>
    <w:p w:rsidR="002A1FD7" w:rsidRDefault="00EC017A" w:rsidP="00EC017A">
      <w:pPr>
        <w:pStyle w:val="SingleTxt"/>
        <w:spacing w:after="120" w:line="318" w:lineRule="exact"/>
      </w:pPr>
      <w:r>
        <w:tab/>
      </w:r>
      <w:r w:rsidR="002A1FD7">
        <w:rPr>
          <w:rFonts w:hint="eastAsia"/>
        </w:rPr>
        <w:t>(c)</w:t>
      </w:r>
      <w:r w:rsidR="002A1FD7">
        <w:rPr>
          <w:rFonts w:hint="eastAsia"/>
        </w:rPr>
        <w:tab/>
      </w:r>
      <w:r w:rsidR="002A1FD7">
        <w:rPr>
          <w:rFonts w:hint="eastAsia"/>
        </w:rPr>
        <w:t>对婴儿和儿童时期经历了非自愿和医疗上不必要的毁损外科手术的双性人支助不足，这些手术经常带来不可逆转的后果，导致身体和心理遭受巨大的痛苦；</w:t>
      </w:r>
    </w:p>
    <w:p w:rsidR="002A1FD7" w:rsidRDefault="00EC017A" w:rsidP="00EC017A">
      <w:pPr>
        <w:pStyle w:val="SingleTxt"/>
        <w:spacing w:after="120" w:line="318" w:lineRule="exact"/>
      </w:pPr>
      <w:r>
        <w:tab/>
      </w:r>
      <w:r w:rsidR="002A1FD7">
        <w:rPr>
          <w:rFonts w:hint="eastAsia"/>
        </w:rPr>
        <w:t>(d)</w:t>
      </w:r>
      <w:r w:rsidR="002A1FD7">
        <w:rPr>
          <w:rFonts w:hint="eastAsia"/>
        </w:rPr>
        <w:tab/>
      </w:r>
      <w:r w:rsidR="002A1FD7">
        <w:rPr>
          <w:rFonts w:hint="eastAsia"/>
        </w:rPr>
        <w:t>医疗专业人士、媒体和整个社会对双性儿童的父母施加的压力经常迫使他们同意社会心理指标认为合理的所谓“医疗手术”；双性儿童和成年人实际上经常不知道他们所经历的手术，而受不必要医疗手术影响的双性人获得法律救济的途径极其有限，到双性儿童成年时，经常已经过了诉讼时效；</w:t>
      </w:r>
    </w:p>
    <w:p w:rsidR="002A1FD7" w:rsidRDefault="00EC017A" w:rsidP="00EC017A">
      <w:pPr>
        <w:pStyle w:val="SingleTxt"/>
        <w:spacing w:after="120" w:line="318" w:lineRule="exact"/>
      </w:pPr>
      <w:r>
        <w:tab/>
      </w:r>
      <w:r w:rsidR="002A1FD7">
        <w:rPr>
          <w:rFonts w:hint="eastAsia"/>
        </w:rPr>
        <w:t>(e)</w:t>
      </w:r>
      <w:r w:rsidR="002A1FD7">
        <w:rPr>
          <w:rFonts w:hint="eastAsia"/>
        </w:rPr>
        <w:tab/>
      </w:r>
      <w:r w:rsidR="002A1FD7">
        <w:rPr>
          <w:rFonts w:hint="eastAsia"/>
        </w:rPr>
        <w:t>未将双性人及其家人纳入跨学科工作组，在做出影响其生活的决定时，未能直接咨询受这些手术影响者。</w:t>
      </w:r>
    </w:p>
    <w:p w:rsidR="002A1FD7" w:rsidRDefault="002A1FD7" w:rsidP="00EC017A">
      <w:pPr>
        <w:pStyle w:val="SingleTxt"/>
        <w:spacing w:after="120" w:line="318" w:lineRule="exact"/>
      </w:pPr>
      <w:r>
        <w:rPr>
          <w:rFonts w:hint="eastAsia"/>
        </w:rPr>
        <w:t>25.</w:t>
      </w:r>
      <w:r>
        <w:rPr>
          <w:rFonts w:hint="eastAsia"/>
        </w:rPr>
        <w:tab/>
      </w:r>
      <w:r w:rsidRPr="00EC017A">
        <w:rPr>
          <w:rFonts w:ascii="黑体" w:eastAsia="黑体" w:hAnsi="黑体" w:hint="eastAsia"/>
        </w:rPr>
        <w:t>鉴于消除对妇女歧视委员会关于有害做法的第31号以及儿童权利委员会关于有害做法的第18</w:t>
      </w:r>
      <w:r w:rsidR="00A52FC3" w:rsidRPr="00EC017A">
        <w:rPr>
          <w:rFonts w:ascii="黑体" w:eastAsia="黑体" w:hAnsi="黑体" w:hint="eastAsia"/>
        </w:rPr>
        <w:t>(</w:t>
      </w:r>
      <w:r w:rsidRPr="00EC017A">
        <w:rPr>
          <w:rFonts w:ascii="黑体" w:eastAsia="黑体" w:hAnsi="黑体" w:hint="eastAsia"/>
        </w:rPr>
        <w:t>2014</w:t>
      </w:r>
      <w:r w:rsidR="00A52FC3" w:rsidRPr="00EC017A">
        <w:rPr>
          <w:rFonts w:ascii="黑体" w:eastAsia="黑体" w:hAnsi="黑体" w:hint="eastAsia"/>
        </w:rPr>
        <w:t>)</w:t>
      </w:r>
      <w:r w:rsidRPr="00EC017A">
        <w:rPr>
          <w:rFonts w:ascii="黑体" w:eastAsia="黑体" w:hAnsi="黑体" w:hint="eastAsia"/>
        </w:rPr>
        <w:t>号联合一般性建议，委员会建议缔约国</w:t>
      </w:r>
      <w:r>
        <w:rPr>
          <w:rFonts w:hint="eastAsia"/>
        </w:rPr>
        <w:t>：</w:t>
      </w:r>
    </w:p>
    <w:p w:rsidR="002A1FD7" w:rsidRDefault="00EC017A" w:rsidP="00EC017A">
      <w:pPr>
        <w:pStyle w:val="SingleTxt"/>
        <w:spacing w:after="120" w:line="318" w:lineRule="exact"/>
      </w:pPr>
      <w:r>
        <w:tab/>
      </w:r>
      <w:r w:rsidR="002A1FD7">
        <w:rPr>
          <w:rFonts w:hint="eastAsia"/>
        </w:rPr>
        <w:t>(a)</w:t>
      </w:r>
      <w:r w:rsidR="002A1FD7">
        <w:rPr>
          <w:rFonts w:hint="eastAsia"/>
        </w:rPr>
        <w:tab/>
      </w:r>
      <w:r w:rsidR="002A1FD7" w:rsidRPr="00EC017A">
        <w:rPr>
          <w:rFonts w:ascii="黑体" w:eastAsia="黑体" w:hAnsi="黑体" w:hint="eastAsia"/>
        </w:rPr>
        <w:t>系统性地收集关于缔约国有害做法的分列数据，并继续加强预防和保护性措施，消除残割女性生殖器、童婚和强迫婚姻现象</w:t>
      </w:r>
      <w:r w:rsidR="002A1FD7">
        <w:rPr>
          <w:rFonts w:hint="eastAsia"/>
        </w:rPr>
        <w:t>；</w:t>
      </w:r>
    </w:p>
    <w:p w:rsidR="002A1FD7" w:rsidRDefault="00EC017A" w:rsidP="00EC017A">
      <w:pPr>
        <w:pStyle w:val="SingleTxt"/>
        <w:spacing w:after="120" w:line="318" w:lineRule="exact"/>
      </w:pPr>
      <w:r>
        <w:tab/>
      </w:r>
      <w:r w:rsidR="002A1FD7">
        <w:rPr>
          <w:rFonts w:hint="eastAsia"/>
        </w:rPr>
        <w:t>(b)</w:t>
      </w:r>
      <w:r w:rsidR="002A1FD7">
        <w:rPr>
          <w:rFonts w:hint="eastAsia"/>
        </w:rPr>
        <w:tab/>
      </w:r>
      <w:r w:rsidR="002A1FD7" w:rsidRPr="00EC017A">
        <w:rPr>
          <w:rFonts w:ascii="黑体" w:eastAsia="黑体" w:hAnsi="黑体" w:hint="eastAsia"/>
        </w:rPr>
        <w:t>开展提高认识运动，确保残割女性生殖器的受害者能够随时获得可利用的信息，并确保对相关专业人士进行充分培训，以查明可能的受害者并将犯罪人绳之以法</w:t>
      </w:r>
      <w:r w:rsidR="002A1FD7">
        <w:rPr>
          <w:rFonts w:hint="eastAsia"/>
        </w:rPr>
        <w:t>；</w:t>
      </w:r>
    </w:p>
    <w:p w:rsidR="002A1FD7" w:rsidRDefault="00EC017A" w:rsidP="00EC017A">
      <w:pPr>
        <w:pStyle w:val="SingleTxt"/>
        <w:spacing w:after="120" w:line="318" w:lineRule="exact"/>
      </w:pPr>
      <w:r>
        <w:tab/>
      </w:r>
      <w:r w:rsidR="002A1FD7">
        <w:rPr>
          <w:rFonts w:hint="eastAsia"/>
        </w:rPr>
        <w:t>(c)</w:t>
      </w:r>
      <w:r w:rsidR="002A1FD7">
        <w:rPr>
          <w:rFonts w:hint="eastAsia"/>
        </w:rPr>
        <w:tab/>
      </w:r>
      <w:r w:rsidR="002A1FD7" w:rsidRPr="00EC017A">
        <w:rPr>
          <w:rFonts w:ascii="黑体" w:eastAsia="黑体" w:hAnsi="黑体" w:hint="eastAsia"/>
        </w:rPr>
        <w:t>根据瑞士生物医学伦理国家咨询委员会的建议，确保任何儿童都不会在婴儿或儿童期遭受不必要的医疗或外科手术，通过立法，以保护双性人的身体完整性、自主权和自决权，并为双性儿童家庭提供充分的咨询和支助</w:t>
      </w:r>
      <w:r w:rsidR="002A1FD7">
        <w:rPr>
          <w:rFonts w:hint="eastAsia"/>
        </w:rPr>
        <w:t>；</w:t>
      </w:r>
    </w:p>
    <w:p w:rsidR="002A1FD7" w:rsidRDefault="00EC017A" w:rsidP="00EC017A">
      <w:pPr>
        <w:pStyle w:val="SingleTxt"/>
        <w:spacing w:after="120" w:line="318" w:lineRule="exact"/>
      </w:pPr>
      <w:r>
        <w:tab/>
      </w:r>
      <w:r w:rsidR="002A1FD7">
        <w:rPr>
          <w:rFonts w:hint="eastAsia"/>
        </w:rPr>
        <w:t>(d)</w:t>
      </w:r>
      <w:r w:rsidR="002A1FD7">
        <w:rPr>
          <w:rFonts w:hint="eastAsia"/>
        </w:rPr>
        <w:tab/>
      </w:r>
      <w:r w:rsidR="002A1FD7" w:rsidRPr="00EC017A">
        <w:rPr>
          <w:rFonts w:ascii="黑体" w:eastAsia="黑体" w:hAnsi="黑体" w:hint="eastAsia"/>
        </w:rPr>
        <w:t>在法院的指导下，通过立法条款，向未经其父母自由、事先和知情同意而受到手术或其他医疗案件影响的双性人提供补救</w:t>
      </w:r>
      <w:r w:rsidR="002A1FD7">
        <w:rPr>
          <w:rFonts w:hint="eastAsia"/>
        </w:rPr>
        <w:t>；</w:t>
      </w:r>
    </w:p>
    <w:p w:rsidR="002A1FD7" w:rsidRPr="00EC017A" w:rsidRDefault="00EC017A" w:rsidP="00EC017A">
      <w:pPr>
        <w:pStyle w:val="SingleTxt"/>
        <w:spacing w:after="120" w:line="318" w:lineRule="exact"/>
        <w:rPr>
          <w:rFonts w:ascii="黑体" w:eastAsia="黑体" w:hAnsi="黑体"/>
        </w:rPr>
      </w:pPr>
      <w:r>
        <w:tab/>
      </w:r>
      <w:r w:rsidR="002A1FD7">
        <w:rPr>
          <w:rFonts w:hint="eastAsia"/>
        </w:rPr>
        <w:t>(e)</w:t>
      </w:r>
      <w:r w:rsidR="002A1FD7">
        <w:rPr>
          <w:rFonts w:hint="eastAsia"/>
        </w:rPr>
        <w:tab/>
      </w:r>
      <w:r w:rsidR="002A1FD7" w:rsidRPr="00EC017A">
        <w:rPr>
          <w:rFonts w:ascii="黑体" w:eastAsia="黑体" w:hAnsi="黑体" w:hint="eastAsia"/>
        </w:rPr>
        <w:t>向医疗专业人员提供关于不必要手术或其他医疗干预对双性儿童有害影响的教育和培训，确保为审查这些手术而设立的跨学科工作组充分考虑到双性人的意见。</w:t>
      </w:r>
    </w:p>
    <w:p w:rsidR="002A1FD7" w:rsidRPr="00EC017A" w:rsidRDefault="002A1FD7" w:rsidP="00EC017A">
      <w:pPr>
        <w:pStyle w:val="SingleTxt"/>
        <w:spacing w:after="120" w:line="318" w:lineRule="exact"/>
        <w:rPr>
          <w:rFonts w:ascii="黑体" w:eastAsia="黑体" w:hAnsi="黑体"/>
        </w:rPr>
      </w:pPr>
      <w:r w:rsidRPr="00EC017A">
        <w:rPr>
          <w:rFonts w:ascii="黑体" w:eastAsia="黑体" w:hAnsi="黑体" w:hint="eastAsia"/>
        </w:rPr>
        <w:t>对妇女的性别暴力行为</w:t>
      </w:r>
    </w:p>
    <w:p w:rsidR="002A1FD7" w:rsidRDefault="002A1FD7" w:rsidP="00EC017A">
      <w:pPr>
        <w:pStyle w:val="SingleTxt"/>
        <w:spacing w:after="120" w:line="318" w:lineRule="exact"/>
      </w:pPr>
      <w:r>
        <w:rPr>
          <w:rFonts w:hint="eastAsia"/>
        </w:rPr>
        <w:t>26.</w:t>
      </w:r>
      <w:r>
        <w:rPr>
          <w:rFonts w:hint="eastAsia"/>
        </w:rPr>
        <w:tab/>
      </w:r>
      <w:r>
        <w:rPr>
          <w:rFonts w:hint="eastAsia"/>
        </w:rPr>
        <w:t>委员会赞扬缔约国努力解决性别暴力，但是仍然感到关切的是：</w:t>
      </w:r>
    </w:p>
    <w:p w:rsidR="002A1FD7" w:rsidRDefault="002A1FD7" w:rsidP="00EC017A">
      <w:pPr>
        <w:pStyle w:val="SingleTxt"/>
        <w:spacing w:after="120" w:line="318" w:lineRule="exact"/>
      </w:pPr>
      <w:r>
        <w:rPr>
          <w:rFonts w:hint="eastAsia"/>
        </w:rPr>
        <w:tab/>
        <w:t>(a)</w:t>
      </w:r>
      <w:r>
        <w:rPr>
          <w:rFonts w:hint="eastAsia"/>
        </w:rPr>
        <w:tab/>
      </w:r>
      <w:r>
        <w:rPr>
          <w:rFonts w:hint="eastAsia"/>
        </w:rPr>
        <w:t>性别暴力侵害妇女行为的高发率，包括家庭暴力和盯梢骚扰，正如缔约国提供的统计数据所证明的</w:t>
      </w:r>
      <w:r w:rsidR="00A52FC3">
        <w:rPr>
          <w:rFonts w:hint="eastAsia"/>
        </w:rPr>
        <w:t>(</w:t>
      </w:r>
      <w:r>
        <w:rPr>
          <w:rFonts w:hint="eastAsia"/>
        </w:rPr>
        <w:t>2011</w:t>
      </w:r>
      <w:r>
        <w:rPr>
          <w:rFonts w:hint="eastAsia"/>
        </w:rPr>
        <w:t>年对妇女的侵害有</w:t>
      </w:r>
      <w:r>
        <w:rPr>
          <w:rFonts w:hint="eastAsia"/>
        </w:rPr>
        <w:t>3 173</w:t>
      </w:r>
      <w:r>
        <w:rPr>
          <w:rFonts w:hint="eastAsia"/>
        </w:rPr>
        <w:t>起，相比之下，对男性的侵害为</w:t>
      </w:r>
      <w:r>
        <w:rPr>
          <w:rFonts w:hint="eastAsia"/>
        </w:rPr>
        <w:t>948</w:t>
      </w:r>
      <w:r>
        <w:rPr>
          <w:rFonts w:hint="eastAsia"/>
        </w:rPr>
        <w:t>起</w:t>
      </w:r>
      <w:r w:rsidR="00A52FC3">
        <w:rPr>
          <w:rFonts w:hint="eastAsia"/>
        </w:rPr>
        <w:t>)</w:t>
      </w:r>
      <w:r>
        <w:rPr>
          <w:rFonts w:hint="eastAsia"/>
        </w:rPr>
        <w:t>；</w:t>
      </w:r>
    </w:p>
    <w:p w:rsidR="002A1FD7" w:rsidRDefault="002A1FD7" w:rsidP="00EC017A">
      <w:pPr>
        <w:pStyle w:val="SingleTxt"/>
        <w:spacing w:after="120" w:line="318" w:lineRule="exact"/>
      </w:pPr>
      <w:r>
        <w:rPr>
          <w:rFonts w:hint="eastAsia"/>
        </w:rPr>
        <w:tab/>
        <w:t>(b)</w:t>
      </w:r>
      <w:r>
        <w:rPr>
          <w:rFonts w:hint="eastAsia"/>
        </w:rPr>
        <w:tab/>
      </w:r>
      <w:r>
        <w:rPr>
          <w:rFonts w:hint="eastAsia"/>
        </w:rPr>
        <w:t>向警察报告基于性别的暴力案件不足，起诉率和定罪率低，导致犯罪者有罪不罚；</w:t>
      </w:r>
    </w:p>
    <w:p w:rsidR="002A1FD7" w:rsidRDefault="002A1FD7" w:rsidP="00EC017A">
      <w:pPr>
        <w:pStyle w:val="SingleTxt"/>
        <w:spacing w:after="120" w:line="318" w:lineRule="exact"/>
      </w:pPr>
      <w:r>
        <w:rPr>
          <w:rFonts w:hint="eastAsia"/>
        </w:rPr>
        <w:tab/>
        <w:t>(c)</w:t>
      </w:r>
      <w:r>
        <w:rPr>
          <w:rFonts w:hint="eastAsia"/>
        </w:rPr>
        <w:tab/>
      </w:r>
      <w:r>
        <w:rPr>
          <w:rFonts w:hint="eastAsia"/>
        </w:rPr>
        <w:t>缺乏一项消除暴力侵害妇女行为的国家行动计划以及各州在解决这一问题方面存在差距；</w:t>
      </w:r>
    </w:p>
    <w:p w:rsidR="002A1FD7" w:rsidRDefault="002A1FD7" w:rsidP="00EC017A">
      <w:pPr>
        <w:pStyle w:val="SingleTxt"/>
        <w:spacing w:after="120" w:line="318" w:lineRule="exact"/>
      </w:pPr>
      <w:r>
        <w:rPr>
          <w:rFonts w:hint="eastAsia"/>
        </w:rPr>
        <w:tab/>
        <w:t>(d)</w:t>
      </w:r>
      <w:r>
        <w:rPr>
          <w:rFonts w:hint="eastAsia"/>
        </w:rPr>
        <w:tab/>
      </w:r>
      <w:r>
        <w:rPr>
          <w:rFonts w:hint="eastAsia"/>
        </w:rPr>
        <w:t>向受害者提供具体支助服务的可利用的庇护所数量不足，受害者能够获得这些服务的时间期限有限；各州之间在资助和管理庇护所方面存在差距，以及缺乏对向受害者提供援助的非政府组织的支助；妇女离开庇护所后，在支付日常生活开支、儿童护理等方面缺乏可利用的支助；</w:t>
      </w:r>
    </w:p>
    <w:p w:rsidR="002A1FD7" w:rsidRDefault="002A1FD7" w:rsidP="00EC017A">
      <w:pPr>
        <w:pStyle w:val="SingleTxt"/>
        <w:spacing w:after="120" w:line="318" w:lineRule="exact"/>
      </w:pPr>
      <w:r>
        <w:rPr>
          <w:rFonts w:hint="eastAsia"/>
        </w:rPr>
        <w:tab/>
        <w:t>(e)</w:t>
      </w:r>
      <w:r>
        <w:rPr>
          <w:rFonts w:hint="eastAsia"/>
        </w:rPr>
        <w:tab/>
      </w:r>
      <w:r>
        <w:rPr>
          <w:rFonts w:hint="eastAsia"/>
        </w:rPr>
        <w:t>缔约国延迟批准</w:t>
      </w:r>
      <w:r>
        <w:rPr>
          <w:rFonts w:hint="eastAsia"/>
        </w:rPr>
        <w:t>2013</w:t>
      </w:r>
      <w:r>
        <w:rPr>
          <w:rFonts w:hint="eastAsia"/>
        </w:rPr>
        <w:t>年签署的《欧洲委员会防止和打击暴力侵害妇女行为及家庭暴力公约》</w:t>
      </w:r>
      <w:r w:rsidR="00A52FC3">
        <w:rPr>
          <w:rFonts w:hint="eastAsia"/>
        </w:rPr>
        <w:t>(</w:t>
      </w:r>
      <w:r>
        <w:rPr>
          <w:rFonts w:hint="eastAsia"/>
        </w:rPr>
        <w:t>《伊斯坦布尔公约》</w:t>
      </w:r>
      <w:r w:rsidR="00A52FC3">
        <w:rPr>
          <w:rFonts w:hint="eastAsia"/>
        </w:rPr>
        <w:t>)</w:t>
      </w:r>
      <w:r>
        <w:rPr>
          <w:rFonts w:hint="eastAsia"/>
        </w:rPr>
        <w:t>；</w:t>
      </w:r>
    </w:p>
    <w:p w:rsidR="002A1FD7" w:rsidRDefault="002A1FD7" w:rsidP="002A1FD7">
      <w:pPr>
        <w:pStyle w:val="SingleTxt"/>
      </w:pPr>
      <w:r>
        <w:rPr>
          <w:rFonts w:hint="eastAsia"/>
        </w:rPr>
        <w:tab/>
        <w:t>(f)</w:t>
      </w:r>
      <w:r>
        <w:rPr>
          <w:rFonts w:hint="eastAsia"/>
        </w:rPr>
        <w:tab/>
      </w:r>
      <w:r>
        <w:rPr>
          <w:rFonts w:hint="eastAsia"/>
        </w:rPr>
        <w:t>缔约国男性私人拥有无管制的武器对妇女和女童生活具有不利影响。</w:t>
      </w:r>
    </w:p>
    <w:p w:rsidR="002A1FD7" w:rsidRDefault="002A1FD7" w:rsidP="002A1FD7">
      <w:pPr>
        <w:pStyle w:val="SingleTxt"/>
      </w:pPr>
      <w:r>
        <w:rPr>
          <w:rFonts w:hint="eastAsia"/>
        </w:rPr>
        <w:t>27.</w:t>
      </w:r>
      <w:r>
        <w:rPr>
          <w:rFonts w:hint="eastAsia"/>
        </w:rPr>
        <w:tab/>
      </w:r>
      <w:r w:rsidRPr="00EC017A">
        <w:rPr>
          <w:rFonts w:ascii="黑体" w:eastAsia="黑体" w:hAnsi="黑体" w:hint="eastAsia"/>
        </w:rPr>
        <w:t>委员会回顾关于暴力侵害妇女行为的第19</w:t>
      </w:r>
      <w:r w:rsidR="00A52FC3" w:rsidRPr="00EC017A">
        <w:rPr>
          <w:rFonts w:ascii="黑体" w:eastAsia="黑体" w:hAnsi="黑体" w:hint="eastAsia"/>
        </w:rPr>
        <w:t>(</w:t>
      </w:r>
      <w:r w:rsidRPr="00EC017A">
        <w:rPr>
          <w:rFonts w:ascii="黑体" w:eastAsia="黑体" w:hAnsi="黑体" w:hint="eastAsia"/>
        </w:rPr>
        <w:t>1992</w:t>
      </w:r>
      <w:r w:rsidR="00A52FC3" w:rsidRPr="00EC017A">
        <w:rPr>
          <w:rFonts w:ascii="黑体" w:eastAsia="黑体" w:hAnsi="黑体" w:hint="eastAsia"/>
        </w:rPr>
        <w:t>)</w:t>
      </w:r>
      <w:r w:rsidRPr="00EC017A">
        <w:rPr>
          <w:rFonts w:ascii="黑体" w:eastAsia="黑体" w:hAnsi="黑体" w:hint="eastAsia"/>
        </w:rPr>
        <w:t>号一般性建议并重申其先前向缔约国提出的建议</w:t>
      </w:r>
      <w:r>
        <w:rPr>
          <w:rFonts w:hint="eastAsia"/>
        </w:rPr>
        <w:t>：</w:t>
      </w:r>
    </w:p>
    <w:p w:rsidR="002A1FD7" w:rsidRDefault="002A1FD7" w:rsidP="002A1FD7">
      <w:pPr>
        <w:pStyle w:val="SingleTxt"/>
      </w:pPr>
      <w:r>
        <w:rPr>
          <w:rFonts w:hint="eastAsia"/>
        </w:rPr>
        <w:tab/>
        <w:t>(a)</w:t>
      </w:r>
      <w:r>
        <w:rPr>
          <w:rFonts w:hint="eastAsia"/>
        </w:rPr>
        <w:tab/>
      </w:r>
      <w:r w:rsidRPr="00EC017A">
        <w:rPr>
          <w:rFonts w:ascii="黑体" w:eastAsia="黑体" w:hAnsi="黑体" w:hint="eastAsia"/>
        </w:rPr>
        <w:t>加紧努力，打击一切形式的性别暴力侵害妇女行为，包括家庭暴力和性暴力，特别关注少数族裔妇女，并颁布新的立法，以防止盯梢</w:t>
      </w:r>
      <w:r>
        <w:rPr>
          <w:rFonts w:hint="eastAsia"/>
        </w:rPr>
        <w:t>；</w:t>
      </w:r>
    </w:p>
    <w:p w:rsidR="002A1FD7" w:rsidRDefault="002A1FD7" w:rsidP="002A1FD7">
      <w:pPr>
        <w:pStyle w:val="SingleTxt"/>
      </w:pPr>
      <w:r>
        <w:rPr>
          <w:rFonts w:hint="eastAsia"/>
        </w:rPr>
        <w:tab/>
        <w:t>(b)</w:t>
      </w:r>
      <w:r>
        <w:rPr>
          <w:rFonts w:hint="eastAsia"/>
        </w:rPr>
        <w:tab/>
      </w:r>
      <w:r w:rsidRPr="00EC017A">
        <w:rPr>
          <w:rFonts w:ascii="黑体" w:eastAsia="黑体" w:hAnsi="黑体" w:hint="eastAsia"/>
        </w:rPr>
        <w:t>增加妇女对性别暴力包括家庭暴力事件的报告，为法官、检察官、警官和其他执法官员提供关于严格实施暴力侵害妇女行为有关刑法条款的能力建设方案，提高他们对少数族裔妇女和移徙妇女文化背景的认识，提高公众对此类行为刑事犯罪性质的认识，并确保有效调查所有暴力侵害妇女行为的案件以及起诉犯罪者</w:t>
      </w:r>
      <w:r>
        <w:rPr>
          <w:rFonts w:hint="eastAsia"/>
        </w:rPr>
        <w:t>；</w:t>
      </w:r>
    </w:p>
    <w:p w:rsidR="002A1FD7" w:rsidRDefault="002A1FD7" w:rsidP="002A1FD7">
      <w:pPr>
        <w:pStyle w:val="SingleTxt"/>
      </w:pPr>
      <w:r>
        <w:rPr>
          <w:rFonts w:hint="eastAsia"/>
        </w:rPr>
        <w:tab/>
        <w:t>(c)</w:t>
      </w:r>
      <w:r>
        <w:rPr>
          <w:rFonts w:hint="eastAsia"/>
        </w:rPr>
        <w:tab/>
      </w:r>
      <w:r w:rsidRPr="00EC017A">
        <w:rPr>
          <w:rFonts w:ascii="黑体" w:eastAsia="黑体" w:hAnsi="黑体" w:hint="eastAsia"/>
        </w:rPr>
        <w:t>与民间社会组织进行磋商，加速通过一项国家行动计划</w:t>
      </w:r>
      <w:r w:rsidR="00A52FC3" w:rsidRPr="00EC017A">
        <w:rPr>
          <w:rFonts w:ascii="黑体" w:eastAsia="黑体" w:hAnsi="黑体" w:hint="eastAsia"/>
        </w:rPr>
        <w:t>，</w:t>
      </w:r>
      <w:r w:rsidRPr="00EC017A">
        <w:rPr>
          <w:rFonts w:ascii="黑体" w:eastAsia="黑体" w:hAnsi="黑体" w:hint="eastAsia"/>
        </w:rPr>
        <w:t>以消除性别暴力侵害妇女行为并确保为该计划的执行、监测和评估划拨充足的人力、技术和财政资源</w:t>
      </w:r>
      <w:r>
        <w:rPr>
          <w:rFonts w:hint="eastAsia"/>
        </w:rPr>
        <w:t>；</w:t>
      </w:r>
    </w:p>
    <w:p w:rsidR="002A1FD7" w:rsidRDefault="002A1FD7" w:rsidP="002A1FD7">
      <w:pPr>
        <w:pStyle w:val="SingleTxt"/>
      </w:pPr>
      <w:r>
        <w:rPr>
          <w:rFonts w:hint="eastAsia"/>
        </w:rPr>
        <w:tab/>
        <w:t>(d)</w:t>
      </w:r>
      <w:r>
        <w:rPr>
          <w:rFonts w:hint="eastAsia"/>
        </w:rPr>
        <w:tab/>
      </w:r>
      <w:r w:rsidRPr="00EC017A">
        <w:rPr>
          <w:rFonts w:ascii="黑体" w:eastAsia="黑体" w:hAnsi="黑体" w:hint="eastAsia"/>
        </w:rPr>
        <w:t>加强为性别暴力行为受害者妇女提供的服务，包括建立更多庇护所，以确保各州都有充足的以受害者为中心的服务，并确保社会心理康复和重新融入方案的可获得性</w:t>
      </w:r>
      <w:r>
        <w:rPr>
          <w:rFonts w:hint="eastAsia"/>
        </w:rPr>
        <w:t>；</w:t>
      </w:r>
    </w:p>
    <w:p w:rsidR="002A1FD7" w:rsidRDefault="002A1FD7" w:rsidP="002A1FD7">
      <w:pPr>
        <w:pStyle w:val="SingleTxt"/>
      </w:pPr>
      <w:r>
        <w:rPr>
          <w:rFonts w:hint="eastAsia"/>
        </w:rPr>
        <w:tab/>
        <w:t>(e)</w:t>
      </w:r>
      <w:r>
        <w:rPr>
          <w:rFonts w:hint="eastAsia"/>
        </w:rPr>
        <w:tab/>
      </w:r>
      <w:r w:rsidRPr="00EC017A">
        <w:rPr>
          <w:rFonts w:ascii="黑体" w:eastAsia="黑体" w:hAnsi="黑体" w:hint="eastAsia"/>
        </w:rPr>
        <w:t>作为一项优先重点事项，采取措施批准《伊斯坦布尔公约》</w:t>
      </w:r>
      <w:r>
        <w:rPr>
          <w:rFonts w:hint="eastAsia"/>
        </w:rPr>
        <w:t>；</w:t>
      </w:r>
    </w:p>
    <w:p w:rsidR="002A1FD7" w:rsidRPr="00EC017A" w:rsidRDefault="002A1FD7" w:rsidP="002A1FD7">
      <w:pPr>
        <w:pStyle w:val="SingleTxt"/>
        <w:rPr>
          <w:rFonts w:ascii="黑体" w:eastAsia="黑体" w:hAnsi="黑体"/>
        </w:rPr>
      </w:pPr>
      <w:r>
        <w:rPr>
          <w:rFonts w:hint="eastAsia"/>
        </w:rPr>
        <w:tab/>
        <w:t>(f)</w:t>
      </w:r>
      <w:r>
        <w:rPr>
          <w:rFonts w:hint="eastAsia"/>
        </w:rPr>
        <w:tab/>
      </w:r>
      <w:r w:rsidRPr="00EC017A">
        <w:rPr>
          <w:rFonts w:ascii="黑体" w:eastAsia="黑体" w:hAnsi="黑体" w:hint="eastAsia"/>
        </w:rPr>
        <w:t>由科学专家以及妇女非政府组织的代表开展独立研究，分析缔约国男性拥有不受管制的武器与对暴力侵害妇女和女童行为的影响之间的联系。</w:t>
      </w:r>
    </w:p>
    <w:p w:rsidR="002A1FD7" w:rsidRPr="00EC017A" w:rsidRDefault="002A1FD7" w:rsidP="002A1FD7">
      <w:pPr>
        <w:pStyle w:val="SingleTxt"/>
        <w:rPr>
          <w:rFonts w:ascii="黑体" w:eastAsia="黑体" w:hAnsi="黑体"/>
        </w:rPr>
      </w:pPr>
      <w:r w:rsidRPr="00EC017A">
        <w:rPr>
          <w:rFonts w:ascii="黑体" w:eastAsia="黑体" w:hAnsi="黑体" w:hint="eastAsia"/>
        </w:rPr>
        <w:t>贩运人口和利用妇女卖淫营利</w:t>
      </w:r>
    </w:p>
    <w:p w:rsidR="002A1FD7" w:rsidRDefault="002A1FD7" w:rsidP="002A1FD7">
      <w:pPr>
        <w:pStyle w:val="SingleTxt"/>
      </w:pPr>
      <w:r>
        <w:rPr>
          <w:rFonts w:hint="eastAsia"/>
        </w:rPr>
        <w:t>28.</w:t>
      </w:r>
      <w:r>
        <w:rPr>
          <w:rFonts w:hint="eastAsia"/>
        </w:rPr>
        <w:tab/>
      </w:r>
      <w:r>
        <w:rPr>
          <w:rFonts w:hint="eastAsia"/>
        </w:rPr>
        <w:t>委员会欢迎缔约国为打击贩运采取的步骤，但是对以下情况表示关切：</w:t>
      </w:r>
    </w:p>
    <w:p w:rsidR="002A1FD7" w:rsidRDefault="002A1FD7" w:rsidP="002A1FD7">
      <w:pPr>
        <w:pStyle w:val="SingleTxt"/>
      </w:pPr>
      <w:r>
        <w:rPr>
          <w:rFonts w:hint="eastAsia"/>
        </w:rPr>
        <w:tab/>
        <w:t>(a)</w:t>
      </w:r>
      <w:r>
        <w:rPr>
          <w:rFonts w:hint="eastAsia"/>
        </w:rPr>
        <w:tab/>
      </w:r>
      <w:r>
        <w:rPr>
          <w:rFonts w:hint="eastAsia"/>
        </w:rPr>
        <w:t>贩运妇女和女童案件的起诉率和定罪率偏低，并缺乏关于贩运人口活动受害者的现有分类数据；</w:t>
      </w:r>
    </w:p>
    <w:p w:rsidR="002A1FD7" w:rsidRDefault="002A1FD7" w:rsidP="002A1FD7">
      <w:pPr>
        <w:pStyle w:val="SingleTxt"/>
      </w:pPr>
      <w:r>
        <w:rPr>
          <w:rFonts w:hint="eastAsia"/>
        </w:rPr>
        <w:tab/>
        <w:t>(b)</w:t>
      </w:r>
      <w:r w:rsidR="003B0EBC">
        <w:rPr>
          <w:rFonts w:hint="eastAsia"/>
        </w:rPr>
        <w:tab/>
      </w:r>
      <w:r>
        <w:rPr>
          <w:rFonts w:hint="eastAsia"/>
        </w:rPr>
        <w:t>各州在查明受害者并将他们转送适当的保护部门方面缺乏统一的办法，分配给受害者保护部门的人力和财政资源不足；</w:t>
      </w:r>
    </w:p>
    <w:p w:rsidR="002A1FD7" w:rsidRDefault="002A1FD7" w:rsidP="002A1FD7">
      <w:pPr>
        <w:pStyle w:val="SingleTxt"/>
      </w:pPr>
      <w:r>
        <w:rPr>
          <w:rFonts w:hint="eastAsia"/>
        </w:rPr>
        <w:tab/>
        <w:t>(c)</w:t>
      </w:r>
      <w:r>
        <w:rPr>
          <w:rFonts w:hint="eastAsia"/>
        </w:rPr>
        <w:tab/>
      </w:r>
      <w:r>
        <w:rPr>
          <w:rFonts w:hint="eastAsia"/>
        </w:rPr>
        <w:t>缺乏全面的受害者保护方案，为贩运人口活动的受害者，尤其是除非与警方和司法当局合作，否则无权获得临时居住证的移徙妇女提供专门住所及系统的康复和重返社会措施、咨询、医疗、心理支助和补偿，包括赔偿；</w:t>
      </w:r>
    </w:p>
    <w:p w:rsidR="002A1FD7" w:rsidRDefault="002A1FD7" w:rsidP="002A1FD7">
      <w:pPr>
        <w:pStyle w:val="SingleTxt"/>
      </w:pPr>
      <w:r>
        <w:rPr>
          <w:rFonts w:hint="eastAsia"/>
        </w:rPr>
        <w:tab/>
        <w:t>(d)</w:t>
      </w:r>
      <w:r>
        <w:rPr>
          <w:rFonts w:hint="eastAsia"/>
        </w:rPr>
        <w:tab/>
      </w:r>
      <w:r>
        <w:rPr>
          <w:rFonts w:hint="eastAsia"/>
        </w:rPr>
        <w:t>各州在给予居留许可方面存在差异，因为所作决定往往取决于剥削的类型、州的权力和个案工作者；</w:t>
      </w:r>
    </w:p>
    <w:p w:rsidR="002A1FD7" w:rsidRDefault="002A1FD7" w:rsidP="00EC017A">
      <w:pPr>
        <w:pStyle w:val="SingleTxt"/>
        <w:spacing w:after="120"/>
      </w:pPr>
      <w:r>
        <w:rPr>
          <w:rFonts w:hint="eastAsia"/>
        </w:rPr>
        <w:tab/>
        <w:t>(e)</w:t>
      </w:r>
      <w:r>
        <w:rPr>
          <w:rFonts w:hint="eastAsia"/>
        </w:rPr>
        <w:tab/>
      </w:r>
      <w:r>
        <w:rPr>
          <w:rFonts w:hint="eastAsia"/>
        </w:rPr>
        <w:t>对多种形式的剥削，如强迫劳动、奴役、奴隶和类似做法的关注有限；</w:t>
      </w:r>
    </w:p>
    <w:p w:rsidR="002A1FD7" w:rsidRDefault="00EC017A" w:rsidP="002A1FD7">
      <w:pPr>
        <w:pStyle w:val="SingleTxt"/>
      </w:pPr>
      <w:r>
        <w:tab/>
      </w:r>
      <w:r w:rsidR="002A1FD7">
        <w:rPr>
          <w:rFonts w:hint="eastAsia"/>
        </w:rPr>
        <w:t>(f)</w:t>
      </w:r>
      <w:r w:rsidR="002A1FD7">
        <w:rPr>
          <w:rFonts w:hint="eastAsia"/>
        </w:rPr>
        <w:tab/>
      </w:r>
      <w:r w:rsidR="002A1FD7" w:rsidRPr="00EC017A">
        <w:rPr>
          <w:rFonts w:hint="eastAsia"/>
          <w:spacing w:val="-3"/>
        </w:rPr>
        <w:t>从事卖淫的外籍妇女，特别是那些身份不正常的妇女面临结构性暴力和排斥，缔约国没有采取措施，为希望脱离卖淫业的妇女提供退出方案和其他创收机会。</w:t>
      </w:r>
    </w:p>
    <w:p w:rsidR="002A1FD7" w:rsidRDefault="002A1FD7" w:rsidP="002A1FD7">
      <w:pPr>
        <w:pStyle w:val="SingleTxt"/>
      </w:pPr>
      <w:r>
        <w:rPr>
          <w:rFonts w:hint="eastAsia"/>
        </w:rPr>
        <w:t>29.</w:t>
      </w:r>
      <w:r>
        <w:rPr>
          <w:rFonts w:hint="eastAsia"/>
        </w:rPr>
        <w:tab/>
      </w:r>
      <w:r w:rsidRPr="00EC017A">
        <w:rPr>
          <w:rFonts w:ascii="黑体" w:eastAsia="黑体" w:hAnsi="黑体" w:hint="eastAsia"/>
        </w:rPr>
        <w:t>委员会建议缔约国</w:t>
      </w:r>
      <w:r>
        <w:rPr>
          <w:rFonts w:hint="eastAsia"/>
        </w:rPr>
        <w:t>：</w:t>
      </w:r>
    </w:p>
    <w:p w:rsidR="002A1FD7" w:rsidRDefault="002A1FD7" w:rsidP="002A1FD7">
      <w:pPr>
        <w:pStyle w:val="SingleTxt"/>
      </w:pPr>
      <w:r>
        <w:rPr>
          <w:rFonts w:hint="eastAsia"/>
        </w:rPr>
        <w:tab/>
        <w:t>(a)</w:t>
      </w:r>
      <w:r>
        <w:rPr>
          <w:rFonts w:hint="eastAsia"/>
        </w:rPr>
        <w:tab/>
      </w:r>
      <w:r w:rsidRPr="00EC017A">
        <w:rPr>
          <w:rFonts w:ascii="黑体" w:eastAsia="黑体" w:hAnsi="黑体" w:hint="eastAsia"/>
        </w:rPr>
        <w:t>在州一级为警察当局和社会工作者制定提高认识方案，调查、起诉和适当惩治所有贩运人口、尤其是贩运妇女和女童的案件，并改善获得按性别、年龄和国籍分列的贩运活动受害者数据的途径</w:t>
      </w:r>
      <w:r>
        <w:rPr>
          <w:rFonts w:hint="eastAsia"/>
        </w:rPr>
        <w:t>；</w:t>
      </w:r>
    </w:p>
    <w:p w:rsidR="002A1FD7" w:rsidRDefault="002A1FD7" w:rsidP="002A1FD7">
      <w:pPr>
        <w:pStyle w:val="SingleTxt"/>
      </w:pPr>
      <w:r>
        <w:rPr>
          <w:rFonts w:hint="eastAsia"/>
        </w:rPr>
        <w:tab/>
        <w:t>(b)</w:t>
      </w:r>
      <w:r>
        <w:rPr>
          <w:rFonts w:hint="eastAsia"/>
        </w:rPr>
        <w:tab/>
      </w:r>
      <w:r w:rsidRPr="00EC017A">
        <w:rPr>
          <w:rFonts w:ascii="黑体" w:eastAsia="黑体" w:hAnsi="黑体" w:hint="eastAsia"/>
        </w:rPr>
        <w:t>尽快评估《打击人口贩运国家行动计划》的影响，并通过一项以性别平等为重的新计划，确保各州采取统一措施</w:t>
      </w:r>
      <w:r>
        <w:rPr>
          <w:rFonts w:hint="eastAsia"/>
        </w:rPr>
        <w:t>；</w:t>
      </w:r>
    </w:p>
    <w:p w:rsidR="002A1FD7" w:rsidRDefault="002A1FD7" w:rsidP="002A1FD7">
      <w:pPr>
        <w:pStyle w:val="SingleTxt"/>
      </w:pPr>
      <w:r>
        <w:rPr>
          <w:rFonts w:hint="eastAsia"/>
        </w:rPr>
        <w:tab/>
        <w:t>(c)</w:t>
      </w:r>
      <w:r>
        <w:rPr>
          <w:rFonts w:hint="eastAsia"/>
        </w:rPr>
        <w:tab/>
      </w:r>
      <w:r w:rsidRPr="00EC017A">
        <w:rPr>
          <w:rFonts w:ascii="黑体" w:eastAsia="黑体" w:hAnsi="黑体" w:hint="eastAsia"/>
        </w:rPr>
        <w:t>加强措施，查明和支持面临被贩运风险的妇女，特别是移徙妇女和无人陪伴的女童；确保获得足够的医疗保健和咨询服务；加强提供专门受害者服务的非政府组织的人力、技术和财政资源；并为处理人口贩运受害者问题的社会工作者制定有针对性的培训</w:t>
      </w:r>
      <w:r>
        <w:rPr>
          <w:rFonts w:hint="eastAsia"/>
        </w:rPr>
        <w:t>；</w:t>
      </w:r>
    </w:p>
    <w:p w:rsidR="002A1FD7" w:rsidRDefault="002A1FD7" w:rsidP="002A1FD7">
      <w:pPr>
        <w:pStyle w:val="SingleTxt"/>
      </w:pPr>
      <w:r>
        <w:rPr>
          <w:rFonts w:hint="eastAsia"/>
        </w:rPr>
        <w:tab/>
        <w:t>(d)</w:t>
      </w:r>
      <w:r>
        <w:rPr>
          <w:rFonts w:hint="eastAsia"/>
        </w:rPr>
        <w:tab/>
      </w:r>
      <w:r w:rsidRPr="00EC017A">
        <w:rPr>
          <w:rFonts w:ascii="黑体" w:eastAsia="黑体" w:hAnsi="黑体" w:hint="eastAsia"/>
        </w:rPr>
        <w:t>考虑给予其居留许可，使人口贩运活动的所有受害者能够利用保护和康复措施，不论其是否愿意与警察当局合作，并确保当局在批准恢复和思考期时采取以受害者为中心的办法</w:t>
      </w:r>
      <w:r>
        <w:rPr>
          <w:rFonts w:hint="eastAsia"/>
        </w:rPr>
        <w:t>；</w:t>
      </w:r>
    </w:p>
    <w:p w:rsidR="002A1FD7" w:rsidRDefault="002A1FD7" w:rsidP="002A1FD7">
      <w:pPr>
        <w:pStyle w:val="SingleTxt"/>
      </w:pPr>
      <w:r>
        <w:rPr>
          <w:rFonts w:hint="eastAsia"/>
        </w:rPr>
        <w:tab/>
        <w:t>(e)</w:t>
      </w:r>
      <w:r>
        <w:rPr>
          <w:rFonts w:hint="eastAsia"/>
        </w:rPr>
        <w:tab/>
      </w:r>
      <w:r w:rsidRPr="00EC017A">
        <w:rPr>
          <w:rFonts w:ascii="黑体" w:eastAsia="黑体" w:hAnsi="黑体" w:hint="eastAsia"/>
        </w:rPr>
        <w:t>防范和打击其他类似人口贩运的剥削做法，特别是强迫劳动和奴役，并为劳动监察员和其他相关专业人员提供这方面的培训</w:t>
      </w:r>
      <w:r>
        <w:rPr>
          <w:rFonts w:hint="eastAsia"/>
        </w:rPr>
        <w:t>；</w:t>
      </w:r>
    </w:p>
    <w:p w:rsidR="002A1FD7" w:rsidRPr="00EC017A" w:rsidRDefault="002A1FD7" w:rsidP="002A1FD7">
      <w:pPr>
        <w:pStyle w:val="SingleTxt"/>
        <w:rPr>
          <w:rFonts w:ascii="黑体" w:eastAsia="黑体" w:hAnsi="黑体"/>
        </w:rPr>
      </w:pPr>
      <w:r>
        <w:rPr>
          <w:rFonts w:hint="eastAsia"/>
        </w:rPr>
        <w:tab/>
        <w:t>(f)</w:t>
      </w:r>
      <w:r>
        <w:rPr>
          <w:rFonts w:hint="eastAsia"/>
        </w:rPr>
        <w:tab/>
      </w:r>
      <w:r w:rsidRPr="00EC017A">
        <w:rPr>
          <w:rFonts w:ascii="黑体" w:eastAsia="黑体" w:hAnsi="黑体" w:hint="eastAsia"/>
        </w:rPr>
        <w:t>定期审查从事卖淫或受缔约国关于废除“夜总会舞女”地位的决定影响的外籍妇女，以便为她们提供保护，并加强对希望离开卖淫业的妇女和女童的援助，包括提供退出方案和其他创收机会。</w:t>
      </w:r>
    </w:p>
    <w:p w:rsidR="002A1FD7" w:rsidRPr="00EC017A" w:rsidRDefault="002A1FD7" w:rsidP="002A1FD7">
      <w:pPr>
        <w:pStyle w:val="SingleTxt"/>
        <w:rPr>
          <w:rFonts w:ascii="黑体" w:eastAsia="黑体" w:hAnsi="黑体"/>
        </w:rPr>
      </w:pPr>
      <w:r w:rsidRPr="00EC017A">
        <w:rPr>
          <w:rFonts w:ascii="黑体" w:eastAsia="黑体" w:hAnsi="黑体" w:hint="eastAsia"/>
        </w:rPr>
        <w:t>参与政治和公共生活</w:t>
      </w:r>
    </w:p>
    <w:p w:rsidR="002A1FD7" w:rsidRPr="00EC017A" w:rsidRDefault="002A1FD7" w:rsidP="002A1FD7">
      <w:pPr>
        <w:pStyle w:val="SingleTxt"/>
        <w:rPr>
          <w:spacing w:val="-4"/>
        </w:rPr>
      </w:pPr>
      <w:r>
        <w:rPr>
          <w:rFonts w:hint="eastAsia"/>
        </w:rPr>
        <w:t>30.</w:t>
      </w:r>
      <w:r>
        <w:rPr>
          <w:rFonts w:hint="eastAsia"/>
        </w:rPr>
        <w:tab/>
      </w:r>
      <w:r w:rsidRPr="00EC017A">
        <w:rPr>
          <w:rFonts w:hint="eastAsia"/>
          <w:spacing w:val="-4"/>
        </w:rPr>
        <w:t>委员会注意到缔约国促进妇女参与政治和公共生活的努力，但仍然关切的是：</w:t>
      </w:r>
    </w:p>
    <w:p w:rsidR="002A1FD7" w:rsidRDefault="00EC017A" w:rsidP="002A1FD7">
      <w:pPr>
        <w:pStyle w:val="SingleTxt"/>
      </w:pPr>
      <w:r>
        <w:tab/>
      </w:r>
      <w:r w:rsidR="002A1FD7">
        <w:rPr>
          <w:rFonts w:hint="eastAsia"/>
        </w:rPr>
        <w:t>(a)</w:t>
      </w:r>
      <w:r w:rsidR="002A1FD7">
        <w:rPr>
          <w:rFonts w:hint="eastAsia"/>
        </w:rPr>
        <w:tab/>
      </w:r>
      <w:r w:rsidR="002A1FD7">
        <w:rPr>
          <w:rFonts w:hint="eastAsia"/>
        </w:rPr>
        <w:t>在联邦院和国民院任职的妇女人数仍然严重不足，继</w:t>
      </w:r>
      <w:r w:rsidR="002A1FD7">
        <w:rPr>
          <w:rFonts w:hint="eastAsia"/>
        </w:rPr>
        <w:t>2015</w:t>
      </w:r>
      <w:r w:rsidR="002A1FD7">
        <w:rPr>
          <w:rFonts w:hint="eastAsia"/>
        </w:rPr>
        <w:t>年</w:t>
      </w:r>
      <w:r w:rsidR="002A1FD7">
        <w:rPr>
          <w:rFonts w:hint="eastAsia"/>
        </w:rPr>
        <w:t>10</w:t>
      </w:r>
      <w:r w:rsidR="002A1FD7">
        <w:rPr>
          <w:rFonts w:hint="eastAsia"/>
        </w:rPr>
        <w:t>月举行最近的联邦选举后，政府中的妇女总比例仍然较低；</w:t>
      </w:r>
    </w:p>
    <w:p w:rsidR="002A1FD7" w:rsidRDefault="00EC017A" w:rsidP="002A1FD7">
      <w:pPr>
        <w:pStyle w:val="SingleTxt"/>
      </w:pPr>
      <w:r>
        <w:tab/>
      </w:r>
      <w:r w:rsidR="002A1FD7">
        <w:rPr>
          <w:rFonts w:hint="eastAsia"/>
        </w:rPr>
        <w:t>(b)</w:t>
      </w:r>
      <w:r w:rsidR="002A1FD7">
        <w:rPr>
          <w:rFonts w:hint="eastAsia"/>
        </w:rPr>
        <w:tab/>
      </w:r>
      <w:r w:rsidR="002A1FD7">
        <w:rPr>
          <w:rFonts w:hint="eastAsia"/>
        </w:rPr>
        <w:t>妇女参与政治和公共生活所面临的结构性障碍和性别偏见仍然阻碍妇女担任公共机关、政党、司法机构、学术界和公共广播公司中选举和任命的决策职位；</w:t>
      </w:r>
    </w:p>
    <w:p w:rsidR="002A1FD7" w:rsidRDefault="00EC017A" w:rsidP="002A1FD7">
      <w:pPr>
        <w:pStyle w:val="SingleTxt"/>
      </w:pPr>
      <w:r>
        <w:tab/>
      </w:r>
      <w:r w:rsidR="002A1FD7">
        <w:rPr>
          <w:rFonts w:hint="eastAsia"/>
        </w:rPr>
        <w:t>(c)</w:t>
      </w:r>
      <w:r w:rsidR="002A1FD7">
        <w:rPr>
          <w:rFonts w:hint="eastAsia"/>
        </w:rPr>
        <w:tab/>
      </w:r>
      <w:r w:rsidR="002A1FD7">
        <w:rPr>
          <w:rFonts w:hint="eastAsia"/>
        </w:rPr>
        <w:t>在立法、行政和司法机构的部门中采用妇女代表法定配额的做法被联邦法院根据现行法律框架否决。</w:t>
      </w:r>
    </w:p>
    <w:p w:rsidR="002A1FD7" w:rsidRDefault="002A1FD7" w:rsidP="002A1FD7">
      <w:pPr>
        <w:pStyle w:val="SingleTxt"/>
      </w:pPr>
      <w:r>
        <w:rPr>
          <w:rFonts w:hint="eastAsia"/>
        </w:rPr>
        <w:t>31.</w:t>
      </w:r>
      <w:r>
        <w:rPr>
          <w:rFonts w:hint="eastAsia"/>
        </w:rPr>
        <w:tab/>
      </w:r>
      <w:r w:rsidRPr="00EC017A">
        <w:rPr>
          <w:rFonts w:ascii="黑体" w:eastAsia="黑体" w:hAnsi="黑体" w:hint="eastAsia"/>
        </w:rPr>
        <w:t>委员会重申以前的建议</w:t>
      </w:r>
      <w:r w:rsidR="00A52FC3" w:rsidRPr="00EC017A">
        <w:rPr>
          <w:rFonts w:ascii="黑体" w:eastAsia="黑体" w:hAnsi="黑体" w:hint="eastAsia"/>
        </w:rPr>
        <w:t>(</w:t>
      </w:r>
      <w:r w:rsidRPr="00EC017A">
        <w:rPr>
          <w:rFonts w:ascii="黑体" w:eastAsia="黑体" w:hAnsi="黑体" w:hint="eastAsia"/>
        </w:rPr>
        <w:t>见</w:t>
      </w:r>
      <w:hyperlink r:id="rId29" w:history="1">
        <w:r w:rsidRPr="002C41FF">
          <w:rPr>
            <w:rStyle w:val="ad"/>
            <w:rFonts w:ascii="黑体" w:eastAsia="黑体" w:hAnsi="黑体" w:hint="eastAsia"/>
          </w:rPr>
          <w:t>CEDAW/C/CHE/CO/3</w:t>
        </w:r>
      </w:hyperlink>
      <w:r w:rsidRPr="00EC017A">
        <w:rPr>
          <w:rFonts w:ascii="黑体" w:eastAsia="黑体" w:hAnsi="黑体" w:hint="eastAsia"/>
        </w:rPr>
        <w:t>，第34段</w:t>
      </w:r>
      <w:r w:rsidR="00A52FC3" w:rsidRPr="00EC017A">
        <w:rPr>
          <w:rFonts w:ascii="黑体" w:eastAsia="黑体" w:hAnsi="黑体" w:hint="eastAsia"/>
        </w:rPr>
        <w:t>)</w:t>
      </w:r>
      <w:r w:rsidRPr="00EC017A">
        <w:rPr>
          <w:rFonts w:ascii="黑体" w:eastAsia="黑体" w:hAnsi="黑体" w:hint="eastAsia"/>
        </w:rPr>
        <w:t>，呼吁缔约国</w:t>
      </w:r>
      <w:r>
        <w:rPr>
          <w:rFonts w:hint="eastAsia"/>
        </w:rPr>
        <w:t>：</w:t>
      </w:r>
    </w:p>
    <w:p w:rsidR="002A1FD7" w:rsidRDefault="002A1FD7" w:rsidP="002A1FD7">
      <w:pPr>
        <w:pStyle w:val="SingleTxt"/>
      </w:pPr>
      <w:r>
        <w:rPr>
          <w:rFonts w:hint="eastAsia"/>
        </w:rPr>
        <w:tab/>
        <w:t>(a)</w:t>
      </w:r>
      <w:r>
        <w:rPr>
          <w:rFonts w:hint="eastAsia"/>
        </w:rPr>
        <w:tab/>
      </w:r>
      <w:r w:rsidRPr="00EC017A">
        <w:rPr>
          <w:rFonts w:ascii="黑体" w:eastAsia="黑体" w:hAnsi="黑体" w:hint="eastAsia"/>
        </w:rPr>
        <w:t>加强努力，增加联邦和州两级选举产生的决策机构以及地方一级任命的职位中的妇女人数，并实现男女对政治和公共生活的平等参与</w:t>
      </w:r>
      <w:r>
        <w:rPr>
          <w:rFonts w:hint="eastAsia"/>
        </w:rPr>
        <w:t>；</w:t>
      </w:r>
    </w:p>
    <w:p w:rsidR="002A1FD7" w:rsidRDefault="002A1FD7" w:rsidP="00EC017A">
      <w:pPr>
        <w:pStyle w:val="SingleTxt"/>
        <w:spacing w:after="120"/>
      </w:pPr>
      <w:r>
        <w:rPr>
          <w:rFonts w:hint="eastAsia"/>
        </w:rPr>
        <w:tab/>
        <w:t>(b)</w:t>
      </w:r>
      <w:r>
        <w:rPr>
          <w:rFonts w:hint="eastAsia"/>
        </w:rPr>
        <w:tab/>
      </w:r>
      <w:r w:rsidRPr="00EC017A">
        <w:rPr>
          <w:rFonts w:ascii="黑体" w:eastAsia="黑体" w:hAnsi="黑体" w:hint="eastAsia"/>
        </w:rPr>
        <w:t>加强针对政界人士、记者、教师和公众的宣传运动，以更好地认识到，妇女在与男子平等的基础上充分、平等、自由和民主地参与政治和公共生活，是充分落实妇女人权的要求，并继续努力，鼓励媒体保证对男女候选人和选举产生的代表予以平等的报道，特别是在选举期间</w:t>
      </w:r>
      <w:r>
        <w:rPr>
          <w:rFonts w:hint="eastAsia"/>
        </w:rPr>
        <w:t>；</w:t>
      </w:r>
    </w:p>
    <w:p w:rsidR="002A1FD7" w:rsidRPr="00EC017A" w:rsidRDefault="002A1FD7" w:rsidP="00EC017A">
      <w:pPr>
        <w:pStyle w:val="SingleTxt"/>
        <w:spacing w:after="120" w:line="314" w:lineRule="exact"/>
        <w:rPr>
          <w:rFonts w:ascii="黑体" w:eastAsia="黑体" w:hAnsi="黑体"/>
        </w:rPr>
      </w:pPr>
      <w:r>
        <w:rPr>
          <w:rFonts w:hint="eastAsia"/>
        </w:rPr>
        <w:tab/>
        <w:t>(c)</w:t>
      </w:r>
      <w:r>
        <w:rPr>
          <w:rFonts w:hint="eastAsia"/>
        </w:rPr>
        <w:tab/>
      </w:r>
      <w:r w:rsidRPr="00EC017A">
        <w:rPr>
          <w:rFonts w:ascii="黑体" w:eastAsia="黑体" w:hAnsi="黑体" w:hint="eastAsia"/>
        </w:rPr>
        <w:t>审查联邦法院的决定，并根据《公约》第四条第1款和委员会关于暂行特别措施的第25</w:t>
      </w:r>
      <w:r w:rsidR="00A52FC3" w:rsidRPr="00EC017A">
        <w:rPr>
          <w:rFonts w:ascii="黑体" w:eastAsia="黑体" w:hAnsi="黑体" w:hint="eastAsia"/>
        </w:rPr>
        <w:t>(</w:t>
      </w:r>
      <w:r w:rsidRPr="00EC017A">
        <w:rPr>
          <w:rFonts w:ascii="黑体" w:eastAsia="黑体" w:hAnsi="黑体" w:hint="eastAsia"/>
        </w:rPr>
        <w:t>2004</w:t>
      </w:r>
      <w:r w:rsidR="00A52FC3" w:rsidRPr="00EC017A">
        <w:rPr>
          <w:rFonts w:ascii="黑体" w:eastAsia="黑体" w:hAnsi="黑体" w:hint="eastAsia"/>
        </w:rPr>
        <w:t>)</w:t>
      </w:r>
      <w:r w:rsidRPr="00EC017A">
        <w:rPr>
          <w:rFonts w:ascii="黑体" w:eastAsia="黑体" w:hAnsi="黑体" w:hint="eastAsia"/>
        </w:rPr>
        <w:t>号一般性建议，采取积极措施，包括暂行特别措施，消除实现男女在参与政治和公共生活方面实质性平等的结构性障碍。</w:t>
      </w:r>
    </w:p>
    <w:p w:rsidR="002A1FD7" w:rsidRPr="00EC017A" w:rsidRDefault="002A1FD7" w:rsidP="00EC017A">
      <w:pPr>
        <w:pStyle w:val="SingleTxt"/>
        <w:spacing w:after="120" w:line="314" w:lineRule="exact"/>
        <w:rPr>
          <w:rFonts w:ascii="黑体" w:eastAsia="黑体" w:hAnsi="黑体"/>
        </w:rPr>
      </w:pPr>
      <w:r w:rsidRPr="00EC017A">
        <w:rPr>
          <w:rFonts w:ascii="黑体" w:eastAsia="黑体" w:hAnsi="黑体" w:hint="eastAsia"/>
        </w:rPr>
        <w:t>人权维护者</w:t>
      </w:r>
    </w:p>
    <w:p w:rsidR="002A1FD7" w:rsidRDefault="002A1FD7" w:rsidP="00EC017A">
      <w:pPr>
        <w:pStyle w:val="SingleTxt"/>
        <w:spacing w:after="120" w:line="314" w:lineRule="exact"/>
      </w:pPr>
      <w:r>
        <w:rPr>
          <w:rFonts w:hint="eastAsia"/>
        </w:rPr>
        <w:t>32.</w:t>
      </w:r>
      <w:r>
        <w:rPr>
          <w:rFonts w:hint="eastAsia"/>
        </w:rPr>
        <w:tab/>
      </w:r>
      <w:r>
        <w:rPr>
          <w:rFonts w:hint="eastAsia"/>
        </w:rPr>
        <w:t>委员会感到关切的是，由于外交人员缺乏对缔约国</w:t>
      </w:r>
      <w:r>
        <w:rPr>
          <w:rFonts w:hint="eastAsia"/>
        </w:rPr>
        <w:t>2013</w:t>
      </w:r>
      <w:r>
        <w:rPr>
          <w:rFonts w:hint="eastAsia"/>
        </w:rPr>
        <w:t>年颁发的《保护人权维护者准则》的认识，在国外的女性人权维护者没有得到充分支持。</w:t>
      </w:r>
    </w:p>
    <w:p w:rsidR="002A1FD7" w:rsidRDefault="002A1FD7" w:rsidP="00EC017A">
      <w:pPr>
        <w:pStyle w:val="SingleTxt"/>
        <w:spacing w:after="120" w:line="314" w:lineRule="exact"/>
      </w:pPr>
      <w:r>
        <w:rPr>
          <w:rFonts w:hint="eastAsia"/>
        </w:rPr>
        <w:t>33.</w:t>
      </w:r>
      <w:r>
        <w:rPr>
          <w:rFonts w:hint="eastAsia"/>
        </w:rPr>
        <w:tab/>
      </w:r>
      <w:r w:rsidRPr="00EC017A">
        <w:rPr>
          <w:rFonts w:ascii="黑体" w:eastAsia="黑体" w:hAnsi="黑体" w:hint="eastAsia"/>
        </w:rPr>
        <w:t>委员会建议缔约国确保全面执行《保护人权维护者准则》，并确保外交政策行为者充分了解该准则，而且得到适当培训，以处理涉及妇女人权维护者的状况</w:t>
      </w:r>
      <w:r>
        <w:rPr>
          <w:rFonts w:hint="eastAsia"/>
        </w:rPr>
        <w:t>。</w:t>
      </w:r>
    </w:p>
    <w:p w:rsidR="002A1FD7" w:rsidRPr="00EC017A" w:rsidRDefault="002A1FD7" w:rsidP="00EC017A">
      <w:pPr>
        <w:pStyle w:val="SingleTxt"/>
        <w:spacing w:after="120" w:line="314" w:lineRule="exact"/>
        <w:rPr>
          <w:rFonts w:ascii="黑体" w:eastAsia="黑体" w:hAnsi="黑体"/>
        </w:rPr>
      </w:pPr>
      <w:r w:rsidRPr="00EC017A">
        <w:rPr>
          <w:rFonts w:ascii="黑体" w:eastAsia="黑体" w:hAnsi="黑体" w:hint="eastAsia"/>
        </w:rPr>
        <w:t>教育</w:t>
      </w:r>
    </w:p>
    <w:p w:rsidR="002A1FD7" w:rsidRDefault="002A1FD7" w:rsidP="00EC017A">
      <w:pPr>
        <w:pStyle w:val="SingleTxt"/>
        <w:spacing w:after="120" w:line="314" w:lineRule="exact"/>
      </w:pPr>
      <w:r>
        <w:rPr>
          <w:rFonts w:hint="eastAsia"/>
        </w:rPr>
        <w:t>34.</w:t>
      </w:r>
      <w:r>
        <w:rPr>
          <w:rFonts w:hint="eastAsia"/>
        </w:rPr>
        <w:tab/>
      </w:r>
      <w:r>
        <w:rPr>
          <w:rFonts w:hint="eastAsia"/>
        </w:rPr>
        <w:t>委员会欢迎缔约国采取措施，处理教育、特别是高等教育中歧视性的陈规定型观念。但仍然感到关切的是：</w:t>
      </w:r>
    </w:p>
    <w:p w:rsidR="002A1FD7" w:rsidRDefault="002A1FD7" w:rsidP="00EC017A">
      <w:pPr>
        <w:pStyle w:val="SingleTxt"/>
        <w:spacing w:after="120" w:line="314" w:lineRule="exact"/>
      </w:pPr>
      <w:r>
        <w:rPr>
          <w:rFonts w:hint="eastAsia"/>
        </w:rPr>
        <w:tab/>
        <w:t>(a)</w:t>
      </w:r>
      <w:r>
        <w:rPr>
          <w:rFonts w:hint="eastAsia"/>
        </w:rPr>
        <w:tab/>
      </w:r>
      <w:r>
        <w:rPr>
          <w:rFonts w:hint="eastAsia"/>
        </w:rPr>
        <w:t>受性别陈规定型观念影响的中小学和大学教材影响到妇女和女童的传统护理选择。尽管一些州编写了对性别问题有敏感认识的教学材料，但尚未在缔约国全国统一适用这一做法；</w:t>
      </w:r>
    </w:p>
    <w:p w:rsidR="002A1FD7" w:rsidRDefault="002A1FD7" w:rsidP="00EC017A">
      <w:pPr>
        <w:pStyle w:val="SingleTxt"/>
        <w:spacing w:after="120" w:line="314" w:lineRule="exact"/>
      </w:pPr>
      <w:r>
        <w:rPr>
          <w:rFonts w:hint="eastAsia"/>
        </w:rPr>
        <w:tab/>
        <w:t>(b)</w:t>
      </w:r>
      <w:r>
        <w:rPr>
          <w:rFonts w:hint="eastAsia"/>
        </w:rPr>
        <w:tab/>
      </w:r>
      <w:r w:rsidRPr="00EC017A">
        <w:rPr>
          <w:rFonts w:hint="eastAsia"/>
          <w:spacing w:val="-3"/>
        </w:rPr>
        <w:t>妇女仍然集中于传统上女性占主导地位的研究领域和职业道路，而在职业培训和诸如科学、技术、工程和数学等高等教育的某些领域则代表性不足</w:t>
      </w:r>
      <w:r w:rsidR="00EC017A" w:rsidRPr="00EC017A">
        <w:rPr>
          <w:rFonts w:hint="eastAsia"/>
          <w:spacing w:val="-3"/>
        </w:rPr>
        <w:t>——</w:t>
      </w:r>
      <w:r w:rsidRPr="00EC017A">
        <w:rPr>
          <w:rFonts w:hint="eastAsia"/>
          <w:spacing w:val="-3"/>
        </w:rPr>
        <w:t>如缔约国报告附件所示，该附件表明，</w:t>
      </w:r>
      <w:r w:rsidRPr="00EC017A">
        <w:rPr>
          <w:rFonts w:hint="eastAsia"/>
          <w:spacing w:val="-3"/>
        </w:rPr>
        <w:t>1990</w:t>
      </w:r>
      <w:r w:rsidRPr="00EC017A">
        <w:rPr>
          <w:rFonts w:hint="eastAsia"/>
          <w:spacing w:val="-3"/>
        </w:rPr>
        <w:t>年至</w:t>
      </w:r>
      <w:r w:rsidRPr="00EC017A">
        <w:rPr>
          <w:rFonts w:hint="eastAsia"/>
          <w:spacing w:val="-3"/>
        </w:rPr>
        <w:t>2010</w:t>
      </w:r>
      <w:r w:rsidRPr="00EC017A">
        <w:rPr>
          <w:rFonts w:hint="eastAsia"/>
          <w:spacing w:val="-3"/>
        </w:rPr>
        <w:t>年在这方面进展甚微</w:t>
      </w:r>
      <w:r w:rsidR="00A52FC3" w:rsidRPr="00EC017A">
        <w:rPr>
          <w:rFonts w:hint="eastAsia"/>
          <w:spacing w:val="-3"/>
        </w:rPr>
        <w:t>(</w:t>
      </w:r>
      <w:r w:rsidRPr="00EC017A">
        <w:rPr>
          <w:rFonts w:hint="eastAsia"/>
          <w:spacing w:val="-3"/>
        </w:rPr>
        <w:t>不到</w:t>
      </w:r>
      <w:r w:rsidRPr="00EC017A">
        <w:rPr>
          <w:rFonts w:hint="eastAsia"/>
          <w:spacing w:val="-3"/>
        </w:rPr>
        <w:t>10%</w:t>
      </w:r>
      <w:r w:rsidR="00A52FC3" w:rsidRPr="00EC017A">
        <w:rPr>
          <w:rFonts w:hint="eastAsia"/>
          <w:spacing w:val="-3"/>
        </w:rPr>
        <w:t>)</w:t>
      </w:r>
      <w:r w:rsidRPr="00EC017A">
        <w:rPr>
          <w:rFonts w:hint="eastAsia"/>
          <w:spacing w:val="-3"/>
        </w:rPr>
        <w:t>；</w:t>
      </w:r>
    </w:p>
    <w:p w:rsidR="002A1FD7" w:rsidRDefault="002A1FD7" w:rsidP="00EC017A">
      <w:pPr>
        <w:pStyle w:val="SingleTxt"/>
        <w:spacing w:after="120" w:line="314" w:lineRule="exact"/>
      </w:pPr>
      <w:r>
        <w:rPr>
          <w:rFonts w:hint="eastAsia"/>
        </w:rPr>
        <w:tab/>
        <w:t>(c)</w:t>
      </w:r>
      <w:r>
        <w:rPr>
          <w:rFonts w:hint="eastAsia"/>
        </w:rPr>
        <w:tab/>
      </w:r>
      <w:r>
        <w:rPr>
          <w:rFonts w:hint="eastAsia"/>
        </w:rPr>
        <w:t>各级教育系统中担任决策和高级管理职位的妇女人数仍然不足。同样，高级教育系统教授和校长中的女性比例较低也使年轻女孩没有这方面的榜样。</w:t>
      </w:r>
    </w:p>
    <w:p w:rsidR="002A1FD7" w:rsidRDefault="002A1FD7" w:rsidP="00EC017A">
      <w:pPr>
        <w:pStyle w:val="SingleTxt"/>
        <w:spacing w:after="120" w:line="314" w:lineRule="exact"/>
      </w:pPr>
      <w:r>
        <w:rPr>
          <w:rFonts w:hint="eastAsia"/>
        </w:rPr>
        <w:t>35.</w:t>
      </w:r>
      <w:r>
        <w:rPr>
          <w:rFonts w:hint="eastAsia"/>
        </w:rPr>
        <w:tab/>
      </w:r>
      <w:r w:rsidRPr="00EC017A">
        <w:rPr>
          <w:rFonts w:ascii="黑体" w:eastAsia="黑体" w:hAnsi="黑体" w:hint="eastAsia"/>
        </w:rPr>
        <w:t>委员会建议缔约国</w:t>
      </w:r>
      <w:r>
        <w:rPr>
          <w:rFonts w:hint="eastAsia"/>
        </w:rPr>
        <w:t>：</w:t>
      </w:r>
    </w:p>
    <w:p w:rsidR="002A1FD7" w:rsidRDefault="002A1FD7" w:rsidP="00EC017A">
      <w:pPr>
        <w:pStyle w:val="SingleTxt"/>
        <w:spacing w:after="120" w:line="314" w:lineRule="exact"/>
      </w:pPr>
      <w:r>
        <w:rPr>
          <w:rFonts w:hint="eastAsia"/>
        </w:rPr>
        <w:tab/>
        <w:t>(a)</w:t>
      </w:r>
      <w:r>
        <w:rPr>
          <w:rFonts w:hint="eastAsia"/>
        </w:rPr>
        <w:tab/>
      </w:r>
      <w:r w:rsidRPr="00EC017A">
        <w:rPr>
          <w:rFonts w:ascii="黑体" w:eastAsia="黑体" w:hAnsi="黑体" w:hint="eastAsia"/>
        </w:rPr>
        <w:t>鼓励男童和女童教育选择的进一步多样化，并采取步骤，修订州一级教材，确保在各州、各社区提供对性别问题有敏感认识的教学材料，并在国家教师培训方案中纳入一个关于教育领域性别陈规定型观念的模块</w:t>
      </w:r>
      <w:r>
        <w:rPr>
          <w:rFonts w:hint="eastAsia"/>
        </w:rPr>
        <w:t>；</w:t>
      </w:r>
    </w:p>
    <w:p w:rsidR="002A1FD7" w:rsidRDefault="002A1FD7" w:rsidP="00EC017A">
      <w:pPr>
        <w:pStyle w:val="SingleTxt"/>
        <w:spacing w:after="120" w:line="314" w:lineRule="exact"/>
      </w:pPr>
      <w:r>
        <w:rPr>
          <w:rFonts w:hint="eastAsia"/>
        </w:rPr>
        <w:tab/>
        <w:t>(b)</w:t>
      </w:r>
      <w:r>
        <w:rPr>
          <w:rFonts w:hint="eastAsia"/>
        </w:rPr>
        <w:tab/>
      </w:r>
      <w:r w:rsidRPr="00EC017A">
        <w:rPr>
          <w:rFonts w:ascii="黑体" w:eastAsia="黑体" w:hAnsi="黑体" w:hint="eastAsia"/>
        </w:rPr>
        <w:t>加强各项战略，以克服和消除可能阻止女童接受中学后教育和进入传统上以男性为主导的学习领域</w:t>
      </w:r>
      <w:r w:rsidR="00A52FC3" w:rsidRPr="00EC017A">
        <w:rPr>
          <w:rFonts w:ascii="黑体" w:eastAsia="黑体" w:hAnsi="黑体" w:hint="eastAsia"/>
        </w:rPr>
        <w:t>(</w:t>
      </w:r>
      <w:r w:rsidRPr="00EC017A">
        <w:rPr>
          <w:rFonts w:ascii="黑体" w:eastAsia="黑体" w:hAnsi="黑体" w:hint="eastAsia"/>
        </w:rPr>
        <w:t>如数学、信息技术和科学</w:t>
      </w:r>
      <w:r w:rsidR="00A52FC3" w:rsidRPr="00EC017A">
        <w:rPr>
          <w:rFonts w:ascii="黑体" w:eastAsia="黑体" w:hAnsi="黑体" w:hint="eastAsia"/>
        </w:rPr>
        <w:t>)</w:t>
      </w:r>
      <w:r w:rsidRPr="00EC017A">
        <w:rPr>
          <w:rFonts w:ascii="黑体" w:eastAsia="黑体" w:hAnsi="黑体" w:hint="eastAsia"/>
        </w:rPr>
        <w:t>的歧视性陈规定型观念和结构性障碍</w:t>
      </w:r>
      <w:r>
        <w:rPr>
          <w:rFonts w:hint="eastAsia"/>
        </w:rPr>
        <w:t>；</w:t>
      </w:r>
    </w:p>
    <w:p w:rsidR="002A1FD7" w:rsidRPr="00EC017A" w:rsidRDefault="002A1FD7" w:rsidP="00EC017A">
      <w:pPr>
        <w:pStyle w:val="SingleTxt"/>
        <w:spacing w:after="120" w:line="314" w:lineRule="exact"/>
        <w:rPr>
          <w:rFonts w:ascii="黑体" w:eastAsia="黑体" w:hAnsi="黑体"/>
        </w:rPr>
      </w:pPr>
      <w:r>
        <w:rPr>
          <w:rFonts w:hint="eastAsia"/>
        </w:rPr>
        <w:tab/>
        <w:t>(c)</w:t>
      </w:r>
      <w:r>
        <w:rPr>
          <w:rFonts w:hint="eastAsia"/>
        </w:rPr>
        <w:tab/>
      </w:r>
      <w:r w:rsidRPr="00EC017A">
        <w:rPr>
          <w:rFonts w:ascii="黑体" w:eastAsia="黑体" w:hAnsi="黑体" w:hint="eastAsia"/>
        </w:rPr>
        <w:t>监测教育系统中妇女的职业发展情况，以确保平等机会，防止妇女所面临的隐性或间接歧视，并制定以女教授和女校长作为女孩榜样的辅导方案。</w:t>
      </w:r>
    </w:p>
    <w:p w:rsidR="002A1FD7" w:rsidRDefault="002A1FD7" w:rsidP="00EC017A">
      <w:pPr>
        <w:pStyle w:val="SingleTxt"/>
        <w:spacing w:after="120" w:line="314" w:lineRule="exact"/>
      </w:pPr>
      <w:r w:rsidRPr="00EC017A">
        <w:rPr>
          <w:rFonts w:ascii="黑体" w:eastAsia="黑体" w:hAnsi="黑体" w:hint="eastAsia"/>
        </w:rPr>
        <w:t>就业</w:t>
      </w:r>
    </w:p>
    <w:p w:rsidR="002A1FD7" w:rsidRDefault="002A1FD7" w:rsidP="00EC017A">
      <w:pPr>
        <w:pStyle w:val="SingleTxt"/>
        <w:spacing w:after="120" w:line="314" w:lineRule="exact"/>
      </w:pPr>
      <w:r>
        <w:rPr>
          <w:rFonts w:hint="eastAsia"/>
        </w:rPr>
        <w:t>36.</w:t>
      </w:r>
      <w:r>
        <w:rPr>
          <w:rFonts w:hint="eastAsia"/>
        </w:rPr>
        <w:tab/>
      </w:r>
      <w:r>
        <w:rPr>
          <w:rFonts w:hint="eastAsia"/>
        </w:rPr>
        <w:t>委员会注意到一个积极方面是，缔约国采取了措施，协调家庭和工作生活。但委员会关切地注意到：</w:t>
      </w:r>
    </w:p>
    <w:p w:rsidR="002A1FD7" w:rsidRDefault="002A1FD7" w:rsidP="00EC017A">
      <w:pPr>
        <w:pStyle w:val="SingleTxt"/>
        <w:spacing w:after="120" w:line="318" w:lineRule="exact"/>
      </w:pPr>
      <w:r>
        <w:rPr>
          <w:rFonts w:hint="eastAsia"/>
        </w:rPr>
        <w:tab/>
        <w:t>(a)</w:t>
      </w:r>
      <w:r>
        <w:rPr>
          <w:rFonts w:hint="eastAsia"/>
        </w:rPr>
        <w:tab/>
      </w:r>
      <w:r>
        <w:rPr>
          <w:rFonts w:hint="eastAsia"/>
        </w:rPr>
        <w:t>公私营部门普遍存在的两性工资差距继续对妇女的职业发展和养恤金福利产生不利影响，而关于同工同酬和同值工作同等报酬原则的立法没有得到切实执行，进一步阻碍了这方面的进展；</w:t>
      </w:r>
    </w:p>
    <w:p w:rsidR="002A1FD7" w:rsidRDefault="002A1FD7" w:rsidP="00EC017A">
      <w:pPr>
        <w:pStyle w:val="SingleTxt"/>
        <w:spacing w:after="120" w:line="318" w:lineRule="exact"/>
      </w:pPr>
      <w:r>
        <w:rPr>
          <w:rFonts w:hint="eastAsia"/>
        </w:rPr>
        <w:tab/>
        <w:t>(b)</w:t>
      </w:r>
      <w:r>
        <w:rPr>
          <w:rFonts w:hint="eastAsia"/>
        </w:rPr>
        <w:tab/>
      </w:r>
      <w:r>
        <w:rPr>
          <w:rFonts w:hint="eastAsia"/>
        </w:rPr>
        <w:t>横向和纵向的职业隔离持续存在；妇女由于传统上照顾儿童的角色而集中于低薪服务部门以及临时和非全时工作；妇女在公司管理职位中的代表性不足和缺乏在高级别职位的兼职机会；非全日制员工在伤残保险方面遭到严重歧视；</w:t>
      </w:r>
    </w:p>
    <w:p w:rsidR="002A1FD7" w:rsidRDefault="002A1FD7" w:rsidP="00EC017A">
      <w:pPr>
        <w:pStyle w:val="SingleTxt"/>
        <w:spacing w:after="120" w:line="318" w:lineRule="exact"/>
      </w:pPr>
      <w:r>
        <w:rPr>
          <w:rFonts w:hint="eastAsia"/>
        </w:rPr>
        <w:tab/>
        <w:t>(c)</w:t>
      </w:r>
      <w:r>
        <w:rPr>
          <w:rFonts w:hint="eastAsia"/>
        </w:rPr>
        <w:tab/>
      </w:r>
      <w:r w:rsidRPr="00EC017A">
        <w:rPr>
          <w:rFonts w:hint="eastAsia"/>
          <w:spacing w:val="-4"/>
        </w:rPr>
        <w:t>仍然缺乏负担得起的儿童保育设施</w:t>
      </w:r>
      <w:r w:rsidRPr="00EC017A">
        <w:rPr>
          <w:rFonts w:hint="eastAsia"/>
          <w:spacing w:val="-32"/>
        </w:rPr>
        <w:t>，</w:t>
      </w:r>
      <w:r w:rsidRPr="00EC017A">
        <w:rPr>
          <w:rFonts w:hint="eastAsia"/>
          <w:spacing w:val="-4"/>
        </w:rPr>
        <w:t>并缺乏便利家庭的工作模式和陪产假；</w:t>
      </w:r>
    </w:p>
    <w:p w:rsidR="002A1FD7" w:rsidRDefault="002A1FD7" w:rsidP="00EC017A">
      <w:pPr>
        <w:pStyle w:val="SingleTxt"/>
        <w:spacing w:after="120" w:line="318" w:lineRule="exact"/>
      </w:pPr>
      <w:r>
        <w:rPr>
          <w:rFonts w:hint="eastAsia"/>
        </w:rPr>
        <w:tab/>
        <w:t>(d)</w:t>
      </w:r>
      <w:r>
        <w:rPr>
          <w:rFonts w:hint="eastAsia"/>
        </w:rPr>
        <w:tab/>
      </w:r>
      <w:r>
        <w:rPr>
          <w:rFonts w:hint="eastAsia"/>
        </w:rPr>
        <w:t>将妇女的退休年龄提高到</w:t>
      </w:r>
      <w:r>
        <w:rPr>
          <w:rFonts w:hint="eastAsia"/>
        </w:rPr>
        <w:t>65</w:t>
      </w:r>
      <w:r>
        <w:rPr>
          <w:rFonts w:hint="eastAsia"/>
        </w:rPr>
        <w:t>岁可能会对妇女的养恤金水平产生负面影响，特别是从事无报酬护理工作的妇女；</w:t>
      </w:r>
    </w:p>
    <w:p w:rsidR="002A1FD7" w:rsidRDefault="002A1FD7" w:rsidP="00EC017A">
      <w:pPr>
        <w:pStyle w:val="SingleTxt"/>
        <w:spacing w:after="120" w:line="318" w:lineRule="exact"/>
      </w:pPr>
      <w:r>
        <w:rPr>
          <w:rFonts w:hint="eastAsia"/>
        </w:rPr>
        <w:tab/>
        <w:t>(e)</w:t>
      </w:r>
      <w:r>
        <w:rPr>
          <w:rFonts w:hint="eastAsia"/>
        </w:rPr>
        <w:tab/>
      </w:r>
      <w:r>
        <w:rPr>
          <w:rFonts w:hint="eastAsia"/>
        </w:rPr>
        <w:t>工作场所的歧视态度增加，尤其是在男性主导的部门和高级管理层，并缺乏切实有效的措施来处理这种骚扰；</w:t>
      </w:r>
    </w:p>
    <w:p w:rsidR="002A1FD7" w:rsidRDefault="002A1FD7" w:rsidP="00EC017A">
      <w:pPr>
        <w:pStyle w:val="SingleTxt"/>
        <w:spacing w:after="120" w:line="318" w:lineRule="exact"/>
      </w:pPr>
      <w:r>
        <w:rPr>
          <w:rFonts w:hint="eastAsia"/>
        </w:rPr>
        <w:tab/>
        <w:t>(f)</w:t>
      </w:r>
      <w:r>
        <w:rPr>
          <w:rFonts w:hint="eastAsia"/>
        </w:rPr>
        <w:tab/>
      </w:r>
      <w:r>
        <w:rPr>
          <w:rFonts w:hint="eastAsia"/>
        </w:rPr>
        <w:t>移徙妇女、难民妇女和寻求庇护的妇女以及残疾妇女进入正规劳动力市场的机会受到限制。</w:t>
      </w:r>
    </w:p>
    <w:p w:rsidR="002A1FD7" w:rsidRDefault="002A1FD7" w:rsidP="00EC017A">
      <w:pPr>
        <w:pStyle w:val="SingleTxt"/>
        <w:spacing w:after="120" w:line="318" w:lineRule="exact"/>
      </w:pPr>
      <w:r>
        <w:rPr>
          <w:rFonts w:hint="eastAsia"/>
        </w:rPr>
        <w:t>37.</w:t>
      </w:r>
      <w:r>
        <w:rPr>
          <w:rFonts w:hint="eastAsia"/>
        </w:rPr>
        <w:tab/>
      </w:r>
      <w:r w:rsidRPr="00EC017A">
        <w:rPr>
          <w:rFonts w:ascii="黑体" w:eastAsia="黑体" w:hAnsi="黑体" w:hint="eastAsia"/>
        </w:rPr>
        <w:t>委员会建议缔约国</w:t>
      </w:r>
      <w:r>
        <w:rPr>
          <w:rFonts w:hint="eastAsia"/>
        </w:rPr>
        <w:t>：</w:t>
      </w:r>
    </w:p>
    <w:p w:rsidR="002A1FD7" w:rsidRDefault="002A1FD7" w:rsidP="00EC017A">
      <w:pPr>
        <w:pStyle w:val="SingleTxt"/>
        <w:spacing w:after="120" w:line="318" w:lineRule="exact"/>
      </w:pPr>
      <w:r>
        <w:rPr>
          <w:rFonts w:hint="eastAsia"/>
        </w:rPr>
        <w:tab/>
        <w:t>(a)</w:t>
      </w:r>
      <w:r>
        <w:rPr>
          <w:rFonts w:hint="eastAsia"/>
        </w:rPr>
        <w:tab/>
      </w:r>
      <w:r w:rsidRPr="00EC017A">
        <w:rPr>
          <w:rFonts w:ascii="黑体" w:eastAsia="黑体" w:hAnsi="黑体" w:hint="eastAsia"/>
        </w:rPr>
        <w:t>加强努力，消除男女工资差距，确保妇女和男子在劳动力市场的平等机会，包括按照《公约》第四条第1款及委员会第25</w:t>
      </w:r>
      <w:r w:rsidR="00A52FC3" w:rsidRPr="00EC017A">
        <w:rPr>
          <w:rFonts w:ascii="黑体" w:eastAsia="黑体" w:hAnsi="黑体" w:hint="eastAsia"/>
        </w:rPr>
        <w:t>(</w:t>
      </w:r>
      <w:r w:rsidRPr="00EC017A">
        <w:rPr>
          <w:rFonts w:ascii="黑体" w:eastAsia="黑体" w:hAnsi="黑体" w:hint="eastAsia"/>
        </w:rPr>
        <w:t>2004</w:t>
      </w:r>
      <w:r w:rsidR="00A52FC3" w:rsidRPr="00EC017A">
        <w:rPr>
          <w:rFonts w:ascii="黑体" w:eastAsia="黑体" w:hAnsi="黑体" w:hint="eastAsia"/>
        </w:rPr>
        <w:t>)</w:t>
      </w:r>
      <w:r w:rsidRPr="00EC017A">
        <w:rPr>
          <w:rFonts w:ascii="黑体" w:eastAsia="黑体" w:hAnsi="黑体" w:hint="eastAsia"/>
        </w:rPr>
        <w:t>号一般性建议，采取包含有时限目标的暂行特别措施</w:t>
      </w:r>
      <w:r>
        <w:rPr>
          <w:rFonts w:hint="eastAsia"/>
        </w:rPr>
        <w:t>；</w:t>
      </w:r>
    </w:p>
    <w:p w:rsidR="002A1FD7" w:rsidRDefault="002A1FD7" w:rsidP="00EC017A">
      <w:pPr>
        <w:pStyle w:val="SingleTxt"/>
        <w:spacing w:after="120" w:line="318" w:lineRule="exact"/>
      </w:pPr>
      <w:r>
        <w:rPr>
          <w:rFonts w:hint="eastAsia"/>
        </w:rPr>
        <w:tab/>
        <w:t>(b)</w:t>
      </w:r>
      <w:r>
        <w:rPr>
          <w:rFonts w:hint="eastAsia"/>
        </w:rPr>
        <w:tab/>
      </w:r>
      <w:r w:rsidRPr="00EC017A">
        <w:rPr>
          <w:rFonts w:ascii="黑体" w:eastAsia="黑体" w:hAnsi="黑体" w:hint="eastAsia"/>
        </w:rPr>
        <w:t>采取有效措施，包括技能培训和推动妇女在非传统领域工作的激励措施，消除公共和私营部门的横向和纵向职业隔离，并采取暂行特别措施，即法定配额，加强妇女在公司管理职位中的代表性，鼓励公司创造高级别职位的兼职机会，消除劳动法和社会法中的歧视性规定，并确保伤残保险法适用于非全日制工人</w:t>
      </w:r>
      <w:r>
        <w:rPr>
          <w:rFonts w:hint="eastAsia"/>
        </w:rPr>
        <w:t>；</w:t>
      </w:r>
    </w:p>
    <w:p w:rsidR="002A1FD7" w:rsidRDefault="002A1FD7" w:rsidP="00EC017A">
      <w:pPr>
        <w:pStyle w:val="SingleTxt"/>
        <w:spacing w:after="120" w:line="318" w:lineRule="exact"/>
      </w:pPr>
      <w:r>
        <w:rPr>
          <w:rFonts w:hint="eastAsia"/>
        </w:rPr>
        <w:tab/>
        <w:t>(c)</w:t>
      </w:r>
      <w:r>
        <w:rPr>
          <w:rFonts w:hint="eastAsia"/>
        </w:rPr>
        <w:tab/>
      </w:r>
      <w:r w:rsidRPr="00EC017A">
        <w:rPr>
          <w:rFonts w:ascii="黑体" w:eastAsia="黑体" w:hAnsi="黑体" w:hint="eastAsia"/>
        </w:rPr>
        <w:t>创造更多的机会让妇女获得全职工作，包括通过以权利为本的国家儿童保育框架，以提供足够和适当的儿童保育设施，并建立法律框架，确保在不影响母亲产假权利的情况下提供带薪陪产假</w:t>
      </w:r>
      <w:r>
        <w:rPr>
          <w:rFonts w:hint="eastAsia"/>
        </w:rPr>
        <w:t>；</w:t>
      </w:r>
    </w:p>
    <w:p w:rsidR="002A1FD7" w:rsidRDefault="002A1FD7" w:rsidP="00EC017A">
      <w:pPr>
        <w:pStyle w:val="SingleTxt"/>
        <w:spacing w:after="120" w:line="318" w:lineRule="exact"/>
      </w:pPr>
      <w:r>
        <w:rPr>
          <w:rFonts w:hint="eastAsia"/>
        </w:rPr>
        <w:tab/>
        <w:t>(d)</w:t>
      </w:r>
      <w:r>
        <w:rPr>
          <w:rFonts w:hint="eastAsia"/>
        </w:rPr>
        <w:tab/>
      </w:r>
      <w:r w:rsidRPr="00EC017A">
        <w:rPr>
          <w:rFonts w:ascii="黑体" w:eastAsia="黑体" w:hAnsi="黑体" w:hint="eastAsia"/>
        </w:rPr>
        <w:t>确保在起草2020年养恤金制度改革方案时，无歧视地考虑到从事无酬照料工作的妇女的状况</w:t>
      </w:r>
      <w:r>
        <w:rPr>
          <w:rFonts w:hint="eastAsia"/>
        </w:rPr>
        <w:t>；</w:t>
      </w:r>
    </w:p>
    <w:p w:rsidR="002A1FD7" w:rsidRDefault="002A1FD7" w:rsidP="00EC017A">
      <w:pPr>
        <w:pStyle w:val="SingleTxt"/>
        <w:spacing w:after="120" w:line="318" w:lineRule="exact"/>
      </w:pPr>
      <w:r>
        <w:rPr>
          <w:rFonts w:hint="eastAsia"/>
        </w:rPr>
        <w:tab/>
        <w:t>(e)</w:t>
      </w:r>
      <w:r>
        <w:rPr>
          <w:rFonts w:hint="eastAsia"/>
        </w:rPr>
        <w:tab/>
      </w:r>
      <w:r w:rsidRPr="00EC017A">
        <w:rPr>
          <w:rFonts w:ascii="黑体" w:eastAsia="黑体" w:hAnsi="黑体" w:hint="eastAsia"/>
        </w:rPr>
        <w:t>确保在工作场所遭到歧视性骚扰的受害者能够获得有效机制和补救，并鼓励雇主定期审查公司文化，以防止发生此类事件</w:t>
      </w:r>
      <w:r>
        <w:rPr>
          <w:rFonts w:hint="eastAsia"/>
        </w:rPr>
        <w:t>；</w:t>
      </w:r>
    </w:p>
    <w:p w:rsidR="002A1FD7" w:rsidRDefault="002A1FD7" w:rsidP="00EC017A">
      <w:pPr>
        <w:pStyle w:val="SingleTxt"/>
        <w:spacing w:after="120" w:line="318" w:lineRule="exact"/>
      </w:pPr>
      <w:r>
        <w:rPr>
          <w:rFonts w:hint="eastAsia"/>
        </w:rPr>
        <w:tab/>
        <w:t>(f)</w:t>
      </w:r>
      <w:r>
        <w:rPr>
          <w:rFonts w:hint="eastAsia"/>
        </w:rPr>
        <w:tab/>
      </w:r>
      <w:r w:rsidRPr="00EC017A">
        <w:rPr>
          <w:rFonts w:ascii="黑体" w:eastAsia="黑体" w:hAnsi="黑体" w:hint="eastAsia"/>
        </w:rPr>
        <w:t>考虑到弱势妇女群体，特别是移徙妇女、难民妇女和寻求庇护的妇女以及残疾妇女，并采用有针对性的措施，为这些妇女创造更多就业机会</w:t>
      </w:r>
      <w:r>
        <w:rPr>
          <w:rFonts w:hint="eastAsia"/>
        </w:rPr>
        <w:t>。</w:t>
      </w:r>
    </w:p>
    <w:p w:rsidR="002A1FD7" w:rsidRPr="00EC017A" w:rsidRDefault="002A1FD7" w:rsidP="00EC017A">
      <w:pPr>
        <w:pStyle w:val="SingleTxt"/>
        <w:spacing w:after="120" w:line="318" w:lineRule="exact"/>
        <w:rPr>
          <w:rFonts w:ascii="黑体" w:eastAsia="黑体" w:hAnsi="黑体"/>
        </w:rPr>
      </w:pPr>
      <w:r w:rsidRPr="00EC017A">
        <w:rPr>
          <w:rFonts w:ascii="黑体" w:eastAsia="黑体" w:hAnsi="黑体" w:hint="eastAsia"/>
        </w:rPr>
        <w:t>卫生</w:t>
      </w:r>
    </w:p>
    <w:p w:rsidR="002A1FD7" w:rsidRDefault="002A1FD7" w:rsidP="002A1FD7">
      <w:pPr>
        <w:pStyle w:val="SingleTxt"/>
      </w:pPr>
      <w:r>
        <w:rPr>
          <w:rFonts w:hint="eastAsia"/>
        </w:rPr>
        <w:t>38.</w:t>
      </w:r>
      <w:r>
        <w:rPr>
          <w:rFonts w:hint="eastAsia"/>
        </w:rPr>
        <w:tab/>
      </w:r>
      <w:r>
        <w:rPr>
          <w:rFonts w:hint="eastAsia"/>
        </w:rPr>
        <w:t>委员会欢迎缔约国采取措施解决各州在获得保健服务方面的差异，特别是瑞士国民和移徙者之间的差异。但是，委员会仍感到关切的是：</w:t>
      </w:r>
    </w:p>
    <w:p w:rsidR="002A1FD7" w:rsidRDefault="002A1FD7" w:rsidP="003B0EBC">
      <w:pPr>
        <w:pStyle w:val="SingleTxt"/>
        <w:spacing w:line="326" w:lineRule="exact"/>
      </w:pPr>
      <w:r>
        <w:rPr>
          <w:rFonts w:hint="eastAsia"/>
        </w:rPr>
        <w:tab/>
        <w:t>(a)</w:t>
      </w:r>
      <w:r>
        <w:rPr>
          <w:rFonts w:hint="eastAsia"/>
        </w:rPr>
        <w:tab/>
      </w:r>
      <w:r>
        <w:rPr>
          <w:rFonts w:hint="eastAsia"/>
        </w:rPr>
        <w:t>语言障碍和缺乏认识往往妨碍移徙妇女利用保健设施，包括获得生殖保健服务；</w:t>
      </w:r>
    </w:p>
    <w:p w:rsidR="002A1FD7" w:rsidRDefault="002A1FD7" w:rsidP="003B0EBC">
      <w:pPr>
        <w:pStyle w:val="SingleTxt"/>
        <w:spacing w:line="326" w:lineRule="exact"/>
      </w:pPr>
      <w:r>
        <w:rPr>
          <w:rFonts w:hint="eastAsia"/>
        </w:rPr>
        <w:tab/>
        <w:t>(b)</w:t>
      </w:r>
      <w:r>
        <w:rPr>
          <w:rFonts w:hint="eastAsia"/>
        </w:rPr>
        <w:tab/>
      </w:r>
      <w:r>
        <w:rPr>
          <w:rFonts w:hint="eastAsia"/>
        </w:rPr>
        <w:t>各州在适龄性教育方面存在差异，并由此产生少女怀孕的风险；</w:t>
      </w:r>
    </w:p>
    <w:p w:rsidR="002A1FD7" w:rsidRDefault="002A1FD7" w:rsidP="003B0EBC">
      <w:pPr>
        <w:pStyle w:val="SingleTxt"/>
        <w:spacing w:line="326" w:lineRule="exact"/>
      </w:pPr>
      <w:r>
        <w:rPr>
          <w:rFonts w:hint="eastAsia"/>
        </w:rPr>
        <w:tab/>
        <w:t>(c)</w:t>
      </w:r>
      <w:r>
        <w:rPr>
          <w:rFonts w:hint="eastAsia"/>
        </w:rPr>
        <w:tab/>
      </w:r>
      <w:r>
        <w:rPr>
          <w:rFonts w:hint="eastAsia"/>
        </w:rPr>
        <w:t>各州在提供支助服务方面存在差异，并且没有将女同性恋、双性恋、变性人和双性人纳入健康调查和登记；</w:t>
      </w:r>
    </w:p>
    <w:p w:rsidR="002A1FD7" w:rsidRDefault="002A1FD7" w:rsidP="003B0EBC">
      <w:pPr>
        <w:pStyle w:val="SingleTxt"/>
        <w:spacing w:line="326" w:lineRule="exact"/>
      </w:pPr>
      <w:r>
        <w:rPr>
          <w:rFonts w:hint="eastAsia"/>
        </w:rPr>
        <w:tab/>
        <w:t>(d)</w:t>
      </w:r>
      <w:r>
        <w:rPr>
          <w:rFonts w:hint="eastAsia"/>
        </w:rPr>
        <w:tab/>
      </w:r>
      <w:r>
        <w:rPr>
          <w:rFonts w:hint="eastAsia"/>
        </w:rPr>
        <w:t>持续存在针对变性者的性别变更治疗，包括非自愿医疗，例如激素治疗或绝育手术，并且费用昂贵；</w:t>
      </w:r>
    </w:p>
    <w:p w:rsidR="002A1FD7" w:rsidRDefault="002A1FD7" w:rsidP="003B0EBC">
      <w:pPr>
        <w:pStyle w:val="SingleTxt"/>
        <w:spacing w:line="326" w:lineRule="exact"/>
      </w:pPr>
      <w:r>
        <w:rPr>
          <w:rFonts w:hint="eastAsia"/>
        </w:rPr>
        <w:tab/>
        <w:t>(e)</w:t>
      </w:r>
      <w:r>
        <w:rPr>
          <w:rFonts w:hint="eastAsia"/>
        </w:rPr>
        <w:tab/>
      </w:r>
      <w:r>
        <w:rPr>
          <w:rFonts w:hint="eastAsia"/>
        </w:rPr>
        <w:t>没有按性别分列的关于缔约国艾滋病毒</w:t>
      </w:r>
      <w:r>
        <w:rPr>
          <w:rFonts w:hint="eastAsia"/>
        </w:rPr>
        <w:t>/</w:t>
      </w:r>
      <w:r>
        <w:rPr>
          <w:rFonts w:hint="eastAsia"/>
        </w:rPr>
        <w:t>艾滋病病例的资料和数据，也没有采取措施降低卖淫妇女感染艾滋病毒</w:t>
      </w:r>
      <w:r>
        <w:rPr>
          <w:rFonts w:hint="eastAsia"/>
        </w:rPr>
        <w:t>/</w:t>
      </w:r>
      <w:r>
        <w:rPr>
          <w:rFonts w:hint="eastAsia"/>
        </w:rPr>
        <w:t>艾滋病和性传播疾病的风险。</w:t>
      </w:r>
    </w:p>
    <w:p w:rsidR="002A1FD7" w:rsidRDefault="002A1FD7" w:rsidP="003B0EBC">
      <w:pPr>
        <w:pStyle w:val="SingleTxt"/>
        <w:spacing w:line="326" w:lineRule="exact"/>
      </w:pPr>
      <w:r>
        <w:rPr>
          <w:rFonts w:hint="eastAsia"/>
        </w:rPr>
        <w:t>39.</w:t>
      </w:r>
      <w:r>
        <w:rPr>
          <w:rFonts w:hint="eastAsia"/>
        </w:rPr>
        <w:tab/>
      </w:r>
      <w:r w:rsidRPr="003B0EBC">
        <w:rPr>
          <w:rFonts w:ascii="黑体" w:eastAsia="黑体" w:hAnsi="黑体" w:hint="eastAsia"/>
        </w:rPr>
        <w:t>委员会根据关于妇女和保健的第24</w:t>
      </w:r>
      <w:r w:rsidR="00A52FC3" w:rsidRPr="003B0EBC">
        <w:rPr>
          <w:rFonts w:ascii="黑体" w:eastAsia="黑体" w:hAnsi="黑体" w:hint="eastAsia"/>
        </w:rPr>
        <w:t>(</w:t>
      </w:r>
      <w:r w:rsidRPr="003B0EBC">
        <w:rPr>
          <w:rFonts w:ascii="黑体" w:eastAsia="黑体" w:hAnsi="黑体" w:hint="eastAsia"/>
        </w:rPr>
        <w:t>1999</w:t>
      </w:r>
      <w:r w:rsidR="00A52FC3" w:rsidRPr="003B0EBC">
        <w:rPr>
          <w:rFonts w:ascii="黑体" w:eastAsia="黑体" w:hAnsi="黑体" w:hint="eastAsia"/>
        </w:rPr>
        <w:t>)</w:t>
      </w:r>
      <w:r w:rsidRPr="003B0EBC">
        <w:rPr>
          <w:rFonts w:ascii="黑体" w:eastAsia="黑体" w:hAnsi="黑体" w:hint="eastAsia"/>
        </w:rPr>
        <w:t>号一般性建议，建议缔约国</w:t>
      </w:r>
      <w:r>
        <w:rPr>
          <w:rFonts w:hint="eastAsia"/>
        </w:rPr>
        <w:t>：</w:t>
      </w:r>
    </w:p>
    <w:p w:rsidR="002A1FD7" w:rsidRDefault="002A1FD7" w:rsidP="003B0EBC">
      <w:pPr>
        <w:pStyle w:val="SingleTxt"/>
        <w:spacing w:line="326" w:lineRule="exact"/>
      </w:pPr>
      <w:r>
        <w:rPr>
          <w:rFonts w:hint="eastAsia"/>
        </w:rPr>
        <w:tab/>
        <w:t>(a)</w:t>
      </w:r>
      <w:r>
        <w:rPr>
          <w:rFonts w:hint="eastAsia"/>
        </w:rPr>
        <w:tab/>
      </w:r>
      <w:r w:rsidRPr="003B0EBC">
        <w:rPr>
          <w:rFonts w:ascii="黑体" w:eastAsia="黑体" w:hAnsi="黑体" w:hint="eastAsia"/>
        </w:rPr>
        <w:t>确保医务专业人员了解移徙妇女在获得医疗保健方面面临的文化和语言障碍，确保按要求提供女医务人员；采取步骤，以相关语言在移民社区开展关于如何获得医疗保健服务，包括性健康和生殖健康服务的提高认识运动</w:t>
      </w:r>
      <w:r>
        <w:rPr>
          <w:rFonts w:hint="eastAsia"/>
        </w:rPr>
        <w:t>；</w:t>
      </w:r>
    </w:p>
    <w:p w:rsidR="002A1FD7" w:rsidRDefault="002A1FD7" w:rsidP="003B0EBC">
      <w:pPr>
        <w:pStyle w:val="SingleTxt"/>
        <w:spacing w:line="326" w:lineRule="exact"/>
      </w:pPr>
      <w:r>
        <w:rPr>
          <w:rFonts w:hint="eastAsia"/>
        </w:rPr>
        <w:tab/>
        <w:t>(b)</w:t>
      </w:r>
      <w:r>
        <w:rPr>
          <w:rFonts w:hint="eastAsia"/>
        </w:rPr>
        <w:tab/>
      </w:r>
      <w:r w:rsidRPr="003B0EBC">
        <w:rPr>
          <w:rFonts w:ascii="黑体" w:eastAsia="黑体" w:hAnsi="黑体" w:hint="eastAsia"/>
        </w:rPr>
        <w:t>确保将适龄性教育纳入各州的课程，并为教师提供培训</w:t>
      </w:r>
      <w:r>
        <w:rPr>
          <w:rFonts w:hint="eastAsia"/>
        </w:rPr>
        <w:t>；</w:t>
      </w:r>
    </w:p>
    <w:p w:rsidR="002A1FD7" w:rsidRDefault="002A1FD7" w:rsidP="003B0EBC">
      <w:pPr>
        <w:pStyle w:val="SingleTxt"/>
        <w:spacing w:line="326" w:lineRule="exact"/>
      </w:pPr>
      <w:r>
        <w:rPr>
          <w:rFonts w:hint="eastAsia"/>
        </w:rPr>
        <w:tab/>
        <w:t>(c)</w:t>
      </w:r>
      <w:r>
        <w:rPr>
          <w:rFonts w:hint="eastAsia"/>
        </w:rPr>
        <w:tab/>
      </w:r>
      <w:r w:rsidRPr="003B0EBC">
        <w:rPr>
          <w:rFonts w:ascii="黑体" w:eastAsia="黑体" w:hAnsi="黑体" w:hint="eastAsia"/>
        </w:rPr>
        <w:t>在全国健康调查和登记中提到女同性恋、双性恋、变性人和两性人及相关记录</w:t>
      </w:r>
      <w:r>
        <w:rPr>
          <w:rFonts w:hint="eastAsia"/>
        </w:rPr>
        <w:t>；</w:t>
      </w:r>
    </w:p>
    <w:p w:rsidR="002A1FD7" w:rsidRDefault="002A1FD7" w:rsidP="003B0EBC">
      <w:pPr>
        <w:pStyle w:val="SingleTxt"/>
        <w:spacing w:line="326" w:lineRule="exact"/>
      </w:pPr>
      <w:r>
        <w:rPr>
          <w:rFonts w:hint="eastAsia"/>
        </w:rPr>
        <w:tab/>
        <w:t>(d)</w:t>
      </w:r>
      <w:r>
        <w:rPr>
          <w:rFonts w:hint="eastAsia"/>
        </w:rPr>
        <w:tab/>
      </w:r>
      <w:r w:rsidRPr="003B0EBC">
        <w:rPr>
          <w:rFonts w:ascii="黑体" w:eastAsia="黑体" w:hAnsi="黑体" w:hint="eastAsia"/>
        </w:rPr>
        <w:t>审查民事法院作出的要求变性人在获得法律上的性别承认之前接受手术和/或激素治疗的裁决，并确保此类干预措施的费用得到偿还</w:t>
      </w:r>
      <w:r>
        <w:rPr>
          <w:rFonts w:hint="eastAsia"/>
        </w:rPr>
        <w:t>；</w:t>
      </w:r>
    </w:p>
    <w:p w:rsidR="002A1FD7" w:rsidRPr="003B0EBC" w:rsidRDefault="002A1FD7" w:rsidP="003B0EBC">
      <w:pPr>
        <w:pStyle w:val="SingleTxt"/>
        <w:spacing w:line="326" w:lineRule="exact"/>
        <w:rPr>
          <w:rFonts w:ascii="黑体" w:eastAsia="黑体" w:hAnsi="黑体"/>
        </w:rPr>
      </w:pPr>
      <w:r>
        <w:rPr>
          <w:rFonts w:hint="eastAsia"/>
        </w:rPr>
        <w:tab/>
        <w:t>(e)</w:t>
      </w:r>
      <w:r>
        <w:rPr>
          <w:rFonts w:hint="eastAsia"/>
        </w:rPr>
        <w:tab/>
      </w:r>
      <w:r w:rsidRPr="003B0EBC">
        <w:rPr>
          <w:rFonts w:ascii="黑体" w:eastAsia="黑体" w:hAnsi="黑体" w:hint="eastAsia"/>
        </w:rPr>
        <w:t>采取措施，收集关于艾滋病毒/艾滋病和性传播感染病例的数据，并确保向所有感染艾滋病毒/艾滋病的妇女和女童提供适合年龄的性健康和生殖健康服务和治疗，包括保密服务。</w:t>
      </w:r>
    </w:p>
    <w:p w:rsidR="002A1FD7" w:rsidRDefault="002A1FD7" w:rsidP="003B0EBC">
      <w:pPr>
        <w:pStyle w:val="SingleTxt"/>
        <w:spacing w:line="326" w:lineRule="exact"/>
      </w:pPr>
      <w:r w:rsidRPr="003B0EBC">
        <w:rPr>
          <w:rFonts w:ascii="黑体" w:eastAsia="黑体" w:hAnsi="黑体" w:hint="eastAsia"/>
        </w:rPr>
        <w:t>增强妇女经济权能</w:t>
      </w:r>
    </w:p>
    <w:p w:rsidR="002A1FD7" w:rsidRDefault="002A1FD7" w:rsidP="003B0EBC">
      <w:pPr>
        <w:pStyle w:val="SingleTxt"/>
        <w:spacing w:line="326" w:lineRule="exact"/>
      </w:pPr>
      <w:r>
        <w:rPr>
          <w:rFonts w:hint="eastAsia"/>
        </w:rPr>
        <w:t>40.</w:t>
      </w:r>
      <w:r>
        <w:rPr>
          <w:rFonts w:hint="eastAsia"/>
        </w:rPr>
        <w:tab/>
      </w:r>
      <w:r>
        <w:rPr>
          <w:rFonts w:hint="eastAsia"/>
        </w:rPr>
        <w:t>委员会欢迎瑞士联邦委员会</w:t>
      </w:r>
      <w:r>
        <w:rPr>
          <w:rFonts w:hint="eastAsia"/>
        </w:rPr>
        <w:t>2016</w:t>
      </w:r>
      <w:r>
        <w:rPr>
          <w:rFonts w:hint="eastAsia"/>
        </w:rPr>
        <w:t>年发布的一份关于非法资金流动的报告，但感到关切的是：</w:t>
      </w:r>
    </w:p>
    <w:p w:rsidR="002A1FD7" w:rsidRDefault="003B0EBC" w:rsidP="003B0EBC">
      <w:pPr>
        <w:pStyle w:val="SingleTxt"/>
      </w:pPr>
      <w:r>
        <w:rPr>
          <w:rFonts w:hint="eastAsia"/>
        </w:rPr>
        <w:tab/>
      </w:r>
      <w:r w:rsidR="002A1FD7">
        <w:rPr>
          <w:rFonts w:hint="eastAsia"/>
        </w:rPr>
        <w:t>(a)</w:t>
      </w:r>
      <w:r w:rsidR="002A1FD7">
        <w:rPr>
          <w:rFonts w:hint="eastAsia"/>
        </w:rPr>
        <w:tab/>
      </w:r>
      <w:r w:rsidR="002A1FD7">
        <w:rPr>
          <w:rFonts w:hint="eastAsia"/>
        </w:rPr>
        <w:t>缺乏有效和透明的条例和机制，评估预算短缺对妇女、特别是发展中国家妇女的影响；</w:t>
      </w:r>
    </w:p>
    <w:p w:rsidR="002A1FD7" w:rsidRDefault="003B0EBC" w:rsidP="003B0EBC">
      <w:pPr>
        <w:pStyle w:val="SingleTxt"/>
      </w:pPr>
      <w:r>
        <w:rPr>
          <w:rFonts w:hint="eastAsia"/>
        </w:rPr>
        <w:tab/>
      </w:r>
      <w:r w:rsidR="002A1FD7">
        <w:rPr>
          <w:rFonts w:hint="eastAsia"/>
        </w:rPr>
        <w:t>(b)</w:t>
      </w:r>
      <w:r w:rsidR="002A1FD7">
        <w:rPr>
          <w:rFonts w:hint="eastAsia"/>
        </w:rPr>
        <w:tab/>
      </w:r>
      <w:r w:rsidR="002A1FD7">
        <w:rPr>
          <w:rFonts w:hint="eastAsia"/>
        </w:rPr>
        <w:t>在进行国际贸易和投资协定谈判之前没有开展明确考虑妇女人权的影响评估；</w:t>
      </w:r>
    </w:p>
    <w:p w:rsidR="002A1FD7" w:rsidRDefault="003B0EBC" w:rsidP="003B0EBC">
      <w:pPr>
        <w:pStyle w:val="SingleTxt"/>
        <w:spacing w:line="326" w:lineRule="exact"/>
      </w:pPr>
      <w:r>
        <w:rPr>
          <w:rFonts w:hint="eastAsia"/>
        </w:rPr>
        <w:tab/>
      </w:r>
      <w:r w:rsidR="002A1FD7">
        <w:rPr>
          <w:rFonts w:hint="eastAsia"/>
        </w:rPr>
        <w:t>(c)</w:t>
      </w:r>
      <w:r w:rsidR="002A1FD7">
        <w:rPr>
          <w:rFonts w:hint="eastAsia"/>
        </w:rPr>
        <w:tab/>
      </w:r>
      <w:r w:rsidR="002A1FD7">
        <w:rPr>
          <w:rFonts w:hint="eastAsia"/>
        </w:rPr>
        <w:t>缔约国的金融保密政策和公司报告和税收规则可能会对其他国家，特别是那些已经收入不足的国家调动尽可能多的资源用于实现妇女权利的能力产生负面影响。</w:t>
      </w:r>
    </w:p>
    <w:p w:rsidR="002A1FD7" w:rsidRDefault="002A1FD7" w:rsidP="002A1FD7">
      <w:pPr>
        <w:pStyle w:val="SingleTxt"/>
      </w:pPr>
      <w:r>
        <w:rPr>
          <w:rFonts w:hint="eastAsia"/>
        </w:rPr>
        <w:t>41.</w:t>
      </w:r>
      <w:r>
        <w:rPr>
          <w:rFonts w:hint="eastAsia"/>
        </w:rPr>
        <w:tab/>
      </w:r>
      <w:r w:rsidRPr="003B0EBC">
        <w:rPr>
          <w:rFonts w:ascii="黑体" w:eastAsia="黑体" w:hAnsi="黑体" w:hint="eastAsia"/>
        </w:rPr>
        <w:t>根据其关于缔约国在《公约》第二条之下核心义务的第28号一般性建议，委员会建议缔约国</w:t>
      </w:r>
      <w:r>
        <w:rPr>
          <w:rFonts w:hint="eastAsia"/>
        </w:rPr>
        <w:t>：</w:t>
      </w:r>
    </w:p>
    <w:p w:rsidR="002A1FD7" w:rsidRDefault="003B0EBC" w:rsidP="002A1FD7">
      <w:pPr>
        <w:pStyle w:val="SingleTxt"/>
      </w:pPr>
      <w:r>
        <w:rPr>
          <w:rFonts w:hint="eastAsia"/>
        </w:rPr>
        <w:tab/>
      </w:r>
      <w:r w:rsidR="002A1FD7">
        <w:rPr>
          <w:rFonts w:hint="eastAsia"/>
        </w:rPr>
        <w:t>(a)</w:t>
      </w:r>
      <w:r w:rsidR="002A1FD7">
        <w:rPr>
          <w:rFonts w:hint="eastAsia"/>
        </w:rPr>
        <w:tab/>
      </w:r>
      <w:r w:rsidR="002A1FD7" w:rsidRPr="003B0EBC">
        <w:rPr>
          <w:rFonts w:ascii="黑体" w:eastAsia="黑体" w:hAnsi="黑体" w:hint="eastAsia"/>
        </w:rPr>
        <w:t>就其金融保密和公司税务政策对妇女权利和实质性平等的域外影响定期开展独立和参与性评估，确保评估以公正的方式进行，并公开披露评估方法和结果</w:t>
      </w:r>
      <w:r w:rsidR="002A1FD7">
        <w:rPr>
          <w:rFonts w:hint="eastAsia"/>
        </w:rPr>
        <w:t>；</w:t>
      </w:r>
    </w:p>
    <w:p w:rsidR="002A1FD7" w:rsidRDefault="003B0EBC" w:rsidP="002A1FD7">
      <w:pPr>
        <w:pStyle w:val="SingleTxt"/>
      </w:pPr>
      <w:r>
        <w:rPr>
          <w:rFonts w:hint="eastAsia"/>
        </w:rPr>
        <w:tab/>
      </w:r>
      <w:r w:rsidR="002A1FD7">
        <w:rPr>
          <w:rFonts w:hint="eastAsia"/>
        </w:rPr>
        <w:t>(b)</w:t>
      </w:r>
      <w:r w:rsidR="002A1FD7">
        <w:rPr>
          <w:rFonts w:hint="eastAsia"/>
        </w:rPr>
        <w:tab/>
      </w:r>
      <w:r w:rsidR="002A1FD7" w:rsidRPr="003B0EBC">
        <w:rPr>
          <w:rFonts w:ascii="黑体" w:eastAsia="黑体" w:hAnsi="黑体" w:hint="eastAsia"/>
        </w:rPr>
        <w:t>确保缔约国谈判的贸易和投资协定承认其根据《公约》承担的义务，并明确考虑对妇女权利的影响</w:t>
      </w:r>
      <w:r w:rsidR="002A1FD7">
        <w:rPr>
          <w:rFonts w:hint="eastAsia"/>
        </w:rPr>
        <w:t>；</w:t>
      </w:r>
    </w:p>
    <w:p w:rsidR="002A1FD7" w:rsidRPr="003B0EBC" w:rsidRDefault="003B0EBC" w:rsidP="002A1FD7">
      <w:pPr>
        <w:pStyle w:val="SingleTxt"/>
        <w:rPr>
          <w:rFonts w:ascii="黑体" w:eastAsia="黑体" w:hAnsi="黑体"/>
        </w:rPr>
      </w:pPr>
      <w:r>
        <w:rPr>
          <w:rFonts w:hint="eastAsia"/>
        </w:rPr>
        <w:tab/>
      </w:r>
      <w:r w:rsidR="002A1FD7">
        <w:rPr>
          <w:rFonts w:hint="eastAsia"/>
        </w:rPr>
        <w:t>(c)</w:t>
      </w:r>
      <w:r w:rsidR="002A1FD7">
        <w:rPr>
          <w:rFonts w:hint="eastAsia"/>
        </w:rPr>
        <w:tab/>
      </w:r>
      <w:r w:rsidR="002A1FD7" w:rsidRPr="003B0EBC">
        <w:rPr>
          <w:rFonts w:ascii="黑体" w:eastAsia="黑体" w:hAnsi="黑体" w:hint="eastAsia"/>
        </w:rPr>
        <w:t>加强关于在缔约国注册或开设的公司在国外活动的立法。</w:t>
      </w:r>
    </w:p>
    <w:p w:rsidR="002A1FD7" w:rsidRPr="003B0EBC" w:rsidRDefault="002A1FD7" w:rsidP="002A1FD7">
      <w:pPr>
        <w:pStyle w:val="SingleTxt"/>
        <w:rPr>
          <w:rFonts w:ascii="黑体" w:eastAsia="黑体" w:hAnsi="黑体"/>
        </w:rPr>
      </w:pPr>
      <w:r w:rsidRPr="003B0EBC">
        <w:rPr>
          <w:rFonts w:ascii="黑体" w:eastAsia="黑体" w:hAnsi="黑体" w:hint="eastAsia"/>
        </w:rPr>
        <w:t>贫困与社会福利</w:t>
      </w:r>
    </w:p>
    <w:p w:rsidR="002A1FD7" w:rsidRDefault="002A1FD7" w:rsidP="002A1FD7">
      <w:pPr>
        <w:pStyle w:val="SingleTxt"/>
      </w:pPr>
      <w:r>
        <w:rPr>
          <w:rFonts w:hint="eastAsia"/>
        </w:rPr>
        <w:t>42.</w:t>
      </w:r>
      <w:r>
        <w:rPr>
          <w:rFonts w:hint="eastAsia"/>
        </w:rPr>
        <w:tab/>
      </w:r>
      <w:r>
        <w:rPr>
          <w:rFonts w:hint="eastAsia"/>
        </w:rPr>
        <w:t>委员会欢迎缔约国根据</w:t>
      </w:r>
      <w:r>
        <w:rPr>
          <w:rFonts w:hint="eastAsia"/>
        </w:rPr>
        <w:t>2013</w:t>
      </w:r>
      <w:r>
        <w:rPr>
          <w:rFonts w:hint="eastAsia"/>
        </w:rPr>
        <w:t>年瑞士各州社会事务部长会议的建议，总体上减少了家庭贫困。但是，委员会关切的是：</w:t>
      </w:r>
    </w:p>
    <w:p w:rsidR="002A1FD7" w:rsidRDefault="002A1FD7" w:rsidP="002A1FD7">
      <w:pPr>
        <w:pStyle w:val="SingleTxt"/>
      </w:pPr>
      <w:r>
        <w:rPr>
          <w:rFonts w:hint="eastAsia"/>
        </w:rPr>
        <w:tab/>
        <w:t>(a)</w:t>
      </w:r>
      <w:r>
        <w:rPr>
          <w:rFonts w:hint="eastAsia"/>
        </w:rPr>
        <w:tab/>
      </w:r>
      <w:r>
        <w:rPr>
          <w:rFonts w:hint="eastAsia"/>
        </w:rPr>
        <w:t>妇女，特别是单身母亲、老年妇女、离婚农村妇女、移徙妇女、失业妇女和从事无酬照料工作的妇女，尤其受到贫困的影响；</w:t>
      </w:r>
    </w:p>
    <w:p w:rsidR="002A1FD7" w:rsidRDefault="002A1FD7" w:rsidP="002A1FD7">
      <w:pPr>
        <w:pStyle w:val="SingleTxt"/>
      </w:pPr>
      <w:r>
        <w:rPr>
          <w:rFonts w:hint="eastAsia"/>
        </w:rPr>
        <w:tab/>
        <w:t>(b)</w:t>
      </w:r>
      <w:r>
        <w:rPr>
          <w:rFonts w:hint="eastAsia"/>
        </w:rPr>
        <w:tab/>
      </w:r>
      <w:r>
        <w:rPr>
          <w:rFonts w:hint="eastAsia"/>
        </w:rPr>
        <w:t>各州的抚养费规则有很大差异，包括如果父母一方没有尽到对子女的抚养义务，在某些情况下可能要求受益的父母一方偿还抚养费；</w:t>
      </w:r>
    </w:p>
    <w:p w:rsidR="002A1FD7" w:rsidRDefault="002A1FD7" w:rsidP="002A1FD7">
      <w:pPr>
        <w:pStyle w:val="SingleTxt"/>
      </w:pPr>
      <w:r>
        <w:rPr>
          <w:rFonts w:hint="eastAsia"/>
        </w:rPr>
        <w:tab/>
        <w:t>(c)</w:t>
      </w:r>
      <w:r>
        <w:rPr>
          <w:rFonts w:hint="eastAsia"/>
        </w:rPr>
        <w:tab/>
      </w:r>
      <w:r>
        <w:rPr>
          <w:rFonts w:hint="eastAsia"/>
        </w:rPr>
        <w:t>抚养费作为收入征税，最终会增加单亲的税务负担，导致本已有限的财政资源更加紧张；</w:t>
      </w:r>
    </w:p>
    <w:p w:rsidR="002A1FD7" w:rsidRDefault="002A1FD7" w:rsidP="002A1FD7">
      <w:pPr>
        <w:pStyle w:val="SingleTxt"/>
      </w:pPr>
      <w:r>
        <w:rPr>
          <w:rFonts w:hint="eastAsia"/>
        </w:rPr>
        <w:tab/>
        <w:t>(d)</w:t>
      </w:r>
      <w:r>
        <w:rPr>
          <w:rFonts w:hint="eastAsia"/>
        </w:rPr>
        <w:tab/>
      </w:r>
      <w:r>
        <w:rPr>
          <w:rFonts w:hint="eastAsia"/>
        </w:rPr>
        <w:t>联邦委员会拒绝在父母离异后对儿童实行最低抚养费标准。</w:t>
      </w:r>
    </w:p>
    <w:p w:rsidR="002A1FD7" w:rsidRDefault="002A1FD7" w:rsidP="002A1FD7">
      <w:pPr>
        <w:pStyle w:val="SingleTxt"/>
      </w:pPr>
      <w:r>
        <w:rPr>
          <w:rFonts w:hint="eastAsia"/>
        </w:rPr>
        <w:t>43.</w:t>
      </w:r>
      <w:r>
        <w:rPr>
          <w:rFonts w:hint="eastAsia"/>
        </w:rPr>
        <w:tab/>
      </w:r>
      <w:r w:rsidRPr="003B0EBC">
        <w:rPr>
          <w:rFonts w:ascii="黑体" w:eastAsia="黑体" w:hAnsi="黑体" w:hint="eastAsia"/>
        </w:rPr>
        <w:t>委员会建议缔约国</w:t>
      </w:r>
      <w:r>
        <w:rPr>
          <w:rFonts w:hint="eastAsia"/>
        </w:rPr>
        <w:t>：</w:t>
      </w:r>
    </w:p>
    <w:p w:rsidR="002A1FD7" w:rsidRDefault="002A1FD7" w:rsidP="002A1FD7">
      <w:pPr>
        <w:pStyle w:val="SingleTxt"/>
      </w:pPr>
      <w:r>
        <w:rPr>
          <w:rFonts w:hint="eastAsia"/>
        </w:rPr>
        <w:tab/>
        <w:t>(a)</w:t>
      </w:r>
      <w:r>
        <w:rPr>
          <w:rFonts w:hint="eastAsia"/>
        </w:rPr>
        <w:tab/>
      </w:r>
      <w:r w:rsidRPr="003B0EBC">
        <w:rPr>
          <w:rFonts w:ascii="黑体" w:eastAsia="黑体" w:hAnsi="黑体" w:hint="eastAsia"/>
        </w:rPr>
        <w:t>通过一项国家减贫战略，重点关注处境最为不利和最弱势的妇女群体，并纳入基于人权和性别平等的方针</w:t>
      </w:r>
      <w:r>
        <w:rPr>
          <w:rFonts w:hint="eastAsia"/>
        </w:rPr>
        <w:t>；</w:t>
      </w:r>
    </w:p>
    <w:p w:rsidR="002A1FD7" w:rsidRDefault="002A1FD7" w:rsidP="002A1FD7">
      <w:pPr>
        <w:pStyle w:val="SingleTxt"/>
      </w:pPr>
      <w:r>
        <w:rPr>
          <w:rFonts w:hint="eastAsia"/>
        </w:rPr>
        <w:tab/>
        <w:t>(b)</w:t>
      </w:r>
      <w:r>
        <w:rPr>
          <w:rFonts w:hint="eastAsia"/>
        </w:rPr>
        <w:tab/>
      </w:r>
      <w:r w:rsidRPr="003B0EBC">
        <w:rPr>
          <w:rFonts w:ascii="黑体" w:eastAsia="黑体" w:hAnsi="黑体" w:hint="eastAsia"/>
        </w:rPr>
        <w:t>采纳2013年瑞士各州社会事务部长会议就如何制定儿童抚养费制度以及取消受益父母一方偿还抚养费的义务提出的建议，并在所有各州落实这些建议</w:t>
      </w:r>
      <w:r>
        <w:rPr>
          <w:rFonts w:hint="eastAsia"/>
        </w:rPr>
        <w:t>；</w:t>
      </w:r>
    </w:p>
    <w:p w:rsidR="002A1FD7" w:rsidRPr="003B0EBC" w:rsidRDefault="002A1FD7" w:rsidP="002A1FD7">
      <w:pPr>
        <w:pStyle w:val="SingleTxt"/>
        <w:rPr>
          <w:rFonts w:ascii="黑体" w:eastAsia="黑体" w:hAnsi="黑体"/>
        </w:rPr>
      </w:pPr>
      <w:r>
        <w:rPr>
          <w:rFonts w:hint="eastAsia"/>
        </w:rPr>
        <w:tab/>
        <w:t>(c)</w:t>
      </w:r>
      <w:r w:rsidR="003B0EBC">
        <w:rPr>
          <w:rFonts w:hint="eastAsia"/>
        </w:rPr>
        <w:tab/>
      </w:r>
      <w:r w:rsidRPr="003B0EBC">
        <w:rPr>
          <w:rFonts w:ascii="黑体" w:eastAsia="黑体" w:hAnsi="黑体" w:hint="eastAsia"/>
        </w:rPr>
        <w:t>作为一个优先事项，实行联邦委员会提议的按经济情况测算子女补贴；</w:t>
      </w:r>
    </w:p>
    <w:p w:rsidR="002A1FD7" w:rsidRPr="003B0EBC" w:rsidRDefault="002A1FD7" w:rsidP="002A1FD7">
      <w:pPr>
        <w:pStyle w:val="SingleTxt"/>
        <w:rPr>
          <w:rFonts w:ascii="黑体" w:eastAsia="黑体" w:hAnsi="黑体"/>
        </w:rPr>
      </w:pPr>
      <w:r>
        <w:rPr>
          <w:rFonts w:hint="eastAsia"/>
        </w:rPr>
        <w:tab/>
        <w:t>(d)</w:t>
      </w:r>
      <w:r>
        <w:rPr>
          <w:rFonts w:hint="eastAsia"/>
        </w:rPr>
        <w:tab/>
      </w:r>
      <w:r w:rsidRPr="003B0EBC">
        <w:rPr>
          <w:rFonts w:ascii="黑体" w:eastAsia="黑体" w:hAnsi="黑体" w:hint="eastAsia"/>
        </w:rPr>
        <w:t>在父母分居或离异后实行儿童最低抚养费标准。</w:t>
      </w:r>
    </w:p>
    <w:p w:rsidR="002A1FD7" w:rsidRDefault="003B0EBC" w:rsidP="002A1FD7">
      <w:pPr>
        <w:pStyle w:val="SingleTxt"/>
      </w:pPr>
      <w:r>
        <w:rPr>
          <w:rFonts w:ascii="黑体" w:eastAsia="黑体" w:hAnsi="黑体" w:hint="eastAsia"/>
        </w:rPr>
        <w:tab/>
      </w:r>
      <w:r w:rsidR="002A1FD7" w:rsidRPr="003B0EBC">
        <w:rPr>
          <w:rFonts w:ascii="黑体" w:eastAsia="黑体" w:hAnsi="黑体" w:hint="eastAsia"/>
        </w:rPr>
        <w:t>农村妇女</w:t>
      </w:r>
    </w:p>
    <w:p w:rsidR="002A1FD7" w:rsidRDefault="002A1FD7" w:rsidP="002A1FD7">
      <w:pPr>
        <w:pStyle w:val="SingleTxt"/>
      </w:pPr>
      <w:r>
        <w:rPr>
          <w:rFonts w:hint="eastAsia"/>
        </w:rPr>
        <w:t>44.</w:t>
      </w:r>
      <w:r>
        <w:rPr>
          <w:rFonts w:hint="eastAsia"/>
        </w:rPr>
        <w:tab/>
      </w:r>
      <w:r>
        <w:rPr>
          <w:rFonts w:hint="eastAsia"/>
        </w:rPr>
        <w:t>委员会注意到缔约国提供的关于农村妇女的信息。然而，委员会仍然关切的是，离婚后的女性农民往往处于弱势地位，无法收回在农场投入的任何个人资产，无法获得失业保险福利。委员会还关切，关于财产继承的法律常常使丈夫去世后遗孀无法继承农场。委员会还对农民工会以及关于农民权利的其他政策、政治和立法机构中妇女代表性不足感到关切。</w:t>
      </w:r>
    </w:p>
    <w:p w:rsidR="002A1FD7" w:rsidRDefault="002A1FD7" w:rsidP="003B0EBC">
      <w:pPr>
        <w:pStyle w:val="SingleTxt"/>
        <w:spacing w:line="324" w:lineRule="exact"/>
      </w:pPr>
      <w:r>
        <w:rPr>
          <w:rFonts w:hint="eastAsia"/>
        </w:rPr>
        <w:t>45.</w:t>
      </w:r>
      <w:r>
        <w:rPr>
          <w:rFonts w:hint="eastAsia"/>
        </w:rPr>
        <w:tab/>
      </w:r>
      <w:r w:rsidRPr="003B0EBC">
        <w:rPr>
          <w:rFonts w:ascii="黑体" w:eastAsia="黑体" w:hAnsi="黑体" w:hint="eastAsia"/>
          <w:spacing w:val="2"/>
        </w:rPr>
        <w:t>委员会建议缔约国对增强农村妇女、特别是女性农民的经济权能予以充分重视，并确保她们能够获得和控制土地以及获得信贷服务和培训机会。委员会还建议缔约国采取步骤，提高农村妇女对分居或离婚情况下她们所享有的权利的认识</w:t>
      </w:r>
      <w:r w:rsidRPr="003B0EBC">
        <w:rPr>
          <w:rFonts w:ascii="黑体" w:eastAsia="黑体" w:hAnsi="黑体" w:hint="eastAsia"/>
        </w:rPr>
        <w:t>。</w:t>
      </w:r>
    </w:p>
    <w:p w:rsidR="002A1FD7" w:rsidRPr="003B0EBC" w:rsidRDefault="002A1FD7" w:rsidP="003B0EBC">
      <w:pPr>
        <w:pStyle w:val="SingleTxt"/>
        <w:spacing w:line="324" w:lineRule="exact"/>
        <w:rPr>
          <w:rFonts w:ascii="黑体" w:eastAsia="黑体" w:hAnsi="黑体"/>
        </w:rPr>
      </w:pPr>
      <w:r w:rsidRPr="003B0EBC">
        <w:rPr>
          <w:rFonts w:ascii="黑体" w:eastAsia="黑体" w:hAnsi="黑体" w:hint="eastAsia"/>
        </w:rPr>
        <w:t>处境不利的妇女群体</w:t>
      </w:r>
    </w:p>
    <w:p w:rsidR="002A1FD7" w:rsidRPr="003B0EBC" w:rsidRDefault="002A1FD7" w:rsidP="003B0EBC">
      <w:pPr>
        <w:pStyle w:val="SingleTxt"/>
        <w:spacing w:line="324" w:lineRule="exact"/>
        <w:rPr>
          <w:rFonts w:ascii="楷体_GB2312" w:eastAsia="楷体_GB2312" w:hAnsi="楷体_GB2312"/>
        </w:rPr>
      </w:pPr>
      <w:r w:rsidRPr="003B0EBC">
        <w:rPr>
          <w:rFonts w:ascii="楷体_GB2312" w:eastAsia="楷体_GB2312" w:hAnsi="楷体_GB2312" w:hint="eastAsia"/>
        </w:rPr>
        <w:t>移徙妇女和少数族裔妇女</w:t>
      </w:r>
    </w:p>
    <w:p w:rsidR="002A1FD7" w:rsidRDefault="002A1FD7" w:rsidP="003B0EBC">
      <w:pPr>
        <w:pStyle w:val="SingleTxt"/>
        <w:spacing w:line="324" w:lineRule="exact"/>
      </w:pPr>
      <w:r>
        <w:rPr>
          <w:rFonts w:hint="eastAsia"/>
        </w:rPr>
        <w:t>46.</w:t>
      </w:r>
      <w:r>
        <w:rPr>
          <w:rFonts w:hint="eastAsia"/>
        </w:rPr>
        <w:tab/>
      </w:r>
      <w:r>
        <w:rPr>
          <w:rFonts w:hint="eastAsia"/>
        </w:rPr>
        <w:t>委员会注意到缔约国努力促进移徙妇女特别是穆斯林妇女以及少数群体妇女，包括罗姆妇女和相关团体、游民妇女和无证件妇女融入社会。然而，委员会关切地注意到：</w:t>
      </w:r>
    </w:p>
    <w:p w:rsidR="002A1FD7" w:rsidRDefault="002A1FD7" w:rsidP="003B0EBC">
      <w:pPr>
        <w:pStyle w:val="SingleTxt"/>
        <w:spacing w:line="324" w:lineRule="exact"/>
      </w:pPr>
      <w:r>
        <w:rPr>
          <w:rFonts w:hint="eastAsia"/>
        </w:rPr>
        <w:tab/>
        <w:t>(a)</w:t>
      </w:r>
      <w:r>
        <w:rPr>
          <w:rFonts w:hint="eastAsia"/>
        </w:rPr>
        <w:tab/>
      </w:r>
      <w:r>
        <w:rPr>
          <w:rFonts w:hint="eastAsia"/>
        </w:rPr>
        <w:t>移徙妇女和少数群体妇女在政治生活、教育、就业和保健方面继续面临受到交叉形式歧视的风险；</w:t>
      </w:r>
    </w:p>
    <w:p w:rsidR="002A1FD7" w:rsidRDefault="002A1FD7" w:rsidP="003B0EBC">
      <w:pPr>
        <w:pStyle w:val="SingleTxt"/>
        <w:spacing w:line="324" w:lineRule="exact"/>
      </w:pPr>
      <w:r>
        <w:rPr>
          <w:rFonts w:hint="eastAsia"/>
        </w:rPr>
        <w:tab/>
        <w:t>(b)</w:t>
      </w:r>
      <w:r>
        <w:rPr>
          <w:rFonts w:hint="eastAsia"/>
        </w:rPr>
        <w:tab/>
      </w:r>
      <w:r>
        <w:rPr>
          <w:rFonts w:hint="eastAsia"/>
        </w:rPr>
        <w:t>许多移徙妇女对家庭暴力存在少报的情况，这些妇女的居留许可取决于她们与暴力丈夫的婚姻，而作为向法院举证标准的“严重程度”和“系统暴力”的门槛极高；</w:t>
      </w:r>
    </w:p>
    <w:p w:rsidR="002A1FD7" w:rsidRDefault="002A1FD7" w:rsidP="003B0EBC">
      <w:pPr>
        <w:pStyle w:val="SingleTxt"/>
        <w:spacing w:line="324" w:lineRule="exact"/>
      </w:pPr>
      <w:r>
        <w:rPr>
          <w:rFonts w:hint="eastAsia"/>
        </w:rPr>
        <w:tab/>
        <w:t>(c)</w:t>
      </w:r>
      <w:r w:rsidR="003B0EBC">
        <w:rPr>
          <w:rFonts w:hint="eastAsia"/>
        </w:rPr>
        <w:tab/>
      </w:r>
      <w:r>
        <w:rPr>
          <w:rFonts w:hint="eastAsia"/>
        </w:rPr>
        <w:t>被确认为家庭暴力受害者的移徙妇女只因缺乏经济独立而被驱逐出境。</w:t>
      </w:r>
    </w:p>
    <w:p w:rsidR="002A1FD7" w:rsidRDefault="002A1FD7" w:rsidP="003B0EBC">
      <w:pPr>
        <w:pStyle w:val="SingleTxt"/>
        <w:spacing w:line="324" w:lineRule="exact"/>
      </w:pPr>
      <w:r>
        <w:rPr>
          <w:rFonts w:hint="eastAsia"/>
        </w:rPr>
        <w:t>47.</w:t>
      </w:r>
      <w:r>
        <w:rPr>
          <w:rFonts w:hint="eastAsia"/>
        </w:rPr>
        <w:tab/>
      </w:r>
      <w:r w:rsidRPr="003B0EBC">
        <w:rPr>
          <w:rFonts w:ascii="黑体" w:eastAsia="黑体" w:hAnsi="黑体" w:hint="eastAsia"/>
        </w:rPr>
        <w:t>委员会建议缔约国</w:t>
      </w:r>
      <w:r>
        <w:rPr>
          <w:rFonts w:hint="eastAsia"/>
        </w:rPr>
        <w:t>：</w:t>
      </w:r>
    </w:p>
    <w:p w:rsidR="002A1FD7" w:rsidRDefault="002A1FD7" w:rsidP="003B0EBC">
      <w:pPr>
        <w:pStyle w:val="SingleTxt"/>
        <w:spacing w:line="324" w:lineRule="exact"/>
      </w:pPr>
      <w:r>
        <w:rPr>
          <w:rFonts w:hint="eastAsia"/>
        </w:rPr>
        <w:tab/>
        <w:t>(a)</w:t>
      </w:r>
      <w:r>
        <w:rPr>
          <w:rFonts w:hint="eastAsia"/>
        </w:rPr>
        <w:tab/>
      </w:r>
      <w:r w:rsidRPr="003B0EBC">
        <w:rPr>
          <w:rFonts w:ascii="黑体" w:eastAsia="黑体" w:hAnsi="黑体" w:hint="eastAsia"/>
        </w:rPr>
        <w:t>采取有效措施，通过开展提高认识的活动并使媒体参与其中，以避免消极的陈规定型观念，在社会上和社区内消除对移徙妇女和少数族裔妇女的歧视</w:t>
      </w:r>
      <w:r>
        <w:rPr>
          <w:rFonts w:hint="eastAsia"/>
        </w:rPr>
        <w:t>；</w:t>
      </w:r>
    </w:p>
    <w:p w:rsidR="002A1FD7" w:rsidRDefault="002A1FD7" w:rsidP="003B0EBC">
      <w:pPr>
        <w:pStyle w:val="SingleTxt"/>
        <w:spacing w:line="324" w:lineRule="exact"/>
      </w:pPr>
      <w:r>
        <w:rPr>
          <w:rFonts w:hint="eastAsia"/>
        </w:rPr>
        <w:tab/>
        <w:t>(b)</w:t>
      </w:r>
      <w:r>
        <w:rPr>
          <w:rFonts w:hint="eastAsia"/>
        </w:rPr>
        <w:tab/>
      </w:r>
      <w:r w:rsidRPr="003B0EBC">
        <w:rPr>
          <w:rFonts w:ascii="黑体" w:eastAsia="黑体" w:hAnsi="黑体" w:hint="eastAsia"/>
        </w:rPr>
        <w:t>出台措施，促进移徙妇女获得教育、就业和专业培训、社会服务和医疗保健，并使她们熟悉自己根据《公约》享有的权利以及可利用的法律救济，以进行索赔</w:t>
      </w:r>
      <w:r>
        <w:rPr>
          <w:rFonts w:hint="eastAsia"/>
        </w:rPr>
        <w:t>；</w:t>
      </w:r>
    </w:p>
    <w:p w:rsidR="002A1FD7" w:rsidRDefault="002A1FD7" w:rsidP="003B0EBC">
      <w:pPr>
        <w:pStyle w:val="SingleTxt"/>
        <w:spacing w:line="324" w:lineRule="exact"/>
      </w:pPr>
      <w:r>
        <w:rPr>
          <w:rFonts w:hint="eastAsia"/>
        </w:rPr>
        <w:tab/>
        <w:t>(c)</w:t>
      </w:r>
      <w:r>
        <w:rPr>
          <w:rFonts w:hint="eastAsia"/>
        </w:rPr>
        <w:tab/>
      </w:r>
      <w:r w:rsidRPr="003B0EBC">
        <w:rPr>
          <w:rFonts w:ascii="黑体" w:eastAsia="黑体" w:hAnsi="黑体" w:hint="eastAsia"/>
        </w:rPr>
        <w:t>审查对移徙妇女实施的家庭暴力案件中有关证明责任和证明标准的法律框架</w:t>
      </w:r>
      <w:r>
        <w:rPr>
          <w:rFonts w:hint="eastAsia"/>
        </w:rPr>
        <w:t>；</w:t>
      </w:r>
    </w:p>
    <w:p w:rsidR="002A1FD7" w:rsidRDefault="002A1FD7" w:rsidP="003B0EBC">
      <w:pPr>
        <w:pStyle w:val="SingleTxt"/>
        <w:spacing w:line="324" w:lineRule="exact"/>
      </w:pPr>
      <w:r>
        <w:rPr>
          <w:rFonts w:hint="eastAsia"/>
        </w:rPr>
        <w:tab/>
        <w:t>(d)</w:t>
      </w:r>
      <w:r>
        <w:rPr>
          <w:rFonts w:hint="eastAsia"/>
        </w:rPr>
        <w:tab/>
      </w:r>
      <w:r w:rsidRPr="003B0EBC">
        <w:rPr>
          <w:rFonts w:ascii="黑体" w:eastAsia="黑体" w:hAnsi="黑体" w:hint="eastAsia"/>
        </w:rPr>
        <w:t>对被确认为家庭暴力受害者但是由于其缺乏经济独立性而面临被遣返风险的移徙妇女发放临时居留证</w:t>
      </w:r>
      <w:r>
        <w:rPr>
          <w:rFonts w:hint="eastAsia"/>
        </w:rPr>
        <w:t>。</w:t>
      </w:r>
    </w:p>
    <w:p w:rsidR="002A1FD7" w:rsidRPr="003B0EBC" w:rsidRDefault="002A1FD7" w:rsidP="003B0EBC">
      <w:pPr>
        <w:pStyle w:val="SingleTxt"/>
        <w:spacing w:line="324" w:lineRule="exact"/>
        <w:rPr>
          <w:rFonts w:ascii="黑体" w:eastAsia="黑体" w:hAnsi="黑体"/>
        </w:rPr>
      </w:pPr>
      <w:r w:rsidRPr="003B0EBC">
        <w:rPr>
          <w:rFonts w:ascii="黑体" w:eastAsia="黑体" w:hAnsi="黑体" w:hint="eastAsia"/>
        </w:rPr>
        <w:t>婚姻和家庭关系</w:t>
      </w:r>
    </w:p>
    <w:p w:rsidR="002A1FD7" w:rsidRDefault="002A1FD7" w:rsidP="002A1FD7">
      <w:pPr>
        <w:pStyle w:val="SingleTxt"/>
      </w:pPr>
      <w:r>
        <w:rPr>
          <w:rFonts w:hint="eastAsia"/>
        </w:rPr>
        <w:t>48.</w:t>
      </w:r>
      <w:r>
        <w:rPr>
          <w:rFonts w:hint="eastAsia"/>
        </w:rPr>
        <w:tab/>
      </w:r>
      <w:r>
        <w:rPr>
          <w:rFonts w:hint="eastAsia"/>
        </w:rPr>
        <w:t>委员会感到关切的是，此前提出的更好地矫正在离婚时的两性差异和经济差异</w:t>
      </w:r>
      <w:r w:rsidR="00A52FC3">
        <w:rPr>
          <w:rFonts w:hint="eastAsia"/>
        </w:rPr>
        <w:t>(</w:t>
      </w:r>
      <w:r>
        <w:rPr>
          <w:rFonts w:hint="eastAsia"/>
        </w:rPr>
        <w:t>“不足之处”</w:t>
      </w:r>
      <w:r w:rsidR="00A52FC3">
        <w:rPr>
          <w:rFonts w:hint="eastAsia"/>
        </w:rPr>
        <w:t>)</w:t>
      </w:r>
      <w:r>
        <w:rPr>
          <w:rFonts w:hint="eastAsia"/>
        </w:rPr>
        <w:t>的建议未得到遵守，经修订的《儿童抚养费法》未引入分担赤字和缴纳最低儿童抚养费的联邦计划，以及因此，儿童抚养费由支付此类抚养费的责任人在经济上能够支付的程度所决定。委员会还感到关切的是，父母共同监护权这一默认规则和倾向于共同承担抚养权可能导致儿童抚养法令数量的减少，没有任何机制确保共同承担抚养权实际上得到执行，并反映父母之间分配时间和费用的实际情况。委员会还感到关切的是，缺乏当前的养老金制度对离异低收入夫妇的影响相关信息，特别是关于他们老年时面临陷入贫困的潜在风险。</w:t>
      </w:r>
    </w:p>
    <w:p w:rsidR="002A1FD7" w:rsidRDefault="002A1FD7" w:rsidP="003B0EBC">
      <w:pPr>
        <w:pStyle w:val="SingleTxt"/>
        <w:spacing w:line="330" w:lineRule="exact"/>
      </w:pPr>
      <w:r>
        <w:rPr>
          <w:rFonts w:hint="eastAsia"/>
        </w:rPr>
        <w:t>49.</w:t>
      </w:r>
      <w:r>
        <w:rPr>
          <w:rFonts w:hint="eastAsia"/>
        </w:rPr>
        <w:tab/>
      </w:r>
      <w:r w:rsidRPr="003B0EBC">
        <w:rPr>
          <w:rFonts w:ascii="黑体" w:eastAsia="黑体" w:hAnsi="黑体" w:hint="eastAsia"/>
        </w:rPr>
        <w:t>委员会建议缔约国</w:t>
      </w:r>
      <w:r>
        <w:rPr>
          <w:rFonts w:hint="eastAsia"/>
        </w:rPr>
        <w:t>：</w:t>
      </w:r>
    </w:p>
    <w:p w:rsidR="002A1FD7" w:rsidRDefault="002A1FD7" w:rsidP="003B0EBC">
      <w:pPr>
        <w:pStyle w:val="SingleTxt"/>
        <w:spacing w:line="330" w:lineRule="exact"/>
      </w:pPr>
      <w:r>
        <w:rPr>
          <w:rFonts w:hint="eastAsia"/>
        </w:rPr>
        <w:tab/>
        <w:t>(a)</w:t>
      </w:r>
      <w:r>
        <w:rPr>
          <w:rFonts w:hint="eastAsia"/>
        </w:rPr>
        <w:tab/>
      </w:r>
      <w:r w:rsidRPr="003B0EBC">
        <w:rPr>
          <w:rFonts w:ascii="黑体" w:eastAsia="黑体" w:hAnsi="黑体" w:hint="eastAsia"/>
        </w:rPr>
        <w:t>采取必要措施，矫正在离婚时的两性差异和经济差异</w:t>
      </w:r>
      <w:r w:rsidR="00A52FC3" w:rsidRPr="003B0EBC">
        <w:rPr>
          <w:rFonts w:ascii="黑体" w:eastAsia="黑体" w:hAnsi="黑体" w:hint="eastAsia"/>
        </w:rPr>
        <w:t>(</w:t>
      </w:r>
      <w:r w:rsidRPr="003B0EBC">
        <w:rPr>
          <w:rFonts w:ascii="黑体" w:eastAsia="黑体" w:hAnsi="黑体" w:hint="eastAsia"/>
        </w:rPr>
        <w:t>“不足之处”</w:t>
      </w:r>
      <w:r w:rsidR="00A52FC3" w:rsidRPr="003B0EBC">
        <w:rPr>
          <w:rFonts w:ascii="黑体" w:eastAsia="黑体" w:hAnsi="黑体" w:hint="eastAsia"/>
        </w:rPr>
        <w:t>)</w:t>
      </w:r>
      <w:r w:rsidRPr="003B0EBC">
        <w:rPr>
          <w:rFonts w:ascii="黑体" w:eastAsia="黑体" w:hAnsi="黑体" w:hint="eastAsia"/>
        </w:rPr>
        <w:t>；</w:t>
      </w:r>
    </w:p>
    <w:p w:rsidR="002A1FD7" w:rsidRDefault="002A1FD7" w:rsidP="003B0EBC">
      <w:pPr>
        <w:pStyle w:val="SingleTxt"/>
        <w:spacing w:line="330" w:lineRule="exact"/>
      </w:pPr>
      <w:r>
        <w:rPr>
          <w:rFonts w:hint="eastAsia"/>
        </w:rPr>
        <w:tab/>
        <w:t>(b)</w:t>
      </w:r>
      <w:r>
        <w:rPr>
          <w:rFonts w:hint="eastAsia"/>
        </w:rPr>
        <w:tab/>
      </w:r>
      <w:r w:rsidRPr="003B0EBC">
        <w:rPr>
          <w:rFonts w:ascii="黑体" w:eastAsia="黑体" w:hAnsi="黑体" w:hint="eastAsia"/>
        </w:rPr>
        <w:t>修订《儿童抚养费法》，引入收入赤字联邦计划，确保在父母之间平等地分配收入不足并实施儿童抚养费最低缴纳额</w:t>
      </w:r>
      <w:r>
        <w:rPr>
          <w:rFonts w:hint="eastAsia"/>
        </w:rPr>
        <w:t>；</w:t>
      </w:r>
    </w:p>
    <w:p w:rsidR="002A1FD7" w:rsidRDefault="002A1FD7" w:rsidP="003B0EBC">
      <w:pPr>
        <w:pStyle w:val="SingleTxt"/>
        <w:spacing w:line="330" w:lineRule="exact"/>
      </w:pPr>
      <w:r>
        <w:rPr>
          <w:rFonts w:hint="eastAsia"/>
        </w:rPr>
        <w:tab/>
        <w:t>(c)</w:t>
      </w:r>
      <w:r>
        <w:rPr>
          <w:rFonts w:hint="eastAsia"/>
        </w:rPr>
        <w:tab/>
      </w:r>
      <w:r w:rsidRPr="003B0EBC">
        <w:rPr>
          <w:rFonts w:ascii="黑体" w:eastAsia="黑体" w:hAnsi="黑体" w:hint="eastAsia"/>
        </w:rPr>
        <w:t>建立监测机制，以确保共同承担的抚养权得到执行，并且儿童抚养费法令反映父母之间时间和费用分配的实际情况</w:t>
      </w:r>
      <w:r>
        <w:rPr>
          <w:rFonts w:hint="eastAsia"/>
        </w:rPr>
        <w:t>；</w:t>
      </w:r>
    </w:p>
    <w:p w:rsidR="002A1FD7" w:rsidRPr="003B0EBC" w:rsidRDefault="002A1FD7" w:rsidP="003B0EBC">
      <w:pPr>
        <w:pStyle w:val="SingleTxt"/>
        <w:spacing w:line="330" w:lineRule="exact"/>
        <w:rPr>
          <w:rFonts w:ascii="黑体" w:eastAsia="黑体" w:hAnsi="黑体"/>
        </w:rPr>
      </w:pPr>
      <w:r>
        <w:rPr>
          <w:rFonts w:hint="eastAsia"/>
        </w:rPr>
        <w:tab/>
        <w:t>(d)</w:t>
      </w:r>
      <w:r>
        <w:rPr>
          <w:rFonts w:hint="eastAsia"/>
        </w:rPr>
        <w:tab/>
      </w:r>
      <w:r w:rsidRPr="003B0EBC">
        <w:rPr>
          <w:rFonts w:ascii="黑体" w:eastAsia="黑体" w:hAnsi="黑体" w:hint="eastAsia"/>
        </w:rPr>
        <w:t>由科学专家和相关的妇女非政府组织开展研究，分析当前的养老金制度对低收入夫妇陷入贫困方面的影响。</w:t>
      </w:r>
    </w:p>
    <w:p w:rsidR="002A1FD7" w:rsidRPr="003B0EBC" w:rsidRDefault="002A1FD7" w:rsidP="003B0EBC">
      <w:pPr>
        <w:pStyle w:val="SingleTxt"/>
        <w:spacing w:line="330" w:lineRule="exact"/>
        <w:rPr>
          <w:rFonts w:ascii="黑体" w:eastAsia="黑体" w:hAnsi="黑体"/>
        </w:rPr>
      </w:pPr>
      <w:r w:rsidRPr="003B0EBC">
        <w:rPr>
          <w:rFonts w:ascii="黑体" w:eastAsia="黑体" w:hAnsi="黑体" w:hint="eastAsia"/>
        </w:rPr>
        <w:t>《北京宣言和行动纲要》</w:t>
      </w:r>
    </w:p>
    <w:p w:rsidR="002A1FD7" w:rsidRPr="003B0EBC" w:rsidRDefault="002A1FD7" w:rsidP="003B0EBC">
      <w:pPr>
        <w:pStyle w:val="SingleTxt"/>
        <w:spacing w:line="330" w:lineRule="exact"/>
        <w:rPr>
          <w:rFonts w:ascii="黑体" w:eastAsia="黑体" w:hAnsi="黑体"/>
        </w:rPr>
      </w:pPr>
      <w:r>
        <w:rPr>
          <w:rFonts w:hint="eastAsia"/>
        </w:rPr>
        <w:t>50.</w:t>
      </w:r>
      <w:r>
        <w:rPr>
          <w:rFonts w:hint="eastAsia"/>
        </w:rPr>
        <w:tab/>
      </w:r>
      <w:r w:rsidRPr="003B0EBC">
        <w:rPr>
          <w:rFonts w:ascii="黑体" w:eastAsia="黑体" w:hAnsi="黑体" w:hint="eastAsia"/>
        </w:rPr>
        <w:t>委员会呼吁缔约国利用《北京宣言和行动纲要》努力执行《公约》各项规定。</w:t>
      </w:r>
    </w:p>
    <w:p w:rsidR="002A1FD7" w:rsidRPr="003B0EBC" w:rsidRDefault="002A1FD7" w:rsidP="003B0EBC">
      <w:pPr>
        <w:pStyle w:val="SingleTxt"/>
        <w:spacing w:line="330" w:lineRule="exact"/>
        <w:rPr>
          <w:rFonts w:ascii="黑体" w:eastAsia="黑体" w:hAnsi="黑体"/>
        </w:rPr>
      </w:pPr>
      <w:r w:rsidRPr="003B0EBC">
        <w:rPr>
          <w:rFonts w:ascii="黑体" w:eastAsia="黑体" w:hAnsi="黑体" w:hint="eastAsia"/>
        </w:rPr>
        <w:t>《2030年可持续发展议程》</w:t>
      </w:r>
    </w:p>
    <w:p w:rsidR="002A1FD7" w:rsidRPr="003B0EBC" w:rsidRDefault="002A1FD7" w:rsidP="003B0EBC">
      <w:pPr>
        <w:pStyle w:val="SingleTxt"/>
        <w:spacing w:line="330" w:lineRule="exact"/>
        <w:rPr>
          <w:rFonts w:ascii="黑体" w:eastAsia="黑体" w:hAnsi="黑体"/>
        </w:rPr>
      </w:pPr>
      <w:r>
        <w:rPr>
          <w:rFonts w:hint="eastAsia"/>
        </w:rPr>
        <w:t>51.</w:t>
      </w:r>
      <w:r>
        <w:rPr>
          <w:rFonts w:hint="eastAsia"/>
        </w:rPr>
        <w:tab/>
      </w:r>
      <w:r w:rsidRPr="003B0EBC">
        <w:rPr>
          <w:rFonts w:ascii="黑体" w:eastAsia="黑体" w:hAnsi="黑体" w:hint="eastAsia"/>
        </w:rPr>
        <w:t>委员会呼吁根据《公约》的规定，在执行《2030年可持续发展议程》的整个进程中，实现实质性性别平等。</w:t>
      </w:r>
    </w:p>
    <w:p w:rsidR="002A1FD7" w:rsidRPr="003B0EBC" w:rsidRDefault="002A1FD7" w:rsidP="003B0EBC">
      <w:pPr>
        <w:pStyle w:val="SingleTxt"/>
        <w:spacing w:line="330" w:lineRule="exact"/>
        <w:rPr>
          <w:rFonts w:ascii="黑体" w:eastAsia="黑体" w:hAnsi="黑体"/>
        </w:rPr>
      </w:pPr>
      <w:r w:rsidRPr="003B0EBC">
        <w:rPr>
          <w:rFonts w:ascii="黑体" w:eastAsia="黑体" w:hAnsi="黑体" w:hint="eastAsia"/>
        </w:rPr>
        <w:t>传播</w:t>
      </w:r>
    </w:p>
    <w:p w:rsidR="002A1FD7" w:rsidRPr="003B0EBC" w:rsidRDefault="002A1FD7" w:rsidP="003B0EBC">
      <w:pPr>
        <w:pStyle w:val="SingleTxt"/>
        <w:spacing w:line="330" w:lineRule="exact"/>
        <w:rPr>
          <w:rFonts w:ascii="黑体" w:eastAsia="黑体" w:hAnsi="黑体"/>
        </w:rPr>
      </w:pPr>
      <w:r>
        <w:rPr>
          <w:rFonts w:hint="eastAsia"/>
        </w:rPr>
        <w:t>52.</w:t>
      </w:r>
      <w:r>
        <w:rPr>
          <w:rFonts w:hint="eastAsia"/>
        </w:rPr>
        <w:tab/>
      </w:r>
      <w:r w:rsidRPr="003B0EBC">
        <w:rPr>
          <w:rFonts w:ascii="黑体" w:eastAsia="黑体" w:hAnsi="黑体" w:hint="eastAsia"/>
        </w:rPr>
        <w:t>委员会请缔约国确保以缔约国官方语文向相关各级</w:t>
      </w:r>
      <w:r w:rsidR="00A52FC3" w:rsidRPr="003B0EBC">
        <w:rPr>
          <w:rFonts w:ascii="黑体" w:eastAsia="黑体" w:hAnsi="黑体" w:hint="eastAsia"/>
        </w:rPr>
        <w:t>(</w:t>
      </w:r>
      <w:r w:rsidRPr="003B0EBC">
        <w:rPr>
          <w:rFonts w:ascii="黑体" w:eastAsia="黑体" w:hAnsi="黑体" w:hint="eastAsia"/>
        </w:rPr>
        <w:t>联邦和州</w:t>
      </w:r>
      <w:r w:rsidR="00A52FC3" w:rsidRPr="003B0EBC">
        <w:rPr>
          <w:rFonts w:ascii="黑体" w:eastAsia="黑体" w:hAnsi="黑体" w:hint="eastAsia"/>
        </w:rPr>
        <w:t>)</w:t>
      </w:r>
      <w:r w:rsidRPr="003B0EBC">
        <w:rPr>
          <w:rFonts w:ascii="黑体" w:eastAsia="黑体" w:hAnsi="黑体" w:hint="eastAsia"/>
        </w:rPr>
        <w:t>国家机构，特别是联邦委员会、各部委、联邦议会和司法机构，及时传播本结论意见，以使它们得到全面执行。</w:t>
      </w:r>
    </w:p>
    <w:p w:rsidR="002A1FD7" w:rsidRPr="003B0EBC" w:rsidRDefault="002A1FD7" w:rsidP="003B0EBC">
      <w:pPr>
        <w:pStyle w:val="SingleTxt"/>
        <w:spacing w:line="330" w:lineRule="exact"/>
        <w:rPr>
          <w:rFonts w:ascii="黑体" w:eastAsia="黑体" w:hAnsi="黑体"/>
        </w:rPr>
      </w:pPr>
      <w:r w:rsidRPr="003B0EBC">
        <w:rPr>
          <w:rFonts w:ascii="黑体" w:eastAsia="黑体" w:hAnsi="黑体" w:hint="eastAsia"/>
        </w:rPr>
        <w:t>批准其他条约</w:t>
      </w:r>
    </w:p>
    <w:p w:rsidR="002A1FD7" w:rsidRPr="003B0EBC" w:rsidRDefault="002A1FD7" w:rsidP="003B0EBC">
      <w:pPr>
        <w:pStyle w:val="SingleTxt"/>
        <w:spacing w:line="330" w:lineRule="exact"/>
        <w:rPr>
          <w:rFonts w:ascii="黑体" w:eastAsia="黑体" w:hAnsi="黑体"/>
        </w:rPr>
      </w:pPr>
      <w:r>
        <w:rPr>
          <w:rFonts w:hint="eastAsia"/>
        </w:rPr>
        <w:t>53.</w:t>
      </w:r>
      <w:r>
        <w:rPr>
          <w:rFonts w:hint="eastAsia"/>
        </w:rPr>
        <w:tab/>
      </w:r>
      <w:r w:rsidRPr="003B0EBC">
        <w:rPr>
          <w:rFonts w:ascii="黑体" w:eastAsia="黑体" w:hAnsi="黑体" w:hint="eastAsia"/>
        </w:rPr>
        <w:t>委员会指出，缔约国遵守九项主要国际人权文书</w:t>
      </w:r>
      <w:r w:rsidR="003B0EBC">
        <w:rPr>
          <w:rStyle w:val="a3"/>
          <w:rFonts w:ascii="黑体" w:eastAsia="黑体" w:hAnsi="黑体"/>
        </w:rPr>
        <w:footnoteReference w:id="1"/>
      </w:r>
      <w:r w:rsidR="003B0EBC">
        <w:rPr>
          <w:rFonts w:ascii="黑体" w:eastAsia="黑体" w:hAnsi="黑体"/>
        </w:rPr>
        <w:t xml:space="preserve"> </w:t>
      </w:r>
      <w:r w:rsidRPr="003B0EBC">
        <w:rPr>
          <w:rFonts w:ascii="黑体" w:eastAsia="黑体" w:hAnsi="黑体" w:hint="eastAsia"/>
        </w:rPr>
        <w:t>有助于促进妇女在生活的方方面面享受人权和基本自由。因此，委员会鼓励缔约国批准其尚未成为缔约国的《保护所有移徙工人及其家庭成员权利国际公约》。</w:t>
      </w:r>
    </w:p>
    <w:p w:rsidR="002A1FD7" w:rsidRPr="003B0EBC" w:rsidRDefault="002A1FD7" w:rsidP="003B0EBC">
      <w:pPr>
        <w:pStyle w:val="SingleTxt"/>
        <w:spacing w:line="330" w:lineRule="exact"/>
        <w:rPr>
          <w:rFonts w:ascii="黑体" w:eastAsia="黑体" w:hAnsi="黑体"/>
        </w:rPr>
      </w:pPr>
      <w:r w:rsidRPr="003B0EBC">
        <w:rPr>
          <w:rFonts w:ascii="黑体" w:eastAsia="黑体" w:hAnsi="黑体" w:hint="eastAsia"/>
        </w:rPr>
        <w:t>结论性意见的后续行动</w:t>
      </w:r>
    </w:p>
    <w:p w:rsidR="002A1FD7" w:rsidRDefault="002A1FD7" w:rsidP="003B0EBC">
      <w:pPr>
        <w:pStyle w:val="SingleTxt"/>
        <w:spacing w:line="330" w:lineRule="exact"/>
      </w:pPr>
      <w:r>
        <w:rPr>
          <w:rFonts w:hint="eastAsia"/>
        </w:rPr>
        <w:t>54.</w:t>
      </w:r>
      <w:r>
        <w:rPr>
          <w:rFonts w:hint="eastAsia"/>
        </w:rPr>
        <w:tab/>
      </w:r>
      <w:r w:rsidRPr="003B0EBC">
        <w:rPr>
          <w:rFonts w:ascii="黑体" w:eastAsia="黑体" w:hAnsi="黑体" w:hint="eastAsia"/>
        </w:rPr>
        <w:t>委员会请缔约国在两年内提供书面资料，说明为落实上文第19(b)和(c)、27(c)和49(d)段所载建议而采取的步骤</w:t>
      </w:r>
      <w:r>
        <w:rPr>
          <w:rFonts w:hint="eastAsia"/>
        </w:rPr>
        <w:t>。</w:t>
      </w:r>
    </w:p>
    <w:p w:rsidR="002A1FD7" w:rsidRDefault="002A1FD7" w:rsidP="002A1FD7">
      <w:pPr>
        <w:pStyle w:val="SingleTxt"/>
      </w:pPr>
      <w:r w:rsidRPr="003B0EBC">
        <w:rPr>
          <w:rFonts w:ascii="黑体" w:eastAsia="黑体" w:hAnsi="黑体" w:hint="eastAsia"/>
        </w:rPr>
        <w:t>下一次报告的编写</w:t>
      </w:r>
    </w:p>
    <w:p w:rsidR="002A1FD7" w:rsidRDefault="002A1FD7" w:rsidP="002A1FD7">
      <w:pPr>
        <w:pStyle w:val="SingleTxt"/>
      </w:pPr>
      <w:r>
        <w:rPr>
          <w:rFonts w:hint="eastAsia"/>
        </w:rPr>
        <w:t>55.</w:t>
      </w:r>
      <w:r w:rsidRPr="003B0EBC">
        <w:rPr>
          <w:rFonts w:ascii="黑体" w:eastAsia="黑体" w:hAnsi="黑体" w:hint="eastAsia"/>
        </w:rPr>
        <w:tab/>
        <w:t>委员会请缔约国于2020年11月提交其第六次定期报告。如果出现延误，报告应涵盖直到提交时间的整个期间</w:t>
      </w:r>
      <w:r>
        <w:rPr>
          <w:rFonts w:hint="eastAsia"/>
        </w:rPr>
        <w:t>。</w:t>
      </w:r>
    </w:p>
    <w:p w:rsidR="00B31E9D" w:rsidRDefault="002A1FD7" w:rsidP="002A1FD7">
      <w:pPr>
        <w:pStyle w:val="SingleTxt"/>
      </w:pPr>
      <w:r>
        <w:rPr>
          <w:rFonts w:hint="eastAsia"/>
        </w:rPr>
        <w:t>56.</w:t>
      </w:r>
      <w:r>
        <w:rPr>
          <w:rFonts w:hint="eastAsia"/>
        </w:rPr>
        <w:tab/>
      </w:r>
      <w:r w:rsidRPr="003B0EBC">
        <w:rPr>
          <w:rFonts w:ascii="黑体" w:eastAsia="黑体" w:hAnsi="黑体" w:hint="eastAsia"/>
        </w:rPr>
        <w:t>委员会请缔约国遵守“包括共同核心文件和条约专要文件准则在内的根据国际人权条约提交报告的协调准则”</w:t>
      </w:r>
      <w:r w:rsidR="00A52FC3" w:rsidRPr="003B0EBC">
        <w:rPr>
          <w:rFonts w:ascii="黑体" w:eastAsia="黑体" w:hAnsi="黑体" w:hint="eastAsia"/>
        </w:rPr>
        <w:t>(</w:t>
      </w:r>
      <w:r w:rsidRPr="003B0EBC">
        <w:rPr>
          <w:rFonts w:ascii="黑体" w:eastAsia="黑体" w:hAnsi="黑体" w:hint="eastAsia"/>
        </w:rPr>
        <w:t>见</w:t>
      </w:r>
      <w:hyperlink r:id="rId30" w:history="1">
        <w:r w:rsidRPr="002C41FF">
          <w:rPr>
            <w:rStyle w:val="ad"/>
            <w:rFonts w:ascii="黑体" w:eastAsia="黑体" w:hAnsi="黑体" w:hint="eastAsia"/>
          </w:rPr>
          <w:t>HRI/GEN/2/Rev.6</w:t>
        </w:r>
      </w:hyperlink>
      <w:r w:rsidR="00A52FC3" w:rsidRPr="003B0EBC">
        <w:rPr>
          <w:rFonts w:ascii="黑体" w:eastAsia="黑体" w:hAnsi="黑体" w:hint="eastAsia"/>
        </w:rPr>
        <w:t>，</w:t>
      </w:r>
      <w:r w:rsidRPr="003B0EBC">
        <w:rPr>
          <w:rFonts w:ascii="黑体" w:eastAsia="黑体" w:hAnsi="黑体" w:hint="eastAsia"/>
        </w:rPr>
        <w:t>第一章</w:t>
      </w:r>
      <w:r w:rsidR="00A52FC3" w:rsidRPr="003B0EBC">
        <w:rPr>
          <w:rFonts w:ascii="黑体" w:eastAsia="黑体" w:hAnsi="黑体" w:hint="eastAsia"/>
        </w:rPr>
        <w:t>)</w:t>
      </w:r>
      <w:r>
        <w:rPr>
          <w:rFonts w:hint="eastAsia"/>
        </w:rPr>
        <w:t>。</w:t>
      </w:r>
    </w:p>
    <w:p w:rsidR="002A1FD7" w:rsidRPr="003B0EBC" w:rsidRDefault="003B0EBC" w:rsidP="003B0EBC">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2A1FD7" w:rsidRPr="003B0EBC" w:rsidSect="00552627">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4:09:00Z" w:initials="Start">
    <w:p w:rsidR="00552627" w:rsidRDefault="00552627">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2C41FF">
        <w:rPr>
          <w:rFonts w:hint="eastAsia"/>
          <w:noProof/>
        </w:rPr>
        <w:t>页</w:t>
      </w:r>
      <w:r w:rsidR="002C41FF">
        <w:rPr>
          <w:rFonts w:hint="eastAsia"/>
          <w:noProof/>
        </w:rPr>
        <w:t xml:space="preserve">: </w:t>
      </w:r>
      <w:r w:rsidR="002C41FF">
        <w:rPr>
          <w:noProof/>
        </w:rPr>
        <w:t>1</w:t>
      </w:r>
      <w:r w:rsidR="002C41FF">
        <w:rPr>
          <w:rFonts w:hint="eastAsia"/>
          <w:noProof/>
        </w:rPr>
        <w:br/>
      </w:r>
      <w:r>
        <w:fldChar w:fldCharType="end"/>
      </w:r>
      <w:r>
        <w:rPr>
          <w:rStyle w:val="a9"/>
        </w:rPr>
        <w:annotationRef/>
      </w:r>
      <w:r>
        <w:t>&lt;&lt;ODS JOB NO&gt;&gt;N1640298C&lt;&lt;ODS JOB NO&gt;&gt;</w:t>
      </w:r>
    </w:p>
    <w:p w:rsidR="00552627" w:rsidRDefault="00552627">
      <w:pPr>
        <w:pStyle w:val="a7"/>
      </w:pPr>
      <w:r>
        <w:t>&lt;&lt;ODS DOC SYMBOL1&gt;&gt;CEDAW/C/CHE/CO/4-5&lt;&lt;ODS DOC SYMBOL1&gt;&gt;</w:t>
      </w:r>
    </w:p>
    <w:p w:rsidR="00552627" w:rsidRDefault="00552627">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A1A" w:rsidRDefault="00031A1A">
      <w:r>
        <w:separator/>
      </w:r>
    </w:p>
  </w:endnote>
  <w:endnote w:type="continuationSeparator" w:id="0">
    <w:p w:rsidR="00031A1A" w:rsidRDefault="00031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2627" w:rsidTr="00552627">
      <w:tc>
        <w:tcPr>
          <w:tcW w:w="5028" w:type="dxa"/>
          <w:shd w:val="clear" w:color="auto" w:fill="auto"/>
        </w:tcPr>
        <w:p w:rsidR="00552627" w:rsidRPr="00552627" w:rsidRDefault="00552627" w:rsidP="0055262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41FF">
            <w:rPr>
              <w:b w:val="0"/>
              <w:w w:val="103"/>
              <w:sz w:val="14"/>
            </w:rPr>
            <w:t>16-20858 (C)</w:t>
          </w:r>
          <w:r>
            <w:rPr>
              <w:b w:val="0"/>
              <w:w w:val="103"/>
              <w:sz w:val="14"/>
            </w:rPr>
            <w:fldChar w:fldCharType="end"/>
          </w:r>
        </w:p>
      </w:tc>
      <w:tc>
        <w:tcPr>
          <w:tcW w:w="5028" w:type="dxa"/>
          <w:shd w:val="clear" w:color="auto" w:fill="auto"/>
        </w:tcPr>
        <w:p w:rsidR="00552627" w:rsidRPr="00552627" w:rsidRDefault="00552627" w:rsidP="00552627">
          <w:pPr>
            <w:pStyle w:val="ac"/>
            <w:jc w:val="left"/>
            <w:rPr>
              <w:w w:val="103"/>
            </w:rPr>
          </w:pPr>
          <w:r>
            <w:rPr>
              <w:w w:val="103"/>
            </w:rPr>
            <w:fldChar w:fldCharType="begin"/>
          </w:r>
          <w:r>
            <w:rPr>
              <w:w w:val="103"/>
            </w:rPr>
            <w:instrText xml:space="preserve"> PAGE  \* Arabic  \* MERGEFORMAT </w:instrText>
          </w:r>
          <w:r>
            <w:rPr>
              <w:w w:val="103"/>
            </w:rPr>
            <w:fldChar w:fldCharType="separate"/>
          </w:r>
          <w:r w:rsidR="005F6B3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F6B3E">
            <w:rPr>
              <w:w w:val="103"/>
            </w:rPr>
            <w:t>2</w:t>
          </w:r>
          <w:r>
            <w:rPr>
              <w:w w:val="103"/>
            </w:rPr>
            <w:fldChar w:fldCharType="end"/>
          </w:r>
        </w:p>
      </w:tc>
    </w:tr>
  </w:tbl>
  <w:p w:rsidR="00552627" w:rsidRPr="00552627" w:rsidRDefault="00552627" w:rsidP="0055262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2627" w:rsidTr="00552627">
      <w:tc>
        <w:tcPr>
          <w:tcW w:w="5028" w:type="dxa"/>
          <w:shd w:val="clear" w:color="auto" w:fill="auto"/>
        </w:tcPr>
        <w:p w:rsidR="00552627" w:rsidRPr="00552627" w:rsidRDefault="00552627" w:rsidP="00552627">
          <w:pPr>
            <w:pStyle w:val="ac"/>
            <w:jc w:val="right"/>
          </w:pPr>
          <w:r>
            <w:fldChar w:fldCharType="begin"/>
          </w:r>
          <w:r>
            <w:instrText xml:space="preserve"> PAGE  \* Arabic  \* MERGEFORMAT </w:instrText>
          </w:r>
          <w:r>
            <w:fldChar w:fldCharType="separate"/>
          </w:r>
          <w:r w:rsidR="00FA4B6C">
            <w:t>15</w:t>
          </w:r>
          <w:r>
            <w:fldChar w:fldCharType="end"/>
          </w:r>
          <w:r>
            <w:t>/</w:t>
          </w:r>
          <w:r w:rsidR="005F6B3E">
            <w:fldChar w:fldCharType="begin"/>
          </w:r>
          <w:r w:rsidR="005F6B3E">
            <w:instrText xml:space="preserve"> NUMPAGES  \* Arabic  \* MERGEFORMAT </w:instrText>
          </w:r>
          <w:r w:rsidR="005F6B3E">
            <w:fldChar w:fldCharType="separate"/>
          </w:r>
          <w:r w:rsidR="00FA4B6C">
            <w:t>16</w:t>
          </w:r>
          <w:r w:rsidR="005F6B3E">
            <w:fldChar w:fldCharType="end"/>
          </w:r>
        </w:p>
      </w:tc>
      <w:tc>
        <w:tcPr>
          <w:tcW w:w="5028" w:type="dxa"/>
          <w:shd w:val="clear" w:color="auto" w:fill="auto"/>
        </w:tcPr>
        <w:p w:rsidR="00552627" w:rsidRPr="00552627" w:rsidRDefault="00552627" w:rsidP="0055262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41FF">
            <w:rPr>
              <w:b w:val="0"/>
              <w:w w:val="103"/>
              <w:sz w:val="14"/>
            </w:rPr>
            <w:t>16-20858 (C)</w:t>
          </w:r>
          <w:r>
            <w:rPr>
              <w:b w:val="0"/>
              <w:w w:val="103"/>
              <w:sz w:val="14"/>
            </w:rPr>
            <w:fldChar w:fldCharType="end"/>
          </w:r>
        </w:p>
      </w:tc>
    </w:tr>
  </w:tbl>
  <w:p w:rsidR="00552627" w:rsidRPr="00552627" w:rsidRDefault="00552627" w:rsidP="0055262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552627" w:rsidTr="00552627">
      <w:tc>
        <w:tcPr>
          <w:tcW w:w="3744" w:type="dxa"/>
        </w:tcPr>
        <w:p w:rsidR="00552627" w:rsidRDefault="00FA4B6C" w:rsidP="00552627">
          <w:pPr>
            <w:pStyle w:val="Release"/>
          </w:pPr>
          <w:r w:rsidRPr="00FA4B6C">
            <w:t>16-20858</w:t>
          </w:r>
          <w:r>
            <w:rPr>
              <w:rFonts w:hint="eastAsia"/>
            </w:rPr>
            <w:t xml:space="preserve"> </w:t>
          </w:r>
          <w:r>
            <w:t>X</w:t>
          </w:r>
          <w:r w:rsidRPr="00FA4B6C">
            <w:t xml:space="preserve"> (C)</w:t>
          </w:r>
          <w:r w:rsidR="00552627">
            <w:rPr>
              <w:noProof/>
            </w:rPr>
            <w:drawing>
              <wp:anchor distT="0" distB="0" distL="114300" distR="114300" simplePos="0" relativeHeight="251658240" behindDoc="0" locked="0" layoutInCell="1" allowOverlap="1" wp14:anchorId="1F6B1F25" wp14:editId="6B968091">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CHE/CO/4-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CO/4-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52627">
            <w:t xml:space="preserve">    281216    2</w:t>
          </w:r>
          <w:r w:rsidR="002A1FD7">
            <w:rPr>
              <w:rFonts w:hint="eastAsia"/>
            </w:rPr>
            <w:t>9</w:t>
          </w:r>
          <w:r w:rsidR="00552627">
            <w:t>1216</w:t>
          </w:r>
        </w:p>
        <w:p w:rsidR="00552627" w:rsidRPr="00552627" w:rsidRDefault="00552627" w:rsidP="00552627">
          <w:pPr>
            <w:spacing w:before="80" w:line="210" w:lineRule="exact"/>
            <w:rPr>
              <w:rFonts w:ascii="Barcode 3 of 9 by request" w:hAnsi="Barcode 3 of 9 by request"/>
              <w:sz w:val="24"/>
            </w:rPr>
          </w:pPr>
          <w:r>
            <w:rPr>
              <w:rFonts w:ascii="Barcode 3 of 9 by request" w:hAnsi="Barcode 3 of 9 by request"/>
              <w:sz w:val="24"/>
            </w:rPr>
            <w:t>*1620858*</w:t>
          </w:r>
        </w:p>
      </w:tc>
      <w:tc>
        <w:tcPr>
          <w:tcW w:w="5028" w:type="dxa"/>
        </w:tcPr>
        <w:p w:rsidR="00552627" w:rsidRDefault="00552627" w:rsidP="00552627">
          <w:pPr>
            <w:pStyle w:val="ac"/>
            <w:jc w:val="right"/>
            <w:rPr>
              <w:b w:val="0"/>
              <w:sz w:val="21"/>
            </w:rPr>
          </w:pPr>
          <w:r>
            <w:rPr>
              <w:b w:val="0"/>
              <w:sz w:val="21"/>
            </w:rPr>
            <w:drawing>
              <wp:inline distT="0" distB="0" distL="0" distR="0" wp14:anchorId="07CF2860" wp14:editId="314C9B5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52627" w:rsidRPr="00552627" w:rsidRDefault="00552627" w:rsidP="00552627">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A1A" w:rsidRPr="003B0EBC" w:rsidRDefault="003B0EBC" w:rsidP="003B0EBC">
      <w:pPr>
        <w:pStyle w:val="ac"/>
        <w:spacing w:after="80"/>
        <w:ind w:left="792"/>
        <w:rPr>
          <w:sz w:val="16"/>
        </w:rPr>
      </w:pPr>
      <w:r w:rsidRPr="003B0EBC">
        <w:rPr>
          <w:sz w:val="16"/>
        </w:rPr>
        <w:t>__________________</w:t>
      </w:r>
    </w:p>
  </w:footnote>
  <w:footnote w:type="continuationSeparator" w:id="0">
    <w:p w:rsidR="00031A1A" w:rsidRPr="003B0EBC" w:rsidRDefault="003B0EBC" w:rsidP="003B0EBC">
      <w:pPr>
        <w:pStyle w:val="ac"/>
        <w:spacing w:after="80"/>
        <w:ind w:left="792"/>
        <w:rPr>
          <w:sz w:val="16"/>
        </w:rPr>
      </w:pPr>
      <w:r w:rsidRPr="003B0EBC">
        <w:rPr>
          <w:sz w:val="16"/>
        </w:rPr>
        <w:t>__________________</w:t>
      </w:r>
    </w:p>
  </w:footnote>
  <w:footnote w:id="1">
    <w:p w:rsidR="003B0EBC" w:rsidRDefault="003B0EBC" w:rsidP="003B0EBC">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3B0EBC">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52627" w:rsidTr="00552627">
      <w:trPr>
        <w:trHeight w:hRule="exact" w:val="864"/>
      </w:trPr>
      <w:tc>
        <w:tcPr>
          <w:tcW w:w="4838" w:type="dxa"/>
          <w:shd w:val="clear" w:color="auto" w:fill="auto"/>
          <w:vAlign w:val="bottom"/>
        </w:tcPr>
        <w:p w:rsidR="00552627" w:rsidRPr="00552627" w:rsidRDefault="00552627" w:rsidP="0055262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C41FF">
            <w:rPr>
              <w:b/>
              <w:sz w:val="17"/>
            </w:rPr>
            <w:t>CEDAW/C/CHE/CO/4-5</w:t>
          </w:r>
          <w:r>
            <w:rPr>
              <w:b/>
              <w:sz w:val="17"/>
            </w:rPr>
            <w:fldChar w:fldCharType="end"/>
          </w:r>
        </w:p>
      </w:tc>
      <w:tc>
        <w:tcPr>
          <w:tcW w:w="5028" w:type="dxa"/>
          <w:shd w:val="clear" w:color="auto" w:fill="auto"/>
          <w:vAlign w:val="bottom"/>
        </w:tcPr>
        <w:p w:rsidR="00552627" w:rsidRDefault="00552627" w:rsidP="00552627">
          <w:pPr>
            <w:pStyle w:val="ab"/>
          </w:pPr>
        </w:p>
      </w:tc>
    </w:tr>
  </w:tbl>
  <w:p w:rsidR="00552627" w:rsidRPr="00552627" w:rsidRDefault="00552627" w:rsidP="0055262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52627" w:rsidTr="00552627">
      <w:trPr>
        <w:trHeight w:hRule="exact" w:val="864"/>
      </w:trPr>
      <w:tc>
        <w:tcPr>
          <w:tcW w:w="4838" w:type="dxa"/>
          <w:shd w:val="clear" w:color="auto" w:fill="auto"/>
          <w:vAlign w:val="bottom"/>
        </w:tcPr>
        <w:p w:rsidR="00552627" w:rsidRDefault="00552627" w:rsidP="00552627">
          <w:pPr>
            <w:pStyle w:val="ab"/>
          </w:pPr>
        </w:p>
      </w:tc>
      <w:tc>
        <w:tcPr>
          <w:tcW w:w="5028" w:type="dxa"/>
          <w:shd w:val="clear" w:color="auto" w:fill="auto"/>
          <w:vAlign w:val="bottom"/>
        </w:tcPr>
        <w:p w:rsidR="00552627" w:rsidRPr="00552627" w:rsidRDefault="00552627" w:rsidP="0055262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C41FF">
            <w:rPr>
              <w:b/>
              <w:sz w:val="17"/>
            </w:rPr>
            <w:t>CEDAW/C/CHE/CO/4-5</w:t>
          </w:r>
          <w:r>
            <w:rPr>
              <w:b/>
              <w:sz w:val="17"/>
            </w:rPr>
            <w:fldChar w:fldCharType="end"/>
          </w:r>
        </w:p>
      </w:tc>
    </w:tr>
  </w:tbl>
  <w:p w:rsidR="00552627" w:rsidRPr="00552627" w:rsidRDefault="00552627" w:rsidP="0055262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52627" w:rsidTr="00552627">
      <w:trPr>
        <w:gridAfter w:val="1"/>
        <w:wAfter w:w="12" w:type="dxa"/>
        <w:trHeight w:hRule="exact" w:val="864"/>
      </w:trPr>
      <w:tc>
        <w:tcPr>
          <w:tcW w:w="1267" w:type="dxa"/>
          <w:tcBorders>
            <w:bottom w:val="single" w:sz="4" w:space="0" w:color="auto"/>
          </w:tcBorders>
          <w:shd w:val="clear" w:color="auto" w:fill="auto"/>
          <w:vAlign w:val="bottom"/>
        </w:tcPr>
        <w:p w:rsidR="00552627" w:rsidRDefault="00552627" w:rsidP="00552627">
          <w:pPr>
            <w:pStyle w:val="ab"/>
            <w:spacing w:after="120"/>
          </w:pPr>
        </w:p>
      </w:tc>
      <w:tc>
        <w:tcPr>
          <w:tcW w:w="1872" w:type="dxa"/>
          <w:tcBorders>
            <w:bottom w:val="single" w:sz="4" w:space="0" w:color="auto"/>
          </w:tcBorders>
          <w:shd w:val="clear" w:color="auto" w:fill="auto"/>
          <w:vAlign w:val="bottom"/>
        </w:tcPr>
        <w:p w:rsidR="00552627" w:rsidRPr="00552627" w:rsidRDefault="00552627" w:rsidP="0055262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52627" w:rsidRDefault="00552627" w:rsidP="00552627">
          <w:pPr>
            <w:pStyle w:val="ab"/>
            <w:spacing w:after="120"/>
          </w:pPr>
        </w:p>
      </w:tc>
      <w:tc>
        <w:tcPr>
          <w:tcW w:w="6523" w:type="dxa"/>
          <w:gridSpan w:val="3"/>
          <w:tcBorders>
            <w:bottom w:val="single" w:sz="4" w:space="0" w:color="auto"/>
          </w:tcBorders>
          <w:shd w:val="clear" w:color="auto" w:fill="auto"/>
          <w:vAlign w:val="bottom"/>
        </w:tcPr>
        <w:p w:rsidR="00552627" w:rsidRPr="00552627" w:rsidRDefault="00552627" w:rsidP="00552627">
          <w:pPr>
            <w:spacing w:after="80" w:line="240" w:lineRule="auto"/>
            <w:jc w:val="right"/>
            <w:rPr>
              <w:position w:val="-4"/>
            </w:rPr>
          </w:pPr>
          <w:r>
            <w:rPr>
              <w:position w:val="-4"/>
              <w:sz w:val="40"/>
            </w:rPr>
            <w:t>CEDAW</w:t>
          </w:r>
          <w:r>
            <w:rPr>
              <w:position w:val="-4"/>
            </w:rPr>
            <w:t>/C/CHE/CO/4-5</w:t>
          </w:r>
        </w:p>
      </w:tc>
    </w:tr>
    <w:tr w:rsidR="00552627" w:rsidRPr="00552627" w:rsidTr="00552627">
      <w:trPr>
        <w:trHeight w:hRule="exact" w:val="2880"/>
      </w:trPr>
      <w:tc>
        <w:tcPr>
          <w:tcW w:w="1267" w:type="dxa"/>
          <w:tcBorders>
            <w:top w:val="single" w:sz="4" w:space="0" w:color="auto"/>
            <w:bottom w:val="single" w:sz="12" w:space="0" w:color="auto"/>
          </w:tcBorders>
          <w:shd w:val="clear" w:color="auto" w:fill="auto"/>
        </w:tcPr>
        <w:p w:rsidR="00552627" w:rsidRPr="00552627" w:rsidRDefault="00552627" w:rsidP="00552627">
          <w:pPr>
            <w:pStyle w:val="ab"/>
            <w:spacing w:before="109"/>
            <w:ind w:left="-72"/>
          </w:pPr>
          <w:r>
            <w:t xml:space="preserve"> </w:t>
          </w:r>
          <w:r>
            <w:drawing>
              <wp:inline distT="0" distB="0" distL="0" distR="0" wp14:anchorId="5B30866A" wp14:editId="6FA170A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52627" w:rsidRPr="00552627" w:rsidRDefault="00552627" w:rsidP="0055262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52627" w:rsidRPr="00552627" w:rsidRDefault="00552627" w:rsidP="00552627">
          <w:pPr>
            <w:pStyle w:val="ab"/>
            <w:spacing w:before="109"/>
          </w:pPr>
        </w:p>
      </w:tc>
      <w:tc>
        <w:tcPr>
          <w:tcW w:w="3180" w:type="dxa"/>
          <w:gridSpan w:val="2"/>
          <w:tcBorders>
            <w:top w:val="single" w:sz="4" w:space="0" w:color="auto"/>
            <w:bottom w:val="single" w:sz="12" w:space="0" w:color="auto"/>
          </w:tcBorders>
          <w:shd w:val="clear" w:color="auto" w:fill="auto"/>
        </w:tcPr>
        <w:p w:rsidR="00552627" w:rsidRDefault="00552627" w:rsidP="00552627">
          <w:pPr>
            <w:pStyle w:val="Distr"/>
          </w:pPr>
          <w:r>
            <w:t>Distr.: General</w:t>
          </w:r>
        </w:p>
        <w:p w:rsidR="00552627" w:rsidRDefault="00552627" w:rsidP="00552627">
          <w:pPr>
            <w:pStyle w:val="Publication"/>
          </w:pPr>
          <w:r>
            <w:t>25 November 2016</w:t>
          </w:r>
        </w:p>
        <w:p w:rsidR="00552627" w:rsidRDefault="00552627" w:rsidP="00552627">
          <w:pPr>
            <w:spacing w:line="240" w:lineRule="exact"/>
          </w:pPr>
          <w:r>
            <w:t>Chinese</w:t>
          </w:r>
        </w:p>
        <w:p w:rsidR="00552627" w:rsidRDefault="00552627" w:rsidP="00552627">
          <w:pPr>
            <w:pStyle w:val="Original"/>
          </w:pPr>
          <w:r>
            <w:t>Original: English</w:t>
          </w:r>
        </w:p>
        <w:p w:rsidR="00552627" w:rsidRPr="00552627" w:rsidRDefault="00552627" w:rsidP="00552627"/>
      </w:tc>
    </w:tr>
  </w:tbl>
  <w:p w:rsidR="00552627" w:rsidRPr="00552627" w:rsidRDefault="00552627" w:rsidP="00552627">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8*"/>
    <w:docVar w:name="CreationDt" w:val="28/12/2016 13:22:24"/>
    <w:docVar w:name="DocCategory" w:val="Doc"/>
    <w:docVar w:name="DocType" w:val="Final"/>
    <w:docVar w:name="DutyStation" w:val="New York"/>
    <w:docVar w:name="FooterJN" w:val="16-20858 (C)"/>
    <w:docVar w:name="jobn" w:val="16-20858 (C)"/>
    <w:docVar w:name="jobnDT" w:val="16-20858 (C)   281216"/>
    <w:docVar w:name="jobnDTDT" w:val="16-20858 (C)   281216   281216"/>
    <w:docVar w:name="JobNo" w:val="1620858C"/>
    <w:docVar w:name="LocalDrive" w:val="0"/>
    <w:docVar w:name="OandT" w:val="sheng"/>
    <w:docVar w:name="PaperSize" w:val="Letter"/>
    <w:docVar w:name="sss1" w:val="CEDAW/C/CHE/CO/4-5"/>
    <w:docVar w:name="sss2" w:val="-"/>
    <w:docVar w:name="Symbol1" w:val="CEDAW/C/CHE/CO/4-5"/>
    <w:docVar w:name="Symbol2" w:val="-"/>
  </w:docVars>
  <w:rsids>
    <w:rsidRoot w:val="00031A1A"/>
    <w:rsid w:val="00000689"/>
    <w:rsid w:val="0000347C"/>
    <w:rsid w:val="0000715A"/>
    <w:rsid w:val="000074E0"/>
    <w:rsid w:val="000101C8"/>
    <w:rsid w:val="000125BC"/>
    <w:rsid w:val="00013CD2"/>
    <w:rsid w:val="0001645E"/>
    <w:rsid w:val="0001726F"/>
    <w:rsid w:val="00021314"/>
    <w:rsid w:val="00021A2B"/>
    <w:rsid w:val="00024E72"/>
    <w:rsid w:val="00031A1A"/>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1FD7"/>
    <w:rsid w:val="002A4AEF"/>
    <w:rsid w:val="002A5E53"/>
    <w:rsid w:val="002B305F"/>
    <w:rsid w:val="002B35DE"/>
    <w:rsid w:val="002B564F"/>
    <w:rsid w:val="002B5F5D"/>
    <w:rsid w:val="002B62ED"/>
    <w:rsid w:val="002B6993"/>
    <w:rsid w:val="002B7E03"/>
    <w:rsid w:val="002C2254"/>
    <w:rsid w:val="002C3BC9"/>
    <w:rsid w:val="002C41FF"/>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4EFF"/>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B0EBC"/>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627"/>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5F6B3E"/>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2998"/>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2FC3"/>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017A"/>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4B6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CHE/Q/4" TargetMode="External"/><Relationship Id="rId26" Type="http://schemas.openxmlformats.org/officeDocument/2006/relationships/hyperlink" Target="http://undocs.org/ch/CEDAW/C/CHE/CO/3" TargetMode="External"/><Relationship Id="rId3" Type="http://schemas.openxmlformats.org/officeDocument/2006/relationships/styles" Target="styles.xml"/><Relationship Id="rId21" Type="http://schemas.openxmlformats.org/officeDocument/2006/relationships/hyperlink" Target="http://undocs.org/ch/CEDAW/C/CHE/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CHE/4" TargetMode="External"/><Relationship Id="rId25" Type="http://schemas.openxmlformats.org/officeDocument/2006/relationships/hyperlink" Target="http://undocs.org/ch/S/RES/1325(2000)" TargetMode="External"/><Relationship Id="rId2" Type="http://schemas.openxmlformats.org/officeDocument/2006/relationships/numbering" Target="numbering.xml"/><Relationship Id="rId16" Type="http://schemas.openxmlformats.org/officeDocument/2006/relationships/hyperlink" Target="http://undocs.org/ch/CEDAW/SR.1445" TargetMode="External"/><Relationship Id="rId20" Type="http://schemas.openxmlformats.org/officeDocument/2006/relationships/hyperlink" Target="http://undocs.org/ch/CEDAW/C/CHE/CO/3" TargetMode="External"/><Relationship Id="rId29" Type="http://schemas.openxmlformats.org/officeDocument/2006/relationships/hyperlink" Target="http://undocs.org/ch/CEDAW/C/CHE/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EDAW/C/CHE/CO/3"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CHE/CO/3" TargetMode="External"/><Relationship Id="rId28" Type="http://schemas.openxmlformats.org/officeDocument/2006/relationships/hyperlink" Target="http://undocs.org/ch/CEDAW/C/CHE/CO/3" TargetMode="External"/><Relationship Id="rId10" Type="http://schemas.openxmlformats.org/officeDocument/2006/relationships/header" Target="header2.xml"/><Relationship Id="rId19" Type="http://schemas.openxmlformats.org/officeDocument/2006/relationships/hyperlink" Target="http://undocs.org/ch/CEDAW/C/CHE/Q/4-5Add.1"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CEDAW/C/CHE/CO/3" TargetMode="External"/><Relationship Id="rId27" Type="http://schemas.openxmlformats.org/officeDocument/2006/relationships/hyperlink" Target="http://undocs.org/ch/CEDAW/C/CHE/CO/3" TargetMode="External"/><Relationship Id="rId30"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EFD64-9B2A-4E71-B0AA-2DE2D35F6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Pages>
  <Words>2160</Words>
  <Characters>12316</Characters>
  <Application>Microsoft Office Word</Application>
  <DocSecurity>0</DocSecurity>
  <Lines>102</Lines>
  <Paragraphs>28</Paragraphs>
  <ScaleCrop>false</ScaleCrop>
  <Company>United Nations</Company>
  <LinksUpToDate>false</LinksUpToDate>
  <CharactersWithSpaces>14448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Ctpu1</cp:lastModifiedBy>
  <cp:revision>9</cp:revision>
  <cp:lastPrinted>2016-12-28T19:09:00Z</cp:lastPrinted>
  <dcterms:created xsi:type="dcterms:W3CDTF">2016-12-28T18:21:00Z</dcterms:created>
  <dcterms:modified xsi:type="dcterms:W3CDTF">2016-12-29T14:15:00Z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1620858</vt:lpwstr>
  </property>
  <property fmtid="{D5CDD505-2E9C-101B-9397-08002B2CF9AE}" pid="3" name="ODSRefJobNo">
    <vt:lpwstr>1640298C</vt:lpwstr>
  </property>
  <property fmtid="{D5CDD505-2E9C-101B-9397-08002B2CF9AE}" pid="4" name="Symbol1">
    <vt:lpwstr>CEDAW/C/CHE/CO/4-5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