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622F430" w14:textId="77777777" w:rsidTr="00E6618E">
        <w:trPr>
          <w:trHeight w:hRule="exact" w:val="851"/>
        </w:trPr>
        <w:tc>
          <w:tcPr>
            <w:tcW w:w="1276" w:type="dxa"/>
            <w:tcBorders>
              <w:bottom w:val="single" w:sz="4" w:space="0" w:color="auto"/>
            </w:tcBorders>
          </w:tcPr>
          <w:p w14:paraId="347FB4AE" w14:textId="77777777" w:rsidR="00A12E20" w:rsidRPr="00DB58B5" w:rsidRDefault="00A12E20" w:rsidP="008D529E"/>
        </w:tc>
        <w:tc>
          <w:tcPr>
            <w:tcW w:w="2268" w:type="dxa"/>
            <w:tcBorders>
              <w:bottom w:val="single" w:sz="4" w:space="0" w:color="auto"/>
            </w:tcBorders>
            <w:vAlign w:val="bottom"/>
          </w:tcPr>
          <w:p w14:paraId="2243429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5E6A5C" w14:textId="6039304E" w:rsidR="00A12E20" w:rsidRPr="00DB58B5" w:rsidRDefault="008D529E" w:rsidP="008D529E">
            <w:pPr>
              <w:jc w:val="right"/>
            </w:pPr>
            <w:r w:rsidRPr="008D529E">
              <w:rPr>
                <w:sz w:val="40"/>
              </w:rPr>
              <w:t>A</w:t>
            </w:r>
            <w:r>
              <w:t>/HRC/RES/58/14</w:t>
            </w:r>
          </w:p>
        </w:tc>
      </w:tr>
      <w:tr w:rsidR="00A12E20" w:rsidRPr="00DB58B5" w14:paraId="635CA4B4" w14:textId="77777777" w:rsidTr="00E6618E">
        <w:trPr>
          <w:trHeight w:hRule="exact" w:val="2835"/>
        </w:trPr>
        <w:tc>
          <w:tcPr>
            <w:tcW w:w="1276" w:type="dxa"/>
            <w:tcBorders>
              <w:top w:val="single" w:sz="4" w:space="0" w:color="auto"/>
              <w:bottom w:val="single" w:sz="12" w:space="0" w:color="auto"/>
            </w:tcBorders>
          </w:tcPr>
          <w:p w14:paraId="05FE81B9" w14:textId="77777777" w:rsidR="00A12E20" w:rsidRPr="00DB58B5" w:rsidRDefault="00A12E20" w:rsidP="00E6618E">
            <w:pPr>
              <w:spacing w:before="120"/>
              <w:jc w:val="center"/>
            </w:pPr>
            <w:r>
              <w:rPr>
                <w:noProof/>
                <w:lang w:eastAsia="fr-CH"/>
              </w:rPr>
              <w:drawing>
                <wp:inline distT="0" distB="0" distL="0" distR="0" wp14:anchorId="02B6786C" wp14:editId="2D3685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C3571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FF4758F" w14:textId="77777777" w:rsidR="00A12E20" w:rsidRDefault="008D529E" w:rsidP="00E6618E">
            <w:pPr>
              <w:spacing w:before="240"/>
            </w:pPr>
            <w:r>
              <w:t>Distr. générale</w:t>
            </w:r>
          </w:p>
          <w:p w14:paraId="72FBC2E1" w14:textId="50A58398" w:rsidR="008D529E" w:rsidRDefault="008D529E" w:rsidP="008D529E">
            <w:pPr>
              <w:spacing w:line="240" w:lineRule="exact"/>
            </w:pPr>
            <w:r>
              <w:t>4 avril 2025</w:t>
            </w:r>
          </w:p>
          <w:p w14:paraId="2786E0CF" w14:textId="77777777" w:rsidR="008D529E" w:rsidRDefault="008D529E" w:rsidP="008D529E">
            <w:pPr>
              <w:spacing w:line="240" w:lineRule="exact"/>
            </w:pPr>
            <w:r>
              <w:t>Français</w:t>
            </w:r>
          </w:p>
          <w:p w14:paraId="53F11919" w14:textId="03E74E3A" w:rsidR="008D529E" w:rsidRPr="00DB58B5" w:rsidRDefault="008D529E" w:rsidP="008D529E">
            <w:pPr>
              <w:spacing w:line="240" w:lineRule="exact"/>
            </w:pPr>
            <w:r>
              <w:t>Original : anglais</w:t>
            </w:r>
          </w:p>
        </w:tc>
      </w:tr>
    </w:tbl>
    <w:p w14:paraId="7427784F" w14:textId="77777777" w:rsidR="00D45432" w:rsidRDefault="00D45432" w:rsidP="00D45432">
      <w:pPr>
        <w:spacing w:before="120"/>
        <w:rPr>
          <w:b/>
          <w:sz w:val="24"/>
          <w:szCs w:val="24"/>
        </w:rPr>
      </w:pPr>
      <w:r w:rsidRPr="00BA184E">
        <w:rPr>
          <w:b/>
          <w:sz w:val="24"/>
          <w:szCs w:val="24"/>
        </w:rPr>
        <w:t>Conseil des droits de l’homme</w:t>
      </w:r>
    </w:p>
    <w:p w14:paraId="1FE87186" w14:textId="77777777" w:rsidR="008D529E" w:rsidRPr="00A37BCA" w:rsidRDefault="008D529E" w:rsidP="008D529E">
      <w:pPr>
        <w:rPr>
          <w:b/>
          <w:bCs/>
          <w:color w:val="000000"/>
          <w:lang w:val="fr-FR"/>
        </w:rPr>
      </w:pPr>
      <w:r>
        <w:rPr>
          <w:b/>
          <w:bCs/>
          <w:lang w:val="fr-FR"/>
        </w:rPr>
        <w:t>Cinquante-huitième session</w:t>
      </w:r>
    </w:p>
    <w:p w14:paraId="3357EBEF" w14:textId="14F3F8B6" w:rsidR="008D529E" w:rsidRPr="00A37BCA" w:rsidRDefault="008D529E" w:rsidP="008D529E">
      <w:pPr>
        <w:rPr>
          <w:color w:val="000000"/>
          <w:lang w:val="fr-FR"/>
        </w:rPr>
      </w:pPr>
      <w:r>
        <w:rPr>
          <w:lang w:val="fr-FR"/>
        </w:rPr>
        <w:t>24</w:t>
      </w:r>
      <w:r>
        <w:rPr>
          <w:lang w:val="fr-FR"/>
        </w:rPr>
        <w:t> </w:t>
      </w:r>
      <w:r>
        <w:rPr>
          <w:lang w:val="fr-FR"/>
        </w:rPr>
        <w:t>février-4</w:t>
      </w:r>
      <w:r>
        <w:rPr>
          <w:lang w:val="fr-FR"/>
        </w:rPr>
        <w:t> </w:t>
      </w:r>
      <w:r>
        <w:rPr>
          <w:lang w:val="fr-FR"/>
        </w:rPr>
        <w:t>avril 2025</w:t>
      </w:r>
    </w:p>
    <w:p w14:paraId="4F0309E3" w14:textId="04866064" w:rsidR="008D529E" w:rsidRPr="00A37BCA" w:rsidRDefault="008D529E" w:rsidP="008D529E">
      <w:pPr>
        <w:rPr>
          <w:lang w:val="fr-FR"/>
        </w:rPr>
      </w:pPr>
      <w:r>
        <w:rPr>
          <w:lang w:val="fr-FR"/>
        </w:rPr>
        <w:t>Point</w:t>
      </w:r>
      <w:r>
        <w:rPr>
          <w:lang w:val="fr-FR"/>
        </w:rPr>
        <w:t> </w:t>
      </w:r>
      <w:r>
        <w:rPr>
          <w:lang w:val="fr-FR"/>
        </w:rPr>
        <w:t>3 de l’ordre du jour</w:t>
      </w:r>
    </w:p>
    <w:p w14:paraId="429F300B" w14:textId="71A42E5E" w:rsidR="008D529E" w:rsidRPr="00A37BCA" w:rsidRDefault="008D529E" w:rsidP="008D529E">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w:t>
      </w:r>
      <w:r>
        <w:rPr>
          <w:b/>
          <w:bCs/>
          <w:lang w:val="fr-FR"/>
        </w:rPr>
        <w:t> </w:t>
      </w:r>
      <w:r>
        <w:rPr>
          <w:b/>
          <w:bCs/>
          <w:lang w:val="fr-FR"/>
        </w:rPr>
        <w:t>compris le droit au développement</w:t>
      </w:r>
    </w:p>
    <w:p w14:paraId="7002E305" w14:textId="50B1A936" w:rsidR="008D529E" w:rsidRPr="00A37BCA" w:rsidRDefault="008D529E" w:rsidP="008D529E">
      <w:pPr>
        <w:pStyle w:val="HChG"/>
        <w:rPr>
          <w:lang w:val="fr-FR"/>
        </w:rPr>
      </w:pPr>
      <w:r>
        <w:rPr>
          <w:lang w:val="fr-FR"/>
        </w:rPr>
        <w:tab/>
      </w:r>
      <w:r>
        <w:rPr>
          <w:lang w:val="fr-FR"/>
        </w:rPr>
        <w:tab/>
        <w:t>Résolution adoptée par le Conseil des droits de l’homme le</w:t>
      </w:r>
      <w:r>
        <w:rPr>
          <w:lang w:val="fr-FR"/>
        </w:rPr>
        <w:t> </w:t>
      </w:r>
      <w:r>
        <w:rPr>
          <w:lang w:val="fr-FR"/>
        </w:rPr>
        <w:t>3</w:t>
      </w:r>
      <w:r>
        <w:rPr>
          <w:lang w:val="fr-FR"/>
        </w:rPr>
        <w:t> </w:t>
      </w:r>
      <w:r>
        <w:rPr>
          <w:lang w:val="fr-FR"/>
        </w:rPr>
        <w:t>avril 2025</w:t>
      </w:r>
    </w:p>
    <w:p w14:paraId="39CC2C88" w14:textId="132571AA" w:rsidR="008D529E" w:rsidRPr="00B618C2" w:rsidRDefault="008D529E" w:rsidP="008D529E">
      <w:pPr>
        <w:pStyle w:val="H1G"/>
        <w:rPr>
          <w:sz w:val="32"/>
          <w:lang w:val="fr-FR"/>
        </w:rPr>
      </w:pPr>
      <w:r>
        <w:rPr>
          <w:lang w:val="fr-FR"/>
        </w:rPr>
        <w:tab/>
      </w:r>
      <w:r w:rsidRPr="00B618C2">
        <w:rPr>
          <w:lang w:val="fr-FR"/>
        </w:rPr>
        <w:t>58/</w:t>
      </w:r>
      <w:r>
        <w:rPr>
          <w:lang w:val="fr-FR"/>
        </w:rPr>
        <w:t>14</w:t>
      </w:r>
      <w:r w:rsidRPr="00B618C2">
        <w:rPr>
          <w:lang w:val="fr-FR"/>
        </w:rPr>
        <w:t>.</w:t>
      </w:r>
      <w:r w:rsidRPr="00B618C2">
        <w:rPr>
          <w:lang w:val="fr-FR"/>
        </w:rPr>
        <w:tab/>
        <w:t>Mandat de Rapporteur spécial sur la promotion et la protection des</w:t>
      </w:r>
      <w:r>
        <w:rPr>
          <w:lang w:val="fr-FR"/>
        </w:rPr>
        <w:t> </w:t>
      </w:r>
      <w:r w:rsidRPr="00B618C2">
        <w:rPr>
          <w:lang w:val="fr-FR"/>
        </w:rPr>
        <w:t>droits de l</w:t>
      </w:r>
      <w:r>
        <w:rPr>
          <w:lang w:val="fr-FR"/>
        </w:rPr>
        <w:t>’</w:t>
      </w:r>
      <w:r w:rsidRPr="00B618C2">
        <w:rPr>
          <w:lang w:val="fr-FR"/>
        </w:rPr>
        <w:t xml:space="preserve">homme et des libertés fondamentales </w:t>
      </w:r>
      <w:r>
        <w:rPr>
          <w:lang w:val="fr-FR"/>
        </w:rPr>
        <w:br/>
      </w:r>
      <w:r w:rsidRPr="00B618C2">
        <w:rPr>
          <w:lang w:val="fr-FR"/>
        </w:rPr>
        <w:t>dans la lutte antiterroriste</w:t>
      </w:r>
    </w:p>
    <w:p w14:paraId="68D51EAB" w14:textId="0CD59449" w:rsidR="008D529E" w:rsidRPr="00A37BCA" w:rsidRDefault="008D529E" w:rsidP="008D529E">
      <w:pPr>
        <w:spacing w:after="120"/>
        <w:ind w:left="1134" w:right="1134" w:firstLine="567"/>
        <w:jc w:val="both"/>
        <w:rPr>
          <w:lang w:val="fr-FR"/>
        </w:rPr>
      </w:pPr>
      <w:r>
        <w:rPr>
          <w:lang w:val="fr-FR"/>
        </w:rPr>
        <w:tab/>
      </w:r>
      <w:r>
        <w:rPr>
          <w:i/>
          <w:iCs/>
          <w:lang w:val="fr-FR"/>
        </w:rPr>
        <w:t>Le Conseil des droits de l’homme,</w:t>
      </w:r>
    </w:p>
    <w:p w14:paraId="530667FA" w14:textId="77777777" w:rsidR="008D529E" w:rsidRPr="00A37BCA" w:rsidRDefault="008D529E" w:rsidP="008D529E">
      <w:pPr>
        <w:spacing w:after="120"/>
        <w:ind w:left="1134" w:right="1134" w:firstLine="567"/>
        <w:jc w:val="both"/>
        <w:rPr>
          <w:lang w:val="fr-FR"/>
        </w:rPr>
      </w:pPr>
      <w:r>
        <w:rPr>
          <w:i/>
          <w:iCs/>
          <w:lang w:val="fr-FR"/>
        </w:rPr>
        <w:t xml:space="preserve">Guidé </w:t>
      </w:r>
      <w:r>
        <w:rPr>
          <w:lang w:val="fr-FR"/>
        </w:rPr>
        <w:t>par les buts et principes énoncés dans la Charte des Nations Unies, la Déclaration universelle des droits de l’homme, le Pacte international relatif aux droits économiques, sociaux et culturels, le Pacte international relatif aux droits civils et politiques et d’autres instruments internationaux pertinents relatifs aux droits de l’homme,</w:t>
      </w:r>
    </w:p>
    <w:p w14:paraId="37CFC434" w14:textId="6524E353" w:rsidR="008D529E" w:rsidRPr="00A37BCA" w:rsidRDefault="008D529E" w:rsidP="008D529E">
      <w:pPr>
        <w:spacing w:after="120"/>
        <w:ind w:left="1134" w:right="1134" w:firstLine="567"/>
        <w:jc w:val="both"/>
        <w:rPr>
          <w:lang w:val="fr-FR"/>
        </w:rPr>
      </w:pPr>
      <w:r>
        <w:rPr>
          <w:i/>
          <w:iCs/>
          <w:lang w:val="fr-FR"/>
        </w:rPr>
        <w:t>Ayant à l’esprit</w:t>
      </w:r>
      <w:r>
        <w:rPr>
          <w:lang w:val="fr-FR"/>
        </w:rPr>
        <w:t xml:space="preserve"> les résolutions de l’Assemblée générale</w:t>
      </w:r>
      <w:r>
        <w:rPr>
          <w:lang w:val="fr-FR"/>
        </w:rPr>
        <w:t> </w:t>
      </w:r>
      <w:hyperlink r:id="rId9" w:history="1">
        <w:r w:rsidRPr="001910BD">
          <w:rPr>
            <w:rStyle w:val="Lienhypertexte"/>
            <w:lang w:val="fr-FR"/>
          </w:rPr>
          <w:t>60/251</w:t>
        </w:r>
      </w:hyperlink>
      <w:r>
        <w:rPr>
          <w:lang w:val="fr-FR"/>
        </w:rPr>
        <w:t xml:space="preserve"> du 15</w:t>
      </w:r>
      <w:r>
        <w:rPr>
          <w:lang w:val="fr-FR"/>
        </w:rPr>
        <w:t> </w:t>
      </w:r>
      <w:r>
        <w:rPr>
          <w:lang w:val="fr-FR"/>
        </w:rPr>
        <w:t xml:space="preserve">mars 2006, </w:t>
      </w:r>
      <w:hyperlink r:id="rId10" w:history="1">
        <w:r w:rsidRPr="001910BD">
          <w:rPr>
            <w:rStyle w:val="Lienhypertexte"/>
            <w:lang w:val="fr-FR"/>
          </w:rPr>
          <w:t>62/219</w:t>
        </w:r>
      </w:hyperlink>
      <w:r>
        <w:rPr>
          <w:lang w:val="fr-FR"/>
        </w:rPr>
        <w:t xml:space="preserve"> du 22</w:t>
      </w:r>
      <w:r>
        <w:rPr>
          <w:lang w:val="fr-FR"/>
        </w:rPr>
        <w:t> </w:t>
      </w:r>
      <w:r>
        <w:rPr>
          <w:lang w:val="fr-FR"/>
        </w:rPr>
        <w:t xml:space="preserve">décembre 2007 et </w:t>
      </w:r>
      <w:hyperlink r:id="rId11" w:history="1">
        <w:r w:rsidRPr="001910BD">
          <w:rPr>
            <w:rStyle w:val="Lienhypertexte"/>
            <w:lang w:val="fr-FR"/>
          </w:rPr>
          <w:t>65/281</w:t>
        </w:r>
      </w:hyperlink>
      <w:r>
        <w:rPr>
          <w:lang w:val="fr-FR"/>
        </w:rPr>
        <w:t xml:space="preserve"> du 17</w:t>
      </w:r>
      <w:r>
        <w:rPr>
          <w:lang w:val="fr-FR"/>
        </w:rPr>
        <w:t> </w:t>
      </w:r>
      <w:r>
        <w:rPr>
          <w:lang w:val="fr-FR"/>
        </w:rPr>
        <w:t>juin 2011,</w:t>
      </w:r>
    </w:p>
    <w:p w14:paraId="38A6C553" w14:textId="3911C806" w:rsidR="008D529E" w:rsidRPr="00A37BCA" w:rsidRDefault="008D529E" w:rsidP="008D529E">
      <w:pPr>
        <w:spacing w:after="120"/>
        <w:ind w:left="1134" w:right="1134" w:firstLine="567"/>
        <w:jc w:val="both"/>
        <w:rPr>
          <w:lang w:val="fr-FR"/>
        </w:rPr>
      </w:pPr>
      <w:r>
        <w:rPr>
          <w:i/>
          <w:iCs/>
          <w:lang w:val="fr-FR"/>
        </w:rPr>
        <w:t xml:space="preserve">Rappelant </w:t>
      </w:r>
      <w:r>
        <w:rPr>
          <w:lang w:val="fr-FR"/>
        </w:rPr>
        <w:t>ses résolutions</w:t>
      </w:r>
      <w:r>
        <w:rPr>
          <w:lang w:val="fr-FR"/>
        </w:rPr>
        <w:t> </w:t>
      </w:r>
      <w:r>
        <w:rPr>
          <w:lang w:val="fr-FR"/>
        </w:rPr>
        <w:t xml:space="preserve">5/1 et </w:t>
      </w:r>
      <w:hyperlink r:id="rId12" w:history="1">
        <w:r w:rsidRPr="001910BD">
          <w:rPr>
            <w:rStyle w:val="Lienhypertexte"/>
            <w:color w:val="auto"/>
            <w:lang w:val="fr-FR"/>
          </w:rPr>
          <w:t>5/2</w:t>
        </w:r>
      </w:hyperlink>
      <w:r>
        <w:rPr>
          <w:lang w:val="fr-FR"/>
        </w:rPr>
        <w:t>, du 18</w:t>
      </w:r>
      <w:r>
        <w:rPr>
          <w:lang w:val="fr-FR"/>
        </w:rPr>
        <w:t> </w:t>
      </w:r>
      <w:r>
        <w:rPr>
          <w:lang w:val="fr-FR"/>
        </w:rPr>
        <w:t>juin 2007, concernant respectivement la mise en place de ses institutions et le Code de conduite pour les titulaires de mandat au titre de ses procédures spéciales, et soulignant que les titulaires de mandat doivent s’acquitter des obligations qui leur incombent conformément à ces résolutions et à leurs annexes,</w:t>
      </w:r>
    </w:p>
    <w:p w14:paraId="70ECD119" w14:textId="77777777" w:rsidR="008D529E" w:rsidRPr="00A37BCA" w:rsidRDefault="008D529E" w:rsidP="008D529E">
      <w:pPr>
        <w:spacing w:after="120"/>
        <w:ind w:left="1134" w:right="1134" w:firstLine="567"/>
        <w:jc w:val="both"/>
        <w:rPr>
          <w:lang w:val="fr-FR"/>
        </w:rPr>
      </w:pPr>
      <w:r>
        <w:rPr>
          <w:i/>
          <w:iCs/>
          <w:lang w:val="fr-FR"/>
        </w:rPr>
        <w:t>Notant avec une profonde préoccupation</w:t>
      </w:r>
      <w:r>
        <w:rPr>
          <w:lang w:val="fr-FR"/>
        </w:rPr>
        <w:t xml:space="preserve"> que des violations des droits de l’homme et des libertés fondamentales sont commises dans le contexte de la lutte contre le terrorisme et que le terrorisme a des effets sur la jouissance des droits de l’homme et des libertés fondamentales, notamment pour les victimes,</w:t>
      </w:r>
    </w:p>
    <w:p w14:paraId="481EA504" w14:textId="58D2B333" w:rsidR="008D529E" w:rsidRPr="00A37BCA" w:rsidRDefault="008D529E" w:rsidP="008D529E">
      <w:pPr>
        <w:spacing w:after="120"/>
        <w:ind w:left="1134" w:right="1134" w:firstLine="567"/>
        <w:jc w:val="both"/>
        <w:rPr>
          <w:lang w:val="fr-FR"/>
        </w:rPr>
      </w:pPr>
      <w:r>
        <w:rPr>
          <w:i/>
          <w:iCs/>
          <w:lang w:val="fr-FR"/>
        </w:rPr>
        <w:t xml:space="preserve">Rappelant </w:t>
      </w:r>
      <w:r>
        <w:rPr>
          <w:lang w:val="fr-FR"/>
        </w:rPr>
        <w:t>les résolutions de la Commission des droits de l’homme</w:t>
      </w:r>
      <w:r>
        <w:rPr>
          <w:lang w:val="fr-FR"/>
        </w:rPr>
        <w:t> </w:t>
      </w:r>
      <w:r>
        <w:rPr>
          <w:lang w:val="fr-FR"/>
        </w:rPr>
        <w:t>2004/87 du 21 avril 2004 et 2005/80 du 21</w:t>
      </w:r>
      <w:r>
        <w:rPr>
          <w:lang w:val="fr-FR"/>
        </w:rPr>
        <w:t> </w:t>
      </w:r>
      <w:r>
        <w:rPr>
          <w:lang w:val="fr-FR"/>
        </w:rPr>
        <w:t>avril 2005, les résolutions de l’Assemblée générale</w:t>
      </w:r>
      <w:r>
        <w:rPr>
          <w:lang w:val="fr-FR"/>
        </w:rPr>
        <w:t> </w:t>
      </w:r>
      <w:hyperlink r:id="rId13" w:history="1">
        <w:r w:rsidRPr="001910BD">
          <w:rPr>
            <w:rStyle w:val="Lienhypertexte"/>
            <w:lang w:val="fr-FR"/>
          </w:rPr>
          <w:t>59/191</w:t>
        </w:r>
      </w:hyperlink>
      <w:r>
        <w:rPr>
          <w:lang w:val="fr-FR"/>
        </w:rPr>
        <w:t xml:space="preserve"> du 20</w:t>
      </w:r>
      <w:r>
        <w:rPr>
          <w:lang w:val="fr-FR"/>
        </w:rPr>
        <w:t> </w:t>
      </w:r>
      <w:r>
        <w:rPr>
          <w:lang w:val="fr-FR"/>
        </w:rPr>
        <w:t xml:space="preserve">décembre 2004, </w:t>
      </w:r>
      <w:hyperlink r:id="rId14" w:history="1">
        <w:r w:rsidRPr="001910BD">
          <w:rPr>
            <w:rStyle w:val="Lienhypertexte"/>
            <w:lang w:val="fr-FR"/>
          </w:rPr>
          <w:t>60/158</w:t>
        </w:r>
      </w:hyperlink>
      <w:r>
        <w:rPr>
          <w:lang w:val="fr-FR"/>
        </w:rPr>
        <w:t xml:space="preserve"> du 16</w:t>
      </w:r>
      <w:r>
        <w:rPr>
          <w:lang w:val="fr-FR"/>
        </w:rPr>
        <w:t> </w:t>
      </w:r>
      <w:r>
        <w:rPr>
          <w:lang w:val="fr-FR"/>
        </w:rPr>
        <w:t xml:space="preserve">décembre 2005 et </w:t>
      </w:r>
      <w:hyperlink r:id="rId15" w:history="1">
        <w:r w:rsidRPr="001910BD">
          <w:rPr>
            <w:rStyle w:val="Lienhypertexte"/>
            <w:lang w:val="fr-FR"/>
          </w:rPr>
          <w:t>61/171</w:t>
        </w:r>
      </w:hyperlink>
      <w:r>
        <w:rPr>
          <w:lang w:val="fr-FR"/>
        </w:rPr>
        <w:t xml:space="preserve"> du 19</w:t>
      </w:r>
      <w:r>
        <w:rPr>
          <w:lang w:val="fr-FR"/>
        </w:rPr>
        <w:t> </w:t>
      </w:r>
      <w:r>
        <w:rPr>
          <w:lang w:val="fr-FR"/>
        </w:rPr>
        <w:t xml:space="preserve">décembre 2006, ainsi que ses propres </w:t>
      </w:r>
      <w:r w:rsidRPr="001910BD">
        <w:rPr>
          <w:lang w:val="fr-FR"/>
        </w:rPr>
        <w:t xml:space="preserve">résolutions </w:t>
      </w:r>
      <w:hyperlink r:id="rId16" w:history="1">
        <w:r w:rsidRPr="001910BD">
          <w:rPr>
            <w:rStyle w:val="Lienhypertexte"/>
            <w:color w:val="auto"/>
            <w:lang w:val="fr-FR"/>
          </w:rPr>
          <w:t>6/28</w:t>
        </w:r>
      </w:hyperlink>
      <w:r w:rsidRPr="001910BD">
        <w:rPr>
          <w:lang w:val="fr-FR"/>
        </w:rPr>
        <w:t xml:space="preserve"> du 14</w:t>
      </w:r>
      <w:r w:rsidRPr="001910BD">
        <w:rPr>
          <w:lang w:val="fr-FR"/>
        </w:rPr>
        <w:t> </w:t>
      </w:r>
      <w:r w:rsidRPr="001910BD">
        <w:rPr>
          <w:lang w:val="fr-FR"/>
        </w:rPr>
        <w:t xml:space="preserve">décembre 2007, </w:t>
      </w:r>
      <w:hyperlink r:id="rId17" w:history="1">
        <w:r w:rsidRPr="001910BD">
          <w:rPr>
            <w:rStyle w:val="Lienhypertexte"/>
            <w:color w:val="auto"/>
            <w:lang w:val="fr-FR"/>
          </w:rPr>
          <w:t>15/15</w:t>
        </w:r>
      </w:hyperlink>
      <w:r w:rsidRPr="001910BD">
        <w:rPr>
          <w:lang w:val="fr-FR"/>
        </w:rPr>
        <w:t xml:space="preserve"> du 24</w:t>
      </w:r>
      <w:r w:rsidRPr="001910BD">
        <w:rPr>
          <w:lang w:val="fr-FR"/>
        </w:rPr>
        <w:t> </w:t>
      </w:r>
      <w:r w:rsidRPr="001910BD">
        <w:rPr>
          <w:lang w:val="fr-FR"/>
        </w:rPr>
        <w:t xml:space="preserve">septembre 2010, </w:t>
      </w:r>
      <w:hyperlink r:id="rId18" w:history="1">
        <w:r w:rsidRPr="001910BD">
          <w:rPr>
            <w:rStyle w:val="Lienhypertexte"/>
            <w:color w:val="auto"/>
            <w:lang w:val="fr-FR"/>
          </w:rPr>
          <w:t>22/8</w:t>
        </w:r>
      </w:hyperlink>
      <w:r w:rsidRPr="001910BD">
        <w:rPr>
          <w:lang w:val="fr-FR"/>
        </w:rPr>
        <w:t xml:space="preserve"> du </w:t>
      </w:r>
      <w:r>
        <w:rPr>
          <w:lang w:val="fr-FR"/>
        </w:rPr>
        <w:t>21</w:t>
      </w:r>
      <w:r>
        <w:rPr>
          <w:lang w:val="fr-FR"/>
        </w:rPr>
        <w:t> </w:t>
      </w:r>
      <w:r>
        <w:rPr>
          <w:lang w:val="fr-FR"/>
        </w:rPr>
        <w:t xml:space="preserve">mars 2013, </w:t>
      </w:r>
      <w:hyperlink r:id="rId19" w:history="1">
        <w:r w:rsidRPr="001910BD">
          <w:rPr>
            <w:rStyle w:val="Lienhypertexte"/>
            <w:lang w:val="fr-FR"/>
          </w:rPr>
          <w:t>31/3</w:t>
        </w:r>
      </w:hyperlink>
      <w:r>
        <w:rPr>
          <w:lang w:val="fr-FR"/>
        </w:rPr>
        <w:t xml:space="preserve"> du 20</w:t>
      </w:r>
      <w:r>
        <w:rPr>
          <w:lang w:val="fr-FR"/>
        </w:rPr>
        <w:t> </w:t>
      </w:r>
      <w:r>
        <w:rPr>
          <w:lang w:val="fr-FR"/>
        </w:rPr>
        <w:t xml:space="preserve">avril 2016, </w:t>
      </w:r>
      <w:hyperlink r:id="rId20" w:history="1">
        <w:r w:rsidRPr="001910BD">
          <w:rPr>
            <w:rStyle w:val="Lienhypertexte"/>
            <w:lang w:val="fr-FR"/>
          </w:rPr>
          <w:t>40/16</w:t>
        </w:r>
      </w:hyperlink>
      <w:r>
        <w:rPr>
          <w:lang w:val="fr-FR"/>
        </w:rPr>
        <w:t xml:space="preserve"> du 22</w:t>
      </w:r>
      <w:r>
        <w:rPr>
          <w:lang w:val="fr-FR"/>
        </w:rPr>
        <w:t> </w:t>
      </w:r>
      <w:r>
        <w:rPr>
          <w:lang w:val="fr-FR"/>
        </w:rPr>
        <w:t xml:space="preserve">mars 2019 et </w:t>
      </w:r>
      <w:hyperlink r:id="rId21" w:history="1">
        <w:r w:rsidRPr="001910BD">
          <w:rPr>
            <w:rStyle w:val="Lienhypertexte"/>
            <w:lang w:val="fr-FR"/>
          </w:rPr>
          <w:t>49/10</w:t>
        </w:r>
      </w:hyperlink>
      <w:r>
        <w:rPr>
          <w:lang w:val="fr-FR"/>
        </w:rPr>
        <w:t xml:space="preserve"> du 31</w:t>
      </w:r>
      <w:r>
        <w:rPr>
          <w:lang w:val="fr-FR"/>
        </w:rPr>
        <w:t> </w:t>
      </w:r>
      <w:r>
        <w:rPr>
          <w:lang w:val="fr-FR"/>
        </w:rPr>
        <w:t>mars 2022, relatives au mandat de Rapporteur spécial sur la promotion et la protection des droits de l’homme et des libertés fondamentales dans la lutte antiterroriste,</w:t>
      </w:r>
    </w:p>
    <w:p w14:paraId="5AAD6AE2" w14:textId="7DF93293" w:rsidR="008D529E" w:rsidRPr="00A37BCA" w:rsidRDefault="008D529E" w:rsidP="008D529E">
      <w:pPr>
        <w:spacing w:after="120"/>
        <w:ind w:left="1134" w:right="1134" w:firstLine="567"/>
        <w:jc w:val="both"/>
        <w:rPr>
          <w:lang w:val="fr-FR"/>
        </w:rPr>
      </w:pPr>
      <w:r>
        <w:rPr>
          <w:lang w:val="fr-FR"/>
        </w:rPr>
        <w:t>1.</w:t>
      </w:r>
      <w:r>
        <w:rPr>
          <w:lang w:val="fr-FR"/>
        </w:rPr>
        <w:tab/>
      </w:r>
      <w:r>
        <w:rPr>
          <w:i/>
          <w:iCs/>
          <w:lang w:val="fr-FR"/>
        </w:rPr>
        <w:t>Décide</w:t>
      </w:r>
      <w:r>
        <w:rPr>
          <w:lang w:val="fr-FR"/>
        </w:rPr>
        <w:t xml:space="preserve"> de reconduire le mandat de Rapporteur spécial sur la promotion et la protection des droits de l’homme et des libertés fondamentales dans la lutte antiterroriste pour une période de trois ans, dans les conditions qu’il avait prévues dans sa résolution</w:t>
      </w:r>
      <w:r>
        <w:rPr>
          <w:lang w:val="fr-FR"/>
        </w:rPr>
        <w:t> </w:t>
      </w:r>
      <w:hyperlink r:id="rId22" w:history="1">
        <w:r w:rsidRPr="001910BD">
          <w:rPr>
            <w:rStyle w:val="Lienhypertexte"/>
            <w:lang w:val="fr-FR"/>
          </w:rPr>
          <w:t>49/10</w:t>
        </w:r>
      </w:hyperlink>
      <w:r>
        <w:rPr>
          <w:lang w:val="fr-FR"/>
        </w:rPr>
        <w:t> </w:t>
      </w:r>
      <w:r>
        <w:rPr>
          <w:lang w:val="fr-FR"/>
        </w:rPr>
        <w:t>;</w:t>
      </w:r>
    </w:p>
    <w:p w14:paraId="49EA5789" w14:textId="36928AF3" w:rsidR="008D529E" w:rsidRPr="00A37BCA" w:rsidRDefault="008D529E" w:rsidP="008D529E">
      <w:pPr>
        <w:spacing w:after="120"/>
        <w:ind w:left="1134" w:right="1134" w:firstLine="567"/>
        <w:jc w:val="both"/>
        <w:rPr>
          <w:lang w:val="fr-FR"/>
        </w:rPr>
      </w:pPr>
      <w:r>
        <w:rPr>
          <w:lang w:val="fr-FR"/>
        </w:rPr>
        <w:t>2.</w:t>
      </w:r>
      <w:r>
        <w:rPr>
          <w:lang w:val="fr-FR"/>
        </w:rPr>
        <w:tab/>
      </w:r>
      <w:r>
        <w:rPr>
          <w:i/>
          <w:iCs/>
          <w:lang w:val="fr-FR"/>
        </w:rPr>
        <w:t>Encourage</w:t>
      </w:r>
      <w:r>
        <w:rPr>
          <w:lang w:val="fr-FR"/>
        </w:rPr>
        <w:t xml:space="preserve"> le Rapporteur spécial à continuer de prendre part au Pacte mondial des Nations</w:t>
      </w:r>
      <w:r>
        <w:rPr>
          <w:lang w:val="fr-FR"/>
        </w:rPr>
        <w:t> </w:t>
      </w:r>
      <w:r>
        <w:rPr>
          <w:lang w:val="fr-FR"/>
        </w:rPr>
        <w:t>Unies de coordination contre le terrorisme, conformément à son mandat ;</w:t>
      </w:r>
    </w:p>
    <w:p w14:paraId="3E2D1124" w14:textId="77777777" w:rsidR="008D529E" w:rsidRPr="00A37BCA" w:rsidRDefault="008D529E" w:rsidP="008D529E">
      <w:pPr>
        <w:spacing w:after="120"/>
        <w:ind w:left="1134" w:right="1134" w:firstLine="567"/>
        <w:jc w:val="both"/>
        <w:rPr>
          <w:lang w:val="fr-FR"/>
        </w:rPr>
      </w:pPr>
      <w:r>
        <w:rPr>
          <w:lang w:val="fr-FR"/>
        </w:rPr>
        <w:lastRenderedPageBreak/>
        <w:t>3.</w:t>
      </w:r>
      <w:r>
        <w:rPr>
          <w:lang w:val="fr-FR"/>
        </w:rPr>
        <w:tab/>
      </w:r>
      <w:r>
        <w:rPr>
          <w:i/>
          <w:iCs/>
          <w:lang w:val="fr-FR"/>
        </w:rPr>
        <w:t xml:space="preserve">Salue </w:t>
      </w:r>
      <w:r>
        <w:rPr>
          <w:lang w:val="fr-FR"/>
        </w:rPr>
        <w:t>le travail accompli par le Rapporteur spécial pour ce qui est de promouvoir les droits de l’homme et les libertés fondamentales des victimes du terrorisme, et encourage le Rapporteur spécial à continuer d’examiner cette question, en consultation avec les gouvernements, les personnes concernées, leur famille, leurs représentants et les organisations de la société civile ;</w:t>
      </w:r>
    </w:p>
    <w:p w14:paraId="61F75AE8" w14:textId="48675C72" w:rsidR="008D529E" w:rsidRPr="00A37BCA" w:rsidRDefault="008D529E" w:rsidP="008D529E">
      <w:pPr>
        <w:spacing w:after="120"/>
        <w:ind w:left="1134" w:right="1134" w:firstLine="567"/>
        <w:jc w:val="both"/>
        <w:rPr>
          <w:lang w:val="fr-FR"/>
        </w:rPr>
      </w:pPr>
      <w:r>
        <w:rPr>
          <w:lang w:val="fr-FR"/>
        </w:rPr>
        <w:t>4.</w:t>
      </w:r>
      <w:r>
        <w:rPr>
          <w:lang w:val="fr-FR"/>
        </w:rPr>
        <w:tab/>
      </w:r>
      <w:r>
        <w:rPr>
          <w:i/>
          <w:iCs/>
          <w:lang w:val="fr-FR"/>
        </w:rPr>
        <w:t xml:space="preserve">Demande </w:t>
      </w:r>
      <w:r>
        <w:rPr>
          <w:lang w:val="fr-FR"/>
        </w:rPr>
        <w:t>à tous les gouvernements de coopérer pleinement avec le Rapporteur spécial afin de l’aider à s’acquitter des fonctions et tâches qui lui ont été confiées, notamment en répondant rapidement à ses appels urgents et en lui communiquant les éléments d’information qu’il demande</w:t>
      </w:r>
      <w:r>
        <w:rPr>
          <w:lang w:val="fr-FR"/>
        </w:rPr>
        <w:t> </w:t>
      </w:r>
      <w:r>
        <w:rPr>
          <w:lang w:val="fr-FR"/>
        </w:rPr>
        <w:t>;</w:t>
      </w:r>
    </w:p>
    <w:p w14:paraId="69676566" w14:textId="31614B59" w:rsidR="008D529E" w:rsidRPr="00A37BCA" w:rsidRDefault="008D529E" w:rsidP="008D529E">
      <w:pPr>
        <w:spacing w:after="120"/>
        <w:ind w:left="1134" w:right="1134" w:firstLine="567"/>
        <w:jc w:val="both"/>
        <w:rPr>
          <w:lang w:val="fr-FR"/>
        </w:rPr>
      </w:pPr>
      <w:r>
        <w:rPr>
          <w:lang w:val="fr-FR"/>
        </w:rPr>
        <w:t>5.</w:t>
      </w:r>
      <w:r>
        <w:rPr>
          <w:lang w:val="fr-FR"/>
        </w:rPr>
        <w:tab/>
      </w:r>
      <w:r>
        <w:rPr>
          <w:i/>
          <w:iCs/>
          <w:lang w:val="fr-FR"/>
        </w:rPr>
        <w:t xml:space="preserve">Engage </w:t>
      </w:r>
      <w:r>
        <w:rPr>
          <w:lang w:val="fr-FR"/>
        </w:rPr>
        <w:t>tous</w:t>
      </w:r>
      <w:r>
        <w:rPr>
          <w:i/>
          <w:iCs/>
          <w:lang w:val="fr-FR"/>
        </w:rPr>
        <w:t xml:space="preserve"> </w:t>
      </w:r>
      <w:r>
        <w:rPr>
          <w:lang w:val="fr-FR"/>
        </w:rPr>
        <w:t>les gouvernements à envisager sérieusement d’accueillir favorablement les demandes de visite du Rapporteur spécial</w:t>
      </w:r>
      <w:r>
        <w:rPr>
          <w:lang w:val="fr-FR"/>
        </w:rPr>
        <w:t> </w:t>
      </w:r>
      <w:r>
        <w:rPr>
          <w:lang w:val="fr-FR"/>
        </w:rPr>
        <w:t>;</w:t>
      </w:r>
    </w:p>
    <w:p w14:paraId="26F05AF3" w14:textId="77777777" w:rsidR="008D529E" w:rsidRDefault="008D529E" w:rsidP="008D529E">
      <w:pPr>
        <w:spacing w:after="120"/>
        <w:ind w:left="1134" w:right="1134" w:firstLine="567"/>
        <w:jc w:val="both"/>
        <w:rPr>
          <w:lang w:val="fr-FR"/>
        </w:rPr>
      </w:pPr>
      <w:r>
        <w:rPr>
          <w:lang w:val="fr-FR"/>
        </w:rPr>
        <w:t>6.</w:t>
      </w:r>
      <w:r>
        <w:rPr>
          <w:lang w:val="fr-FR"/>
        </w:rPr>
        <w:tab/>
      </w:r>
      <w:r>
        <w:rPr>
          <w:i/>
          <w:iCs/>
          <w:lang w:val="fr-FR"/>
        </w:rPr>
        <w:t xml:space="preserve">Prie </w:t>
      </w:r>
      <w:r>
        <w:rPr>
          <w:lang w:val="fr-FR"/>
        </w:rPr>
        <w:t>le Secrétaire général et le Haut-Commissaire des Nations</w:t>
      </w:r>
      <w:r>
        <w:rPr>
          <w:lang w:val="fr-FR"/>
        </w:rPr>
        <w:t> </w:t>
      </w:r>
      <w:r>
        <w:rPr>
          <w:lang w:val="fr-FR"/>
        </w:rPr>
        <w:t>Unies aux droits de l’homme de fournir au ou à la titulaire du mandat toutes les ressources humaines, techniques et financières nécessaires, notamment de mettre à sa disposition des effectifs suffisants et prévisibles, afin qu’il ou elle puisse s’acquitter efficacement de son mandat ;</w:t>
      </w:r>
    </w:p>
    <w:p w14:paraId="1657D12A" w14:textId="112DD927" w:rsidR="008D529E" w:rsidRDefault="008D529E" w:rsidP="008D529E">
      <w:pPr>
        <w:spacing w:after="120"/>
        <w:ind w:left="1134" w:right="1134" w:firstLine="567"/>
        <w:jc w:val="both"/>
        <w:rPr>
          <w:lang w:val="fr-FR"/>
        </w:rPr>
      </w:pPr>
      <w:r>
        <w:rPr>
          <w:lang w:val="fr-FR"/>
        </w:rPr>
        <w:t>7.</w:t>
      </w:r>
      <w:r>
        <w:rPr>
          <w:lang w:val="fr-FR"/>
        </w:rPr>
        <w:tab/>
      </w:r>
      <w:r>
        <w:rPr>
          <w:i/>
          <w:iCs/>
          <w:lang w:val="fr-FR"/>
        </w:rPr>
        <w:t xml:space="preserve">Décide </w:t>
      </w:r>
      <w:r>
        <w:rPr>
          <w:lang w:val="fr-FR"/>
        </w:rPr>
        <w:t>de poursuivre l’examen de cette question conformément à son programme de travail annuel.</w:t>
      </w:r>
    </w:p>
    <w:p w14:paraId="14B81DCE" w14:textId="33E0D8E4" w:rsidR="008D529E" w:rsidRPr="005E5AE5" w:rsidRDefault="008D529E" w:rsidP="008D529E">
      <w:pPr>
        <w:pStyle w:val="SingleTxtG"/>
        <w:spacing w:after="0"/>
        <w:ind w:left="1117"/>
        <w:jc w:val="right"/>
        <w:rPr>
          <w:i/>
          <w:iCs/>
          <w:lang w:val="fr-FR"/>
        </w:rPr>
      </w:pPr>
      <w:bookmarkStart w:id="0" w:name="_Hlk194505368"/>
      <w:r w:rsidRPr="005E5AE5">
        <w:rPr>
          <w:i/>
          <w:iCs/>
          <w:lang w:val="fr-FR"/>
        </w:rPr>
        <w:t>56</w:t>
      </w:r>
      <w:r w:rsidRPr="005E5AE5">
        <w:rPr>
          <w:i/>
          <w:iCs/>
          <w:vertAlign w:val="superscript"/>
          <w:lang w:val="fr-FR"/>
        </w:rPr>
        <w:t>e</w:t>
      </w:r>
      <w:r>
        <w:rPr>
          <w:i/>
          <w:iCs/>
          <w:lang w:val="fr-FR"/>
        </w:rPr>
        <w:t> </w:t>
      </w:r>
      <w:r w:rsidRPr="005E5AE5">
        <w:rPr>
          <w:i/>
          <w:iCs/>
          <w:lang w:val="fr-FR"/>
        </w:rPr>
        <w:t>séance</w:t>
      </w:r>
      <w:r>
        <w:rPr>
          <w:i/>
          <w:iCs/>
          <w:lang w:val="fr-FR"/>
        </w:rPr>
        <w:t xml:space="preserve"> </w:t>
      </w:r>
      <w:r>
        <w:rPr>
          <w:i/>
          <w:iCs/>
          <w:lang w:val="fr-FR"/>
        </w:rPr>
        <w:br/>
      </w:r>
      <w:r w:rsidRPr="005E5AE5">
        <w:rPr>
          <w:i/>
          <w:iCs/>
          <w:lang w:val="fr-FR"/>
        </w:rPr>
        <w:t>3</w:t>
      </w:r>
      <w:r>
        <w:rPr>
          <w:i/>
          <w:iCs/>
          <w:lang w:val="fr-FR"/>
        </w:rPr>
        <w:t> </w:t>
      </w:r>
      <w:r w:rsidRPr="005E5AE5">
        <w:rPr>
          <w:i/>
          <w:iCs/>
          <w:lang w:val="fr-FR"/>
        </w:rPr>
        <w:t>avril 2025</w:t>
      </w:r>
    </w:p>
    <w:p w14:paraId="0CE29034" w14:textId="765C1F21" w:rsidR="00552797" w:rsidRDefault="008D529E" w:rsidP="008D529E">
      <w:pPr>
        <w:pStyle w:val="SingleTxtG"/>
        <w:rPr>
          <w:lang w:val="fr-FR"/>
        </w:rPr>
      </w:pPr>
      <w:r w:rsidRPr="005E5AE5">
        <w:rPr>
          <w:lang w:val="fr-FR"/>
        </w:rPr>
        <w:t>[Adoptée sans vote.]</w:t>
      </w:r>
      <w:bookmarkEnd w:id="0"/>
    </w:p>
    <w:p w14:paraId="0849A6C6" w14:textId="0C8FAFCD" w:rsidR="008D529E" w:rsidRPr="008D529E" w:rsidRDefault="008D529E" w:rsidP="008D529E">
      <w:pPr>
        <w:pStyle w:val="SingleTxtG"/>
        <w:spacing w:before="240" w:after="0"/>
        <w:jc w:val="center"/>
        <w:rPr>
          <w:u w:val="single"/>
        </w:rPr>
      </w:pPr>
      <w:r>
        <w:rPr>
          <w:u w:val="single"/>
        </w:rPr>
        <w:tab/>
      </w:r>
      <w:r>
        <w:rPr>
          <w:u w:val="single"/>
        </w:rPr>
        <w:tab/>
      </w:r>
      <w:r>
        <w:rPr>
          <w:u w:val="single"/>
        </w:rPr>
        <w:tab/>
      </w:r>
    </w:p>
    <w:sectPr w:rsidR="008D529E" w:rsidRPr="008D529E" w:rsidSect="008D529E">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99353" w14:textId="77777777" w:rsidR="0091040A" w:rsidRPr="00EF7F30" w:rsidRDefault="0091040A" w:rsidP="00EF7F30">
      <w:pPr>
        <w:pStyle w:val="Pieddepage"/>
      </w:pPr>
    </w:p>
  </w:endnote>
  <w:endnote w:type="continuationSeparator" w:id="0">
    <w:p w14:paraId="449391A1" w14:textId="77777777" w:rsidR="0091040A" w:rsidRPr="00EF7F30" w:rsidRDefault="0091040A" w:rsidP="00EF7F30">
      <w:pPr>
        <w:pStyle w:val="Pieddepage"/>
      </w:pPr>
    </w:p>
  </w:endnote>
  <w:endnote w:type="continuationNotice" w:id="1">
    <w:p w14:paraId="6F515EE1" w14:textId="77777777" w:rsidR="0091040A" w:rsidRDefault="009104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4AB97" w14:textId="0A014ABC" w:rsidR="008D529E" w:rsidRPr="008D529E" w:rsidRDefault="008D529E" w:rsidP="008D529E">
    <w:pPr>
      <w:pStyle w:val="Pieddepage"/>
      <w:tabs>
        <w:tab w:val="right" w:pos="9638"/>
      </w:tabs>
    </w:pPr>
    <w:r w:rsidRPr="008D529E">
      <w:rPr>
        <w:b/>
        <w:sz w:val="18"/>
      </w:rPr>
      <w:fldChar w:fldCharType="begin"/>
    </w:r>
    <w:r w:rsidRPr="008D529E">
      <w:rPr>
        <w:b/>
        <w:sz w:val="18"/>
      </w:rPr>
      <w:instrText xml:space="preserve"> PAGE  \* MERGEFORMAT </w:instrText>
    </w:r>
    <w:r w:rsidRPr="008D529E">
      <w:rPr>
        <w:b/>
        <w:sz w:val="18"/>
      </w:rPr>
      <w:fldChar w:fldCharType="separate"/>
    </w:r>
    <w:r w:rsidRPr="008D529E">
      <w:rPr>
        <w:b/>
        <w:noProof/>
        <w:sz w:val="18"/>
      </w:rPr>
      <w:t>2</w:t>
    </w:r>
    <w:r w:rsidRPr="008D529E">
      <w:rPr>
        <w:b/>
        <w:sz w:val="18"/>
      </w:rPr>
      <w:fldChar w:fldCharType="end"/>
    </w:r>
    <w:r>
      <w:rPr>
        <w:b/>
        <w:sz w:val="18"/>
      </w:rPr>
      <w:tab/>
    </w:r>
    <w:r>
      <w:t>GE.25-05436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AEC28" w14:textId="5C0FD39F" w:rsidR="008D529E" w:rsidRPr="008D529E" w:rsidRDefault="008D529E" w:rsidP="008D529E">
    <w:pPr>
      <w:pStyle w:val="Pieddepage"/>
      <w:tabs>
        <w:tab w:val="right" w:pos="9638"/>
      </w:tabs>
      <w:rPr>
        <w:b/>
        <w:sz w:val="18"/>
      </w:rPr>
    </w:pPr>
    <w:r>
      <w:t>GE.25-05436</w:t>
    </w:r>
    <w:r>
      <w:tab/>
    </w:r>
    <w:r w:rsidRPr="008D529E">
      <w:rPr>
        <w:b/>
        <w:sz w:val="18"/>
      </w:rPr>
      <w:fldChar w:fldCharType="begin"/>
    </w:r>
    <w:r w:rsidRPr="008D529E">
      <w:rPr>
        <w:b/>
        <w:sz w:val="18"/>
      </w:rPr>
      <w:instrText xml:space="preserve"> PAGE  \* MERGEFORMAT </w:instrText>
    </w:r>
    <w:r w:rsidRPr="008D529E">
      <w:rPr>
        <w:b/>
        <w:sz w:val="18"/>
      </w:rPr>
      <w:fldChar w:fldCharType="separate"/>
    </w:r>
    <w:r w:rsidRPr="008D529E">
      <w:rPr>
        <w:b/>
        <w:noProof/>
        <w:sz w:val="18"/>
      </w:rPr>
      <w:t>3</w:t>
    </w:r>
    <w:r w:rsidRPr="008D52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43006" w14:textId="06438235" w:rsidR="0094352E" w:rsidRPr="008D529E" w:rsidRDefault="008D529E" w:rsidP="008D529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AF89F46" wp14:editId="6A36ECC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25-05436  (F)</w:t>
    </w:r>
    <w:r>
      <w:rPr>
        <w:noProof/>
        <w:sz w:val="20"/>
      </w:rPr>
      <w:drawing>
        <wp:anchor distT="0" distB="0" distL="114300" distR="114300" simplePos="0" relativeHeight="251660288" behindDoc="0" locked="0" layoutInCell="1" allowOverlap="1" wp14:anchorId="1BCAEC61" wp14:editId="65856BFE">
          <wp:simplePos x="0" y="0"/>
          <wp:positionH relativeFrom="margin">
            <wp:posOffset>5489575</wp:posOffset>
          </wp:positionH>
          <wp:positionV relativeFrom="margin">
            <wp:posOffset>8891905</wp:posOffset>
          </wp:positionV>
          <wp:extent cx="628650" cy="628650"/>
          <wp:effectExtent l="0" t="0" r="0" b="0"/>
          <wp:wrapNone/>
          <wp:docPr id="12031387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070425    070425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C28B3" w14:textId="77777777" w:rsidR="0091040A" w:rsidRPr="00EF7F30" w:rsidRDefault="0091040A"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3BA5F1C" w14:textId="77777777" w:rsidR="0091040A" w:rsidRPr="00EF7F30" w:rsidRDefault="0091040A" w:rsidP="000E5ADA">
      <w:pPr>
        <w:pStyle w:val="Pieddepage"/>
        <w:tabs>
          <w:tab w:val="right" w:pos="2155"/>
        </w:tabs>
        <w:spacing w:after="80" w:line="240" w:lineRule="atLeast"/>
        <w:ind w:left="680"/>
      </w:pPr>
      <w:r w:rsidRPr="00EF7F30">
        <w:rPr>
          <w:u w:val="single"/>
        </w:rPr>
        <w:tab/>
      </w:r>
    </w:p>
  </w:footnote>
  <w:footnote w:type="continuationNotice" w:id="1">
    <w:p w14:paraId="1EC054CA" w14:textId="77777777" w:rsidR="0091040A" w:rsidRPr="000F2457" w:rsidRDefault="0091040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FFD01" w14:textId="33EC306F" w:rsidR="008D529E" w:rsidRPr="008D529E" w:rsidRDefault="008D529E">
    <w:pPr>
      <w:pStyle w:val="En-tte"/>
    </w:pPr>
    <w:fldSimple w:instr=" TITLE  \* MERGEFORMAT ">
      <w:r>
        <w:t>A/HRC/RES/58/14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C427A" w14:textId="1CE113AA" w:rsidR="008D529E" w:rsidRPr="008D529E" w:rsidRDefault="008D529E" w:rsidP="008D529E">
    <w:pPr>
      <w:pStyle w:val="En-tte"/>
      <w:jc w:val="right"/>
    </w:pPr>
    <w:fldSimple w:instr=" TITLE  \* MERGEFORMAT ">
      <w:r>
        <w:t>A/HRC/RES/58/14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88448210">
    <w:abstractNumId w:val="12"/>
  </w:num>
  <w:num w:numId="2" w16cid:durableId="1639453684">
    <w:abstractNumId w:val="11"/>
  </w:num>
  <w:num w:numId="3" w16cid:durableId="2105104039">
    <w:abstractNumId w:val="10"/>
  </w:num>
  <w:num w:numId="4" w16cid:durableId="217862436">
    <w:abstractNumId w:val="8"/>
  </w:num>
  <w:num w:numId="5" w16cid:durableId="2060979353">
    <w:abstractNumId w:val="3"/>
  </w:num>
  <w:num w:numId="6" w16cid:durableId="1917126940">
    <w:abstractNumId w:val="2"/>
  </w:num>
  <w:num w:numId="7" w16cid:durableId="455608474">
    <w:abstractNumId w:val="1"/>
  </w:num>
  <w:num w:numId="8" w16cid:durableId="1294209639">
    <w:abstractNumId w:val="0"/>
  </w:num>
  <w:num w:numId="9" w16cid:durableId="838035176">
    <w:abstractNumId w:val="9"/>
  </w:num>
  <w:num w:numId="10" w16cid:durableId="963314753">
    <w:abstractNumId w:val="7"/>
  </w:num>
  <w:num w:numId="11" w16cid:durableId="1078330958">
    <w:abstractNumId w:val="6"/>
  </w:num>
  <w:num w:numId="12" w16cid:durableId="1490633816">
    <w:abstractNumId w:val="5"/>
  </w:num>
  <w:num w:numId="13" w16cid:durableId="1807698331">
    <w:abstractNumId w:val="4"/>
  </w:num>
  <w:num w:numId="14" w16cid:durableId="1137524698">
    <w:abstractNumId w:val="12"/>
  </w:num>
  <w:num w:numId="15" w16cid:durableId="216626085">
    <w:abstractNumId w:val="11"/>
  </w:num>
  <w:num w:numId="16" w16cid:durableId="17968326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40A"/>
    <w:rsid w:val="00023842"/>
    <w:rsid w:val="0007796D"/>
    <w:rsid w:val="000E5ADA"/>
    <w:rsid w:val="000F2457"/>
    <w:rsid w:val="00111F2F"/>
    <w:rsid w:val="00131E73"/>
    <w:rsid w:val="0014365E"/>
    <w:rsid w:val="00176178"/>
    <w:rsid w:val="001910BD"/>
    <w:rsid w:val="001F525A"/>
    <w:rsid w:val="00212168"/>
    <w:rsid w:val="002165E2"/>
    <w:rsid w:val="00260711"/>
    <w:rsid w:val="00263E15"/>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8D529E"/>
    <w:rsid w:val="008F044D"/>
    <w:rsid w:val="0091040A"/>
    <w:rsid w:val="0094352E"/>
    <w:rsid w:val="00962015"/>
    <w:rsid w:val="009705C8"/>
    <w:rsid w:val="009A47AB"/>
    <w:rsid w:val="00A11727"/>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4BC8F"/>
  <w15:docId w15:val="{5CA48E08-5C1E-408C-8A46-1426F2698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8D529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D5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RES/59/191" TargetMode="External"/><Relationship Id="rId18" Type="http://schemas.openxmlformats.org/officeDocument/2006/relationships/hyperlink" Target="https://docs.un.org/fr/A/RES/22/8"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cs.un.org/fr/A/RES/49/10" TargetMode="External"/><Relationship Id="rId7" Type="http://schemas.openxmlformats.org/officeDocument/2006/relationships/endnotes" Target="endnotes.xml"/><Relationship Id="rId12" Type="http://schemas.openxmlformats.org/officeDocument/2006/relationships/hyperlink" Target="https://docs.un.org/fr/A/RES/5/2" TargetMode="External"/><Relationship Id="rId17" Type="http://schemas.openxmlformats.org/officeDocument/2006/relationships/hyperlink" Target="https://docs.un.org/fr/A/RES/15/1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un.org/fr/A/RES/6/28" TargetMode="External"/><Relationship Id="rId20" Type="http://schemas.openxmlformats.org/officeDocument/2006/relationships/hyperlink" Target="https://docs.un.org/fr/A/RES/40/1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RES/65/28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cs.un.org/fr/A/RES/61/171"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docs.un.org/fr/A/RES/62/219" TargetMode="External"/><Relationship Id="rId19" Type="http://schemas.openxmlformats.org/officeDocument/2006/relationships/hyperlink" Target="https://docs.un.org/fr/A/RES/31/3" TargetMode="External"/><Relationship Id="rId4" Type="http://schemas.openxmlformats.org/officeDocument/2006/relationships/settings" Target="settings.xml"/><Relationship Id="rId9" Type="http://schemas.openxmlformats.org/officeDocument/2006/relationships/hyperlink" Target="https://docs.un.org/fr/A/RES/60/251" TargetMode="External"/><Relationship Id="rId14" Type="http://schemas.openxmlformats.org/officeDocument/2006/relationships/hyperlink" Target="https://docs.un.org/fr/A/RES/60/158" TargetMode="External"/><Relationship Id="rId22" Type="http://schemas.openxmlformats.org/officeDocument/2006/relationships/hyperlink" Target="https://docs.un.org/fr/A/HRC/RES/49/10"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642</Words>
  <Characters>3436</Characters>
  <Application>Microsoft Office Word</Application>
  <DocSecurity>0</DocSecurity>
  <Lines>69</Lines>
  <Paragraphs>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A/HRC/RES/58/14</dc:title>
  <dc:subject/>
  <dc:creator>Marie DESCHAMPS</dc:creator>
  <cp:keywords/>
  <cp:lastModifiedBy>Marie DESCHAMPS</cp:lastModifiedBy>
  <cp:revision>2</cp:revision>
  <dcterms:created xsi:type="dcterms:W3CDTF">2025-04-07T09:36:00Z</dcterms:created>
  <dcterms:modified xsi:type="dcterms:W3CDTF">2025-04-07T09:36:00Z</dcterms:modified>
</cp:coreProperties>
</file>