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40308</w:t>
                  </w:r>
                  <w:r>
                    <w:rPr>
                      <w:lang w:val="en-US"/>
                    </w:rPr>
                    <w:fldChar w:fldCharType="end"/>
                  </w:r>
                  <w:r>
                    <w:rPr>
                      <w:lang w:val="en-US"/>
                    </w:rPr>
                    <w:t xml:space="preserve">   (R)   281205   281205</w:t>
                  </w:r>
                </w:p>
                <w:p w:rsidR="00000000" w:rsidRDefault="00000000"/>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882389"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E/1990/5/Add.65</w:t>
            </w:r>
            <w:r>
              <w:rPr>
                <w:lang w:val="en-US"/>
              </w:rPr>
              <w:fldChar w:fldCharType="end"/>
            </w:r>
            <w:r>
              <w:rPr>
                <w:lang w:val="en-US"/>
              </w:rPr>
              <w:fldChar w:fldCharType="begin"/>
            </w:r>
            <w:r>
              <w:rPr>
                <w:lang w:val="en-US"/>
              </w:rPr>
              <w:instrText xml:space="preserve"> FILLIN  "Введите символ документа" \* MERGEFORMAT </w:instrTex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3 February 2005</w:t>
            </w:r>
            <w:r>
              <w:rPr>
                <w:lang w:val="en-US"/>
              </w:rPr>
              <w:fldChar w:fldCharType="end"/>
            </w:r>
            <w:r>
              <w:rPr>
                <w:lang w:val="en-US"/>
              </w:rPr>
              <w:fldChar w:fldCharType="begin"/>
            </w:r>
            <w:r>
              <w:rPr>
                <w:lang w:val="en-US"/>
              </w:rPr>
              <w:instrText xml:space="preserve"> FILLIN  "Введите дату документа" \* MERGEFORMAT </w:instrTex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4"/>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r>
        <w:t>Основная сессия 2005 года</w:t>
      </w:r>
    </w:p>
    <w:p w:rsidR="00000000" w:rsidRDefault="00000000"/>
    <w:p w:rsidR="00000000" w:rsidRDefault="00000000"/>
    <w:p w:rsidR="00000000" w:rsidRDefault="00000000"/>
    <w:p w:rsidR="00000000" w:rsidRDefault="00000000"/>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jc w:val="center"/>
        <w:rPr>
          <w:b/>
          <w:bCs/>
        </w:rPr>
      </w:pPr>
    </w:p>
    <w:p w:rsidR="00000000" w:rsidRDefault="00000000">
      <w:pPr>
        <w:jc w:val="center"/>
        <w:rPr>
          <w:b/>
          <w:bCs/>
        </w:rPr>
      </w:pPr>
      <w:r>
        <w:rPr>
          <w:b/>
          <w:bCs/>
        </w:rPr>
        <w:t>Доклады, представляемые государствами-участниками в соответствии</w:t>
      </w:r>
      <w:r>
        <w:rPr>
          <w:b/>
          <w:bCs/>
        </w:rPr>
        <w:br/>
        <w:t>со статьями 16 и 17 Пакта</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БОСНИЯ И ГЕРЦЕГОВИНА* **</w:t>
      </w:r>
    </w:p>
    <w:p w:rsidR="00000000" w:rsidRDefault="00000000">
      <w:pPr>
        <w:jc w:val="center"/>
        <w:rPr>
          <w:b/>
          <w:bCs/>
        </w:rPr>
      </w:pPr>
    </w:p>
    <w:p w:rsidR="00000000" w:rsidRDefault="00000000">
      <w:pPr>
        <w:jc w:val="right"/>
      </w:pPr>
      <w:r>
        <w:t>[21 июля 2004 года]</w:t>
      </w:r>
    </w:p>
    <w:p w:rsidR="00000000" w:rsidRDefault="00000000">
      <w:pPr>
        <w:jc w:val="right"/>
      </w:pPr>
    </w:p>
    <w:p w:rsidR="00000000" w:rsidRDefault="00000000"/>
    <w:p w:rsidR="00000000" w:rsidRDefault="00000000"/>
    <w:p w:rsidR="00000000" w:rsidRDefault="00000000"/>
    <w:p w:rsidR="00000000" w:rsidRDefault="00000000">
      <w:r>
        <w:t>______________________</w:t>
      </w:r>
    </w:p>
    <w:p w:rsidR="00000000" w:rsidRDefault="00000000">
      <w:pPr>
        <w:spacing w:line="240" w:lineRule="auto"/>
      </w:pPr>
    </w:p>
    <w:p w:rsidR="00000000" w:rsidRDefault="00000000">
      <w:pPr>
        <w:spacing w:line="240" w:lineRule="auto"/>
      </w:pPr>
      <w:r>
        <w:t xml:space="preserve"> *</w:t>
      </w:r>
      <w:r>
        <w:tab/>
        <w:t>Информация, представленная Боснией и Герцеговиной в соответствии с руководящими положениями, касающимися первоначальной части докладов государств-участников, содержится в базовом документе (</w:t>
      </w:r>
      <w:r>
        <w:rPr>
          <w:lang w:val="en-US"/>
        </w:rPr>
        <w:t>HRI</w:t>
      </w:r>
      <w:r>
        <w:t>/</w:t>
      </w:r>
      <w:r>
        <w:rPr>
          <w:lang w:val="en-US"/>
        </w:rPr>
        <w:t>CORE</w:t>
      </w:r>
      <w:r>
        <w:t>/1/</w:t>
      </w:r>
      <w:r>
        <w:rPr>
          <w:lang w:val="en-US"/>
        </w:rPr>
        <w:t>Add</w:t>
      </w:r>
      <w:r>
        <w:t>.89).</w:t>
      </w:r>
    </w:p>
    <w:p w:rsidR="00000000" w:rsidRDefault="00000000">
      <w:pPr>
        <w:spacing w:line="240" w:lineRule="auto"/>
      </w:pPr>
    </w:p>
    <w:p w:rsidR="00000000" w:rsidRDefault="00000000">
      <w:pPr>
        <w:spacing w:line="240" w:lineRule="auto"/>
      </w:pPr>
      <w:r>
        <w:t>**</w:t>
      </w:r>
      <w:r>
        <w:tab/>
        <w:t>С приложениями можно ознакомиться в архиве секретариата.</w:t>
      </w:r>
    </w:p>
    <w:p w:rsidR="00000000" w:rsidRDefault="00000000"/>
    <w:p w:rsidR="00000000" w:rsidRDefault="00000000">
      <w:pPr>
        <w:jc w:val="center"/>
        <w:rPr>
          <w:b/>
          <w:bCs/>
        </w:rPr>
      </w:pPr>
      <w:r>
        <w:br w:type="page"/>
      </w:r>
      <w:r>
        <w:rPr>
          <w:b/>
          <w:bCs/>
        </w:rPr>
        <w:t>СОДЕРЖАНИЕ</w:t>
      </w:r>
    </w:p>
    <w:p w:rsidR="00000000" w:rsidRDefault="00000000">
      <w:pPr>
        <w:jc w:val="center"/>
      </w:pPr>
    </w:p>
    <w:p w:rsidR="00000000" w:rsidRDefault="00000000">
      <w:pPr>
        <w:tabs>
          <w:tab w:val="clear" w:pos="6237"/>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6237"/>
          <w:tab w:val="center" w:pos="8039"/>
          <w:tab w:val="center" w:pos="9122"/>
        </w:tabs>
        <w:rPr>
          <w:i/>
          <w:iCs/>
        </w:rPr>
      </w:pPr>
    </w:p>
    <w:p w:rsidR="00000000" w:rsidRDefault="00000000">
      <w:pPr>
        <w:tabs>
          <w:tab w:val="clear" w:pos="1134"/>
          <w:tab w:val="clear" w:pos="1701"/>
          <w:tab w:val="clear" w:pos="2268"/>
          <w:tab w:val="clear" w:pos="6237"/>
          <w:tab w:val="right" w:leader="dot" w:pos="7172"/>
          <w:tab w:val="center" w:pos="8039"/>
          <w:tab w:val="center" w:pos="9122"/>
        </w:tabs>
      </w:pPr>
      <w:r>
        <w:t xml:space="preserve">Введение </w:t>
      </w:r>
      <w:r>
        <w:tab/>
      </w:r>
      <w:r>
        <w:tab/>
        <w:t>1 - 9</w:t>
      </w:r>
      <w:r>
        <w:tab/>
        <w:t>3</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Статья 1</w:t>
      </w:r>
      <w:r>
        <w:tab/>
      </w:r>
      <w:r>
        <w:tab/>
        <w:t>10 - 34</w:t>
      </w:r>
      <w:r>
        <w:tab/>
        <w:t>5</w:t>
      </w:r>
    </w:p>
    <w:p w:rsidR="00000000" w:rsidRDefault="00000000">
      <w:pPr>
        <w:tabs>
          <w:tab w:val="clear" w:pos="1134"/>
          <w:tab w:val="clear" w:pos="1701"/>
          <w:tab w:val="clear" w:pos="2268"/>
          <w:tab w:val="clear" w:pos="6237"/>
          <w:tab w:val="right" w:leader="dot" w:pos="7172"/>
          <w:tab w:val="center" w:pos="8039"/>
          <w:tab w:val="center" w:pos="9122"/>
        </w:tabs>
      </w:pPr>
      <w:r>
        <w:t>Статья 2</w:t>
      </w:r>
      <w:r>
        <w:tab/>
      </w:r>
      <w:r>
        <w:tab/>
        <w:t>35 - 69</w:t>
      </w:r>
      <w:r>
        <w:tab/>
        <w:t>12</w:t>
      </w:r>
    </w:p>
    <w:p w:rsidR="00000000" w:rsidRDefault="00000000">
      <w:pPr>
        <w:tabs>
          <w:tab w:val="clear" w:pos="1134"/>
          <w:tab w:val="clear" w:pos="1701"/>
          <w:tab w:val="clear" w:pos="2268"/>
          <w:tab w:val="clear" w:pos="6237"/>
          <w:tab w:val="right" w:leader="dot" w:pos="7172"/>
          <w:tab w:val="center" w:pos="8039"/>
          <w:tab w:val="center" w:pos="9122"/>
        </w:tabs>
      </w:pPr>
      <w:r>
        <w:t xml:space="preserve">Статья 3 </w:t>
      </w:r>
      <w:r>
        <w:tab/>
      </w:r>
      <w:r>
        <w:tab/>
        <w:t>70 - 82</w:t>
      </w:r>
      <w:r>
        <w:tab/>
        <w:t>21</w:t>
      </w:r>
    </w:p>
    <w:p w:rsidR="00000000" w:rsidRDefault="00000000">
      <w:pPr>
        <w:tabs>
          <w:tab w:val="clear" w:pos="1134"/>
          <w:tab w:val="clear" w:pos="1701"/>
          <w:tab w:val="clear" w:pos="2268"/>
          <w:tab w:val="clear" w:pos="6237"/>
          <w:tab w:val="right" w:leader="dot" w:pos="7172"/>
          <w:tab w:val="center" w:pos="8039"/>
          <w:tab w:val="center" w:pos="9122"/>
        </w:tabs>
      </w:pPr>
      <w:r>
        <w:t>Статья 4</w:t>
      </w:r>
      <w:r>
        <w:tab/>
      </w:r>
      <w:r>
        <w:tab/>
        <w:t>83 - 84</w:t>
      </w:r>
      <w:r>
        <w:tab/>
        <w:t>24</w:t>
      </w:r>
    </w:p>
    <w:p w:rsidR="00000000" w:rsidRDefault="00000000">
      <w:pPr>
        <w:tabs>
          <w:tab w:val="clear" w:pos="1134"/>
          <w:tab w:val="clear" w:pos="1701"/>
          <w:tab w:val="clear" w:pos="2268"/>
          <w:tab w:val="clear" w:pos="6237"/>
          <w:tab w:val="right" w:leader="dot" w:pos="7172"/>
          <w:tab w:val="center" w:pos="8039"/>
          <w:tab w:val="center" w:pos="9122"/>
        </w:tabs>
      </w:pPr>
      <w:r>
        <w:t>Статья 5</w:t>
      </w:r>
      <w:r>
        <w:tab/>
      </w:r>
      <w:r>
        <w:tab/>
        <w:t>85 - 93</w:t>
      </w:r>
      <w:r>
        <w:tab/>
        <w:t>25</w:t>
      </w:r>
    </w:p>
    <w:p w:rsidR="00000000" w:rsidRDefault="00000000">
      <w:pPr>
        <w:tabs>
          <w:tab w:val="clear" w:pos="1134"/>
          <w:tab w:val="clear" w:pos="1701"/>
          <w:tab w:val="clear" w:pos="2268"/>
          <w:tab w:val="clear" w:pos="6237"/>
          <w:tab w:val="right" w:leader="dot" w:pos="7172"/>
          <w:tab w:val="center" w:pos="8039"/>
          <w:tab w:val="center" w:pos="9122"/>
        </w:tabs>
      </w:pPr>
      <w:r>
        <w:t>Статья 6</w:t>
      </w:r>
      <w:r>
        <w:tab/>
      </w:r>
      <w:r>
        <w:tab/>
        <w:t>94 - 150</w:t>
      </w:r>
      <w:r>
        <w:tab/>
        <w:t>28</w:t>
      </w:r>
    </w:p>
    <w:p w:rsidR="00000000" w:rsidRDefault="00000000">
      <w:pPr>
        <w:tabs>
          <w:tab w:val="clear" w:pos="1134"/>
          <w:tab w:val="clear" w:pos="1701"/>
          <w:tab w:val="clear" w:pos="2268"/>
          <w:tab w:val="clear" w:pos="6237"/>
          <w:tab w:val="right" w:leader="dot" w:pos="7172"/>
          <w:tab w:val="center" w:pos="8039"/>
          <w:tab w:val="center" w:pos="9122"/>
        </w:tabs>
      </w:pPr>
      <w:r>
        <w:t>Статья 7</w:t>
      </w:r>
      <w:r>
        <w:tab/>
      </w:r>
      <w:r>
        <w:tab/>
        <w:t>151 - 178</w:t>
      </w:r>
      <w:r>
        <w:tab/>
        <w:t>40</w:t>
      </w:r>
    </w:p>
    <w:p w:rsidR="00000000" w:rsidRDefault="00000000">
      <w:pPr>
        <w:tabs>
          <w:tab w:val="clear" w:pos="1134"/>
          <w:tab w:val="clear" w:pos="1701"/>
          <w:tab w:val="clear" w:pos="2268"/>
          <w:tab w:val="clear" w:pos="6237"/>
          <w:tab w:val="right" w:leader="dot" w:pos="7172"/>
          <w:tab w:val="center" w:pos="8039"/>
          <w:tab w:val="center" w:pos="9122"/>
        </w:tabs>
      </w:pPr>
      <w:r>
        <w:t>Статья 8</w:t>
      </w:r>
      <w:r>
        <w:tab/>
      </w:r>
      <w:r>
        <w:tab/>
        <w:t>179 - 193</w:t>
      </w:r>
      <w:r>
        <w:tab/>
        <w:t>48</w:t>
      </w:r>
    </w:p>
    <w:p w:rsidR="00000000" w:rsidRDefault="00000000">
      <w:pPr>
        <w:tabs>
          <w:tab w:val="clear" w:pos="1134"/>
          <w:tab w:val="clear" w:pos="1701"/>
          <w:tab w:val="clear" w:pos="2268"/>
          <w:tab w:val="clear" w:pos="6237"/>
          <w:tab w:val="right" w:leader="dot" w:pos="7172"/>
          <w:tab w:val="center" w:pos="8039"/>
          <w:tab w:val="center" w:pos="9122"/>
        </w:tabs>
      </w:pPr>
      <w:r>
        <w:t>Статья 9</w:t>
      </w:r>
      <w:r>
        <w:tab/>
      </w:r>
      <w:r>
        <w:tab/>
        <w:t>194 - 256</w:t>
      </w:r>
      <w:r>
        <w:tab/>
        <w:t>54</w:t>
      </w:r>
    </w:p>
    <w:p w:rsidR="00000000" w:rsidRDefault="00000000">
      <w:pPr>
        <w:tabs>
          <w:tab w:val="clear" w:pos="1134"/>
          <w:tab w:val="clear" w:pos="1701"/>
          <w:tab w:val="clear" w:pos="2268"/>
          <w:tab w:val="clear" w:pos="6237"/>
          <w:tab w:val="right" w:leader="dot" w:pos="7172"/>
          <w:tab w:val="center" w:pos="8039"/>
          <w:tab w:val="center" w:pos="9122"/>
        </w:tabs>
      </w:pPr>
      <w:r>
        <w:t>Статья 10</w:t>
      </w:r>
      <w:r>
        <w:tab/>
      </w:r>
      <w:r>
        <w:tab/>
        <w:t>257 - 306</w:t>
      </w:r>
      <w:r>
        <w:tab/>
        <w:t>72</w:t>
      </w:r>
    </w:p>
    <w:p w:rsidR="00000000" w:rsidRDefault="00000000">
      <w:pPr>
        <w:tabs>
          <w:tab w:val="clear" w:pos="1134"/>
          <w:tab w:val="clear" w:pos="1701"/>
          <w:tab w:val="clear" w:pos="2268"/>
          <w:tab w:val="clear" w:pos="6237"/>
          <w:tab w:val="right" w:leader="dot" w:pos="7172"/>
          <w:tab w:val="center" w:pos="8039"/>
          <w:tab w:val="center" w:pos="9122"/>
        </w:tabs>
      </w:pPr>
      <w:r>
        <w:t xml:space="preserve">Статья 11 </w:t>
      </w:r>
      <w:r>
        <w:tab/>
      </w:r>
      <w:r>
        <w:tab/>
        <w:t>307 - 373</w:t>
      </w:r>
      <w:r>
        <w:tab/>
        <w:t>84</w:t>
      </w:r>
    </w:p>
    <w:p w:rsidR="00000000" w:rsidRDefault="00000000">
      <w:pPr>
        <w:tabs>
          <w:tab w:val="clear" w:pos="1134"/>
          <w:tab w:val="clear" w:pos="1701"/>
          <w:tab w:val="clear" w:pos="2268"/>
          <w:tab w:val="clear" w:pos="6237"/>
          <w:tab w:val="right" w:leader="dot" w:pos="7172"/>
          <w:tab w:val="center" w:pos="8039"/>
          <w:tab w:val="center" w:pos="9122"/>
        </w:tabs>
      </w:pPr>
      <w:r>
        <w:t>Статья 12</w:t>
      </w:r>
      <w:r>
        <w:tab/>
      </w:r>
      <w:r>
        <w:tab/>
        <w:t>374 - 519</w:t>
      </w:r>
      <w:r>
        <w:tab/>
        <w:t>102</w:t>
      </w:r>
    </w:p>
    <w:p w:rsidR="00000000" w:rsidRDefault="00000000">
      <w:pPr>
        <w:tabs>
          <w:tab w:val="clear" w:pos="1134"/>
          <w:tab w:val="clear" w:pos="1701"/>
          <w:tab w:val="clear" w:pos="2268"/>
          <w:tab w:val="clear" w:pos="6237"/>
          <w:tab w:val="right" w:leader="dot" w:pos="7172"/>
          <w:tab w:val="center" w:pos="8039"/>
          <w:tab w:val="center" w:pos="9122"/>
        </w:tabs>
      </w:pPr>
      <w:r>
        <w:t xml:space="preserve">Статья 13 </w:t>
      </w:r>
      <w:r>
        <w:tab/>
      </w:r>
      <w:r>
        <w:tab/>
        <w:t>520 - 626</w:t>
      </w:r>
      <w:r>
        <w:tab/>
        <w:t>150</w:t>
      </w:r>
    </w:p>
    <w:p w:rsidR="00000000" w:rsidRDefault="00000000">
      <w:pPr>
        <w:tabs>
          <w:tab w:val="clear" w:pos="1134"/>
          <w:tab w:val="clear" w:pos="1701"/>
          <w:tab w:val="clear" w:pos="2268"/>
          <w:tab w:val="clear" w:pos="6237"/>
          <w:tab w:val="right" w:leader="dot" w:pos="7172"/>
          <w:tab w:val="center" w:pos="8039"/>
          <w:tab w:val="center" w:pos="9122"/>
        </w:tabs>
      </w:pPr>
      <w:r>
        <w:t xml:space="preserve">Статья 14 </w:t>
      </w:r>
      <w:r>
        <w:tab/>
      </w:r>
      <w:r>
        <w:tab/>
        <w:t>627 - 628</w:t>
      </w:r>
      <w:r>
        <w:tab/>
        <w:t>175</w:t>
      </w:r>
    </w:p>
    <w:p w:rsidR="00000000" w:rsidRDefault="00000000">
      <w:pPr>
        <w:tabs>
          <w:tab w:val="clear" w:pos="1134"/>
          <w:tab w:val="clear" w:pos="1701"/>
          <w:tab w:val="clear" w:pos="2268"/>
          <w:tab w:val="clear" w:pos="6237"/>
          <w:tab w:val="right" w:leader="dot" w:pos="7172"/>
          <w:tab w:val="center" w:pos="8039"/>
          <w:tab w:val="center" w:pos="9122"/>
        </w:tabs>
      </w:pPr>
      <w:r>
        <w:t xml:space="preserve">Статья 15 </w:t>
      </w:r>
      <w:r>
        <w:tab/>
      </w:r>
      <w:r>
        <w:tab/>
        <w:t>629 - 688</w:t>
      </w:r>
      <w:r>
        <w:tab/>
        <w:t>175</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Приложение - таблицы и графики*</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_____________________</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w:t>
      </w:r>
      <w:r>
        <w:tab/>
        <w:t>С приложениями можно ознакомиться в архиве секретариата.</w:t>
      </w:r>
    </w:p>
    <w:p w:rsidR="00000000" w:rsidRDefault="00000000">
      <w:pPr>
        <w:tabs>
          <w:tab w:val="clear" w:pos="1134"/>
          <w:tab w:val="clear" w:pos="1701"/>
          <w:tab w:val="clear" w:pos="2268"/>
          <w:tab w:val="clear" w:pos="6237"/>
          <w:tab w:val="right" w:leader="dot" w:pos="7172"/>
          <w:tab w:val="center" w:pos="8039"/>
          <w:tab w:val="center" w:pos="9122"/>
        </w:tabs>
        <w:jc w:val="center"/>
        <w:rPr>
          <w:b/>
          <w:bCs/>
        </w:rPr>
      </w:pPr>
      <w:r>
        <w:br w:type="page"/>
      </w:r>
      <w:r>
        <w:rPr>
          <w:b/>
          <w:bCs/>
        </w:rPr>
        <w:t>Введение</w:t>
      </w:r>
    </w:p>
    <w:p w:rsidR="00000000" w:rsidRDefault="00000000">
      <w:pPr>
        <w:tabs>
          <w:tab w:val="clear" w:pos="1134"/>
          <w:tab w:val="clear" w:pos="1701"/>
          <w:tab w:val="clear" w:pos="2268"/>
          <w:tab w:val="clear" w:pos="6237"/>
          <w:tab w:val="right" w:leader="dot" w:pos="7172"/>
          <w:tab w:val="center" w:pos="8039"/>
          <w:tab w:val="center" w:pos="9122"/>
        </w:tabs>
        <w:jc w:val="center"/>
        <w:rPr>
          <w:b/>
          <w:bCs/>
        </w:rPr>
      </w:pPr>
    </w:p>
    <w:p w:rsidR="00000000" w:rsidRDefault="00000000">
      <w:pPr>
        <w:tabs>
          <w:tab w:val="clear" w:pos="1134"/>
          <w:tab w:val="clear" w:pos="1701"/>
          <w:tab w:val="clear" w:pos="2268"/>
          <w:tab w:val="clear" w:pos="6237"/>
          <w:tab w:val="right" w:leader="dot" w:pos="7172"/>
          <w:tab w:val="center" w:pos="8039"/>
          <w:tab w:val="center" w:pos="9122"/>
        </w:tabs>
      </w:pPr>
      <w:r>
        <w:t>1.</w:t>
      </w:r>
      <w:r>
        <w:tab/>
        <w:t>Босния и Герцеговина присоединилась к Международному пакту об экономических, социальных и культурных правах (МПЭСКП) в рамках процесса правопреемства 1 сентября 1993 года (</w:t>
      </w:r>
      <w:r>
        <w:rPr>
          <w:i/>
          <w:iCs/>
        </w:rPr>
        <w:t>Официальная газета Республики Боснии и Герцеговины,</w:t>
      </w:r>
      <w:r>
        <w:t xml:space="preserve"> 25/93).  Это получило силу конституционного положения в соответствии с Конституцией Боснии и Герцеговины.  В ее статье </w:t>
      </w:r>
      <w:r>
        <w:rPr>
          <w:lang w:val="en-US"/>
        </w:rPr>
        <w:t>II</w:t>
      </w:r>
      <w:r>
        <w:t>, касающейся прав человека, предусматривается следующее:  "Босния и Герцеговина и оба Образования обеспечивают наивысший уровень международно признанных прав человека и основных свобод.  С этой целью создается комиссия по правам человека для Боснии и Герцеговины, как это предусмотрено в Приложении 6 к Общему рамочному соглашению".</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2.</w:t>
      </w:r>
      <w:r>
        <w:tab/>
        <w:t>Настоящий доклад подготовлен при соблюдении принятых Комитетом по экономическим, социальным и культурным правам пересмотренных общих руководящих принципов (</w:t>
      </w:r>
      <w:r>
        <w:rPr>
          <w:lang w:val="en-US"/>
        </w:rPr>
        <w:t>E</w:t>
      </w:r>
      <w:r>
        <w:t>/C.12/991/1/1), касающихся формы и содержания докладов, представляемых в соответствии со статьями 16 и 17 Международного пакта об экономических, социальных и культурных правах.</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3.</w:t>
      </w:r>
      <w:r>
        <w:tab/>
        <w:t>Доклад содержит обзор выполнения обязательств по конкретным статьям Пакта.  С информацией о политической структуре и правовой системе Боснии и Герцеговины можно ознакомиться в "базовом документе" по Боснии и Герцеговине (</w:t>
      </w:r>
      <w:r>
        <w:rPr>
          <w:lang w:val="en-US"/>
        </w:rPr>
        <w:t>HRI</w:t>
      </w:r>
      <w:r>
        <w:t>/</w:t>
      </w:r>
      <w:r>
        <w:rPr>
          <w:lang w:val="en-US"/>
        </w:rPr>
        <w:t>CORE</w:t>
      </w:r>
      <w:r>
        <w:t xml:space="preserve">/1/ </w:t>
      </w:r>
      <w:r>
        <w:rPr>
          <w:lang w:val="en-US"/>
        </w:rPr>
        <w:t>Add</w:t>
      </w:r>
      <w:r>
        <w:t>.89/</w:t>
      </w:r>
      <w:r>
        <w:rPr>
          <w:lang w:val="en-US"/>
        </w:rPr>
        <w:t>Rev</w:t>
      </w:r>
      <w:r>
        <w:t>.1).</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4.</w:t>
      </w:r>
      <w:r>
        <w:tab/>
        <w:t>Начиная с ключевого обязательства, которое Босния и Герцеговина несет как член Совета Европы и участница ряда международных договоров, доклад был подготовлен на основе показателей, собранных такими министерствами и другими учреждениями общегосударственного уровня, как министерство по правам человека и делам беженцев, министерство юстиции, министерство гражданских дел, министерство внешней торговли и экономических связей, министерство иностранных дел, Статистическое агентство Боснии и Герцеговины, Институт стандартов, мер и интеллектуальной собственности Боснии и Герцеговины, и компетентными министерствами Образований, включая Федерацию Боснии и Герцеговины (далее:  ФБГ), Республику Сербскую (РС) и Район Брчко (РБ), а также статистическими бюро Образований.</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5.</w:t>
      </w:r>
      <w:r>
        <w:tab/>
        <w:t>Дополнительная информация была представлена неправительственными организациями, академическими институтами и экспертами, более непосредственно занимающимися соответствующими проблемами.  В докладе отсутствуют существенные данные за период 1992-1995 годов, поскольку в этот период была война.</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6.</w:t>
      </w:r>
      <w:r>
        <w:tab/>
        <w:t>Лейтмотивом доклада была мысль, лежащая в основе Пакта:  идеал прав человек может быть реализован лишь в тех условиях, когда каждый человек может пользоваться своими экономическими, социальными и культурными правами, а также гражданскими и политическими правами.  Составители доклада раскрывают несколько тем, поскольку положения Пакта нельзя рассматривать отдельно, ибо они охватывают комплекс вопросов в области экономики, социальной политики, научных достижений, искусства и культуры в той или иной стране-участнице.  В нем рассматриваются проблемы, охватываемые Международным пактом о гражданских и политических правах, Международной конвенцией о ликвидации всех форм дискриминации в отношении женщин, Конвенцией о</w:t>
      </w:r>
      <w:r>
        <w:rPr>
          <w:lang w:val="en-US"/>
        </w:rPr>
        <w:t> </w:t>
      </w:r>
      <w:r>
        <w:t>правах ребенка, Конвенцией о ликвидации всех форм расовой дискриминации, Конвенцией о защите прав всех трудящихся-мигрантов и членов их семей и аналогичными документами.</w:t>
      </w:r>
    </w:p>
    <w:p w:rsidR="00000000" w:rsidRDefault="00000000"/>
    <w:p w:rsidR="00000000" w:rsidRDefault="00000000">
      <w:r>
        <w:t>7.</w:t>
      </w:r>
      <w:r>
        <w:tab/>
        <w:t xml:space="preserve">Одна из основополагающих посылок доклада заключается в том, что обязательства по Пакту имеют действие на государственном уровне, а его основная задача состоит в том, чтобы рассказать транспарентным образом международному органу об обязательствах, вытекающих из Пакта.  </w:t>
      </w:r>
    </w:p>
    <w:p w:rsidR="00000000" w:rsidRDefault="00000000"/>
    <w:p w:rsidR="00000000" w:rsidRDefault="00000000">
      <w:r>
        <w:t>8.</w:t>
      </w:r>
      <w:r>
        <w:tab/>
        <w:t>Работая над концепцией доклада, министерство по правам человека и делам беженцев столкнулось с определенными трудностями, которые главным образом касались сбора данных, что было обусловлено сложным характером государственной номенклатуры и отсутствием единой базы данных.  Дефицит даже элементарных данных, в особенности статистических, усугублен тем фактом, что последняя перепись населения проводилась еще в 1991 году, а в период после нее произошли значительные демографические изменения.  Стране также недостает основных материальных ресурсов для проведения широких мероприятий, что необходимо для подготовки такого доклада.</w:t>
      </w:r>
    </w:p>
    <w:p w:rsidR="00000000" w:rsidRDefault="00000000"/>
    <w:p w:rsidR="00000000" w:rsidRDefault="00000000">
      <w:r>
        <w:t>9.</w:t>
      </w:r>
      <w:r>
        <w:tab/>
        <w:t>Однако, несмотря на трудности, Босния и Герцеговина приложила огромные усилия к тому, чтобы дать конкретные и обоснованные ответы на вопросы, связанные с соблюдением обязательств, которые Босния и Герцеговина должна выполнять по Пакту, не пытаясь исказить действительность, а стремясь реалистично рассказать о положении в стране в положительном и отрицательном свете, что является нормой, которую обязаны соблюдать все страны, подписавшие Пакт.</w:t>
      </w:r>
    </w:p>
    <w:p w:rsidR="00000000" w:rsidRDefault="00000000"/>
    <w:p w:rsidR="00000000" w:rsidRDefault="00000000">
      <w:pPr>
        <w:keepNext/>
        <w:jc w:val="center"/>
        <w:rPr>
          <w:b/>
          <w:bCs/>
        </w:rPr>
      </w:pPr>
      <w:r>
        <w:rPr>
          <w:b/>
          <w:bCs/>
        </w:rPr>
        <w:t>Статья 1</w:t>
      </w:r>
    </w:p>
    <w:p w:rsidR="00000000" w:rsidRDefault="00000000">
      <w:pPr>
        <w:keepNext/>
        <w:jc w:val="center"/>
        <w:rPr>
          <w:b/>
          <w:bCs/>
        </w:rPr>
      </w:pPr>
    </w:p>
    <w:p w:rsidR="00000000" w:rsidRDefault="00000000">
      <w:pPr>
        <w:keepNext/>
        <w:rPr>
          <w:b/>
          <w:bCs/>
        </w:rPr>
      </w:pPr>
      <w:r>
        <w:rPr>
          <w:b/>
          <w:bCs/>
        </w:rPr>
        <w:t>Право на самоопределение</w:t>
      </w:r>
    </w:p>
    <w:p w:rsidR="00000000" w:rsidRDefault="00000000">
      <w:pPr>
        <w:keepNext/>
        <w:rPr>
          <w:b/>
          <w:bCs/>
        </w:rPr>
      </w:pPr>
    </w:p>
    <w:p w:rsidR="00000000" w:rsidRDefault="00000000">
      <w:r>
        <w:t>10.</w:t>
      </w:r>
      <w:r>
        <w:tab/>
        <w:t>Босния и Герцеговина является международно признанным государством с 6 апреля 1992 года, основанным на Общем рамочном соглашении о мире в Боснии и Герцеговине (Дейтонском соглашении), подписанном 14 декабря 1995 года в Париже.  Босния и Герцеговина является составным демократическим государством, состоящим из двух Образований - Республики Сербской и Федерации Боснии и Герцеговины.  Впоследствии на основании арбитражного решения был создан Район Брчко Боснии и Герцеговины.  В вышеуказанном документе определены полномочия Государства Боснии и Герцеговины, его Образований и Района Брчко.</w:t>
      </w:r>
    </w:p>
    <w:p w:rsidR="00000000" w:rsidRDefault="00000000"/>
    <w:p w:rsidR="00000000" w:rsidRDefault="00000000">
      <w:r>
        <w:t>11.</w:t>
      </w:r>
      <w:r>
        <w:tab/>
        <w:t>Конституция Боснии и Герцеговины включает в себя международные конвенции, имеющие силу конституционных положений, вопрос о праве на самоопределение может пересматриваться в рамках государственной структуры и решений, определенных в Дейтонском соглашении, о чем подробно рассказывается в базовом документе.</w:t>
      </w:r>
    </w:p>
    <w:p w:rsidR="00000000" w:rsidRDefault="00000000"/>
    <w:p w:rsidR="00000000" w:rsidRDefault="00000000">
      <w:r>
        <w:t>12.</w:t>
      </w:r>
      <w:r>
        <w:tab/>
        <w:t>Конституция Боснии и Герцеговины гарантирует равную представленность всех народов Боснии и Герцеговины;  это положение недавно было приведено в соответствие с решением Конституционного суда о конституционности всех народов Боснии и Герцеговины.  Конституции Образований предусматривают механизмы обеспечения равной представленности всех народов Боснии и Герцеговины - боснийцев, сербов, хорватов, а также всех других народов, - что дает им равные возможности жить и работать в любом районе Боснии и Герцеговины, не будучи подверженными какой бы то ни было форме дискриминации.</w:t>
      </w:r>
    </w:p>
    <w:p w:rsidR="00000000" w:rsidRDefault="00000000"/>
    <w:p w:rsidR="00000000" w:rsidRDefault="00000000">
      <w:r>
        <w:t>13.</w:t>
      </w:r>
      <w:r>
        <w:tab/>
        <w:t xml:space="preserve">Право на самоопределение ограничено в том, что касается Дейтонского соглашения и конституционных основ Боснии и Герцеговины.  Здесь мы имеем в виду роль Управления Высокого представителя по Боснии и Герцеговине (УВП), особенно в отношении принятия решений по обеспечению экономического перехода и приватизации государственной собственности, принятия законов и т.д. </w:t>
      </w:r>
    </w:p>
    <w:p w:rsidR="00000000" w:rsidRDefault="00000000"/>
    <w:p w:rsidR="00000000" w:rsidRDefault="00000000">
      <w:r>
        <w:t>14.</w:t>
      </w:r>
      <w:r>
        <w:tab/>
        <w:t>Для защиты права на самоопределение народы Боснии и Герцеговины могут пользоваться правом на защиту жизненных национальных интересов, определенных посредством осуществления права народов на адекватную представленность во всех органах и учреждениях как на уровне Боснии и Герцеговины, так и на уровне Образований.  Жизненные национальные интересы защищаются в рамках образования, религии, языка, культуры, традиций, собственности, культурного наследия, территориальной организации, общественной информации, заявлений о принадлежности к тому или иному национальному меньшинству, политических убеждений и других сфер.</w:t>
      </w:r>
    </w:p>
    <w:p w:rsidR="00000000" w:rsidRDefault="00000000"/>
    <w:p w:rsidR="00000000" w:rsidRDefault="00000000">
      <w:r>
        <w:t>15.</w:t>
      </w:r>
      <w:r>
        <w:tab/>
        <w:t>В Конституции определены организация и полномочия Боснии и Герцеговины и отношения между государственными учреждениями Боснии и Герцеговины и Образованиями.  Принятие поправок к Конституции Боснии и Герцеговины и конституциям Образований впервые создало возможность для представителей государственно-образующих народов и меньшинств быть делегированными в представительные органы.  Это является одним из проявлений жизненных национальных интересов государственно-образующих народов и национальных меньшинств.</w:t>
      </w:r>
    </w:p>
    <w:p w:rsidR="00000000" w:rsidRDefault="00000000"/>
    <w:p w:rsidR="00000000" w:rsidRDefault="00000000">
      <w:r>
        <w:t>16.</w:t>
      </w:r>
      <w:r>
        <w:tab/>
        <w:t xml:space="preserve">Поправка </w:t>
      </w:r>
      <w:r>
        <w:rPr>
          <w:lang w:val="en-US"/>
        </w:rPr>
        <w:t>XXXV</w:t>
      </w:r>
      <w:r>
        <w:t xml:space="preserve"> гласит:  "Жизненные национальные интересы государственно-образующих народов определяются следующим образом:  </w:t>
      </w:r>
    </w:p>
    <w:p w:rsidR="00000000" w:rsidRDefault="00000000"/>
    <w:p w:rsidR="00000000" w:rsidRDefault="00000000">
      <w:pPr>
        <w:numPr>
          <w:ilvl w:val="0"/>
          <w:numId w:val="3"/>
        </w:numPr>
        <w:ind w:left="1134" w:hanging="573"/>
      </w:pPr>
      <w:r>
        <w:t>осуществление прав государственно-образующих народов быть адекватно представленными в законодательных, судебных и исполнительных органах;</w:t>
      </w:r>
    </w:p>
    <w:p w:rsidR="00000000" w:rsidRDefault="00000000">
      <w:pPr>
        <w:tabs>
          <w:tab w:val="clear" w:pos="1701"/>
        </w:tabs>
        <w:ind w:left="569"/>
      </w:pPr>
    </w:p>
    <w:p w:rsidR="00000000" w:rsidRDefault="00000000">
      <w:pPr>
        <w:numPr>
          <w:ilvl w:val="0"/>
          <w:numId w:val="3"/>
        </w:numPr>
        <w:ind w:left="1134" w:hanging="573"/>
      </w:pPr>
      <w:r>
        <w:t>определение структуры государственных органов;</w:t>
      </w:r>
    </w:p>
    <w:p w:rsidR="00000000" w:rsidRDefault="00000000">
      <w:pPr>
        <w:ind w:left="1134" w:hanging="1134"/>
      </w:pPr>
    </w:p>
    <w:p w:rsidR="00000000" w:rsidRDefault="00000000">
      <w:pPr>
        <w:numPr>
          <w:ilvl w:val="0"/>
          <w:numId w:val="4"/>
        </w:numPr>
        <w:tabs>
          <w:tab w:val="clear" w:pos="1140"/>
          <w:tab w:val="clear" w:pos="1701"/>
          <w:tab w:val="left" w:pos="1134"/>
        </w:tabs>
        <w:ind w:hanging="573"/>
      </w:pPr>
      <w:r>
        <w:t>равные права государственно-образующих народов при принятии решений;</w:t>
      </w:r>
    </w:p>
    <w:p w:rsidR="00000000" w:rsidRDefault="00000000">
      <w:pPr>
        <w:ind w:left="1134" w:hanging="1134"/>
      </w:pPr>
    </w:p>
    <w:p w:rsidR="00000000" w:rsidRDefault="00000000">
      <w:pPr>
        <w:numPr>
          <w:ilvl w:val="0"/>
          <w:numId w:val="4"/>
        </w:numPr>
        <w:tabs>
          <w:tab w:val="clear" w:pos="1140"/>
          <w:tab w:val="clear" w:pos="1701"/>
          <w:tab w:val="left" w:pos="1134"/>
        </w:tabs>
        <w:ind w:hanging="573"/>
      </w:pPr>
      <w:r>
        <w:t>образование, религия, язык, сохранение культуры, традиций и культурного наследия;</w:t>
      </w:r>
    </w:p>
    <w:p w:rsidR="00000000" w:rsidRDefault="00000000">
      <w:pPr>
        <w:ind w:left="1134" w:hanging="1134"/>
      </w:pPr>
    </w:p>
    <w:p w:rsidR="00000000" w:rsidRDefault="00000000">
      <w:pPr>
        <w:numPr>
          <w:ilvl w:val="0"/>
          <w:numId w:val="4"/>
        </w:numPr>
        <w:tabs>
          <w:tab w:val="clear" w:pos="1140"/>
          <w:tab w:val="clear" w:pos="1701"/>
          <w:tab w:val="left" w:pos="1134"/>
        </w:tabs>
        <w:ind w:hanging="573"/>
      </w:pPr>
      <w:r>
        <w:t>территориальная организация;</w:t>
      </w:r>
    </w:p>
    <w:p w:rsidR="00000000" w:rsidRDefault="00000000">
      <w:pPr>
        <w:ind w:left="1134" w:hanging="1134"/>
      </w:pPr>
    </w:p>
    <w:p w:rsidR="00000000" w:rsidRDefault="00000000">
      <w:pPr>
        <w:numPr>
          <w:ilvl w:val="0"/>
          <w:numId w:val="4"/>
        </w:numPr>
        <w:tabs>
          <w:tab w:val="clear" w:pos="1140"/>
          <w:tab w:val="clear" w:pos="1701"/>
          <w:tab w:val="left" w:pos="1134"/>
        </w:tabs>
        <w:ind w:hanging="573"/>
      </w:pPr>
      <w:r>
        <w:t>система общественной информации и другие вопросы, которые должны рассматриваться в качестве вопросов, представляющих жизненный национальный интерес, если таковым является мнение двух третей одной из групп делегатов государственно-образующих народов в Палате народов".</w:t>
      </w:r>
    </w:p>
    <w:p w:rsidR="00000000" w:rsidRDefault="00000000">
      <w:pPr>
        <w:ind w:left="1134" w:hanging="1134"/>
      </w:pPr>
    </w:p>
    <w:p w:rsidR="00000000" w:rsidRDefault="00000000">
      <w:r>
        <w:t>17.</w:t>
      </w:r>
      <w:r>
        <w:tab/>
        <w:t>Необходимо отметить, что на местах конституционные положения не выполняются удовлетворительным образом.  Поправки к конституциям Образований еще не претворены в жизнь, поскольку представители государственно-образующих народов, особенно представители национальных меньшинств, согласно переписи 1991 года, пропорционально не представлены в ряде органов (муниципалитетах, кантонах), пока не будут в полном объеме выполнены положения приложения 7 к Дейтонскому соглашению.  Это является объявленной целью, которая должна быть реализована поэтапно.</w:t>
      </w:r>
    </w:p>
    <w:p w:rsidR="00000000" w:rsidRDefault="00000000"/>
    <w:p w:rsidR="00000000" w:rsidRDefault="00000000">
      <w:r>
        <w:t>18.</w:t>
      </w:r>
      <w:r>
        <w:tab/>
        <w:t>Босния и Герцеговина имеет значительные природные ресурсы в сельском хозяйстве, лесоводстве, водоснабжении и других областях.  Ее Конституция предоставляет народам право свободного использования природных богатств и ресурсов.</w:t>
      </w:r>
    </w:p>
    <w:p w:rsidR="00000000" w:rsidRDefault="00000000"/>
    <w:p w:rsidR="00000000" w:rsidRDefault="00000000">
      <w:r>
        <w:t>19.</w:t>
      </w:r>
      <w:r>
        <w:tab/>
        <w:t>Прошлое неадекватное материальное развитие во всех областях социально-экономической организации в Боснии и Герцеговине создало серьезные проблемы в отношении охраны окружающей среды.  Речь идет о периоде войны, когда в условиях волнений причинялся ущерб биологическому разнообразию и состоянию атмосферы.  Эта тенденция сохраняется и в послевоенное время, когда в условиях интенсивных процессов перехода и беспринципной приватизации возникает множество сохраняющихся и неразрешенных вопросов, связанных с состоянием и защитой природных и прочих культурных ценностей.</w:t>
      </w:r>
    </w:p>
    <w:p w:rsidR="00000000" w:rsidRDefault="00000000"/>
    <w:p w:rsidR="00000000" w:rsidRDefault="00000000">
      <w:r>
        <w:t>20.</w:t>
      </w:r>
      <w:r>
        <w:tab/>
        <w:t>В числе рисков, т.е. чаще всего приобретающих значение местных и глобальных угроз биологическому и геологическому разнообразию Боснии и Герцеговины, можно назвать:</w:t>
      </w:r>
    </w:p>
    <w:p w:rsidR="00000000" w:rsidRDefault="00000000"/>
    <w:p w:rsidR="00000000" w:rsidRDefault="00000000">
      <w:pPr>
        <w:numPr>
          <w:ilvl w:val="1"/>
          <w:numId w:val="5"/>
        </w:numPr>
        <w:ind w:left="1134" w:hanging="573"/>
      </w:pPr>
      <w:r>
        <w:t>чрезмерную эксплуатацию природных ресурсов - частую и интенсивную вырубку лесов, охоту, нелегальную охоту, несбалансированное сельскохозяйственное производство;</w:t>
      </w:r>
    </w:p>
    <w:p w:rsidR="00000000" w:rsidRDefault="00000000">
      <w:pPr>
        <w:ind w:left="1134" w:hanging="1134"/>
      </w:pPr>
    </w:p>
    <w:p w:rsidR="00000000" w:rsidRDefault="00000000">
      <w:pPr>
        <w:numPr>
          <w:ilvl w:val="0"/>
          <w:numId w:val="6"/>
        </w:numPr>
      </w:pPr>
      <w:r>
        <w:t>несбалансированное промышленное производство (недостаток сооружений для очистки сточных вод, значительные выбросы серных слоев в атмосферу, нерациональную потерю энергии, низкий уровень использования ресурсов);</w:t>
      </w:r>
    </w:p>
    <w:p w:rsidR="00000000" w:rsidRDefault="00000000">
      <w:pPr>
        <w:ind w:left="1134" w:hanging="1134"/>
      </w:pPr>
    </w:p>
    <w:p w:rsidR="00000000" w:rsidRDefault="00000000">
      <w:pPr>
        <w:numPr>
          <w:ilvl w:val="1"/>
          <w:numId w:val="6"/>
        </w:numPr>
        <w:tabs>
          <w:tab w:val="clear" w:pos="1701"/>
        </w:tabs>
        <w:ind w:hanging="2861"/>
      </w:pPr>
      <w:r>
        <w:t>несбалансированную энергетическую политику;</w:t>
      </w:r>
    </w:p>
    <w:p w:rsidR="00000000" w:rsidRDefault="00000000">
      <w:pPr>
        <w:ind w:left="1134" w:hanging="1134"/>
      </w:pPr>
    </w:p>
    <w:p w:rsidR="00000000" w:rsidRDefault="00000000">
      <w:pPr>
        <w:numPr>
          <w:ilvl w:val="1"/>
          <w:numId w:val="6"/>
        </w:numPr>
        <w:tabs>
          <w:tab w:val="clear" w:pos="1701"/>
        </w:tabs>
        <w:ind w:left="1134" w:hanging="560"/>
      </w:pPr>
      <w:r>
        <w:t>недостаточную и нефункциональную правовую базу на всех уровнях территориальной и социально-политической организации;</w:t>
      </w:r>
    </w:p>
    <w:p w:rsidR="00000000" w:rsidRDefault="00000000">
      <w:pPr>
        <w:ind w:left="1134" w:hanging="1134"/>
      </w:pPr>
    </w:p>
    <w:p w:rsidR="00000000" w:rsidRDefault="00000000">
      <w:pPr>
        <w:numPr>
          <w:ilvl w:val="2"/>
          <w:numId w:val="6"/>
        </w:numPr>
        <w:ind w:left="1134" w:hanging="560"/>
      </w:pPr>
      <w:r>
        <w:t>неадекватное правоприменение в настоящее время;</w:t>
      </w:r>
    </w:p>
    <w:p w:rsidR="00000000" w:rsidRDefault="00000000">
      <w:pPr>
        <w:ind w:left="1134" w:hanging="1134"/>
      </w:pPr>
    </w:p>
    <w:p w:rsidR="00000000" w:rsidRDefault="00000000">
      <w:pPr>
        <w:numPr>
          <w:ilvl w:val="0"/>
          <w:numId w:val="7"/>
        </w:numPr>
        <w:tabs>
          <w:tab w:val="clear" w:pos="1701"/>
        </w:tabs>
      </w:pPr>
      <w:r>
        <w:t>недостаточное использование норм и стратегии, регулирующих природные ресурсы.</w:t>
      </w:r>
    </w:p>
    <w:p w:rsidR="00000000" w:rsidRDefault="00000000">
      <w:pPr>
        <w:ind w:left="1134" w:hanging="1134"/>
      </w:pPr>
    </w:p>
    <w:p w:rsidR="00000000" w:rsidRDefault="00000000">
      <w:pPr>
        <w:rPr>
          <w:b/>
          <w:bCs/>
        </w:rPr>
      </w:pPr>
      <w:r>
        <w:rPr>
          <w:b/>
          <w:bCs/>
        </w:rPr>
        <w:t>Сектор водоснабжения</w:t>
      </w:r>
    </w:p>
    <w:p w:rsidR="00000000" w:rsidRDefault="00000000">
      <w:pPr>
        <w:rPr>
          <w:b/>
          <w:bCs/>
        </w:rPr>
      </w:pPr>
    </w:p>
    <w:p w:rsidR="00000000" w:rsidRDefault="00000000">
      <w:r>
        <w:t>21.</w:t>
      </w:r>
      <w:r>
        <w:tab/>
        <w:t>В это послевоенное время очень большие трудности связаны с законами, регулирующими сектор водоснабжения.  Нынешняя ситуация стала результатом ряда временных резолюций, правил и положений, которые были приняты на основе прежней системы и разработаны в ходе войны.  Для преодоления этих проблем Европейская комиссия предложила техническую и финансовую поддержку в рамках "Экологической программы Европейского союза для Боснии и Герцеговины", т.е. она подготовила пакет из пяти экологических законов, включая новые законы по охране водных ресурсов для обоих Образований.  Эти проекты законов соответствовали нормам и принципам Европейского союза, а также всем соответствующим международным конвенциям и Рамочной директиве относительно политики в сфере водного хозяйства, особенно в силу внедрения принципа комплексного экологического подхода к проведению водохозяйственных мероприятий в бассейнах рек.</w:t>
      </w:r>
    </w:p>
    <w:p w:rsidR="00000000" w:rsidRDefault="00000000"/>
    <w:p w:rsidR="00000000" w:rsidRDefault="00000000">
      <w:r>
        <w:t>22.</w:t>
      </w:r>
      <w:r>
        <w:tab/>
        <w:t>Уровень водоснабжения, составляющий 50%, значительно ниже европейского уровня, составляющего 90%.  Кроме того, качество воды значительно хуже, чем в странах Европейского союза.  Очень часто имеют место перебои в водоснабжении, и поэтому невозможно достигнуть международного уровня качества воды.  Обеспеченность канализацией составляет 56% в городах и менее 10% в небольших населенных пунктах.  Только шесть муниципалитетов Боснии и Герцеговины имеют сооружения для очистки сточных вод.</w:t>
      </w:r>
    </w:p>
    <w:p w:rsidR="00000000" w:rsidRDefault="00000000"/>
    <w:p w:rsidR="00000000" w:rsidRDefault="00000000">
      <w:r>
        <w:t>23.</w:t>
      </w:r>
      <w:r>
        <w:tab/>
        <w:t>Двумя важными аспектами устойчивого развития сектора водоснабжения являются:</w:t>
      </w:r>
    </w:p>
    <w:p w:rsidR="00000000" w:rsidRDefault="00000000"/>
    <w:p w:rsidR="00000000" w:rsidRDefault="00000000">
      <w:pPr>
        <w:numPr>
          <w:ilvl w:val="0"/>
          <w:numId w:val="7"/>
        </w:numPr>
        <w:tabs>
          <w:tab w:val="clear" w:pos="1701"/>
        </w:tabs>
      </w:pPr>
      <w:r>
        <w:t xml:space="preserve">качество, эффективность и транспарентность управления сектором водоснабжения;  </w:t>
      </w:r>
    </w:p>
    <w:p w:rsidR="00000000" w:rsidRDefault="00000000">
      <w:pPr>
        <w:ind w:left="1134" w:hanging="1134"/>
      </w:pPr>
    </w:p>
    <w:p w:rsidR="00000000" w:rsidRDefault="00000000">
      <w:pPr>
        <w:numPr>
          <w:ilvl w:val="0"/>
          <w:numId w:val="7"/>
        </w:numPr>
        <w:tabs>
          <w:tab w:val="clear" w:pos="1701"/>
        </w:tabs>
      </w:pPr>
      <w:r>
        <w:t>устойчивость инвестиций и услуг.</w:t>
      </w:r>
    </w:p>
    <w:p w:rsidR="00000000" w:rsidRDefault="00000000">
      <w:pPr>
        <w:ind w:left="1134" w:hanging="1134"/>
      </w:pPr>
    </w:p>
    <w:p w:rsidR="00000000" w:rsidRDefault="00000000">
      <w:r>
        <w:t>24.</w:t>
      </w:r>
      <w:r>
        <w:tab/>
        <w:t>В европейской директиве относительно политики в сфере водного хозяйства предусматривается, что во всех общинах с населением более 2 000 человек должны быть водоочистные сооружения, и эта директива обязательна к выполнению всеми нынешними и будущими государствами - членами ЕС, такими, как Босния и Герцеговина.  С правовой точки зрения, в Боснии и Герцеговине нет какой-либо службы, отвечающей за водное хозяйство.  Будущие положения должны предусматривать создание службы охраны водных ресурсов и рек и содержать четко определенные инструкции в отношении контроля, отчетности, охраны, защиты и сохранения водных ресурсов.</w:t>
      </w:r>
    </w:p>
    <w:p w:rsidR="00000000" w:rsidRDefault="00000000"/>
    <w:p w:rsidR="00000000" w:rsidRDefault="00000000">
      <w:r>
        <w:t>25.</w:t>
      </w:r>
      <w:r>
        <w:tab/>
        <w:t>В настоящее время осуществляется структурное укрепление сектора водоснабжения Боснии и Герцеговины.  Оно финансируется Европейским союзом и параллельно осуществляется в обоих Образованиях.  Конечная цель этого проекта заключается в принятии новых законов, регулирующих сектор водоснабжения, которые соответствовали бы законам ЕС, в особенности Рамочной директиве относительно политики в сфере водного хозяйства (Директива № 2000/60/ЕС, Европейский парламент и Совет, 23 октября 2000 года).  В рамках этого проекта будет определен новый структурный и организационный порядок работы сектора и создан орган, ответственный за водопользование, на уровне Боснии и Герцеговины.  Новые решения предполагают выработку базисного подхода к организации сектора на основе принципа комплексного водопользования.</w:t>
      </w:r>
    </w:p>
    <w:p w:rsidR="00000000" w:rsidRDefault="00000000"/>
    <w:p w:rsidR="00000000" w:rsidRDefault="00000000">
      <w:r>
        <w:t>26.</w:t>
      </w:r>
      <w:r>
        <w:tab/>
        <w:t>Без поддержки со стороны международных учреждений будет нелегко претворить в жизнь положения Закона об охране окружающей среды, Закона о защите водных ресурсов, Закона о защите воздуха, Закона об охране природы, а также Закона о лесных ресурсах и Закона о водных ресурсах, которые регулируют охрану окружающей среды.  Ближайшая задача заключается в четком определении статуса охраняемых районов, принятии решений относительно свалок, очистки сточных вод и эффективном контроле за загрязнением.</w:t>
      </w:r>
    </w:p>
    <w:p w:rsidR="00000000" w:rsidRDefault="00000000"/>
    <w:p w:rsidR="00000000" w:rsidRDefault="00000000">
      <w:pPr>
        <w:rPr>
          <w:b/>
          <w:bCs/>
        </w:rPr>
      </w:pPr>
      <w:r>
        <w:rPr>
          <w:b/>
          <w:bCs/>
        </w:rPr>
        <w:t>Сельскохозяйственный сектор</w:t>
      </w:r>
    </w:p>
    <w:p w:rsidR="00000000" w:rsidRDefault="00000000">
      <w:pPr>
        <w:rPr>
          <w:b/>
          <w:bCs/>
        </w:rPr>
      </w:pPr>
    </w:p>
    <w:p w:rsidR="00000000" w:rsidRDefault="00000000">
      <w:r>
        <w:t>27.</w:t>
      </w:r>
      <w:r>
        <w:tab/>
        <w:t xml:space="preserve">Общая площадь возделываемых земель в Боснии и Герцеговине составляет 2,5 млн. га, или 50% территории страны;  на душу населения приходится 0,7 га.  Природное состояние равнин является благоприятным для непрерывного сельскохозяйственного производства и современной рыночной торговли.  При наличии дополнительных капиталовложений на современную технику урожай может быть увеличен на 50%, особенно на возрожденных орошаемых землях (200 000 га).  </w:t>
      </w:r>
    </w:p>
    <w:p w:rsidR="00000000" w:rsidRDefault="00000000"/>
    <w:p w:rsidR="00000000" w:rsidRDefault="00000000">
      <w:r>
        <w:t>28.</w:t>
      </w:r>
      <w:r>
        <w:tab/>
        <w:t>Важно добиться интенсификации сельскохозяйственного производства, и прежде всего в силу того, что сельское хозяйство Боснии и Герцеговины не производит и половины продовольствия, необходимого для населения страны;  более 50% импорта Боснии и Герцеговины составляют продукты питания.</w:t>
      </w:r>
    </w:p>
    <w:p w:rsidR="00000000" w:rsidRDefault="00000000"/>
    <w:p w:rsidR="00000000" w:rsidRDefault="00000000">
      <w:r>
        <w:t>29.</w:t>
      </w:r>
      <w:r>
        <w:tab/>
        <w:t>Сельскохозяйственные участки по</w:t>
      </w:r>
      <w:r>
        <w:noBreakHyphen/>
        <w:t>прежнему раздроблены и малы.  Частная инициатива и предпринимательство в сельскохозяйственном производстве не поддерживаются.  Для возрождения и обеспечения непрерывности сельскохозяйственного производства необходима комплексная производственная, рыночная и финансовая стратегия.</w:t>
      </w:r>
    </w:p>
    <w:p w:rsidR="00000000" w:rsidRDefault="00000000"/>
    <w:p w:rsidR="00000000" w:rsidRDefault="00000000">
      <w:r>
        <w:t>30.</w:t>
      </w:r>
      <w:r>
        <w:tab/>
        <w:t>Для обеспечения непрерывности сельскохозяйственного производства и реализации программы улучшения качества сельскохозяйственной продукции, включая землепользование и стратегию аграрного развития, в дополнение к ряду мер организационного характера по стимулированию такого развития необходимо заложить структурно-правовые основы.  Главным образом:</w:t>
      </w:r>
    </w:p>
    <w:p w:rsidR="00000000" w:rsidRDefault="00000000"/>
    <w:p w:rsidR="00000000" w:rsidRDefault="00000000">
      <w:pPr>
        <w:numPr>
          <w:ilvl w:val="0"/>
          <w:numId w:val="27"/>
        </w:numPr>
        <w:tabs>
          <w:tab w:val="clear" w:pos="1701"/>
          <w:tab w:val="left" w:pos="1683"/>
        </w:tabs>
      </w:pPr>
      <w:r>
        <w:t>упорядоченный, свободный и единый рынок Боснии и Герцеговины без внутренней торговли или политических барьеров;</w:t>
      </w:r>
    </w:p>
    <w:p w:rsidR="00000000" w:rsidRDefault="00000000">
      <w:pPr>
        <w:tabs>
          <w:tab w:val="clear" w:pos="1134"/>
          <w:tab w:val="clear" w:pos="1701"/>
          <w:tab w:val="left" w:pos="1122"/>
          <w:tab w:val="left" w:pos="1683"/>
        </w:tabs>
        <w:ind w:left="1122" w:hanging="561"/>
      </w:pPr>
    </w:p>
    <w:p w:rsidR="00000000" w:rsidRDefault="00000000">
      <w:pPr>
        <w:numPr>
          <w:ilvl w:val="0"/>
          <w:numId w:val="27"/>
        </w:numPr>
        <w:tabs>
          <w:tab w:val="clear" w:pos="1701"/>
          <w:tab w:val="left" w:pos="1683"/>
        </w:tabs>
      </w:pPr>
      <w:r>
        <w:t>налоговая система должна быть стимулом развития сельского хозяйства;</w:t>
      </w:r>
    </w:p>
    <w:p w:rsidR="00000000" w:rsidRDefault="00000000"/>
    <w:p w:rsidR="00000000" w:rsidRDefault="00000000">
      <w:pPr>
        <w:numPr>
          <w:ilvl w:val="0"/>
          <w:numId w:val="27"/>
        </w:numPr>
      </w:pPr>
      <w:r>
        <w:t>возрождение деревень и самостоятельная занятость на довоенных фермах;</w:t>
      </w:r>
    </w:p>
    <w:p w:rsidR="00000000" w:rsidRDefault="00000000"/>
    <w:p w:rsidR="00000000" w:rsidRDefault="00000000">
      <w:pPr>
        <w:numPr>
          <w:ilvl w:val="0"/>
          <w:numId w:val="27"/>
        </w:numPr>
      </w:pPr>
      <w:r>
        <w:t>разработка долгосрочной программы развития равнин, холмистых и горных районов и средиземноморской зоны;</w:t>
      </w:r>
    </w:p>
    <w:p w:rsidR="00000000" w:rsidRDefault="00000000">
      <w:pPr>
        <w:ind w:left="1134" w:hanging="1134"/>
      </w:pPr>
    </w:p>
    <w:p w:rsidR="00000000" w:rsidRDefault="00000000">
      <w:pPr>
        <w:numPr>
          <w:ilvl w:val="0"/>
          <w:numId w:val="27"/>
        </w:numPr>
      </w:pPr>
      <w:r>
        <w:t>создание фонда развития сельского хозяйства и деревень.</w:t>
      </w:r>
    </w:p>
    <w:p w:rsidR="00000000" w:rsidRDefault="00000000">
      <w:pPr>
        <w:ind w:left="1134" w:hanging="1134"/>
      </w:pPr>
    </w:p>
    <w:p w:rsidR="00000000" w:rsidRDefault="00000000">
      <w:pPr>
        <w:ind w:left="1134" w:hanging="1134"/>
        <w:rPr>
          <w:b/>
          <w:bCs/>
        </w:rPr>
      </w:pPr>
      <w:r>
        <w:rPr>
          <w:b/>
          <w:bCs/>
        </w:rPr>
        <w:t>Лесная экосистема и лесные ресурсы</w:t>
      </w:r>
    </w:p>
    <w:p w:rsidR="00000000" w:rsidRDefault="00000000">
      <w:pPr>
        <w:ind w:left="1134" w:hanging="1134"/>
        <w:rPr>
          <w:b/>
          <w:bCs/>
        </w:rPr>
      </w:pPr>
    </w:p>
    <w:p w:rsidR="00000000" w:rsidRDefault="00000000">
      <w:r>
        <w:t>31.</w:t>
      </w:r>
      <w:r>
        <w:tab/>
        <w:t>Леса и лесные зоны составляют 53% (2 700 770 га, или 0,71 га лесов и лесистых местностей на душу населения) всей территории Боснии и Герцеговины (5 113 000 га).  В собственности государства находится 81% лесов и лесистых местностей, а в частной собственности - 19%.  Для обеспечения устойчивого лесоустройства необходимы гораздо более эффективные меры по развитию производственной функции, поддержанию и расширению общих полезных функций лесов, обеспечению биологического многообразия, расширению охраняемых зон, возрождению лесов, подвергшихся деградации, охране лесов и дичи, контролю, научно-исследовательской работе и обучению персонала.  Говоря конкретнее, это означает следующее:</w:t>
      </w:r>
    </w:p>
    <w:p w:rsidR="00000000" w:rsidRDefault="00000000"/>
    <w:p w:rsidR="00000000" w:rsidRDefault="00000000">
      <w:pPr>
        <w:numPr>
          <w:ilvl w:val="0"/>
          <w:numId w:val="27"/>
        </w:numPr>
      </w:pPr>
      <w:r>
        <w:t>в лесоустройстве следует уделять больше внимания укреплению природных ресурсов и культур, увеличению биологических инвестиций, открытию лесов, уменьшению интенсивности вырубки, укреплению жизнеспособности и улучшению состояния лесов, использованию экологически приемлемых технологий роста, охране лесов и дичи;</w:t>
      </w:r>
    </w:p>
    <w:p w:rsidR="00000000" w:rsidRDefault="00000000">
      <w:pPr>
        <w:ind w:left="561" w:hanging="561"/>
      </w:pPr>
    </w:p>
    <w:p w:rsidR="00000000" w:rsidRDefault="00000000">
      <w:pPr>
        <w:numPr>
          <w:ilvl w:val="0"/>
          <w:numId w:val="27"/>
        </w:numPr>
      </w:pPr>
      <w:r>
        <w:t>особое внимание следует уделять мерам по обеспечению роста и охране лесов и дичи;</w:t>
      </w:r>
    </w:p>
    <w:p w:rsidR="00000000" w:rsidRDefault="00000000"/>
    <w:p w:rsidR="00000000" w:rsidRDefault="00000000">
      <w:pPr>
        <w:numPr>
          <w:ilvl w:val="0"/>
          <w:numId w:val="27"/>
        </w:numPr>
      </w:pPr>
      <w:r>
        <w:t>лесовосстановление заброшенных лесистых местностей является экономически рациональной мерой улучшения состояния и расширения лесных ресурсов с целью защиты от эрозии и наводнений и улучшения экологических функций лесов;</w:t>
      </w:r>
    </w:p>
    <w:p w:rsidR="00000000" w:rsidRDefault="00000000"/>
    <w:p w:rsidR="00000000" w:rsidRDefault="00000000">
      <w:pPr>
        <w:numPr>
          <w:ilvl w:val="0"/>
          <w:numId w:val="27"/>
        </w:numPr>
      </w:pPr>
      <w:r>
        <w:t>возрождение, расширение и эксплуатация лесных дорог - это приоритетная задача пользователей и собственников лесных резервов и государственных предприятий, включая лесное хозяйство;</w:t>
      </w:r>
    </w:p>
    <w:p w:rsidR="00000000" w:rsidRDefault="00000000"/>
    <w:p w:rsidR="00000000" w:rsidRDefault="00000000">
      <w:pPr>
        <w:numPr>
          <w:ilvl w:val="0"/>
          <w:numId w:val="27"/>
        </w:numPr>
      </w:pPr>
      <w:r>
        <w:t>в зонах, пострадавших от чрезмерных вырубок, нам придется перейти к экономике, основанной на устойчивом использовании другой продукции лесов (лечебных трав, плодов, грибов, древесного угля и т.д.);</w:t>
      </w:r>
    </w:p>
    <w:p w:rsidR="00000000" w:rsidRDefault="00000000"/>
    <w:p w:rsidR="00000000" w:rsidRDefault="00000000">
      <w:pPr>
        <w:numPr>
          <w:ilvl w:val="0"/>
          <w:numId w:val="27"/>
        </w:numPr>
      </w:pPr>
      <w:r>
        <w:t xml:space="preserve">необходимо привести в соответствие ориентированные на рынок мощности по обработке древесины с количеством, качеством и местонахождением древесины.  Дополнительным направлением развития лесного производства являются поиски многоцелевой заинтересованности в устойчивом развитии лесов.  Цены на сорта леса и их маркетинг, а также бюджетные расходы на лесное хозяйство не упорядочены; </w:t>
      </w:r>
    </w:p>
    <w:p w:rsidR="00000000" w:rsidRDefault="00000000"/>
    <w:p w:rsidR="00000000" w:rsidRDefault="00000000">
      <w:pPr>
        <w:numPr>
          <w:ilvl w:val="0"/>
          <w:numId w:val="27"/>
        </w:numPr>
      </w:pPr>
      <w:r>
        <w:t>больше внимания следует уделять обмену отечественными и иностранными специальными знаниями, литературой и опытом.</w:t>
      </w:r>
    </w:p>
    <w:p w:rsidR="00000000" w:rsidRDefault="00000000"/>
    <w:p w:rsidR="00000000" w:rsidRDefault="00000000">
      <w:r>
        <w:t>32.</w:t>
      </w:r>
      <w:r>
        <w:tab/>
        <w:t>Основные функции по социально-экономическому и промышленному развитию, а также использованию природных ресурсов страны, включая выдачу концессий на эксплуатацию природных ресурсов отечественным и иностранным пользователям, т.е. основные факторы регулирования устойчивого развития, находятся в руках Образований, тогда как в Федерации Боснии и Герцеговины они сосредоточены в значительной степени в руках более мелких административных единиц, кантонов.</w:t>
      </w:r>
    </w:p>
    <w:p w:rsidR="00000000" w:rsidRDefault="00000000"/>
    <w:p w:rsidR="00000000" w:rsidRDefault="00000000">
      <w:r>
        <w:t>33.</w:t>
      </w:r>
      <w:r>
        <w:tab/>
        <w:t xml:space="preserve">Что касается устойчивого экономического роста, установления международных отношений, многостороннего и двустороннего сотрудничества, заключения, соблюдения и координации международных многосторонних и двусторонних соглашений и договоров в сфере внешней торговли, совместных инвестиций, упорядочения налоговой политики и региональных программ охраны окружающей среды, то определенные полномочия возложены на учреждения государственного уровня. </w:t>
      </w:r>
    </w:p>
    <w:p w:rsidR="00000000" w:rsidRDefault="00000000"/>
    <w:p w:rsidR="00000000" w:rsidRDefault="00000000">
      <w:r>
        <w:t>34.</w:t>
      </w:r>
      <w:r>
        <w:tab/>
        <w:t xml:space="preserve">Природные ресурсы используются недостаточно, что обусловлено медленным восстановлением потенциала, разрушенного войной, и нехваткой экономической мощи.  Однако сотрудничество с международным сообществом дает некоторые позитивные результаты в восстановлении мощностей и более эффективном использовании ресурсов.  </w:t>
      </w:r>
    </w:p>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pPr>
        <w:rPr>
          <w:b/>
          <w:bCs/>
        </w:rPr>
      </w:pPr>
      <w:r>
        <w:rPr>
          <w:b/>
          <w:bCs/>
        </w:rPr>
        <w:t>Осуществление прав, признаваемых в Пакте</w:t>
      </w:r>
    </w:p>
    <w:p w:rsidR="00000000" w:rsidRDefault="00000000">
      <w:pPr>
        <w:rPr>
          <w:b/>
          <w:bCs/>
        </w:rPr>
      </w:pPr>
    </w:p>
    <w:p w:rsidR="00000000" w:rsidRDefault="00000000">
      <w:r>
        <w:t>35.</w:t>
      </w:r>
      <w:r>
        <w:tab/>
        <w:t>Босния и Герцеговина развивает сотрудничество в области науки, техники, образования, культуры и спорта, заключая международные двусторонние соглашения, протоколы и меморандумы с другими государствами, в полной мере соблюдая принципы Хельсинкского заключительного акта о безопасности и сотрудничестве в Европе.  Порядок заключения таких соглашений регулируется Законом о порядке заключения и соблюдения международных договоров (</w:t>
      </w:r>
      <w:r>
        <w:rPr>
          <w:i/>
          <w:iCs/>
        </w:rPr>
        <w:t>Официальная газета Боснии и Герцеговины,</w:t>
      </w:r>
      <w:r>
        <w:t xml:space="preserve"> № 29/00), который приведен в соответствие с Венской конвенцией о договорах международной купли-продажи товаров от марта 1995 года (вступил в силу в 1988 году), участницей которой является сама Босния и Герцеговина.</w:t>
      </w:r>
    </w:p>
    <w:p w:rsidR="00000000" w:rsidRDefault="00000000"/>
    <w:p w:rsidR="00000000" w:rsidRDefault="00000000">
      <w:r>
        <w:rPr>
          <w:b/>
          <w:bCs/>
        </w:rPr>
        <w:t>Ратифицированные международные договоры</w:t>
      </w:r>
    </w:p>
    <w:p w:rsidR="00000000" w:rsidRDefault="00000000"/>
    <w:p w:rsidR="00000000" w:rsidRDefault="00000000">
      <w:r>
        <w:t>36.</w:t>
      </w:r>
      <w:r>
        <w:tab/>
        <w:t>Чтобы придать стимул развитию сотрудничества в сфере науки, техники, образования, культуры и спорта, Босния и Герцеговина заключает межправительственные соглашения, программы и протоколы с другими государствами, которые подтверждают принципы Хельсинкского заключительного акта о безопасности и сотрудничестве в Европе, понимая, что это содействует лучшему взаимопониманию и укреплению двусторонних отношений с другими государствами.  Межправительственные соглашения были заключены в соответствии с Законом о порядке заключения и соблюдения международных договоров (</w:t>
      </w:r>
      <w:r>
        <w:rPr>
          <w:i/>
          <w:iCs/>
        </w:rPr>
        <w:t>Официальная газета,</w:t>
      </w:r>
      <w:r>
        <w:t xml:space="preserve"> № 29/00).  (С полным перечнем межправительственных соглашений, содержащимся  в приложении, можно ознакомиться в архиве секретариата).</w:t>
      </w:r>
    </w:p>
    <w:p w:rsidR="00000000" w:rsidRDefault="00000000"/>
    <w:p w:rsidR="00000000" w:rsidRDefault="00000000">
      <w:pPr>
        <w:rPr>
          <w:b/>
          <w:bCs/>
        </w:rPr>
      </w:pPr>
      <w:r>
        <w:rPr>
          <w:b/>
          <w:bCs/>
        </w:rPr>
        <w:t>Права и свободы</w:t>
      </w:r>
    </w:p>
    <w:p w:rsidR="00000000" w:rsidRDefault="00000000">
      <w:pPr>
        <w:rPr>
          <w:b/>
          <w:bCs/>
        </w:rPr>
      </w:pPr>
    </w:p>
    <w:p w:rsidR="00000000" w:rsidRDefault="00000000">
      <w:r>
        <w:t>37.</w:t>
      </w:r>
      <w:r>
        <w:tab/>
        <w:t>Все лица на территории Боснии и Герцеговины пользуются правами человека и основными свободами, предусматривающими следующее:</w:t>
      </w:r>
    </w:p>
    <w:p w:rsidR="00000000" w:rsidRDefault="00000000"/>
    <w:p w:rsidR="00000000" w:rsidRDefault="00000000">
      <w:pPr>
        <w:numPr>
          <w:ilvl w:val="0"/>
          <w:numId w:val="29"/>
        </w:numPr>
      </w:pPr>
      <w:r>
        <w:t>право на жизнь;</w:t>
      </w:r>
    </w:p>
    <w:p w:rsidR="00000000" w:rsidRDefault="00000000"/>
    <w:p w:rsidR="00000000" w:rsidRDefault="00000000">
      <w:pPr>
        <w:numPr>
          <w:ilvl w:val="0"/>
          <w:numId w:val="29"/>
        </w:numPr>
      </w:pPr>
      <w:r>
        <w:t>право не подвергаться пыткам или бесчеловечному или унижающему достоинство обращению и наказанию;</w:t>
      </w:r>
    </w:p>
    <w:p w:rsidR="00000000" w:rsidRDefault="00000000"/>
    <w:p w:rsidR="00000000" w:rsidRDefault="00000000">
      <w:pPr>
        <w:numPr>
          <w:ilvl w:val="0"/>
          <w:numId w:val="29"/>
        </w:numPr>
      </w:pPr>
      <w:r>
        <w:t>право на личную свободу и неприкосновенность;</w:t>
      </w:r>
    </w:p>
    <w:p w:rsidR="00000000" w:rsidRDefault="00000000">
      <w:pPr>
        <w:tabs>
          <w:tab w:val="clear" w:pos="567"/>
        </w:tabs>
        <w:ind w:left="283"/>
      </w:pPr>
    </w:p>
    <w:p w:rsidR="00000000" w:rsidRDefault="00000000">
      <w:pPr>
        <w:numPr>
          <w:ilvl w:val="0"/>
          <w:numId w:val="29"/>
        </w:numPr>
      </w:pPr>
      <w:r>
        <w:t>право на справедливое разбирательство по гражданским и уголовным делам и другие права, связанные с уголовными разбирательствами, право на неприкосновенность личной и семейной жизни;</w:t>
      </w:r>
    </w:p>
    <w:p w:rsidR="00000000" w:rsidRDefault="00000000">
      <w:pPr>
        <w:tabs>
          <w:tab w:val="clear" w:pos="567"/>
        </w:tabs>
        <w:ind w:left="283"/>
      </w:pPr>
    </w:p>
    <w:p w:rsidR="00000000" w:rsidRDefault="00000000">
      <w:pPr>
        <w:numPr>
          <w:ilvl w:val="0"/>
          <w:numId w:val="29"/>
        </w:numPr>
      </w:pPr>
      <w:r>
        <w:t>свобода мысли, совести и религии;</w:t>
      </w:r>
    </w:p>
    <w:p w:rsidR="00000000" w:rsidRDefault="00000000">
      <w:pPr>
        <w:tabs>
          <w:tab w:val="clear" w:pos="567"/>
        </w:tabs>
        <w:ind w:left="283"/>
      </w:pPr>
    </w:p>
    <w:p w:rsidR="00000000" w:rsidRDefault="00000000">
      <w:pPr>
        <w:numPr>
          <w:ilvl w:val="0"/>
          <w:numId w:val="29"/>
        </w:numPr>
      </w:pPr>
      <w:r>
        <w:t>свобода выражения мнений, мирных собраний и свобода ассоциации с другими;</w:t>
      </w:r>
    </w:p>
    <w:p w:rsidR="00000000" w:rsidRDefault="00000000">
      <w:pPr>
        <w:tabs>
          <w:tab w:val="clear" w:pos="567"/>
        </w:tabs>
        <w:ind w:left="283"/>
      </w:pPr>
    </w:p>
    <w:p w:rsidR="00000000" w:rsidRDefault="00000000">
      <w:pPr>
        <w:numPr>
          <w:ilvl w:val="0"/>
          <w:numId w:val="29"/>
        </w:numPr>
      </w:pPr>
      <w:r>
        <w:t>право вступать в брак и основывать семью;</w:t>
      </w:r>
    </w:p>
    <w:p w:rsidR="00000000" w:rsidRDefault="00000000">
      <w:pPr>
        <w:tabs>
          <w:tab w:val="clear" w:pos="567"/>
        </w:tabs>
        <w:ind w:left="283"/>
      </w:pPr>
    </w:p>
    <w:p w:rsidR="00000000" w:rsidRDefault="00000000">
      <w:pPr>
        <w:numPr>
          <w:ilvl w:val="0"/>
          <w:numId w:val="29"/>
        </w:numPr>
      </w:pPr>
      <w:r>
        <w:t>право на имущество;</w:t>
      </w:r>
    </w:p>
    <w:p w:rsidR="00000000" w:rsidRDefault="00000000">
      <w:pPr>
        <w:tabs>
          <w:tab w:val="clear" w:pos="567"/>
        </w:tabs>
        <w:ind w:left="283"/>
      </w:pPr>
    </w:p>
    <w:p w:rsidR="00000000" w:rsidRDefault="00000000">
      <w:pPr>
        <w:numPr>
          <w:ilvl w:val="0"/>
          <w:numId w:val="29"/>
        </w:numPr>
      </w:pPr>
      <w:r>
        <w:t>право на образование;</w:t>
      </w:r>
    </w:p>
    <w:p w:rsidR="00000000" w:rsidRDefault="00000000">
      <w:pPr>
        <w:tabs>
          <w:tab w:val="clear" w:pos="567"/>
        </w:tabs>
        <w:ind w:left="283"/>
      </w:pPr>
    </w:p>
    <w:p w:rsidR="00000000" w:rsidRDefault="00000000">
      <w:pPr>
        <w:numPr>
          <w:ilvl w:val="0"/>
          <w:numId w:val="29"/>
        </w:numPr>
      </w:pPr>
      <w:r>
        <w:t>право на свободное передвижение и свободный выбор места жительства.</w:t>
      </w:r>
    </w:p>
    <w:p w:rsidR="00000000" w:rsidRDefault="00000000">
      <w:pPr>
        <w:tabs>
          <w:tab w:val="clear" w:pos="567"/>
        </w:tabs>
        <w:ind w:left="283"/>
      </w:pPr>
    </w:p>
    <w:p w:rsidR="00000000" w:rsidRDefault="00000000">
      <w:r>
        <w:t>38.</w:t>
      </w:r>
      <w:r>
        <w:tab/>
        <w:t xml:space="preserve">Пользование правами и свободами, закрепленными в Конституции или международных соглашениях, перечисленных в Конституции Боснии и Герцеговины (см. приложение 1), предполагает, что никто в Боснии и Герцеговине не должен подвергаться какой бы то ни было дискриминации.  Конституция (пункт 4 статьи </w:t>
      </w:r>
      <w:r>
        <w:rPr>
          <w:lang w:val="en-US"/>
        </w:rPr>
        <w:t>II</w:t>
      </w:r>
      <w:r>
        <w:t>) гласит следующее:</w:t>
      </w:r>
    </w:p>
    <w:p w:rsidR="00000000" w:rsidRDefault="00000000"/>
    <w:p w:rsidR="00000000" w:rsidRDefault="00000000">
      <w:pPr>
        <w:ind w:left="567"/>
      </w:pPr>
      <w:r>
        <w:tab/>
        <w:t>"Пользование правами и свободами, предусмотренными в настоящей статье или в международных соглашениях, перечисленных в приложении к настоящей Конституции, обеспечивается всем лицам в Боснии и Герцеговине без дискриминации по какому бы то ни было признаку, как то пола, расы, цвета кожи, языка, религии, политических или иных убеждений, национального или социального происхождения, принадлежности к национальному меньшинству, имущественного положения, рождения или иного обстоятельства".</w:t>
      </w:r>
    </w:p>
    <w:p w:rsidR="00000000" w:rsidRDefault="00000000">
      <w:pPr>
        <w:ind w:left="567"/>
      </w:pPr>
    </w:p>
    <w:p w:rsidR="00000000" w:rsidRDefault="00000000">
      <w:r>
        <w:t>39.</w:t>
      </w:r>
      <w:r>
        <w:tab/>
        <w:t xml:space="preserve">Основные законы Боснии и Герцеговины, разработанные после Дейтонского соглашения или разрабатываемые в настоящее время, приводятся в соответствие с международными договорами по защите основных прав человека, определяемых в Пакте;  таким образом, его положения прямо или косвенно включены в законодательство.  Рамочный закон о начальном и среднем образовании в Боснии и Герцеговине содержит положения, запрещающие всякую дискриминацию в сфере образования, как и Закон о гендерном равенстве, принятый Парламентской ассамблеей (опубликован в </w:t>
      </w:r>
      <w:r>
        <w:rPr>
          <w:i/>
          <w:iCs/>
        </w:rPr>
        <w:t xml:space="preserve">Официальной газете, </w:t>
      </w:r>
      <w:r>
        <w:t xml:space="preserve">16/03).  </w:t>
      </w:r>
    </w:p>
    <w:p w:rsidR="00000000" w:rsidRDefault="00000000"/>
    <w:p w:rsidR="00000000" w:rsidRDefault="00000000">
      <w:r>
        <w:t>40.</w:t>
      </w:r>
      <w:r>
        <w:tab/>
        <w:t>Этот закон основан на и соответствует Конвенции о ликвидации всех форм дискриминации в отношении женщин (КЛДЖ) и ее Факультативным протоколам, а также Европейской конвенции о защите прав человека и основных свобод с дополняющими ее Протоколами, равно как и Пакту.</w:t>
      </w:r>
    </w:p>
    <w:p w:rsidR="00000000" w:rsidRDefault="00000000"/>
    <w:p w:rsidR="00000000" w:rsidRDefault="00000000">
      <w:r>
        <w:t>41.</w:t>
      </w:r>
      <w:r>
        <w:tab/>
        <w:t>Когда Босния и Герцеговина столкнулась с проблемами, связанными с этническим и национальным происхождением, то решение было найдено за счет включения в частичное решение ее Конституционного суда о конституционности народов принципов, закрепленных в Международной конвенции о ликвидации всех форм расовой дискриминации, Международного пакта о гражданских и политических правах и их дополнительных протоколов, а также Европейских конвенций о защите прав человека и основных свобод, и приведения в соответствие с ними конституций Образований (</w:t>
      </w:r>
      <w:r>
        <w:rPr>
          <w:i/>
          <w:iCs/>
        </w:rPr>
        <w:t>Официальная газета</w:t>
      </w:r>
      <w:r>
        <w:t>, 23/02).</w:t>
      </w:r>
    </w:p>
    <w:p w:rsidR="00000000" w:rsidRDefault="00000000"/>
    <w:p w:rsidR="00000000" w:rsidRDefault="00000000">
      <w:r>
        <w:t>42.</w:t>
      </w:r>
      <w:r>
        <w:tab/>
        <w:t>После переговоров между политическими партиями, которые проходили с декабря 2001 года по апрель 2002 года, Высокий представитель предложил внести изменения в Конституцию Республики Сербской (РС) и Конституцию Федерации Боснии и Герцеговины, касающиеся конституционности боснийцев, сербов, хорватов и других.  Народная скупщина Республики Сербской приняла эти изменения при том условии, что Высокий представитель изменит две поправки, тогда как в Федерации Боснии и Герцеговины соответствующие конституционные изменения не были приняты, поскольку две основные политические партии боснийского и хорватского народов были не удовлетворены самой концепцией, а также недостаточным освещением и отсутствием идентичных конституционных положений для обоих Образований.  Конституционные изменения в Федерации Боснии и Герцеговины были провозглашены Высоким представителем, и, хотя они не были приняты парламентом Федерации, они были претворены в жизнь.</w:t>
      </w:r>
    </w:p>
    <w:p w:rsidR="00000000" w:rsidRDefault="00000000"/>
    <w:p w:rsidR="00000000" w:rsidRDefault="00000000">
      <w:r>
        <w:t>43.</w:t>
      </w:r>
      <w:r>
        <w:tab/>
        <w:t>Что касается законодательной власти, то важно подчеркнуть, что в Республике Сербской был учрежден Совет народов, членами которого являются в общей сложности 28 делегатов (по восемь от каждого составляющего народа и четыре от других групп);  законодательный орган Республики Сербской состоит из Народной скупщины и Совета народов.  В парламенте Федерации не менее четырех членов от каждого государственно-образующего народа должны быть представлены в Палате представителей, которая состоит из 98 представителей.  Состав Палаты народов в парламенте Федерации Боснии и Герцеговины построен по принципу паритета, с тем чтобы у каждого государственно-образующего народа было одинаковое число делегатов (17), плюс семь делегатов от категории "других" (всего 58 делегатов).  Важно отметить, что возникают некоторые трудности в связи с назначением в Палату народов Федерации Боснии и Герцеговины сербских делегатов, что обусловлено недостаточным числом избранных депутатов.</w:t>
      </w:r>
    </w:p>
    <w:p w:rsidR="00000000" w:rsidRDefault="00000000"/>
    <w:p w:rsidR="00000000" w:rsidRDefault="00000000">
      <w:r>
        <w:t>44.</w:t>
      </w:r>
      <w:r>
        <w:tab/>
        <w:t xml:space="preserve">Что касается исполнительных органов власти Образований, то президенты Федерации Боснии и Герцеговины и Республики Сербской имеют двух вице-президентов, представляющих различные государственно-образующие народы.  Разница состоит в порядке избрания и полномочиях, поскольку президенты и вице-президенты Республики Сербской избираются прямо, а в Федерации Боснии и Герцеговины они избираются непрямым голосованием.  Соответственно, в правительствах Федерации Боснии и Герцеговины и Республики Сербской обеспечивается минимальная представленность министров от различных государственно-образующих народов.  Кроме того, премьер-министр и его заместители (в Федерации) и вице-премьеры (в Республике Сербской) не могут быть избраны от одного и того же государственно-образующего народа. </w:t>
      </w:r>
    </w:p>
    <w:p w:rsidR="00000000" w:rsidRDefault="00000000"/>
    <w:p w:rsidR="00000000" w:rsidRDefault="00000000">
      <w:r>
        <w:t>45.</w:t>
      </w:r>
      <w:r>
        <w:tab/>
        <w:t>Кантональные органы власти обеспечивают, чтобы государственно-образующие народы и члены, представляющие "других", были пропорционально представлены в административных органах на кантональном и муниципальном уровнях.</w:t>
      </w:r>
    </w:p>
    <w:p w:rsidR="00000000" w:rsidRDefault="00000000"/>
    <w:p w:rsidR="00000000" w:rsidRDefault="00000000">
      <w:r>
        <w:t>46.</w:t>
      </w:r>
      <w:r>
        <w:tab/>
        <w:t>Что касается судебной власти, то в Федерации Боснии и Герцеговины и Республике Сербской, равно как и на уровне Боснии и Герцеговины, были созданы Верховные советы по вопросам судебной практики и Верховные советы прокуратуры.  Они представляют собой положительные примеры эффективного выполнения решения в рамках судебных органов и органов прокуратуры:  председателем Верховного суда Республики Сербской является хорват, а ее государственный прокурор представляет категорию "других", тогда как серб является главным прокурором в Федерации, а хорват - председателем ее Конституционного суда.  Государственно-образующие народы и члены других групп будут пропорционально представлены в кантональных и муниципальных судах Федерации, а также в судах первой инстанции и окружных судах Республики Сербской в соответствии с результатами переписи 1991 года.  В настоящее время эта мера находится на начальном этапе своего осуществления.  Ожидается, что прогресс будет достигнут по мере более массового возвращения населения в свои довоенные дома.  Срок действия их мандатов исчисляется со дня их назначения.  Район Брчко Боснии и Герцеговины, представляющий собой уникальную форму местного самоуправления, не принадлежит ни к одному из Образований и находится под прямым суверенитетом Государства Боснии и Герцеговины.  Он обеспечивает равенство в отношении прав и обязанностей граждан в том, что касается администрации, образования, правовой защиты и т.д.</w:t>
      </w:r>
    </w:p>
    <w:p w:rsidR="00000000" w:rsidRDefault="00000000"/>
    <w:p w:rsidR="00000000" w:rsidRDefault="00000000">
      <w:r>
        <w:t>47.</w:t>
      </w:r>
      <w:r>
        <w:tab/>
        <w:t>В следующем отчетном периоде будет необходимо претворить в жизнь вышеуказанное решение на уровне более низких органов власти, а это значит, что всем людям будут обеспечены равные условия в доступе к государственным или общественным службам на всех уровнях, с учетом принципов равенства народов и принципов профессионализма.</w:t>
      </w:r>
    </w:p>
    <w:p w:rsidR="00000000" w:rsidRDefault="00000000"/>
    <w:p w:rsidR="00000000" w:rsidRDefault="00000000">
      <w:r>
        <w:t>48.</w:t>
      </w:r>
      <w:r>
        <w:tab/>
        <w:t>Нам следует отметить закон о защите национальных прав меньшинств Боснии и Герцеговины.  Этот закон был принят в парламенте Боснии и Герцеговины 1 апреля 2003 года.  Он приведен в соответствие с Международной конвенций о ликвидации всех форм расовой дискриминации и Европейской рамочной конвенцией о защите национальных меньшинств.</w:t>
      </w:r>
    </w:p>
    <w:p w:rsidR="00000000" w:rsidRDefault="00000000"/>
    <w:p w:rsidR="00000000" w:rsidRDefault="00000000">
      <w:r>
        <w:t>49.</w:t>
      </w:r>
      <w:r>
        <w:tab/>
        <w:t>Соответствующие положения являются следующими:  в соответствии с частичным решением Конституционного суда Боснии и Герцеговины все компетентные органы обязаны упорядочивать свои законы, если они находятся в противоречии.  Согласно закону о защите прав меньшинств в Боснии и Герцеговине существует положение, касающееся обязанности Образований, кантонов, муниципалитетов и городов Боснии и Герцеговины более четко регулировать своими законами и другими положениями права и обязанности, предусматриваемые этим законом.</w:t>
      </w:r>
    </w:p>
    <w:p w:rsidR="00000000" w:rsidRDefault="00000000"/>
    <w:p w:rsidR="00000000" w:rsidRDefault="00000000">
      <w:r>
        <w:t>50.</w:t>
      </w:r>
      <w:r>
        <w:tab/>
        <w:t>13 июня 2002 года Совет министров принял решение о создании Совета рома в соответствии с методикой и критериями назначения, которые должны были быть приняты министерством по правам человека и делам беженцев.  Совет рома - это орган, состоящий из девяти представителей рома и девяти представителей, назначаемых министерствами государства/Образований.  Они отвечают за координацию действий и оказание помощи с целью более эффективного обеспечения прав рома, самой крупной группы национального меньшинства в Боснии и Герцеговине.  В Рамочном рабочем плане Совета рома на 2002</w:t>
      </w:r>
      <w:r>
        <w:noBreakHyphen/>
        <w:t>2006 годы предусматривается реализация некоторых задач по улучшению положения рома в Боснии и Герцеговине, включая базовое регистрирование, образование, здравоохранение, занятость и социальное обеспечение, дела беженцев и перемещенных лиц, возвращение собственности, вопросы жилья, создание и функционирование средств массовой информации и систему информации.</w:t>
      </w:r>
    </w:p>
    <w:p w:rsidR="00000000" w:rsidRDefault="00000000"/>
    <w:p w:rsidR="00000000" w:rsidRDefault="00000000">
      <w:r>
        <w:t>51.</w:t>
      </w:r>
      <w:r>
        <w:tab/>
        <w:t>Среди конвенций и договоров, которые в этом отношении подписала Босния и Герцеговина, можно назвать Международную конвенцию о ликвидации всех форм расовой дискриминации, принятую в порядке правопреемства 16 июля 1993 года и ратифицированную 24 февраля 2000 года.  Рамочная конвенция о защите национальных меньшинств вступила в силу 1 июня 2000 года.</w:t>
      </w:r>
    </w:p>
    <w:p w:rsidR="00000000" w:rsidRDefault="00000000"/>
    <w:p w:rsidR="00000000" w:rsidRDefault="00000000">
      <w:r>
        <w:t>52.</w:t>
      </w:r>
      <w:r>
        <w:tab/>
        <w:t>Наблюдение за осуществлением и толкованием законодательства, связанного с защитой национальных меньшинств, является сферой компетенции Парламентской ассамблеи Боснии и Герцеговины, которая также образовала Совет по делам национальных меньшинств.</w:t>
      </w:r>
    </w:p>
    <w:p w:rsidR="00000000" w:rsidRDefault="00000000"/>
    <w:p w:rsidR="00000000" w:rsidRDefault="00000000">
      <w:r>
        <w:t>53.</w:t>
      </w:r>
      <w:r>
        <w:tab/>
        <w:t>В избирательное законодательство Боснии и Герцеговины были внесены изменения и дополнения с целью обеспечения возможности участия представителей национальных меньшинств в работе законодательных органов на всех уровнях.  Конституции государства и Образований запрещают дискриминацию на основе религиозных убеждений.  Что касается применения и соблюдения международных конвенций, то в 2003 году был принят закон о свободе вероисповедания, включая положения о статусе церквей и религиозных общин в Боснии и Герцеговине, который должен быть приведен в соответствие с подписанными страной международными конвенциями.  В соответствии с Законом о министерствах и других административных органах Боснии и Герцеговины ответственность за сотрудничество с религиозными общинами возложена на министерство по правам человека и делам беженцев.  Главы четырех конфессий (исламской, католической, православной и иудейской) образовали Межрелигиозный совет Боснии и Герцеговины, являющийся одной из форм взаимного сотрудничества.</w:t>
      </w:r>
    </w:p>
    <w:p w:rsidR="00000000" w:rsidRDefault="00000000"/>
    <w:p w:rsidR="00000000" w:rsidRDefault="00000000">
      <w:r>
        <w:t>54.</w:t>
      </w:r>
      <w:r>
        <w:tab/>
        <w:t>Ни один из законов государственного уровня не регулирует вопросы, связанные с ликвидацией дискриминации в отношении инвалидов.  В ноябре 2003 года Совет министров принял решение о принятии стандартных норм обеспечения равных возможностей для инвалидов.  В соответствии с действующими конституционными положениями ответственность за регулирование прав инвалидов возложена на Образования.  Законами, регулирующими данную сферу, являются следующие:</w:t>
      </w:r>
    </w:p>
    <w:p w:rsidR="00000000" w:rsidRDefault="00000000"/>
    <w:p w:rsidR="00000000" w:rsidRDefault="00000000">
      <w:pPr>
        <w:numPr>
          <w:ilvl w:val="0"/>
          <w:numId w:val="31"/>
        </w:numPr>
      </w:pPr>
      <w:r>
        <w:t>в Федерации Боснии и Герцеговины:  Закон о социальной защите гражданских лиц, ставших жертвами войны, и защите семей, имеющих детей (</w:t>
      </w:r>
      <w:r>
        <w:rPr>
          <w:i/>
          <w:iCs/>
        </w:rPr>
        <w:t>Официальная газета Федерации Боснии и Герцеговины</w:t>
      </w:r>
      <w:r>
        <w:t>, 3/99; 15/96), Закон о пенсионном страховании и страховании на случай инвалидности (</w:t>
      </w:r>
      <w:r>
        <w:rPr>
          <w:i/>
          <w:iCs/>
        </w:rPr>
        <w:t>Официальная газета</w:t>
      </w:r>
      <w:r>
        <w:t>, 29/98) и Закон о защите лиц, страдающих от умственных расстройств (</w:t>
      </w:r>
      <w:r>
        <w:rPr>
          <w:i/>
          <w:iCs/>
        </w:rPr>
        <w:t>Официальная газета</w:t>
      </w:r>
      <w:r>
        <w:t xml:space="preserve">, 37/01;  40/02);  </w:t>
      </w:r>
    </w:p>
    <w:p w:rsidR="00000000" w:rsidRDefault="00000000">
      <w:pPr>
        <w:ind w:left="1134" w:hanging="1134"/>
      </w:pPr>
    </w:p>
    <w:p w:rsidR="00000000" w:rsidRDefault="00000000">
      <w:pPr>
        <w:numPr>
          <w:ilvl w:val="0"/>
          <w:numId w:val="31"/>
        </w:numPr>
      </w:pPr>
      <w:r>
        <w:t>в Республике Сербской:  Закон о социальном обеспечении (</w:t>
      </w:r>
      <w:r>
        <w:rPr>
          <w:i/>
          <w:iCs/>
        </w:rPr>
        <w:t>Официальная газета Республики Сербской, 5-93;  15-96</w:t>
      </w:r>
      <w:r>
        <w:t>) и Закон о пенсиях и страховании на случай инвалидности (</w:t>
      </w:r>
      <w:r>
        <w:rPr>
          <w:i/>
          <w:iCs/>
        </w:rPr>
        <w:t>Официальная газета</w:t>
      </w:r>
      <w:r>
        <w:t>, 32/00;  37/01);</w:t>
      </w:r>
    </w:p>
    <w:p w:rsidR="00000000" w:rsidRDefault="00000000">
      <w:pPr>
        <w:ind w:left="1134" w:hanging="1134"/>
      </w:pPr>
    </w:p>
    <w:p w:rsidR="00000000" w:rsidRDefault="00000000">
      <w:pPr>
        <w:numPr>
          <w:ilvl w:val="0"/>
          <w:numId w:val="31"/>
        </w:numPr>
      </w:pPr>
      <w:r>
        <w:t>в Районе Брчко (РБ):  Закон о социальной защите (</w:t>
      </w:r>
      <w:r>
        <w:rPr>
          <w:i/>
          <w:iCs/>
        </w:rPr>
        <w:t>Официальная газета Района Брчко</w:t>
      </w:r>
      <w:r>
        <w:t>, 1/03) и Закон об охране ребенка (</w:t>
      </w:r>
      <w:r>
        <w:rPr>
          <w:i/>
          <w:iCs/>
        </w:rPr>
        <w:t>Официальная газета</w:t>
      </w:r>
      <w:r>
        <w:t>, 1/03).</w:t>
      </w:r>
    </w:p>
    <w:p w:rsidR="00000000" w:rsidRDefault="00000000">
      <w:pPr>
        <w:ind w:left="1134" w:hanging="1134"/>
      </w:pPr>
    </w:p>
    <w:p w:rsidR="00000000" w:rsidRDefault="00000000">
      <w:r>
        <w:t>55.</w:t>
      </w:r>
      <w:r>
        <w:tab/>
        <w:t xml:space="preserve">Стандартные правила обеспечения равных возможностей для инвалидов стали для Боснии и Герцеговины точкой отсчета при разработке политики в отношении инвалидов, поскольку действующие законы не в полной мере соответствуют подписанным ею международным конвенциям.  Некоторые льготы предоставляются инвалидам в соответствии с законами Образований и Района Брчко в области охраны здоровья и их положениями, касающимися здравоохранения.  </w:t>
      </w:r>
    </w:p>
    <w:p w:rsidR="00000000" w:rsidRDefault="00000000"/>
    <w:p w:rsidR="00000000" w:rsidRDefault="00000000">
      <w:r>
        <w:t>56.</w:t>
      </w:r>
      <w:r>
        <w:tab/>
        <w:t>В Федерации Боснии и Герцеговины главным законодательным положением является решение об определении предварительных стандартов и норм охраны здоровья и обязательном медицинском страховании (</w:t>
      </w:r>
      <w:r>
        <w:rPr>
          <w:i/>
          <w:iCs/>
        </w:rPr>
        <w:t>Официальная газета Федерации Боснии и Герцеговины</w:t>
      </w:r>
      <w:r>
        <w:t>, 21/00).  Кантоны также несут ответственность за разработку законов и положений о предоставлении льгот инвалидам.  Кантоны компетентны финансировать и предоставлять инвалидам первичное медико-санитарное обслуживание.  Однако данный вопрос определяется по</w:t>
      </w:r>
      <w:r>
        <w:noBreakHyphen/>
        <w:t>разному.  Как правило, их защита не приведена в соответствие с нормами международных конвенций, подписанных Боснией и Герцеговиной.</w:t>
      </w:r>
    </w:p>
    <w:p w:rsidR="00000000" w:rsidRDefault="00000000"/>
    <w:p w:rsidR="00000000" w:rsidRDefault="00000000">
      <w:r>
        <w:t>57.</w:t>
      </w:r>
      <w:r>
        <w:tab/>
        <w:t>В Республике Сербской данный вопрос регулируется следующими несколькими положениями и постановлениями:</w:t>
      </w:r>
    </w:p>
    <w:p w:rsidR="00000000" w:rsidRDefault="00000000"/>
    <w:p w:rsidR="00000000" w:rsidRDefault="00000000">
      <w:pPr>
        <w:numPr>
          <w:ilvl w:val="0"/>
          <w:numId w:val="33"/>
        </w:numPr>
      </w:pPr>
      <w:r>
        <w:t>решение о комплексе мер минимального первичного медико-санитарного обслуживания (</w:t>
      </w:r>
      <w:r>
        <w:rPr>
          <w:i/>
          <w:iCs/>
        </w:rPr>
        <w:t>Официальная газета Республики Сербской</w:t>
      </w:r>
      <w:r>
        <w:t>, 21/01);  решение о личном участии застрахованных лиц в покрытии части медицинских расходов (</w:t>
      </w:r>
      <w:r>
        <w:rPr>
          <w:i/>
          <w:iCs/>
        </w:rPr>
        <w:t>Официальная газета</w:t>
      </w:r>
      <w:r>
        <w:t>, 11/02);  постановление об освобождении от участия в покрытии части расходов;  положение об объеме, содержании и порядке охраны здоровья (</w:t>
      </w:r>
      <w:r>
        <w:rPr>
          <w:i/>
          <w:iCs/>
        </w:rPr>
        <w:t>Официальная газета</w:t>
      </w:r>
      <w:r>
        <w:t xml:space="preserve">, 21/01;  11/02).  В Районе Брчко такие законы были приняты лишь недавно, а соответствующие подзаконные акты пока еще не приняты;  </w:t>
      </w:r>
    </w:p>
    <w:p w:rsidR="00000000" w:rsidRDefault="00000000">
      <w:pPr>
        <w:ind w:left="1134" w:hanging="1134"/>
      </w:pPr>
    </w:p>
    <w:p w:rsidR="00000000" w:rsidRDefault="00000000">
      <w:pPr>
        <w:numPr>
          <w:ilvl w:val="0"/>
          <w:numId w:val="33"/>
        </w:numPr>
      </w:pPr>
      <w:r>
        <w:t xml:space="preserve">организационные основы:  Закон о министерствах и других административных органах Боснии и Герцеговины обязывает министерство по правам человека и делам беженцев нести ответственность за осуществляемую на государственном уровне деятельность, связанную с основополагающими принципами координации мероприятий, согласованием планов органов власти Образований и определением стратегии в области здравоохранения и социальной защиты на международном уровне.  </w:t>
      </w:r>
    </w:p>
    <w:p w:rsidR="00000000" w:rsidRDefault="00000000">
      <w:pPr>
        <w:ind w:left="1134" w:hanging="1134"/>
      </w:pPr>
    </w:p>
    <w:p w:rsidR="00000000" w:rsidRDefault="00000000">
      <w:r>
        <w:t>58.</w:t>
      </w:r>
      <w:r>
        <w:tab/>
        <w:t>В Федерации Боснии и Герцеговины этими вопросами занимаются министерство труда и социальной политики и министерство защиты ветеранов войны, наряду с аналогичными министерствами на уровне кантонов.  В Республике Сербской компетентными органами являются министерство труда и защиты ветеранов войны и министерство здравоохранения и социальной защиты.</w:t>
      </w:r>
    </w:p>
    <w:p w:rsidR="00000000" w:rsidRDefault="00000000"/>
    <w:p w:rsidR="00000000" w:rsidRDefault="00000000">
      <w:r>
        <w:t>59.</w:t>
      </w:r>
      <w:r>
        <w:tab/>
        <w:t xml:space="preserve">В Районе Брчко при правительстве Брчко был создан департамент по вопросам здравоохранения, общественной безопасности и прочим службам, отвечающий, в частности, за защиту детей, социальное обеспечение и защиту инвалидов.  Босния и Герцеговина приступила к процессу приведения пешеходных переходов в соответствие с нормами и обозначения подходов к общественным зданиям для инвалидов.  </w:t>
      </w:r>
    </w:p>
    <w:p w:rsidR="00000000" w:rsidRDefault="00000000"/>
    <w:p w:rsidR="00000000" w:rsidRDefault="00000000">
      <w:r>
        <w:t>60.</w:t>
      </w:r>
      <w:r>
        <w:tab/>
        <w:t>В Боснии и Герцеговине нет специального государственного закона о ликвидации дискриминации по возрастному признаку, т.е. регулирующего защиту стариков и детей.  Эти вопросы регулируются законами Образований о социальной защите.  Полномочиями по обеспечению социальной защиты обладают Образования, и они применяют следующие законы:</w:t>
      </w:r>
    </w:p>
    <w:p w:rsidR="00000000" w:rsidRDefault="00000000"/>
    <w:p w:rsidR="00000000" w:rsidRDefault="00000000">
      <w:pPr>
        <w:numPr>
          <w:ilvl w:val="0"/>
          <w:numId w:val="35"/>
        </w:numPr>
      </w:pPr>
      <w:r>
        <w:t>Федерация Боснии и Герцеговины:  Закон о социальной защите, защите гражданских лиц, ставших жертвами войны, и защите семей, имеющих детей (</w:t>
      </w:r>
      <w:r>
        <w:rPr>
          <w:i/>
          <w:iCs/>
        </w:rPr>
        <w:t>Официальная газета Федерации Боснии и Герцеговины</w:t>
      </w:r>
      <w:r>
        <w:t>, 36/96), и</w:t>
      </w:r>
      <w:r>
        <w:rPr>
          <w:i/>
          <w:iCs/>
        </w:rPr>
        <w:t xml:space="preserve"> </w:t>
      </w:r>
      <w:r>
        <w:t>Закон о семье (</w:t>
      </w:r>
      <w:r>
        <w:rPr>
          <w:i/>
          <w:iCs/>
        </w:rPr>
        <w:t>Официальная газета</w:t>
      </w:r>
      <w:r>
        <w:t>, 21/79 и 44/89), которые также применяются в Республике Сербской.  В Федерации Боснии и Герцеговине кантоны также принимают законы, регулирующие данный вопрос;</w:t>
      </w:r>
    </w:p>
    <w:p w:rsidR="00000000" w:rsidRDefault="00000000">
      <w:pPr>
        <w:ind w:left="1134" w:hanging="1134"/>
      </w:pPr>
    </w:p>
    <w:p w:rsidR="00000000" w:rsidRDefault="00000000">
      <w:pPr>
        <w:numPr>
          <w:ilvl w:val="0"/>
          <w:numId w:val="35"/>
        </w:numPr>
      </w:pPr>
      <w:r>
        <w:t>Республика Сербская:  Закон о социальной защите (</w:t>
      </w:r>
      <w:r>
        <w:rPr>
          <w:i/>
          <w:iCs/>
        </w:rPr>
        <w:t>Официальная газета Республики Сербской</w:t>
      </w:r>
      <w:r>
        <w:t>, 5/93;  15/96);  Закон об охране ребенка (</w:t>
      </w:r>
      <w:r>
        <w:rPr>
          <w:i/>
          <w:iCs/>
        </w:rPr>
        <w:t>Официальная газета,</w:t>
      </w:r>
      <w:r>
        <w:t xml:space="preserve"> 15/96;  10/98;  26/01);  решение "Об учреждении Общественного фонда охраны ребенка" (</w:t>
      </w:r>
      <w:r>
        <w:rPr>
          <w:i/>
          <w:iCs/>
        </w:rPr>
        <w:t>Официальная газета</w:t>
      </w:r>
      <w:r>
        <w:t>, 27/96);</w:t>
      </w:r>
    </w:p>
    <w:p w:rsidR="00000000" w:rsidRDefault="00000000">
      <w:pPr>
        <w:ind w:left="1134" w:hanging="1134"/>
      </w:pPr>
    </w:p>
    <w:p w:rsidR="00000000" w:rsidRDefault="00000000">
      <w:pPr>
        <w:numPr>
          <w:ilvl w:val="0"/>
          <w:numId w:val="35"/>
        </w:numPr>
      </w:pPr>
      <w:r>
        <w:t>Район Брчко:  Закон об охране ребенка (</w:t>
      </w:r>
      <w:r>
        <w:rPr>
          <w:i/>
          <w:iCs/>
        </w:rPr>
        <w:t>Официальная газета Района Брчко</w:t>
      </w:r>
      <w:r>
        <w:t>, 1/03).  Была также выдвинута инициатива о создании детского фонда.</w:t>
      </w:r>
    </w:p>
    <w:p w:rsidR="00000000" w:rsidRDefault="00000000">
      <w:pPr>
        <w:ind w:left="1134" w:hanging="1134"/>
      </w:pPr>
    </w:p>
    <w:p w:rsidR="00000000" w:rsidRDefault="00000000">
      <w:r>
        <w:t>61.</w:t>
      </w:r>
      <w:r>
        <w:tab/>
        <w:t>Что касается применения международных конвенций и согласования с ними, то действующие законы в общем и целом приведены в соответствие с этими конвенциями.  В числе конвенций и договоров, подписанных Боснией и Герцеговиной в рамках процесса правопреемства от бывшей Югославии, можно назвать Конвенцию о правах ребенка (1 сентября 2003 года), которая была ею ратифицирована, Факультативный протокол об участии детей в вооруженном конфликте, подписанный 7 сентября 2000 года, и Факультативный протокол о торговле детьми, детской проституции и детской порнографии, подписанный 4 апреля 2002 года.  Кроме того, в рамках процесса правопреемства Босния и Герцеговина присоединилась 3 марта 1992 года к Международному пакту об экономических, социальных и культурных правах, а 4 апреля 2002 года подписала Европейскую конвенцию о защите прав человека и основных свобод, которую ратифицировала 12 июля 2002 года.</w:t>
      </w:r>
    </w:p>
    <w:p w:rsidR="00000000" w:rsidRDefault="00000000"/>
    <w:p w:rsidR="00000000" w:rsidRDefault="00000000">
      <w:r>
        <w:t>62.</w:t>
      </w:r>
      <w:r>
        <w:tab/>
        <w:t xml:space="preserve">Что касается организационных основ, то Совет министров Боснии и Герцеговины принял решение о создании Детского совета Боснии и Герцеговины (которое вступило в силу в декабре 2002 года).  На Детский совет возложена ответственность по наблюдению за осуществлением его плана действий в интересах детей и по представлению Совету министров Боснии и Герцеговины, по мере необходимости, но не менее одного раза в год, докладов об осуществлении этого плана.  Кроме того, он координирует деятельность компетентных министерств и НПО Образований, предлагает меры, содействующие осуществлению указанного плана, или поправки к нему, готовит оперативные планы на каждый год и решает другие соответствующие вопросы.  </w:t>
      </w:r>
    </w:p>
    <w:p w:rsidR="00000000" w:rsidRDefault="00000000"/>
    <w:p w:rsidR="00000000" w:rsidRDefault="00000000">
      <w:r>
        <w:t>63.</w:t>
      </w:r>
      <w:r>
        <w:tab/>
        <w:t>В Федерации Боснии и Герцеговины компетентным органом является министерство труда и социальной политики, а также кантональные министерства, выполняющие аналогичные функции.  Готовится создание фонда защиты детей.</w:t>
      </w:r>
    </w:p>
    <w:p w:rsidR="00000000" w:rsidRDefault="00000000"/>
    <w:p w:rsidR="00000000" w:rsidRDefault="00000000">
      <w:r>
        <w:t>64.</w:t>
      </w:r>
      <w:r>
        <w:tab/>
        <w:t xml:space="preserve">В Республике Сербской компетентным органом является министерство здравоохранения и социального обеспечения.  Средства на эти цели предоставляются Общественным фондом охраны ребенка.  В Районе Брчко в государственном органе, занимающемся здравоохранением, общественной безопасностью и другими службами, был создан департамент, отвечающий, в частности, за защиту детей и социальное обеспечение.  </w:t>
      </w:r>
    </w:p>
    <w:p w:rsidR="00000000" w:rsidRDefault="00000000"/>
    <w:p w:rsidR="00000000" w:rsidRDefault="00000000">
      <w:r>
        <w:t>65.</w:t>
      </w:r>
      <w:r>
        <w:tab/>
        <w:t xml:space="preserve">В старом Уголовном кодексе гомосексуализм определяется как уголовное преступление, тогда как из нового Уголовного кодекса такое положение изъято.  </w:t>
      </w:r>
    </w:p>
    <w:p w:rsidR="00000000" w:rsidRDefault="00000000"/>
    <w:p w:rsidR="00000000" w:rsidRDefault="00000000">
      <w:r>
        <w:t>66.</w:t>
      </w:r>
      <w:r>
        <w:tab/>
        <w:t>Право на развитие гарантируется Конституцией Боснии и Герцеговины и другими законами.  Медленное оживление отечественного производства в экономике, пострадавшей от войны, оказывает отрицательное воздействие на развитие Боснии и Герцеговины.  Согласно некоторым экономическим прогнозам коэффициент роста ВВП в следующие пять лет должен достигнуть шести процентов.  Такой коэффициент роста поможет Боснии и Герцеговине вернуть свой ВВП на довоенный уровень, что может открыть дверь для интеграции в ЕС.  Чтобы превратить такой сценарий в реальность, следует ускорить реформы и развитие при поддержке международных инвесторов, для которых необходимо создать благоприятный инвестиционный климат.</w:t>
      </w:r>
    </w:p>
    <w:p w:rsidR="00000000" w:rsidRDefault="00000000"/>
    <w:p w:rsidR="00000000" w:rsidRDefault="00000000">
      <w:r>
        <w:t>67.</w:t>
      </w:r>
      <w:r>
        <w:tab/>
        <w:t>С целью предоставления равных прав как своим гражданам, так и лицам, не являющимся ее гражданами, Босния и Герцеговина недавно активизировала свои усилия по заключению соглашений, направленных на признание определенных экономических прав - главным образом в области социальной защиты.</w:t>
      </w:r>
    </w:p>
    <w:p w:rsidR="00000000" w:rsidRDefault="00000000"/>
    <w:p w:rsidR="00000000" w:rsidRDefault="00000000">
      <w:r>
        <w:t>68.</w:t>
      </w:r>
      <w:r>
        <w:tab/>
        <w:t xml:space="preserve">1 марта 1992 года Босния и Герцеговина заключила следующие соглашения о социальном обеспечении:  </w:t>
      </w:r>
    </w:p>
    <w:p w:rsidR="00000000" w:rsidRDefault="00000000"/>
    <w:p w:rsidR="00000000" w:rsidRDefault="00000000">
      <w:pPr>
        <w:numPr>
          <w:ilvl w:val="0"/>
          <w:numId w:val="37"/>
        </w:numPr>
      </w:pPr>
      <w:r>
        <w:t>соглашение о социальном обеспечении между Боснией и Герцеговиной и Австрийской Республикой, а также протокол об осуществлении соглашения (</w:t>
      </w:r>
      <w:r>
        <w:rPr>
          <w:i/>
          <w:iCs/>
        </w:rPr>
        <w:t>Официальная газета Боснии и Герцеговины</w:t>
      </w:r>
      <w:r>
        <w:t>, "Международное соглашение", 2/01);</w:t>
      </w:r>
    </w:p>
    <w:p w:rsidR="00000000" w:rsidRDefault="00000000">
      <w:pPr>
        <w:ind w:left="1134" w:hanging="1134"/>
      </w:pPr>
    </w:p>
    <w:p w:rsidR="00000000" w:rsidRDefault="00000000">
      <w:pPr>
        <w:numPr>
          <w:ilvl w:val="0"/>
          <w:numId w:val="37"/>
        </w:numPr>
      </w:pPr>
      <w:r>
        <w:t>соглашение о социальном обеспечении между Боснией и Герцеговиной и Хорватской Республикой, а также протокол об осуществлении соглашения (</w:t>
      </w:r>
      <w:r>
        <w:rPr>
          <w:i/>
          <w:iCs/>
        </w:rPr>
        <w:t>Официальная газета</w:t>
      </w:r>
      <w:r>
        <w:t>, "Международное соглашение", 6/01);</w:t>
      </w:r>
    </w:p>
    <w:p w:rsidR="00000000" w:rsidRDefault="00000000">
      <w:pPr>
        <w:ind w:left="1134" w:hanging="1134"/>
      </w:pPr>
    </w:p>
    <w:p w:rsidR="00000000" w:rsidRDefault="00000000">
      <w:pPr>
        <w:numPr>
          <w:ilvl w:val="0"/>
          <w:numId w:val="37"/>
        </w:numPr>
      </w:pPr>
      <w:r>
        <w:t>соглашение между Боснией и Герцеговиной и Федеративной Республикой Югославией о социальном обеспечении - до ратификации;</w:t>
      </w:r>
    </w:p>
    <w:p w:rsidR="00000000" w:rsidRDefault="00000000">
      <w:pPr>
        <w:ind w:left="1134" w:hanging="1134"/>
      </w:pPr>
    </w:p>
    <w:p w:rsidR="00000000" w:rsidRDefault="00000000"/>
    <w:p w:rsidR="00000000" w:rsidRDefault="00000000">
      <w:pPr>
        <w:numPr>
          <w:ilvl w:val="0"/>
          <w:numId w:val="37"/>
        </w:numPr>
      </w:pPr>
      <w:r>
        <w:t>соглашение между Боснией и Герцеговиной и Турцией, а также протокол об осуществлении соглашения - пока не ратифицированы;</w:t>
      </w:r>
    </w:p>
    <w:p w:rsidR="00000000" w:rsidRDefault="00000000">
      <w:pPr>
        <w:ind w:left="1134" w:hanging="1134"/>
      </w:pPr>
    </w:p>
    <w:p w:rsidR="00000000" w:rsidRDefault="00000000">
      <w:pPr>
        <w:numPr>
          <w:ilvl w:val="0"/>
          <w:numId w:val="37"/>
        </w:numPr>
      </w:pPr>
      <w:r>
        <w:t>соглашения о социальном обеспечении с бывшей югославской Республикой Македонией, Словенией и Швейцарией находятся на этапе согласования.</w:t>
      </w:r>
    </w:p>
    <w:p w:rsidR="00000000" w:rsidRDefault="00000000">
      <w:pPr>
        <w:ind w:left="1134" w:hanging="1134"/>
      </w:pPr>
    </w:p>
    <w:p w:rsidR="00000000" w:rsidRDefault="00000000">
      <w:r>
        <w:t>69.</w:t>
      </w:r>
      <w:r>
        <w:tab/>
        <w:t>1 марта 1992 года Босния и Герцеговина заключила соглашение о занятости с правительством Германии о трудоустройстве работников с предприятий Боснии и Герцеговины в основных учреждениях Республики, направленное на выполнение трудовых договоров (О</w:t>
      </w:r>
      <w:r>
        <w:rPr>
          <w:i/>
          <w:iCs/>
        </w:rPr>
        <w:t>фициальная газета</w:t>
      </w:r>
      <w:r>
        <w:t>, 16/95).</w:t>
      </w:r>
    </w:p>
    <w:p w:rsidR="00000000" w:rsidRDefault="00000000">
      <w:pPr>
        <w:jc w:val="both"/>
      </w:pPr>
    </w:p>
    <w:p w:rsidR="00000000" w:rsidRDefault="00000000">
      <w:pPr>
        <w:jc w:val="center"/>
        <w:rPr>
          <w:b/>
          <w:bCs/>
        </w:rPr>
      </w:pPr>
      <w:r>
        <w:rPr>
          <w:b/>
          <w:bCs/>
        </w:rPr>
        <w:t>Статья 3</w:t>
      </w:r>
    </w:p>
    <w:p w:rsidR="00000000" w:rsidRDefault="00000000">
      <w:pPr>
        <w:jc w:val="center"/>
        <w:rPr>
          <w:b/>
          <w:bCs/>
        </w:rPr>
      </w:pPr>
    </w:p>
    <w:p w:rsidR="00000000" w:rsidRDefault="00000000">
      <w:pPr>
        <w:jc w:val="both"/>
        <w:rPr>
          <w:b/>
          <w:bCs/>
        </w:rPr>
      </w:pPr>
      <w:r>
        <w:rPr>
          <w:b/>
          <w:bCs/>
        </w:rPr>
        <w:t>Положение женщин в Боснии и Герцеговине</w:t>
      </w:r>
    </w:p>
    <w:p w:rsidR="00000000" w:rsidRDefault="00000000">
      <w:pPr>
        <w:jc w:val="both"/>
        <w:rPr>
          <w:b/>
          <w:bCs/>
        </w:rPr>
      </w:pPr>
    </w:p>
    <w:p w:rsidR="00000000" w:rsidRDefault="00000000">
      <w:r>
        <w:t>70.</w:t>
      </w:r>
      <w:r>
        <w:tab/>
        <w:t>В статье 3 предусматривается обеспечение равных прав для мужчин и женщин, особенно в том, что касается права пользования всеми экономическими, социальными и культурными правами.  В соответствии с действующими законами о работе и трудоустройстве, в генеральных коллективных договорах, а также секторальных коллективных договорах мужчины и женщины имеют равные возможности трудоустройства и профессиональной подготовки, им обеспечиваются равные условия работы и охраны труда, равная оплата за труд равной ценности и все другие права, которые необязательно установлены для женщин (например, защита материнства, отпуск по беременности и родами т.д.).</w:t>
      </w:r>
    </w:p>
    <w:p w:rsidR="00000000" w:rsidRDefault="00000000"/>
    <w:p w:rsidR="00000000" w:rsidRDefault="00000000">
      <w:r>
        <w:t>71.</w:t>
      </w:r>
      <w:r>
        <w:tab/>
        <w:t xml:space="preserve">Вопрос об общем равенстве определяется на государственном уровне Боснии и Герцеговины законом о гендерном равенстве.  Этот закон поощряет и защищает гендерное равенство и гарантирует равные возможности всем гражданам как в частном, так и государственном секторах, а также предупреждает прямую и косвенную дискриминацию по гендерному признаку.  Полное гендерное равенство гарантировано во всех сферах общества, особенно в образовании, экономике, занятости и трудовых отношениях, социальном обеспечении и здравоохранении, спорте, культуре, общественной жизни и средствах массовой информации, независимо от семейного положения или семейной жизни.  Этот закон, который приведен в соответствие с нормами ЕС, был принят Парламентской ассамблеей Боснии и Герцеговины и опубликован 15 июня 2003 года в </w:t>
      </w:r>
      <w:r>
        <w:rPr>
          <w:i/>
          <w:iCs/>
        </w:rPr>
        <w:t>Официальной газете</w:t>
      </w:r>
      <w:r>
        <w:t>, № 12/03.</w:t>
      </w:r>
    </w:p>
    <w:p w:rsidR="00000000" w:rsidRDefault="00000000"/>
    <w:p w:rsidR="00000000" w:rsidRDefault="00000000">
      <w:r>
        <w:t>72.</w:t>
      </w:r>
      <w:r>
        <w:tab/>
        <w:t>В Боснии и Герцеговине мужчины составляют 49,6%, а женщины - 50,4% от общего населения.  Средняя продолжительность жизни составляет 73,3 года:  75 - в случае женщин и 71 - в случае мужчин.  25,8% женщин проживает в городах, 31,13% - в пригородах и 43% - в сельской местности, а что касается мужчин, то 25,28% проживает в городах, 32,2% - в пригородах и 42,71% - в сельской местности.  Эти процентные показатели весьма аналогичны, но большинство различий прослеживается в возрастных категориях - с рождения до 24 лет и с 34 до 44 лет.</w:t>
      </w:r>
    </w:p>
    <w:p w:rsidR="00000000" w:rsidRDefault="00000000"/>
    <w:p w:rsidR="00000000" w:rsidRDefault="00000000">
      <w:r>
        <w:rPr>
          <w:b/>
          <w:bCs/>
        </w:rPr>
        <w:t>а)</w:t>
      </w:r>
      <w:r>
        <w:rPr>
          <w:b/>
          <w:bCs/>
        </w:rPr>
        <w:tab/>
        <w:t>Факторы гендерного равенства</w:t>
      </w:r>
    </w:p>
    <w:p w:rsidR="00000000" w:rsidRDefault="00000000"/>
    <w:p w:rsidR="00000000" w:rsidRDefault="00000000">
      <w:r>
        <w:t>73.</w:t>
      </w:r>
      <w:r>
        <w:tab/>
        <w:t xml:space="preserve">Бедными в равной мере являются мужчины и женщины, но, несмотря на это, есть несколько примеров гендерного неравенства, которые усугубляют различия между мужчинами и женщинами по относительному уровню бедности в Боснии и Герцеговине.  </w:t>
      </w:r>
    </w:p>
    <w:p w:rsidR="00000000" w:rsidRDefault="00000000"/>
    <w:p w:rsidR="00000000" w:rsidRDefault="00000000">
      <w:r>
        <w:t>74.</w:t>
      </w:r>
      <w:r>
        <w:tab/>
        <w:t>Первым фактором является разница в подходе к ресурсам и рынку, поскольку мужчины традиционно являются владельцами частной собственности, даже если женщины имеют те же юридические права при наследовании и разделе имущества (даже передача прав между супругами осуществляется бесплатно).  Каждый мужчина считает себя главой семьи (48,39%), тогда как женщины выполняют эту роль в 14,8% случаев.  Мужчины считают своих супруг главами своих семейств лишь в 0,53% случаев, тогда как 40,75% женщин видят в этой роли своих партнеров.</w:t>
      </w:r>
    </w:p>
    <w:p w:rsidR="00000000" w:rsidRDefault="00000000"/>
    <w:p w:rsidR="00000000" w:rsidRDefault="00000000">
      <w:r>
        <w:t>75.</w:t>
      </w:r>
      <w:r>
        <w:tab/>
        <w:t xml:space="preserve">Одним из главных препятствий является правовая неграмотность и незнание основ защиты прав человека женщин, особенно в сельских районах.  Не имея какой-либо собственности, женщины автоматически лишаются возможности доступа к займам, для одобрения которых необходимо наличие недвижимости в качестве обеспечения займа.  </w:t>
      </w:r>
    </w:p>
    <w:p w:rsidR="00000000" w:rsidRDefault="00000000"/>
    <w:p w:rsidR="00000000" w:rsidRDefault="00000000">
      <w:r>
        <w:t>76.</w:t>
      </w:r>
      <w:r>
        <w:tab/>
        <w:t xml:space="preserve">Вторым фактором является отсутствие доступа к информации о ресурсах и специальной подготовке.  Женщины, особенно в сельских районах, больше привязаны к дому и ведению домашнего хозяйства и тем самым оставляют возможность участия в общественной и политической жизни за мужчинами.  Их доступ к информации о займах и изменении рыночной конъюнктуры ограничен нехваткой сетей неформальной поддержки.  Опять же этот элемент весьма характерен для женщин сельских районов.  Специальная подготовка, которая предлагается женщинам, очень часто бывает неадекватной (машинопись вместо компьютерных курсов) или же они проходят подготовку для таких видов работ, на которые на рынке нет большого спроса.  Третьим фактором является возраст, поскольку бедных пожилых женщин больше, чем бедных пожилых мужчин.  </w:t>
      </w:r>
    </w:p>
    <w:p w:rsidR="00000000" w:rsidRDefault="00000000"/>
    <w:p w:rsidR="00000000" w:rsidRDefault="00000000">
      <w:r>
        <w:t>77.</w:t>
      </w:r>
      <w:r>
        <w:tab/>
        <w:t xml:space="preserve">Также важное значение имеют возможности занятости, которых с возрастом у женщин становится все меньше, чем у мужчин.  Из общего числа занятых в Боснии и Герцеговине женщины составляют 37%, а в Федерации - 34%, причем диспропорция растет по мере достижения женщинами 49-летнего возраста, когда показатель их занятости опускается до 33%.  Среди лиц старше 55 лет показатель занятости женщин составляет 28%, а коэффициент занятости женщин старше 60 лет равен 25%, тогда как </w:t>
      </w:r>
      <w:r>
        <w:rPr>
          <w:spacing w:val="-2"/>
        </w:rPr>
        <w:t>женщины старше 65 лет составляют лишь 20% занятых.  Тот факт, что продолжительность</w:t>
      </w:r>
      <w:r>
        <w:t xml:space="preserve"> жизни у женщин больше, чем у мужчин, создает больший риск того, что у женщин больше шансов стать бедными, чем у мужчин.  Женщины составляют 58% населения в возрасте старше 65 лет, они часто живут одни и, проживая в сельских районах без пенсии или каких-либо других пособий, они наиболее подвержены угрозе оказаться за чертой бедности.</w:t>
      </w:r>
    </w:p>
    <w:p w:rsidR="00000000" w:rsidRDefault="00000000"/>
    <w:p w:rsidR="00000000" w:rsidRDefault="00000000">
      <w:pPr>
        <w:rPr>
          <w:b/>
          <w:bCs/>
        </w:rPr>
      </w:pPr>
      <w:r>
        <w:rPr>
          <w:b/>
          <w:bCs/>
        </w:rPr>
        <w:t>b)</w:t>
      </w:r>
      <w:r>
        <w:rPr>
          <w:b/>
          <w:bCs/>
        </w:rPr>
        <w:tab/>
        <w:t>Женщины и образование</w:t>
      </w:r>
    </w:p>
    <w:p w:rsidR="00000000" w:rsidRDefault="00000000">
      <w:pPr>
        <w:rPr>
          <w:b/>
          <w:bCs/>
        </w:rPr>
      </w:pPr>
    </w:p>
    <w:p w:rsidR="00000000" w:rsidRDefault="00000000">
      <w:r>
        <w:t>78.</w:t>
      </w:r>
      <w:r>
        <w:tab/>
        <w:t>Гендерные различия в подходах к образованию не отражены в показателях норм приема в учебные заведения, численности учеников и учениц, обучающихся по учебным программам или заканчивающих школы.  Однако существует множество конкретных показателей неравенства в небольших общинах.  За счет смешения они растворяются в численном большинстве положительных примеров равного доступа к образованию мужчин и женщин.  Кроме того, данные свидетельствуют о том, что структура образования женщин старше 15 лет в Республике Сербской является ужасающей:  каждая четвертая женщина является неграмотной (23,1%), а 23,5% - не закончили начальных школ.  Лишь небольшое число закончили обучение в средних и старших классах средней школы (соответственно, 2,7% и 2,2%).</w:t>
      </w:r>
    </w:p>
    <w:p w:rsidR="00000000" w:rsidRDefault="00000000"/>
    <w:p w:rsidR="00000000" w:rsidRDefault="00000000">
      <w:r>
        <w:t>79.</w:t>
      </w:r>
      <w:r>
        <w:tab/>
        <w:t xml:space="preserve">Показатели набора и выпуска не указывают на наличие существенных различий между полами в Боснии и Герцеговине.  В начальной школе нормы приема составляют 98% среди мальчиков и 96% среди девочек, в системе среднего образования - 56,3% среди мальчиков и 57,5% среди девочек, а в системе высшего образования - 18,4% среди мужчин и 21,3% среди женщин.  Разница в показателях приема в высшие учебные заведения, возможно, объясняется тем, что сразу после окончания средней школы юноши уходят на воинскую службу.  </w:t>
      </w:r>
    </w:p>
    <w:p w:rsidR="00000000" w:rsidRDefault="00000000"/>
    <w:p w:rsidR="00000000" w:rsidRDefault="00000000">
      <w:r>
        <w:t>80.</w:t>
      </w:r>
      <w:r>
        <w:tab/>
        <w:t>Почти 99% детей успешно переходят в пятый класс начальной школы, и здесь не наблюдается каких-либо различий между мальчиками и девочками или сельской местностью и городами.  После четвертого класса число детей, продолжающих образование, несколько сокращается, особенно в сельских районах.  Это особенно касается учащихся девочек в сельских районах.</w:t>
      </w:r>
    </w:p>
    <w:p w:rsidR="00000000" w:rsidRDefault="00000000"/>
    <w:p w:rsidR="00000000" w:rsidRDefault="00000000">
      <w:r>
        <w:t>81.</w:t>
      </w:r>
      <w:r>
        <w:tab/>
        <w:t xml:space="preserve">В системе школьного образования Боснии и Герцеговины средняя школа не является обязательной.  В довоенный период 80-90% учеников, которые заканчивали начальные школы, продолжали свое образование в средних школах.  Однако после войны обучение в средних школах продолжает лишь 56% учеников.  Столь низкие уровни указывают на то, какое воздействие оказала война на военные поколения и перемещенных лиц.  </w:t>
      </w:r>
    </w:p>
    <w:p w:rsidR="00000000" w:rsidRDefault="00000000"/>
    <w:p w:rsidR="00000000" w:rsidRDefault="00000000">
      <w:r>
        <w:t>82.</w:t>
      </w:r>
      <w:r>
        <w:tab/>
        <w:t>Закон о гендерном равенстве Боснии и Герцеговины предусматривает создание в министерстве по правам человека и делам беженцев агентства по гендерному равенству.  Учреждениями, на которые возложена обязанность следить за соблюдением закона и его претворением в жизнь в Федерации Боснии и Герцеговины и Республике Сербской являются "гендерные центры", а также парламентские комиссии по гендерному равенству, созданные на уровне государства, Образований и кантонов.</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r>
        <w:rPr>
          <w:b/>
          <w:bCs/>
        </w:rPr>
        <w:t>Ограничения прав и свобод, устанавливаемых Пактом</w:t>
      </w:r>
    </w:p>
    <w:p w:rsidR="00000000" w:rsidRDefault="00000000"/>
    <w:p w:rsidR="00000000" w:rsidRDefault="00000000">
      <w:r>
        <w:t>83.</w:t>
      </w:r>
      <w:r>
        <w:tab/>
        <w:t>Государство-участник может устанавливать ограничения таких прав только на основе закона и в соответствии с законом, а также исключительно с целью обеспечения общего благополучия в демократическом обществе.  Стремясь к улучшению общего благополучия и экономическому росту путем защиты частной собственности и развития рыночной экономики, государства-участники регулируют вышеуказанные вопросы только посредством законов, основанных на Всеобщей декларации прав человека, Международном пакте о гражданских и политических правах, Международном пакте об экономических, социальных и культурных правах, Декларации прав лиц, принадлежащих к национальным или этническим, религиозным и языковым меньшинствам, и т.д.</w:t>
      </w:r>
    </w:p>
    <w:p w:rsidR="00000000" w:rsidRDefault="00000000"/>
    <w:p w:rsidR="00000000" w:rsidRDefault="00000000">
      <w:r>
        <w:t>84.</w:t>
      </w:r>
      <w:r>
        <w:tab/>
        <w:t>Конституция Боснии и Герцеговины гарантирует обеспечение прав человека и основных свобод.  Босния и Герцеговина и два ее Образования обеспечивают наивысший уровень международно признанных прав человека и основных свобод, в соответствии с действующими нормами Комиссии по правам человека Боснии и Герцеговины.  В Боснии и Герцеговине непосредственно применяются положения, связанные с правами и свободами, определенными в Европейской конвенции о защите прав человека и основных свобод, а также ее Протоколах.  Эти положения превалируют над всеми другими законами.</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pPr>
        <w:rPr>
          <w:b/>
          <w:bCs/>
        </w:rPr>
      </w:pPr>
      <w:r>
        <w:rPr>
          <w:b/>
          <w:bCs/>
        </w:rPr>
        <w:t>Запрещение ограничения основных прав человека и свобод, которые в Пакте не признаются или признаются в меньшем объеме</w:t>
      </w:r>
    </w:p>
    <w:p w:rsidR="00000000" w:rsidRDefault="00000000">
      <w:pPr>
        <w:rPr>
          <w:b/>
          <w:bCs/>
        </w:rPr>
      </w:pPr>
    </w:p>
    <w:p w:rsidR="00000000" w:rsidRDefault="00000000">
      <w:r>
        <w:t>85.</w:t>
      </w:r>
      <w:r>
        <w:tab/>
        <w:t>Подписывая международные конвенции о защите прав человека и основных свобод и протоколов к ним, Босния и Герцеговина обязалась, действуя в соответствии с ее собственной Конституцией и Конституциями Образований, привести свое законодательство в соответствие с Международным пактом об экономических, социальных и культурных правах.  С этой целью были созданы учреждения, содействующие защите прав человека и основных свобод.  Главным образом, ими являются Палата по правам человека и Управление омбудсмена по правам человека Боснии и Герцеговины, а также существующие в Образованиях отделения Управления омбудсмена по правам человека.</w:t>
      </w:r>
    </w:p>
    <w:p w:rsidR="00000000" w:rsidRDefault="00000000"/>
    <w:p w:rsidR="00000000" w:rsidRDefault="00000000">
      <w:r>
        <w:t>86.</w:t>
      </w:r>
      <w:r>
        <w:tab/>
        <w:t>В течение предыдущего периода Палата по правам человека в основном обсуждала вопросы, связанные с делами о праве на собственность и праве на гражданство, праве на жилье, нарушениями Закона о брошенной собственности и т.д., главным образом в ситуациях, когда средства правовой защиты во внутренней правовой системе были исчерпаны и тем самым оказались недостаточными.  Несколько дел, представленных вниманию Палаты, касались незаконного содержания под стражей, превышения полномочий со стороны полиции и других органов власти, нарушение прав на справедливое судебное разбирательство, и значительно меньшее число дел было связано с нарушением права на свободу и права на религию.</w:t>
      </w:r>
    </w:p>
    <w:p w:rsidR="00000000" w:rsidRDefault="00000000"/>
    <w:p w:rsidR="00000000" w:rsidRDefault="00000000">
      <w:r>
        <w:t>87.</w:t>
      </w:r>
      <w:r>
        <w:tab/>
        <w:t>Постановления Палаты по правам человека являются окончательными и обязательными, даже несмотря на то, что Палата не является, с правовой точки зрения, национальным учреждением и поэтому на нее не распространяются внутренние правовые нормы (Образований или кантонов) судебной системы.  Обязательный характер решений Палаты основан на политическом давлении и авторитете Высокого представителя, что ни в коей мере не является правовым, а скорее политическим механизмом.</w:t>
      </w:r>
    </w:p>
    <w:p w:rsidR="00000000" w:rsidRDefault="00000000"/>
    <w:p w:rsidR="00000000" w:rsidRDefault="00000000">
      <w:r>
        <w:t>88.</w:t>
      </w:r>
      <w:r>
        <w:tab/>
        <w:t>На практике Палата по правам человека не вынесла ни одного решения о применении статьи 5 Международного пакта об экономических, социальных и культурных правах в Боснии и Герцеговине.</w:t>
      </w:r>
    </w:p>
    <w:p w:rsidR="00000000" w:rsidRDefault="00000000"/>
    <w:p w:rsidR="00000000" w:rsidRDefault="00000000">
      <w:r>
        <w:t>89.</w:t>
      </w:r>
      <w:r>
        <w:tab/>
        <w:t xml:space="preserve">Что касается обеспечения и защиты экономических и социальных прав, то Управление омбудсмена в Боснии и Герцеговине на регулярной основе получает жалобы от граждан относительно их защиты и обеспечения.  Управление омбудсмена сгруппировало все жалобы граждан по следующим категориям:  защита права на собственность, возвращение собственности и восстановление права обладать имуществом (что касается возвращение собственности, то Управление омбудсмена к середине 2001 года провело расследования по множеству разбирательств, проведенных компетентными службами по заявлениям о возвращении собственности.  Защита прав основана на обращении к правительственным службам, занимающимся вопросами возвращения собственности в Боснии и Герцеговине, с уведомлением, содержащим перечень первоочередных элементов, связанных с осуществлением права на возвращение собственности);  защита прав на трудоустройство (что в основном было связано с осуществлением статей 134 и 135 Закона о трудовых отношениях в обоих Образованиях);  реализация прав на социальное обеспечение (защита, право на социальную помощь и компенсацию, продолжительность процедур рассмотрения заявлений и нерегулярные платежи) и прав на пенсионное страхование (реализация права на выплату пенсии в другом Образовании).  </w:t>
      </w:r>
    </w:p>
    <w:p w:rsidR="00000000" w:rsidRDefault="00000000"/>
    <w:p w:rsidR="00000000" w:rsidRDefault="00000000">
      <w:r>
        <w:t>90.</w:t>
      </w:r>
      <w:r>
        <w:tab/>
        <w:t>Исходя из вышеизложенного, можно сделать вывод о том, что Управление омбудсмена в Боснии и Герцеговине, действуя в соответствии со своими обязанностями и мандатом, изложенными в Законе об омбудсмене по правам человека, принимает меры, осуществляет деятельность и высказывает рекомендации с целью достижения полной реализации в Боснии и Герцеговине прав, признаваемых Международным пактом об экономических, социальных и культурных правах.</w:t>
      </w:r>
    </w:p>
    <w:p w:rsidR="00000000" w:rsidRDefault="00000000"/>
    <w:p w:rsidR="00000000" w:rsidRDefault="00000000">
      <w:r>
        <w:t>91.</w:t>
      </w:r>
      <w:r>
        <w:tab/>
        <w:t>Управления омбудсмена в обоих Образованиях созданы на основе Закона об омбудсмене Республики Сербской и Федерации Боснии и Герцеговины, соответственно, которые функционируют в качестве национальных учреждений, но которым все еще не хватает существенного влияния в области защиты прав человека.</w:t>
      </w:r>
    </w:p>
    <w:p w:rsidR="00000000" w:rsidRDefault="00000000"/>
    <w:p w:rsidR="00000000" w:rsidRDefault="00000000">
      <w:r>
        <w:t>92.</w:t>
      </w:r>
      <w:r>
        <w:tab/>
        <w:t>В Управления омбудсмена в Боснии и Герцеговины обратились 49 189 граждан, и ими было получено 17 219 жалоб.  Согласно официальным данным, эти учреждения успешно функционируют с момента их создания.  В 2002 году 22 000 граждан в Республике Сербской обратились в Управление омбудсмена, и более 4 000 жалоб было получено непрямо или по телефону.  Разбирательства были завершены по 92% жалоб.  Обмудсмены участвовали во всех основных социальных процессах, имеющих решающее значение для защиты прав человека всех граждан, таких, как реформа судебной системы, административных органов и полиции, реформа системы исправительных наказаний, выявление и пресечение коррупции, защита прав и свобод средств массовой информации и образование в области прав человека для граждан и органов власти.  Что касается обеспечения и защиты экономических, социальных и культурных прав, то получаемые жалобы обычно группируются следующим образом:  возвращение собственности и имущественные права;  судебная система (рабочая группа по осуществлению статей 143 и 152 Закона о трудовых отношениях в обоих Образованиях);  городское планирование, гражданское строительство и окружающая среда;  пенсии и страхование по инвалидности;  коммунальные услуги;  права, обусловленные положением;  социальное обеспечение и здравоохранение;  доступ к информации;  ограничение личных свобод;  права ребенка;  конституционные права и свободы и т.д.</w:t>
      </w:r>
    </w:p>
    <w:p w:rsidR="00000000" w:rsidRDefault="00000000"/>
    <w:p w:rsidR="00000000" w:rsidRDefault="00000000">
      <w:r>
        <w:t>93.</w:t>
      </w:r>
      <w:r>
        <w:tab/>
        <w:t xml:space="preserve">В своих докладах за предыдущий период обмудсмены указывали на наличие трудных и неудовлетворительных условий в судебной системе, особенно в том, что касается оперативности.  Граждане и юридические лица обычно жаловались на медленную работу судов, т.е. нарушение прав, о которых говорится в статье 6 Европейской конвенции о защите прав человека и основных свобод.  В этой связи не было высказано каких-либо рекомендаций об улучшении положения, поскольку в настоящее время Боснии и Герцеговине предстоит провести реформу судебной системы, которая осуществляется при поддержке международного сообщества.  Предполагается, что реформа повлечет за собой значительные улучшения в судебной системе.  </w:t>
      </w:r>
    </w:p>
    <w:p w:rsidR="00000000" w:rsidRDefault="00000000"/>
    <w:p w:rsidR="00000000" w:rsidRDefault="00000000">
      <w:pPr>
        <w:keepNext/>
        <w:jc w:val="center"/>
        <w:rPr>
          <w:b/>
          <w:bCs/>
        </w:rPr>
      </w:pPr>
      <w:r>
        <w:rPr>
          <w:b/>
          <w:bCs/>
        </w:rPr>
        <w:t>Статья 6</w:t>
      </w:r>
    </w:p>
    <w:p w:rsidR="00000000" w:rsidRDefault="00000000">
      <w:pPr>
        <w:keepNext/>
        <w:jc w:val="center"/>
        <w:rPr>
          <w:b/>
          <w:bCs/>
        </w:rPr>
      </w:pPr>
    </w:p>
    <w:p w:rsidR="00000000" w:rsidRDefault="00000000">
      <w:pPr>
        <w:keepNext/>
      </w:pPr>
      <w:r>
        <w:rPr>
          <w:b/>
          <w:bCs/>
        </w:rPr>
        <w:t>Ратифицированные международные договоры</w:t>
      </w:r>
    </w:p>
    <w:p w:rsidR="00000000" w:rsidRDefault="00000000">
      <w:pPr>
        <w:keepNext/>
      </w:pPr>
    </w:p>
    <w:p w:rsidR="00000000" w:rsidRDefault="00000000">
      <w:r>
        <w:t>94.</w:t>
      </w:r>
      <w:r>
        <w:tab/>
        <w:t>Босния и Герцеговина ратифицировала следующие международные конвенции и конвенции МОТ:</w:t>
      </w:r>
    </w:p>
    <w:p w:rsidR="00000000" w:rsidRDefault="00000000"/>
    <w:p w:rsidR="00000000" w:rsidRDefault="00000000">
      <w:pPr>
        <w:numPr>
          <w:ilvl w:val="0"/>
          <w:numId w:val="11"/>
        </w:numPr>
        <w:ind w:left="1134" w:hanging="573"/>
      </w:pPr>
      <w:r>
        <w:t>Конвенция МОТ о политике в области занятости, 1964 год (№ 122);</w:t>
      </w:r>
    </w:p>
    <w:p w:rsidR="00000000" w:rsidRDefault="00000000"/>
    <w:p w:rsidR="00000000" w:rsidRDefault="00000000">
      <w:pPr>
        <w:numPr>
          <w:ilvl w:val="0"/>
          <w:numId w:val="12"/>
        </w:numPr>
        <w:ind w:left="1134" w:hanging="573"/>
      </w:pPr>
      <w:r>
        <w:t>Конвенция МОТ о дискриминации (в области труда и занятий), 1958 год (№ 111);</w:t>
      </w:r>
    </w:p>
    <w:p w:rsidR="00000000" w:rsidRDefault="00000000">
      <w:pPr>
        <w:ind w:left="1134" w:hanging="1134"/>
      </w:pPr>
    </w:p>
    <w:p w:rsidR="00000000" w:rsidRDefault="00000000">
      <w:pPr>
        <w:numPr>
          <w:ilvl w:val="0"/>
          <w:numId w:val="12"/>
        </w:numPr>
        <w:ind w:left="1134" w:hanging="573"/>
      </w:pPr>
      <w:r>
        <w:t>Международная конвенция о ликвидации всех форм расовой дискриминации;</w:t>
      </w:r>
    </w:p>
    <w:p w:rsidR="00000000" w:rsidRDefault="00000000"/>
    <w:p w:rsidR="00000000" w:rsidRDefault="00000000">
      <w:pPr>
        <w:numPr>
          <w:ilvl w:val="0"/>
          <w:numId w:val="12"/>
        </w:numPr>
        <w:ind w:left="1134" w:hanging="532"/>
      </w:pPr>
      <w:r>
        <w:t>Международная конвенция о ликвидации всех форм дискриминации в отношении женщин.</w:t>
      </w:r>
    </w:p>
    <w:p w:rsidR="00000000" w:rsidRDefault="00000000">
      <w:pPr>
        <w:ind w:left="1134" w:hanging="1134"/>
      </w:pPr>
    </w:p>
    <w:p w:rsidR="00000000" w:rsidRDefault="00000000">
      <w:r>
        <w:rPr>
          <w:b/>
          <w:bCs/>
        </w:rPr>
        <w:t>Право на труд и занятость</w:t>
      </w:r>
    </w:p>
    <w:p w:rsidR="00000000" w:rsidRDefault="00000000"/>
    <w:p w:rsidR="00000000" w:rsidRDefault="00000000">
      <w:r>
        <w:t>95.</w:t>
      </w:r>
      <w:r>
        <w:tab/>
        <w:t>Общее число занятых в Боснии и Герцеговине составляет около 999 500 человек, из которых 638 000 (63,8%) заняты в формальном секторе.  Сразу же после войны в Боснии и Герцеговине был зарегистрирован "рост без занятости", что свидетельствовало о том факте, что около 361 500 человек (36,2%) были заняты в неформальном секторе.  По данным этого же источника, коэффициент занятых в неформальном секторе значительно выше в Республике Сербской (41,4%), чем в Федерации Боснии и Герцеговины (32%).</w:t>
      </w:r>
    </w:p>
    <w:p w:rsidR="00000000" w:rsidRDefault="00000000"/>
    <w:p w:rsidR="00000000" w:rsidRDefault="00000000">
      <w:r>
        <w:t>96.</w:t>
      </w:r>
      <w:r>
        <w:tab/>
        <w:t>Согласно имеющимся оценкам, лица, занятые в формальном секторе, значительно старше, чем это было в 1990 году.  С другой стороны, молодые и неквалифицированные работники вынуждены уходить в неформальный сектор.  Представленность женщин в рабочей силе - 30% в Федерации Боснии и Герцеговины и 39% в Республике Сербской </w:t>
      </w:r>
      <w:r>
        <w:noBreakHyphen/>
        <w:t xml:space="preserve"> является низкой.</w:t>
      </w:r>
    </w:p>
    <w:p w:rsidR="00000000" w:rsidRDefault="00000000"/>
    <w:p w:rsidR="00000000" w:rsidRDefault="00000000">
      <w:r>
        <w:t>97.</w:t>
      </w:r>
      <w:r>
        <w:tab/>
        <w:t>Согласно официальным данным, уровень безработицы в Боснии и Герцеговине составляет 41%, но если принять во внимание неформальный сектор, то данные Всемирного банка, основанные на исследовании критериев оценки уровня жизни (ИКОУЖ), указывают на то, что реальный уровень безработицы составляет около 16,4% (Федерация:  16,9%;  Республика Сербская:  15,8%).</w:t>
      </w:r>
    </w:p>
    <w:p w:rsidR="00000000" w:rsidRDefault="00000000"/>
    <w:p w:rsidR="00000000" w:rsidRDefault="00000000">
      <w:r>
        <w:t>98.</w:t>
      </w:r>
      <w:r>
        <w:tab/>
        <w:t>В обоих Образованиях структура группы безработных значительно изменилась по сравнению с 1990 годом.  В Федерации Боснии и Герцеговины занятость в секторе производства сократилась с 41% в 1990 году до 32% в 2000 году (данные Всемирного Банка).  Из всех занятых 27% работают в государственном секторе (28% в Федерации Боснии и Герцеговины и 24% в Республике Сербской).  Такую тенденцию в сфере занятости в государственном секторе можно объяснить медленным возрождением промышленности и одновременным ростом органов управления страны после войны.  О серьезности изменений свидетельствует соотношение между численностью занятых в экономическом и неэкономическом секторах;  до войны оно составляло 1 к 5,6, а после войны - 1 к 2,8.  Интересно, что значительное большинство молодежи работает в неформальном секторе экономики:  более 2/3 молодых людей, имеющих работу, занято в "серой экономике".</w:t>
      </w:r>
    </w:p>
    <w:p w:rsidR="00000000" w:rsidRDefault="00000000"/>
    <w:p w:rsidR="00000000" w:rsidRDefault="00000000">
      <w:r>
        <w:t>99.</w:t>
      </w:r>
      <w:r>
        <w:tab/>
        <w:t xml:space="preserve">Численность занятых в государственных органах почти удвоилась (с 5,9% до 11,65%), тогда как доля занятых в секторе торговли увеличилась почти на 30%, а в секторе образования </w:t>
      </w:r>
      <w:r>
        <w:noBreakHyphen/>
        <w:t xml:space="preserve"> возросло с 5,8% до 8,5%.  Самый высокий уровень занятости наблюдается среди лиц, имеющих университетское образование.</w:t>
      </w:r>
    </w:p>
    <w:p w:rsidR="00000000" w:rsidRDefault="00000000"/>
    <w:p w:rsidR="00000000" w:rsidRDefault="00000000">
      <w:r>
        <w:t>100.</w:t>
      </w:r>
      <w:r>
        <w:tab/>
        <w:t>Совершенно очевидно, что в Боснии и Герцеговине можно ожидать рост численности занятых в частном секторе и что стимулы к предпринимательской деятельности являются самым лучшим решением проблемы безработицы.</w:t>
      </w:r>
    </w:p>
    <w:p w:rsidR="00000000" w:rsidRDefault="00000000"/>
    <w:p w:rsidR="00000000" w:rsidRDefault="00000000">
      <w:r>
        <w:t>101.</w:t>
      </w:r>
      <w:r>
        <w:tab/>
        <w:t>В среднем поиски работы в Боснии и Герцеговине занимают около трех лет.  Лица старшего возраста (35-55 лет) могут искать работу в течение более пяти лет.  Дело заключается в том, что с 1995 года развитие в Боснии и Герцеговине главным образом было основано на неформальном секторе, который помог множеству семей оставаться над чертой бедности.  Однако, несмотря на это, наличие неформального развития является нежелательным, поскольку оно оказывает неблагоприятное воздействие на равенство и значительное число работников не имеют право на социальное обеспечение и пенсионное страхование.</w:t>
      </w:r>
    </w:p>
    <w:p w:rsidR="00000000" w:rsidRDefault="00000000"/>
    <w:p w:rsidR="00000000" w:rsidRDefault="00000000">
      <w:r>
        <w:t>102.</w:t>
      </w:r>
      <w:r>
        <w:tab/>
        <w:t>До войны право людей на труд в большей степени защищалось Конституцией в рамках защиты прав человека.  В послевоенный период, до принятия в 2000 году нового законодательства, в обоих Образованиях практиковались временные увольнения.  Находящиеся в таких увольнениях работники формально считались занятыми (и имели право на получение части окладов, а также другие права, связанные с занятостью), даже несмотря на то, что в действительности они не работали в течение длительного времени.  Статья 147 Федерального закона о трудовых отношениях потребовала предоставления больших компенсаций временно уволенным работникам (такие компенсации также должны были выплачиваться и некоторым другим категориям работников).  Подобным образом существенные права были предоставлены начиная с 1998 года временно уволенным работникам в Республике Сербской в соответствии с ее Законом о трудовых отношениях (статья 64).  Основанием такого сокращения штатов путем увольнения работников было опасение того, что приватизация может привести к значительному сокращению рабочей силы.</w:t>
      </w:r>
    </w:p>
    <w:p w:rsidR="00000000" w:rsidRDefault="00000000"/>
    <w:p w:rsidR="00000000" w:rsidRDefault="00000000">
      <w:r>
        <w:t>103.</w:t>
      </w:r>
      <w:r>
        <w:tab/>
        <w:t>В связи с предстоящим осуществлением важных реформ (активизация приватизации, осуществление законов о банкротстве и ликвидации) в первой половине периода 2004</w:t>
      </w:r>
      <w:r>
        <w:noBreakHyphen/>
        <w:t>2005 годов можно ожидать роста безработицы, особенно в секторе промышленности.  По некоторым предположениям, около 100 000 человек в одной только Федерации Боснии и Герцеговины и 50 000 в Республике Сербской могут потерять свою работу.  Вся имеющаяся информация свидетельствует о том, что это скорее всего коснется работников, находящихся во временном увольнении.  Кроме того, значительное число лиц имеют фиктивную занятость и не получают ни зарплаты, ни пособий.  Это означает, что в действительности массовые увольнения не затронут лиц, которые в настоящее время имеют работу и получают зарплату и пособия.</w:t>
      </w:r>
    </w:p>
    <w:p w:rsidR="00000000" w:rsidRDefault="00000000"/>
    <w:p w:rsidR="00000000" w:rsidRDefault="00000000">
      <w:r>
        <w:t>104.</w:t>
      </w:r>
      <w:r>
        <w:tab/>
        <w:t>Осенью 2000 года с принятием Закона о внесении изменений и поправок в Закон о трудовых отношениях Федерации Боснии и Герцеговины и Закон о трудовых отношениях Республики Сербской, вследствие чего было принято современное трудовое законодательство и отменена практика "временных увольнений", были изменены другие соответствующие законы, регулирующие рынок труда.  Нынешние законы Боснии и Герцеговины о защите занятости, а также положения о трудовых договорах в основном сопоставимы с рынками труда Словении и других стран с развитой экономикой, а в некоторых отношениях даже являются более либеральными.  Следовательно, они не являются препятствием для разделения труда.  Во</w:t>
      </w:r>
      <w:r>
        <w:noBreakHyphen/>
        <w:t>первых, работодатели в Боснии и Герцеговине сталкиваются с меньшими процедурными трудностями и несут аналогичное, если не меньшее, бремя увольнений в плане продолжительности срока оформления увольнений и квот сокращения штатов.  Во</w:t>
      </w:r>
      <w:r>
        <w:noBreakHyphen/>
        <w:t>вторых, положения о трудовых договорах также являются весьма либеральными.  Даже несмотря на то, что в Федерации Боснии и Герцеговины трудовые договоры можно возобновлять лишь тогда, когда это "оправдано", во множестве случаев, определяемых законом, количество последующих договоров или максимальный совокупный срок договоров не ограничены.  С другой стороны, в Республике Сербской трудовые договоры не ограничиваются необходимостью определения "оправданных" случаев или количеством последующих договоров;  в ней установлено общее ограничение сроком в два года при назначении на определенный срок.</w:t>
      </w:r>
    </w:p>
    <w:p w:rsidR="00000000" w:rsidRDefault="00000000"/>
    <w:p w:rsidR="00000000" w:rsidRDefault="00000000">
      <w:r>
        <w:t>105.</w:t>
      </w:r>
      <w:r>
        <w:tab/>
        <w:t>В целом, если существовавшие до 2000 года законы возлагали на работодателей огромные расходы, связанные с увольнением работников, то новое законодательство в обоих Образованиях представляет собой существенное улучшение.  Оно приводит положение с обеспеченностью работой в Боснии и Герцеговине в соответствие с европейской моделью и, судя по всему, не препятствует мобильности работников и созданию новых рабочих мест.  С позитивными элементами нового трудового законодательства в обоих Образованиях заметно контрастируют коллективные договоры, которые по</w:t>
      </w:r>
      <w:r>
        <w:noBreakHyphen/>
        <w:t>прежнему в основном ориентированы на принципы строгого предписания и контроля, что навязывает рынку труда множество положений, существовавших в прежний период.  Как говорилось выше, коллективные договоры не только устанавливают минимальную зарплату и уровни зарплаты различных категорий работников, но и регулируют рост базовой заработной платы по принципам выслуги лет, условий работы и индивидуальных показателей.  Если Закон о трудовых отношениях стимулирует гибкое корректирование рынка труда, то не допускающие отклонений коллективные договоры остаются жесткими и препятствуют созданию новых рабочих мест.  Следовательно, они являются главной причиной того, что в экономике еще не начато создание новых форм трудовых отношений.</w:t>
      </w:r>
    </w:p>
    <w:p w:rsidR="00000000" w:rsidRDefault="00000000"/>
    <w:p w:rsidR="00000000" w:rsidRDefault="00000000">
      <w:r>
        <w:t>106.</w:t>
      </w:r>
      <w:r>
        <w:tab/>
        <w:t>Законодательство, особенно если оно существенно отличается от принятых норм и обычаев, может оказывать лишь ограниченное и замедленное воздействие.  Кроме того, некоторые аспекты рынка труда весьма трудно регулировать приказами, причем одним из ключевых среди них является дискриминация.  В настоящей главе рассматриваются три основных аспекта занятости в Боснии и Герцеговине:  работники, находящиеся во временном увольнении, занятость в неформальном секторе и дискриминация на рынке труда.</w:t>
      </w:r>
    </w:p>
    <w:p w:rsidR="00000000" w:rsidRDefault="00000000"/>
    <w:p w:rsidR="00000000" w:rsidRDefault="00000000">
      <w:r>
        <w:t>107.</w:t>
      </w:r>
      <w:r>
        <w:tab/>
        <w:t xml:space="preserve">Феномен, именуемый "работники, находящиеся во временном увольнении", в Боснии и Герцеговине постепенно исчезает.  В частности, этот термин не используется в Федерации Боснии и Герцеговины с 5 мая 2000 года, а в Республике Сербской - с 16 февраля 2001 года.  Это означает, что в правовых положениях нет категории работников, находящихся во временном увольнении, поскольку эти работники обладают теми же правами в сфере занятости, что и другие.  В настоящее время значительное число этих работников ищет работу в неформальном секторе.  </w:t>
      </w:r>
    </w:p>
    <w:p w:rsidR="00000000" w:rsidRDefault="00000000"/>
    <w:p w:rsidR="00000000" w:rsidRDefault="00000000">
      <w:r>
        <w:t>108.</w:t>
      </w:r>
      <w:r>
        <w:tab/>
        <w:t>Как упоминалось выше, термин "работник, находящийся во временном увольнении", был официально отменен в 2000 году, и предприятия смогли увольнять работников, неся гораздо меньшие расходы, чем раньше.  Каковы были последствия изменения количества работников, находящихся во временном увольнении?  В Федерации Боснии и Герцеговины (данные по Республике Сербской о работниках, находящихся во временном увольнении, с разбивкой по периодам времени отсутствуют) численность работников, находящихся во временном увольнении, неуклонно сокращалась, с 87 781 в 1997 году до 31 752 в 2001 году.</w:t>
      </w:r>
    </w:p>
    <w:p w:rsidR="00000000" w:rsidRDefault="00000000"/>
    <w:p w:rsidR="00000000" w:rsidRDefault="00000000">
      <w:r>
        <w:t>109.</w:t>
      </w:r>
      <w:r>
        <w:tab/>
        <w:t xml:space="preserve">Как представляется, новое законодательство действительно способствовало сокращению численности работников, находящихся во временном увольнении, поскольку за последние два года тенденция к сокращению проявлялась более активно (например, к июню 2001 года их численность сократилась на 20%).  Интересно отметить, что одну треть работников, находящихся во временном увольнении, составляют женщины, в основном в секторе производства, и эта цифра соответствует их доле в рабочей силе.  Нам также следует отметить наличие категории работников, которые в течение какого-то времени не получали зарплаты и взносы которых не выплачивались в связи с финансовыми трудностями, испытываемыми работодателями, но которые не были уволены в предусмотренном законом порядке просто в силу того, что работодатели не смогли выплатить причитающиеся им суммы.  К этому следует добавить проблемы работников, которые могут выйти на пенсию, но не могут воспользоваться этим правом, потому что работодатели не оплачивали пенсионное страхование.  </w:t>
      </w:r>
    </w:p>
    <w:p w:rsidR="00000000" w:rsidRDefault="00000000"/>
    <w:p w:rsidR="00000000" w:rsidRDefault="00000000">
      <w:r>
        <w:t>110.</w:t>
      </w:r>
      <w:r>
        <w:tab/>
        <w:t xml:space="preserve">Выше изложены свидетельства о представлении ложных данных об окладах, т.е. сообщаются заниженные суммы, с тем чтобы платить меньше по обязательствам, связанным с налогами и взносами.  Однако как работники, так и работодатели склонны вообще не сообщать о факте занятости и тем самым полностью уходить от уплаты налогов и взносов, и это объясняет, почему они вступают в неформальные трудовые отношения.  Конечно, у многих работников, особенно в сельском хозяйстве, нет другого выбора, кроме работы в неформальном секторе.  </w:t>
      </w:r>
    </w:p>
    <w:p w:rsidR="00000000" w:rsidRDefault="00000000"/>
    <w:p w:rsidR="00000000" w:rsidRDefault="00000000">
      <w:pPr>
        <w:rPr>
          <w:b/>
          <w:bCs/>
        </w:rPr>
      </w:pPr>
      <w:r>
        <w:rPr>
          <w:b/>
          <w:bCs/>
        </w:rPr>
        <w:t>Свобода заниматься трудовой деятельностью и право на занятость на равных условиях</w:t>
      </w:r>
    </w:p>
    <w:p w:rsidR="00000000" w:rsidRDefault="00000000">
      <w:pPr>
        <w:rPr>
          <w:b/>
          <w:bCs/>
        </w:rPr>
      </w:pPr>
    </w:p>
    <w:p w:rsidR="00000000" w:rsidRDefault="00000000">
      <w:r>
        <w:t>111.</w:t>
      </w:r>
      <w:r>
        <w:tab/>
        <w:t>Законодательство Боснии и Герцеговины гарантирует всем гражданам право на работу, право на выбор профессии, занятость, место работы и занятие должности на равных условиях.  В то же время запрещена дискриминация любого рода, а в случаях нарушения этого запрета обеспечивается судебная защита.</w:t>
      </w:r>
    </w:p>
    <w:p w:rsidR="00000000" w:rsidRDefault="00000000"/>
    <w:p w:rsidR="00000000" w:rsidRDefault="00000000">
      <w:r>
        <w:t>112.</w:t>
      </w:r>
      <w:r>
        <w:tab/>
        <w:t>Право на работу, которое гарантируется международными и национальными трудовыми законами, обеспечить нелегко, главным образом по причине сложного экономического положения Боснии и Герцеговины и в связи с наличием новых способов регулирования отношений между работодателями и работниками, в соответствии с новыми социально-экономическими отношениями в Боснии и Герцеговине.</w:t>
      </w:r>
    </w:p>
    <w:p w:rsidR="00000000" w:rsidRDefault="00000000"/>
    <w:p w:rsidR="00000000" w:rsidRDefault="00000000">
      <w:r>
        <w:t>113.</w:t>
      </w:r>
      <w:r>
        <w:tab/>
        <w:t>На 30 июня 2002 года население Боснии и Герцеговины составляло 3 828 397 человек.  Из них трудящееся население распадалось на следующие категории:  мужчины в возрасте 15-64 лет </w:t>
      </w:r>
      <w:r>
        <w:noBreakHyphen/>
        <w:t xml:space="preserve"> 1 313 281;  и женщины в возрасте 15-59 лет </w:t>
      </w:r>
      <w:r>
        <w:noBreakHyphen/>
        <w:t xml:space="preserve"> 1 219 821.  На 30 июня 2002 года население Республики Сербской составляло 1 513 127 человек.  Трудящееся население в Республике Сербской распадалось на следующие категории:  мужчины в возрасте 15-64 лет </w:t>
      </w:r>
      <w:r>
        <w:noBreakHyphen/>
        <w:t xml:space="preserve"> 482 703;  и женщины в возрасте 15-59 лет </w:t>
      </w:r>
      <w:r>
        <w:noBreakHyphen/>
        <w:t xml:space="preserve"> 486 817.  Население Федерации Боснии и Герцеговины составляло на 30 июня 2002 года 2 315 270 человек.  Трудящееся население Федерации распадалось на следующие категории:  мужчины в возрасте 15-64 лет </w:t>
      </w:r>
      <w:r>
        <w:noBreakHyphen/>
        <w:t xml:space="preserve"> 830 578;  и женщины в возрасте 15-59 лет </w:t>
      </w:r>
      <w:r>
        <w:noBreakHyphen/>
        <w:t xml:space="preserve"> 733 004.  (</w:t>
      </w:r>
      <w:r>
        <w:rPr>
          <w:i/>
          <w:iCs/>
        </w:rPr>
        <w:t xml:space="preserve">Источник:  </w:t>
      </w:r>
      <w:r>
        <w:t>Оценка Статистического агентства Боснии и Герцеговины, опубликована в "Статистическом бюллетене" в мае 2003 года).</w:t>
      </w:r>
    </w:p>
    <w:p w:rsidR="00000000" w:rsidRDefault="00000000"/>
    <w:p w:rsidR="00000000" w:rsidRDefault="00000000">
      <w:r>
        <w:t>114.</w:t>
      </w:r>
      <w:r>
        <w:tab/>
        <w:t>С точки зрения территории, основными областями безработицы являются районы активного возвращения беженцев и перемещенных лиц, в которых полностью разрушены жилье и промышленные мощности.  Ими являются как сельские районы, так и города, находившиеся в непосредственных зонах ведения боевых операций по всей Боснии и Герцеговине, такие, как Грахово, Гламоч, Дервента, Брод и т.д.  В этих районах, помимо бездействующих промышленных мощностей, также не функционируют и службы, что объясняется низкой платежеспособностью и преклонным возрастом (более 55 лет) населения.  Другую группу составляют города - базы тяжелой, металлообрабатывающей промышленности, - которые без огромных инвестиций не могут начать производство или в которых наличие устаревшей техники вообще лишает смысла возобновление производства (Зеница, Тузла, Баня-Лука).</w:t>
      </w:r>
    </w:p>
    <w:p w:rsidR="00000000" w:rsidRDefault="00000000"/>
    <w:p w:rsidR="00000000" w:rsidRDefault="00000000">
      <w:r>
        <w:t>115.</w:t>
      </w:r>
      <w:r>
        <w:tab/>
        <w:t>Важно подчеркнуть, что рынок труда Боснии и Герцеговины обременен множеством проблем.  Он остается фрагментарным и не обеспечивает мобильности своей рабочей силы.  Даже несмотря на то, что действующее трудовое законодательство приводится в соответствии с требованиями рыночной экономики, на практике оно допускает дискриминацию по этническому, возрастному и гендерному признакам.  Согласно исследованию "Гендерный фактор и бедность" (Независимое бюро по гуманитарным вопросам (НБГВ), июнь 2002 года), перемещенные лица находятся в особенно трудном положении, поскольку им крайне редко удается найти работу, и поэтому они вынуждены соглашаться на работу, которую отказываются выполнять другие группы.  Самая худшая этническая дискриминация наблюдается в отношении возвращенцев, которым практически не удается найти работу в государственных органах или государственных компаниях.</w:t>
      </w:r>
    </w:p>
    <w:p w:rsidR="00000000" w:rsidRDefault="00000000"/>
    <w:p w:rsidR="00000000" w:rsidRDefault="00000000">
      <w:pPr>
        <w:keepNext/>
        <w:rPr>
          <w:b/>
          <w:bCs/>
        </w:rPr>
      </w:pPr>
      <w:r>
        <w:rPr>
          <w:b/>
          <w:bCs/>
        </w:rPr>
        <w:t>Положение женщин и гендерное равенство</w:t>
      </w:r>
    </w:p>
    <w:p w:rsidR="00000000" w:rsidRDefault="00000000">
      <w:pPr>
        <w:keepNext/>
        <w:rPr>
          <w:b/>
          <w:bCs/>
        </w:rPr>
      </w:pPr>
    </w:p>
    <w:p w:rsidR="00000000" w:rsidRDefault="00000000">
      <w:r>
        <w:t>116.</w:t>
      </w:r>
      <w:r>
        <w:tab/>
        <w:t>Хотя женщины, согласно трудовому законодательству Боснии и Герцеговины и Образований, имеют те же права, что и мужчины, имеют место случаи дискриминации, особенно в отношении занятости в частном секторе, где они зарабатывают меньше, выполняя ту же работу, и имеют меньше возможностей для продвижения по службе.  Это отрицательно сказывается на их материальном положении и затрудняет возможность поддержания соответствующего уровня жизни.  Во времена перестройки и реформ женщин увольняют с работы первыми, и им труднее находить новую работу.</w:t>
      </w:r>
    </w:p>
    <w:p w:rsidR="00000000" w:rsidRDefault="00000000"/>
    <w:p w:rsidR="00000000" w:rsidRDefault="00000000">
      <w:r>
        <w:t>117.</w:t>
      </w:r>
      <w:r>
        <w:tab/>
        <w:t>Поскольку доказать дискриминацию непросто, решение, предлагаемое внутренними законами, заключается в том, чтобы перекладывать бремя доказывания неоправданного различия по гендерному признаку на работодателя;  это приносит положительные результаты.</w:t>
      </w:r>
    </w:p>
    <w:p w:rsidR="00000000" w:rsidRDefault="00000000"/>
    <w:p w:rsidR="00000000" w:rsidRDefault="00000000">
      <w:r>
        <w:t>118.</w:t>
      </w:r>
      <w:r>
        <w:tab/>
        <w:t>Выступая в качестве ответчика, работодатель обязан представить доказательство того, что та или иная работающая у него женщина не поставлена в неблагоприятное положение по гендерному признаку, а что существующее отличие является следствием других факторов.  При выполнении этих положений возникают проблемы.</w:t>
      </w:r>
    </w:p>
    <w:p w:rsidR="00000000" w:rsidRDefault="00000000"/>
    <w:p w:rsidR="00000000" w:rsidRDefault="00000000">
      <w:r>
        <w:t>119.</w:t>
      </w:r>
      <w:r>
        <w:tab/>
        <w:t>Правовое положение трех четвертей женщин в Боснии и Герцеговине основано на нормах социально-трудового законодательства в условиях, при которых 83,3% женщин работают по найму и лишь 16,6% женщин заняты самостоятельно или являются работодателями.</w:t>
      </w:r>
    </w:p>
    <w:p w:rsidR="00000000" w:rsidRDefault="00000000"/>
    <w:p w:rsidR="00000000" w:rsidRDefault="00000000">
      <w:r>
        <w:t>120.</w:t>
      </w:r>
      <w:r>
        <w:tab/>
        <w:t>Треть всех работающих женщин трудоустроена по срочным контрактам, из которых 50% пользуются своими правами в соответствии с общими и специальными трудовыми положениями.</w:t>
      </w:r>
    </w:p>
    <w:p w:rsidR="00000000" w:rsidRDefault="00000000"/>
    <w:p w:rsidR="00000000" w:rsidRDefault="00000000">
      <w:r>
        <w:t>121.</w:t>
      </w:r>
      <w:r>
        <w:tab/>
        <w:t>По данным независимого обследования, проведенного исследовательской группой "Призм", около 30% женщин не получили статуса безработных на основе соответствующих положений, т.е. они не зарегистрированы в бюро по трудоустройству и не пользуются своими социальными правами как безработные.  В результате они оказываются в группе лиц, не имеющих никаких доходов, т.е. социально зависимых.</w:t>
      </w:r>
    </w:p>
    <w:p w:rsidR="00000000" w:rsidRDefault="00000000"/>
    <w:p w:rsidR="00000000" w:rsidRDefault="00000000">
      <w:r>
        <w:t>122.</w:t>
      </w:r>
      <w:r>
        <w:tab/>
        <w:t>Что касается других прав, то замужество не влияет на безопасность предпринимательской деятельности, но в законах предусмотрены меры специальной защиты для женщин.  Женщинам предоставляется специальная защита во время беременности, и им запрещено работать на всех работах, которые могут отрицательно сказаться на состоянии здоровья или поставить под угрозу жизнь будущего ребенка.</w:t>
      </w:r>
    </w:p>
    <w:p w:rsidR="00000000" w:rsidRDefault="00000000"/>
    <w:p w:rsidR="00000000" w:rsidRDefault="00000000">
      <w:r>
        <w:t>123.</w:t>
      </w:r>
      <w:r>
        <w:tab/>
        <w:t>Согласно внутренним подзаконным актам работодатель, действуя в соответствии с надлежащими положениями, устанавливает, какие работы особенно опасны для здоровья.  Согласно Закону о трудовых отношениях женщины, которые выходят на работу до окончания их отпуска по беременности и родам, имеют право, помимо перерыва на обед, на дополнительный перерыв продолжительностью в 60 минут для кормления грудью своих детей.</w:t>
      </w:r>
    </w:p>
    <w:p w:rsidR="00000000" w:rsidRDefault="00000000"/>
    <w:p w:rsidR="00000000" w:rsidRDefault="00000000">
      <w:r>
        <w:t>124.</w:t>
      </w:r>
      <w:r>
        <w:tab/>
        <w:t>Во время беременности и в период кормления детей женщины могут переводиться на другую работу, если это отвечает интересам охраны их здоровья, что определяется компетентным врачом.  Если работодатель не может перевести их на другую работу, то женщины имеют право на оплачиваемый отпуск, предоставленный в соответствии с их коллективным договором и трудовыми номами.  Временный перевод на другую работу не может иметь своим следствием уменьшение заработной платы, и работодатель может переводить женщин на другую работу только с их предварительного письменного согласия.</w:t>
      </w:r>
    </w:p>
    <w:p w:rsidR="00000000" w:rsidRDefault="00000000"/>
    <w:p w:rsidR="00000000" w:rsidRDefault="00000000">
      <w:r>
        <w:t>125.</w:t>
      </w:r>
      <w:r>
        <w:tab/>
        <w:t>Не всем известно, что женщины получают меньшую зарплату, чем мужчины, за ту же работу.  Согласно статье 68 Закона о трудовых отношениях размер зарплаты работников определяется коллективным договором, положениями трудового законодательства и трудовых договоров;  с этой точки зрения, для каждой должности установлена одинаковая зарплата, независимо от того, занимают ли ее мужчины или женщины.  Пока не было зарегистрировано ни одной жалобы от женщин относительно более низкой зарплаты, которую они получают, выполняя ту же работу, что и мужчины.</w:t>
      </w:r>
    </w:p>
    <w:p w:rsidR="00000000" w:rsidRDefault="00000000"/>
    <w:p w:rsidR="00000000" w:rsidRDefault="00000000">
      <w:r>
        <w:t>126.</w:t>
      </w:r>
      <w:r>
        <w:tab/>
        <w:t>Однако возможности получения более высокооплачиваемой работы при одинаковых условиях у мужчин и женщин не равны.</w:t>
      </w:r>
    </w:p>
    <w:p w:rsidR="00000000" w:rsidRDefault="00000000"/>
    <w:p w:rsidR="00000000" w:rsidRDefault="00000000">
      <w:r>
        <w:t>127.</w:t>
      </w:r>
      <w:r>
        <w:tab/>
        <w:t>Работодатель не может отказать беременной женщине в приеме на работу, разорвать с ней трудовой договор или, за исключением случаев, когда это отвечает интересам ее здоровья, перевести ее на другую работу.</w:t>
      </w:r>
    </w:p>
    <w:p w:rsidR="00000000" w:rsidRDefault="00000000"/>
    <w:p w:rsidR="00000000" w:rsidRDefault="00000000">
      <w:r>
        <w:t>128.</w:t>
      </w:r>
      <w:r>
        <w:tab/>
        <w:t xml:space="preserve">Если работодатель поступает иначе, то он облагается штрафом за это правонарушение.  В законе не оговаривается, какие работы женщины могут выполнять на дому.  Такая возможность не запрещена законом, поэтому работодатель и работница могут придти к соглашению о выполнении какой-либо работы на дому.  </w:t>
      </w:r>
    </w:p>
    <w:p w:rsidR="00000000" w:rsidRDefault="00000000"/>
    <w:p w:rsidR="00000000" w:rsidRDefault="00000000">
      <w:r>
        <w:t>129.</w:t>
      </w:r>
      <w:r>
        <w:tab/>
        <w:t xml:space="preserve">Если речь идет о работе по найму, то все работники имеют равные права, установленные для трудовых отношений, и в таком случае уровни заработной платы определяются положениями трудового законодательства и трудовыми договорами.  </w:t>
      </w:r>
    </w:p>
    <w:p w:rsidR="00000000" w:rsidRDefault="00000000"/>
    <w:p w:rsidR="00000000" w:rsidRDefault="00000000">
      <w:r>
        <w:t>130.</w:t>
      </w:r>
      <w:r>
        <w:tab/>
        <w:t>Во время общего кризиса и при наличии существенной иностранной помощи трудно обсуждать гендерную дискриминацию в различных отраслях.  Следует отметить сильную взаимозависимость между ролью женщин, их образованием, родом занятий и положением на рынке труда.</w:t>
      </w:r>
    </w:p>
    <w:p w:rsidR="00000000" w:rsidRDefault="00000000"/>
    <w:p w:rsidR="00000000" w:rsidRDefault="00000000">
      <w:r>
        <w:t>131.</w:t>
      </w:r>
      <w:r>
        <w:tab/>
        <w:t>Данные, полученные в ходе исследований, свидетельствуют о том, что в Боснии и Герцеговине по</w:t>
      </w:r>
      <w:r>
        <w:noBreakHyphen/>
        <w:t xml:space="preserve">прежнему существуют типично женские и типично мужские профессии.  Стереотипы относительно желательных для мужчин и женщин родов занятий и профессий продолжают иметь глубокие корни.  </w:t>
      </w:r>
    </w:p>
    <w:p w:rsidR="00000000" w:rsidRDefault="00000000"/>
    <w:p w:rsidR="00000000" w:rsidRDefault="00000000">
      <w:r>
        <w:t>132.</w:t>
      </w:r>
      <w:r>
        <w:tab/>
        <w:t>Правительства Образований, при поддержке со стороны Проекта по обеспечению гендерного равенства (ПОГР) в Боснии и Герцеговине, который финансируется правительством Швеции, создали правительственные подразделения - "гендерные центры" - для проведения деятельности с целью повышения уровня осведомленности женщин относительно возможностей участия во всех сферах предпринимательской деятельности и извлечения прибыли.</w:t>
      </w:r>
    </w:p>
    <w:p w:rsidR="00000000" w:rsidRDefault="00000000"/>
    <w:p w:rsidR="00000000" w:rsidRDefault="00000000">
      <w:r>
        <w:t>133.</w:t>
      </w:r>
      <w:r>
        <w:tab/>
        <w:t>Женщины, имеющие образование, испытывают больше проблем в сфере занятости, чем необразованные.  Доля женщин в общих показателях безработицы составляет более половины среди лиц, имеющих среднее, высшее и университетское образование.  Если мы сравним данные о структуре образования 20 лет назад и количество женщин, заканчивающих средние школы и университеты, то увидим, что численность женщин в этих группах, т.е. численность женщин с высшим и университетским образованием, ищущих работу, является очень большой и не соответствует структуре образования.</w:t>
      </w:r>
    </w:p>
    <w:p w:rsidR="00000000" w:rsidRDefault="00000000"/>
    <w:p w:rsidR="00000000" w:rsidRDefault="00000000">
      <w:pPr>
        <w:rPr>
          <w:b/>
          <w:bCs/>
        </w:rPr>
      </w:pPr>
      <w:r>
        <w:rPr>
          <w:b/>
          <w:bCs/>
        </w:rPr>
        <w:t>Принцип трудовой недискриминации</w:t>
      </w:r>
    </w:p>
    <w:p w:rsidR="00000000" w:rsidRDefault="00000000">
      <w:pPr>
        <w:rPr>
          <w:b/>
          <w:bCs/>
        </w:rPr>
      </w:pPr>
    </w:p>
    <w:p w:rsidR="00000000" w:rsidRDefault="00000000">
      <w:r>
        <w:t>134.</w:t>
      </w:r>
      <w:r>
        <w:tab/>
        <w:t xml:space="preserve">Законодательство Боснии и Герцеговины не содержит положений о дискриминации по признаку пола, расы, политических убеждений, религии, этнического происхождения и т.д.  Важный факт заключается в том, что принцип "равного обращения" предполагает принцип "права на разнообразие", который допускает исключения для женщин в отношении конкретных требований, связанных с той или иной работой, охрану материнства и т.д.  Практика показывает, что есть случаи дискриминации в отношении женщин при подаче заявлений на работу, которая часто связана с тем, как они выглядят, их возрастом, семейными обязанностями и состоянием здоровья. </w:t>
      </w:r>
    </w:p>
    <w:p w:rsidR="00000000" w:rsidRDefault="00000000"/>
    <w:p w:rsidR="00000000" w:rsidRDefault="00000000">
      <w:r>
        <w:t>135.</w:t>
      </w:r>
      <w:r>
        <w:tab/>
        <w:t>Дискриминация очевидна в процессе приема на работу, когда в объявлениях о вакансиях подчеркиваются требования, противоречащие критериям равноправия.  Есть множество примеров объявлений о вакансиях, где прямо указываются требования, связанные с возрастом или полом.  Лишь в очень немногих случаях такие объявления изменяются и отменяются, даже несмотря на то, что существуют несущие за это ответственность службы трудовой инспекции.  Гендерные центры Федерации Боснии и Герцеговины и Республики Сербской активно содействуют обеспечению гендерного равенства.</w:t>
      </w:r>
    </w:p>
    <w:p w:rsidR="00000000" w:rsidRDefault="00000000"/>
    <w:p w:rsidR="00000000" w:rsidRDefault="00000000">
      <w:r>
        <w:t>136.</w:t>
      </w:r>
      <w:r>
        <w:tab/>
        <w:t>Вопрос об обеспечении занятости инвалидов представляют собой проблему, поскольку не существует каких-либо специальных льгот, предоставляемых работодателям, которые принимают на работу инвалидов.  Также не существует каких</w:t>
      </w:r>
      <w:r>
        <w:noBreakHyphen/>
        <w:t>либо законов о предприятиях социального обеспечения, которые могли бы принимать на работу лиц с неполной трудоспособностью и которые пользовались бы специальными налоговыми льготами.</w:t>
      </w:r>
    </w:p>
    <w:p w:rsidR="00000000" w:rsidRDefault="00000000"/>
    <w:p w:rsidR="00000000" w:rsidRDefault="00000000">
      <w:r>
        <w:t>137.</w:t>
      </w:r>
      <w:r>
        <w:tab/>
        <w:t>Имеет место и дискриминация в отношении трудоустройства лиц молодого возраста.  Средний возраст лиц, работающих в формальном секторе, значительно возрос, с 36,6 в 1991 году до 40 в 2000 году (данные Всемирного банка, ноябрь 2002 года), а это значит, что лишь немногие молодые работники получили работу в формальном секторе и поэтому большинство занято в неформальном секторе.  Доля работников моложе 36 лет значительно сократилась по сравнению с довоенным периодом;  в  2000 году работники в возрасте 25-34 лет составляли лишь 23% (37% в 1990 году).  Анализ, проведенный ИКОУЖ, свидетельствовал о том, что 18% работников неформального сектора и 7% формального сектора составляли лица моложе 25 лет, причем главная причина заключалась в уровне минимальной зарплаты.</w:t>
      </w:r>
    </w:p>
    <w:p w:rsidR="00000000" w:rsidRDefault="00000000"/>
    <w:p w:rsidR="00000000" w:rsidRDefault="00000000">
      <w:r>
        <w:t>138.</w:t>
      </w:r>
      <w:r>
        <w:tab/>
        <w:t>Даже несмотря на то, что молодежь готова работать за меньшую зарплату, существующая система не является привлекательной.  Кроме того, уровень зарплаты согласовывается тремя сторонами:  правительством, работодателем и профсоюзом.  Несмотря на согласованные уровни, международные финансовые организации пользуются ограничительным влиянием при заключении коллективных договоров и поэтому основой для определения размера зарплаты является самая низкая цена рабочей силы.  Поэтому при определении уровня заработной платы можно установить только самый низкий ее уровень;  все остальное зависит от договоренности с работодателем.  В этом заключается одна из причин роста возраста и непроизводительности рабочей силы, поскольку молодежь стремится попасть в "серую" экономику.  Это означает бо</w:t>
      </w:r>
      <w:r>
        <w:rPr>
          <w:rFonts w:ascii="Tahoma" w:hAnsi="Tahoma" w:cs="Tahoma"/>
        </w:rPr>
        <w:t></w:t>
      </w:r>
      <w:r>
        <w:t>льшую конкурентоспособность серой экономики по сравнению с формальным сектором, что обусловлено более массовым привлечением молодежи, являющейся более производительной рабочей силой.</w:t>
      </w:r>
    </w:p>
    <w:p w:rsidR="00000000" w:rsidRDefault="00000000"/>
    <w:p w:rsidR="00000000" w:rsidRDefault="00000000">
      <w:r>
        <w:t>139.</w:t>
      </w:r>
      <w:r>
        <w:tab/>
        <w:t xml:space="preserve">Особенно неблагополучными группами в отношении занятости являются престарелые работники, трудящиеся-инвалиды и лица с особыми потребностями.  В Федерации Боснии и Герцеговины насчитывается 70 000 трудящихся-инвалидов </w:t>
      </w:r>
      <w:r>
        <w:noBreakHyphen/>
        <w:t xml:space="preserve"> 49 916 относятся к категории </w:t>
      </w:r>
      <w:r>
        <w:rPr>
          <w:lang w:val="en-US"/>
        </w:rPr>
        <w:t>I</w:t>
      </w:r>
      <w:r>
        <w:t xml:space="preserve"> (полностью нетрудоспособны) и 14 500 </w:t>
      </w:r>
      <w:r>
        <w:noBreakHyphen/>
        <w:t xml:space="preserve"> к категории </w:t>
      </w:r>
      <w:r>
        <w:rPr>
          <w:lang w:val="en-US"/>
        </w:rPr>
        <w:t>II</w:t>
      </w:r>
      <w:r>
        <w:t xml:space="preserve"> (физическая инвалидность вследствие несчастных случаев на производстве и профессиональных заболеваний, а также несчастных случаев вне производства).</w:t>
      </w:r>
    </w:p>
    <w:p w:rsidR="00000000" w:rsidRDefault="00000000"/>
    <w:p w:rsidR="00000000" w:rsidRDefault="00000000">
      <w:r>
        <w:t>140.</w:t>
      </w:r>
      <w:r>
        <w:tab/>
        <w:t xml:space="preserve">Права на труд инвалидов категории </w:t>
      </w:r>
      <w:r>
        <w:rPr>
          <w:lang w:val="en-US"/>
        </w:rPr>
        <w:t>II</w:t>
      </w:r>
      <w:r>
        <w:t xml:space="preserve"> определяются положениями о страховании по пенсии и инвалидности.  И все же обеспечение прав этой категории лиц находится под еще большей угрозой, поскольку в ходе процесса приватизации эти лица обычно остаются без работы.  Безработные ветераны войны и инвалиды едва ли могут воспользоваться своими правами на занятость в условиях массовой общей безработицы.</w:t>
      </w:r>
    </w:p>
    <w:p w:rsidR="00000000" w:rsidRDefault="00000000"/>
    <w:p w:rsidR="00000000" w:rsidRDefault="00000000">
      <w:r>
        <w:t>141.</w:t>
      </w:r>
      <w:r>
        <w:tab/>
        <w:t>Устраняются архитектурные и другие физические препятствия, и уже многие такие препятствия в общественных зданиях в городах были устранены.  Препятствия все еще существуют при подходе к школам, университетам, предприятиям торговли и общественного питания, жилым домам, транспортным средствам и т.д.</w:t>
      </w:r>
    </w:p>
    <w:p w:rsidR="00000000" w:rsidRDefault="00000000"/>
    <w:p w:rsidR="00000000" w:rsidRDefault="00000000">
      <w:r>
        <w:t>142.</w:t>
      </w:r>
      <w:r>
        <w:tab/>
        <w:t>Особую проблему представляет собой обучение инвалидов в школах, которые в силу наличия архитектурных и технических препятствий не могут обучаться в обычных классах в средних школах.  Помимо физических препятствий, существуют также препятствия в плане обеспечения равных прав инвалидов на выбор рода занятий и образования.  В Республике Сербской существуют только четыре специальности, которыми могут заниматься лица с недостаточным слухом, и все они относятся к категории ремесленничества.  Это ставит их в неблагоприятное положение по сравнению с другими работниками.</w:t>
      </w:r>
    </w:p>
    <w:p w:rsidR="00000000" w:rsidRDefault="00000000"/>
    <w:p w:rsidR="00000000" w:rsidRDefault="00000000">
      <w:r>
        <w:t>143.</w:t>
      </w:r>
      <w:r>
        <w:tab/>
        <w:t>По оценке, данной в докладе ИКОУЖ по уровню жизни, около 170 000 человек в Боснии и Герцеговине зарабатывают свои доходы на "сером" рынке, хотя официально они считаются занятыми в основном в государственных компаниях.  Отчасти это объясняется тем, что, например, в 2001 году было зарегистрировано около 160 000 работников, зарплата которым была задержана на два месяца или более.</w:t>
      </w:r>
    </w:p>
    <w:p w:rsidR="00000000" w:rsidRDefault="00000000"/>
    <w:p w:rsidR="00000000" w:rsidRDefault="00000000">
      <w:r>
        <w:t>144.</w:t>
      </w:r>
      <w:r>
        <w:tab/>
        <w:t>В сфере профессиональной ориентации, подготовки и выбора профессии не существует никакой дискриминации по признаку пола, расы, цвета кожи или этнического происхождения.</w:t>
      </w:r>
    </w:p>
    <w:p w:rsidR="00000000" w:rsidRDefault="00000000"/>
    <w:p w:rsidR="00000000" w:rsidRDefault="00000000">
      <w:r>
        <w:t>145.</w:t>
      </w:r>
      <w:r>
        <w:tab/>
        <w:t xml:space="preserve">В соответствии с положениями трудового законодательства Образований, одновременная занятость в течение полного рабочего дня у двух работодателей не допускается, несмотря на то, что это может обеспечить более высокий уровень жизни тому или иному работнику и его семье, поэтому каждая такая работа считается незарегистрированной работой.  Законодательство допускает так называемую дополнительную работу, которая может выполняться лицами определенных профессий.  Однако, если эту работу также выполняет работодатель, на которого работает соответствующее лицо, то это лицо обязано получить специальное разрешение от работодателя на выполнение такой дополнительной работы. </w:t>
      </w:r>
    </w:p>
    <w:p w:rsidR="00000000" w:rsidRDefault="00000000"/>
    <w:p w:rsidR="00000000" w:rsidRDefault="00000000">
      <w:pPr>
        <w:rPr>
          <w:b/>
          <w:bCs/>
        </w:rPr>
      </w:pPr>
      <w:r>
        <w:rPr>
          <w:b/>
          <w:bCs/>
        </w:rPr>
        <w:t>Программы профессиональной подготовки</w:t>
      </w:r>
    </w:p>
    <w:p w:rsidR="00000000" w:rsidRDefault="00000000">
      <w:pPr>
        <w:rPr>
          <w:b/>
          <w:bCs/>
        </w:rPr>
      </w:pPr>
    </w:p>
    <w:p w:rsidR="00000000" w:rsidRDefault="00000000">
      <w:r>
        <w:t>146.</w:t>
      </w:r>
      <w:r>
        <w:tab/>
        <w:t xml:space="preserve">Государственные программы профессиональной подготовки разрабатываются и осуществляются трудовыми бюро и проектными группами, учрежденными при соответствующих министерствах.  Они связаны с проектами Всемирного банка (программами переподготовки демобилизованных солдат и поддержки улучшения экономического положения семей возвращенцев) и направлены на профессиональную подготовку и финансовую поддержку с целью развития фермерства и ремесел.  </w:t>
      </w:r>
    </w:p>
    <w:p w:rsidR="00000000" w:rsidRDefault="00000000"/>
    <w:p w:rsidR="00000000" w:rsidRDefault="00000000">
      <w:r>
        <w:t>147.</w:t>
      </w:r>
      <w:r>
        <w:tab/>
        <w:t>Действующими в Боснии и Герцеговине местными и международными НПО разработан и осуществляется гораздо более широкий спектр программ.  На этой основе Федеральное бюро занятости оказывало финансовую поддержку в 2000 году по следующим направлениям:</w:t>
      </w:r>
    </w:p>
    <w:p w:rsidR="00000000" w:rsidRDefault="00000000"/>
    <w:p w:rsidR="00000000" w:rsidRDefault="00000000">
      <w:pPr>
        <w:ind w:left="1134" w:hanging="1134"/>
      </w:pPr>
      <w:r>
        <w:tab/>
      </w:r>
      <w:r>
        <w:noBreakHyphen/>
      </w:r>
      <w:r>
        <w:tab/>
        <w:t>программы обеспечения новых рабочих мест и создания условий для трудоустройства зарегистрированных лиц;</w:t>
      </w:r>
    </w:p>
    <w:p w:rsidR="00000000" w:rsidRDefault="00000000">
      <w:pPr>
        <w:ind w:left="1134" w:hanging="1134"/>
      </w:pPr>
    </w:p>
    <w:p w:rsidR="00000000" w:rsidRDefault="00000000">
      <w:pPr>
        <w:ind w:left="1134" w:hanging="1134"/>
      </w:pPr>
      <w:r>
        <w:tab/>
      </w:r>
      <w:r>
        <w:noBreakHyphen/>
      </w:r>
      <w:r>
        <w:tab/>
        <w:t>индивидуальные программы занятости;</w:t>
      </w:r>
    </w:p>
    <w:p w:rsidR="00000000" w:rsidRDefault="00000000">
      <w:pPr>
        <w:ind w:left="1134" w:hanging="1134"/>
      </w:pPr>
    </w:p>
    <w:p w:rsidR="00000000" w:rsidRDefault="00000000">
      <w:pPr>
        <w:ind w:left="1134" w:hanging="1134"/>
      </w:pPr>
      <w:r>
        <w:tab/>
      </w:r>
      <w:r>
        <w:noBreakHyphen/>
      </w:r>
      <w:r>
        <w:tab/>
        <w:t>программы, ориентированные на конкретные группы безработных (женщины, молодежь, инвалиды);</w:t>
      </w:r>
    </w:p>
    <w:p w:rsidR="00000000" w:rsidRDefault="00000000">
      <w:pPr>
        <w:ind w:left="1134" w:hanging="1134"/>
      </w:pPr>
    </w:p>
    <w:p w:rsidR="00000000" w:rsidRDefault="00000000">
      <w:pPr>
        <w:ind w:left="1134" w:hanging="1134"/>
      </w:pPr>
      <w:r>
        <w:tab/>
      </w:r>
      <w:r>
        <w:noBreakHyphen/>
      </w:r>
      <w:r>
        <w:tab/>
        <w:t>программы профессиональной подготовки и повышения квалификации;</w:t>
      </w:r>
    </w:p>
    <w:p w:rsidR="00000000" w:rsidRDefault="00000000">
      <w:pPr>
        <w:ind w:left="1134" w:hanging="1134"/>
      </w:pPr>
    </w:p>
    <w:p w:rsidR="00000000" w:rsidRDefault="00000000">
      <w:pPr>
        <w:ind w:left="1134" w:hanging="1134"/>
      </w:pPr>
      <w:r>
        <w:tab/>
      </w:r>
      <w:r>
        <w:noBreakHyphen/>
      </w:r>
      <w:r>
        <w:tab/>
        <w:t>специальная программа развития малоосвоенных районов в Федерации Боснии и Герцеговины;  и</w:t>
      </w:r>
    </w:p>
    <w:p w:rsidR="00000000" w:rsidRDefault="00000000">
      <w:pPr>
        <w:ind w:left="1134" w:hanging="1134"/>
      </w:pPr>
    </w:p>
    <w:p w:rsidR="00000000" w:rsidRDefault="00000000">
      <w:r>
        <w:tab/>
      </w:r>
      <w:r>
        <w:noBreakHyphen/>
      </w:r>
      <w:r>
        <w:tab/>
        <w:t>программы для возвращенцев.</w:t>
      </w:r>
    </w:p>
    <w:p w:rsidR="00000000" w:rsidRDefault="00000000"/>
    <w:p w:rsidR="00000000" w:rsidRDefault="00000000">
      <w:r>
        <w:t>148.</w:t>
      </w:r>
      <w:r>
        <w:tab/>
        <w:t>В 2002 году Федеральное бюро занятости оказывало поддержку в осуществлении 1 803 программ, предоставляя утвержденные кредитные средства.  Предполагается, что в рамках этих программ занятостью будут обеспечены 6 000 человек, зарегистрированных в качестве безработных, помимо завершения профессиональной переподготовки и изменения квалификации 1 649 работников.</w:t>
      </w:r>
    </w:p>
    <w:p w:rsidR="00000000" w:rsidRDefault="00000000"/>
    <w:p w:rsidR="00000000" w:rsidRDefault="00000000">
      <w:r>
        <w:t>149.</w:t>
      </w:r>
      <w:r>
        <w:tab/>
        <w:t xml:space="preserve">В 2003 году Федеральным бюро была разработана программа обеспечения занятостью молодых выпускников университетов.  Эта программа, которая, в частности, направлена на то, чтобы предотвратить отъезд молодежи за границу, распространяется на выпускников, зарегистрированных в Бюро в качестве безработных.  Программа предусматривает меры совместного финансирования на рынке труда в частном секторе, части государственного сектора, за исключением административных органов, и совместного финансирования в областях, где существует особая потребность в определенных профессиях.  В ее рамках планируется обеспечить работой 1 000 молодых безработных. </w:t>
      </w:r>
    </w:p>
    <w:p w:rsidR="00000000" w:rsidRDefault="00000000"/>
    <w:p w:rsidR="00000000" w:rsidRDefault="00000000">
      <w:r>
        <w:t>150.</w:t>
      </w:r>
      <w:r>
        <w:tab/>
        <w:t>Программа профессиональной и технической подготовки была разработана и осуществляется Бюро трудоустройства Республики Сербской.  Работодатели обычно используют средства на цели, одобренные Бюро, поскольку такая профессиональная подготовка относится к категории мер, осуществляемых Бюро.  (В приложении можно ознакомиться с перечнем соответствующих положений.)</w:t>
      </w:r>
    </w:p>
    <w:p w:rsidR="00000000" w:rsidRDefault="00000000"/>
    <w:p w:rsidR="00000000" w:rsidRDefault="00000000">
      <w:pPr>
        <w:jc w:val="center"/>
        <w:rPr>
          <w:b/>
          <w:bCs/>
        </w:rPr>
      </w:pPr>
      <w:r>
        <w:rPr>
          <w:b/>
          <w:bCs/>
        </w:rPr>
        <w:t>Статья 7</w:t>
      </w:r>
    </w:p>
    <w:p w:rsidR="00000000" w:rsidRDefault="00000000">
      <w:pPr>
        <w:jc w:val="center"/>
        <w:rPr>
          <w:b/>
          <w:bCs/>
        </w:rPr>
      </w:pPr>
    </w:p>
    <w:p w:rsidR="00000000" w:rsidRDefault="00000000">
      <w:pPr>
        <w:rPr>
          <w:b/>
          <w:bCs/>
        </w:rPr>
      </w:pPr>
      <w:r>
        <w:rPr>
          <w:b/>
          <w:bCs/>
        </w:rPr>
        <w:t>Ратифицированные международные договоры</w:t>
      </w:r>
    </w:p>
    <w:p w:rsidR="00000000" w:rsidRDefault="00000000">
      <w:pPr>
        <w:rPr>
          <w:b/>
          <w:bCs/>
        </w:rPr>
      </w:pPr>
    </w:p>
    <w:p w:rsidR="00000000" w:rsidRDefault="00000000">
      <w:r>
        <w:t>151.</w:t>
      </w:r>
      <w:r>
        <w:tab/>
        <w:t>Босния и Герцеговина ратифицировала следующие конвенции МОТ:</w:t>
      </w:r>
    </w:p>
    <w:p w:rsidR="00000000" w:rsidRDefault="00000000"/>
    <w:p w:rsidR="00000000" w:rsidRDefault="00000000">
      <w:pPr>
        <w:ind w:left="1134" w:hanging="1134"/>
      </w:pPr>
      <w:r>
        <w:tab/>
        <w:t>-</w:t>
      </w:r>
      <w:r>
        <w:tab/>
        <w:t>Конвенцию об установлении минимальной заработной платы 1970 года (№ 131);</w:t>
      </w:r>
    </w:p>
    <w:p w:rsidR="00000000" w:rsidRDefault="00000000">
      <w:pPr>
        <w:ind w:left="1134" w:hanging="1134"/>
      </w:pPr>
    </w:p>
    <w:p w:rsidR="00000000" w:rsidRDefault="00000000">
      <w:pPr>
        <w:ind w:left="1134" w:hanging="1134"/>
      </w:pPr>
      <w:r>
        <w:tab/>
        <w:t>-</w:t>
      </w:r>
      <w:r>
        <w:tab/>
        <w:t>Конвенцию о равном вознаграждении 1951 года (№ 100);</w:t>
      </w:r>
    </w:p>
    <w:p w:rsidR="00000000" w:rsidRDefault="00000000">
      <w:pPr>
        <w:ind w:left="1134" w:hanging="1134"/>
      </w:pPr>
    </w:p>
    <w:p w:rsidR="00000000" w:rsidRDefault="00000000">
      <w:pPr>
        <w:ind w:left="1134" w:hanging="1134"/>
      </w:pPr>
      <w:r>
        <w:tab/>
        <w:t>-</w:t>
      </w:r>
      <w:r>
        <w:tab/>
        <w:t>Конвенцию о еженедельном отдыхе 1921 года (№ 14);</w:t>
      </w:r>
    </w:p>
    <w:p w:rsidR="00000000" w:rsidRDefault="00000000">
      <w:pPr>
        <w:ind w:left="1134" w:hanging="1134"/>
      </w:pPr>
    </w:p>
    <w:p w:rsidR="00000000" w:rsidRDefault="00000000">
      <w:pPr>
        <w:ind w:left="1134" w:hanging="1134"/>
      </w:pPr>
      <w:r>
        <w:tab/>
        <w:t>-</w:t>
      </w:r>
      <w:r>
        <w:tab/>
        <w:t>Конвенцию об оплачиваемых отпусках 1970 года (№ 132);</w:t>
      </w:r>
    </w:p>
    <w:p w:rsidR="00000000" w:rsidRDefault="00000000">
      <w:pPr>
        <w:ind w:left="1134" w:hanging="1134"/>
      </w:pPr>
    </w:p>
    <w:p w:rsidR="00000000" w:rsidRDefault="00000000">
      <w:pPr>
        <w:ind w:left="1134" w:hanging="1134"/>
      </w:pPr>
      <w:r>
        <w:tab/>
        <w:t>-</w:t>
      </w:r>
      <w:r>
        <w:tab/>
        <w:t>Конвенцию о безопасности и гигиене труда 1981 года (№ 155);</w:t>
      </w:r>
    </w:p>
    <w:p w:rsidR="00000000" w:rsidRDefault="00000000">
      <w:pPr>
        <w:ind w:left="1134" w:hanging="1134"/>
      </w:pPr>
    </w:p>
    <w:p w:rsidR="00000000" w:rsidRDefault="00000000">
      <w:pPr>
        <w:ind w:left="1134" w:hanging="1134"/>
      </w:pPr>
      <w:r>
        <w:tab/>
        <w:t>-</w:t>
      </w:r>
      <w:r>
        <w:tab/>
        <w:t>Конвенцию об инспекции труда 1947 года (№ 81).</w:t>
      </w:r>
    </w:p>
    <w:p w:rsidR="00000000" w:rsidRDefault="00000000">
      <w:pPr>
        <w:ind w:left="1134" w:hanging="1134"/>
      </w:pPr>
    </w:p>
    <w:p w:rsidR="00000000" w:rsidRDefault="00000000">
      <w:pPr>
        <w:ind w:left="1134" w:hanging="1134"/>
      </w:pPr>
      <w:r>
        <w:rPr>
          <w:b/>
          <w:bCs/>
        </w:rPr>
        <w:t>Право на справедливое вознаграждение</w:t>
      </w:r>
    </w:p>
    <w:p w:rsidR="00000000" w:rsidRDefault="00000000">
      <w:pPr>
        <w:ind w:left="1134" w:hanging="1134"/>
      </w:pPr>
    </w:p>
    <w:p w:rsidR="00000000" w:rsidRDefault="00000000">
      <w:r>
        <w:t>152.</w:t>
      </w:r>
      <w:r>
        <w:tab/>
        <w:t>Зарплата в Боснии и Герцеговине регулируется генеральными коллективными договорами и отраслевыми коллективными договорами.  В соответствии с положениями Закона о трудовых отношениях минимальная зарплата в Федерации Боснии и Герцеговины определяется на основе коллективных договоров и положений трудового законодательства.  В соответствии с генеральным коллективным договором, заключенным в мае 2000 года, минимальная зарплата устанавливается отраслевыми коллективными договорами, и она не может быть меньше 55% средней зарплаты в Федерации, согласно последним опубликованным статистическим данным.  Это значит, что минимальная зарплата является переменной категорией и ее номинальная величина увеличивается или уменьшается в зависимости от колебаний уровня средней зарплаты.</w:t>
      </w:r>
    </w:p>
    <w:p w:rsidR="00000000" w:rsidRDefault="00000000"/>
    <w:p w:rsidR="00000000" w:rsidRDefault="00000000">
      <w:r>
        <w:t>153.</w:t>
      </w:r>
      <w:r>
        <w:tab/>
        <w:t xml:space="preserve"> В Республике Сербской генеральным коллективным договором устанавливается гарантированная зарплата в размере до 65% зарплаты, которую работник получал в течение последних трех месяцев.  Она сохраняется в задолженности, если работодатель испытывает финансовые трудности, но на срок, не превышающий шести месяцев.  Минимальная стоимость рабочей силы определяется на уровне Республики Сербской, т.е. на уровне отраслей и деятельности, и умножается на коэффициент сложности работы, выполняемой каждой оплачиваемой группой.  </w:t>
      </w:r>
    </w:p>
    <w:p w:rsidR="00000000" w:rsidRDefault="00000000"/>
    <w:p w:rsidR="00000000" w:rsidRDefault="00000000">
      <w:r>
        <w:t>154.</w:t>
      </w:r>
      <w:r>
        <w:tab/>
        <w:t>Работодатель, заключивший коллективный договор, должен определить свои трудовые положения, разработанные во взаимодействии с профсоюзом, установить минимальную зарплату, которая не может быть меньше минимальной зарплаты, установленной отраслевым профсоюзом.  Однако в соответствии с правовыми положениями и нормами, основанными на конвенциях, касающихся профсоюзных свобод и коллективных договоров, а также принципом, в соответствии с которым коллективный договор является обязательным только для некоторых его сторон, в Федерации Боснии и Герцеговины положения генерального коллективного договора применяются только в компаниях, в которых собственником бо</w:t>
      </w:r>
      <w:r>
        <w:rPr>
          <w:rFonts w:ascii="Tahoma" w:hAnsi="Tahoma" w:cs="Tahoma"/>
        </w:rPr>
        <w:t></w:t>
      </w:r>
      <w:r>
        <w:t xml:space="preserve">льшей части акций является государство.  </w:t>
      </w:r>
    </w:p>
    <w:p w:rsidR="00000000" w:rsidRDefault="00000000"/>
    <w:p w:rsidR="00000000" w:rsidRDefault="00000000">
      <w:r>
        <w:t>155.</w:t>
      </w:r>
      <w:r>
        <w:tab/>
        <w:t>Частные работодатели, которые не заключили коллективных договоров или не присоединились к ним впоследствии, не обязаны соблюдать их положения, включая положения о минимальной зарплате.  Статья 116 Закона о трудовых отношениях Федерации Боснии и Герцеговины (</w:t>
      </w:r>
      <w:r>
        <w:rPr>
          <w:i/>
          <w:iCs/>
        </w:rPr>
        <w:t>Официальная газета</w:t>
      </w:r>
      <w:r>
        <w:t xml:space="preserve">, 43/99;  32/00 и 29/03).  Если в Федерации Боснии и Герцеговины проявляется интерес, то федеральный министр может расширить сферу применения коллективных договоров на других юридических лиц, если он считает это уместным, даже если они не участвовали в согласовании и заключении договора и не присоединились к нему впоследствии.  При принятии соответствующего решения министр может запрашивать мнения профсоюзов, работодателей или ассоциаций трудящихся, на которые предполагается распространить сферу применения договора.  </w:t>
      </w:r>
    </w:p>
    <w:p w:rsidR="00000000" w:rsidRDefault="00000000"/>
    <w:p w:rsidR="00000000" w:rsidRDefault="00000000">
      <w:r>
        <w:t>156.</w:t>
      </w:r>
      <w:r>
        <w:tab/>
        <w:t xml:space="preserve">Даже хотя в Федерации Боснии и Герцеговины есть работники, на которых распространяются положения коллективного договора, компетентный министр еще не решил, стоит ли расширять сферу применения коллективного договора, даже если он получает мнение профсоюза и ассоциации работодателей.  На основе статьи 130 этого же закона и с целью упорядочения экономической и социальной политики, т.е. учета интересов работников и работодателей, а также с целью содействия заключению и реализации коллективных договоров может быть образован экономическо-социальный совет.  Он был создан в начале 2002 года в обоих Образованиях.  Профсоюзы Федерации Боснии и Герцеговины и Республики Сербской начали мероприятия по созданию такого совета с теми же задачами и целями в качестве одной из форм трехсторонних переговоров.  Как представляется, возникла необходимость нахождения соответствующей формы организации для профсоюзов Боснии и Герцеговины в качестве зонтичной профсоюзной организации.  Такая организация, в частности, могла бы быть партнером Совета министров Боснии и Герцеговины в экономических и социальных вопросах.  Осуществление коллективных договоров в Республике Сербской в частном секторе обязало работодателей использовать практику заключения специальных секторальных коллективных договоров, несмотря на тот факт, что они их не согласовывали.  Без выполнения отраслевых коллективных договоров невозможно было бы выполнить подзаконные акты, определяющие уровни зарплаты работников.  </w:t>
      </w:r>
    </w:p>
    <w:p w:rsidR="00000000" w:rsidRDefault="00000000"/>
    <w:p w:rsidR="00000000" w:rsidRDefault="00000000">
      <w:r>
        <w:t>157.</w:t>
      </w:r>
      <w:r>
        <w:tab/>
        <w:t>Представители обоих профсоюзов после посредничества предложили заключить соглашение о создании конфедерации профсоюзов Боснии и Герцеговины, которое в настоящее время находится на этапе принятия и подписания.  Правительство пока не признало профсоюзы в качестве равноправных партнеров.  Европейская практика - когда правительства и профсоюзы решают основные вопросы путем переговоров - очень медленно внедряется внутри страны.  Именно поэтому методом, который продолжает использоваться в Боснии и Герцеговине, являются забастовки, особенно голодовки, которые используются по всей стране в качестве основного средства удовлетворения обоснованных запросов трудящихся.</w:t>
      </w:r>
    </w:p>
    <w:p w:rsidR="00000000" w:rsidRDefault="00000000"/>
    <w:p w:rsidR="00000000" w:rsidRDefault="00000000">
      <w:r>
        <w:t>158.</w:t>
      </w:r>
      <w:r>
        <w:tab/>
        <w:t>Что касается определения уровня заработной платы на уровне Совета министров, то в Законе о государственной службе в учреждениях Боснии и Герцеговины установлены критерии определения заработной платы, начисления заработной платы и структуры заработной платы государственных служащих в совместных учреждениях.  При определении размеров заработной платы всех государственных служащих используется одна и та же точка отсчета, и она определяется Советом министров Боснии и Герцеговины.  Эта основа определяется ежеквартально по предложению министерства финансов.  Государственные служащие классифицируются по шести разрядам заработной платы, а коэффициенты для каждого разряда определяются Советом министров.</w:t>
      </w:r>
    </w:p>
    <w:p w:rsidR="00000000" w:rsidRDefault="00000000"/>
    <w:p w:rsidR="00000000" w:rsidRDefault="00000000">
      <w:r>
        <w:t>159.</w:t>
      </w:r>
      <w:r>
        <w:tab/>
        <w:t>Размер зарплаты определяется на основе базового размера зарплаты, который умножается на определенный коэффициент, плюс надбавка за стаж.  С целью обеспечения уплаты обязательных взносов по социальному обеспечению и пенсионному страхованию власти Федерации разработали правила и положения по взносам и подоходному налогу, с тем чтобы определить минимальную основу для расчета размеров взносов и налогов, вплоть до 55% от последнего статистически зарегистрированного оклада.  Это обязывает работодателей рассчитывать свои платежные обязательства.</w:t>
      </w:r>
    </w:p>
    <w:p w:rsidR="00000000" w:rsidRDefault="00000000"/>
    <w:p w:rsidR="00000000" w:rsidRDefault="00000000">
      <w:r>
        <w:t>160.</w:t>
      </w:r>
      <w:r>
        <w:tab/>
        <w:t>Отсутствие положений, регулирующих минимальный размер зарплаты, открывает возможности для нарушений экономических и социальных прав, особенно частными работодателями.  В категории работников, не охваченных системой минимальной зарплаты или компенсационными механизмами, входят лица, уволенные во время войны, главным образом в порядке дискриминации по признаку этнического происхождения.  К этой категории относится большинство пожилых работников, которые в связи с тем, что их стаж был прерван, не имеют права на получение пенсий или пособий по безработице, поскольку сроки регистрации истекли.</w:t>
      </w:r>
    </w:p>
    <w:p w:rsidR="00000000" w:rsidRDefault="00000000"/>
    <w:p w:rsidR="00000000" w:rsidRDefault="00000000">
      <w:r>
        <w:t>161.</w:t>
      </w:r>
      <w:r>
        <w:tab/>
        <w:t xml:space="preserve">Как отмечалось выше, заработная плата в обоих Образованиях определяется на основе коллективных договоров и не подлежит правовому регулированию (за исключением минимальной зарплаты в случае банкротства в Республике Сербской).  </w:t>
      </w:r>
    </w:p>
    <w:p w:rsidR="00000000" w:rsidRDefault="00000000"/>
    <w:p w:rsidR="00000000" w:rsidRDefault="00000000">
      <w:r>
        <w:t>162.</w:t>
      </w:r>
      <w:r>
        <w:tab/>
        <w:t>Определение минимальной заработной платы не связано со стоимостью потребительской корзины, которая, насколько нам известно, значительно выше минимальной заработной платы.  Во многих случаях работодатели в Боснии и Герцеговине не в состоянии выплачивать даже минимальную заработную плату, т.е. гарантированный оклад.  Контроль за уровнями заработной платы осуществляется инспекционными органами, но такого наблюдения недостаточно.</w:t>
      </w:r>
    </w:p>
    <w:p w:rsidR="00000000" w:rsidRDefault="00000000"/>
    <w:p w:rsidR="00000000" w:rsidRDefault="00000000">
      <w:r>
        <w:t>163.</w:t>
      </w:r>
      <w:r>
        <w:tab/>
        <w:t>Помимо проблем, связанных с низкими заработными платами по всей Боснии и Герцеговине, компенсационная система также отягощена другими платежами, которые не известны в рыночной экономике.  Хотя в рыночной экономике уровни заработной платы зависят от производительности рабочей силы, по</w:t>
      </w:r>
      <w:r>
        <w:noBreakHyphen/>
        <w:t xml:space="preserve">прежнему используется практика предоставления выплат на основе стажа и уровня образования, что влияет на мобильность рабочей силы.  Для исправления существующего положения в будущем необходима деятельность по созданию соответствующих органов на всех уровнях с целью включения работодателей в трехсторонний диалог и придания компенсационной системе большей гибкости.  Кроме того, было бы полезно разработать программы трудоустройства для некоторых групп молодежи, находящихся в особенно трудном положении, таких, как сироты или лица, бросившие школу, в особенности посредством предоставления субсидий компаниям, принимающим их на работу, и внедрения практики обучения без отрыва от производства.  </w:t>
      </w:r>
    </w:p>
    <w:p w:rsidR="00000000" w:rsidRDefault="00000000"/>
    <w:p w:rsidR="00000000" w:rsidRDefault="00000000">
      <w:r>
        <w:t>164.</w:t>
      </w:r>
      <w:r>
        <w:tab/>
        <w:t xml:space="preserve">В переговорах по заключению коллективных договоров работодатели не участвуют, и в результате минимальная заработная плата не привлекает молодую, высокопроизводительную рабочую силу.  Бюро трудоустройства, которые были созданы в соответствии с Конституцией, разработанной на основе Дейтонского соглашения, были организованы на уровне Образований и кантонов в Федерации Боснии и Герцеговины и в качестве единого централизованного учреждения в Республике Сербской.  Они имеют весьма ограниченную сферу деятельности.  Мы продолжаем работу по преобразованию данного института.  В новом Законе о Совете министров поставлена задача по правовому преобразованию бывшего Агентства занятости Боснии и Герцеговины.  </w:t>
      </w:r>
    </w:p>
    <w:p w:rsidR="00000000" w:rsidRDefault="00000000"/>
    <w:p w:rsidR="00000000" w:rsidRDefault="00000000">
      <w:r>
        <w:t>165.</w:t>
      </w:r>
      <w:r>
        <w:tab/>
        <w:t>Бюро трудоустройства являются неэффективными и не оказывают достаточной поддержки в вопросах трудоустройства, даже несмотря на то, что по всей Боснии и Герцеговине этим бюро предоставляются значительные средства в рамках программ обеспечения занятости.  Пока практика показывает, что как бюро трудоустройства, так и кантональные отделы трудоустройства сами решают, какие проекты стоит финансировать.  В Федерации Боснии и Герцеговины выпускаются займы, а в Республике Сербской предоставляются субсидии, и в обоих случаях используются услуги банков.  Эта система распределения средств, в которой бюро трудоустройства выполняют роль банков, является несоответствующей, поскольку эти учреждения не могут квалифицированно проводить кредитный анализ и оценку рисков.  С другой стороны, весьма большие сомнения вызывает практика контроля средств самими компаниями.  За свою прежнюю практику оба бюро трудоустройства не смогли осуществлять регулярный контроль за соблюдением обязательств в отношении займов и грантов (данные Всемирного банка об осуществлении проектов).</w:t>
      </w:r>
    </w:p>
    <w:p w:rsidR="00000000" w:rsidRDefault="00000000"/>
    <w:p w:rsidR="00000000" w:rsidRDefault="00000000">
      <w:r>
        <w:t>166.</w:t>
      </w:r>
      <w:r>
        <w:tab/>
        <w:t>В силу вышеизложенного в предстоящий период будет необходимо проводить работу по расширению возможностей бюро трудоустройства в сфере выявления специализации и посредничества в поиске работы.  Кроме того, более активная роль бюро трудоустройства будет необходима для удовлетворения критериев распределения пособий, особенно медицинских пособий, в случае безработицы.  Необходимо направлять часть ресурсов, собираемых бюро, на финансирование программ переподготовки или дополнительной профессиональной подготовки в соответствии с рыночными требованиями.  Следует уделять внимание выполнению обязательств по средствам, уже выделенным на программы трудоустройства, и это особенно связано с тем, что с окончания войны бюро трудоустройства Федерации и Республики Сербской собрали на эти цели около 450 млн. КМ.  Следует усилить контроль со стороны компетентных министерств Образований и других органов, более непосредственно занимающихся этими и аналогичными вопросами.</w:t>
      </w:r>
    </w:p>
    <w:p w:rsidR="00000000" w:rsidRDefault="00000000"/>
    <w:p w:rsidR="00000000" w:rsidRDefault="00000000">
      <w:r>
        <w:t>167.</w:t>
      </w:r>
      <w:r>
        <w:tab/>
        <w:t>Поскольку в Боснии и Герцеговине существует массовая безработица, необходимо проводить срочные реформы, которые приведут в ближайшей перспективе даже к еще более высокой безработице.  По крайней мере в том что касается статистики, в настоящее время имеется большее число работников, которые формально являются занятыми, но не получают зарплаты или пособий.  Это значит, что в действительности какого-либо значительного сокращения рабочих мест (занятых работниками, получающими зарплату и пособия) не предвидится.  Тем не менее нынешние масштабы безработицы требуют разработки эффективной стратегии трудоустройства.  Предполагается, что в предстоящий период больше работников будет обращаться в бюро трудоустройства, поэтому задачи правительств Федерации и Боснии и Герцеговины, Республики Сербской и Района Брчко заключаются в проведении срочной подготовки к учреждению фондов социального обеспечения, с тем чтобы предоставить краткосрочную помощь всем, в особенности тем, кто, как предполагается, может потерять работу при проведении активных реформ.</w:t>
      </w:r>
    </w:p>
    <w:p w:rsidR="00000000" w:rsidRDefault="00000000"/>
    <w:p w:rsidR="00000000" w:rsidRDefault="00000000">
      <w:r>
        <w:t>168.</w:t>
      </w:r>
      <w:r>
        <w:tab/>
        <w:t>В рамках мер, которые Бюро трудоустройства Республики Сербской должно осуществить на основе Закона о трудоустройстве, посредством совместного финансирования программ создания рабочих мест были определены активные меры обеспечения занятости.</w:t>
      </w:r>
    </w:p>
    <w:p w:rsidR="00000000" w:rsidRDefault="00000000"/>
    <w:p w:rsidR="00000000" w:rsidRDefault="00000000">
      <w:r>
        <w:t>169.</w:t>
      </w:r>
      <w:r>
        <w:tab/>
        <w:t>В последующем Боснии и Герцеговине следует полагаться на предпринимательство и устойчивый рост частного сектора.  Многие образовавшиеся компании находятся в очень трудном положении в связи с отсутствием адекватной кредитной политики, хотя они являются основной базой обеспечения занятостью молодой и более производительной рабочей силы, которая представляет собой самую большую категорию безработных.</w:t>
      </w:r>
    </w:p>
    <w:p w:rsidR="00000000" w:rsidRDefault="00000000"/>
    <w:p w:rsidR="00000000" w:rsidRDefault="00000000">
      <w:r>
        <w:t>170.</w:t>
      </w:r>
      <w:r>
        <w:tab/>
        <w:t>Права на перерывы, выходные дни и отпуска (в течение дня, недели, года), продолжительность рабочего дня и оплачиваемые выходные во время государственных праздников регулируются положениями трудового законодательства и коллективных договоров.  Продолжительность рабочего дня регулируется законами Образований;  установлена 40-часовая рабочая неделя.  Право на оплачиваемый ежегодный отпуск продолжительностью не менее 18 рабочих дней в календарном году предоставляется после шести месяцев непрерывного стажа.</w:t>
      </w:r>
    </w:p>
    <w:p w:rsidR="00000000" w:rsidRDefault="00000000"/>
    <w:p w:rsidR="00000000" w:rsidRDefault="00000000">
      <w:r>
        <w:t>171.</w:t>
      </w:r>
      <w:r>
        <w:tab/>
        <w:t>По закону несовершеннолетний работник имеет право на ежегодный отпуск продолжительностью не менее двух рабочих дней, а работник, который не может быть защищен от воздействия вредных веществ на работе, несмотря на все меры защиты, имеет право на ежегодный отпуск продолжительностью не менее 30 рабочих дней.</w:t>
      </w:r>
    </w:p>
    <w:p w:rsidR="00000000" w:rsidRDefault="00000000"/>
    <w:p w:rsidR="00000000" w:rsidRDefault="00000000">
      <w:r>
        <w:t>172.</w:t>
      </w:r>
      <w:r>
        <w:tab/>
        <w:t xml:space="preserve">Продолжительность ежегодных отпусков, с должным учетом минимального числа дней, устанавливается коллективными договорами и внутренними правилами.  Коллективные договоры также в законодательном порядке определяют права работников на оплачиваемый отпуск во время национальных праздников и нерабочих дней.  Закон Федерации о трудовых отношениях позволяет работодателю предоставлять работнику отпуск продолжительностью в четыре дня в календарном году для удовлетворения его религиозных или традиционных потребностей.  Если работник использует все четыре дня в одном календарном году, то два считаются оплачиваемыми, а два </w:t>
      </w:r>
      <w:r>
        <w:noBreakHyphen/>
        <w:t xml:space="preserve"> неоплачиваемыми.  На практике эти положения соблюдаются не в полной мере, особенно частными работодателями в некоторых отраслях, таких, как общественное питание или розничная торговля.  Аналогичная ситуация наблюдается в Республике Сербской и Районе Брчко.</w:t>
      </w:r>
    </w:p>
    <w:p w:rsidR="00000000" w:rsidRDefault="00000000"/>
    <w:p w:rsidR="00000000" w:rsidRDefault="00000000">
      <w:r>
        <w:t>173.</w:t>
      </w:r>
      <w:r>
        <w:tab/>
        <w:t>По данным статистики, величина средней зарплаты за последний год (2002 год) в Федерации Боснии и Герцеговине составляла 530 КМ, в Республике Сербской </w:t>
      </w:r>
      <w:r>
        <w:noBreakHyphen/>
        <w:t xml:space="preserve"> 356 КМ, а в районе Брчко </w:t>
      </w:r>
      <w:r>
        <w:noBreakHyphen/>
        <w:t xml:space="preserve"> 628 КМ.  Стоимость потребительской корзины за тот же период составляла в Федерации 458 КМ, в Республике Сербской </w:t>
      </w:r>
      <w:r>
        <w:noBreakHyphen/>
        <w:t xml:space="preserve"> 462 КМ, а в Районе Брчко </w:t>
      </w:r>
      <w:r>
        <w:noBreakHyphen/>
        <w:t xml:space="preserve"> 419 КМ.  Среди мер, которые, как предполагается, будет осуществлять Бюро трудоустройства Республики Сербской на основе Закона о трудоустройстве, можно назвать выработанные меры по субсидированию программ трудоустройства.</w:t>
      </w:r>
    </w:p>
    <w:p w:rsidR="00000000" w:rsidRDefault="00000000"/>
    <w:p w:rsidR="00000000" w:rsidRDefault="00000000">
      <w:r>
        <w:t>174.</w:t>
      </w:r>
      <w:r>
        <w:tab/>
        <w:t>Проведенные в 2001 году ПРОООН исследования свидетельствовали о том, что уровень доходов в масштабах государства составлял менее 300 КМ в 25% семей.  Пенсионеры в Федерации в среднем получали 188 КМ, а пенсионеры в Республике Сербской получали в среднем около 120 КМ.  К категориям работников, которые не защищены законами о минимальной заработной плате или не получают каких-либо других компенсаций, относятся работники, которые были уволены во время войны на основе их этнического происхождения.  На эту категорию работников не распространяется какая-либо форма защиты, они были уволены незаконно (по решению военных кризисных штабов), не имеют права на пенсию и их заявления о предоставлении компенсации с учетом их стажа или выплаты пособий по безработице, т.е. о предоставлении социального обеспечения и материальных условий, не рассматриваются.</w:t>
      </w:r>
    </w:p>
    <w:p w:rsidR="00000000" w:rsidRDefault="00000000"/>
    <w:p w:rsidR="00000000" w:rsidRDefault="00000000">
      <w:r>
        <w:t>175.</w:t>
      </w:r>
      <w:r>
        <w:tab/>
        <w:t>Законы Боснии и Герцеговины о трудовых отношениях и социальном обеспечении запрещают все формы трудовой дискриминации и требуют соблюдения:  права на равное вознаграждение за труд равной ценности, права на равное образование, подготовку и повышение профессиональной квалификации, права на установленную продолжительность рабочего дня, права на праздники и отпуска, права на охрану труда, права на стабильность занятости, т.е. права, предусматривающего то, что человек может быть уволен лишь в соответствии с условиями, определяемыми законом, права на защиту прав (право возражать и жаловаться), права принимать участие в принятии решений, права на социальное обеспечение и права на социальное и материальное обеспечение при безработице.</w:t>
      </w:r>
    </w:p>
    <w:p w:rsidR="00000000" w:rsidRDefault="00000000"/>
    <w:p w:rsidR="00000000" w:rsidRDefault="00000000">
      <w:r>
        <w:t>176.</w:t>
      </w:r>
      <w:r>
        <w:tab/>
        <w:t>Охрана труда в Боснии и Герцеговине обеспечивается специальными законами Образований об охране труда, в которых определены обязанности, связанные с периодической проверкой оборудования, электропроводки, химических или биологических условий, или микроклимата в рабочих и смежных помещениях и периодическими медицинскими осмотрами работников.  Работодатели несут ответственность за безопасность на производстве, исправность рабочих инструментов и ознакомление всех работников с условиями труда.  Контроль за соблюдением положений о технике безопасности на производстве осуществляется инспекционными органами по охране труда.</w:t>
      </w:r>
    </w:p>
    <w:p w:rsidR="00000000" w:rsidRDefault="00000000"/>
    <w:p w:rsidR="00000000" w:rsidRDefault="00000000">
      <w:r>
        <w:t>177.</w:t>
      </w:r>
      <w:r>
        <w:tab/>
        <w:t xml:space="preserve">Одна общая оценка, данная инспекционными органами по трудовым отношениям и охране труда, заключается в том, что меры по обеспечению охраны здоровья и техники безопасности на производстве являются недостаточными.  Это является результатом нехватки финансовых ресурсов, которые должны обеспечить лучшие условия труда.  </w:t>
      </w:r>
    </w:p>
    <w:p w:rsidR="00000000" w:rsidRDefault="00000000">
      <w:r>
        <w:t>У нас нет данных о количестве профессиональных заболеваний.  Одним из следствий этого является рост числа несчастных случаев на производстве.  (С перечнем соответствующих положений можно ознакомиться в приложении.)</w:t>
      </w:r>
    </w:p>
    <w:p w:rsidR="00000000" w:rsidRDefault="00000000"/>
    <w:p w:rsidR="00000000" w:rsidRDefault="00000000">
      <w:pPr>
        <w:rPr>
          <w:lang w:val="en-US"/>
        </w:rPr>
      </w:pPr>
    </w:p>
    <w:p w:rsidR="00000000" w:rsidRDefault="00000000">
      <w:pPr>
        <w:keepNext/>
        <w:jc w:val="center"/>
        <w:rPr>
          <w:b/>
          <w:bCs/>
        </w:rPr>
      </w:pPr>
      <w:r>
        <w:rPr>
          <w:b/>
          <w:bCs/>
        </w:rPr>
        <w:t>Таблица 1</w:t>
      </w:r>
    </w:p>
    <w:p w:rsidR="00000000" w:rsidRDefault="00000000">
      <w:pPr>
        <w:keepNext/>
        <w:jc w:val="center"/>
        <w:rPr>
          <w:b/>
          <w:bCs/>
        </w:rPr>
      </w:pPr>
    </w:p>
    <w:p w:rsidR="00000000" w:rsidRDefault="00000000">
      <w:pPr>
        <w:keepNext/>
        <w:jc w:val="center"/>
        <w:rPr>
          <w:b/>
          <w:bCs/>
        </w:rPr>
      </w:pPr>
      <w:r>
        <w:rPr>
          <w:b/>
          <w:bCs/>
        </w:rPr>
        <w:t>Производственные травмы в Федерации Боснии и Герцеговины</w:t>
      </w:r>
    </w:p>
    <w:p w:rsidR="00000000" w:rsidRDefault="00000000">
      <w:pPr>
        <w:keepNext/>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5"/>
        <w:gridCol w:w="1359"/>
        <w:gridCol w:w="1366"/>
        <w:gridCol w:w="1417"/>
        <w:gridCol w:w="2053"/>
        <w:gridCol w:w="2131"/>
      </w:tblGrid>
      <w:tr w:rsidR="00000000">
        <w:tblPrEx>
          <w:tblCellMar>
            <w:top w:w="0" w:type="dxa"/>
            <w:bottom w:w="0" w:type="dxa"/>
          </w:tblCellMar>
        </w:tblPrEx>
        <w:trPr>
          <w:cantSplit/>
        </w:trPr>
        <w:tc>
          <w:tcPr>
            <w:tcW w:w="1085" w:type="dxa"/>
            <w:tcBorders>
              <w:bottom w:val="single" w:sz="4" w:space="0" w:color="auto"/>
            </w:tcBorders>
          </w:tcPr>
          <w:p w:rsidR="00000000" w:rsidRDefault="00000000">
            <w:pPr>
              <w:jc w:val="center"/>
            </w:pPr>
            <w:r>
              <w:t>Год</w:t>
            </w:r>
          </w:p>
        </w:tc>
        <w:tc>
          <w:tcPr>
            <w:tcW w:w="1359" w:type="dxa"/>
            <w:tcBorders>
              <w:bottom w:val="single" w:sz="4" w:space="0" w:color="auto"/>
            </w:tcBorders>
            <w:vAlign w:val="center"/>
          </w:tcPr>
          <w:p w:rsidR="00000000" w:rsidRDefault="00000000">
            <w:pPr>
              <w:jc w:val="center"/>
            </w:pPr>
            <w:r>
              <w:t>Кол-во травм</w:t>
            </w:r>
          </w:p>
        </w:tc>
        <w:tc>
          <w:tcPr>
            <w:tcW w:w="1366" w:type="dxa"/>
            <w:tcBorders>
              <w:bottom w:val="single" w:sz="4" w:space="0" w:color="auto"/>
            </w:tcBorders>
            <w:vAlign w:val="center"/>
          </w:tcPr>
          <w:p w:rsidR="00000000" w:rsidRDefault="00000000">
            <w:pPr>
              <w:jc w:val="center"/>
            </w:pPr>
            <w:r>
              <w:t>Легкие травмы</w:t>
            </w:r>
          </w:p>
        </w:tc>
        <w:tc>
          <w:tcPr>
            <w:tcW w:w="1417" w:type="dxa"/>
            <w:tcBorders>
              <w:bottom w:val="single" w:sz="4" w:space="0" w:color="auto"/>
            </w:tcBorders>
            <w:vAlign w:val="center"/>
          </w:tcPr>
          <w:p w:rsidR="00000000" w:rsidRDefault="00000000">
            <w:pPr>
              <w:jc w:val="center"/>
            </w:pPr>
            <w:r>
              <w:t>Серьезные травмы</w:t>
            </w:r>
          </w:p>
        </w:tc>
        <w:tc>
          <w:tcPr>
            <w:tcW w:w="2053" w:type="dxa"/>
            <w:tcBorders>
              <w:bottom w:val="single" w:sz="4" w:space="0" w:color="auto"/>
            </w:tcBorders>
            <w:vAlign w:val="center"/>
          </w:tcPr>
          <w:p w:rsidR="00000000" w:rsidRDefault="00000000">
            <w:pPr>
              <w:jc w:val="center"/>
            </w:pPr>
            <w:r>
              <w:t>Смерти, связанные с выполнением производственных функций</w:t>
            </w:r>
          </w:p>
        </w:tc>
        <w:tc>
          <w:tcPr>
            <w:tcW w:w="2131" w:type="dxa"/>
            <w:tcBorders>
              <w:bottom w:val="single" w:sz="4" w:space="0" w:color="auto"/>
            </w:tcBorders>
            <w:vAlign w:val="center"/>
          </w:tcPr>
          <w:p w:rsidR="00000000" w:rsidRDefault="00000000">
            <w:pPr>
              <w:jc w:val="center"/>
            </w:pPr>
            <w:r>
              <w:t>Профессиональные заболевания</w:t>
            </w:r>
          </w:p>
        </w:tc>
      </w:tr>
      <w:tr w:rsidR="00000000">
        <w:tblPrEx>
          <w:tblCellMar>
            <w:top w:w="0" w:type="dxa"/>
            <w:bottom w:w="0" w:type="dxa"/>
          </w:tblCellMar>
        </w:tblPrEx>
        <w:trPr>
          <w:cantSplit/>
        </w:trPr>
        <w:tc>
          <w:tcPr>
            <w:tcW w:w="1085" w:type="dxa"/>
            <w:tcBorders>
              <w:bottom w:val="nil"/>
            </w:tcBorders>
          </w:tcPr>
          <w:p w:rsidR="00000000" w:rsidRDefault="00000000">
            <w:pPr>
              <w:jc w:val="center"/>
            </w:pPr>
            <w:r>
              <w:t>2000</w:t>
            </w:r>
          </w:p>
        </w:tc>
        <w:tc>
          <w:tcPr>
            <w:tcW w:w="1359" w:type="dxa"/>
            <w:tcBorders>
              <w:bottom w:val="nil"/>
            </w:tcBorders>
          </w:tcPr>
          <w:p w:rsidR="00000000" w:rsidRDefault="00000000">
            <w:pPr>
              <w:jc w:val="center"/>
            </w:pPr>
            <w:r>
              <w:t>8</w:t>
            </w:r>
          </w:p>
        </w:tc>
        <w:tc>
          <w:tcPr>
            <w:tcW w:w="1366" w:type="dxa"/>
            <w:tcBorders>
              <w:bottom w:val="nil"/>
            </w:tcBorders>
          </w:tcPr>
          <w:p w:rsidR="00000000" w:rsidRDefault="00000000">
            <w:pPr>
              <w:jc w:val="center"/>
            </w:pPr>
            <w:r>
              <w:t>3</w:t>
            </w:r>
          </w:p>
        </w:tc>
        <w:tc>
          <w:tcPr>
            <w:tcW w:w="1417" w:type="dxa"/>
            <w:tcBorders>
              <w:bottom w:val="nil"/>
            </w:tcBorders>
          </w:tcPr>
          <w:p w:rsidR="00000000" w:rsidRDefault="00000000">
            <w:pPr>
              <w:jc w:val="center"/>
            </w:pPr>
            <w:r>
              <w:t>36</w:t>
            </w:r>
          </w:p>
        </w:tc>
        <w:tc>
          <w:tcPr>
            <w:tcW w:w="2053" w:type="dxa"/>
            <w:tcBorders>
              <w:bottom w:val="nil"/>
            </w:tcBorders>
          </w:tcPr>
          <w:p w:rsidR="00000000" w:rsidRDefault="00000000">
            <w:pPr>
              <w:jc w:val="center"/>
            </w:pPr>
            <w:r>
              <w:t>10</w:t>
            </w:r>
          </w:p>
        </w:tc>
        <w:tc>
          <w:tcPr>
            <w:tcW w:w="2131" w:type="dxa"/>
            <w:tcBorders>
              <w:bottom w:val="nil"/>
            </w:tcBorders>
          </w:tcPr>
          <w:p w:rsidR="00000000" w:rsidRDefault="00000000">
            <w:pPr>
              <w:jc w:val="center"/>
            </w:pPr>
            <w:r>
              <w:t>0</w:t>
            </w:r>
          </w:p>
        </w:tc>
      </w:tr>
      <w:tr w:rsidR="00000000">
        <w:tblPrEx>
          <w:tblCellMar>
            <w:top w:w="0" w:type="dxa"/>
            <w:bottom w:w="0" w:type="dxa"/>
          </w:tblCellMar>
        </w:tblPrEx>
        <w:trPr>
          <w:cantSplit/>
        </w:trPr>
        <w:tc>
          <w:tcPr>
            <w:tcW w:w="1085" w:type="dxa"/>
            <w:tcBorders>
              <w:top w:val="nil"/>
              <w:bottom w:val="nil"/>
            </w:tcBorders>
          </w:tcPr>
          <w:p w:rsidR="00000000" w:rsidRDefault="00000000">
            <w:pPr>
              <w:jc w:val="center"/>
            </w:pPr>
            <w:r>
              <w:t>2001</w:t>
            </w:r>
          </w:p>
        </w:tc>
        <w:tc>
          <w:tcPr>
            <w:tcW w:w="1359" w:type="dxa"/>
            <w:tcBorders>
              <w:top w:val="nil"/>
              <w:bottom w:val="nil"/>
            </w:tcBorders>
          </w:tcPr>
          <w:p w:rsidR="00000000" w:rsidRDefault="00000000">
            <w:pPr>
              <w:jc w:val="center"/>
            </w:pPr>
            <w:r>
              <w:t>53</w:t>
            </w:r>
          </w:p>
        </w:tc>
        <w:tc>
          <w:tcPr>
            <w:tcW w:w="1366" w:type="dxa"/>
            <w:tcBorders>
              <w:top w:val="nil"/>
              <w:bottom w:val="nil"/>
            </w:tcBorders>
          </w:tcPr>
          <w:p w:rsidR="00000000" w:rsidRDefault="00000000">
            <w:pPr>
              <w:jc w:val="center"/>
            </w:pPr>
            <w:r>
              <w:t>1</w:t>
            </w:r>
          </w:p>
        </w:tc>
        <w:tc>
          <w:tcPr>
            <w:tcW w:w="1417" w:type="dxa"/>
            <w:tcBorders>
              <w:top w:val="nil"/>
              <w:bottom w:val="nil"/>
            </w:tcBorders>
          </w:tcPr>
          <w:p w:rsidR="00000000" w:rsidRDefault="00000000">
            <w:pPr>
              <w:jc w:val="center"/>
            </w:pPr>
            <w:r>
              <w:t>48</w:t>
            </w:r>
          </w:p>
        </w:tc>
        <w:tc>
          <w:tcPr>
            <w:tcW w:w="2053" w:type="dxa"/>
            <w:tcBorders>
              <w:top w:val="nil"/>
              <w:bottom w:val="nil"/>
            </w:tcBorders>
          </w:tcPr>
          <w:p w:rsidR="00000000" w:rsidRDefault="00000000">
            <w:pPr>
              <w:jc w:val="center"/>
            </w:pPr>
            <w:r>
              <w:t>4</w:t>
            </w:r>
          </w:p>
        </w:tc>
        <w:tc>
          <w:tcPr>
            <w:tcW w:w="2131" w:type="dxa"/>
            <w:tcBorders>
              <w:top w:val="nil"/>
              <w:bottom w:val="nil"/>
            </w:tcBorders>
          </w:tcPr>
          <w:p w:rsidR="00000000" w:rsidRDefault="00000000">
            <w:pPr>
              <w:jc w:val="center"/>
            </w:pPr>
            <w:r>
              <w:t>0</w:t>
            </w:r>
          </w:p>
        </w:tc>
      </w:tr>
      <w:tr w:rsidR="00000000">
        <w:tblPrEx>
          <w:tblCellMar>
            <w:top w:w="0" w:type="dxa"/>
            <w:bottom w:w="0" w:type="dxa"/>
          </w:tblCellMar>
        </w:tblPrEx>
        <w:trPr>
          <w:cantSplit/>
        </w:trPr>
        <w:tc>
          <w:tcPr>
            <w:tcW w:w="1085" w:type="dxa"/>
            <w:tcBorders>
              <w:top w:val="nil"/>
            </w:tcBorders>
          </w:tcPr>
          <w:p w:rsidR="00000000" w:rsidRDefault="00000000">
            <w:pPr>
              <w:jc w:val="center"/>
            </w:pPr>
            <w:r>
              <w:t>2002</w:t>
            </w:r>
          </w:p>
        </w:tc>
        <w:tc>
          <w:tcPr>
            <w:tcW w:w="1359" w:type="dxa"/>
            <w:tcBorders>
              <w:top w:val="nil"/>
            </w:tcBorders>
          </w:tcPr>
          <w:p w:rsidR="00000000" w:rsidRDefault="00000000">
            <w:pPr>
              <w:jc w:val="center"/>
            </w:pPr>
            <w:r>
              <w:t>84</w:t>
            </w:r>
          </w:p>
        </w:tc>
        <w:tc>
          <w:tcPr>
            <w:tcW w:w="1366" w:type="dxa"/>
            <w:tcBorders>
              <w:top w:val="nil"/>
            </w:tcBorders>
          </w:tcPr>
          <w:p w:rsidR="00000000" w:rsidRDefault="00000000">
            <w:pPr>
              <w:jc w:val="center"/>
            </w:pPr>
            <w:r>
              <w:t>15</w:t>
            </w:r>
          </w:p>
        </w:tc>
        <w:tc>
          <w:tcPr>
            <w:tcW w:w="1417" w:type="dxa"/>
            <w:tcBorders>
              <w:top w:val="nil"/>
            </w:tcBorders>
          </w:tcPr>
          <w:p w:rsidR="00000000" w:rsidRDefault="00000000">
            <w:pPr>
              <w:jc w:val="center"/>
            </w:pPr>
            <w:r>
              <w:t>58</w:t>
            </w:r>
          </w:p>
        </w:tc>
        <w:tc>
          <w:tcPr>
            <w:tcW w:w="2053" w:type="dxa"/>
            <w:tcBorders>
              <w:top w:val="nil"/>
            </w:tcBorders>
          </w:tcPr>
          <w:p w:rsidR="00000000" w:rsidRDefault="00000000">
            <w:pPr>
              <w:jc w:val="center"/>
            </w:pPr>
            <w:r>
              <w:t>11</w:t>
            </w:r>
          </w:p>
        </w:tc>
        <w:tc>
          <w:tcPr>
            <w:tcW w:w="2131" w:type="dxa"/>
            <w:tcBorders>
              <w:top w:val="nil"/>
            </w:tcBorders>
          </w:tcPr>
          <w:p w:rsidR="00000000" w:rsidRDefault="00000000">
            <w:pPr>
              <w:jc w:val="center"/>
            </w:pPr>
            <w:r>
              <w:t>0</w:t>
            </w:r>
          </w:p>
        </w:tc>
      </w:tr>
    </w:tbl>
    <w:p w:rsidR="00000000" w:rsidRDefault="00000000"/>
    <w:p w:rsidR="00000000" w:rsidRDefault="00000000"/>
    <w:p w:rsidR="00000000" w:rsidRDefault="00000000">
      <w:pPr>
        <w:jc w:val="center"/>
        <w:rPr>
          <w:b/>
          <w:bCs/>
        </w:rPr>
      </w:pPr>
      <w:r>
        <w:rPr>
          <w:b/>
          <w:bCs/>
        </w:rPr>
        <w:t>Таблица 2</w:t>
      </w:r>
    </w:p>
    <w:p w:rsidR="00000000" w:rsidRDefault="00000000">
      <w:pPr>
        <w:jc w:val="center"/>
        <w:rPr>
          <w:b/>
          <w:bCs/>
        </w:rPr>
      </w:pPr>
    </w:p>
    <w:p w:rsidR="00000000" w:rsidRDefault="00000000">
      <w:pPr>
        <w:jc w:val="center"/>
        <w:rPr>
          <w:b/>
          <w:bCs/>
        </w:rPr>
      </w:pPr>
      <w:r>
        <w:rPr>
          <w:b/>
          <w:bCs/>
        </w:rPr>
        <w:t>Производственные травмы в Республике Сербской</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72"/>
        <w:gridCol w:w="1496"/>
        <w:gridCol w:w="1870"/>
        <w:gridCol w:w="3773"/>
      </w:tblGrid>
      <w:tr w:rsidR="00000000">
        <w:tblPrEx>
          <w:tblCellMar>
            <w:top w:w="0" w:type="dxa"/>
            <w:bottom w:w="0" w:type="dxa"/>
          </w:tblCellMar>
        </w:tblPrEx>
        <w:trPr>
          <w:cantSplit/>
        </w:trPr>
        <w:tc>
          <w:tcPr>
            <w:tcW w:w="2272" w:type="dxa"/>
            <w:tcBorders>
              <w:bottom w:val="single" w:sz="4" w:space="0" w:color="auto"/>
            </w:tcBorders>
          </w:tcPr>
          <w:p w:rsidR="00000000" w:rsidRDefault="00000000">
            <w:pPr>
              <w:jc w:val="center"/>
            </w:pPr>
            <w:r>
              <w:t>Год</w:t>
            </w:r>
          </w:p>
        </w:tc>
        <w:tc>
          <w:tcPr>
            <w:tcW w:w="1496" w:type="dxa"/>
            <w:tcBorders>
              <w:bottom w:val="single" w:sz="4" w:space="0" w:color="auto"/>
            </w:tcBorders>
          </w:tcPr>
          <w:p w:rsidR="00000000" w:rsidRDefault="00000000">
            <w:pPr>
              <w:jc w:val="center"/>
            </w:pPr>
            <w:r>
              <w:t>Легкие травмы</w:t>
            </w:r>
          </w:p>
        </w:tc>
        <w:tc>
          <w:tcPr>
            <w:tcW w:w="1870" w:type="dxa"/>
            <w:tcBorders>
              <w:bottom w:val="single" w:sz="4" w:space="0" w:color="auto"/>
            </w:tcBorders>
          </w:tcPr>
          <w:p w:rsidR="00000000" w:rsidRDefault="00000000">
            <w:pPr>
              <w:jc w:val="center"/>
            </w:pPr>
            <w:r>
              <w:t>Серьезные травмы</w:t>
            </w:r>
          </w:p>
        </w:tc>
        <w:tc>
          <w:tcPr>
            <w:tcW w:w="3773" w:type="dxa"/>
            <w:tcBorders>
              <w:bottom w:val="single" w:sz="4" w:space="0" w:color="auto"/>
            </w:tcBorders>
            <w:vAlign w:val="center"/>
          </w:tcPr>
          <w:p w:rsidR="00000000" w:rsidRDefault="00000000">
            <w:pPr>
              <w:jc w:val="center"/>
            </w:pPr>
            <w:r>
              <w:t>Смерти, связанные с выполнением производственных функций</w:t>
            </w:r>
          </w:p>
        </w:tc>
      </w:tr>
      <w:tr w:rsidR="00000000">
        <w:tblPrEx>
          <w:tblCellMar>
            <w:top w:w="0" w:type="dxa"/>
            <w:bottom w:w="0" w:type="dxa"/>
          </w:tblCellMar>
        </w:tblPrEx>
        <w:trPr>
          <w:cantSplit/>
        </w:trPr>
        <w:tc>
          <w:tcPr>
            <w:tcW w:w="2272" w:type="dxa"/>
            <w:tcBorders>
              <w:bottom w:val="nil"/>
            </w:tcBorders>
          </w:tcPr>
          <w:p w:rsidR="00000000" w:rsidRDefault="00000000">
            <w:r>
              <w:t>2001</w:t>
            </w:r>
          </w:p>
        </w:tc>
        <w:tc>
          <w:tcPr>
            <w:tcW w:w="1496" w:type="dxa"/>
            <w:tcBorders>
              <w:bottom w:val="nil"/>
            </w:tcBorders>
          </w:tcPr>
          <w:p w:rsidR="00000000" w:rsidRDefault="00000000">
            <w:pPr>
              <w:jc w:val="center"/>
            </w:pPr>
            <w:r>
              <w:t>1</w:t>
            </w:r>
          </w:p>
        </w:tc>
        <w:tc>
          <w:tcPr>
            <w:tcW w:w="1870" w:type="dxa"/>
            <w:tcBorders>
              <w:bottom w:val="nil"/>
            </w:tcBorders>
          </w:tcPr>
          <w:p w:rsidR="00000000" w:rsidRDefault="00000000">
            <w:pPr>
              <w:jc w:val="center"/>
            </w:pPr>
            <w:r>
              <w:t>13</w:t>
            </w:r>
          </w:p>
        </w:tc>
        <w:tc>
          <w:tcPr>
            <w:tcW w:w="3773" w:type="dxa"/>
            <w:tcBorders>
              <w:bottom w:val="nil"/>
            </w:tcBorders>
          </w:tcPr>
          <w:p w:rsidR="00000000" w:rsidRDefault="00000000">
            <w:pPr>
              <w:tabs>
                <w:tab w:val="clear" w:pos="2268"/>
              </w:tabs>
              <w:jc w:val="center"/>
            </w:pPr>
            <w:r>
              <w:t>6</w:t>
            </w:r>
          </w:p>
        </w:tc>
      </w:tr>
      <w:tr w:rsidR="00000000">
        <w:tblPrEx>
          <w:tblCellMar>
            <w:top w:w="0" w:type="dxa"/>
            <w:bottom w:w="0" w:type="dxa"/>
          </w:tblCellMar>
        </w:tblPrEx>
        <w:trPr>
          <w:cantSplit/>
        </w:trPr>
        <w:tc>
          <w:tcPr>
            <w:tcW w:w="2272" w:type="dxa"/>
            <w:tcBorders>
              <w:top w:val="nil"/>
              <w:bottom w:val="nil"/>
            </w:tcBorders>
          </w:tcPr>
          <w:p w:rsidR="00000000" w:rsidRDefault="00000000">
            <w:pPr>
              <w:pStyle w:val="Header"/>
            </w:pPr>
            <w:r>
              <w:t>2002</w:t>
            </w:r>
          </w:p>
        </w:tc>
        <w:tc>
          <w:tcPr>
            <w:tcW w:w="1496" w:type="dxa"/>
            <w:tcBorders>
              <w:top w:val="nil"/>
              <w:bottom w:val="nil"/>
            </w:tcBorders>
          </w:tcPr>
          <w:p w:rsidR="00000000" w:rsidRDefault="00000000">
            <w:pPr>
              <w:jc w:val="center"/>
            </w:pPr>
            <w:r>
              <w:t>17</w:t>
            </w:r>
          </w:p>
        </w:tc>
        <w:tc>
          <w:tcPr>
            <w:tcW w:w="1870" w:type="dxa"/>
            <w:tcBorders>
              <w:top w:val="nil"/>
              <w:bottom w:val="nil"/>
            </w:tcBorders>
          </w:tcPr>
          <w:p w:rsidR="00000000" w:rsidRDefault="00000000">
            <w:pPr>
              <w:jc w:val="center"/>
            </w:pPr>
            <w:r>
              <w:t>19</w:t>
            </w:r>
          </w:p>
        </w:tc>
        <w:tc>
          <w:tcPr>
            <w:tcW w:w="3773" w:type="dxa"/>
            <w:tcBorders>
              <w:top w:val="nil"/>
              <w:bottom w:val="nil"/>
            </w:tcBorders>
          </w:tcPr>
          <w:p w:rsidR="00000000" w:rsidRDefault="00000000">
            <w:pPr>
              <w:tabs>
                <w:tab w:val="clear" w:pos="2268"/>
              </w:tabs>
              <w:jc w:val="center"/>
            </w:pPr>
            <w:r>
              <w:t>9</w:t>
            </w:r>
          </w:p>
        </w:tc>
      </w:tr>
      <w:tr w:rsidR="00000000">
        <w:tblPrEx>
          <w:tblCellMar>
            <w:top w:w="0" w:type="dxa"/>
            <w:bottom w:w="0" w:type="dxa"/>
          </w:tblCellMar>
        </w:tblPrEx>
        <w:trPr>
          <w:cantSplit/>
        </w:trPr>
        <w:tc>
          <w:tcPr>
            <w:tcW w:w="2272" w:type="dxa"/>
            <w:tcBorders>
              <w:top w:val="nil"/>
            </w:tcBorders>
          </w:tcPr>
          <w:p w:rsidR="00000000" w:rsidRDefault="00000000">
            <w:r>
              <w:t>до 30 июня 2003 года</w:t>
            </w:r>
          </w:p>
        </w:tc>
        <w:tc>
          <w:tcPr>
            <w:tcW w:w="1496" w:type="dxa"/>
            <w:tcBorders>
              <w:top w:val="nil"/>
            </w:tcBorders>
          </w:tcPr>
          <w:p w:rsidR="00000000" w:rsidRDefault="00000000">
            <w:pPr>
              <w:jc w:val="center"/>
            </w:pPr>
            <w:r>
              <w:t>11</w:t>
            </w:r>
          </w:p>
        </w:tc>
        <w:tc>
          <w:tcPr>
            <w:tcW w:w="1870" w:type="dxa"/>
            <w:tcBorders>
              <w:top w:val="nil"/>
            </w:tcBorders>
          </w:tcPr>
          <w:p w:rsidR="00000000" w:rsidRDefault="00000000">
            <w:pPr>
              <w:jc w:val="center"/>
            </w:pPr>
            <w:r>
              <w:t>16</w:t>
            </w:r>
          </w:p>
        </w:tc>
        <w:tc>
          <w:tcPr>
            <w:tcW w:w="3773" w:type="dxa"/>
            <w:tcBorders>
              <w:top w:val="nil"/>
            </w:tcBorders>
          </w:tcPr>
          <w:p w:rsidR="00000000" w:rsidRDefault="00000000">
            <w:pPr>
              <w:tabs>
                <w:tab w:val="clear" w:pos="2268"/>
              </w:tabs>
              <w:jc w:val="center"/>
            </w:pPr>
            <w:r>
              <w:t>5</w:t>
            </w:r>
          </w:p>
        </w:tc>
      </w:tr>
    </w:tbl>
    <w:p w:rsidR="00000000" w:rsidRDefault="00000000"/>
    <w:p w:rsidR="00000000" w:rsidRDefault="00000000">
      <w:r>
        <w:t>178.</w:t>
      </w:r>
      <w:r>
        <w:tab/>
        <w:t>Равные возможности продвижения по службе мужчин и женщин закреплены в законодательном порядке.  Критерии продвижения по службе определяются в специальных законах в таких отдельных областях, как образование, государственное управление и сектор здравоохранения.  Но проблема заключается в разнице между правовыми положениями и действительностью:  проблемы существуют, особенно в отношении женщин, поскольку их возможности продвижения по службе существенно ограничены.</w:t>
      </w:r>
    </w:p>
    <w:p w:rsidR="00000000" w:rsidRDefault="00000000"/>
    <w:p w:rsidR="00000000" w:rsidRDefault="00000000">
      <w:pPr>
        <w:jc w:val="center"/>
        <w:rPr>
          <w:b/>
          <w:bCs/>
        </w:rPr>
      </w:pPr>
      <w:r>
        <w:rPr>
          <w:b/>
          <w:bCs/>
        </w:rPr>
        <w:t>Статья 8</w:t>
      </w:r>
    </w:p>
    <w:p w:rsidR="00000000" w:rsidRDefault="00000000">
      <w:pPr>
        <w:jc w:val="center"/>
        <w:rPr>
          <w:b/>
          <w:bCs/>
        </w:rPr>
      </w:pPr>
    </w:p>
    <w:p w:rsidR="00000000" w:rsidRDefault="00000000">
      <w:pPr>
        <w:rPr>
          <w:b/>
          <w:bCs/>
        </w:rPr>
      </w:pPr>
      <w:r>
        <w:rPr>
          <w:b/>
          <w:bCs/>
        </w:rPr>
        <w:t>Право создавать независимые профессиональные союзы и право на забастовки</w:t>
      </w:r>
    </w:p>
    <w:p w:rsidR="00000000" w:rsidRDefault="00000000">
      <w:pPr>
        <w:rPr>
          <w:b/>
          <w:bCs/>
        </w:rPr>
      </w:pPr>
    </w:p>
    <w:p w:rsidR="00000000" w:rsidRDefault="00000000">
      <w:r>
        <w:t>179.</w:t>
      </w:r>
      <w:r>
        <w:tab/>
        <w:t xml:space="preserve">Право создавать независимые профессиональные союзы в Боснии и Герцеговине закреплено в законодательном порядке.  Даже несмотря на то, что оно изложено в довольно общей формулировке, оно ясно предполагает право рабочих организовываться в профессиональные союзы.  Положения, касающиеся права создавать профессиональные союзы, являются гораздо более конкретными и подробными в отраслевых коллективных договорах.  </w:t>
      </w:r>
    </w:p>
    <w:p w:rsidR="00000000" w:rsidRDefault="00000000"/>
    <w:p w:rsidR="00000000" w:rsidRDefault="00000000">
      <w:r>
        <w:t>180.</w:t>
      </w:r>
      <w:r>
        <w:tab/>
        <w:t>Например, в статьях 66, 70 и 72 коллективного договора нефтяной и нефтехимической промышленности Федерации Боснии и Герцеговины говорится следующее:</w:t>
      </w:r>
    </w:p>
    <w:p w:rsidR="00000000" w:rsidRDefault="00000000"/>
    <w:p w:rsidR="00000000" w:rsidRDefault="00000000">
      <w:pPr>
        <w:ind w:left="567" w:hanging="567"/>
      </w:pPr>
      <w:r>
        <w:tab/>
      </w:r>
      <w:r>
        <w:tab/>
        <w:t xml:space="preserve">"С целью защиты своих экономических и социальных прав и интересов работники имеют право создавать профессиональные союзы или организовывать союзы иного рода со своим работодателем.  Работодатель обязан не препятствовать посредством каких-либо действий или каким-либо иным образом функционированию профессиональных союзов и созданию профессиональных союзов своих работников.  Профессиональный союз обязан проводить свою деятельность, а работодатель обязан проявлять к этому уважение в соответствии с ратифицированными международными конвенциями, законами, настоящим контрактом и уставом профессионального союза". </w:t>
      </w:r>
    </w:p>
    <w:p w:rsidR="00000000" w:rsidRDefault="00000000">
      <w:pPr>
        <w:ind w:left="567" w:hanging="567"/>
      </w:pPr>
    </w:p>
    <w:p w:rsidR="00000000" w:rsidRDefault="00000000">
      <w:pPr>
        <w:ind w:left="567" w:hanging="567"/>
      </w:pPr>
      <w:r>
        <w:tab/>
      </w:r>
      <w:r>
        <w:tab/>
        <w:t xml:space="preserve">"Работодатель обязан обеспечивать осуществление всех прав, связанных с образованием работниками профессионального союза, которые установлены ратифицированными конвенциями МОТ, положениями законодательства и настоящим контрактом.  Нельзя препятствовать или мешать взаимодействию секретаря или председателя профессионального союза с работодателем, если они работают в соответствии с ратифицированными конвенциями МОТ, положениями законодательства и настоящим контрактом".  </w:t>
      </w:r>
    </w:p>
    <w:p w:rsidR="00000000" w:rsidRDefault="00000000">
      <w:pPr>
        <w:ind w:left="567" w:hanging="567"/>
      </w:pPr>
    </w:p>
    <w:p w:rsidR="00000000" w:rsidRDefault="00000000">
      <w:pPr>
        <w:ind w:left="567" w:hanging="567"/>
      </w:pPr>
      <w:r>
        <w:tab/>
      </w:r>
      <w:r>
        <w:tab/>
        <w:t>"Работодателям или работодателям, действующим в своих собственных интересах при посредничестве какого-либо лица, члена или агента, не разрешается:</w:t>
      </w:r>
    </w:p>
    <w:p w:rsidR="00000000" w:rsidRDefault="00000000">
      <w:pPr>
        <w:ind w:left="567" w:hanging="567"/>
      </w:pPr>
    </w:p>
    <w:p w:rsidR="00000000" w:rsidRDefault="00000000">
      <w:pPr>
        <w:ind w:left="1701" w:hanging="1701"/>
      </w:pPr>
      <w:r>
        <w:tab/>
      </w:r>
      <w:r>
        <w:tab/>
        <w:t>1.</w:t>
      </w:r>
      <w:r>
        <w:tab/>
        <w:t>вмешиваться в процесс создания и функционирования профессионального союза и управление им;</w:t>
      </w:r>
    </w:p>
    <w:p w:rsidR="00000000" w:rsidRDefault="00000000">
      <w:pPr>
        <w:ind w:left="1701" w:hanging="1701"/>
      </w:pPr>
    </w:p>
    <w:p w:rsidR="00000000" w:rsidRDefault="00000000">
      <w:pPr>
        <w:ind w:left="1701" w:hanging="1701"/>
      </w:pPr>
      <w:r>
        <w:tab/>
      </w:r>
      <w:r>
        <w:tab/>
        <w:t>2.</w:t>
      </w:r>
      <w:r>
        <w:tab/>
        <w:t>выступать в защиту профессионального союза или предлагать ему поддержку с целью осуществления контроля над ним.</w:t>
      </w:r>
    </w:p>
    <w:p w:rsidR="00000000" w:rsidRDefault="00000000">
      <w:pPr>
        <w:ind w:left="1701" w:hanging="1701"/>
      </w:pPr>
    </w:p>
    <w:p w:rsidR="00000000" w:rsidRDefault="00000000">
      <w:pPr>
        <w:ind w:left="567" w:hanging="567"/>
      </w:pPr>
      <w:r>
        <w:tab/>
        <w:t>Профсоюзу, действующему в своих собственных интересах или через посредничество какого-либо лица, члена или агента, запрещается вмешиваться в создание и функционирование ассоциации работодателей или управление ею".</w:t>
      </w:r>
    </w:p>
    <w:p w:rsidR="00000000" w:rsidRDefault="00000000">
      <w:pPr>
        <w:ind w:left="567" w:hanging="567"/>
      </w:pPr>
    </w:p>
    <w:p w:rsidR="00000000" w:rsidRDefault="00000000">
      <w:r>
        <w:t>181.</w:t>
      </w:r>
      <w:r>
        <w:tab/>
        <w:t>В Боснии и Герцеговине Конституция, законодательство и коллективные договоры разрешают трудящимся проводить забастовки.  Право на забастовки регулируется Законом о забастовках 1998 года (</w:t>
      </w:r>
      <w:r>
        <w:rPr>
          <w:i/>
          <w:iCs/>
        </w:rPr>
        <w:t>Официальная газета Боснии и Герцеговины</w:t>
      </w:r>
      <w:r>
        <w:t>, № 10/89), а в 2001 году Генеральный совет Объединения профсоюзов установил профсоюзные правила о проведении забастовок.</w:t>
      </w:r>
    </w:p>
    <w:p w:rsidR="00000000" w:rsidRDefault="00000000"/>
    <w:p w:rsidR="00000000" w:rsidRDefault="00000000">
      <w:r>
        <w:t>182.</w:t>
      </w:r>
      <w:r>
        <w:tab/>
        <w:t>В Федерации Боснии и Герцеговины право на забастовки регулируется Законом о забастовках (</w:t>
      </w:r>
      <w:r>
        <w:rPr>
          <w:i/>
          <w:iCs/>
        </w:rPr>
        <w:t>Официальная газета Федерации Боснии и Герцеговины</w:t>
      </w:r>
      <w:r>
        <w:t>, № 14/00), а также статьей 30 устава Ассоциации независимых профсоюзов и правилами проведения забастовок Ассоциации независимых профсоюзов Боснии и Герцеговины от 25 октября 2001 года.</w:t>
      </w:r>
    </w:p>
    <w:p w:rsidR="00000000" w:rsidRDefault="00000000"/>
    <w:p w:rsidR="00000000" w:rsidRDefault="00000000">
      <w:r>
        <w:t>183.</w:t>
      </w:r>
      <w:r>
        <w:tab/>
        <w:t>Право на забастовки кадровых военных и уполномоченных должностных лиц министерства внутренних дел регулируется отдельными законами.</w:t>
      </w:r>
    </w:p>
    <w:p w:rsidR="00000000" w:rsidRDefault="00000000"/>
    <w:p w:rsidR="00000000" w:rsidRDefault="00000000">
      <w:r>
        <w:t>184.</w:t>
      </w:r>
      <w:r>
        <w:tab/>
        <w:t>Что касается отраслей, имеющих особую важность для государства и общества (энергоснабжение, управление водными ресурсами и водоснабжение, пассажирский, железнодорожный и автомобильный транспорт, ремонт дорог, почта и телекоммуникации, государственное радио и телевидение, коммунальные службы, производство основных продуктов питания, медицинское обслуживание, социальная защита и охрана ребенка, пожарная охрана службы, начальные школы, органы государственного управления и ветеринарные службы), то они должны продолжать работать в минимальном объеме во время забастовок.  Забастовки должны проводиться в пределах территории предприятия или учреждения, а уличные шествия регулируются законом о публичных собраниях.</w:t>
      </w:r>
    </w:p>
    <w:p w:rsidR="00000000" w:rsidRDefault="00000000"/>
    <w:p w:rsidR="00000000" w:rsidRDefault="00000000">
      <w:pPr>
        <w:rPr>
          <w:b/>
          <w:bCs/>
        </w:rPr>
      </w:pPr>
      <w:r>
        <w:rPr>
          <w:b/>
          <w:bCs/>
        </w:rPr>
        <w:t>Создание профессиональных союзов</w:t>
      </w:r>
    </w:p>
    <w:p w:rsidR="00000000" w:rsidRDefault="00000000">
      <w:pPr>
        <w:rPr>
          <w:b/>
          <w:bCs/>
        </w:rPr>
      </w:pPr>
    </w:p>
    <w:p w:rsidR="00000000" w:rsidRDefault="00000000">
      <w:r>
        <w:t>185.</w:t>
      </w:r>
      <w:r>
        <w:tab/>
        <w:t>В Федерации Боснии и Герцеговины профессиональные союзы входят в альянс, именуемый Объединением независимых профсоюзов Боснии и Герцеговины, и он объединяет 22 отраслевых профсоюза, которые имеют следующие названия и членство:</w:t>
      </w:r>
    </w:p>
    <w:p w:rsidR="00000000" w:rsidRDefault="00000000"/>
    <w:p w:rsidR="00000000" w:rsidRDefault="00000000">
      <w:pPr>
        <w:numPr>
          <w:ilvl w:val="0"/>
          <w:numId w:val="39"/>
        </w:numPr>
      </w:pPr>
      <w:r>
        <w:t>Независимый профсоюз сельскохозяйственной, пищевой и табачной промышленности, управления водными ресурсами, общественного питания и туризма - 22 000 членов;</w:t>
      </w:r>
    </w:p>
    <w:p w:rsidR="00000000" w:rsidRDefault="00000000">
      <w:pPr>
        <w:ind w:left="1134" w:hanging="1134"/>
      </w:pPr>
    </w:p>
    <w:p w:rsidR="00000000" w:rsidRDefault="00000000">
      <w:pPr>
        <w:numPr>
          <w:ilvl w:val="0"/>
          <w:numId w:val="39"/>
        </w:numPr>
      </w:pPr>
      <w:r>
        <w:t>Союз работников металлургической промышленности - 22 000 членов;</w:t>
      </w:r>
    </w:p>
    <w:p w:rsidR="00000000" w:rsidRDefault="00000000">
      <w:pPr>
        <w:ind w:left="1134" w:hanging="1134"/>
      </w:pPr>
    </w:p>
    <w:p w:rsidR="00000000" w:rsidRDefault="00000000">
      <w:pPr>
        <w:numPr>
          <w:ilvl w:val="0"/>
          <w:numId w:val="39"/>
        </w:numPr>
      </w:pPr>
      <w:r>
        <w:t>Независимый союз лесной, деревообрабатывающей и бумажной промышленности - 17 800 членов;</w:t>
      </w:r>
    </w:p>
    <w:p w:rsidR="00000000" w:rsidRDefault="00000000">
      <w:pPr>
        <w:ind w:left="1134" w:hanging="567"/>
      </w:pPr>
    </w:p>
    <w:p w:rsidR="00000000" w:rsidRDefault="00000000">
      <w:pPr>
        <w:numPr>
          <w:ilvl w:val="0"/>
          <w:numId w:val="39"/>
        </w:numPr>
      </w:pPr>
      <w:r>
        <w:t>Союз гражданского строительства и промышленности строительных материалов - 18 300 членов;</w:t>
      </w:r>
    </w:p>
    <w:p w:rsidR="00000000" w:rsidRDefault="00000000">
      <w:pPr>
        <w:ind w:left="1134" w:hanging="567"/>
      </w:pPr>
    </w:p>
    <w:p w:rsidR="00000000" w:rsidRDefault="00000000">
      <w:pPr>
        <w:numPr>
          <w:ilvl w:val="0"/>
          <w:numId w:val="39"/>
        </w:numPr>
      </w:pPr>
      <w:r>
        <w:t>Союз работников текстильной, кожевенной, обувной и шинной промышленности - 18 500 членов;</w:t>
      </w:r>
    </w:p>
    <w:p w:rsidR="00000000" w:rsidRDefault="00000000">
      <w:pPr>
        <w:ind w:left="1134" w:hanging="567"/>
      </w:pPr>
    </w:p>
    <w:p w:rsidR="00000000" w:rsidRDefault="00000000">
      <w:pPr>
        <w:numPr>
          <w:ilvl w:val="0"/>
          <w:numId w:val="39"/>
        </w:numPr>
      </w:pPr>
      <w:r>
        <w:t>Независимый союз шахтеров - 16 000 членов;</w:t>
      </w:r>
    </w:p>
    <w:p w:rsidR="00000000" w:rsidRDefault="00000000">
      <w:pPr>
        <w:ind w:left="1134" w:hanging="567"/>
      </w:pPr>
    </w:p>
    <w:p w:rsidR="00000000" w:rsidRDefault="00000000">
      <w:pPr>
        <w:numPr>
          <w:ilvl w:val="0"/>
          <w:numId w:val="39"/>
        </w:numPr>
      </w:pPr>
      <w:r>
        <w:t>Союз графиков - 2 500 членов;</w:t>
      </w:r>
    </w:p>
    <w:p w:rsidR="00000000" w:rsidRDefault="00000000">
      <w:pPr>
        <w:ind w:left="1134" w:hanging="567"/>
      </w:pPr>
    </w:p>
    <w:p w:rsidR="00000000" w:rsidRDefault="00000000">
      <w:pPr>
        <w:numPr>
          <w:ilvl w:val="0"/>
          <w:numId w:val="39"/>
        </w:numPr>
      </w:pPr>
      <w:r>
        <w:t>Союз работников торговли - 32 000 членов;</w:t>
      </w:r>
    </w:p>
    <w:p w:rsidR="00000000" w:rsidRDefault="00000000">
      <w:pPr>
        <w:ind w:left="1134" w:hanging="567"/>
      </w:pPr>
    </w:p>
    <w:p w:rsidR="00000000" w:rsidRDefault="00000000">
      <w:pPr>
        <w:numPr>
          <w:ilvl w:val="0"/>
          <w:numId w:val="39"/>
        </w:numPr>
      </w:pPr>
      <w:r>
        <w:t>Союз работников дорожного транспорта - 12 000 членов;</w:t>
      </w:r>
    </w:p>
    <w:p w:rsidR="00000000" w:rsidRDefault="00000000">
      <w:pPr>
        <w:ind w:left="1134" w:hanging="567"/>
      </w:pPr>
    </w:p>
    <w:p w:rsidR="00000000" w:rsidRDefault="00000000">
      <w:pPr>
        <w:numPr>
          <w:ilvl w:val="0"/>
          <w:numId w:val="39"/>
        </w:numPr>
      </w:pPr>
      <w:r>
        <w:t>Союз работников сталелитейной промышленности - 7 500 членов;</w:t>
      </w:r>
    </w:p>
    <w:p w:rsidR="00000000" w:rsidRDefault="00000000">
      <w:pPr>
        <w:ind w:left="1134" w:hanging="567"/>
      </w:pPr>
    </w:p>
    <w:p w:rsidR="00000000" w:rsidRDefault="00000000">
      <w:pPr>
        <w:numPr>
          <w:ilvl w:val="0"/>
          <w:numId w:val="39"/>
        </w:numPr>
      </w:pPr>
      <w:r>
        <w:t>Союз работников дистанционной связи и почты - 7 500 членов;</w:t>
      </w:r>
    </w:p>
    <w:p w:rsidR="00000000" w:rsidRDefault="00000000">
      <w:pPr>
        <w:ind w:left="1134" w:hanging="567"/>
      </w:pPr>
    </w:p>
    <w:p w:rsidR="00000000" w:rsidRDefault="00000000">
      <w:pPr>
        <w:numPr>
          <w:ilvl w:val="0"/>
          <w:numId w:val="39"/>
        </w:numPr>
      </w:pPr>
      <w:r>
        <w:t>Союз работников энергетической промышленности - 7 500 членов;</w:t>
      </w:r>
    </w:p>
    <w:p w:rsidR="00000000" w:rsidRDefault="00000000">
      <w:pPr>
        <w:ind w:left="1134" w:hanging="567"/>
      </w:pPr>
    </w:p>
    <w:p w:rsidR="00000000" w:rsidRDefault="00000000">
      <w:pPr>
        <w:numPr>
          <w:ilvl w:val="0"/>
          <w:numId w:val="39"/>
        </w:numPr>
      </w:pPr>
      <w:r>
        <w:t>Союз работников химической и неметаллургической промышленности - 4 850 членов;</w:t>
      </w:r>
    </w:p>
    <w:p w:rsidR="00000000" w:rsidRDefault="00000000">
      <w:pPr>
        <w:ind w:left="1134" w:hanging="567"/>
      </w:pPr>
    </w:p>
    <w:p w:rsidR="00000000" w:rsidRDefault="00000000">
      <w:pPr>
        <w:numPr>
          <w:ilvl w:val="0"/>
          <w:numId w:val="39"/>
        </w:numPr>
      </w:pPr>
      <w:r>
        <w:t>Независимый союз работников нефтяной и нефтеперерабатывающей промышленности - 1 900 членов;</w:t>
      </w:r>
    </w:p>
    <w:p w:rsidR="00000000" w:rsidRDefault="00000000">
      <w:pPr>
        <w:ind w:left="1134" w:hanging="567"/>
      </w:pPr>
    </w:p>
    <w:p w:rsidR="00000000" w:rsidRDefault="00000000">
      <w:pPr>
        <w:numPr>
          <w:ilvl w:val="0"/>
          <w:numId w:val="39"/>
        </w:numPr>
      </w:pPr>
      <w:r>
        <w:t>Независимый союз работников системы начального образования и развития - 13 500 членов;</w:t>
      </w:r>
    </w:p>
    <w:p w:rsidR="00000000" w:rsidRDefault="00000000">
      <w:pPr>
        <w:ind w:left="1134" w:hanging="567"/>
      </w:pPr>
    </w:p>
    <w:p w:rsidR="00000000" w:rsidRDefault="00000000">
      <w:pPr>
        <w:numPr>
          <w:ilvl w:val="0"/>
          <w:numId w:val="39"/>
        </w:numPr>
      </w:pPr>
      <w:r>
        <w:t>Независимый союз работников коммунальных служб - 7 400 членов;</w:t>
      </w:r>
    </w:p>
    <w:p w:rsidR="00000000" w:rsidRDefault="00000000">
      <w:pPr>
        <w:ind w:left="1134" w:hanging="567"/>
      </w:pPr>
    </w:p>
    <w:p w:rsidR="00000000" w:rsidRDefault="00000000">
      <w:pPr>
        <w:numPr>
          <w:ilvl w:val="0"/>
          <w:numId w:val="39"/>
        </w:numPr>
      </w:pPr>
      <w:r>
        <w:t>Союз работников системы среднего образования - 7 700 членов;</w:t>
      </w:r>
    </w:p>
    <w:p w:rsidR="00000000" w:rsidRDefault="00000000">
      <w:pPr>
        <w:ind w:left="1134" w:hanging="567"/>
      </w:pPr>
    </w:p>
    <w:p w:rsidR="00000000" w:rsidRDefault="00000000">
      <w:pPr>
        <w:numPr>
          <w:ilvl w:val="0"/>
          <w:numId w:val="39"/>
        </w:numPr>
      </w:pPr>
      <w:r>
        <w:t>Независимый союз работников административных и судебных органов - 19 500 членов;</w:t>
      </w:r>
    </w:p>
    <w:p w:rsidR="00000000" w:rsidRDefault="00000000">
      <w:pPr>
        <w:ind w:left="1134" w:hanging="567"/>
      </w:pPr>
    </w:p>
    <w:p w:rsidR="00000000" w:rsidRDefault="00000000">
      <w:pPr>
        <w:numPr>
          <w:ilvl w:val="0"/>
          <w:numId w:val="39"/>
        </w:numPr>
      </w:pPr>
      <w:r>
        <w:t>Союз работников финансов - 7 100 членов;</w:t>
      </w:r>
    </w:p>
    <w:p w:rsidR="00000000" w:rsidRDefault="00000000">
      <w:pPr>
        <w:ind w:left="1134" w:hanging="567"/>
      </w:pPr>
    </w:p>
    <w:p w:rsidR="00000000" w:rsidRDefault="00000000">
      <w:pPr>
        <w:numPr>
          <w:ilvl w:val="0"/>
          <w:numId w:val="39"/>
        </w:numPr>
      </w:pPr>
      <w:r>
        <w:t>Союз журналистов - 2 500 членов;</w:t>
      </w:r>
    </w:p>
    <w:p w:rsidR="00000000" w:rsidRDefault="00000000">
      <w:pPr>
        <w:ind w:left="1134" w:hanging="567"/>
      </w:pPr>
    </w:p>
    <w:p w:rsidR="00000000" w:rsidRDefault="00000000">
      <w:pPr>
        <w:numPr>
          <w:ilvl w:val="0"/>
          <w:numId w:val="39"/>
        </w:numPr>
      </w:pPr>
      <w:r>
        <w:t>Ассоциация полицейских профсоюзов - 11 300 членов;  и</w:t>
      </w:r>
    </w:p>
    <w:p w:rsidR="00000000" w:rsidRDefault="00000000">
      <w:pPr>
        <w:ind w:left="1134" w:hanging="567"/>
      </w:pPr>
    </w:p>
    <w:p w:rsidR="00000000" w:rsidRDefault="00000000">
      <w:pPr>
        <w:numPr>
          <w:ilvl w:val="0"/>
          <w:numId w:val="39"/>
        </w:numPr>
      </w:pPr>
      <w:r>
        <w:t>Независимый отраслевой профсоюз работников здравоохранения - 17 500 членов.</w:t>
      </w:r>
    </w:p>
    <w:p w:rsidR="00000000" w:rsidRDefault="00000000">
      <w:pPr>
        <w:ind w:left="1134" w:hanging="567"/>
      </w:pPr>
    </w:p>
    <w:p w:rsidR="00000000" w:rsidRDefault="00000000">
      <w:r>
        <w:t>Общее число работников, являющихся членами профсоюзов, входящих в Объединение, составляет 277 450 человек.</w:t>
      </w:r>
    </w:p>
    <w:p w:rsidR="00000000" w:rsidRDefault="00000000"/>
    <w:p w:rsidR="00000000" w:rsidRDefault="00000000">
      <w:r>
        <w:t>186.</w:t>
      </w:r>
      <w:r>
        <w:tab/>
        <w:t>В Республике Сербской 15 отраслевых союзов организованы в профессиональные союзы, имеющие следующее членство:</w:t>
      </w:r>
    </w:p>
    <w:p w:rsidR="00000000" w:rsidRDefault="00000000"/>
    <w:p w:rsidR="00000000" w:rsidRDefault="00000000">
      <w:pPr>
        <w:numPr>
          <w:ilvl w:val="0"/>
          <w:numId w:val="39"/>
        </w:numPr>
      </w:pPr>
      <w:r>
        <w:t>Союз работников металлургической и горнодобывающей промышленности - 40 000 членов;</w:t>
      </w:r>
    </w:p>
    <w:p w:rsidR="00000000" w:rsidRDefault="00000000">
      <w:pPr>
        <w:ind w:left="1134" w:hanging="567"/>
      </w:pPr>
    </w:p>
    <w:p w:rsidR="00000000" w:rsidRDefault="00000000">
      <w:pPr>
        <w:numPr>
          <w:ilvl w:val="0"/>
          <w:numId w:val="39"/>
        </w:numPr>
      </w:pPr>
      <w:r>
        <w:t>Союз работников торговли, общественного питания и туризма - 12 500 членов;</w:t>
      </w:r>
    </w:p>
    <w:p w:rsidR="00000000" w:rsidRDefault="00000000">
      <w:pPr>
        <w:ind w:left="1134" w:hanging="567"/>
      </w:pPr>
    </w:p>
    <w:p w:rsidR="00000000" w:rsidRDefault="00000000">
      <w:pPr>
        <w:numPr>
          <w:ilvl w:val="0"/>
          <w:numId w:val="39"/>
        </w:numPr>
      </w:pPr>
      <w:r>
        <w:t>Союз работников здравоохранения - 12 000 членов;</w:t>
      </w:r>
    </w:p>
    <w:p w:rsidR="00000000" w:rsidRDefault="00000000">
      <w:pPr>
        <w:ind w:left="1134" w:hanging="567"/>
      </w:pPr>
    </w:p>
    <w:p w:rsidR="00000000" w:rsidRDefault="00000000">
      <w:pPr>
        <w:numPr>
          <w:ilvl w:val="0"/>
          <w:numId w:val="39"/>
        </w:numPr>
      </w:pPr>
      <w:r>
        <w:t>Союз работников системы образования, науки и культуры - 17 750 членов;</w:t>
      </w:r>
    </w:p>
    <w:p w:rsidR="00000000" w:rsidRDefault="00000000">
      <w:pPr>
        <w:ind w:left="1134" w:hanging="567"/>
      </w:pPr>
    </w:p>
    <w:p w:rsidR="00000000" w:rsidRDefault="00000000">
      <w:pPr>
        <w:numPr>
          <w:ilvl w:val="0"/>
          <w:numId w:val="39"/>
        </w:numPr>
      </w:pPr>
      <w:r>
        <w:t>Союз работников лесной, деревообрабатывающей и бумажной промышленности - 12 000 членов;</w:t>
      </w:r>
    </w:p>
    <w:p w:rsidR="00000000" w:rsidRDefault="00000000">
      <w:pPr>
        <w:ind w:left="1134" w:hanging="567"/>
      </w:pPr>
    </w:p>
    <w:p w:rsidR="00000000" w:rsidRDefault="00000000">
      <w:pPr>
        <w:numPr>
          <w:ilvl w:val="0"/>
          <w:numId w:val="39"/>
        </w:numPr>
      </w:pPr>
      <w:r>
        <w:t>Союз информационных и графических работников - 2 000 членов;</w:t>
      </w:r>
    </w:p>
    <w:p w:rsidR="00000000" w:rsidRDefault="00000000">
      <w:pPr>
        <w:ind w:left="1134" w:hanging="567"/>
      </w:pPr>
    </w:p>
    <w:p w:rsidR="00000000" w:rsidRDefault="00000000">
      <w:pPr>
        <w:numPr>
          <w:ilvl w:val="0"/>
          <w:numId w:val="39"/>
        </w:numPr>
      </w:pPr>
      <w:r>
        <w:t>Союз работников гражданского строительства, жилищных и коммунальных услуг - 14 700 членов;</w:t>
      </w:r>
    </w:p>
    <w:p w:rsidR="00000000" w:rsidRDefault="00000000">
      <w:pPr>
        <w:ind w:left="1134" w:hanging="567"/>
      </w:pPr>
    </w:p>
    <w:p w:rsidR="00000000" w:rsidRDefault="00000000">
      <w:pPr>
        <w:numPr>
          <w:ilvl w:val="0"/>
          <w:numId w:val="39"/>
        </w:numPr>
      </w:pPr>
      <w:r>
        <w:t>Союз работников транспорта и связи - 32 000 членов;</w:t>
      </w:r>
    </w:p>
    <w:p w:rsidR="00000000" w:rsidRDefault="00000000">
      <w:pPr>
        <w:ind w:left="1134" w:hanging="567"/>
      </w:pPr>
    </w:p>
    <w:p w:rsidR="00000000" w:rsidRDefault="00000000">
      <w:pPr>
        <w:numPr>
          <w:ilvl w:val="0"/>
          <w:numId w:val="39"/>
        </w:numPr>
      </w:pPr>
      <w:r>
        <w:t>Союз административных работников - 4 750 членов;</w:t>
      </w:r>
    </w:p>
    <w:p w:rsidR="00000000" w:rsidRDefault="00000000">
      <w:pPr>
        <w:ind w:left="1134" w:hanging="567"/>
      </w:pPr>
    </w:p>
    <w:p w:rsidR="00000000" w:rsidRDefault="00000000">
      <w:pPr>
        <w:numPr>
          <w:ilvl w:val="0"/>
          <w:numId w:val="39"/>
        </w:numPr>
      </w:pPr>
      <w:r>
        <w:t>Союз работников законодательных органов - 2 000 членов;</w:t>
      </w:r>
    </w:p>
    <w:p w:rsidR="00000000" w:rsidRDefault="00000000">
      <w:pPr>
        <w:ind w:left="1134" w:hanging="567"/>
      </w:pPr>
    </w:p>
    <w:p w:rsidR="00000000" w:rsidRDefault="00000000">
      <w:pPr>
        <w:numPr>
          <w:ilvl w:val="0"/>
          <w:numId w:val="39"/>
        </w:numPr>
      </w:pPr>
      <w:r>
        <w:t>Союз работников сельского хозяйства и пищевой промышленности - 10 190 членов;</w:t>
      </w:r>
    </w:p>
    <w:p w:rsidR="00000000" w:rsidRDefault="00000000">
      <w:pPr>
        <w:ind w:left="1134" w:hanging="567"/>
      </w:pPr>
    </w:p>
    <w:p w:rsidR="00000000" w:rsidRDefault="00000000">
      <w:pPr>
        <w:numPr>
          <w:ilvl w:val="0"/>
          <w:numId w:val="39"/>
        </w:numPr>
      </w:pPr>
      <w:r>
        <w:t>Союз работников министерства внутренних дел - 8 000 членов;</w:t>
      </w:r>
    </w:p>
    <w:p w:rsidR="00000000" w:rsidRDefault="00000000">
      <w:pPr>
        <w:ind w:left="1134" w:hanging="567"/>
      </w:pPr>
    </w:p>
    <w:p w:rsidR="00000000" w:rsidRDefault="00000000">
      <w:pPr>
        <w:numPr>
          <w:ilvl w:val="0"/>
          <w:numId w:val="39"/>
        </w:numPr>
      </w:pPr>
      <w:r>
        <w:t>Союз работников финансовых организаций - 2 500 членов;</w:t>
      </w:r>
    </w:p>
    <w:p w:rsidR="00000000" w:rsidRDefault="00000000">
      <w:pPr>
        <w:ind w:left="1134" w:hanging="567"/>
      </w:pPr>
    </w:p>
    <w:p w:rsidR="00000000" w:rsidRDefault="00000000">
      <w:pPr>
        <w:numPr>
          <w:ilvl w:val="0"/>
          <w:numId w:val="39"/>
        </w:numPr>
      </w:pPr>
      <w:r>
        <w:t>Союз работников текстильной, кожевенной и обувной промышленности - 19 000 членов;</w:t>
      </w:r>
    </w:p>
    <w:p w:rsidR="00000000" w:rsidRDefault="00000000">
      <w:pPr>
        <w:ind w:left="1134" w:hanging="567"/>
      </w:pPr>
    </w:p>
    <w:p w:rsidR="00000000" w:rsidRDefault="00000000">
      <w:pPr>
        <w:numPr>
          <w:ilvl w:val="0"/>
          <w:numId w:val="39"/>
        </w:numPr>
      </w:pPr>
      <w:r>
        <w:t>Союз работников энергоснабжения - 11 000 членов;</w:t>
      </w:r>
    </w:p>
    <w:p w:rsidR="00000000" w:rsidRDefault="00000000">
      <w:pPr>
        <w:ind w:left="1134" w:hanging="567"/>
      </w:pPr>
    </w:p>
    <w:p w:rsidR="00000000" w:rsidRDefault="00000000">
      <w:r>
        <w:t>Общее число трудящихся, объединенных в профсоюзы, составляет в Республике Сербской 201 190 человек.</w:t>
      </w:r>
    </w:p>
    <w:p w:rsidR="00000000" w:rsidRDefault="00000000"/>
    <w:p w:rsidR="00000000" w:rsidRDefault="00000000">
      <w:r>
        <w:t>187.</w:t>
      </w:r>
      <w:r>
        <w:tab/>
        <w:t>Существующие ограничения на проведение забастовок связаны с необходимостью сохранения минимальной активности в определенных рабочих процессах и обязательствами в отношении надлежащего уведомления работодателей о проведении забастовок.</w:t>
      </w:r>
    </w:p>
    <w:p w:rsidR="00000000" w:rsidRDefault="00000000"/>
    <w:p w:rsidR="00000000" w:rsidRDefault="00000000">
      <w:r>
        <w:t>188.</w:t>
      </w:r>
      <w:r>
        <w:tab/>
        <w:t>В Районе Брчко профессиональный союз был создан 7 февраля 2001 года, в соответствии с Соглашением с Федерацией независимых профсоюзов Боснии и Герцеговины и Федерацией независимых профсоюзов Республики Сербской от 25 мая 2000 года, в качестве добровольной организации, защищающей интересы трудящихся.  Этот профсоюз независим от государственных органов, работодателей, политических партий, религиозных органов и учреждений и прочих организаций, включая другие профсоюзы.</w:t>
      </w:r>
    </w:p>
    <w:p w:rsidR="00000000" w:rsidRDefault="00000000"/>
    <w:p w:rsidR="00000000" w:rsidRDefault="00000000">
      <w:r>
        <w:t>189.</w:t>
      </w:r>
      <w:r>
        <w:tab/>
        <w:t>Профсоюз Района Брчко согласовывает планы, координирует и выполняет задачи и проводит деятельность в общих интересах своих членов, исходя из принципа равенства, взаимности и солидарности.  Он также сотрудничает с профсоюзами Образований и профсоюзами бывшей Социалистической Федеративной Республики Югославии, а также профсоюзами Европы и всего мира с целью развития сотрудничества между профсоюзами.  Он преследует свои программные цели и задачи, законно проводя все виды профсоюзной деятельности, начиная с высказывания мнений, определения инициатив и предложений, заключения коллективных договоров, изложения требований об отставке и организации протестов, включая забастовки.</w:t>
      </w:r>
    </w:p>
    <w:p w:rsidR="00000000" w:rsidRDefault="00000000"/>
    <w:p w:rsidR="00000000" w:rsidRDefault="00000000">
      <w:r>
        <w:t>190.</w:t>
      </w:r>
      <w:r>
        <w:tab/>
        <w:t>Вступление в профсоюз осуществляется на добровольной основе.  Из общего числа занятых 20% являются членами профсоюза, финансируя организацию с точки зрения ее инфраструктуры, покрывая все материальные и нематериальные расходы, обеспечивая вознаграждение, профсоюзное сотрудничество, правовую защиту, образование и другие потребности за счет уплаты взносов, которые составляют 1% от своих чистых окладов.  Половина всех членских взносов расходуется на социальное обеспечение своих членов.  Число членов увеличилось по сравнению с прошлым годом, и эта тенденция сохраняется.</w:t>
      </w:r>
    </w:p>
    <w:p w:rsidR="00000000" w:rsidRDefault="00000000"/>
    <w:p w:rsidR="00000000" w:rsidRDefault="00000000">
      <w:r>
        <w:t>191.</w:t>
      </w:r>
      <w:r>
        <w:tab/>
        <w:t>Член профессионального союза также является членом одного из отраслевых профсоюзов, входящих в Объединение независимых профсоюзов Боснии и Герцеговины и Объединение профсоюзов Республики Сербской.  Частный работодатель не может быть членом профессионального союза.  Руководитель предприятия, учреждения или другого юридического лица (не являющийся профсоюзным представителем) не может пользоваться своими профсоюзными правами в то время, пока он находится на руководящей должности.</w:t>
      </w:r>
    </w:p>
    <w:p w:rsidR="00000000" w:rsidRDefault="00000000"/>
    <w:p w:rsidR="00000000" w:rsidRDefault="00000000">
      <w:r>
        <w:t>192.</w:t>
      </w:r>
      <w:r>
        <w:tab/>
        <w:t>Профсоюз занимается защитой законных интересов рабочей силы, используя правовые средства, в основном Закон о трудовых отношениях, а также контролем за процессом приватизации.  Кроме того, он стремится создать благоприятные условия для подписания генерального коллективного договора для Района Брчко, и в этих целях за его представителем резервируется место наблюдателя в зале заседаний, и он регулярно получает обсуждаемые документы.  Профсоюз также заботится об условиях предоставления работникам отпусков, с тем чтобы они смогли восстановить силы и отдохнуть, а также следит за обеспечением отопления и наличием запасов продовольствия в зимний период.</w:t>
      </w:r>
    </w:p>
    <w:p w:rsidR="00000000" w:rsidRDefault="00000000"/>
    <w:p w:rsidR="00000000" w:rsidRDefault="00000000">
      <w:r>
        <w:t>193.</w:t>
      </w:r>
      <w:r>
        <w:tab/>
        <w:t>Особое внимание уделяется вопросам информированности и образования его членов и организации семинаров по темам, имеющим важное значение для трудящихся и профсоюзов в переходный период.  Мы признаем, что профсоюзам следует проявлять большую активность в улучшении положения трудящихся, будь то увеличение окладов или предоставление других льгот, которыми должны пользоваться работники или трудящиеся.</w:t>
      </w:r>
    </w:p>
    <w:p w:rsidR="00000000" w:rsidRDefault="00000000"/>
    <w:p w:rsidR="00000000" w:rsidRDefault="00000000">
      <w:pPr>
        <w:jc w:val="center"/>
        <w:rPr>
          <w:b/>
          <w:bCs/>
        </w:rPr>
      </w:pPr>
      <w:r>
        <w:rPr>
          <w:b/>
          <w:bCs/>
        </w:rPr>
        <w:t>Статья 9</w:t>
      </w:r>
    </w:p>
    <w:p w:rsidR="00000000" w:rsidRDefault="00000000">
      <w:pPr>
        <w:jc w:val="center"/>
        <w:rPr>
          <w:b/>
          <w:bCs/>
        </w:rPr>
      </w:pPr>
    </w:p>
    <w:p w:rsidR="00000000" w:rsidRDefault="00000000">
      <w:pPr>
        <w:rPr>
          <w:b/>
          <w:bCs/>
        </w:rPr>
      </w:pPr>
      <w:r>
        <w:rPr>
          <w:b/>
          <w:bCs/>
        </w:rPr>
        <w:t>Международные договоры</w:t>
      </w:r>
    </w:p>
    <w:p w:rsidR="00000000" w:rsidRDefault="00000000">
      <w:pPr>
        <w:rPr>
          <w:b/>
          <w:bCs/>
        </w:rPr>
      </w:pPr>
    </w:p>
    <w:p w:rsidR="00000000" w:rsidRDefault="00000000">
      <w:r>
        <w:t>194.</w:t>
      </w:r>
      <w:r>
        <w:tab/>
        <w:t>Босния и Герцеговина присоединилась к 15 международным конвенциям по правам человека, из которых шесть непосредственно связаны с правами человека и социальными правами.  Эти международные правозащитные ресурсы являются составной частью Конституции Боснии и Герцеговины и имеют юридическую силу конституционных положений.</w:t>
      </w:r>
    </w:p>
    <w:p w:rsidR="00000000" w:rsidRDefault="00000000"/>
    <w:p w:rsidR="00000000" w:rsidRDefault="00000000">
      <w:r>
        <w:t>195.</w:t>
      </w:r>
      <w:r>
        <w:tab/>
        <w:t>Босния и Герцеговина присоединилась к 18 конвенциям о социальной защите посредством своих уведомлений о правопреемстве, поданных с использованием двусторонних ресурсов.  Она также вновь подписала и ратифицировала конвенции о социальном обеспечении с Австрией и Хорватией и конвенции с Сербией и Черногорией, а также с Македонией и Турцией, которые находятся в процессе ратификации.  Согласно Конституции Боснии и Герцеговины социальное обеспечение находится в ведении Образований и Района Брчко.</w:t>
      </w:r>
    </w:p>
    <w:p w:rsidR="00000000" w:rsidRDefault="00000000"/>
    <w:p w:rsidR="00000000" w:rsidRDefault="00000000">
      <w:pPr>
        <w:keepNext/>
      </w:pPr>
      <w:r>
        <w:rPr>
          <w:b/>
          <w:bCs/>
        </w:rPr>
        <w:t>Социальная защита</w:t>
      </w:r>
    </w:p>
    <w:p w:rsidR="00000000" w:rsidRDefault="00000000">
      <w:pPr>
        <w:keepNext/>
      </w:pPr>
    </w:p>
    <w:p w:rsidR="00000000" w:rsidRDefault="00000000">
      <w:r>
        <w:t>196.</w:t>
      </w:r>
      <w:r>
        <w:tab/>
        <w:t>В Боснии и Герцеговине право каждого человека на социальную защиту и социальное страхование обеспечивается в рамках социальной защиты, здравоохранения, пенсионной защиты и защиты по инвалидности.</w:t>
      </w:r>
    </w:p>
    <w:p w:rsidR="00000000" w:rsidRDefault="00000000"/>
    <w:p w:rsidR="00000000" w:rsidRDefault="00000000">
      <w:r>
        <w:t>197.</w:t>
      </w:r>
      <w:r>
        <w:tab/>
        <w:t>Босния и Герцеговина выполняет следующие обязательства по социальному обеспечению:  медицинская помощь;  денежная компенсация в случае болезни (временная нетрудоспособность);  компенсация на случай беременности и родов;  компенсация при выходе на пенсию;  компенсация по инвалидности;  социальное обеспечение;  и работа по обеспечению благосостояния ребенка.</w:t>
      </w:r>
    </w:p>
    <w:p w:rsidR="00000000" w:rsidRDefault="00000000"/>
    <w:p w:rsidR="00000000" w:rsidRDefault="00000000">
      <w:r>
        <w:t>198.</w:t>
      </w:r>
      <w:r>
        <w:tab/>
        <w:t>Основные права по социальной защите, предоставляемые гражданам Боснии и Герцеговины, предполагают несколько форм денежной и иной помощи.  Материальная помощь (денежная и неденежная) включает:  постоянные денежные пособия, получаемые нетрудоспособными лицами, то есть лицами, которые не могут пользоваться своим правом на труд, такими, как мужчины старше 65 лет и женщины старше 60 лет, беременные женщины или женщины после родов;  родителями, отчимами, мачехами или приемными родителями, обеспечивающими уход за одним ребенком или несколькими детьми моложе одного года, не имеющими семей или лиц, которые обязаны по закону за ними ухаживать или которые, если таковые имеются, не способны за ними ухаживать;  детьми до достижения 15</w:t>
      </w:r>
      <w:r>
        <w:noBreakHyphen/>
        <w:t>летнего возраста или 27 лет, если они получают образование;  лицами с необратимыми нарушениями физического и психического развития;  лицами, ухаживающими за другим лицом, имеющим инвалидность или серьезное заболевание, если установлено, что это лицо нуждается в помощи.</w:t>
      </w:r>
    </w:p>
    <w:p w:rsidR="00000000" w:rsidRDefault="00000000"/>
    <w:p w:rsidR="00000000" w:rsidRDefault="00000000">
      <w:r>
        <w:t>199.</w:t>
      </w:r>
      <w:r>
        <w:tab/>
        <w:t>Денежные пособия с целью поддержки и ухода за другим лицом предоставляются лицам, имеющим инвалидность или нарушения физического или психического развития, а также престарелым и беспомощным людям, состояние здоровья которых требует постоянного ухода со стороны другого лица.  Среди других материальных пособий можно назвать:  временные, единоразовые и другие денежные пособия, а также неденежные пособия, предоставляемые нуждающимся незастрахованным лицам или семьям.</w:t>
      </w:r>
    </w:p>
    <w:p w:rsidR="00000000" w:rsidRDefault="00000000"/>
    <w:p w:rsidR="00000000" w:rsidRDefault="00000000">
      <w:r>
        <w:t>200.</w:t>
      </w:r>
      <w:r>
        <w:tab/>
        <w:t>Помощь предоставляется с целью расширения возможностей вести нормальную жизнь и работать (такое право имеют дети с нарушениями физического и психического развития или лица, которые уезжают на учебу из своих родных мест).  Отдельные лица, семьи и представители социальных групп могут воспользоваться правом быть помещенными в учреждения социального обеспечения или в другие семьи, а также правом на социальные и другие профессиональные услуги.  Это не зависит от их материального статуса и того, пользуются ли они какой-либо другой формой социальной защиты (т.е. смягчение последствий социальных проблем).</w:t>
      </w:r>
    </w:p>
    <w:p w:rsidR="00000000" w:rsidRDefault="00000000"/>
    <w:p w:rsidR="00000000" w:rsidRDefault="00000000">
      <w:r>
        <w:t>201.</w:t>
      </w:r>
      <w:r>
        <w:tab/>
        <w:t>Уход и помощь на дому (организованное предоставление таких разнообразных услуг, как кормление, работа по дому и прочая необходимая деятельность, поддержание личной гигиены нуждающихся лиц) </w:t>
      </w:r>
      <w:r>
        <w:noBreakHyphen/>
        <w:t xml:space="preserve"> этим правом пользуются лица, которые совершенно не способны независимо работать и зарабатывать, мужчины старше 65 лет, женщины старше 60 лет и лица с необратимыми физическими и психическими нарушениями в развитии и поэтому неспособные самостоятельно о себе заботиться.</w:t>
      </w:r>
    </w:p>
    <w:p w:rsidR="00000000" w:rsidRDefault="00000000"/>
    <w:p w:rsidR="00000000" w:rsidRDefault="00000000">
      <w:r>
        <w:t>202.</w:t>
      </w:r>
      <w:r>
        <w:tab/>
        <w:t>Социальные услуги, полностью или частично отвечающие социальным потребностям пользователей, предоставляются, за исключением тех случаев, когда этим занимаются муниципальные агентства, отвечающие за социальные услуги (в муниципалитетах, не имеющих центров социального обслуживания), следующими учреждениями социального обслуживания:</w:t>
      </w:r>
    </w:p>
    <w:p w:rsidR="00000000" w:rsidRDefault="00000000"/>
    <w:p w:rsidR="00000000" w:rsidRDefault="00000000">
      <w:pPr>
        <w:numPr>
          <w:ilvl w:val="0"/>
          <w:numId w:val="13"/>
        </w:numPr>
      </w:pPr>
      <w:r>
        <w:t>центрами социального обслуживания (87 центров социального обслуживания действуют в Федерации Боснии и Герцеговины, а также 28 муниципальных агентств, занимающихся социальными услугами, а в Республике Сербской действуют 42 центра социального обслуживания наряду с 20 муниципальными агентствами);</w:t>
      </w:r>
    </w:p>
    <w:p w:rsidR="00000000" w:rsidRDefault="00000000">
      <w:pPr>
        <w:tabs>
          <w:tab w:val="clear" w:pos="1134"/>
        </w:tabs>
      </w:pPr>
    </w:p>
    <w:p w:rsidR="00000000" w:rsidRDefault="00000000">
      <w:pPr>
        <w:numPr>
          <w:ilvl w:val="0"/>
          <w:numId w:val="13"/>
        </w:numPr>
      </w:pPr>
      <w:r>
        <w:t>учреждениями, куда помещаются дети-сироты, не получающие образования и имеющие нарушения физического и психического развития, и где за ними обеспечивается уход;</w:t>
      </w:r>
    </w:p>
    <w:p w:rsidR="00000000" w:rsidRDefault="00000000">
      <w:pPr>
        <w:tabs>
          <w:tab w:val="clear" w:pos="1134"/>
        </w:tabs>
      </w:pPr>
    </w:p>
    <w:p w:rsidR="00000000" w:rsidRDefault="00000000">
      <w:pPr>
        <w:numPr>
          <w:ilvl w:val="0"/>
          <w:numId w:val="13"/>
        </w:numPr>
      </w:pPr>
      <w:r>
        <w:t>приютами для взрослых и престарелых;</w:t>
      </w:r>
    </w:p>
    <w:p w:rsidR="00000000" w:rsidRDefault="00000000">
      <w:pPr>
        <w:tabs>
          <w:tab w:val="clear" w:pos="1134"/>
        </w:tabs>
      </w:pPr>
    </w:p>
    <w:p w:rsidR="00000000" w:rsidRDefault="00000000">
      <w:pPr>
        <w:numPr>
          <w:ilvl w:val="0"/>
          <w:numId w:val="13"/>
        </w:numPr>
      </w:pPr>
      <w:r>
        <w:t>учреждениями, обеспечивающими социальный уход за инвалидами и другими людьми и охрану их здоровья;</w:t>
      </w:r>
    </w:p>
    <w:p w:rsidR="00000000" w:rsidRDefault="00000000">
      <w:pPr>
        <w:tabs>
          <w:tab w:val="clear" w:pos="1134"/>
        </w:tabs>
      </w:pPr>
    </w:p>
    <w:p w:rsidR="00000000" w:rsidRDefault="00000000">
      <w:pPr>
        <w:numPr>
          <w:ilvl w:val="0"/>
          <w:numId w:val="13"/>
        </w:numPr>
      </w:pPr>
      <w:r>
        <w:t>учреждениями по приему пользователей социальных услуг в дневное время.</w:t>
      </w:r>
    </w:p>
    <w:p w:rsidR="00000000" w:rsidRDefault="00000000">
      <w:pPr>
        <w:tabs>
          <w:tab w:val="clear" w:pos="1134"/>
        </w:tabs>
      </w:pPr>
    </w:p>
    <w:p w:rsidR="00000000" w:rsidRDefault="00000000">
      <w:r>
        <w:t>203.</w:t>
      </w:r>
      <w:r>
        <w:tab/>
        <w:t>В Боснии и Герцеговине существует всего 37 институциональных учреждений, где могут содержаться и обслуживаться перечисленные категории пользователей, из которых 27 находятся в Федерации Боснии и Герцеговины и 10 </w:t>
      </w:r>
      <w:r>
        <w:noBreakHyphen/>
        <w:t xml:space="preserve"> в Республике Сербской.  В Боснии и Герцеговине социальное обслуживание в основном осуществляется местными социальными службами, именуемыми "центрами социальных услуг".  Финансированием этих учреждений занимаются муниципалитеты и министерства здравоохранения и социальной политики Образований.  В районе Брчко социальные услуги подобного рода предоставляются финансируемыми правительством подразделениями социального обслуживания.</w:t>
      </w:r>
    </w:p>
    <w:p w:rsidR="00000000" w:rsidRDefault="00000000"/>
    <w:p w:rsidR="00000000" w:rsidRDefault="00000000">
      <w:r>
        <w:t>204.</w:t>
      </w:r>
      <w:r>
        <w:tab/>
        <w:t>В обоих Образованиях уходом за инвалидами и престарелыми занимаются институциональные учреждения.  Район Брчко помещает своих пользователей в службы Образований.  Финансирование предприятий социального обслуживания осуществляется следующими различными способами:  доля министерства и самофинансирование на основе деятельности той или иной службы.</w:t>
      </w:r>
    </w:p>
    <w:p w:rsidR="00000000" w:rsidRDefault="00000000"/>
    <w:p w:rsidR="00000000" w:rsidRDefault="00000000">
      <w:r>
        <w:t>205.</w:t>
      </w:r>
      <w:r>
        <w:tab/>
        <w:t>Социальное обеспечение и социальное страхование населения гарантируются Конституцией Республики Сербской и предполагают, в узком смысле, социальное обеспечение нуждающегося в социальном обслуживании населения, а также охрану ребенка в соответствии с Законом о социальном обеспечении (</w:t>
      </w:r>
      <w:r>
        <w:rPr>
          <w:i/>
          <w:iCs/>
        </w:rPr>
        <w:t>Официальная газета Республики Сербской</w:t>
      </w:r>
      <w:r>
        <w:t>, № 5/93 и 15/96) и Законом об охране ребенка (</w:t>
      </w:r>
      <w:r>
        <w:rPr>
          <w:i/>
          <w:iCs/>
        </w:rPr>
        <w:t>Официальная газета</w:t>
      </w:r>
      <w:r>
        <w:t>, № 15/96, 10/98, 26/01).</w:t>
      </w:r>
    </w:p>
    <w:p w:rsidR="00000000" w:rsidRDefault="00000000"/>
    <w:p w:rsidR="00000000" w:rsidRDefault="00000000">
      <w:r>
        <w:t>206.</w:t>
      </w:r>
      <w:r>
        <w:tab/>
        <w:t>Законы о социальном обеспечении и охране ребенка гарантируют права, закрепленные в международных нормах и содержащиеся в основных конвенциях Международной организации труда в данной области.</w:t>
      </w:r>
    </w:p>
    <w:p w:rsidR="00000000" w:rsidRDefault="00000000"/>
    <w:p w:rsidR="00000000" w:rsidRDefault="00000000">
      <w:r>
        <w:t>207.</w:t>
      </w:r>
      <w:r>
        <w:tab/>
        <w:t>Социальное обеспечение в Республике Сербской является организованной деятельностью, направленной на сокращение и устранение причин и последствий состояния социальной нужды во всех аспектах социальной жизни и работы, в дополнение к предоставлению помощи нуждающимся гражданам и их семьям.  Социальной нуждой считается состояние, в котором какой-либо гражданин или семья нуждаются в помощи для преодоления социальных трудностей и удовлетворения своих жизненных потребностей.  Основными правами в сфере социального обеспечения граждан являются следующие:</w:t>
      </w:r>
    </w:p>
    <w:p w:rsidR="00000000" w:rsidRDefault="00000000"/>
    <w:p w:rsidR="00000000" w:rsidRDefault="00000000">
      <w:pPr>
        <w:numPr>
          <w:ilvl w:val="0"/>
          <w:numId w:val="13"/>
        </w:numPr>
      </w:pPr>
      <w:r>
        <w:t>материальная защита;</w:t>
      </w:r>
    </w:p>
    <w:p w:rsidR="00000000" w:rsidRDefault="00000000">
      <w:pPr>
        <w:tabs>
          <w:tab w:val="clear" w:pos="1134"/>
        </w:tabs>
      </w:pPr>
    </w:p>
    <w:p w:rsidR="00000000" w:rsidRDefault="00000000">
      <w:pPr>
        <w:numPr>
          <w:ilvl w:val="0"/>
          <w:numId w:val="13"/>
        </w:numPr>
      </w:pPr>
      <w:r>
        <w:t>компенсация за предоставление помощи и поддержки другому лицу;</w:t>
      </w:r>
    </w:p>
    <w:p w:rsidR="00000000" w:rsidRDefault="00000000">
      <w:pPr>
        <w:tabs>
          <w:tab w:val="clear" w:pos="1134"/>
        </w:tabs>
      </w:pPr>
    </w:p>
    <w:p w:rsidR="00000000" w:rsidRDefault="00000000">
      <w:pPr>
        <w:numPr>
          <w:ilvl w:val="0"/>
          <w:numId w:val="13"/>
        </w:numPr>
      </w:pPr>
      <w:r>
        <w:t>помощь в обучении детей и молодежи;</w:t>
      </w:r>
    </w:p>
    <w:p w:rsidR="00000000" w:rsidRDefault="00000000">
      <w:pPr>
        <w:tabs>
          <w:tab w:val="clear" w:pos="1134"/>
        </w:tabs>
      </w:pPr>
    </w:p>
    <w:p w:rsidR="00000000" w:rsidRDefault="00000000">
      <w:pPr>
        <w:numPr>
          <w:ilvl w:val="0"/>
          <w:numId w:val="13"/>
        </w:numPr>
      </w:pPr>
      <w:r>
        <w:t>помещение в институциональные учреждения или другие семьи, социальные услуги;  и</w:t>
      </w:r>
    </w:p>
    <w:p w:rsidR="00000000" w:rsidRDefault="00000000">
      <w:pPr>
        <w:tabs>
          <w:tab w:val="clear" w:pos="1134"/>
        </w:tabs>
      </w:pPr>
    </w:p>
    <w:p w:rsidR="00000000" w:rsidRDefault="00000000">
      <w:pPr>
        <w:numPr>
          <w:ilvl w:val="0"/>
          <w:numId w:val="13"/>
        </w:numPr>
      </w:pPr>
      <w:r>
        <w:t>услуги работников социальной сферы.</w:t>
      </w:r>
    </w:p>
    <w:p w:rsidR="00000000" w:rsidRDefault="00000000"/>
    <w:p w:rsidR="00000000" w:rsidRDefault="00000000">
      <w:r>
        <w:t>208.</w:t>
      </w:r>
      <w:r>
        <w:tab/>
        <w:t xml:space="preserve">Законы Республики Сербской о социальном обеспечении распространяются на всех женщин, и когда дело касается использования пенсий партнеров по браку, то как мужчины, так и женщины имеют право на семейную пенсию после смерти застрахованного партнера по браку.  </w:t>
      </w:r>
    </w:p>
    <w:p w:rsidR="00000000" w:rsidRDefault="00000000"/>
    <w:p w:rsidR="00000000" w:rsidRDefault="00000000">
      <w:pPr>
        <w:rPr>
          <w:b/>
          <w:bCs/>
        </w:rPr>
      </w:pPr>
      <w:r>
        <w:rPr>
          <w:b/>
          <w:bCs/>
        </w:rPr>
        <w:t>Социальное обеспечение, социальная защита жертв гражданской войны, защита семей, имеющих детей</w:t>
      </w:r>
    </w:p>
    <w:p w:rsidR="00000000" w:rsidRDefault="00000000">
      <w:pPr>
        <w:rPr>
          <w:b/>
          <w:bCs/>
        </w:rPr>
      </w:pPr>
    </w:p>
    <w:p w:rsidR="00000000" w:rsidRDefault="00000000">
      <w:r>
        <w:t>209.</w:t>
      </w:r>
      <w:r>
        <w:tab/>
        <w:t>В законодательстве Боснии и Герцеговины принцип недискриминации и юридического запрещения дискриминации включен во все конституционные положения, в том числе:</w:t>
      </w:r>
    </w:p>
    <w:p w:rsidR="00000000" w:rsidRDefault="00000000"/>
    <w:p w:rsidR="00000000" w:rsidRDefault="00000000">
      <w:pPr>
        <w:numPr>
          <w:ilvl w:val="0"/>
          <w:numId w:val="13"/>
        </w:numPr>
      </w:pPr>
      <w:r>
        <w:t xml:space="preserve">Конституцию Боснии и Герцеговины (Общее рамочное соглашение о мире в Боснии и Герцеговине, приложение </w:t>
      </w:r>
      <w:r>
        <w:rPr>
          <w:lang w:val="en-US"/>
        </w:rPr>
        <w:t>IV</w:t>
      </w:r>
      <w:r>
        <w:t xml:space="preserve">, статья 4, пункт </w:t>
      </w:r>
      <w:r>
        <w:rPr>
          <w:lang w:val="en-US"/>
        </w:rPr>
        <w:t>II</w:t>
      </w:r>
      <w:r>
        <w:t>);</w:t>
      </w:r>
    </w:p>
    <w:p w:rsidR="00000000" w:rsidRDefault="00000000">
      <w:pPr>
        <w:ind w:left="1134" w:hanging="567"/>
      </w:pPr>
    </w:p>
    <w:p w:rsidR="00000000" w:rsidRDefault="00000000">
      <w:pPr>
        <w:numPr>
          <w:ilvl w:val="0"/>
          <w:numId w:val="13"/>
        </w:numPr>
      </w:pPr>
      <w:r>
        <w:t xml:space="preserve">Конституцию Федерации Боснии и Герцеговины (пункт 1 </w:t>
      </w:r>
      <w:r>
        <w:rPr>
          <w:lang w:val="en-US"/>
        </w:rPr>
        <w:t>d</w:t>
      </w:r>
      <w:r>
        <w:t>) статьи 2);</w:t>
      </w:r>
    </w:p>
    <w:p w:rsidR="00000000" w:rsidRDefault="00000000">
      <w:pPr>
        <w:ind w:left="1134" w:hanging="567"/>
      </w:pPr>
    </w:p>
    <w:p w:rsidR="00000000" w:rsidRDefault="00000000">
      <w:pPr>
        <w:numPr>
          <w:ilvl w:val="0"/>
          <w:numId w:val="13"/>
        </w:numPr>
      </w:pPr>
      <w:r>
        <w:t>Конституцию Республики Сербской (статья 10).</w:t>
      </w:r>
    </w:p>
    <w:p w:rsidR="00000000" w:rsidRDefault="00000000">
      <w:pPr>
        <w:ind w:left="1134" w:hanging="567"/>
      </w:pPr>
    </w:p>
    <w:p w:rsidR="00000000" w:rsidRDefault="00000000">
      <w:r>
        <w:t>210.</w:t>
      </w:r>
      <w:r>
        <w:tab/>
        <w:t>В Законе Федерации об основах социального обеспечения, защиты жертв гражданской войны и защиты семей, имеющих детей (статья 5), говорится, что предприятия социального обслуживания не должны в соответствии с действующим законодательством (</w:t>
      </w:r>
      <w:r>
        <w:rPr>
          <w:i/>
          <w:iCs/>
        </w:rPr>
        <w:t>Официальная газета Федерации Боснии и Герцеговины</w:t>
      </w:r>
      <w:r>
        <w:t xml:space="preserve">, № 36/99) устанавливать каких-либо ограничений по территориальному, этническому, религиозному, политическому и какому-либо другому признаку (раса, цвет кожи, пол, социальное происхождение и т.д.) в отношении этих предприятий. </w:t>
      </w:r>
    </w:p>
    <w:p w:rsidR="00000000" w:rsidRDefault="00000000"/>
    <w:p w:rsidR="00000000" w:rsidRDefault="00000000">
      <w:r>
        <w:t>211.</w:t>
      </w:r>
      <w:r>
        <w:tab/>
        <w:t>В 2001 году ВВП на душу населения составлял 2 559 КМ, и, согласно имеющимся данным, доля расходов на здравоохранение в 2001 году составляла около 8%, или 205 КМ на душу населения.</w:t>
      </w:r>
    </w:p>
    <w:p w:rsidR="00000000" w:rsidRDefault="00000000"/>
    <w:p w:rsidR="00000000" w:rsidRDefault="00000000">
      <w:r>
        <w:t>212.</w:t>
      </w:r>
      <w:r>
        <w:tab/>
        <w:t>В соответствии с действующим законодательством Боснии и Герцеговины не существует групп, которые не имели бы право на социальное обеспечение, а это значит, что права женщин на эти льготы не нарушаются.  Органы всех уровней власти должны обеспечивать соблюдение положения о социальном страховании следующим образом:</w:t>
      </w:r>
    </w:p>
    <w:p w:rsidR="00000000" w:rsidRDefault="00000000"/>
    <w:p w:rsidR="00000000" w:rsidRDefault="00000000">
      <w:pPr>
        <w:numPr>
          <w:ilvl w:val="0"/>
          <w:numId w:val="13"/>
        </w:numPr>
      </w:pPr>
      <w:r>
        <w:t>разработка правовых положений;</w:t>
      </w:r>
    </w:p>
    <w:p w:rsidR="00000000" w:rsidRDefault="00000000">
      <w:pPr>
        <w:ind w:left="567"/>
      </w:pPr>
    </w:p>
    <w:p w:rsidR="00000000" w:rsidRDefault="00000000">
      <w:pPr>
        <w:numPr>
          <w:ilvl w:val="0"/>
          <w:numId w:val="13"/>
        </w:numPr>
      </w:pPr>
      <w:r>
        <w:t>разработка подзаконных актов;</w:t>
      </w:r>
    </w:p>
    <w:p w:rsidR="00000000" w:rsidRDefault="00000000">
      <w:pPr>
        <w:ind w:left="567"/>
      </w:pPr>
    </w:p>
    <w:p w:rsidR="00000000" w:rsidRDefault="00000000">
      <w:pPr>
        <w:numPr>
          <w:ilvl w:val="0"/>
          <w:numId w:val="13"/>
        </w:numPr>
      </w:pPr>
      <w:r>
        <w:t>выделение сотрудников для реализации законодательных положений;</w:t>
      </w:r>
    </w:p>
    <w:p w:rsidR="00000000" w:rsidRDefault="00000000">
      <w:pPr>
        <w:ind w:left="567"/>
      </w:pPr>
    </w:p>
    <w:p w:rsidR="00000000" w:rsidRDefault="00000000">
      <w:pPr>
        <w:numPr>
          <w:ilvl w:val="0"/>
          <w:numId w:val="13"/>
        </w:numPr>
      </w:pPr>
      <w:r>
        <w:t>предоставление помещений для размещения служб;</w:t>
      </w:r>
    </w:p>
    <w:p w:rsidR="00000000" w:rsidRDefault="00000000">
      <w:pPr>
        <w:ind w:left="567"/>
      </w:pPr>
    </w:p>
    <w:p w:rsidR="00000000" w:rsidRDefault="00000000">
      <w:pPr>
        <w:numPr>
          <w:ilvl w:val="0"/>
          <w:numId w:val="13"/>
        </w:numPr>
      </w:pPr>
      <w:r>
        <w:t>регламентирование финансовых средств для претворения в жизнь положений законодательства.</w:t>
      </w:r>
    </w:p>
    <w:p w:rsidR="00000000" w:rsidRDefault="00000000">
      <w:pPr>
        <w:ind w:left="1134" w:hanging="567"/>
      </w:pPr>
    </w:p>
    <w:p w:rsidR="00000000" w:rsidRDefault="00000000">
      <w:r>
        <w:t>213.</w:t>
      </w:r>
      <w:r>
        <w:tab/>
        <w:t xml:space="preserve">По данным нескольких источников, более 50% поставщиков услуг в Боснии и Герцеговине не выполняют своих обязательств по строительству предприятий социального обслуживания.  Обеспечение граждан социальными услугами является различным в зависимости от Образования и уровня региональной организации.  </w:t>
      </w:r>
    </w:p>
    <w:p w:rsidR="00000000" w:rsidRDefault="00000000"/>
    <w:p w:rsidR="00000000" w:rsidRDefault="00000000">
      <w:pPr>
        <w:rPr>
          <w:b/>
          <w:bCs/>
        </w:rPr>
      </w:pPr>
      <w:r>
        <w:rPr>
          <w:b/>
          <w:bCs/>
        </w:rPr>
        <w:t>Право на охрану здоровья</w:t>
      </w:r>
    </w:p>
    <w:p w:rsidR="00000000" w:rsidRDefault="00000000">
      <w:pPr>
        <w:rPr>
          <w:b/>
          <w:bCs/>
        </w:rPr>
      </w:pPr>
    </w:p>
    <w:p w:rsidR="00000000" w:rsidRDefault="00000000">
      <w:r>
        <w:t>214.</w:t>
      </w:r>
      <w:r>
        <w:tab/>
        <w:t>Охрана здоровья - это комплекс мер, мероприятий и процессов, содействующих обеспечению права на жизнь, поддержанию и улучшению состояния здоровья.  В Боснии и Герцеговине здравоохранение организовано и осуществляется на уровне первичного медико-санитарного, профессионально-консультативного и больничного обслуживания.</w:t>
      </w:r>
    </w:p>
    <w:p w:rsidR="00000000" w:rsidRDefault="00000000"/>
    <w:p w:rsidR="00000000" w:rsidRDefault="00000000">
      <w:r>
        <w:t>215.</w:t>
      </w:r>
      <w:r>
        <w:tab/>
        <w:t>В Боснии и Герцеговине здравоохранение предполагает следующие виды услуг:</w:t>
      </w:r>
    </w:p>
    <w:p w:rsidR="00000000" w:rsidRDefault="00000000"/>
    <w:p w:rsidR="00000000" w:rsidRDefault="00000000">
      <w:pPr>
        <w:numPr>
          <w:ilvl w:val="0"/>
          <w:numId w:val="13"/>
        </w:numPr>
      </w:pPr>
      <w:r>
        <w:t>неотложная медицинская помощь;</w:t>
      </w:r>
    </w:p>
    <w:p w:rsidR="00000000" w:rsidRDefault="00000000">
      <w:pPr>
        <w:ind w:left="567"/>
      </w:pPr>
    </w:p>
    <w:p w:rsidR="00000000" w:rsidRDefault="00000000">
      <w:pPr>
        <w:numPr>
          <w:ilvl w:val="0"/>
          <w:numId w:val="13"/>
        </w:numPr>
      </w:pPr>
      <w:r>
        <w:t>лечение инфекционных заболеваний;</w:t>
      </w:r>
    </w:p>
    <w:p w:rsidR="00000000" w:rsidRDefault="00000000">
      <w:pPr>
        <w:ind w:left="567"/>
      </w:pPr>
    </w:p>
    <w:p w:rsidR="00000000" w:rsidRDefault="00000000">
      <w:pPr>
        <w:numPr>
          <w:ilvl w:val="0"/>
          <w:numId w:val="13"/>
        </w:numPr>
      </w:pPr>
      <w:r>
        <w:t>лечение острых и хронических заболеваний, представляющих угрозу для жизни;</w:t>
      </w:r>
    </w:p>
    <w:p w:rsidR="00000000" w:rsidRDefault="00000000">
      <w:pPr>
        <w:ind w:left="567"/>
      </w:pPr>
    </w:p>
    <w:p w:rsidR="00000000" w:rsidRDefault="00000000">
      <w:pPr>
        <w:numPr>
          <w:ilvl w:val="0"/>
          <w:numId w:val="13"/>
        </w:numPr>
      </w:pPr>
      <w:r>
        <w:t xml:space="preserve">охрана здоровья детей моложе 15 лет; </w:t>
      </w:r>
    </w:p>
    <w:p w:rsidR="00000000" w:rsidRDefault="00000000">
      <w:pPr>
        <w:ind w:left="567"/>
      </w:pPr>
    </w:p>
    <w:p w:rsidR="00000000" w:rsidRDefault="00000000">
      <w:pPr>
        <w:numPr>
          <w:ilvl w:val="0"/>
          <w:numId w:val="13"/>
        </w:numPr>
      </w:pPr>
      <w:r>
        <w:t>охрана здоровья учеников и студентов (молодежи);</w:t>
      </w:r>
    </w:p>
    <w:p w:rsidR="00000000" w:rsidRDefault="00000000">
      <w:pPr>
        <w:ind w:left="567"/>
      </w:pPr>
    </w:p>
    <w:p w:rsidR="00000000" w:rsidRDefault="00000000">
      <w:pPr>
        <w:numPr>
          <w:ilvl w:val="0"/>
          <w:numId w:val="13"/>
        </w:numPr>
      </w:pPr>
      <w:r>
        <w:t>диагностика и лечение эндемичной нефропатии;</w:t>
      </w:r>
    </w:p>
    <w:p w:rsidR="00000000" w:rsidRDefault="00000000">
      <w:pPr>
        <w:ind w:left="567"/>
      </w:pPr>
    </w:p>
    <w:p w:rsidR="00000000" w:rsidRDefault="00000000">
      <w:pPr>
        <w:numPr>
          <w:ilvl w:val="0"/>
          <w:numId w:val="13"/>
        </w:numPr>
      </w:pPr>
      <w:r>
        <w:t>лечение раковых больных и пациентов-диабетиков, имеющих инсулиновую зависимость;</w:t>
      </w:r>
    </w:p>
    <w:p w:rsidR="00000000" w:rsidRDefault="00000000">
      <w:pPr>
        <w:ind w:left="1134" w:hanging="567"/>
      </w:pPr>
    </w:p>
    <w:p w:rsidR="00000000" w:rsidRDefault="00000000">
      <w:pPr>
        <w:numPr>
          <w:ilvl w:val="0"/>
          <w:numId w:val="13"/>
        </w:numPr>
      </w:pPr>
      <w:r>
        <w:t>охрана здоровья женщин при беременности и родах;</w:t>
      </w:r>
    </w:p>
    <w:p w:rsidR="00000000" w:rsidRDefault="00000000">
      <w:pPr>
        <w:ind w:left="1134" w:hanging="567"/>
      </w:pPr>
    </w:p>
    <w:p w:rsidR="00000000" w:rsidRDefault="00000000">
      <w:pPr>
        <w:numPr>
          <w:ilvl w:val="0"/>
          <w:numId w:val="13"/>
        </w:numPr>
      </w:pPr>
      <w:r>
        <w:t>социальное обеспечение лиц, имеющих психические расстройства;</w:t>
      </w:r>
    </w:p>
    <w:p w:rsidR="00000000" w:rsidRDefault="00000000">
      <w:pPr>
        <w:ind w:left="1134" w:hanging="567"/>
      </w:pPr>
    </w:p>
    <w:p w:rsidR="00000000" w:rsidRDefault="00000000">
      <w:pPr>
        <w:numPr>
          <w:ilvl w:val="0"/>
          <w:numId w:val="13"/>
        </w:numPr>
      </w:pPr>
      <w:r>
        <w:t>охрана здоровья пациентов, страдающих от прогрессирующих нервно-мышечных заболеваний, таких, как параплегия, квадриплегия, церебральный паралич и рассеянный склероз;</w:t>
      </w:r>
    </w:p>
    <w:p w:rsidR="00000000" w:rsidRDefault="00000000">
      <w:pPr>
        <w:ind w:left="1134" w:hanging="567"/>
      </w:pPr>
    </w:p>
    <w:p w:rsidR="00000000" w:rsidRDefault="00000000">
      <w:pPr>
        <w:numPr>
          <w:ilvl w:val="0"/>
          <w:numId w:val="13"/>
        </w:numPr>
      </w:pPr>
      <w:r>
        <w:t>охрана здоровья граждан старше 65 лет;</w:t>
      </w:r>
    </w:p>
    <w:p w:rsidR="00000000" w:rsidRDefault="00000000">
      <w:pPr>
        <w:ind w:left="1134" w:hanging="567"/>
      </w:pPr>
    </w:p>
    <w:p w:rsidR="00000000" w:rsidRDefault="00000000">
      <w:pPr>
        <w:numPr>
          <w:ilvl w:val="0"/>
          <w:numId w:val="13"/>
        </w:numPr>
      </w:pPr>
      <w:r>
        <w:t>лечение наркотической зависимости;</w:t>
      </w:r>
    </w:p>
    <w:p w:rsidR="00000000" w:rsidRDefault="00000000">
      <w:pPr>
        <w:ind w:left="1134" w:hanging="567"/>
      </w:pPr>
    </w:p>
    <w:p w:rsidR="00000000" w:rsidRDefault="00000000">
      <w:pPr>
        <w:numPr>
          <w:ilvl w:val="0"/>
          <w:numId w:val="13"/>
        </w:numPr>
      </w:pPr>
      <w:r>
        <w:t>донорские службы.</w:t>
      </w:r>
    </w:p>
    <w:p w:rsidR="00000000" w:rsidRDefault="00000000">
      <w:pPr>
        <w:ind w:left="1134" w:hanging="567"/>
      </w:pPr>
    </w:p>
    <w:p w:rsidR="00000000" w:rsidRDefault="00000000">
      <w:r>
        <w:t>216.</w:t>
      </w:r>
      <w:r>
        <w:tab/>
        <w:t>Право на охрану здоровья осуществляется в Боснии и Герцеговине на уровне Образований и Района Брчко.  В числе основных законов, регулирующих сферу охраны здоровья, можно назвать законы о медицинском страховании.  Система здравоохранения в Федерации Боснии и Герцеговины создана Конституцией и большей частью является децентрализованной, регулируемой социальными и медицинскими законами Образований и Района Брчко.</w:t>
      </w:r>
    </w:p>
    <w:p w:rsidR="00000000" w:rsidRDefault="00000000"/>
    <w:p w:rsidR="00000000" w:rsidRDefault="00000000">
      <w:r>
        <w:t>217.</w:t>
      </w:r>
      <w:r>
        <w:tab/>
        <w:t>Службы охраны здоровья Боснии и Герцеговины находятся в ведении Образований и Района Брчко.  В Федерации Боснии и Герцеговины здравоохранение организовано на основе фонда медицинского страхования, служб оказания первичной, вторичной и третичной медицинской помощи.  Финансирование этих служб обеспечивается за счет взносов, отчисляемых из окладов трудящихся, окладов работодателей, взносов фермеров и бюджетных средств, выделяемых для некоторых категорий населения.</w:t>
      </w:r>
    </w:p>
    <w:p w:rsidR="00000000" w:rsidRDefault="00000000"/>
    <w:p w:rsidR="00000000" w:rsidRDefault="00000000">
      <w:r>
        <w:t>218.</w:t>
      </w:r>
      <w:r>
        <w:tab/>
        <w:t>В Республике Сербской службы охраны здоровья организованы на основе ее фонда здравоохранения, служб по оказанию первичной, вторичной и третичной медицинской помощи.  Финансирование здравоохранения в Республике Сербской осуществляется так же, как и в Федерации Боснии и Герцеговины.  Службы здравоохранения в Районе Брчко организованы так же, как и в обоих Образованиях, и их финансирует его правительство.</w:t>
      </w:r>
    </w:p>
    <w:p w:rsidR="00000000" w:rsidRDefault="00000000"/>
    <w:p w:rsidR="00000000" w:rsidRDefault="00000000">
      <w:r>
        <w:t>219.</w:t>
      </w:r>
      <w:r>
        <w:tab/>
        <w:t>Имея страховку, пациенты также участвуют в оплате части расходов на медицинские услуги.  Большинство пациентов (80%) освобождены от оплаты части расходов.  Некоторые услуги, такие, как несубсидируемые лекарства, оплачивается непосредственно пациентами.  Кроме того, часть расходов по оплате медицинских услуг в частных заведениях покрывается непосредственно пациентами.  Права, обеспечиваемые обязательным медицинским страхованием, охватывают в том числе право на медицинское обслуживание, субсидии, включая субсидии на покрытие путевых расходов, связанных с использованием служб здравоохранения.  Правами на обязательное медицинское страхование может воспользоваться лишь такое лицо, у которого подтверждено наличие страховки.</w:t>
      </w:r>
    </w:p>
    <w:p w:rsidR="00000000" w:rsidRDefault="00000000"/>
    <w:p w:rsidR="00000000" w:rsidRDefault="00000000">
      <w:r>
        <w:t>220.</w:t>
      </w:r>
      <w:r>
        <w:tab/>
        <w:t>В Федерации Боснии и Герцеговины законодательство устанавливает верхние пределы взносов (13% от окладов, 4% выплачивается непосредственно работодателем).  Решения о долевой величине взносов принимаются кантональными ассамблеями.  Порядок выплаты взносов отличается в зависимости от района и того, кто оплачивает медицинскую страховку.  Пенсионный фонд Федерации Боснии и Герцеговины, федеральное бюро трудоустройства, армия и работодатели выполняют свои обязательства, но они возлагаются не на всех.</w:t>
      </w:r>
    </w:p>
    <w:p w:rsidR="00000000" w:rsidRDefault="00000000"/>
    <w:p w:rsidR="00000000" w:rsidRDefault="00000000">
      <w:r>
        <w:t>221.</w:t>
      </w:r>
      <w:r>
        <w:tab/>
        <w:t xml:space="preserve">В Республике Сербской медицинское страхование централизовано (один фонд медицинского страхования с отделениями в муниципалитетах).  Величина взносов основана на размере чистых окладов (для работающих - 15%, пенсионеров - 3,75%, а для фермеров - 15% по кадастру доходов).  Оплата медицинских услуг была начата на основе новых договоров по медицинскому обслуживанию.  В Федерации Боснии и Герцеговины ответственность за сбор и распределение средств возложена на кантональные бюро здравоохранения в соответствии со старой, унаследованной системой.  </w:t>
      </w:r>
    </w:p>
    <w:p w:rsidR="00000000" w:rsidRDefault="00000000"/>
    <w:p w:rsidR="00000000" w:rsidRDefault="00000000">
      <w:r>
        <w:t>222.</w:t>
      </w:r>
      <w:r>
        <w:tab/>
        <w:t xml:space="preserve">Новая система заключения договоров находится на раннем этапе своего развития и применяется только в двух кантонах.  В Федерации Боснии и Герцеговины предоставление и сбор ресурсов обеспечивается за счет взносов на медицинское страхование и бюджета Федерации в дополнение к ее Фонду солидарности.  Распределение ресурсов осуществляется на основе договоров с медицинскими учреждениями таким образом, что средства следуют за застрахованным лицом. </w:t>
      </w:r>
    </w:p>
    <w:p w:rsidR="00000000" w:rsidRDefault="00000000"/>
    <w:p w:rsidR="00000000" w:rsidRDefault="00000000">
      <w:r>
        <w:t>223.</w:t>
      </w:r>
      <w:r>
        <w:tab/>
        <w:t>Между Образованиями и Районом Брчко подписано соглашение об обеспечении права на охрану здоровья, но оно не соблюдается, поэтому лишь очень немногие застрахованные лица получают услуги по охране здоровья на его основе.  Поскольку законы Образований по</w:t>
      </w:r>
      <w:r>
        <w:noBreakHyphen/>
        <w:t xml:space="preserve">прежнему не упорядочены в том, что касается медицинского страхования, перемены места жительства возвращающихся перемещенных лиц приводят к потере медицинской страховки и увеличению расходов медицинских учреждений.  </w:t>
      </w:r>
    </w:p>
    <w:p w:rsidR="00000000" w:rsidRDefault="00000000"/>
    <w:p w:rsidR="00000000" w:rsidRDefault="00000000">
      <w:r>
        <w:t>224.</w:t>
      </w:r>
      <w:r>
        <w:tab/>
        <w:t>Трудно подготовить отчет об общих поступлениях и расходах в системе здравоохранения, поскольку официальной отчетности не существует.  Оценки и анализы проводятся на уровне Образований.  В 2002 году стала проводиться деятельность по согласованию методических подходов при подсчете общих поступлений и расходов в сфере здравоохранения на уровне Образований.  После этого необходимо будет разработать порядок оценки на уровне Боснии и Герцеговины.  Если говорить об обязательном медицинском страховании, то в 2001 году поступления на уровне Боснии и Герцеговины составили 589,7 млн. КМ, то есть 157,04 КМ на душу населения или 198 КМ на каждое застрахованное лицо.  В соответствии с этим подходом приблизительные подсчеты указывают на то, что государству следует платить за каждое незастрахованное лицо минимум 41 КМ или, если говорить об общих цифрах, 31,85 млн. КМ в дополнительных средствах.  Поскольку точные данные о других ресурсах, имеющихся в системе здравоохранения, отсутствуют, то последняя цифра может быть несколько меньше.</w:t>
      </w:r>
    </w:p>
    <w:p w:rsidR="00000000" w:rsidRDefault="00000000"/>
    <w:p w:rsidR="00000000" w:rsidRDefault="00000000">
      <w:pPr>
        <w:jc w:val="center"/>
        <w:rPr>
          <w:b/>
          <w:bCs/>
        </w:rPr>
      </w:pPr>
      <w:r>
        <w:rPr>
          <w:b/>
          <w:bCs/>
        </w:rPr>
        <w:t>Таблица 3</w:t>
      </w:r>
    </w:p>
    <w:p w:rsidR="00000000" w:rsidRDefault="00000000">
      <w:pPr>
        <w:jc w:val="center"/>
        <w:rPr>
          <w:b/>
          <w:bCs/>
        </w:rPr>
      </w:pPr>
      <w:r>
        <w:rPr>
          <w:b/>
          <w:bCs/>
        </w:rPr>
        <w:t>Исчисление общих доходов/расходов в сфере здравоохранения</w:t>
      </w:r>
    </w:p>
    <w:p w:rsidR="00000000" w:rsidRDefault="00000000">
      <w:pPr>
        <w:jc w:val="center"/>
        <w:rPr>
          <w:b/>
          <w:bCs/>
        </w:rPr>
      </w:pPr>
      <w:r>
        <w:rPr>
          <w:b/>
          <w:bCs/>
        </w:rPr>
        <w:t>(в млн. КМ)</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152"/>
        <w:gridCol w:w="1472"/>
        <w:gridCol w:w="1839"/>
        <w:gridCol w:w="1948"/>
      </w:tblGrid>
      <w:tr w:rsidR="00000000">
        <w:tblPrEx>
          <w:tblCellMar>
            <w:top w:w="0" w:type="dxa"/>
            <w:bottom w:w="0" w:type="dxa"/>
          </w:tblCellMar>
        </w:tblPrEx>
        <w:trPr>
          <w:cantSplit/>
        </w:trPr>
        <w:tc>
          <w:tcPr>
            <w:tcW w:w="4152" w:type="dxa"/>
          </w:tcPr>
          <w:p w:rsidR="00000000" w:rsidRDefault="00000000"/>
        </w:tc>
        <w:tc>
          <w:tcPr>
            <w:tcW w:w="1472" w:type="dxa"/>
          </w:tcPr>
          <w:p w:rsidR="00000000" w:rsidRDefault="00000000">
            <w:pPr>
              <w:jc w:val="center"/>
            </w:pPr>
            <w:r>
              <w:t>2000</w:t>
            </w:r>
          </w:p>
        </w:tc>
        <w:tc>
          <w:tcPr>
            <w:tcW w:w="1839" w:type="dxa"/>
          </w:tcPr>
          <w:p w:rsidR="00000000" w:rsidRDefault="00000000">
            <w:pPr>
              <w:jc w:val="center"/>
            </w:pPr>
            <w:r>
              <w:t>2001</w:t>
            </w:r>
          </w:p>
        </w:tc>
        <w:tc>
          <w:tcPr>
            <w:tcW w:w="1948" w:type="dxa"/>
          </w:tcPr>
          <w:p w:rsidR="00000000" w:rsidRDefault="00000000">
            <w:pPr>
              <w:spacing w:line="240" w:lineRule="auto"/>
              <w:jc w:val="center"/>
            </w:pPr>
            <w:r>
              <w:t>Коэффициент 2001/2000</w:t>
            </w:r>
          </w:p>
        </w:tc>
      </w:tr>
      <w:tr w:rsidR="00000000">
        <w:tblPrEx>
          <w:tblCellMar>
            <w:top w:w="0" w:type="dxa"/>
            <w:bottom w:w="0" w:type="dxa"/>
          </w:tblCellMar>
        </w:tblPrEx>
        <w:trPr>
          <w:cantSplit/>
        </w:trPr>
        <w:tc>
          <w:tcPr>
            <w:tcW w:w="4152" w:type="dxa"/>
            <w:tcBorders>
              <w:bottom w:val="nil"/>
            </w:tcBorders>
          </w:tcPr>
          <w:p w:rsidR="00000000" w:rsidRDefault="00000000">
            <w:r>
              <w:t>Федерация Боснии и Герцеговины</w:t>
            </w:r>
          </w:p>
        </w:tc>
        <w:tc>
          <w:tcPr>
            <w:tcW w:w="1472" w:type="dxa"/>
            <w:tcBorders>
              <w:bottom w:val="nil"/>
            </w:tcBorders>
          </w:tcPr>
          <w:p w:rsidR="00000000" w:rsidRDefault="00000000">
            <w:pPr>
              <w:jc w:val="center"/>
            </w:pPr>
            <w:r>
              <w:t>419 140</w:t>
            </w:r>
          </w:p>
        </w:tc>
        <w:tc>
          <w:tcPr>
            <w:tcW w:w="1839" w:type="dxa"/>
            <w:tcBorders>
              <w:bottom w:val="nil"/>
            </w:tcBorders>
          </w:tcPr>
          <w:p w:rsidR="00000000" w:rsidRDefault="00000000">
            <w:pPr>
              <w:jc w:val="center"/>
            </w:pPr>
            <w:r>
              <w:t>422 989</w:t>
            </w:r>
          </w:p>
        </w:tc>
        <w:tc>
          <w:tcPr>
            <w:tcW w:w="1948" w:type="dxa"/>
            <w:tcBorders>
              <w:bottom w:val="nil"/>
            </w:tcBorders>
          </w:tcPr>
          <w:p w:rsidR="00000000" w:rsidRDefault="00000000">
            <w:pPr>
              <w:jc w:val="center"/>
            </w:pPr>
            <w:r>
              <w:t>100,9</w:t>
            </w:r>
          </w:p>
        </w:tc>
      </w:tr>
      <w:tr w:rsidR="00000000">
        <w:tblPrEx>
          <w:tblCellMar>
            <w:top w:w="0" w:type="dxa"/>
            <w:bottom w:w="0" w:type="dxa"/>
          </w:tblCellMar>
        </w:tblPrEx>
        <w:trPr>
          <w:cantSplit/>
        </w:trPr>
        <w:tc>
          <w:tcPr>
            <w:tcW w:w="4152" w:type="dxa"/>
            <w:tcBorders>
              <w:top w:val="nil"/>
              <w:bottom w:val="nil"/>
            </w:tcBorders>
          </w:tcPr>
          <w:p w:rsidR="00000000" w:rsidRDefault="00000000">
            <w:r>
              <w:t>Республика Сербская</w:t>
            </w:r>
          </w:p>
        </w:tc>
        <w:tc>
          <w:tcPr>
            <w:tcW w:w="1472" w:type="dxa"/>
            <w:tcBorders>
              <w:top w:val="nil"/>
              <w:bottom w:val="nil"/>
            </w:tcBorders>
          </w:tcPr>
          <w:p w:rsidR="00000000" w:rsidRDefault="00000000">
            <w:pPr>
              <w:jc w:val="center"/>
            </w:pPr>
            <w:r>
              <w:t>150 202</w:t>
            </w:r>
          </w:p>
        </w:tc>
        <w:tc>
          <w:tcPr>
            <w:tcW w:w="1839" w:type="dxa"/>
            <w:tcBorders>
              <w:top w:val="nil"/>
              <w:bottom w:val="nil"/>
            </w:tcBorders>
          </w:tcPr>
          <w:p w:rsidR="00000000" w:rsidRDefault="00000000">
            <w:pPr>
              <w:jc w:val="center"/>
            </w:pPr>
            <w:r>
              <w:t>166 700</w:t>
            </w:r>
          </w:p>
        </w:tc>
        <w:tc>
          <w:tcPr>
            <w:tcW w:w="1948" w:type="dxa"/>
            <w:tcBorders>
              <w:top w:val="nil"/>
              <w:bottom w:val="nil"/>
            </w:tcBorders>
          </w:tcPr>
          <w:p w:rsidR="00000000" w:rsidRDefault="00000000">
            <w:pPr>
              <w:jc w:val="center"/>
            </w:pPr>
            <w:r>
              <w:t>110,6</w:t>
            </w:r>
          </w:p>
        </w:tc>
      </w:tr>
      <w:tr w:rsidR="00000000">
        <w:tblPrEx>
          <w:tblCellMar>
            <w:top w:w="0" w:type="dxa"/>
            <w:bottom w:w="0" w:type="dxa"/>
          </w:tblCellMar>
        </w:tblPrEx>
        <w:trPr>
          <w:cantSplit/>
        </w:trPr>
        <w:tc>
          <w:tcPr>
            <w:tcW w:w="4152" w:type="dxa"/>
            <w:tcBorders>
              <w:top w:val="nil"/>
            </w:tcBorders>
          </w:tcPr>
          <w:p w:rsidR="00000000" w:rsidRDefault="00000000">
            <w:r>
              <w:t>Босния и Герцеговина</w:t>
            </w:r>
          </w:p>
        </w:tc>
        <w:tc>
          <w:tcPr>
            <w:tcW w:w="1472" w:type="dxa"/>
            <w:tcBorders>
              <w:top w:val="nil"/>
            </w:tcBorders>
          </w:tcPr>
          <w:p w:rsidR="00000000" w:rsidRDefault="00000000">
            <w:pPr>
              <w:jc w:val="center"/>
            </w:pPr>
            <w:r>
              <w:t>569 342</w:t>
            </w:r>
          </w:p>
        </w:tc>
        <w:tc>
          <w:tcPr>
            <w:tcW w:w="1839" w:type="dxa"/>
            <w:tcBorders>
              <w:top w:val="nil"/>
            </w:tcBorders>
          </w:tcPr>
          <w:p w:rsidR="00000000" w:rsidRDefault="00000000">
            <w:pPr>
              <w:jc w:val="center"/>
            </w:pPr>
            <w:r>
              <w:t>589 689</w:t>
            </w:r>
          </w:p>
        </w:tc>
        <w:tc>
          <w:tcPr>
            <w:tcW w:w="1948" w:type="dxa"/>
            <w:tcBorders>
              <w:top w:val="nil"/>
            </w:tcBorders>
          </w:tcPr>
          <w:p w:rsidR="00000000" w:rsidRDefault="00000000">
            <w:pPr>
              <w:jc w:val="center"/>
            </w:pPr>
            <w:r>
              <w:t>103,5</w:t>
            </w:r>
          </w:p>
        </w:tc>
      </w:tr>
    </w:tbl>
    <w:p w:rsidR="00000000" w:rsidRDefault="00000000">
      <w:pPr>
        <w:rPr>
          <w:i/>
          <w:iCs/>
          <w:lang w:val="en-US"/>
        </w:rPr>
      </w:pPr>
    </w:p>
    <w:p w:rsidR="00000000" w:rsidRDefault="00000000">
      <w:r>
        <w:rPr>
          <w:i/>
          <w:iCs/>
        </w:rPr>
        <w:t>Источник:</w:t>
      </w:r>
      <w:r>
        <w:t xml:space="preserve">  Бюро медицинского страхования ФБГ, Фонд медицинского страхования РС.</w:t>
      </w:r>
    </w:p>
    <w:p w:rsidR="00000000" w:rsidRDefault="00000000"/>
    <w:p w:rsidR="00000000" w:rsidRDefault="00000000">
      <w:r>
        <w:t>225.</w:t>
      </w:r>
      <w:r>
        <w:tab/>
        <w:t>В случае производственных травм и профессиональных заболеваний застрахованным лицам оказываются медицинские услуги в рамках законов о медицинском страховании, а также в соответствии с поставленным диагнозом и необходимостью профилактики профессиональных заболеваний.  С целью восстановления трудоспособности обеспечивается право на ортопедическую помощь для лечения и медицинской реабилитации после несчастных случаев на работе и профессиональных заболеваний.  Компенсация путевых расходов и заработной платы во время отпуска по болезни обеспечивается на 100%.</w:t>
      </w:r>
    </w:p>
    <w:p w:rsidR="00000000" w:rsidRDefault="00000000"/>
    <w:p w:rsidR="00000000" w:rsidRDefault="00000000">
      <w:r>
        <w:t>226.</w:t>
      </w:r>
      <w:r>
        <w:tab/>
        <w:t>Медицинское страхование по беременности и родам подпадает под категорию обязательного медицинского страхования в обоих Образованиях и Районе Брчко.  Средства на оплату отпусков по беременности выделяются из бюджетов кантонов или муниципалитетов и Района Брчко в размере, установленном законом.</w:t>
      </w:r>
    </w:p>
    <w:p w:rsidR="00000000" w:rsidRDefault="00000000"/>
    <w:p w:rsidR="00000000" w:rsidRDefault="00000000">
      <w:r>
        <w:t>227.</w:t>
      </w:r>
      <w:r>
        <w:tab/>
        <w:t>Отпуска по беременности и родам регулируются положениями об охране ребенка и предоставляются за счет медицинской страховки.  По некоторым неофициальным данным, это обязательство не соблюдается в некоторых муниципалитетах или кантонах, то есть матерям, находящимся в отпуске по беременности и родам, компенсация, предусмотренная законом, не предоставляется.</w:t>
      </w:r>
    </w:p>
    <w:p w:rsidR="00000000" w:rsidRDefault="00000000"/>
    <w:p w:rsidR="00000000" w:rsidRDefault="00000000">
      <w:r>
        <w:t>228.</w:t>
      </w:r>
      <w:r>
        <w:tab/>
        <w:t xml:space="preserve">Дети застрахованных лиц также являются застрахованными в возрасте 15-26 лет, если они регулярно посещают средние школы или высшие учебные заведения, т.е. в течение срока получения регулярного образования.  Дети застрахованных лиц, которые по причине болезни или травмы не могут регулярно посещать учебные заведения, имеют право на обеспечение медицинским страхованием на время их болезни или лечения травмы.  Согласно специальным положениям, дети застрахованных лиц, которые полностью или на неопределенный срок потеряли трудоспособность до достижения ими 15 лет, т.е. в период получения ими школьного образования, имеют право пользоваться страховкой, пока являются нетрудоспособными.  </w:t>
      </w:r>
    </w:p>
    <w:p w:rsidR="00000000" w:rsidRDefault="00000000"/>
    <w:p w:rsidR="00000000" w:rsidRDefault="00000000">
      <w:r>
        <w:t>229.</w:t>
      </w:r>
      <w:r>
        <w:tab/>
        <w:t>Приемные дети застрахованных лиц имеют право пользоваться страховкой, если они являются сиротами.  Дети, имеющие одного или двух родителей и являющиеся приемными детьми застрахованного лица, имеют право пользоваться медицинской страховкой, если их родители не могут по состоянию здоровья или в силу других причин обеспечивать уход за детьми и оказывать им поддержку.</w:t>
      </w:r>
    </w:p>
    <w:p w:rsidR="00000000" w:rsidRDefault="00000000"/>
    <w:p w:rsidR="00000000" w:rsidRDefault="00000000">
      <w:r>
        <w:t>230.</w:t>
      </w:r>
      <w:r>
        <w:tab/>
        <w:t>В законодательстве предусматривается право на медицинское страхование учащихся средних школ и дневной формы обучения в университетах или колледжах, если они являются гражданами Боснии и Герцеговины и не обеспечены страхованием в рамках семейной страховки.  Из вышеизложенного ясно следует, что застрахованные лица имеют право на медицинское страхование.  Однако даже если закон определяет застрахованное лицо широкими понятиями и также предоставляет право пользоваться страховкой членам семьи застрахованного лица, лишенными страховки остаются некоторые уязвимые группы населения.  Застрахованными не являются дети дошкольного возраста, если их родитель или опекун не имеет никакой страховки.</w:t>
      </w:r>
    </w:p>
    <w:p w:rsidR="00000000" w:rsidRDefault="00000000"/>
    <w:p w:rsidR="00000000" w:rsidRDefault="00000000">
      <w:pPr>
        <w:rPr>
          <w:b/>
          <w:bCs/>
        </w:rPr>
      </w:pPr>
      <w:r>
        <w:rPr>
          <w:b/>
          <w:bCs/>
        </w:rPr>
        <w:t>Права, связанные с пенсионным страхованием и страхованием на случай инвалидности</w:t>
      </w:r>
    </w:p>
    <w:p w:rsidR="00000000" w:rsidRDefault="00000000"/>
    <w:p w:rsidR="00000000" w:rsidRDefault="00000000">
      <w:r>
        <w:t>231.</w:t>
      </w:r>
      <w:r>
        <w:tab/>
        <w:t>Страхование в связи с выходом на пенсию и на случай инвалидности является одним из основных прав в сфере базового социального обеспечения и социального страхования, которые предоставляются работающим лицам.  В их числе можно назвать обязательное пенсионное страхование или страхование на случай инвалидности, а также добровольное страхование лиц в соответствии с законами, права на пенсию по старости, пенсию по инвалидности в связи с частичной или полной утратой трудоспособности и смерти застрахованного лица, а также социальное обеспечения застрахованных лиц и членов их семей.</w:t>
      </w:r>
    </w:p>
    <w:p w:rsidR="00000000" w:rsidRDefault="00000000"/>
    <w:p w:rsidR="00000000" w:rsidRDefault="00000000">
      <w:r>
        <w:t>232.</w:t>
      </w:r>
      <w:r>
        <w:tab/>
        <w:t>Масштабы прав зависят от пенсионного стажа и уровней оклада, который застрахованное лицо получало за время его работы, или базовых сумм, выплачиваемых в качестве взносов по пенсионному страхованию и страхованию на случай инвалидности.</w:t>
      </w:r>
    </w:p>
    <w:p w:rsidR="00000000" w:rsidRDefault="00000000"/>
    <w:p w:rsidR="00000000" w:rsidRDefault="00000000">
      <w:r>
        <w:t>233.</w:t>
      </w:r>
      <w:r>
        <w:tab/>
        <w:t>Все лица, состоящие в браке, имеют право, если это установлено законом, на получение пенсии в связи с потерей кормильца после смерти своего партнера по браку.</w:t>
      </w:r>
    </w:p>
    <w:p w:rsidR="00000000" w:rsidRDefault="00000000"/>
    <w:p w:rsidR="00000000" w:rsidRDefault="00000000">
      <w:r>
        <w:t>234.</w:t>
      </w:r>
      <w:r>
        <w:tab/>
        <w:t>Обязательный возраст выхода мужчин на пенсию является тем же самым:  это 65</w:t>
      </w:r>
      <w:r>
        <w:noBreakHyphen/>
        <w:t>летний возраст или 40 лет пенсионного стажа, тогда как возраст добровольного выхода мужчин на пенсию составляет 65 лет и 20 лет пенсионного стажа.  Что касается женщин, то обязательными условиями являются 60-летний возраст и не менее 20 лет пенсионного стажа, тогда как мужчины и женщины, не имеющие 20-летнего стажа участия в пенсионном страховании в Федерации Боснии и Герцеговины, приобретают право на пенсию при наличии не менее 25 лет пенсионного стажа.  В Республике Сербской право на пенсию предоставляется мужчинам по достижении 55-летнего возраста, а женщинам - когда им исполняется 50 лет.</w:t>
      </w:r>
    </w:p>
    <w:p w:rsidR="00000000" w:rsidRDefault="00000000"/>
    <w:p w:rsidR="00000000" w:rsidRDefault="00000000">
      <w:r>
        <w:t>235.</w:t>
      </w:r>
      <w:r>
        <w:tab/>
        <w:t>Права на пенсионное страхование и страхование на случай инвалидности предоставляются в соответствии с законом о застрахованных лицах работодателями и государством.  Права на пенсию или страхование на случай инвалидности являются неразделимыми личными и материальными правами, они не могут быть переданы другим лицам или унаследованы.  Причитающиеся выплаты, которые не были получены вследствие смерти, могут передаваться по наследству.  Для обеспечения прав на пенсию и страхование на случай инвалидности в Образованиях было создано два фонда пенсионного страхования и страхования на случай инвалидности.</w:t>
      </w:r>
    </w:p>
    <w:p w:rsidR="00000000" w:rsidRDefault="00000000"/>
    <w:p w:rsidR="00000000" w:rsidRDefault="00000000">
      <w:r>
        <w:t>236.</w:t>
      </w:r>
      <w:r>
        <w:tab/>
        <w:t>Право на страховку по инвалидности предоставляется застрахованным лицам, которые являются участниками обязательного или добровольного пенсионного страхования или страхования на случай инвалидности и которые:</w:t>
      </w:r>
    </w:p>
    <w:p w:rsidR="00000000" w:rsidRDefault="00000000"/>
    <w:p w:rsidR="00000000" w:rsidRDefault="00000000">
      <w:pPr>
        <w:numPr>
          <w:ilvl w:val="0"/>
          <w:numId w:val="40"/>
        </w:numPr>
        <w:tabs>
          <w:tab w:val="clear" w:pos="567"/>
          <w:tab w:val="clear" w:pos="1701"/>
          <w:tab w:val="left" w:pos="1134"/>
        </w:tabs>
      </w:pPr>
      <w:r>
        <w:t>утратили способность функции, на основании которых они являются застрахованными, или утратили возможности, необходимые для занятия экономической деятельностью;</w:t>
      </w:r>
    </w:p>
    <w:p w:rsidR="00000000" w:rsidRDefault="00000000">
      <w:pPr>
        <w:tabs>
          <w:tab w:val="clear" w:pos="567"/>
        </w:tabs>
        <w:ind w:left="283"/>
      </w:pPr>
    </w:p>
    <w:p w:rsidR="00000000" w:rsidRDefault="00000000">
      <w:pPr>
        <w:numPr>
          <w:ilvl w:val="0"/>
          <w:numId w:val="40"/>
        </w:numPr>
        <w:tabs>
          <w:tab w:val="clear" w:pos="567"/>
          <w:tab w:val="clear" w:pos="1701"/>
          <w:tab w:val="left" w:pos="1134"/>
        </w:tabs>
      </w:pPr>
      <w:r>
        <w:t>утратили трудоспособность, ранее прошли профессиональную подготовку или повысили свою квалификацию, но были пенсионерами на момент утраты трудоспособности.</w:t>
      </w:r>
    </w:p>
    <w:p w:rsidR="00000000" w:rsidRDefault="00000000">
      <w:pPr>
        <w:tabs>
          <w:tab w:val="clear" w:pos="567"/>
        </w:tabs>
        <w:ind w:left="283"/>
      </w:pPr>
    </w:p>
    <w:p w:rsidR="00000000" w:rsidRDefault="00000000">
      <w:r>
        <w:t>237.</w:t>
      </w:r>
      <w:r>
        <w:tab/>
        <w:t>Нетрудоспособный работник, получивший право на профессиональную подготовку или дополнительную подготовку, не может пользоваться правом на пенсию по инвалидности, если впоследствии он становится слишком старым для дополнительной подготовки.  Нетрудоспособный работник, прошедший подготовку для работы на другом месте, но который, после того как ему исполняется 50 лет (мужчины) или 45 лет (женщины), теряет по причине инвалидности способность работать даже на этой другой работе, получает право на пенсию по инвалидности, если он не способен работать на новом месте без дополнительной подготовки.</w:t>
      </w:r>
    </w:p>
    <w:p w:rsidR="00000000" w:rsidRDefault="00000000"/>
    <w:p w:rsidR="00000000" w:rsidRDefault="00000000">
      <w:r>
        <w:t>238.</w:t>
      </w:r>
      <w:r>
        <w:tab/>
        <w:t>Лица, застрахованные добровольно на основе их сельскохозяйственной деятельности, приобретают право на пенсию по инвалидности, если инвалидность является результатом травмы, полученной на работе, или профессионального заболевания, независимо от продолжительности их пенсионного стажа.  Каждое лицо, участвующее в страховании на случай инвалидности, имеет право на пенсию, если инвалидность стала результатом производственной травмы или профессионального заболевания, при том условии, что у него был пенсионный стаж продолжительностью не менее одной трети его трудового стажа.  Лица моложе 30 лет, имеющие инвалидность, ставшую результатом заболевания, не связанного с работой, приобретают право на получение страховки по инвалидности при том условии, что они участвовали в страховании на случай инвалидности на протяжении не менее одной трети своего трудового стажа.</w:t>
      </w:r>
    </w:p>
    <w:p w:rsidR="00000000" w:rsidRDefault="00000000"/>
    <w:p w:rsidR="00000000" w:rsidRDefault="00000000">
      <w:r>
        <w:t>239.</w:t>
      </w:r>
      <w:r>
        <w:tab/>
        <w:t>Размер пенсии по инвалидности после болезни или травмы, не связанных с работой, исчисляется на основе соответствующей процентной доли базовой пенсии, пенсионного стажа, пола застрахованного лица и календарного года, в который могло бы быть осуществлено право на пенсию.  В случае инвалидности, ставшей результатом несчастного случая на производстве или профессионального заболевания, он исчисляется на основе процентной доли базовой пенсии, независимо от пенсионного стажа, и является бо</w:t>
      </w:r>
      <w:r>
        <w:rPr>
          <w:rFonts w:ascii="Tahoma" w:hAnsi="Tahoma" w:cs="Tahoma"/>
        </w:rPr>
        <w:t></w:t>
      </w:r>
      <w:r>
        <w:t>льшим, чем размер пенсии по инвалидности в случае заболевания или травмы, не связанных с работой.  В обоих случаях женщины получают бо</w:t>
      </w:r>
      <w:r>
        <w:rPr>
          <w:rFonts w:ascii="Tahoma" w:hAnsi="Tahoma" w:cs="Tahoma"/>
        </w:rPr>
        <w:t></w:t>
      </w:r>
      <w:r>
        <w:t>льшую по размеру пенсию по инвалидности, но приобретают это право на тех же условиях, что и мужчины.</w:t>
      </w:r>
    </w:p>
    <w:p w:rsidR="00000000" w:rsidRDefault="00000000"/>
    <w:p w:rsidR="00000000" w:rsidRDefault="00000000">
      <w:r>
        <w:t>240.</w:t>
      </w:r>
      <w:r>
        <w:tab/>
        <w:t>Пенсионная система в Республике Сербской регулируется Законом о пенсионном страховании и страховании на случай инвалидности (</w:t>
      </w:r>
      <w:r>
        <w:rPr>
          <w:i/>
          <w:iCs/>
        </w:rPr>
        <w:t xml:space="preserve">Официальная газета Республики Сербской, </w:t>
      </w:r>
      <w:r>
        <w:t xml:space="preserve">32/00).  Право на пенсию и страхование на случай инвалидности считается одним из основополагающих социальных прав и элементов социального обеспечения граждан.  Оно приобретается в результате трудовой деятельности, т.е. обязательного пенсионного страхования и страхования на случай инвалидности, а также добровольного страхования, что предусмотрено законом.  </w:t>
      </w:r>
    </w:p>
    <w:p w:rsidR="00000000" w:rsidRDefault="00000000"/>
    <w:p w:rsidR="00000000" w:rsidRDefault="00000000">
      <w:r>
        <w:t>241.</w:t>
      </w:r>
      <w:r>
        <w:tab/>
        <w:t>В законах о пенсионном страховании и страховании на случай инвалидности четко определяются права, предоставляемые на основе обязательного и добровольного страхования, в соответствии с принципами взаимности и солидарности, такие, как права пожилых лиц, права в случае частичной или полной нетрудоспособности и права в случае смерти или травмы, связанные с предоставлением страховки членам семьи.  Права на пенсионное страхование или страхование на случай инвалидности предоставляются и осуществляются на условиях, оговоренных законом.  Их масштаб зависит, как правило, от пенсионного стажа и уровня оклада.  Средства для пенсионного страхования и страхования на случай инвалидности предоставляются застрахованными лицами, работодателями и государством.  Права на пенсионное страхование и страхование на случай инвалидности являются неотъемлемыми личными материальными правами, и они не могут быть переданы или унаследованы другими лицами.  Пенсии, не выплаченные в связи со смертью пенсионера, могут быть унаследованы.  Приобретенные права прекращают свое действие только в случаях, оговоренных законом.  Для осуществления прав, установления требований и определения процентов в отношении пенсионного страхования и страхования на случай инвалидности был создан фонд пенсионного страхования и страхования на случай инвалидности.</w:t>
      </w:r>
    </w:p>
    <w:p w:rsidR="00000000" w:rsidRDefault="00000000"/>
    <w:p w:rsidR="00000000" w:rsidRDefault="00000000">
      <w:r>
        <w:t>242.</w:t>
      </w:r>
      <w:r>
        <w:tab/>
        <w:t>Положения Закона о пенсионном страховании и страховании на случай инвалидности Республики Сербской соответствуют Конвенции МОТ о минимальных нормах социального обеспечения (1952 год, № 102) в той ее части, в которой речь идет о выплатах, предоставляемых пожилым лицам, при несчастных случаях на производстве и профессиональных заболеваниях, и выплатах членам семьи в случае потери кормильца, а также положениям других соответствующих конвенций в этой области, на основе которых всем лицам, имеющим право на получение пособий в соответствии с Законом о пенсионном страховании и страховании на случай инвалидности, гарантируются равные права.</w:t>
      </w:r>
    </w:p>
    <w:p w:rsidR="00000000" w:rsidRDefault="00000000"/>
    <w:p w:rsidR="00000000" w:rsidRDefault="00000000">
      <w:r>
        <w:t>243.</w:t>
      </w:r>
      <w:r>
        <w:tab/>
        <w:t>Права на пенсионное страхование и страхование на случай инвалидности определяются законом следующим образом:</w:t>
      </w:r>
    </w:p>
    <w:p w:rsidR="00000000" w:rsidRDefault="00000000"/>
    <w:p w:rsidR="00000000" w:rsidRDefault="00000000">
      <w:pPr>
        <w:numPr>
          <w:ilvl w:val="0"/>
          <w:numId w:val="40"/>
        </w:numPr>
        <w:tabs>
          <w:tab w:val="clear" w:pos="567"/>
          <w:tab w:val="clear" w:pos="1701"/>
          <w:tab w:val="left" w:pos="1134"/>
        </w:tabs>
      </w:pPr>
      <w:r>
        <w:t>для пожилых лиц:  пенсия по старости;</w:t>
      </w:r>
    </w:p>
    <w:p w:rsidR="00000000" w:rsidRDefault="00000000"/>
    <w:p w:rsidR="00000000" w:rsidRDefault="00000000">
      <w:pPr>
        <w:numPr>
          <w:ilvl w:val="0"/>
          <w:numId w:val="40"/>
        </w:numPr>
        <w:tabs>
          <w:tab w:val="clear" w:pos="567"/>
          <w:tab w:val="clear" w:pos="1701"/>
          <w:tab w:val="left" w:pos="1134"/>
        </w:tabs>
      </w:pPr>
      <w:r>
        <w:t>в случаях инвалидности:  пенсия по инвалидности, подготовка или дополнительная подготовка и перевод на другую работу, а также право на финансовую компенсацию на основе права на подготовку в ожидании новой работы;</w:t>
      </w:r>
    </w:p>
    <w:p w:rsidR="00000000" w:rsidRDefault="00000000"/>
    <w:p w:rsidR="00000000" w:rsidRDefault="00000000">
      <w:pPr>
        <w:numPr>
          <w:ilvl w:val="0"/>
          <w:numId w:val="40"/>
        </w:numPr>
        <w:tabs>
          <w:tab w:val="clear" w:pos="567"/>
          <w:tab w:val="clear" w:pos="1701"/>
          <w:tab w:val="left" w:pos="1134"/>
        </w:tabs>
      </w:pPr>
      <w:r>
        <w:t>в случае смерти застрахованного бенефициар личной пенсии получает семейную пенсию.</w:t>
      </w:r>
    </w:p>
    <w:p w:rsidR="00000000" w:rsidRDefault="00000000"/>
    <w:p w:rsidR="00000000" w:rsidRDefault="00000000">
      <w:r>
        <w:t>244.</w:t>
      </w:r>
      <w:r>
        <w:tab/>
        <w:t>Право на пенсию по инвалидности получают лица, застрахованные в обязательном или добровольном порядке, в следующих случаях:</w:t>
      </w:r>
    </w:p>
    <w:p w:rsidR="00000000" w:rsidRDefault="00000000"/>
    <w:p w:rsidR="00000000" w:rsidRDefault="00000000">
      <w:pPr>
        <w:numPr>
          <w:ilvl w:val="0"/>
          <w:numId w:val="40"/>
        </w:numPr>
        <w:tabs>
          <w:tab w:val="clear" w:pos="567"/>
          <w:tab w:val="clear" w:pos="1701"/>
          <w:tab w:val="left" w:pos="1134"/>
        </w:tabs>
      </w:pPr>
      <w:r>
        <w:t>любой человек, потерявший трудоспособность, способность выполнять функции, на основе которых он застрахован, или способность заниматься экономической деятельностью;</w:t>
      </w:r>
    </w:p>
    <w:p w:rsidR="00000000" w:rsidRDefault="00000000"/>
    <w:p w:rsidR="00000000" w:rsidRDefault="00000000">
      <w:pPr>
        <w:numPr>
          <w:ilvl w:val="0"/>
          <w:numId w:val="40"/>
        </w:numPr>
        <w:tabs>
          <w:tab w:val="clear" w:pos="567"/>
          <w:tab w:val="clear" w:pos="1701"/>
          <w:tab w:val="left" w:pos="1134"/>
        </w:tabs>
      </w:pPr>
      <w:r>
        <w:t>любой человек, сохранение трудоспособности которого зависит от переподготовки или дополнительной подготовки, но на что застрахованный не имеет права, поскольку на момент утраты трудоспособности ему/ей исполнилось 55 лет (мужчины) или 50 лет (женщины).</w:t>
      </w:r>
    </w:p>
    <w:p w:rsidR="00000000" w:rsidRDefault="00000000"/>
    <w:p w:rsidR="00000000" w:rsidRDefault="00000000">
      <w:r>
        <w:t>245.</w:t>
      </w:r>
      <w:r>
        <w:tab/>
        <w:t>Однако лицо, потерявшее трудоспособность, которое приобрело право на переподготовку или дополнительную подготовку, не имеет права на пенсию по инвалидности на основе инвалидности, наступившей после достижения этим лицом возраста, когда право на такую подготовку не гарантируется.</w:t>
      </w:r>
    </w:p>
    <w:p w:rsidR="00000000" w:rsidRDefault="00000000"/>
    <w:p w:rsidR="00000000" w:rsidRDefault="00000000">
      <w:r>
        <w:t>246.</w:t>
      </w:r>
      <w:r>
        <w:tab/>
        <w:t>Лицо, имеющее инвалидность и проходящее переподготовку или дополнительную подготовку для другой работы и теряющее право на эту новую работу по достижении 50</w:t>
      </w:r>
      <w:r>
        <w:noBreakHyphen/>
        <w:t>летнего возраста (мужчины) или 45-летнего возраста (женщины), а также вследствие изменения степени инвалидности, приобретает право на получение пенсии по инвалидности без новой или дополнительной подготовки.</w:t>
      </w:r>
    </w:p>
    <w:p w:rsidR="00000000" w:rsidRDefault="00000000"/>
    <w:p w:rsidR="00000000" w:rsidRDefault="00000000">
      <w:r>
        <w:t>247.</w:t>
      </w:r>
      <w:r>
        <w:tab/>
        <w:t>Лица, добровольно застрахованные на основе их сельскохозяйственной деятельности, приобретают право на пенсию по инвалидности, если инвалидность является следствием травмы на работе или профессионального заболевания, независимо от продолжительности пенсионного стажа.  Каждый человек, имеющий пенсионное страхование на случай инвалидности, получает право на такую пенсию и в том случае, когда инвалидность является следствием травмы, не связанной с работой, или заболевания, если продолжительность его пенсионного стажа составляет не менее одной трети его трудового стажа.  Лица, утратившие трудоспособность в возрасте моложе 30 лет вследствие болезни или производственной травмы, приобретают право на пенсию по инвалидности, если продолжительность их пенсионного стажа составляет не менее одной трети их предполагаемого пожизненного трудового стажа.</w:t>
      </w:r>
    </w:p>
    <w:p w:rsidR="00000000" w:rsidRDefault="00000000"/>
    <w:p w:rsidR="00000000" w:rsidRDefault="00000000">
      <w:r>
        <w:t>248.</w:t>
      </w:r>
      <w:r>
        <w:tab/>
        <w:t xml:space="preserve">По состоянию на декабрь 2001 года, из общего числа пенсионеров, составляющего 165 481 человек, которые получают пенсии в Республике Сербской, 32 510 человек получали пенсии по инвалидности, средняя величина которых составляла 117,75 КМ (Доклад о положении дел в области пенсионного страхования и страхования на случай инвалидности и рекомендации, апрель 2002 года).  Исходя из того факта, что средства для реализации прав на пенсионное страхование и страхование на случай инвалидности в основном обеспечиваются за счет взносов и что, по состоянию на 31 декабря 2001 года, число застрахованных, которые зарегистрировались для получения пенсионной страховки и страховки по инвалидности, составляло 298 497 человек, мы приходим к выводу о том, что увеличение пенсии в этом году по отношению к нынешнему количеству пенсионеров будет только символическим.  Поэтому представляется необходимым принять некоторые меры по защите пенсионеров в том, что касается их жизненного уровня. </w:t>
      </w:r>
    </w:p>
    <w:p w:rsidR="00000000" w:rsidRDefault="00000000"/>
    <w:p w:rsidR="00000000" w:rsidRDefault="00000000">
      <w:r>
        <w:t>249.</w:t>
      </w:r>
      <w:r>
        <w:tab/>
        <w:t>К числу застрахованных, которые временно нетрудоспособны в связи с другими заболеваниями и травмами, не связанными с профессиональной деятельностью, относятся и те, кто либо сопровождает пациента, направленного на лечение, либо обеспечивает уход за больным партнером по браку или ребенком.  Они имеют право на компенсацию в размере 80% от их базового оклада за месяц, предшествовавший их временной нетрудоспособности.  При беременности и осложнениях при родах предоставляется 100</w:t>
      </w:r>
      <w:r>
        <w:noBreakHyphen/>
        <w:t>процентная компенсация.</w:t>
      </w:r>
    </w:p>
    <w:p w:rsidR="00000000" w:rsidRDefault="00000000"/>
    <w:p w:rsidR="00000000" w:rsidRDefault="00000000">
      <w:r>
        <w:t>250.</w:t>
      </w:r>
      <w:r>
        <w:tab/>
        <w:t>Компенсация за зарплату, потерянную вследствие производственных травм или профессиональных заболеваний, начисляется и выплачивается из ресурсов юридического, т.е. физического лица, являющегося работодателем застрахованного лица.</w:t>
      </w:r>
    </w:p>
    <w:p w:rsidR="00000000" w:rsidRDefault="00000000"/>
    <w:p w:rsidR="00000000" w:rsidRDefault="00000000">
      <w:r>
        <w:t>251.</w:t>
      </w:r>
      <w:r>
        <w:tab/>
        <w:t>Застрахованные лица имеют право пользоваться ортопедическими и другими вспомогательными средствами, зубными протезами, а также лекарствами, продажа которых разрешена государством и которые финансируются соответствующими компаниями медицинского страхования.  Профилактика злокачественных заболеваний, включая СПИД и туберкулез, осуществляется Образованиями и Районом Брчко.</w:t>
      </w:r>
    </w:p>
    <w:p w:rsidR="00000000" w:rsidRDefault="00000000"/>
    <w:p w:rsidR="00000000" w:rsidRDefault="00000000">
      <w:r>
        <w:t>252.</w:t>
      </w:r>
      <w:r>
        <w:tab/>
        <w:t>Лица, являющиеся жителями Образований или Района Брчко, которые не способны жить и работать самостоятельно и у которых нет средств для привлечения поддержки, подлежат обязательному медицинскому страхованию в объеме, установленном для застрахованных членов семьи.</w:t>
      </w:r>
    </w:p>
    <w:p w:rsidR="00000000" w:rsidRDefault="00000000"/>
    <w:p w:rsidR="00000000" w:rsidRDefault="00000000">
      <w:pPr>
        <w:rPr>
          <w:b/>
          <w:bCs/>
        </w:rPr>
      </w:pPr>
      <w:r>
        <w:rPr>
          <w:b/>
          <w:bCs/>
        </w:rPr>
        <w:t>Международная помощь</w:t>
      </w:r>
    </w:p>
    <w:p w:rsidR="00000000" w:rsidRDefault="00000000">
      <w:pPr>
        <w:rPr>
          <w:b/>
          <w:bCs/>
        </w:rPr>
      </w:pPr>
    </w:p>
    <w:p w:rsidR="00000000" w:rsidRDefault="00000000">
      <w:r>
        <w:t>253.</w:t>
      </w:r>
      <w:r>
        <w:tab/>
        <w:t>Район Брчко получает административную и правовую помощь со стороны международного сообщества.  Федерация Боснии и Герцеговины уже получила множество пожертвований и ссуд, которые оказали огромную помощь в формировании системы здравоохранения.  В числе выполненных или текущих проектов можно назвать следующие:</w:t>
      </w:r>
    </w:p>
    <w:p w:rsidR="00000000" w:rsidRDefault="00000000"/>
    <w:p w:rsidR="00000000" w:rsidRDefault="00000000">
      <w:pPr>
        <w:numPr>
          <w:ilvl w:val="0"/>
          <w:numId w:val="40"/>
        </w:numPr>
        <w:tabs>
          <w:tab w:val="clear" w:pos="567"/>
          <w:tab w:val="clear" w:pos="1701"/>
          <w:tab w:val="left" w:pos="1134"/>
        </w:tabs>
      </w:pPr>
      <w:r>
        <w:t>расширенная программа ЮНИСЕФ по иммунизации:  проект был начат в 1992 году с целью достижения 95-процентного уровня вакцинации детей моложе шести лет и искоренения болезней;</w:t>
      </w:r>
    </w:p>
    <w:p w:rsidR="00000000" w:rsidRDefault="00000000"/>
    <w:p w:rsidR="00000000" w:rsidRDefault="00000000">
      <w:pPr>
        <w:numPr>
          <w:ilvl w:val="0"/>
          <w:numId w:val="40"/>
        </w:numPr>
        <w:tabs>
          <w:tab w:val="clear" w:pos="567"/>
          <w:tab w:val="clear" w:pos="1701"/>
          <w:tab w:val="left" w:pos="1134"/>
        </w:tabs>
      </w:pPr>
      <w:r>
        <w:t>подпроект 3.4 по охране здоровья и обеспечению питанием матери и ребенка:  контроль и профилактика дефицита микроэлементов:  задача состояла в разработке мер контроля и профилактики болезней, вызываемых недостатком микроэлементов;  проект был начат в 1998 году;</w:t>
      </w:r>
    </w:p>
    <w:p w:rsidR="00000000" w:rsidRDefault="00000000"/>
    <w:p w:rsidR="00000000" w:rsidRDefault="00000000">
      <w:pPr>
        <w:numPr>
          <w:ilvl w:val="0"/>
          <w:numId w:val="40"/>
        </w:numPr>
        <w:tabs>
          <w:tab w:val="clear" w:pos="567"/>
          <w:tab w:val="clear" w:pos="1701"/>
          <w:tab w:val="left" w:pos="1134"/>
        </w:tabs>
      </w:pPr>
      <w:r>
        <w:t>программы Детского фонда Организации Объединенных Наций по охране здоровья и обеспечению питанием матери и ребенка, по пропаганде, поддержке и защите практики кормления грудью, а также инициатива по созданию детской больницы, начатая в 1993 году;</w:t>
      </w:r>
    </w:p>
    <w:p w:rsidR="00000000" w:rsidRDefault="00000000"/>
    <w:p w:rsidR="00000000" w:rsidRDefault="00000000">
      <w:pPr>
        <w:numPr>
          <w:ilvl w:val="0"/>
          <w:numId w:val="40"/>
        </w:numPr>
        <w:tabs>
          <w:tab w:val="clear" w:pos="567"/>
          <w:tab w:val="clear" w:pos="1701"/>
          <w:tab w:val="left" w:pos="1134"/>
        </w:tabs>
      </w:pPr>
      <w:r>
        <w:t>программа Детского фонда Организации Объединенных Наций по профилактике нутритивной анемии детей моложе 6 лет, 1999 год;</w:t>
      </w:r>
    </w:p>
    <w:p w:rsidR="00000000" w:rsidRDefault="00000000"/>
    <w:p w:rsidR="00000000" w:rsidRDefault="00000000">
      <w:pPr>
        <w:numPr>
          <w:ilvl w:val="0"/>
          <w:numId w:val="40"/>
        </w:numPr>
        <w:tabs>
          <w:tab w:val="clear" w:pos="567"/>
          <w:tab w:val="clear" w:pos="1701"/>
          <w:tab w:val="left" w:pos="1134"/>
        </w:tabs>
      </w:pPr>
      <w:r>
        <w:t>ШВЕ-БГ:  шведский психиатрический, социальный и реабилитационный проект для Боснии и Герцеговины:  "Реформа системы охраны психического здоровья в Боснии и Герцеговине";</w:t>
      </w:r>
    </w:p>
    <w:p w:rsidR="00000000" w:rsidRDefault="00000000"/>
    <w:p w:rsidR="00000000" w:rsidRDefault="00000000">
      <w:pPr>
        <w:numPr>
          <w:ilvl w:val="0"/>
          <w:numId w:val="40"/>
        </w:numPr>
        <w:tabs>
          <w:tab w:val="clear" w:pos="567"/>
          <w:tab w:val="clear" w:pos="1701"/>
          <w:tab w:val="left" w:pos="1134"/>
        </w:tabs>
      </w:pPr>
      <w:r>
        <w:t xml:space="preserve">поддержка в осуществлении реформы системы охраны психического здоровья в Боснии и Герцеговине; </w:t>
      </w:r>
    </w:p>
    <w:p w:rsidR="00000000" w:rsidRDefault="00000000"/>
    <w:p w:rsidR="00000000" w:rsidRDefault="00000000">
      <w:pPr>
        <w:numPr>
          <w:ilvl w:val="0"/>
          <w:numId w:val="40"/>
        </w:numPr>
        <w:tabs>
          <w:tab w:val="clear" w:pos="567"/>
          <w:tab w:val="clear" w:pos="1701"/>
          <w:tab w:val="left" w:pos="1134"/>
        </w:tabs>
      </w:pPr>
      <w:r>
        <w:t>поддержка Университета Сараево в подготовке аспирантов, специализирующихся в области психиатрии, детской и подростковой психиатрии и психологии (ДППП);</w:t>
      </w:r>
    </w:p>
    <w:p w:rsidR="00000000" w:rsidRDefault="00000000">
      <w:pPr>
        <w:ind w:left="1134" w:hanging="567"/>
      </w:pPr>
    </w:p>
    <w:p w:rsidR="00000000" w:rsidRDefault="00000000">
      <w:pPr>
        <w:numPr>
          <w:ilvl w:val="0"/>
          <w:numId w:val="40"/>
        </w:numPr>
        <w:tabs>
          <w:tab w:val="clear" w:pos="567"/>
          <w:tab w:val="clear" w:pos="1701"/>
          <w:tab w:val="left" w:pos="1134"/>
        </w:tabs>
      </w:pPr>
      <w:r>
        <w:t>подготовка специалистов-психиатров всех категорий в Клиническом медицинском центре Федерации Боснии и Герцеговины;</w:t>
      </w:r>
    </w:p>
    <w:p w:rsidR="00000000" w:rsidRDefault="00000000">
      <w:pPr>
        <w:tabs>
          <w:tab w:val="clear" w:pos="567"/>
          <w:tab w:val="clear" w:pos="1701"/>
        </w:tabs>
      </w:pPr>
    </w:p>
    <w:p w:rsidR="00000000" w:rsidRDefault="00000000">
      <w:pPr>
        <w:numPr>
          <w:ilvl w:val="0"/>
          <w:numId w:val="40"/>
        </w:numPr>
        <w:tabs>
          <w:tab w:val="clear" w:pos="567"/>
          <w:tab w:val="clear" w:pos="1701"/>
          <w:tab w:val="left" w:pos="1134"/>
        </w:tabs>
      </w:pPr>
      <w:r>
        <w:t>предоставление литературы университетам в Сараево, Тузле и Мостаре и другим центрам психиатрии в Федерации Боснии и Герцеговины, 1997</w:t>
      </w:r>
      <w:r>
        <w:noBreakHyphen/>
        <w:t>2003 годы;</w:t>
      </w:r>
    </w:p>
    <w:p w:rsidR="00000000" w:rsidRDefault="00000000">
      <w:pPr>
        <w:ind w:left="1134" w:hanging="567"/>
      </w:pPr>
    </w:p>
    <w:p w:rsidR="00000000" w:rsidRDefault="00000000">
      <w:pPr>
        <w:numPr>
          <w:ilvl w:val="0"/>
          <w:numId w:val="40"/>
        </w:numPr>
        <w:tabs>
          <w:tab w:val="clear" w:pos="567"/>
          <w:tab w:val="clear" w:pos="1701"/>
          <w:tab w:val="left" w:pos="1134"/>
        </w:tabs>
      </w:pPr>
      <w:r>
        <w:t>проект реформы здравоохранения, осуществляемой ФАРЕ в Боснии и Герцеговине;</w:t>
      </w:r>
    </w:p>
    <w:p w:rsidR="00000000" w:rsidRDefault="00000000">
      <w:pPr>
        <w:ind w:left="1134" w:hanging="567"/>
      </w:pPr>
    </w:p>
    <w:p w:rsidR="00000000" w:rsidRDefault="00000000">
      <w:pPr>
        <w:numPr>
          <w:ilvl w:val="0"/>
          <w:numId w:val="40"/>
        </w:numPr>
        <w:tabs>
          <w:tab w:val="clear" w:pos="567"/>
          <w:tab w:val="clear" w:pos="1701"/>
          <w:tab w:val="left" w:pos="1134"/>
        </w:tabs>
      </w:pPr>
      <w:r>
        <w:t>содействие улучшению состояния здоровья населения Боснии и Герцеговины за счет создания эффективных и устойчивых систем здравоохранения и фармацевтики;</w:t>
      </w:r>
    </w:p>
    <w:p w:rsidR="00000000" w:rsidRDefault="00000000">
      <w:pPr>
        <w:ind w:left="1134" w:hanging="567"/>
      </w:pPr>
    </w:p>
    <w:p w:rsidR="00000000" w:rsidRDefault="00000000">
      <w:pPr>
        <w:numPr>
          <w:ilvl w:val="0"/>
          <w:numId w:val="40"/>
        </w:numPr>
        <w:tabs>
          <w:tab w:val="clear" w:pos="567"/>
          <w:tab w:val="clear" w:pos="1701"/>
          <w:tab w:val="left" w:pos="1134"/>
        </w:tabs>
      </w:pPr>
      <w:r>
        <w:t>улучшение качества системы здравоохранения на основе использования наилучшей практики, развития организационных систем, стратегического планирования, образования и других ключевых аспектов;</w:t>
      </w:r>
    </w:p>
    <w:p w:rsidR="00000000" w:rsidRDefault="00000000">
      <w:pPr>
        <w:ind w:left="1134" w:hanging="567"/>
      </w:pPr>
    </w:p>
    <w:p w:rsidR="00000000" w:rsidRDefault="00000000">
      <w:pPr>
        <w:numPr>
          <w:ilvl w:val="0"/>
          <w:numId w:val="40"/>
        </w:numPr>
        <w:tabs>
          <w:tab w:val="clear" w:pos="567"/>
          <w:tab w:val="clear" w:pos="1701"/>
          <w:tab w:val="left" w:pos="1134"/>
        </w:tabs>
      </w:pPr>
      <w:r>
        <w:t>подготовка руководящих работников шести основных медицинских учреждений, четырех больниц и двух клиник по вопросам разработки стратегических планов предпринимательской деятельности;</w:t>
      </w:r>
    </w:p>
    <w:p w:rsidR="00000000" w:rsidRDefault="00000000">
      <w:pPr>
        <w:ind w:left="1134" w:hanging="567"/>
      </w:pPr>
    </w:p>
    <w:p w:rsidR="00000000" w:rsidRDefault="00000000">
      <w:pPr>
        <w:numPr>
          <w:ilvl w:val="0"/>
          <w:numId w:val="40"/>
        </w:numPr>
        <w:tabs>
          <w:tab w:val="clear" w:pos="567"/>
          <w:tab w:val="clear" w:pos="1701"/>
          <w:tab w:val="left" w:pos="1134"/>
        </w:tabs>
      </w:pPr>
      <w:r>
        <w:t>формулирование руководящих принципов разработки стратегии деятельности медицинских учреждений;</w:t>
      </w:r>
    </w:p>
    <w:p w:rsidR="00000000" w:rsidRDefault="00000000">
      <w:pPr>
        <w:ind w:left="1134" w:hanging="567"/>
      </w:pPr>
    </w:p>
    <w:p w:rsidR="00000000" w:rsidRDefault="00000000">
      <w:pPr>
        <w:numPr>
          <w:ilvl w:val="0"/>
          <w:numId w:val="40"/>
        </w:numPr>
        <w:tabs>
          <w:tab w:val="clear" w:pos="567"/>
          <w:tab w:val="clear" w:pos="1701"/>
          <w:tab w:val="left" w:pos="1134"/>
        </w:tabs>
      </w:pPr>
      <w:r>
        <w:t>корпорация "Сумитомо":  первичное медико-санитарное обслуживание:  улучшение качества медицинского оборудования в системе первичного медико-санитарного обслуживания - предоставление оборудования 29 клиникам, 1999 год;</w:t>
      </w:r>
    </w:p>
    <w:p w:rsidR="00000000" w:rsidRDefault="00000000">
      <w:pPr>
        <w:ind w:left="1134" w:hanging="567"/>
      </w:pPr>
    </w:p>
    <w:p w:rsidR="00000000" w:rsidRDefault="00000000">
      <w:pPr>
        <w:numPr>
          <w:ilvl w:val="0"/>
          <w:numId w:val="40"/>
        </w:numPr>
        <w:tabs>
          <w:tab w:val="clear" w:pos="567"/>
          <w:tab w:val="clear" w:pos="1701"/>
          <w:tab w:val="left" w:pos="1134"/>
        </w:tabs>
      </w:pPr>
      <w:r>
        <w:t>корпорация "Сумитомо":  улучшение качества оборудования в больницах - предоставление оборудования трем медицинским центрам:  Сараево, Тузла, Мостар и государственная больница в Сараево, 1997-1998 годы;</w:t>
      </w:r>
    </w:p>
    <w:p w:rsidR="00000000" w:rsidRDefault="00000000">
      <w:pPr>
        <w:ind w:left="1134" w:hanging="567"/>
      </w:pPr>
    </w:p>
    <w:p w:rsidR="00000000" w:rsidRDefault="00000000">
      <w:pPr>
        <w:numPr>
          <w:ilvl w:val="0"/>
          <w:numId w:val="40"/>
        </w:numPr>
        <w:tabs>
          <w:tab w:val="clear" w:pos="567"/>
          <w:tab w:val="clear" w:pos="1701"/>
          <w:tab w:val="left" w:pos="1134"/>
        </w:tabs>
      </w:pPr>
      <w:r>
        <w:t>международная сеть здравоохранения, финансируемая БУЗА, датским министерством иностранных дел:  создание центра психиатрии в Боснии и Герцеговине, 2000 год;</w:t>
      </w:r>
    </w:p>
    <w:p w:rsidR="00000000" w:rsidRDefault="00000000">
      <w:pPr>
        <w:ind w:left="1134" w:hanging="567"/>
      </w:pPr>
    </w:p>
    <w:p w:rsidR="00000000" w:rsidRDefault="00000000">
      <w:pPr>
        <w:numPr>
          <w:ilvl w:val="0"/>
          <w:numId w:val="40"/>
        </w:numPr>
        <w:tabs>
          <w:tab w:val="clear" w:pos="567"/>
          <w:tab w:val="clear" w:pos="1701"/>
          <w:tab w:val="left" w:pos="1134"/>
        </w:tabs>
      </w:pPr>
      <w:r>
        <w:t>общинные психиатрические службы в кантоне Центральная Босния:  сокращение психических заболеваний и смертей вследствие таких заболеваний в кантоне Центральная Босния и улучшение интеграции и участия травмированных пациентов в жизни общества.</w:t>
      </w:r>
    </w:p>
    <w:p w:rsidR="00000000" w:rsidRDefault="00000000">
      <w:pPr>
        <w:tabs>
          <w:tab w:val="clear" w:pos="567"/>
          <w:tab w:val="clear" w:pos="1701"/>
        </w:tabs>
      </w:pPr>
    </w:p>
    <w:p w:rsidR="00000000" w:rsidRDefault="00000000">
      <w:pPr>
        <w:rPr>
          <w:b/>
          <w:bCs/>
        </w:rPr>
      </w:pPr>
      <w:r>
        <w:rPr>
          <w:b/>
          <w:bCs/>
        </w:rPr>
        <w:t>Правовое регулирование</w:t>
      </w:r>
    </w:p>
    <w:p w:rsidR="00000000" w:rsidRDefault="00000000">
      <w:pPr>
        <w:rPr>
          <w:b/>
          <w:bCs/>
        </w:rPr>
      </w:pPr>
    </w:p>
    <w:p w:rsidR="00000000" w:rsidRDefault="00000000">
      <w:r>
        <w:t>254.</w:t>
      </w:r>
      <w:r>
        <w:tab/>
        <w:t xml:space="preserve">Законодательство содержит требование о том, чтобы каждый гражданин Боснии и Герцеговины мог участвовать в любой системе социального страхования без какой-либо дискриминации.  Стремясь к реализации этой задачи, правительства Федерации Боснии и Герцеговины, Республики Сербской и Района Брчко приняли почти идентичные законы, регулирующие права в данной области:  </w:t>
      </w:r>
    </w:p>
    <w:p w:rsidR="00000000" w:rsidRDefault="00000000"/>
    <w:p w:rsidR="00000000" w:rsidRDefault="00000000">
      <w:pPr>
        <w:numPr>
          <w:ilvl w:val="0"/>
          <w:numId w:val="40"/>
        </w:numPr>
        <w:tabs>
          <w:tab w:val="clear" w:pos="567"/>
          <w:tab w:val="clear" w:pos="1701"/>
          <w:tab w:val="left" w:pos="1134"/>
        </w:tabs>
      </w:pPr>
      <w:r>
        <w:t>социальное обеспечение, охрана ребенка и семьи;</w:t>
      </w:r>
    </w:p>
    <w:p w:rsidR="00000000" w:rsidRDefault="00000000">
      <w:pPr>
        <w:ind w:left="1134" w:hanging="567"/>
      </w:pPr>
    </w:p>
    <w:p w:rsidR="00000000" w:rsidRDefault="00000000">
      <w:pPr>
        <w:numPr>
          <w:ilvl w:val="0"/>
          <w:numId w:val="40"/>
        </w:numPr>
        <w:tabs>
          <w:tab w:val="clear" w:pos="567"/>
          <w:tab w:val="clear" w:pos="1701"/>
          <w:tab w:val="left" w:pos="1134"/>
        </w:tabs>
      </w:pPr>
      <w:r>
        <w:t>охрана здоровья, медицинское страхование;</w:t>
      </w:r>
    </w:p>
    <w:p w:rsidR="00000000" w:rsidRDefault="00000000">
      <w:pPr>
        <w:ind w:left="1134" w:hanging="567"/>
      </w:pPr>
    </w:p>
    <w:p w:rsidR="00000000" w:rsidRDefault="00000000">
      <w:pPr>
        <w:numPr>
          <w:ilvl w:val="0"/>
          <w:numId w:val="40"/>
        </w:numPr>
        <w:tabs>
          <w:tab w:val="clear" w:pos="567"/>
          <w:tab w:val="clear" w:pos="1701"/>
          <w:tab w:val="left" w:pos="1134"/>
        </w:tabs>
      </w:pPr>
      <w:r>
        <w:t>пенсионное страхование и страхование на случай инвалидности (</w:t>
      </w:r>
      <w:r>
        <w:rPr>
          <w:i/>
          <w:iCs/>
        </w:rPr>
        <w:t>Примечание</w:t>
      </w:r>
      <w:r>
        <w:t>:  правительство Района Брчко в период 2000-2003 годов не смогло принять закон о пенсионном страховании и страховании на случай инвалидности, несмотря на инициативы и многочисленные встречи с представителями правительств Образований).</w:t>
      </w:r>
    </w:p>
    <w:p w:rsidR="00000000" w:rsidRDefault="00000000">
      <w:pPr>
        <w:ind w:left="1134" w:hanging="567"/>
      </w:pPr>
    </w:p>
    <w:p w:rsidR="00000000" w:rsidRDefault="00000000">
      <w:r>
        <w:t>В кантонах были созданы фонды солидарности для обеспечения максимально справедливого распределения средств.</w:t>
      </w:r>
    </w:p>
    <w:p w:rsidR="00000000" w:rsidRDefault="00000000"/>
    <w:p w:rsidR="00000000" w:rsidRDefault="00000000">
      <w:r>
        <w:t>255.</w:t>
      </w:r>
      <w:r>
        <w:tab/>
        <w:t>В 1992 году в Боснии и Герцеговине было лишь по одному зонтичному закону в каждой области социального обеспечения, тогда как с 1992 года и после смены власти в двух возникших Образованиях были приняты следующие соответствующие законы:</w:t>
      </w:r>
    </w:p>
    <w:p w:rsidR="00000000" w:rsidRDefault="00000000"/>
    <w:p w:rsidR="00000000" w:rsidRDefault="00000000">
      <w:pPr>
        <w:numPr>
          <w:ilvl w:val="0"/>
          <w:numId w:val="40"/>
        </w:numPr>
        <w:tabs>
          <w:tab w:val="clear" w:pos="567"/>
          <w:tab w:val="clear" w:pos="1701"/>
          <w:tab w:val="left" w:pos="1134"/>
        </w:tabs>
      </w:pPr>
      <w:r>
        <w:t>Закон о социальном обеспечении;</w:t>
      </w:r>
    </w:p>
    <w:p w:rsidR="00000000" w:rsidRDefault="00000000">
      <w:pPr>
        <w:numPr>
          <w:ilvl w:val="0"/>
          <w:numId w:val="40"/>
        </w:numPr>
        <w:tabs>
          <w:tab w:val="clear" w:pos="567"/>
          <w:tab w:val="clear" w:pos="1701"/>
          <w:tab w:val="left" w:pos="1134"/>
        </w:tabs>
      </w:pPr>
      <w:r>
        <w:t>Закон об охране здоровья;</w:t>
      </w:r>
    </w:p>
    <w:p w:rsidR="00000000" w:rsidRDefault="00000000">
      <w:pPr>
        <w:numPr>
          <w:ilvl w:val="0"/>
          <w:numId w:val="40"/>
        </w:numPr>
        <w:tabs>
          <w:tab w:val="clear" w:pos="567"/>
          <w:tab w:val="clear" w:pos="1701"/>
          <w:tab w:val="left" w:pos="1134"/>
        </w:tabs>
      </w:pPr>
      <w:r>
        <w:t>Закон о медицинском страховании;</w:t>
      </w:r>
    </w:p>
    <w:p w:rsidR="00000000" w:rsidRDefault="00000000">
      <w:pPr>
        <w:numPr>
          <w:ilvl w:val="0"/>
          <w:numId w:val="40"/>
        </w:numPr>
        <w:tabs>
          <w:tab w:val="clear" w:pos="567"/>
          <w:tab w:val="clear" w:pos="1701"/>
          <w:tab w:val="left" w:pos="1134"/>
        </w:tabs>
      </w:pPr>
      <w:r>
        <w:t>Закон о пенсионном страховании и страховании на случай инвалидности.</w:t>
      </w:r>
    </w:p>
    <w:p w:rsidR="00000000" w:rsidRDefault="00000000">
      <w:pPr>
        <w:ind w:left="1134" w:hanging="567"/>
      </w:pPr>
    </w:p>
    <w:p w:rsidR="00000000" w:rsidRDefault="00000000">
      <w:r>
        <w:t>256.</w:t>
      </w:r>
      <w:r>
        <w:tab/>
        <w:t>После образования в 2000 году Района Брчко были приняты и осуществляются следующие законы:</w:t>
      </w:r>
    </w:p>
    <w:p w:rsidR="00000000" w:rsidRDefault="00000000"/>
    <w:p w:rsidR="00000000" w:rsidRDefault="00000000">
      <w:pPr>
        <w:numPr>
          <w:ilvl w:val="0"/>
          <w:numId w:val="40"/>
        </w:numPr>
        <w:tabs>
          <w:tab w:val="clear" w:pos="567"/>
          <w:tab w:val="clear" w:pos="1701"/>
          <w:tab w:val="left" w:pos="1134"/>
        </w:tabs>
      </w:pPr>
      <w:r>
        <w:t>Закон об охране здоровья;</w:t>
      </w:r>
    </w:p>
    <w:p w:rsidR="00000000" w:rsidRDefault="00000000">
      <w:pPr>
        <w:numPr>
          <w:ilvl w:val="0"/>
          <w:numId w:val="40"/>
        </w:numPr>
        <w:tabs>
          <w:tab w:val="clear" w:pos="567"/>
          <w:tab w:val="clear" w:pos="1701"/>
          <w:tab w:val="left" w:pos="1134"/>
        </w:tabs>
      </w:pPr>
      <w:r>
        <w:t>Закон о медицинском страховании;</w:t>
      </w:r>
    </w:p>
    <w:p w:rsidR="00000000" w:rsidRDefault="00000000">
      <w:pPr>
        <w:numPr>
          <w:ilvl w:val="0"/>
          <w:numId w:val="40"/>
        </w:numPr>
        <w:tabs>
          <w:tab w:val="clear" w:pos="567"/>
          <w:tab w:val="clear" w:pos="1701"/>
          <w:tab w:val="left" w:pos="1134"/>
        </w:tabs>
      </w:pPr>
      <w:r>
        <w:t>Закон о социальном обеспечении;</w:t>
      </w:r>
    </w:p>
    <w:p w:rsidR="00000000" w:rsidRDefault="00000000">
      <w:pPr>
        <w:numPr>
          <w:ilvl w:val="0"/>
          <w:numId w:val="40"/>
        </w:numPr>
        <w:tabs>
          <w:tab w:val="clear" w:pos="567"/>
          <w:tab w:val="clear" w:pos="1701"/>
          <w:tab w:val="left" w:pos="1134"/>
        </w:tabs>
      </w:pPr>
      <w:r>
        <w:t>Закон о благополучии детей.</w:t>
      </w:r>
    </w:p>
    <w:p w:rsidR="00000000" w:rsidRDefault="00000000">
      <w:pPr>
        <w:ind w:left="1134" w:hanging="567"/>
      </w:pPr>
    </w:p>
    <w:p w:rsidR="00000000" w:rsidRDefault="00000000">
      <w:pPr>
        <w:keepNext/>
        <w:jc w:val="center"/>
        <w:rPr>
          <w:b/>
          <w:bCs/>
        </w:rPr>
      </w:pPr>
      <w:r>
        <w:rPr>
          <w:b/>
          <w:bCs/>
        </w:rPr>
        <w:t>Статья 10</w:t>
      </w:r>
    </w:p>
    <w:p w:rsidR="00000000" w:rsidRDefault="00000000">
      <w:pPr>
        <w:keepNext/>
        <w:jc w:val="center"/>
        <w:rPr>
          <w:b/>
          <w:bCs/>
        </w:rPr>
      </w:pPr>
    </w:p>
    <w:p w:rsidR="00000000" w:rsidRDefault="00000000">
      <w:pPr>
        <w:rPr>
          <w:b/>
          <w:bCs/>
        </w:rPr>
      </w:pPr>
      <w:r>
        <w:rPr>
          <w:b/>
          <w:bCs/>
        </w:rPr>
        <w:t>Международные договоры</w:t>
      </w:r>
    </w:p>
    <w:p w:rsidR="00000000" w:rsidRDefault="00000000">
      <w:pPr>
        <w:rPr>
          <w:b/>
          <w:bCs/>
        </w:rPr>
      </w:pPr>
    </w:p>
    <w:p w:rsidR="00000000" w:rsidRDefault="00000000">
      <w:pPr>
        <w:numPr>
          <w:ilvl w:val="0"/>
          <w:numId w:val="40"/>
        </w:numPr>
        <w:tabs>
          <w:tab w:val="clear" w:pos="567"/>
          <w:tab w:val="clear" w:pos="1701"/>
          <w:tab w:val="left" w:pos="1134"/>
        </w:tabs>
        <w:rPr>
          <w:b/>
          <w:bCs/>
        </w:rPr>
      </w:pPr>
      <w:r>
        <w:rPr>
          <w:b/>
          <w:bCs/>
        </w:rPr>
        <w:t>Международный пакт о гражданских и политических правах;</w:t>
      </w:r>
    </w:p>
    <w:p w:rsidR="00000000" w:rsidRDefault="00000000">
      <w:pPr>
        <w:ind w:left="1134" w:hanging="567"/>
        <w:rPr>
          <w:b/>
          <w:bCs/>
        </w:rPr>
      </w:pPr>
    </w:p>
    <w:p w:rsidR="00000000" w:rsidRDefault="00000000">
      <w:pPr>
        <w:numPr>
          <w:ilvl w:val="0"/>
          <w:numId w:val="40"/>
        </w:numPr>
        <w:tabs>
          <w:tab w:val="clear" w:pos="567"/>
          <w:tab w:val="clear" w:pos="1701"/>
          <w:tab w:val="left" w:pos="1134"/>
        </w:tabs>
        <w:rPr>
          <w:b/>
          <w:bCs/>
        </w:rPr>
      </w:pPr>
      <w:r>
        <w:rPr>
          <w:b/>
          <w:bCs/>
        </w:rPr>
        <w:t>Конвенция о правах ребенка;</w:t>
      </w:r>
    </w:p>
    <w:p w:rsidR="00000000" w:rsidRDefault="00000000">
      <w:pPr>
        <w:ind w:left="1134" w:hanging="567"/>
        <w:rPr>
          <w:b/>
          <w:bCs/>
        </w:rPr>
      </w:pPr>
    </w:p>
    <w:p w:rsidR="00000000" w:rsidRDefault="00000000">
      <w:pPr>
        <w:numPr>
          <w:ilvl w:val="0"/>
          <w:numId w:val="40"/>
        </w:numPr>
        <w:tabs>
          <w:tab w:val="clear" w:pos="567"/>
          <w:tab w:val="clear" w:pos="1701"/>
          <w:tab w:val="left" w:pos="1134"/>
        </w:tabs>
      </w:pPr>
      <w:r>
        <w:rPr>
          <w:b/>
          <w:bCs/>
        </w:rPr>
        <w:t>Конвенция о ликвидации всех форм дискриминации в отношении женщин.</w:t>
      </w:r>
    </w:p>
    <w:p w:rsidR="00000000" w:rsidRDefault="00000000">
      <w:pPr>
        <w:ind w:left="1134" w:hanging="567"/>
      </w:pPr>
    </w:p>
    <w:p w:rsidR="00000000" w:rsidRDefault="00000000">
      <w:r>
        <w:t>257.</w:t>
      </w:r>
      <w:r>
        <w:tab/>
        <w:t>В соответствии со статьей 2 Закона о семье Боснии и Герцеговины семья определяется как проживающее вместе сообщество родителей и детей и их родственников.  Такое определение семьи является широким, поскольку, помимо родителей, оно включает также родственников.  Тем самым была создана хорошая правовая основа и принято определение, позволяющие возложить ответственность за обеспечение прав ребенка на более широкий круг людей, что имеет огромную важность для эмоционального развития ребенка.</w:t>
      </w:r>
    </w:p>
    <w:p w:rsidR="00000000" w:rsidRDefault="00000000"/>
    <w:p w:rsidR="00000000" w:rsidRDefault="00000000">
      <w:r>
        <w:t>258.</w:t>
      </w:r>
      <w:r>
        <w:tab/>
        <w:t xml:space="preserve">В соответствии с положениями статьи 2 Закона об основах социального обеспечения, защиты гражданских лиц, ставших жертвами войны, и защиты семьи семья состоит из:  супругов, состоящих или не состоящих в браке, ребенка (рожденного в браке или вне его, пасынка или падчерицы или приемного ребенка), отца, матери, дедушки, бабушки (со стороны обоих родителей) и братьев и сестер супругов.  </w:t>
      </w:r>
    </w:p>
    <w:p w:rsidR="00000000" w:rsidRDefault="00000000"/>
    <w:p w:rsidR="00000000" w:rsidRDefault="00000000">
      <w:r>
        <w:t>259.</w:t>
      </w:r>
      <w:r>
        <w:tab/>
        <w:t xml:space="preserve">В других законодательных положениях Боснии и Герцеговины, таких, как Закон о наследстве, Закон о жилищных отношениях, Закон о пенсионном страховании и страховании на случай инвалидности и другие, семья при определении некоторых прав и отношений характеризуется как включающая в себя более широкий круг лиц.  </w:t>
      </w:r>
    </w:p>
    <w:p w:rsidR="00000000" w:rsidRDefault="00000000"/>
    <w:p w:rsidR="00000000" w:rsidRDefault="00000000">
      <w:r>
        <w:t>260.</w:t>
      </w:r>
      <w:r>
        <w:tab/>
        <w:t>В частной сфере Боснии и Герцеговины ребенком считается любое лицо моложе 18 лет, по достижении которых оно становится совершеннолетним и полностью трудоспособным.  Совершеннолетние приобретают право голоса.  В соответствии с Законом об основах социального обеспечения, защиты гражданских лиц, ставших жертвами войны, и защиты семей, имеющих детей, ребенком считается лицо моложе 18 лет, за исключением тех случаев, когда для осуществления прав на детские пособия и образование или стипендии для учащихся и студентов такому лицу больше 18 и меньше 26 лет.</w:t>
      </w:r>
    </w:p>
    <w:p w:rsidR="00000000" w:rsidRDefault="00000000"/>
    <w:p w:rsidR="00000000" w:rsidRDefault="00000000">
      <w:pPr>
        <w:rPr>
          <w:b/>
          <w:bCs/>
        </w:rPr>
      </w:pPr>
      <w:r>
        <w:rPr>
          <w:b/>
          <w:bCs/>
        </w:rPr>
        <w:t>Права, связанные с вступлением в брак и супружескими отношениями</w:t>
      </w:r>
    </w:p>
    <w:p w:rsidR="00000000" w:rsidRDefault="00000000">
      <w:pPr>
        <w:rPr>
          <w:b/>
          <w:bCs/>
        </w:rPr>
      </w:pPr>
    </w:p>
    <w:p w:rsidR="00000000" w:rsidRDefault="00000000">
      <w:r>
        <w:t>261.</w:t>
      </w:r>
      <w:r>
        <w:tab/>
        <w:t xml:space="preserve">На семью распространяется специальная защита, определяемая положениями Конституции Боснии и Герцеговины.  Конституция является каталогом прав человека, а в пункте 3 </w:t>
      </w:r>
      <w:r>
        <w:rPr>
          <w:lang w:val="en-US"/>
        </w:rPr>
        <w:t>j</w:t>
      </w:r>
      <w:r>
        <w:t>)</w:t>
      </w:r>
      <w:r>
        <w:tab/>
        <w:t>статьи 12 определяется право на вступление в брак и образование семьи.</w:t>
      </w:r>
    </w:p>
    <w:p w:rsidR="00000000" w:rsidRDefault="00000000"/>
    <w:p w:rsidR="00000000" w:rsidRDefault="00000000">
      <w:r>
        <w:t>262.</w:t>
      </w:r>
      <w:r>
        <w:tab/>
        <w:t>Брак и брачные отношения в Образованиях и Районе Брчко регулируются законом.  Данный вопрос регулируется Законом о семье (унаследованный от прежнего государства) в Федерации Боснии и Герцеговины и Законом о семье Республики Сербской (</w:t>
      </w:r>
      <w:r>
        <w:rPr>
          <w:i/>
          <w:iCs/>
        </w:rPr>
        <w:t>Официальная газета Республики Сербской</w:t>
      </w:r>
      <w:r>
        <w:t>, № 54/02).  В них устанавливается, что брак юридически определяется как союз между мужчиной и женщиной.  Гарантируются право на вступление в брак на основе свободного волеизъявления мужчины и женщины, а также равенство супругов, взаимное уважение и поддержка.  На практике не существует препятствий для осуществления этого права, поскольку иначе брак сам бы считался несуществующим.</w:t>
      </w:r>
    </w:p>
    <w:p w:rsidR="00000000" w:rsidRDefault="00000000"/>
    <w:p w:rsidR="00000000" w:rsidRDefault="00000000">
      <w:pPr>
        <w:rPr>
          <w:b/>
          <w:bCs/>
        </w:rPr>
      </w:pPr>
      <w:r>
        <w:rPr>
          <w:b/>
          <w:bCs/>
        </w:rPr>
        <w:t>Поддержка в создании семьи</w:t>
      </w:r>
    </w:p>
    <w:p w:rsidR="00000000" w:rsidRDefault="00000000">
      <w:pPr>
        <w:rPr>
          <w:b/>
          <w:bCs/>
        </w:rPr>
      </w:pPr>
    </w:p>
    <w:p w:rsidR="00000000" w:rsidRDefault="00000000">
      <w:r>
        <w:t>263.</w:t>
      </w:r>
      <w:r>
        <w:tab/>
        <w:t>Меры поддержки включают компенсацию оклада во время отпуска по беременности и родам;  пособие при рождении ребенка (на которое имеет право каждая мать - каждая безработная мать имеет право на получение таких пособий до достижения ее ребенком возраста в один год);  помощь каждой семье в обеспечении детской одеждой;  организацию питания в школьных столовых;  и пособия на ребенка, выплачиваемые семьям по закону.</w:t>
      </w:r>
    </w:p>
    <w:p w:rsidR="00000000" w:rsidRDefault="00000000"/>
    <w:p w:rsidR="00000000" w:rsidRDefault="00000000">
      <w:r>
        <w:t>264.</w:t>
      </w:r>
      <w:r>
        <w:tab/>
        <w:t>Помимо вышеуказанных прав, в Боснии и Герцеговине существуют и такие другие права и виды социального обеспечения, как:  единоразовая помощь, ссуды, консультирование по семейным правам и законам, приобретение учебников и других материалов для учащихся.</w:t>
      </w:r>
    </w:p>
    <w:p w:rsidR="00000000" w:rsidRDefault="00000000"/>
    <w:p w:rsidR="00000000" w:rsidRDefault="00000000">
      <w:pPr>
        <w:rPr>
          <w:b/>
          <w:bCs/>
        </w:rPr>
      </w:pPr>
      <w:r>
        <w:rPr>
          <w:b/>
          <w:bCs/>
        </w:rPr>
        <w:t>Защита материнства и недопущение дискриминации в отношении женщин-матерей</w:t>
      </w:r>
    </w:p>
    <w:p w:rsidR="00000000" w:rsidRDefault="00000000">
      <w:pPr>
        <w:rPr>
          <w:b/>
          <w:bCs/>
        </w:rPr>
      </w:pPr>
    </w:p>
    <w:p w:rsidR="00000000" w:rsidRDefault="00000000">
      <w:r>
        <w:t>265.</w:t>
      </w:r>
      <w:r>
        <w:tab/>
        <w:t>Во время беременности, родов и при уходе за ребенком каждая женщина имеет право на непрерывный отпуск по беременности и родам продолжительностью в один год.  Находясь в отпуске по беременности и родам, работница имеет право на компенсацию своего оклада.  В Республике Сербской размер компенсации исчисляется на основе средней величины последних трех окладов, а в Федерации Боснии и Герцеговины</w:t>
      </w:r>
      <w:r>
        <w:rPr>
          <w:b/>
          <w:bCs/>
        </w:rPr>
        <w:t xml:space="preserve"> - </w:t>
      </w:r>
      <w:r>
        <w:t>на</w:t>
      </w:r>
      <w:r>
        <w:rPr>
          <w:lang w:val="en-US"/>
        </w:rPr>
        <w:t> </w:t>
      </w:r>
      <w:r>
        <w:t>основе средней величины последних четырех окладов.  В Федерации Боснии и Герцеговины только в четырех кантонах разработаны положения, касающиеся женщин, ставших матерями, поэтому это право не является одинаковым для всех женщин.</w:t>
      </w:r>
    </w:p>
    <w:p w:rsidR="00000000" w:rsidRDefault="00000000"/>
    <w:p w:rsidR="00000000" w:rsidRDefault="00000000">
      <w:r>
        <w:t>266.</w:t>
      </w:r>
      <w:r>
        <w:tab/>
        <w:t>В Законе о трудовых отношениях предусмотрено право отца ребенка использовать отпуск по беременности и родам в случае смерти матери, если мать бросила ребенка или не может воспользоваться этим правом по какой-либо другой причине.  Отпуск по беременности и родам не может быть разделен между родителями.</w:t>
      </w:r>
    </w:p>
    <w:p w:rsidR="00000000" w:rsidRDefault="00000000"/>
    <w:p w:rsidR="00000000" w:rsidRDefault="00000000">
      <w:r>
        <w:t>267.</w:t>
      </w:r>
      <w:r>
        <w:tab/>
        <w:t>Отпуск по беременности и родам не может влиять на гарантии занятости, поскольку закон запрещает устанавливать какую-либо зависимость между беременностью и занятостью, т.е. не разрешается увольнять женщин только в связи с тем, что они находятся в отпуске по беременности и родам, - это является серьезным правонарушением.</w:t>
      </w:r>
    </w:p>
    <w:p w:rsidR="00000000" w:rsidRDefault="00000000"/>
    <w:p w:rsidR="00000000" w:rsidRDefault="00000000">
      <w:r>
        <w:t>268.</w:t>
      </w:r>
      <w:r>
        <w:tab/>
        <w:t>В Республике Сербской продолжительность непрерывного отпуска в связи с рождением ребенка составляет 12 месяцев или 18 месяцев в случае рождения близнецов и третьего ребенка или каждого следующего ребенка.  В Республике Сербской система компенсации окладов обеспечивается фондом защиты детей.  Непредоставление компенсаций за оклады во время отпуска в связи с рождением ребенка является серьезным правонарушением и наказывается штрафами.  Согласно предложенной поправке к Закону о трудовых отношениях, которая находится в процессе принятия, отпуском в связи с рождением ребенка может с согласия матери воспользоваться отец спустя 60 дней после рождения ребенка.</w:t>
      </w:r>
    </w:p>
    <w:p w:rsidR="00000000" w:rsidRDefault="00000000"/>
    <w:p w:rsidR="00000000" w:rsidRDefault="00000000">
      <w:r>
        <w:t>269.</w:t>
      </w:r>
      <w:r>
        <w:tab/>
        <w:t>В соответствии с положениями Закона о трудовых отношениях гибкий график работы может быть предоставлен мужчинам и женщинам только в тех случаях, если, по мнению и заключению врача, за ребенком необходим уход.</w:t>
      </w:r>
    </w:p>
    <w:p w:rsidR="00000000" w:rsidRDefault="00000000"/>
    <w:p w:rsidR="00000000" w:rsidRDefault="00000000">
      <w:r>
        <w:t>270.</w:t>
      </w:r>
      <w:r>
        <w:tab/>
        <w:t>Функции по предоставлению средств семьям, имеющим детей, в качестве инструмента защиты материнства были переданы кантонам в рамках модели децентрализации в соответствии с Законом о распределении государственных доходов в Федерации Боснии и Герцеговины.  Согласно положениям вышеуказанного Закона и Конституции Федерации Боснии и Герцеговины, кантоны обязаны разрабатывать кантональные положения и, соответственно, обеспечивать наличие средств.  Но реальное положение в Федерации является следующим:  в связи с трудным финансовым положением лишь в 5 из 10 кантонов были разработаны собственные кантональные положения - в кантонах Сараево, Уна-Сана, Тузла, Босния-Подринье и Западная Герцеговина.</w:t>
      </w:r>
    </w:p>
    <w:p w:rsidR="00000000" w:rsidRDefault="00000000"/>
    <w:p w:rsidR="00000000" w:rsidRDefault="00000000">
      <w:r>
        <w:t>271.</w:t>
      </w:r>
      <w:r>
        <w:tab/>
        <w:t>Семья в системе социального обеспечения, защиты ребенка и защиты семьи в Федерации Боснии и Герцеговины пользуется ограниченной защитой или вообще не имеет защиты, поэтому можно говорить о вопиющем нарушении права женщин на охрану материнства, поскольку финансовые возможности местных общин и кантонов являются таковыми, что у них нет средств для выполнения своих обязательств, проистекающих как из национальных, так и международных законов.  Вследствие этого долгое время наблюдается сокращение показателей рождаемости в Боснии и Герцеговине, что обусловлено растущей бедностью, поэтому в нашем обществе был сформулирован термин "феминизация бедности".</w:t>
      </w:r>
    </w:p>
    <w:p w:rsidR="00000000" w:rsidRDefault="00000000"/>
    <w:p w:rsidR="00000000" w:rsidRDefault="00000000">
      <w:r>
        <w:t>272.</w:t>
      </w:r>
      <w:r>
        <w:tab/>
        <w:t>Важно подчеркнуть, что с принятием новых прав нашли свое выражение новые явления в отношении:</w:t>
      </w:r>
    </w:p>
    <w:p w:rsidR="00000000" w:rsidRDefault="00000000"/>
    <w:p w:rsidR="00000000" w:rsidRDefault="00000000">
      <w:pPr>
        <w:numPr>
          <w:ilvl w:val="0"/>
          <w:numId w:val="42"/>
        </w:numPr>
      </w:pPr>
      <w:r>
        <w:t>компенсации окладов матерей во время их отпусков в связи с беременностью, родами и рождением ребенка (раньше это право признавалось в рамках системы охраны здоровья);</w:t>
      </w:r>
    </w:p>
    <w:p w:rsidR="00000000" w:rsidRDefault="00000000">
      <w:pPr>
        <w:ind w:left="1134" w:hanging="567"/>
      </w:pPr>
    </w:p>
    <w:p w:rsidR="00000000" w:rsidRDefault="00000000">
      <w:pPr>
        <w:numPr>
          <w:ilvl w:val="0"/>
          <w:numId w:val="42"/>
        </w:numPr>
      </w:pPr>
      <w:r>
        <w:t>финансовой поддержки во время беременности и родов;</w:t>
      </w:r>
    </w:p>
    <w:p w:rsidR="00000000" w:rsidRDefault="00000000">
      <w:pPr>
        <w:ind w:left="1134" w:hanging="567"/>
      </w:pPr>
    </w:p>
    <w:p w:rsidR="00000000" w:rsidRDefault="00000000"/>
    <w:p w:rsidR="00000000" w:rsidRDefault="00000000">
      <w:pPr>
        <w:numPr>
          <w:ilvl w:val="0"/>
          <w:numId w:val="16"/>
        </w:numPr>
        <w:tabs>
          <w:tab w:val="clear" w:pos="1701"/>
        </w:tabs>
        <w:spacing w:after="240"/>
      </w:pPr>
      <w:r>
        <w:t>помощи в обеспечении детским питанием до достижения ребенком шестимесячного возраста и дополнительным питание матерей, кормящих грудью;</w:t>
      </w:r>
    </w:p>
    <w:p w:rsidR="00000000" w:rsidRDefault="00000000">
      <w:pPr>
        <w:numPr>
          <w:ilvl w:val="0"/>
          <w:numId w:val="16"/>
        </w:numPr>
        <w:tabs>
          <w:tab w:val="clear" w:pos="1701"/>
        </w:tabs>
        <w:spacing w:after="240"/>
      </w:pPr>
      <w:r>
        <w:t>специального психосоциального консультирования пар, желающих иметь детей, и беременных женщин;</w:t>
      </w:r>
    </w:p>
    <w:p w:rsidR="00000000" w:rsidRDefault="00000000">
      <w:pPr>
        <w:numPr>
          <w:ilvl w:val="0"/>
          <w:numId w:val="16"/>
        </w:numPr>
        <w:tabs>
          <w:tab w:val="clear" w:pos="1701"/>
        </w:tabs>
        <w:spacing w:after="240"/>
      </w:pPr>
      <w:r>
        <w:t>обеспечения питанием детей, находящихся в дошкольных учреждениях;</w:t>
      </w:r>
    </w:p>
    <w:p w:rsidR="00000000" w:rsidRDefault="00000000">
      <w:pPr>
        <w:numPr>
          <w:ilvl w:val="0"/>
          <w:numId w:val="16"/>
        </w:numPr>
        <w:tabs>
          <w:tab w:val="clear" w:pos="1701"/>
        </w:tabs>
        <w:spacing w:after="240"/>
      </w:pPr>
      <w:r>
        <w:t>одноразового питания в дневное время в начальных школах и стипендий для учащихся и студентов.</w:t>
      </w:r>
    </w:p>
    <w:p w:rsidR="00000000" w:rsidRDefault="00000000">
      <w:r>
        <w:t>273.</w:t>
      </w:r>
      <w:r>
        <w:tab/>
        <w:t>Новые права, изложенные ниже в зонтичном федеральном законе, выполняют прямую функцию защиты женщин и матерей в интересах ребенка.  В нем подчеркивается, что Федерация Боснии и Герцеговины определяет свою демографическую политику в рамках государственной политики защиты населения.</w:t>
      </w:r>
    </w:p>
    <w:p w:rsidR="00000000" w:rsidRDefault="00000000"/>
    <w:p w:rsidR="00000000" w:rsidRDefault="00000000">
      <w:r>
        <w:t>274.</w:t>
      </w:r>
      <w:r>
        <w:tab/>
        <w:t>Наказанием за лишение или ограничение каких-либо вышеуказанных прав, предоставленных женщинам, является штраф, которым облагается учреждение системы социального обеспечения, ответственное лицо, работодатель, юридическое лицо или государственная компания, и его размер составляет 100-5 000 КМ (статья 98 Закона Федерации).</w:t>
      </w:r>
    </w:p>
    <w:p w:rsidR="00000000" w:rsidRDefault="00000000"/>
    <w:p w:rsidR="00000000" w:rsidRDefault="00000000">
      <w:r>
        <w:t>275.</w:t>
      </w:r>
      <w:r>
        <w:tab/>
        <w:t>В Законе о трудовых отношениях (</w:t>
      </w:r>
      <w:r>
        <w:rPr>
          <w:i/>
          <w:iCs/>
        </w:rPr>
        <w:t>Официальная газета Федерации Боснии и Герцеговины</w:t>
      </w:r>
      <w:r>
        <w:t>, 43/99) предусмотрено, что во время беременности, родов и при уходе за ребенком женщина имеет право на непрерывный отпуск в связи с рождением ребенка продолжительностью в один год, а при рождении близнецов, третьего или какого-либо следующего ребенка его продолжительность составляет 18 месяцев (статья 55):</w:t>
      </w:r>
    </w:p>
    <w:p w:rsidR="00000000" w:rsidRDefault="00000000"/>
    <w:p w:rsidR="00000000" w:rsidRDefault="00000000">
      <w:pPr>
        <w:numPr>
          <w:ilvl w:val="0"/>
          <w:numId w:val="17"/>
        </w:numPr>
        <w:tabs>
          <w:tab w:val="clear" w:pos="1701"/>
        </w:tabs>
        <w:spacing w:after="240"/>
      </w:pPr>
      <w:r>
        <w:t>отец ребенка может воспользоваться правом, предусмотренным статьей 55, в</w:t>
      </w:r>
      <w:r>
        <w:rPr>
          <w:lang w:val="en-US"/>
        </w:rPr>
        <w:t> </w:t>
      </w:r>
      <w:r>
        <w:t>случае смерти матери ребенка или если мать бросает своего ребенка, или не может воспользоваться этим правом в силу обоснованных причин;</w:t>
      </w:r>
    </w:p>
    <w:p w:rsidR="00000000" w:rsidRDefault="00000000">
      <w:pPr>
        <w:numPr>
          <w:ilvl w:val="0"/>
          <w:numId w:val="17"/>
        </w:numPr>
        <w:tabs>
          <w:tab w:val="clear" w:pos="1701"/>
        </w:tabs>
        <w:spacing w:after="240"/>
      </w:pPr>
      <w:r>
        <w:t>в Законе о трудовых отношениях также предусматривается, что по достижении ребенком возраста в один год один из родителей имеет право в течение трех лет работать половину рабочего дня, если, согласно компетентному заключению врача, за ребенком необходим активный уход (статья 58).</w:t>
      </w:r>
    </w:p>
    <w:p w:rsidR="00000000" w:rsidRDefault="00000000">
      <w:r>
        <w:t>276.</w:t>
      </w:r>
      <w:r>
        <w:tab/>
        <w:t>Как отмечалось выше, дети в наибольшей степени подвержены риску оказаться за чертой бедности, поскольку около 56% бедноты проживают в семьях, имеющих детей.  В особенно угрожающем положении находятся дети в Республике Сербской, где бедные семьи составляют более половины населения, тогда как в Федерации Боснии и Герцеговины этот коэффициент составляет около одной трети.  Около 13% детей проживает в семьях, относящихся к категории наибеднейших, а 29% – в семьях, находящихся на черте бедности.  Самая крайняя бедность наблюдается в семьях, где ни один из членов семьи не работает, и в крайне трудном положении находятся семьи перемещенных лиц, в которых у главы семьи нет работы.  В особой опасности находятся дети моложе 5 лет, и о серьезности их положения свидетельствует следующее:  очень низкие показатели посещаемости дошкольных учреждений (менее 9% детей посещают то или иное дошкольное учреждение), ограниченный доступ бедных детей к среднему образованию, значительно более низкие показатели обеспеченности медицинским страхованием, особенно в сельских районах.  Необеспеченность медицинским страхованием в большей степени затрагивает маленьких детей (обоих полов), поскольку дети в большей степени подвержены заболеваниям и травмам и обладают меньшей сопротивляемостью, чем взрослые.</w:t>
      </w:r>
    </w:p>
    <w:p w:rsidR="00000000" w:rsidRDefault="00000000"/>
    <w:p w:rsidR="00000000" w:rsidRDefault="00000000">
      <w:r>
        <w:t>277.</w:t>
      </w:r>
      <w:r>
        <w:tab/>
        <w:t>Еще большей опасности, чем дети из бедных семей, подвергаются сироты и дети, уход за которыми осуществляется системой социального обеспечения, поскольку все компоненты этой системы имеют слишком мало материальных ресурсов для обеспечения надлежащего ухода.  По имеющимся данным, в Федерации Боснии и Герцеговины в 2000 году насчитывалось 9 718 детей, которые содержались в приютах системы социального обеспечения.  Также в весьма неблагоприятном положении находятся 19 423 ребенка, имеющие одного родителя.  В Республике Сербской в приютах системы социального обеспечения содержится 821 сирота, 2 515 детей, имеющих недостатки в развитии, и 1 837 детей с неадекватным поведением.</w:t>
      </w:r>
    </w:p>
    <w:p w:rsidR="00000000" w:rsidRDefault="00000000"/>
    <w:p w:rsidR="00000000" w:rsidRDefault="00000000">
      <w:r>
        <w:t>278.</w:t>
      </w:r>
      <w:r>
        <w:tab/>
        <w:t>Удивление вызывают заключения о том, что бедность в большинстве своем не является следствием безработицы.  Менее 20% бедноты проживает в семьях, главы которых не имеют работы, тогда как в два раза больше бедноты проживает в семьях, в которых глава семьи имеет работу.  Около 63% бедноты проживает в семьях, где, по меньшей мере, один член обеспечен работой.  С другой стороны, 28% безработных являются бедными, но безработные составляют одну треть от общего числа бедных.</w:t>
      </w:r>
    </w:p>
    <w:p w:rsidR="00000000" w:rsidRDefault="00000000"/>
    <w:p w:rsidR="00000000" w:rsidRDefault="00000000">
      <w:r>
        <w:t>279.</w:t>
      </w:r>
      <w:r>
        <w:tab/>
        <w:t>Объяснение этого явления следует искать, главным образом, в тяжелом экономическом положении Боснии и Герцеговины.  В декабре 2002 года средняя заработная плата в Федерации Боснии и Герцеговины составляла 513 КМ, а в Республике Сербской – 365 КМ (для сравнения, потребительская корзина в Федерации Боснии и Герцеговины составляет 459 КМ, а в Республике Сербской– 458 КМ).  Кроме того, значительное число предприятий функционирует неэффективно и выплачивает низкие зарплаты, которые очень часто задерживаются на несколько месяцев.</w:t>
      </w:r>
    </w:p>
    <w:p w:rsidR="00000000" w:rsidRDefault="00000000"/>
    <w:p w:rsidR="00000000" w:rsidRDefault="00000000">
      <w:r>
        <w:t>280.</w:t>
      </w:r>
      <w:r>
        <w:tab/>
        <w:t>К числу самых нуждающихся групп населения относятся престарелые, в целом пенсионеры, пенсии которых не могут обеспечить их основные жизненные потребности.  Заключения группы "Анализ и оценка бедности" указывают на то, что 20% бедноты составляют либо пенсионеры, либо инвалиды.  Кроме того, не менее 25% бедных составляют лица старше 60 лет, не имеющие право на пенсию.  По сравнению с 1991</w:t>
      </w:r>
      <w:r>
        <w:rPr>
          <w:lang w:val="en-US"/>
        </w:rPr>
        <w:t> </w:t>
      </w:r>
      <w:r>
        <w:t>годом, когда отношение пенсионеров к занятым составляло 1:3, к 1995 году этот коэффициент изменился, составив 1:1,3, и стабилизировался в Федерации Боснии и Герцеговины на уровне 1:1,4.  К 2001 году средняя пенсия в Федерации составляла две трети среднего дохода на душу населения, который превышает средние показатели по странам с переходной экономикой.  Тем не менее, средние пенсии в Федерации Боснии и Герцеговины составляют 36% от средних окладов.  Следует отметить, что женщины</w:t>
      </w:r>
      <w:r>
        <w:noBreakHyphen/>
        <w:t>пенсионерки находятся в более тяжелом положении, чем мужчины, поскольку они получают меньшие по размеру пенсии, что объясняется тем, что они работали на более низкооплачиваемых работах.</w:t>
      </w:r>
    </w:p>
    <w:p w:rsidR="00000000" w:rsidRDefault="00000000"/>
    <w:p w:rsidR="00000000" w:rsidRDefault="00000000">
      <w:r>
        <w:t>281.</w:t>
      </w:r>
      <w:r>
        <w:tab/>
        <w:t xml:space="preserve">Для нормального роста и развития ребенка необходимо обеспечить гармоничную семейную обстановку.  Семья является основной ячейкой общества, которая позволяет ребенку полностью развить свою личность.  </w:t>
      </w:r>
    </w:p>
    <w:p w:rsidR="00000000" w:rsidRDefault="00000000"/>
    <w:p w:rsidR="00000000" w:rsidRDefault="00000000">
      <w:r>
        <w:t>282.</w:t>
      </w:r>
      <w:r>
        <w:tab/>
        <w:t>Война в Боснии и Герцеговине (1992-1995 годы) вызвала крупномасштабную дезорганизацию семей, массовую гибель как родителей, так и детей.  Данные указывают на то, что в ходе войны было убито более 200</w:t>
      </w:r>
      <w:r>
        <w:rPr>
          <w:lang w:val="en-US"/>
        </w:rPr>
        <w:t> </w:t>
      </w:r>
      <w:r>
        <w:t>000 человек, из которых 22</w:t>
      </w:r>
      <w:r>
        <w:rPr>
          <w:lang w:val="en-US"/>
        </w:rPr>
        <w:t> </w:t>
      </w:r>
      <w:r>
        <w:t>000 составляли дети.  Было зарегистрировано более 176</w:t>
      </w:r>
      <w:r>
        <w:rPr>
          <w:lang w:val="en-US"/>
        </w:rPr>
        <w:t> </w:t>
      </w:r>
      <w:r>
        <w:t>000 человек, ставших во время войны инвалидами, и 4</w:t>
      </w:r>
      <w:r>
        <w:rPr>
          <w:lang w:val="en-US"/>
        </w:rPr>
        <w:t> </w:t>
      </w:r>
      <w:r>
        <w:t>000 из них составляли дети.  Более 1 млн. человек, из которых 250</w:t>
      </w:r>
      <w:r>
        <w:rPr>
          <w:lang w:val="en-US"/>
        </w:rPr>
        <w:t> </w:t>
      </w:r>
      <w:r>
        <w:t>000 составляли дети, подверглись принудительной высылке и разъехались по 110 странам мира.  Внутриперемещенными лицами в Боснии и Герцеговине стали 1 370 000 человек, включая 420</w:t>
      </w:r>
      <w:r>
        <w:rPr>
          <w:lang w:val="en-US"/>
        </w:rPr>
        <w:t> </w:t>
      </w:r>
      <w:r>
        <w:t>000 детей, что свидетельствует о тяготах, выпавших на долю семей и детей, а</w:t>
      </w:r>
      <w:r>
        <w:rPr>
          <w:lang w:val="en-US"/>
        </w:rPr>
        <w:t> </w:t>
      </w:r>
      <w:r>
        <w:t>также нарушениях всех международных прав человека, таких, как право на жизнь, право на выживание, право на жилье и семейную жизнь, право на образование и естественную природную среду и т.д.</w:t>
      </w:r>
    </w:p>
    <w:p w:rsidR="00000000" w:rsidRDefault="00000000"/>
    <w:p w:rsidR="00000000" w:rsidRDefault="00000000">
      <w:r>
        <w:t>283.</w:t>
      </w:r>
      <w:r>
        <w:tab/>
        <w:t xml:space="preserve">Положения о защите сирот закреплены в Законе о семье и Законе об основах социального обеспечения, защиты гражданских лиц, ставших жертвами войны, и семей, имеющих детей.  В области семейного права и социального обеспечения этой группе уязвимых детей предоставляются, помимо услуг по социальной и экспертной помощи, следующие формы защиты:  усыновление/удочерение, опека, помещение в другую семью или предприятия социального обеспечения.  В признание принципов обеспечения наилучших интересов ребенка, по решению компетентных служб социального обеспечения используются формы защиты, являющиеся наиболее благоприятными для ребенка, не имеющего родителей.  </w:t>
      </w:r>
    </w:p>
    <w:p w:rsidR="00000000" w:rsidRDefault="00000000"/>
    <w:p w:rsidR="00000000" w:rsidRDefault="00000000">
      <w:r>
        <w:t>284.</w:t>
      </w:r>
      <w:r>
        <w:tab/>
        <w:t>Усыновление/удочерение как институт правовой защиты детей, не имеющих родителей, регулируется Законом о семье (статьи 142-171).  В Федерации Боснии и Герцеговины в период 1991-2000 годов было усыновлено/удочерено 507 сирот:  420</w:t>
      </w:r>
      <w:r>
        <w:rPr>
          <w:lang w:val="en-US"/>
        </w:rPr>
        <w:t> </w:t>
      </w:r>
      <w:r>
        <w:noBreakHyphen/>
      </w:r>
      <w:r>
        <w:rPr>
          <w:lang w:val="en-US"/>
        </w:rPr>
        <w:t> </w:t>
      </w:r>
      <w:r>
        <w:t>в рамках полного, а 87 - частичного усыновления/удочерения.</w:t>
      </w:r>
    </w:p>
    <w:p w:rsidR="00000000" w:rsidRDefault="00000000"/>
    <w:p w:rsidR="00000000" w:rsidRDefault="00000000">
      <w:r>
        <w:t>285.</w:t>
      </w:r>
      <w:r>
        <w:tab/>
        <w:t>Опека представляет собой институт правовой и социальной защиты детей, лишенных ухода со стороны родителей:  их родители либо умерли, пропали без вести, были лишены своих родительских прав, либо не в состоянии обеспечивать родительский уход.  На практике дети, которые оставались без родителей во время войны, чаще всего доверяются своим ближайшим родственникам (дедушкам, бабушкам или братьям и сестрам родителей).</w:t>
      </w:r>
    </w:p>
    <w:p w:rsidR="00000000" w:rsidRDefault="00000000"/>
    <w:p w:rsidR="00000000" w:rsidRDefault="00000000">
      <w:r>
        <w:t>286.</w:t>
      </w:r>
      <w:r>
        <w:tab/>
        <w:t>Помещение в другую семью - это право, существующее в сфере социального обеспечения, и оно регулируется законами Образований о социальном обеспечении детей, не имеющих родителей, или детей, нуждающихся в постоянной опеке и внимании, чего они лишены в своей родной семье.  По данным местных служб социального обеспечения Федерации Боснии и Герцеговины, в 2000 году 1 220 сирот из общего числа в 2 210 сирот были помещены в Федерации Боснии и Герцеговины в другие семьи.  Суммы, выплачиваемые приемным семьям, составляют от 100 до 5 250 КМ в месяц, в зависимости от материальных возможностей кантонов и муниципалитетов.  Помещение детей в другие приемные семьи в качестве альтернативной формы ухода за детьми, лишенными семейного окружения, оказалось весьма эффективным способом защиты уязвимых детей, и поэтому ей отдается предпочтение во всех вариантах осуществления реформ в Федерации Боснии и Герцеговины.</w:t>
      </w:r>
    </w:p>
    <w:p w:rsidR="00000000" w:rsidRDefault="00000000"/>
    <w:p w:rsidR="00000000" w:rsidRDefault="00000000">
      <w:r>
        <w:t>287.</w:t>
      </w:r>
      <w:r>
        <w:tab/>
        <w:t>Помещение в институциональные учреждения является правом, определенным в рамках социальной защиты детей, не имеющих родителей.  В сиротских приютах Федерации всего содержится 924 ребенка, из которых 439 детей находятся в шести финансируемых государством приютах в Сараево, Мостаре, Тузле, Зенице и Градачаце, тогда как 485 детей содержатся в приютах, финансируемых национальными или международными НПО, в Междугорье, Бихаче, Колен-Факуфе, Сараево и Лукаваце.  Стоимость проживания в этих приютах составляет 450-500 КМ в месяц на ребенка.  Решение о помещении того или иного ребенка в приют принимается компетентной службой социального обеспечения, выполняющей функции органа опекунства.</w:t>
      </w:r>
    </w:p>
    <w:p w:rsidR="00000000" w:rsidRDefault="00000000"/>
    <w:p w:rsidR="00000000" w:rsidRDefault="00000000">
      <w:r>
        <w:t>288.</w:t>
      </w:r>
      <w:r>
        <w:tab/>
        <w:t>Особо уязвимой категорией в Федерации Боснии и Герцеговины являются дети, имеющие одного родителя, и это объясняется войной.  Общее число этих детей никогда не удастся точно установить, поскольку большое число людей покинуло Боснию и Герцеговину в поисках убежища в третьих странах.  По неполным данным местных служб социального обеспечения, число таких детей, которые были зарегистрированы, в 1998 году составляло 23 556 человек, из которых 19 805 не имели отца и 3 751 - мать.  Согласно некоторым показателям, в Федерации Боснии и Герцеговины насчитывается 32 000 детей, не имеющих родителей.  Несомненно, они составляют одну из наиболее уязвимых групп детей в Федерации, поскольку на них не распространяется система постоянного социального обеспечения, если оставшийся в живых родитель теряет трудоспособность.  Чаще всего речь идет о семьях с нерешенными проблемами, касающимися жилья и работы.  Эти нуждающиеся семьи с одним родителем могут получать временную финансовую помощь в системе социального обеспечения, величина которой зависит от финансовых возможностей соответствующего кантона.</w:t>
      </w:r>
    </w:p>
    <w:p w:rsidR="00000000" w:rsidRDefault="00000000"/>
    <w:p w:rsidR="00000000" w:rsidRDefault="00000000">
      <w:r>
        <w:t>289.</w:t>
      </w:r>
      <w:r>
        <w:tab/>
        <w:t>Право на материальную поддержку, пособия для оказания поддержки другому лицу и ухода за ним, помещение в институциональное учреждение или другую семью и социальная работа рассматриваются как права, представляющие общий интерес, и обязанность по их обеспечению возложена на местные общины (муниципалитеты, города).  Образования и кантоны предоставляют средства на развитие детей и молодежи, психическое и физическое развитие которых было нарушено.  Они также предоставляют средства на строительство, переделку, восстановление и оборудование институциональных учреждений.</w:t>
      </w:r>
    </w:p>
    <w:p w:rsidR="00000000" w:rsidRDefault="00000000"/>
    <w:p w:rsidR="00000000" w:rsidRDefault="00000000">
      <w:r>
        <w:t>290.</w:t>
      </w:r>
      <w:r>
        <w:tab/>
        <w:t>Программами социального обеспечения охвачено около 260 000 человек, или 7% населения обоих Образований.  Еще 125 000 человек зарегистрировано в рамках программы охраны ребенка (2% в Федерации Боснии и Герцеговины и 6% в Республике Сербской).  Находящимися под защитой категориями в обоих Образованиях являются следующие лица:  сироты, дети, лишенные возможности получать образование, дети, развитие которых нарушено в силу семейных обстоятельств, инвалиды и лица, испытывающие трудности в физическом и психическом развитии, лица, не способные работать и не имеющие какого-либо материального обеспечения, престарелые, лишенные ухода со стороны членов семьи, лица, поведение которых является неприемлемым для общества, и семьи, находящиеся в положении социальной нужды в силу конкретных обстоятельств и условий жизни (доклад Всемирного банка № 25343-BiH, стр. 127 английского текста).</w:t>
      </w:r>
    </w:p>
    <w:p w:rsidR="00000000" w:rsidRDefault="00000000"/>
    <w:p w:rsidR="00000000" w:rsidRDefault="00000000">
      <w:r>
        <w:t>291.</w:t>
      </w:r>
      <w:r>
        <w:tab/>
        <w:t>Как уже указывалось, по официальным статистическим данным, на конец 2002 года в Боснии и Герцеговине насчитывалось 435 505 человек, имеющих работу, или 41,1% населения (290 715 человек, или 42,7%, в Федерации и 144 790, или 38,2%, в Республике Сербской).  Женщины составляют 46,3% от общего числа безработных.  Исследование по оценке положения бедноты - основанное на данных, собранных для оценки уровня жизни (ИКОУЖ), которая была проведена экспертной группой Всемирного банка во взаимодействии с национальными экспертами, - указывает, что на предварительном этапе общая черта бедности в Боснии и Герцеговине составляла 760 КМ (минимальные потребности в продовольствии, т.е. черта крайней бедности) в год на душу населения.  Дело заключается в том, что оценка потребностей в продовольствии в Боснии и Герцеговине, составляющая только 34% суммы, определяющей черту бедности, указывает на то, что расходы на продовольствие составляют основную долю расходов на предметы первой необходимости.</w:t>
      </w:r>
    </w:p>
    <w:p w:rsidR="00000000" w:rsidRDefault="00000000"/>
    <w:p w:rsidR="00000000" w:rsidRDefault="00000000">
      <w:r>
        <w:t>292.</w:t>
      </w:r>
      <w:r>
        <w:tab/>
        <w:t>Анализ имеющихся статистических данных о ежегодном коэффициенте расходов в расчете на душу населения свидетельствует о том, что в Боснии и Герцеговине имеются группы, находящиеся недалеко от черты крайней бедности или ниже ее.  Уровень жизни почти 19% населения в Боснии и Герцеговине ниже общей черты бедности (примерно 25% в Республике Сербской и 16% в Федерации Боснии и Герцеговины).  Опросы и анализы показывают, что более 30% населения Боснии и Герцеговины находятся немногим выше этой определенной общей черты бедности (годовые расходы составляют 3 297 КМ, т.е. порядка 50% больше суммы, определяющей общую черту бедности).  Весьма вероятно, что эта категория лиц может столкнуться с потенциальными экономическими потрясениями, вследствие чего она может быть поставлена под угрозу оказаться ниже общей черты бедности (доклад Всемирного банка № 25343, том II, стр. 46 английского текста).</w:t>
      </w:r>
    </w:p>
    <w:p w:rsidR="00000000" w:rsidRDefault="00000000"/>
    <w:p w:rsidR="00000000" w:rsidRDefault="00000000">
      <w:r>
        <w:t>293.</w:t>
      </w:r>
      <w:r>
        <w:tab/>
        <w:t>Тем не менее следует отметить, что бедность более широко распространена в Боснии и Герцеговине, чем в какой-либо другой стране бывшей Югославии (еще более она распространена только в Косово).  Около 20% бедноты испытывают крайнюю нужду, поскольку эти лица лишены всех или почти всех ключевых аспектов благосостояния:  начиная с жилья, санитарии и доступа к службам здравоохранения и кончая грамотностью и вовлеченностью в жизнь общества.  Кроме того, нынешний относительно низкий коэффициент бедности среди населения является результатом расходов, которые значительно превосходят нынешние уровни производства.  До сих пор эти расходы финансировались за счет международной поддержки, которая вряд ли будет продолжаться в будущем.  Именно поэтому правительствам в Боснии и Герцеговине необходимо найти пути и возможные средства для предотвращения стремительного роста коэффициента бедности.</w:t>
      </w:r>
    </w:p>
    <w:p w:rsidR="00000000" w:rsidRDefault="00000000"/>
    <w:p w:rsidR="00000000" w:rsidRDefault="00000000">
      <w:r>
        <w:t>294.</w:t>
      </w:r>
      <w:r>
        <w:tab/>
        <w:t>Важно подчеркнуть, что риск оказаться в числе бедных весьма высок в Боснии и Герцеговине и что бедные составляют неоднородную группу, а это значит, что даже типичным семьям угрожает существенная опасность оказаться в нищете.</w:t>
      </w:r>
    </w:p>
    <w:p w:rsidR="00000000" w:rsidRDefault="00000000"/>
    <w:p w:rsidR="00000000" w:rsidRDefault="00000000">
      <w:r>
        <w:t>295.</w:t>
      </w:r>
      <w:r>
        <w:tab/>
        <w:t>Группы, находящиеся за чертой бедности, чаще всего составляют дети, лица, имеющие низкое образование, престарелые и сельское население.  Анализ населения в целом показывает, что наиболее уязвимыми категориями являются следующие:  дети, особенно в возрасте до пяти лет, перемещенные лица, возвращенцы, безработные и лица с низким образованием.  Одно характерное заключение состоит в том, что бедность не является в основном проблемой безработных, перемещенных лиц, инвалидов и семей скончавшихся ветеранов войны, поскольку эти категории составляют менее 50% бедноты, но бо</w:t>
      </w:r>
      <w:r>
        <w:rPr>
          <w:rFonts w:ascii="Tahoma" w:hAnsi="Tahoma" w:cs="Tahoma"/>
        </w:rPr>
        <w:t></w:t>
      </w:r>
      <w:r>
        <w:t>льшую часть бедного населения составляют имеющие детей семьи с низкими доходами, и поэтому оклада одного члена семьи недостаточно для того, чтобы семья могла оставаться над чертой бедности.</w:t>
      </w:r>
    </w:p>
    <w:p w:rsidR="00000000" w:rsidRDefault="00000000"/>
    <w:p w:rsidR="00000000" w:rsidRDefault="00000000">
      <w:pPr>
        <w:rPr>
          <w:b/>
          <w:bCs/>
        </w:rPr>
      </w:pPr>
      <w:r>
        <w:rPr>
          <w:b/>
          <w:bCs/>
        </w:rPr>
        <w:t xml:space="preserve">Защита от эксплуатации детей, престарелых и инвалидов </w:t>
      </w:r>
    </w:p>
    <w:p w:rsidR="00000000" w:rsidRDefault="00000000">
      <w:pPr>
        <w:rPr>
          <w:b/>
          <w:bCs/>
        </w:rPr>
      </w:pPr>
    </w:p>
    <w:p w:rsidR="00000000" w:rsidRDefault="00000000">
      <w:r>
        <w:t>296.</w:t>
      </w:r>
      <w:r>
        <w:tab/>
        <w:t>В соответствии с опросом, проведенным в 2000 году, 1% детей в возрасте 5-14 лет выполняли оплачиваемую работу.  Примерно в шесть раз больше детей выполняли неоплачиваемую работу для кого-то, кто не являлся членом их семьи, а 15% детей работали на фермах или выполняли аналогичную работу в рамках домашних хозяйств.  Считается, что дети, выполняющие оплачиваемую или неоплачиваемую работу для кого</w:t>
      </w:r>
      <w:r>
        <w:noBreakHyphen/>
        <w:t>то, кто не является членом их семьи, или дети, работающие в рамках домашних хозяйств более четырех часов в день, "работают временно".  В Боснии и Герцеговине 18% детей считаются работающими временно - 20% мальчиков и 16% девочек.</w:t>
      </w:r>
    </w:p>
    <w:p w:rsidR="00000000" w:rsidRDefault="00000000"/>
    <w:p w:rsidR="00000000" w:rsidRDefault="00000000">
      <w:r>
        <w:t>297.</w:t>
      </w:r>
      <w:r>
        <w:tab/>
        <w:t>В Республике Сербской положение является гораздо более тяжелым, один застрахованный работник поддерживает одного пенсионера, поэтому соотношение составляет 1,08:1, поскольку даже весьма большие взносы и ассигнуемые бюджетные средства не обеспечивают 30% среднего дохода по пенсиям на душу населения.  Размеры пенсий в Республике Сербской составляют половину от размеров пенсий в Федерации (в декабре средняя пенсия составляла 120,18 КМ, или 34% от среднего оклада).</w:t>
      </w:r>
    </w:p>
    <w:p w:rsidR="00000000" w:rsidRDefault="00000000"/>
    <w:p w:rsidR="00000000" w:rsidRDefault="00000000">
      <w:r>
        <w:t>298.</w:t>
      </w:r>
      <w:r>
        <w:tab/>
        <w:t>Существенная диспропорция между доходами и расходами является главным источником проблем в функционировании системы пенсионного страхования и, учитывая сокращение пенсий и задержки с их выплатой, она повышает риск того, что пенсионеры могут оказаться в категории бедных.</w:t>
      </w:r>
    </w:p>
    <w:p w:rsidR="00000000" w:rsidRDefault="00000000"/>
    <w:p w:rsidR="00000000" w:rsidRDefault="00000000">
      <w:r>
        <w:t>299.</w:t>
      </w:r>
      <w:r>
        <w:tab/>
        <w:t>В целом, население Боснии и Герцеговины стремительно стареет, что объясняется сокращением демографического роста, большей продолжительностью жизни и эмиграцией молодежи.  Расчеты указывают на то, что 12% населения Боснии и Герцеговины составляют лица старше 65 лет, а в Республике Сербской на их долю приходится более 15%.  Значительное число пожилых лиц живут в одиночестве, особенно женщины, у которых бо</w:t>
      </w:r>
      <w:r>
        <w:rPr>
          <w:rFonts w:ascii="Tahoma" w:hAnsi="Tahoma" w:cs="Tahoma"/>
        </w:rPr>
        <w:t></w:t>
      </w:r>
      <w:r>
        <w:t>льшая продолжительность жизни и которые составляют 58% пожилого населения.</w:t>
      </w:r>
    </w:p>
    <w:p w:rsidR="00000000" w:rsidRDefault="00000000"/>
    <w:p w:rsidR="00000000" w:rsidRDefault="00000000">
      <w:r>
        <w:t>300.</w:t>
      </w:r>
      <w:r>
        <w:tab/>
        <w:t xml:space="preserve">Даже несмотря на то, что бедные проживают во всех районах Боснии и Герцеговины, в различных районах наблюдаются разные уровни бедности, и они значительно выше в Республике Сербской.  Лишь 20% бедных проживают в городах.  Бедность наиболее распространена в сельских районах, которые также, как правило в большей степени, пострадали во время войны.  В Республике Сербской риск оказаться бедным значительно выше в сельских районах, чем в городах;  он составляет 27% против 12%.  В Федерации Боснии и Герцеговины сельский/городской коэффициенты составляют 16% и 15%.  Практически все аспекты, влияющие на уровень жизни семей, менее благоприятны в сельских районах.  Отсутствие унифицированной политики развития деревень затрудняет инвестирование средств в сельское хозяйство, а возможности найти занятость другого рода в сельских районах являются минимальными.  Все это не способствует тому, чтобы перемещенные лица покидали свои временные жилища в городах, а это оказывает дополнительное давление на и без того незначительное число имеющихся рабочих мест и создает трудности в обеспечении этих лиц образованием, здравоохранением и социальными услугами. </w:t>
      </w:r>
    </w:p>
    <w:p w:rsidR="00000000" w:rsidRDefault="00000000"/>
    <w:p w:rsidR="00000000" w:rsidRDefault="00000000">
      <w:r>
        <w:t>301.</w:t>
      </w:r>
      <w:r>
        <w:tab/>
        <w:t>По всей Боснии и Герцеговине меньшинства находятся в существенно менее благоприятном положении с материальной точки зрения.  По сравнению с данными о большинстве населения, в некоторых районах Республики Сербской бедными являются более 50% населения, составляющего меньшинства, тогда как в районах Федерации, где большинство составляют хорваты, к этой категории относится 15,6% семей меньшинств.  В территориях, где большинство составляют боснийцы, к категории бедноты относится около 25% семей меньшинств.</w:t>
      </w:r>
    </w:p>
    <w:p w:rsidR="00000000" w:rsidRDefault="00000000"/>
    <w:p w:rsidR="00000000" w:rsidRDefault="00000000">
      <w:r>
        <w:t>302.</w:t>
      </w:r>
      <w:r>
        <w:tab/>
        <w:t>Группой меньшинства, которая практически полностью игнорируется в Боснии и Герцеговине, является группа рома.  Хотя невозможно точно определить число рома в Боснии и Герцеговине (оценки ассоциаций рома варьируются от 17 000 до почти 80 000), совершенно очевидно, что они являются самым крупным этническим меньшинством.  Численность рома трудно определить, поскольку многие из них продолжают вести кочевнический образ жизни, даже несмотря на то, что многие интегрируются в общинах большинства.  Одна из причин, объясняющих трудность определения их численности, заключается в том, что многие из них заявляют, что относятся к другим народам, составляющим большинство, в попытке несколько улучшить свое незавидное социальное положение.</w:t>
      </w:r>
    </w:p>
    <w:p w:rsidR="00000000" w:rsidRDefault="00000000"/>
    <w:p w:rsidR="00000000" w:rsidRDefault="00000000">
      <w:r>
        <w:t>303.</w:t>
      </w:r>
      <w:r>
        <w:tab/>
        <w:t>Хотя какого-либо точного анализа положения бедных среди группы рома не проводилось, имеющаяся информация указывает на то, что они являются одной из самых нуждающихся групп, очень часто живут ниже прожиточного минимума и обычно не имеют средств для поддержания семьи или обучения детей.  Безусловно, в группе рома наблюдаются самый низкий уровень образованности и почти 100-процентная безработица;  более 90% не имеют медицинских страховок.  В силу того, что они являются меньшинством везде, они часто сталкиваются с дискриминацией как возвращенцы и оказываются маргинализированными и лишенными многих юридических прав, включая право на социальное обеспечение, поскольку они не знают ничего об этой системе.</w:t>
      </w:r>
    </w:p>
    <w:p w:rsidR="00000000" w:rsidRDefault="00000000"/>
    <w:p w:rsidR="00000000" w:rsidRDefault="00000000">
      <w:r>
        <w:t>304.</w:t>
      </w:r>
      <w:r>
        <w:tab/>
        <w:t>Одна из серьезнейших проблем при определении приоритетов и разработке программ ликвидации бедности среди группы рома заключается в их включении в официальную статистику.  Значительная часть рома продолжает вести кочевнический образ жизни, поэтому дети, а также многие взрослые не имеют личных документов, даже свидетельств о рождении.  Социальная маргинализация и отсутствие образования затрудняют принятие общих программ социального обеспечения и ставят необходимость в принятии специально скорректированных программ.  С тем чтобы оказать помощь населению рома в рамках программ ликвидации бедности, нам следует использовать опыт НПО, международных учреждений и национальных структур.</w:t>
      </w:r>
    </w:p>
    <w:p w:rsidR="00000000" w:rsidRDefault="00000000"/>
    <w:p w:rsidR="00000000" w:rsidRDefault="00000000">
      <w:r>
        <w:t>305.</w:t>
      </w:r>
      <w:r>
        <w:tab/>
        <w:t>На основе вышеизложенного можно выявить основную часть причин сползания семей и населения в Боснии и Герцеговине к состоянию крайней нищеты.  Факторы бедности разным образом воздействуют на различные категории, прямо или косвенно, индивидуально или в сочетании (война, переход, послевоенное политическое и социальное разделение).</w:t>
      </w:r>
    </w:p>
    <w:p w:rsidR="00000000" w:rsidRDefault="00000000"/>
    <w:p w:rsidR="00000000" w:rsidRDefault="00000000">
      <w:r>
        <w:t>306.</w:t>
      </w:r>
      <w:r>
        <w:tab/>
        <w:t>Исходя из гуманитарных и экономических соображений, Босния и Герцеговина должна бороться с бедностью, поскольку она настолько широко распространена, что угрожает перерасти в социальный протест.  Такой поворот событий существенно уменьшит шансы Боснии и Герцеговины на создание более надежных инвестиционных условий и затруднит стабилизацию экономического роста, потому что сокращение бедности в долгосрочной перспективе зависит от достижения устойчивого экономического роста.</w:t>
      </w:r>
    </w:p>
    <w:p w:rsidR="00000000" w:rsidRDefault="00000000">
      <w:pPr>
        <w:jc w:val="center"/>
      </w:pPr>
    </w:p>
    <w:p w:rsidR="00000000" w:rsidRDefault="00000000">
      <w:pPr>
        <w:jc w:val="center"/>
        <w:rPr>
          <w:b/>
          <w:bCs/>
        </w:rPr>
      </w:pPr>
      <w:r>
        <w:rPr>
          <w:b/>
          <w:bCs/>
        </w:rPr>
        <w:t>Статья 11</w:t>
      </w:r>
    </w:p>
    <w:p w:rsidR="00000000" w:rsidRDefault="00000000">
      <w:pPr>
        <w:jc w:val="center"/>
        <w:rPr>
          <w:b/>
          <w:bCs/>
        </w:rPr>
      </w:pPr>
    </w:p>
    <w:p w:rsidR="00000000" w:rsidRDefault="00000000">
      <w:pPr>
        <w:rPr>
          <w:b/>
          <w:bCs/>
        </w:rPr>
      </w:pPr>
      <w:r>
        <w:rPr>
          <w:b/>
          <w:bCs/>
        </w:rPr>
        <w:t>Жизненный уровень в Боснии и Герцеговине</w:t>
      </w:r>
    </w:p>
    <w:p w:rsidR="00000000" w:rsidRDefault="00000000">
      <w:pPr>
        <w:rPr>
          <w:b/>
          <w:bCs/>
        </w:rPr>
      </w:pPr>
    </w:p>
    <w:p w:rsidR="00000000" w:rsidRDefault="00000000">
      <w:r>
        <w:t>307.</w:t>
      </w:r>
      <w:r>
        <w:tab/>
        <w:t>В результате проведения некоторых опросов, связанных с уровнем жизни, был установлен уровень общих расходов домашних хозяйств в Боснии и Герцеговине на продукты питания на основе их калорийной и питательной ценности (около 2 100 калорий в день на одного человека).  Рассчитанная таким образом общая сумма расходов составляет 2 198 КМ на душу населения в год.  Это является общей чертой бедности в Боснии и Герцеговине (минимальные потребности в продовольствии, т.е. черта крайней нищеты, составляют 760 КМ в год на душу населения).  Дело заключается в том, что поскольку оценка потребностей в продовольствии представляет собой лишь 34,5% суммы, определяющей черту бедности, то это указывает на то, что расходы на продовольствие в основном покрывают самые необходимые потребности.</w:t>
      </w:r>
    </w:p>
    <w:p w:rsidR="00000000" w:rsidRDefault="00000000"/>
    <w:p w:rsidR="00000000" w:rsidRDefault="00000000">
      <w:r>
        <w:t>308.</w:t>
      </w:r>
      <w:r>
        <w:tab/>
        <w:t>Анализ имеющихся статистических данных о ежегодных расходах на душу населения в Боснии и Герцеговине не свидетельствовал о том, что имеются группы, уровень жизни которых приближен к черте крайней нищеты или находится за этой чертой.  Но уровень жизни около 19,5% населения Боснии и Герцеговины ниже общей черты бедности (примерно 25% в Республике Сербской и 16% в Федерации Боснии и Герцеговины).  Опросы и анализы свидетельствуют о том, что более 30% населения Боснии и Герцеговины находится лишь немногим выше определенной таким образом общей черты бедности (годовые расходы составляют 3 297 КМ, т.е. порядка лишь 50% больше суммы, определяющей общую черту бедности) и что весьма высока вероятность того, что в результате воздействия потенциальных экономических потрясений эти лица могут быть поставлены под угрозу оказаться за общей чертой бедности (доклад Всемирного банка № 25343, том II, стр. 46 английского текста).</w:t>
      </w:r>
    </w:p>
    <w:p w:rsidR="00000000" w:rsidRDefault="00000000"/>
    <w:p w:rsidR="00000000" w:rsidRDefault="00000000">
      <w:r>
        <w:t>309.</w:t>
      </w:r>
      <w:r>
        <w:tab/>
        <w:t>Поскольку в Боснии и Герцеговине наблюдается недостаток данных, необходимых для определения абсолютной и относительной бедности, мы решили использовать черту абсолютной бедности в качестве наиболее подходящего инструмента определения и мониторинга бедности.  Черта абсолютной бедности определяется уровнем расходов каждого человека независимо от места и времени проживания.  Сегодня бедность определяется как состояние, при котором основные требования, связанные с обеспечением достойной жизни, являются неудовлетворенными.  Оно находит свое выражение в различных проявлениях, например в отсутствии доходов, голоде, недоедании, плохом состоянии здоровья, ограниченном доступе к образованию и другим основным услугам или его отсутствии, росте уровня смертности, в том числе смертности в результате заболеваний, бездомности, отсутствии надлежащих жилищных условий, небезопасной обстановке, социальной дискриминации и изоляции и т.д.  Определение общей черты бедности также предполагает учет других потребностей, помимо продовольственных (кров, одежда).</w:t>
      </w:r>
    </w:p>
    <w:p w:rsidR="00000000" w:rsidRDefault="00000000"/>
    <w:p w:rsidR="00000000" w:rsidRDefault="00000000">
      <w:r>
        <w:t>310.</w:t>
      </w:r>
      <w:r>
        <w:tab/>
        <w:t>Безработица, вероятно, является наиболее серьезной проблемой, затрагивающей молодое поколение как в городах, так и в сельских районах Боснии и Герцеговины, и, учитывая также воздействие жилищных проблем и постоянный экономический кризис, молодые люди потакают своему чувству безнадежности и отсутствия перспектив и начинают принимать наркотики и алкоголь.  Или же они планируют эмигрировать, в чем они видят единственную возможность жить лучше.  Имеющиеся данные указывают на то, что в период с января 1996 года по март 2001 года 92 000 молодых людей покинули Боснию и Герцеговину, а некоторые опросы свидетельствуют о том, что 62% молодых людей уехали бы в эмиграцию, если бы у них появилась такая возможность.  Несомненно, это является самой разрушительной тенденцией с точки зрения экономического возрождения Боснии и Герцеговины в долгосрочной перспективе.</w:t>
      </w:r>
    </w:p>
    <w:p w:rsidR="00000000" w:rsidRDefault="00000000"/>
    <w:p w:rsidR="00000000" w:rsidRDefault="00000000">
      <w:r>
        <w:t>311.</w:t>
      </w:r>
      <w:r>
        <w:tab/>
        <w:t>Категория перемещенных лиц и беженцев во всех районах Боснии и Герцеговины особенно подвержена риску оказаться в нищете по сравнению с населением, которое не было вынуждено покинуть свои места жительства, поскольку обычно у них нет стабильного источника доходов и они не обеспечены надлежащим образом системой социального обеспечения.  Данные министерства по правам человека и делам беженцев Боснии и Герцеговины и Управления Верховного комиссара Организации Объединенных Наций по делам беженцев указывают на то, что к концу 2002 года 685 650 беженцев и перемещенных лиц вернулись в Федерацию Боснии и Герцеговины, 225 616  - в</w:t>
      </w:r>
      <w:r>
        <w:rPr>
          <w:lang w:val="en-US"/>
        </w:rPr>
        <w:t> </w:t>
      </w:r>
      <w:r>
        <w:t>Республику Сербскую и 19 422 - в Район Брчко.  Согласно расчетам, 624 250 беженцев по</w:t>
      </w:r>
      <w:r>
        <w:noBreakHyphen/>
        <w:t xml:space="preserve">прежнему проживают за границей, причем статус 297 550 из них не определен, поэтому ожидается, что эта группа вскоре вернется в Боснию и Герцеговину.  </w:t>
      </w:r>
    </w:p>
    <w:p w:rsidR="00000000" w:rsidRDefault="00000000"/>
    <w:p w:rsidR="00000000" w:rsidRDefault="00000000">
      <w:r>
        <w:t>312.</w:t>
      </w:r>
      <w:r>
        <w:tab/>
        <w:t>Основная проблема перемещенных лиц заключается в том, что их место в системе социального обеспечения должным образом не определено.  В основном они полагаются на гуманитарную помощь, поступающую от национальных и международных организаций.  Как правило, их жилищные условия являются плохими, поскольку они проживают в коллективных помещениях или арендуемых квартирах.  По официальным данным, по</w:t>
      </w:r>
      <w:r>
        <w:noBreakHyphen/>
        <w:t xml:space="preserve">прежнему насчитывается около 1 000 перемещенных лиц, проживающих в коллективном убежище в Федерации Боснии и Герцеговины, и около 2 000 - в Республике Сербской.  В условиях радикального сокращения предоставляемой помощи, а вскоре и ее прекращения, перемещенные лица оказываются в особо трудном положении, поскольку не существует какой-либо организованной системы на уровне кантонов или Образований, которая могла бы обеспечивать финансовые потребности перемещенных лиц.  Поэтому во многих случаях проблемой перемещенных лиц вынуждены заниматься муниципалитеты, которые сами не в состоянии оказывать даже минимальную помощь.  </w:t>
      </w:r>
    </w:p>
    <w:p w:rsidR="00000000" w:rsidRDefault="00000000"/>
    <w:p w:rsidR="00000000" w:rsidRDefault="00000000">
      <w:r>
        <w:t>313.</w:t>
      </w:r>
      <w:r>
        <w:tab/>
        <w:t>Даже несмотря на то, что не существует данных о масштабах голода и недоедания в Боснии и Герцеговине, мы хотели бы воспользоваться этой возможностью и указать на положение детей и состояние их здоровья в целом, когда у них есть доступ к надлежащему питанию и когда они не страдают от болезней, реализуют в полной мере свой потенциал роста и считаются питающимися нормально.  Считается, что в Боснии и Герцеговине лишь у 3% детей вес при рождении составлял менее 225 грамм.  Этот процентный показатель является низким, но он выше в сельских (4%), чем в городских (2%) районах.  Эти расчеты касаются детей моложе 5 лет, которые при рождении имели меньший вес.  Но данная методика расчетов основана на низких показателях малого веса детей при рождении, поскольку некоторые дети умерли, прежде чем им исполнилось 5 лет.</w:t>
      </w:r>
    </w:p>
    <w:p w:rsidR="00000000" w:rsidRDefault="00000000"/>
    <w:p w:rsidR="00000000" w:rsidRDefault="00000000">
      <w:r>
        <w:t>314.</w:t>
      </w:r>
      <w:r>
        <w:tab/>
        <w:t>В Боснии и Герцеговине 4% детей моложе 5 лет недоедают, у 10% отмечается замедленное развитие или низкий рост для их возраста, а у 6% детей - малый вес для их возраста, но к этим цифрам следует относиться осторожно.  У детей, матери которых имеют среднее или высшее образование, реже встречается малый вес или низкий рост по сравнению с детьми, матери которых имеют начальное образование или вообще не имеют никакого образования.  (</w:t>
      </w:r>
      <w:r>
        <w:rPr>
          <w:i/>
          <w:iCs/>
        </w:rPr>
        <w:t>Источник</w:t>
      </w:r>
      <w:r>
        <w:t>:  Исследование о положение женщин и детей в семьях Боснии и Герцеговины в 2000 году, ЮНИСЕФ и Статистическое агентство Боснии и Герцеговины.)</w:t>
      </w:r>
    </w:p>
    <w:p w:rsidR="00000000" w:rsidRDefault="00000000"/>
    <w:p w:rsidR="00000000" w:rsidRDefault="00000000">
      <w:r>
        <w:t>315.</w:t>
      </w:r>
      <w:r>
        <w:tab/>
        <w:t>Действенным способом преодоления бедности в Боснии и Герцеговине является развитие сельскохозяйственного сектора.  Общая площадь сельскохозяйственных земель в Боснии и Герцеговине составляет около 2,5 млн. гектаров, т.е. около 50% территории страны, или 0,7 гектара на душу населения.  Сельскохозяйственные земли, находящиеся на высоте 500 метров над уровнем моря, составляют 40% от общих площадей, земли, находящиеся на высоте 500-1 000 метров над уровнем моря, составляют 35%, а земли, находящиеся на высоте более 1 000 метров над уровнем моря, - 25%.  Культивируемые земли составляют 68% от общих угодий, а поля - 32%.  Плодородные равнины составляют 16% общих площадей, менее плодородные почвы в холмистых и горных районах - 62%, а</w:t>
      </w:r>
      <w:r>
        <w:rPr>
          <w:lang w:val="en-US"/>
        </w:rPr>
        <w:t> </w:t>
      </w:r>
      <w:r>
        <w:t xml:space="preserve">средиземноморские зоны - 22% общих сельскохозяйственных площадей Боснии и Герцеговины.  Нынешняя территориальная организация сельскохозяйственных земель не пригодна для налаживания современного рыночного производства.  Медленными темпами осуществляется возврат брошенной или оккупированной собственности.  </w:t>
      </w:r>
    </w:p>
    <w:p w:rsidR="00000000" w:rsidRDefault="00000000"/>
    <w:p w:rsidR="00000000" w:rsidRDefault="00000000">
      <w:r>
        <w:t>316.</w:t>
      </w:r>
      <w:r>
        <w:tab/>
        <w:t>Одним из факторов, осложняющих развитие современного интенсивного сельскохозяйственного производства, является значительная фрагментация земельной собственности.  Меры сельскохозяйственной политики должны содействовать объединению собственности, с тем чтобы открылись возможности для использования современной агротехники и получения более высоких урожаев.  Устойчивое развитие сельского хозяйства предполагает технически обоснованное, подотчетное обществу и экономически жизнеспособное развитие для обеспечения потребностей людей в продовольствии, в дополнение к сохранению природных ресурсов, недопущению загрязнения природы и нарушения биологического многообразия.</w:t>
      </w:r>
    </w:p>
    <w:p w:rsidR="00000000" w:rsidRDefault="00000000"/>
    <w:p w:rsidR="00000000" w:rsidRDefault="00000000">
      <w:r>
        <w:t>317.</w:t>
      </w:r>
      <w:r>
        <w:tab/>
        <w:t xml:space="preserve">Иными словами, именно плановое и ответственное развитие не поставит под угрозу жизнь будущих поколений, что будет отвечать общим интересам.  Эти соображения должны быть руководящими принципами при разработке всех агрополитических, экономических и зоотехнических мер по обеспечению устойчивого развития сельского хозяйства и производства продовольствия в будущем. </w:t>
      </w:r>
    </w:p>
    <w:p w:rsidR="00000000" w:rsidRDefault="00000000"/>
    <w:p w:rsidR="00000000" w:rsidRDefault="00000000">
      <w:r>
        <w:t>318.</w:t>
      </w:r>
      <w:r>
        <w:tab/>
        <w:t xml:space="preserve">Индивидуальные фермы разрознены и не ориентированы на рынок.  Крупные системы приватизированы и не имеют программ социального обеспечения для увольняемых работников.  Нет притока экспертных знаний (руководящих принципов), отсутствуют маркетинг, рациональное управление, глобальная стратегия, поддержка для развития системы гарантированных цен, единая предпринимательская политика, информационная система, образование, научные и экспертные институты, законодательство и стандартизация планов и программ.  Пропал основной мотив возвращения к своей собственности беженцев и перемещенных лиц, что могло бы предотвратить упадок деревень Боснии и Герцеговины.  </w:t>
      </w:r>
    </w:p>
    <w:p w:rsidR="00000000" w:rsidRDefault="00000000"/>
    <w:p w:rsidR="00000000" w:rsidRDefault="00000000">
      <w:r>
        <w:t>319.</w:t>
      </w:r>
      <w:r>
        <w:tab/>
        <w:t>Сельскохозяйственная собственность продолжает оставаться крайне раздробленной.  Отсутствует какая-либо поддержка частной инициативы или предпринимательства в производстве сельскохозяйственной продукции.  Поставляемые или предоставляемые в дар из-за рубежа семена и скот не дают ожидаемых результатов;  импортируемый скот страдает от болезней, и это оказывает разрушительное воздействие.  Отечественные породы и органические технологии неоправданно игнорируются.  Не существует каких-либо норм в отношении плотности посадок, почв или саженцев фруктовых и овощных культур.  В животноводстве используются менее продуктивные породы.  Не уделяется внимания современным методам воспроизводства и охране здоровья домашнего скота.  В Боснии и Герцеговине еще не используются коммерческие модели фермерского животноводства.  В стране отсутствуют надлежащие мощности для переработки молока, мяса и шерсти.</w:t>
      </w:r>
    </w:p>
    <w:p w:rsidR="00000000" w:rsidRDefault="00000000"/>
    <w:p w:rsidR="00000000" w:rsidRDefault="00000000">
      <w:r>
        <w:t>320.</w:t>
      </w:r>
      <w:r>
        <w:tab/>
        <w:t>Восстановление и обеспечение устойчивости сельскохозяйственных ресурсов в Боснии и Герцеговине требуют комплексной стратегии в области производства, маркетинга и финансов.  Необходимы технологические перемены, с тем чтобы при производстве сельскохозяйственной продукции учитывались предпочтения потребителей.  Этот процесс определяется правилами спроса и предложения, либерализацией цен, инвестиций и порядка заключения финансовых сделок.  Предстоит решить задачи по преобразованию системы собственности-управления сельскохозяйственными землями, защите других природных ресурсов и обеспечению их устойчивого экологически-экономического использования.  В большинстве стран эту деятельность осуществляют министерства сельского и лесного хозяйства и министерства экономических отношений, планирования использования земельных ресурсов и окружающей среды.  К сожалению, организационная структура Боснии и Герцеговины развита недостаточно.</w:t>
      </w:r>
    </w:p>
    <w:p w:rsidR="00000000" w:rsidRDefault="00000000"/>
    <w:p w:rsidR="00000000" w:rsidRDefault="00000000">
      <w:r>
        <w:t>321.</w:t>
      </w:r>
      <w:r>
        <w:tab/>
        <w:t>Что касается стратегии развития сельского хозяйства, то для обеспечения устойчивости и развития сельскохозяйственного производства и устойчивого использования земельных ресурсов следует создать соответствующие организационно-правовые основы, а также осуществить ряд мер организационного стимулирования.</w:t>
      </w:r>
    </w:p>
    <w:p w:rsidR="00000000" w:rsidRDefault="00000000"/>
    <w:p w:rsidR="00000000" w:rsidRDefault="00000000">
      <w:pPr>
        <w:keepNext/>
        <w:rPr>
          <w:b/>
          <w:bCs/>
        </w:rPr>
      </w:pPr>
      <w:r>
        <w:rPr>
          <w:b/>
          <w:bCs/>
        </w:rPr>
        <w:t>Право на достаточное питание</w:t>
      </w:r>
    </w:p>
    <w:p w:rsidR="00000000" w:rsidRDefault="00000000">
      <w:pPr>
        <w:keepNext/>
        <w:rPr>
          <w:b/>
          <w:bCs/>
        </w:rPr>
      </w:pPr>
    </w:p>
    <w:p w:rsidR="00000000" w:rsidRDefault="00000000">
      <w:pPr>
        <w:keepNext/>
        <w:rPr>
          <w:b/>
          <w:bCs/>
        </w:rPr>
      </w:pPr>
      <w:r>
        <w:rPr>
          <w:b/>
          <w:bCs/>
        </w:rPr>
        <w:t>Качество и безвредность пищевых продуктов</w:t>
      </w:r>
    </w:p>
    <w:p w:rsidR="00000000" w:rsidRDefault="00000000">
      <w:pPr>
        <w:keepNext/>
        <w:rPr>
          <w:b/>
          <w:bCs/>
        </w:rPr>
      </w:pPr>
    </w:p>
    <w:p w:rsidR="00000000" w:rsidRDefault="00000000">
      <w:r>
        <w:t>332.</w:t>
      </w:r>
      <w:r>
        <w:tab/>
        <w:t>Недостаточное соответствие действующих положений положениям ЕС и рекомендациям Всемирной организации здравоохранения в отношении обеспечения достаточным количеством безвредных пищевых продуктов, включая все элементы пищевой цепи, необходимые для охраны и улучшения состояния здоровья людей, является очевидным.  Учитывая их крайнюю важность, продукты питания являются одним из самых высоких экологических факторов риска, которые оказывают растущее воздействие на возникновение инфекционных заболеваний.</w:t>
      </w:r>
    </w:p>
    <w:p w:rsidR="00000000" w:rsidRDefault="00000000"/>
    <w:p w:rsidR="00000000" w:rsidRDefault="00000000">
      <w:r>
        <w:t>323.</w:t>
      </w:r>
      <w:r>
        <w:tab/>
        <w:t>Даже несмотря на то, что в Республике Сербской на предприятиях агропромышленного комплекса и мелких фермах производятся тонны продовольствия, значительные объемы продовольствия импортируются.  Контроль за производством и продажей продуктов питания (включая питьевую воду, являющуюся наиболее важным пищевым компонентом) осуществляют санитарные и ветеринарные инспекторы.  Контроль за продуктами питания с использованием методов анализа рисков в критических точках контроля (НАССР) осуществляется лишь в нескольких лабораториях в рамках внутреннего контроля за технологическими процессами.  Контроль состояния здоровья людей осуществляется лабораториями Института охраны здоровья Республики Сербской, которые уполномочены проверять состояние здоровья, а микробиологическим контролем занимается Ветеринарный институт.</w:t>
      </w:r>
    </w:p>
    <w:p w:rsidR="00000000" w:rsidRDefault="00000000"/>
    <w:p w:rsidR="00000000" w:rsidRDefault="00000000">
      <w:r>
        <w:t>324.</w:t>
      </w:r>
      <w:r>
        <w:tab/>
        <w:t>Плохое качество объясняется чрезмерным содержанием пестицидов и тяжелых металлов:  кадмия, свинца и мышьяка, а также неполной и нестандартизированной информацией на надписях оригинальных упаковок продуктов питания.  С учетом общего числа проанализированных в медицинских учреждениях продуктов питания можно заключить, что количество взятых на пробу продуктов питания является недостаточным и оно значительно ниже того, что требуется законом (15 проб на 1 000 граждан).</w:t>
      </w:r>
    </w:p>
    <w:p w:rsidR="00000000" w:rsidRDefault="00000000"/>
    <w:p w:rsidR="00000000" w:rsidRDefault="00000000">
      <w:r>
        <w:t>325.</w:t>
      </w:r>
      <w:r>
        <w:tab/>
        <w:t>Продукты питания относительно часто вызывают инфекции и отравления.  В прежние годы радиологические и токсикологические анализы продуктов питания не проводились по причине отсутствия надлежащего оборудования.  Оценка проводится в соответствии с действующими правовыми положениями, и она основана главным образом на органолептическом химическом и микробиологическом анализе.</w:t>
      </w:r>
    </w:p>
    <w:p w:rsidR="00000000" w:rsidRDefault="00000000"/>
    <w:p w:rsidR="00000000" w:rsidRDefault="00000000">
      <w:pPr>
        <w:keepNext/>
        <w:spacing w:line="240" w:lineRule="auto"/>
        <w:jc w:val="center"/>
        <w:rPr>
          <w:b/>
          <w:bCs/>
        </w:rPr>
      </w:pPr>
      <w:r>
        <w:rPr>
          <w:b/>
          <w:bCs/>
        </w:rPr>
        <w:t>Таблица 4</w:t>
      </w:r>
    </w:p>
    <w:p w:rsidR="00000000" w:rsidRDefault="00000000">
      <w:pPr>
        <w:keepNext/>
        <w:spacing w:line="240" w:lineRule="auto"/>
        <w:jc w:val="center"/>
        <w:rPr>
          <w:b/>
          <w:bCs/>
        </w:rPr>
      </w:pPr>
    </w:p>
    <w:p w:rsidR="00000000" w:rsidRDefault="00000000">
      <w:pPr>
        <w:keepNext/>
        <w:spacing w:line="240" w:lineRule="auto"/>
        <w:jc w:val="center"/>
        <w:rPr>
          <w:b/>
          <w:bCs/>
        </w:rPr>
      </w:pPr>
      <w:r>
        <w:rPr>
          <w:b/>
          <w:bCs/>
        </w:rPr>
        <w:t>Анализ проб продуктов питания</w:t>
      </w:r>
    </w:p>
    <w:p w:rsidR="00000000" w:rsidRDefault="00000000">
      <w:pPr>
        <w:keepNext/>
        <w:spacing w:line="240" w:lineRule="auto"/>
        <w:jc w:val="center"/>
        <w:rPr>
          <w:b/>
          <w:bCs/>
        </w:rPr>
      </w:pPr>
    </w:p>
    <w:tbl>
      <w:tblPr>
        <w:tblW w:w="935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1158"/>
        <w:gridCol w:w="1366"/>
        <w:gridCol w:w="1366"/>
        <w:gridCol w:w="1367"/>
        <w:gridCol w:w="1366"/>
        <w:gridCol w:w="1366"/>
        <w:gridCol w:w="1367"/>
      </w:tblGrid>
      <w:tr w:rsidR="00000000">
        <w:trPr>
          <w:cantSplit/>
          <w:tblHeader/>
        </w:trPr>
        <w:tc>
          <w:tcPr>
            <w:tcW w:w="5257" w:type="dxa"/>
            <w:gridSpan w:val="4"/>
            <w:tcBorders>
              <w:bottom w:val="nil"/>
            </w:tcBorders>
            <w:vAlign w:val="center"/>
          </w:tcPr>
          <w:p w:rsidR="00000000" w:rsidRDefault="00000000">
            <w:pPr>
              <w:keepNext/>
              <w:spacing w:line="240" w:lineRule="auto"/>
              <w:jc w:val="center"/>
            </w:pPr>
            <w:r>
              <w:t>Физический/химический анализ</w:t>
            </w:r>
          </w:p>
        </w:tc>
        <w:tc>
          <w:tcPr>
            <w:tcW w:w="4099" w:type="dxa"/>
            <w:gridSpan w:val="3"/>
            <w:vAlign w:val="center"/>
          </w:tcPr>
          <w:p w:rsidR="00000000" w:rsidRDefault="00000000">
            <w:pPr>
              <w:keepNext/>
              <w:spacing w:line="240" w:lineRule="auto"/>
              <w:jc w:val="center"/>
            </w:pPr>
            <w:r>
              <w:t>Микробиологический анализ</w:t>
            </w:r>
          </w:p>
        </w:tc>
      </w:tr>
      <w:tr w:rsidR="00000000">
        <w:trPr>
          <w:cantSplit/>
          <w:tblHeader/>
        </w:trPr>
        <w:tc>
          <w:tcPr>
            <w:tcW w:w="1158" w:type="dxa"/>
            <w:vMerge w:val="restart"/>
            <w:vAlign w:val="center"/>
          </w:tcPr>
          <w:p w:rsidR="00000000" w:rsidRDefault="00000000">
            <w:pPr>
              <w:keepNext/>
              <w:spacing w:line="240" w:lineRule="auto"/>
              <w:jc w:val="center"/>
            </w:pPr>
            <w:r>
              <w:t>Год</w:t>
            </w:r>
          </w:p>
        </w:tc>
        <w:tc>
          <w:tcPr>
            <w:tcW w:w="1366" w:type="dxa"/>
            <w:vMerge w:val="restart"/>
            <w:vAlign w:val="center"/>
          </w:tcPr>
          <w:p w:rsidR="00000000" w:rsidRDefault="00000000">
            <w:pPr>
              <w:keepNext/>
              <w:spacing w:line="240" w:lineRule="auto"/>
              <w:jc w:val="center"/>
            </w:pPr>
            <w:r>
              <w:t>Всего</w:t>
            </w:r>
          </w:p>
        </w:tc>
        <w:tc>
          <w:tcPr>
            <w:tcW w:w="2733" w:type="dxa"/>
            <w:gridSpan w:val="2"/>
            <w:tcBorders>
              <w:bottom w:val="nil"/>
            </w:tcBorders>
            <w:vAlign w:val="center"/>
          </w:tcPr>
          <w:p w:rsidR="00000000" w:rsidRDefault="00000000">
            <w:pPr>
              <w:keepNext/>
              <w:spacing w:line="240" w:lineRule="auto"/>
              <w:jc w:val="center"/>
            </w:pPr>
            <w:r>
              <w:t>Неудовлетворительные результаты</w:t>
            </w:r>
          </w:p>
        </w:tc>
        <w:tc>
          <w:tcPr>
            <w:tcW w:w="1366" w:type="dxa"/>
            <w:vMerge w:val="restart"/>
            <w:vAlign w:val="center"/>
          </w:tcPr>
          <w:p w:rsidR="00000000" w:rsidRDefault="00000000">
            <w:pPr>
              <w:keepNext/>
              <w:spacing w:line="240" w:lineRule="auto"/>
              <w:jc w:val="center"/>
            </w:pPr>
            <w:r>
              <w:t>Всего</w:t>
            </w:r>
          </w:p>
        </w:tc>
        <w:tc>
          <w:tcPr>
            <w:tcW w:w="2733" w:type="dxa"/>
            <w:gridSpan w:val="2"/>
            <w:tcBorders>
              <w:bottom w:val="nil"/>
            </w:tcBorders>
            <w:vAlign w:val="center"/>
          </w:tcPr>
          <w:p w:rsidR="00000000" w:rsidRDefault="00000000">
            <w:pPr>
              <w:keepNext/>
              <w:spacing w:line="240" w:lineRule="auto"/>
              <w:jc w:val="center"/>
            </w:pPr>
            <w:r>
              <w:t>Неудовлетворительные результаты</w:t>
            </w:r>
          </w:p>
        </w:tc>
      </w:tr>
      <w:tr w:rsidR="00000000">
        <w:trPr>
          <w:cantSplit/>
          <w:tblHeader/>
        </w:trPr>
        <w:tc>
          <w:tcPr>
            <w:tcW w:w="1158" w:type="dxa"/>
            <w:vMerge/>
            <w:tcBorders>
              <w:bottom w:val="nil"/>
            </w:tcBorders>
            <w:vAlign w:val="center"/>
          </w:tcPr>
          <w:p w:rsidR="00000000" w:rsidRDefault="00000000">
            <w:pPr>
              <w:keepNext/>
              <w:spacing w:line="240" w:lineRule="auto"/>
              <w:jc w:val="center"/>
            </w:pPr>
          </w:p>
        </w:tc>
        <w:tc>
          <w:tcPr>
            <w:tcW w:w="1366" w:type="dxa"/>
            <w:vMerge/>
            <w:tcBorders>
              <w:bottom w:val="nil"/>
            </w:tcBorders>
            <w:vAlign w:val="center"/>
          </w:tcPr>
          <w:p w:rsidR="00000000" w:rsidRDefault="00000000">
            <w:pPr>
              <w:keepNext/>
              <w:spacing w:line="240" w:lineRule="auto"/>
              <w:jc w:val="center"/>
            </w:pPr>
          </w:p>
        </w:tc>
        <w:tc>
          <w:tcPr>
            <w:tcW w:w="1366" w:type="dxa"/>
            <w:tcBorders>
              <w:bottom w:val="nil"/>
            </w:tcBorders>
            <w:vAlign w:val="center"/>
          </w:tcPr>
          <w:p w:rsidR="00000000" w:rsidRDefault="00000000">
            <w:pPr>
              <w:keepNext/>
              <w:spacing w:line="240" w:lineRule="auto"/>
              <w:jc w:val="center"/>
            </w:pPr>
            <w:r>
              <w:t>Число</w:t>
            </w:r>
          </w:p>
        </w:tc>
        <w:tc>
          <w:tcPr>
            <w:tcW w:w="1367" w:type="dxa"/>
            <w:tcBorders>
              <w:bottom w:val="nil"/>
            </w:tcBorders>
            <w:vAlign w:val="center"/>
          </w:tcPr>
          <w:p w:rsidR="00000000" w:rsidRDefault="00000000">
            <w:pPr>
              <w:keepNext/>
              <w:spacing w:line="240" w:lineRule="auto"/>
              <w:jc w:val="center"/>
            </w:pPr>
            <w:r>
              <w:t>Проценты</w:t>
            </w:r>
          </w:p>
        </w:tc>
        <w:tc>
          <w:tcPr>
            <w:tcW w:w="1366" w:type="dxa"/>
            <w:vMerge/>
            <w:tcBorders>
              <w:bottom w:val="nil"/>
            </w:tcBorders>
            <w:vAlign w:val="center"/>
          </w:tcPr>
          <w:p w:rsidR="00000000" w:rsidRDefault="00000000">
            <w:pPr>
              <w:keepNext/>
              <w:spacing w:line="240" w:lineRule="auto"/>
              <w:jc w:val="center"/>
            </w:pPr>
          </w:p>
        </w:tc>
        <w:tc>
          <w:tcPr>
            <w:tcW w:w="1366" w:type="dxa"/>
            <w:tcBorders>
              <w:bottom w:val="nil"/>
            </w:tcBorders>
            <w:vAlign w:val="center"/>
          </w:tcPr>
          <w:p w:rsidR="00000000" w:rsidRDefault="00000000">
            <w:pPr>
              <w:keepNext/>
              <w:spacing w:line="240" w:lineRule="auto"/>
              <w:jc w:val="center"/>
            </w:pPr>
            <w:r>
              <w:t>Число</w:t>
            </w:r>
          </w:p>
        </w:tc>
        <w:tc>
          <w:tcPr>
            <w:tcW w:w="1367" w:type="dxa"/>
            <w:tcBorders>
              <w:bottom w:val="nil"/>
            </w:tcBorders>
            <w:vAlign w:val="center"/>
          </w:tcPr>
          <w:p w:rsidR="00000000" w:rsidRDefault="00000000">
            <w:pPr>
              <w:keepNext/>
              <w:spacing w:line="240" w:lineRule="auto"/>
              <w:jc w:val="center"/>
            </w:pPr>
            <w:r>
              <w:t>Проценты</w:t>
            </w:r>
          </w:p>
        </w:tc>
      </w:tr>
      <w:tr w:rsidR="00000000">
        <w:tc>
          <w:tcPr>
            <w:tcW w:w="1158" w:type="dxa"/>
            <w:tcBorders>
              <w:bottom w:val="nil"/>
            </w:tcBorders>
          </w:tcPr>
          <w:p w:rsidR="00000000" w:rsidRDefault="00000000">
            <w:pPr>
              <w:spacing w:line="240" w:lineRule="auto"/>
              <w:jc w:val="center"/>
            </w:pPr>
            <w:r>
              <w:t>1998</w:t>
            </w:r>
          </w:p>
        </w:tc>
        <w:tc>
          <w:tcPr>
            <w:tcW w:w="1366" w:type="dxa"/>
            <w:tcBorders>
              <w:bottom w:val="nil"/>
            </w:tcBorders>
          </w:tcPr>
          <w:p w:rsidR="00000000" w:rsidRDefault="00000000">
            <w:pPr>
              <w:spacing w:line="240" w:lineRule="auto"/>
              <w:jc w:val="center"/>
            </w:pPr>
            <w:r>
              <w:t>2 286</w:t>
            </w:r>
          </w:p>
        </w:tc>
        <w:tc>
          <w:tcPr>
            <w:tcW w:w="1366" w:type="dxa"/>
            <w:tcBorders>
              <w:bottom w:val="nil"/>
            </w:tcBorders>
          </w:tcPr>
          <w:p w:rsidR="00000000" w:rsidRDefault="00000000">
            <w:pPr>
              <w:spacing w:line="240" w:lineRule="auto"/>
              <w:jc w:val="center"/>
            </w:pPr>
            <w:r>
              <w:t>253</w:t>
            </w:r>
          </w:p>
        </w:tc>
        <w:tc>
          <w:tcPr>
            <w:tcW w:w="1367" w:type="dxa"/>
            <w:tcBorders>
              <w:bottom w:val="nil"/>
            </w:tcBorders>
          </w:tcPr>
          <w:p w:rsidR="00000000" w:rsidRDefault="00000000">
            <w:pPr>
              <w:spacing w:line="240" w:lineRule="auto"/>
              <w:jc w:val="center"/>
            </w:pPr>
            <w:r>
              <w:t>11,0</w:t>
            </w:r>
          </w:p>
        </w:tc>
        <w:tc>
          <w:tcPr>
            <w:tcW w:w="1366" w:type="dxa"/>
            <w:tcBorders>
              <w:bottom w:val="nil"/>
            </w:tcBorders>
          </w:tcPr>
          <w:p w:rsidR="00000000" w:rsidRDefault="00000000">
            <w:pPr>
              <w:spacing w:line="240" w:lineRule="auto"/>
              <w:jc w:val="center"/>
            </w:pPr>
            <w:r>
              <w:t>3 927</w:t>
            </w:r>
          </w:p>
        </w:tc>
        <w:tc>
          <w:tcPr>
            <w:tcW w:w="1366" w:type="dxa"/>
            <w:tcBorders>
              <w:bottom w:val="nil"/>
            </w:tcBorders>
          </w:tcPr>
          <w:p w:rsidR="00000000" w:rsidRDefault="00000000">
            <w:pPr>
              <w:spacing w:line="240" w:lineRule="auto"/>
              <w:jc w:val="center"/>
            </w:pPr>
            <w:r>
              <w:t>537</w:t>
            </w:r>
          </w:p>
        </w:tc>
        <w:tc>
          <w:tcPr>
            <w:tcW w:w="1367" w:type="dxa"/>
            <w:tcBorders>
              <w:bottom w:val="nil"/>
            </w:tcBorders>
          </w:tcPr>
          <w:p w:rsidR="00000000" w:rsidRDefault="00000000">
            <w:pPr>
              <w:spacing w:line="240" w:lineRule="auto"/>
              <w:jc w:val="center"/>
            </w:pPr>
            <w:r>
              <w:t>13,67</w:t>
            </w:r>
          </w:p>
        </w:tc>
      </w:tr>
      <w:tr w:rsidR="00000000">
        <w:tc>
          <w:tcPr>
            <w:tcW w:w="1158" w:type="dxa"/>
            <w:tcBorders>
              <w:top w:val="nil"/>
              <w:bottom w:val="nil"/>
            </w:tcBorders>
          </w:tcPr>
          <w:p w:rsidR="00000000" w:rsidRDefault="00000000">
            <w:pPr>
              <w:spacing w:line="240" w:lineRule="auto"/>
              <w:jc w:val="center"/>
            </w:pPr>
            <w:r>
              <w:t>1999</w:t>
            </w:r>
          </w:p>
        </w:tc>
        <w:tc>
          <w:tcPr>
            <w:tcW w:w="1366" w:type="dxa"/>
            <w:tcBorders>
              <w:top w:val="nil"/>
              <w:bottom w:val="nil"/>
            </w:tcBorders>
          </w:tcPr>
          <w:p w:rsidR="00000000" w:rsidRDefault="00000000">
            <w:pPr>
              <w:spacing w:line="240" w:lineRule="auto"/>
              <w:jc w:val="center"/>
            </w:pPr>
            <w:r>
              <w:t>2 418</w:t>
            </w:r>
          </w:p>
        </w:tc>
        <w:tc>
          <w:tcPr>
            <w:tcW w:w="1366" w:type="dxa"/>
            <w:tcBorders>
              <w:top w:val="nil"/>
              <w:bottom w:val="nil"/>
            </w:tcBorders>
          </w:tcPr>
          <w:p w:rsidR="00000000" w:rsidRDefault="00000000">
            <w:pPr>
              <w:spacing w:line="240" w:lineRule="auto"/>
              <w:jc w:val="center"/>
            </w:pPr>
            <w:r>
              <w:t>220</w:t>
            </w:r>
          </w:p>
        </w:tc>
        <w:tc>
          <w:tcPr>
            <w:tcW w:w="1367" w:type="dxa"/>
            <w:tcBorders>
              <w:top w:val="nil"/>
              <w:bottom w:val="nil"/>
            </w:tcBorders>
          </w:tcPr>
          <w:p w:rsidR="00000000" w:rsidRDefault="00000000">
            <w:pPr>
              <w:spacing w:line="240" w:lineRule="auto"/>
              <w:jc w:val="center"/>
            </w:pPr>
            <w:r>
              <w:t>11,1</w:t>
            </w:r>
          </w:p>
        </w:tc>
        <w:tc>
          <w:tcPr>
            <w:tcW w:w="1366" w:type="dxa"/>
            <w:tcBorders>
              <w:top w:val="nil"/>
              <w:bottom w:val="nil"/>
            </w:tcBorders>
          </w:tcPr>
          <w:p w:rsidR="00000000" w:rsidRDefault="00000000">
            <w:pPr>
              <w:spacing w:line="240" w:lineRule="auto"/>
              <w:jc w:val="center"/>
            </w:pPr>
            <w:r>
              <w:t>3 225</w:t>
            </w:r>
          </w:p>
        </w:tc>
        <w:tc>
          <w:tcPr>
            <w:tcW w:w="1366" w:type="dxa"/>
            <w:tcBorders>
              <w:top w:val="nil"/>
              <w:bottom w:val="nil"/>
            </w:tcBorders>
          </w:tcPr>
          <w:p w:rsidR="00000000" w:rsidRDefault="00000000">
            <w:pPr>
              <w:spacing w:line="240" w:lineRule="auto"/>
              <w:jc w:val="center"/>
            </w:pPr>
            <w:r>
              <w:t>547</w:t>
            </w:r>
          </w:p>
        </w:tc>
        <w:tc>
          <w:tcPr>
            <w:tcW w:w="1367" w:type="dxa"/>
            <w:tcBorders>
              <w:top w:val="nil"/>
              <w:bottom w:val="nil"/>
            </w:tcBorders>
          </w:tcPr>
          <w:p w:rsidR="00000000" w:rsidRDefault="00000000">
            <w:pPr>
              <w:spacing w:line="240" w:lineRule="auto"/>
              <w:jc w:val="center"/>
            </w:pPr>
            <w:r>
              <w:t>16,96</w:t>
            </w:r>
          </w:p>
        </w:tc>
      </w:tr>
      <w:tr w:rsidR="00000000">
        <w:tc>
          <w:tcPr>
            <w:tcW w:w="1158" w:type="dxa"/>
            <w:tcBorders>
              <w:top w:val="nil"/>
              <w:bottom w:val="nil"/>
            </w:tcBorders>
          </w:tcPr>
          <w:p w:rsidR="00000000" w:rsidRDefault="00000000">
            <w:pPr>
              <w:spacing w:line="240" w:lineRule="auto"/>
              <w:jc w:val="center"/>
            </w:pPr>
            <w:r>
              <w:t>2000</w:t>
            </w:r>
          </w:p>
        </w:tc>
        <w:tc>
          <w:tcPr>
            <w:tcW w:w="1366" w:type="dxa"/>
            <w:tcBorders>
              <w:top w:val="nil"/>
              <w:bottom w:val="nil"/>
            </w:tcBorders>
          </w:tcPr>
          <w:p w:rsidR="00000000" w:rsidRDefault="00000000">
            <w:pPr>
              <w:spacing w:line="240" w:lineRule="auto"/>
              <w:jc w:val="center"/>
            </w:pPr>
            <w:r>
              <w:t>2 647</w:t>
            </w:r>
          </w:p>
        </w:tc>
        <w:tc>
          <w:tcPr>
            <w:tcW w:w="1366" w:type="dxa"/>
            <w:tcBorders>
              <w:top w:val="nil"/>
              <w:bottom w:val="nil"/>
            </w:tcBorders>
          </w:tcPr>
          <w:p w:rsidR="00000000" w:rsidRDefault="00000000">
            <w:pPr>
              <w:spacing w:line="240" w:lineRule="auto"/>
              <w:jc w:val="center"/>
            </w:pPr>
            <w:r>
              <w:t>398</w:t>
            </w:r>
          </w:p>
        </w:tc>
        <w:tc>
          <w:tcPr>
            <w:tcW w:w="1367" w:type="dxa"/>
            <w:tcBorders>
              <w:top w:val="nil"/>
              <w:bottom w:val="nil"/>
            </w:tcBorders>
          </w:tcPr>
          <w:p w:rsidR="00000000" w:rsidRDefault="00000000">
            <w:pPr>
              <w:spacing w:line="240" w:lineRule="auto"/>
              <w:jc w:val="center"/>
            </w:pPr>
            <w:r>
              <w:t>15,0</w:t>
            </w:r>
          </w:p>
        </w:tc>
        <w:tc>
          <w:tcPr>
            <w:tcW w:w="1366" w:type="dxa"/>
            <w:tcBorders>
              <w:top w:val="nil"/>
              <w:bottom w:val="nil"/>
            </w:tcBorders>
          </w:tcPr>
          <w:p w:rsidR="00000000" w:rsidRDefault="00000000">
            <w:pPr>
              <w:spacing w:line="240" w:lineRule="auto"/>
              <w:jc w:val="center"/>
            </w:pPr>
            <w:r>
              <w:t>5 243</w:t>
            </w:r>
          </w:p>
        </w:tc>
        <w:tc>
          <w:tcPr>
            <w:tcW w:w="1366" w:type="dxa"/>
            <w:tcBorders>
              <w:top w:val="nil"/>
              <w:bottom w:val="nil"/>
            </w:tcBorders>
          </w:tcPr>
          <w:p w:rsidR="00000000" w:rsidRDefault="00000000">
            <w:pPr>
              <w:spacing w:line="240" w:lineRule="auto"/>
              <w:jc w:val="center"/>
            </w:pPr>
            <w:r>
              <w:t>528</w:t>
            </w:r>
          </w:p>
        </w:tc>
        <w:tc>
          <w:tcPr>
            <w:tcW w:w="1367" w:type="dxa"/>
            <w:tcBorders>
              <w:top w:val="nil"/>
              <w:bottom w:val="nil"/>
            </w:tcBorders>
          </w:tcPr>
          <w:p w:rsidR="00000000" w:rsidRDefault="00000000">
            <w:pPr>
              <w:spacing w:line="240" w:lineRule="auto"/>
              <w:jc w:val="center"/>
            </w:pPr>
            <w:r>
              <w:t>10,07</w:t>
            </w:r>
          </w:p>
        </w:tc>
      </w:tr>
      <w:tr w:rsidR="00000000">
        <w:tc>
          <w:tcPr>
            <w:tcW w:w="1158" w:type="dxa"/>
            <w:tcBorders>
              <w:top w:val="nil"/>
              <w:bottom w:val="nil"/>
            </w:tcBorders>
          </w:tcPr>
          <w:p w:rsidR="00000000" w:rsidRDefault="00000000">
            <w:pPr>
              <w:spacing w:line="240" w:lineRule="auto"/>
              <w:jc w:val="center"/>
            </w:pPr>
            <w:r>
              <w:t>2001</w:t>
            </w:r>
          </w:p>
        </w:tc>
        <w:tc>
          <w:tcPr>
            <w:tcW w:w="1366" w:type="dxa"/>
            <w:tcBorders>
              <w:top w:val="nil"/>
              <w:bottom w:val="nil"/>
            </w:tcBorders>
          </w:tcPr>
          <w:p w:rsidR="00000000" w:rsidRDefault="00000000">
            <w:pPr>
              <w:spacing w:line="240" w:lineRule="auto"/>
              <w:jc w:val="center"/>
            </w:pPr>
            <w:r>
              <w:t>3 004</w:t>
            </w:r>
          </w:p>
        </w:tc>
        <w:tc>
          <w:tcPr>
            <w:tcW w:w="1366" w:type="dxa"/>
            <w:tcBorders>
              <w:top w:val="nil"/>
              <w:bottom w:val="nil"/>
            </w:tcBorders>
          </w:tcPr>
          <w:p w:rsidR="00000000" w:rsidRDefault="00000000">
            <w:pPr>
              <w:spacing w:line="240" w:lineRule="auto"/>
              <w:jc w:val="center"/>
            </w:pPr>
            <w:r>
              <w:t>446</w:t>
            </w:r>
          </w:p>
        </w:tc>
        <w:tc>
          <w:tcPr>
            <w:tcW w:w="1367" w:type="dxa"/>
            <w:tcBorders>
              <w:top w:val="nil"/>
              <w:bottom w:val="nil"/>
            </w:tcBorders>
          </w:tcPr>
          <w:p w:rsidR="00000000" w:rsidRDefault="00000000">
            <w:pPr>
              <w:spacing w:line="240" w:lineRule="auto"/>
              <w:jc w:val="center"/>
            </w:pPr>
            <w:r>
              <w:t>14,8</w:t>
            </w:r>
          </w:p>
        </w:tc>
        <w:tc>
          <w:tcPr>
            <w:tcW w:w="1366" w:type="dxa"/>
            <w:tcBorders>
              <w:top w:val="nil"/>
              <w:bottom w:val="nil"/>
            </w:tcBorders>
          </w:tcPr>
          <w:p w:rsidR="00000000" w:rsidRDefault="00000000">
            <w:pPr>
              <w:spacing w:line="240" w:lineRule="auto"/>
              <w:jc w:val="center"/>
            </w:pPr>
            <w:r>
              <w:t>5 872</w:t>
            </w:r>
          </w:p>
        </w:tc>
        <w:tc>
          <w:tcPr>
            <w:tcW w:w="1366" w:type="dxa"/>
            <w:tcBorders>
              <w:top w:val="nil"/>
              <w:bottom w:val="nil"/>
            </w:tcBorders>
          </w:tcPr>
          <w:p w:rsidR="00000000" w:rsidRDefault="00000000">
            <w:pPr>
              <w:spacing w:line="240" w:lineRule="auto"/>
              <w:jc w:val="center"/>
            </w:pPr>
            <w:r>
              <w:t>661</w:t>
            </w:r>
          </w:p>
        </w:tc>
        <w:tc>
          <w:tcPr>
            <w:tcW w:w="1367" w:type="dxa"/>
            <w:tcBorders>
              <w:top w:val="nil"/>
              <w:bottom w:val="nil"/>
            </w:tcBorders>
          </w:tcPr>
          <w:p w:rsidR="00000000" w:rsidRDefault="00000000">
            <w:pPr>
              <w:spacing w:line="240" w:lineRule="auto"/>
              <w:jc w:val="center"/>
            </w:pPr>
            <w:r>
              <w:t>11,25</w:t>
            </w:r>
          </w:p>
        </w:tc>
      </w:tr>
      <w:tr w:rsidR="00000000">
        <w:tc>
          <w:tcPr>
            <w:tcW w:w="1158" w:type="dxa"/>
            <w:tcBorders>
              <w:top w:val="nil"/>
            </w:tcBorders>
          </w:tcPr>
          <w:p w:rsidR="00000000" w:rsidRDefault="00000000">
            <w:pPr>
              <w:spacing w:line="240" w:lineRule="auto"/>
              <w:jc w:val="center"/>
            </w:pPr>
            <w:r>
              <w:t>2002</w:t>
            </w:r>
          </w:p>
        </w:tc>
        <w:tc>
          <w:tcPr>
            <w:tcW w:w="1366" w:type="dxa"/>
            <w:tcBorders>
              <w:top w:val="nil"/>
            </w:tcBorders>
          </w:tcPr>
          <w:p w:rsidR="00000000" w:rsidRDefault="00000000">
            <w:pPr>
              <w:spacing w:line="240" w:lineRule="auto"/>
              <w:jc w:val="center"/>
            </w:pPr>
            <w:r>
              <w:t>4 712</w:t>
            </w:r>
          </w:p>
        </w:tc>
        <w:tc>
          <w:tcPr>
            <w:tcW w:w="1366" w:type="dxa"/>
            <w:tcBorders>
              <w:top w:val="nil"/>
            </w:tcBorders>
          </w:tcPr>
          <w:p w:rsidR="00000000" w:rsidRDefault="00000000">
            <w:pPr>
              <w:spacing w:line="240" w:lineRule="auto"/>
              <w:jc w:val="center"/>
            </w:pPr>
            <w:r>
              <w:t>618</w:t>
            </w:r>
          </w:p>
        </w:tc>
        <w:tc>
          <w:tcPr>
            <w:tcW w:w="1367" w:type="dxa"/>
            <w:tcBorders>
              <w:top w:val="nil"/>
            </w:tcBorders>
          </w:tcPr>
          <w:p w:rsidR="00000000" w:rsidRDefault="00000000">
            <w:pPr>
              <w:spacing w:line="240" w:lineRule="auto"/>
              <w:jc w:val="center"/>
            </w:pPr>
            <w:r>
              <w:t>13,1</w:t>
            </w:r>
          </w:p>
        </w:tc>
        <w:tc>
          <w:tcPr>
            <w:tcW w:w="1366" w:type="dxa"/>
            <w:tcBorders>
              <w:top w:val="nil"/>
            </w:tcBorders>
          </w:tcPr>
          <w:p w:rsidR="00000000" w:rsidRDefault="00000000">
            <w:pPr>
              <w:spacing w:line="240" w:lineRule="auto"/>
              <w:jc w:val="center"/>
            </w:pPr>
            <w:r>
              <w:t>7 128</w:t>
            </w:r>
          </w:p>
        </w:tc>
        <w:tc>
          <w:tcPr>
            <w:tcW w:w="1366" w:type="dxa"/>
            <w:tcBorders>
              <w:top w:val="nil"/>
            </w:tcBorders>
          </w:tcPr>
          <w:p w:rsidR="00000000" w:rsidRDefault="00000000">
            <w:pPr>
              <w:spacing w:line="240" w:lineRule="auto"/>
              <w:jc w:val="center"/>
            </w:pPr>
            <w:r>
              <w:t>892</w:t>
            </w:r>
          </w:p>
        </w:tc>
        <w:tc>
          <w:tcPr>
            <w:tcW w:w="1367" w:type="dxa"/>
            <w:tcBorders>
              <w:top w:val="nil"/>
            </w:tcBorders>
          </w:tcPr>
          <w:p w:rsidR="00000000" w:rsidRDefault="00000000">
            <w:pPr>
              <w:spacing w:line="240" w:lineRule="auto"/>
              <w:jc w:val="center"/>
            </w:pPr>
            <w:r>
              <w:t>12,51</w:t>
            </w:r>
          </w:p>
        </w:tc>
      </w:tr>
    </w:tbl>
    <w:p w:rsidR="00000000" w:rsidRDefault="00000000">
      <w:pPr>
        <w:spacing w:line="240" w:lineRule="auto"/>
      </w:pPr>
    </w:p>
    <w:p w:rsidR="00000000" w:rsidRDefault="00000000">
      <w:pPr>
        <w:spacing w:line="240" w:lineRule="auto"/>
      </w:pPr>
      <w:r>
        <w:tab/>
      </w:r>
      <w:r>
        <w:rPr>
          <w:i/>
          <w:iCs/>
        </w:rPr>
        <w:t>Источник</w:t>
      </w:r>
      <w:r>
        <w:t>:  Доклад, 1998, 1999, 2000</w:t>
      </w:r>
      <w:r>
        <w:rPr>
          <w:lang w:val="en-GB"/>
        </w:rPr>
        <w:t> </w:t>
      </w:r>
      <w:r>
        <w:t>годы (Институт охраны здоровья Республики Сербской, Баня-Лука).</w:t>
      </w:r>
    </w:p>
    <w:p w:rsidR="00000000" w:rsidRDefault="00000000"/>
    <w:p w:rsidR="00000000" w:rsidRDefault="00000000">
      <w:r>
        <w:t>326.</w:t>
      </w:r>
      <w:r>
        <w:tab/>
        <w:t>Сотрудники санитарной инспекции Департамента по инспекционным делам на местном уровне должны регулярно, то есть не менее двух раз в год, проводить санитарные проверки (мазки из горла и носа, проверка стула на наличие паразитов и простейших) и клинические проверки, а также дополнительные тесты в соответствии с предписаниями врача.  После завершения проверки и получения лабораторных результатов заводится санитарный журнал или даются надлежащие рекомендации в плане продолжения лечения пациентов, у которых в ходе проверки была обнаружена та или иная болезнь.</w:t>
      </w:r>
    </w:p>
    <w:p w:rsidR="00000000" w:rsidRDefault="00000000"/>
    <w:p w:rsidR="00000000" w:rsidRDefault="00000000">
      <w:r>
        <w:t>327.</w:t>
      </w:r>
      <w:r>
        <w:tab/>
        <w:t>Все работники, участвующие в процессе производства продовольствия или работающие на предприятиях, где готовится еда (предприятия общественного питания), должны посещать лекции по минимальным нормам гигиены/санитарии и сдавать заключительные экзамены, прежде чем приступать к работе.  Их знания время от времени должны проверяться.  Частью мер по проверке предприятий, производящих продукты питания, и их сотрудников являются следующие:  проверка качества продуктов питания;  дезинфекция поверхностей на рабочих местах, рабочей одежды, посуды и рук лиц, которые вовлечены в процесс приготовления продуктов питания.</w:t>
      </w:r>
    </w:p>
    <w:p w:rsidR="00000000" w:rsidRDefault="00000000"/>
    <w:p w:rsidR="00000000" w:rsidRDefault="00000000">
      <w:r>
        <w:t>328.</w:t>
      </w:r>
      <w:r>
        <w:tab/>
        <w:t>Контроль за заболеваниями пищевого происхождения, когда это связано с микробиологическим инфицированием, осуществляется эпидемиологической службой Института охраны здоровья на основании отчетов, которые регулярно присылаются центрами охраны здоровья.  Микробиологическая лаборатория Института охраны здоровья проводит анализ выделений и содержимого желудка, а также пищевых остатков, которые, как подозревается, стали причиной заболевания.  В настоящее время контроль за болезнями, вызванными продуктами питания, зараженными химическими веществами, не осуществляется, поскольку такие инфекции относятся к категории групповых, долгосрочных заражений, последствия которых в большинстве случаев проявляются лишь после длительного воздействия таких веществ, и не существует условий для проведения такого контроля, несмотря на тот факт, что Всемирная организация здравоохранения все чаще указывает на то, что это необходимо.</w:t>
      </w:r>
    </w:p>
    <w:p w:rsidR="00000000" w:rsidRDefault="00000000"/>
    <w:p w:rsidR="00000000" w:rsidRDefault="00000000">
      <w:r>
        <w:t>329.</w:t>
      </w:r>
      <w:r>
        <w:tab/>
        <w:t>Наблюдения за распространением инфекционных заболеваний, передаваемых через воду и продукты питания, осложняется недостатками, связанными со своевременным оповещением, отсутствием современной информационной системы и неразвитостью лабораторных мощностей в том, что касается выявления причин инфекционных заболеваний, и такая ситуация наблюдается в большинстве населенных пунктов.  С учетом всего того, что было изложено выше, можно предположить, что фактическая распространенность заболеваний такого рода является значительно большей, чем то, что было зарегистрировано.</w:t>
      </w:r>
    </w:p>
    <w:p w:rsidR="00000000" w:rsidRDefault="00000000"/>
    <w:p w:rsidR="00000000" w:rsidRDefault="00000000">
      <w:r>
        <w:t>330.</w:t>
      </w:r>
      <w:r>
        <w:tab/>
        <w:t>Пищевые отравления всегда были актуальной темой, а в наши дни они приобретают еще бóльшую актуальность, когда ВОЗ вводит понятие "безвредных продуктов питания".  Это подчеркивает их огромное значение как экологических факторов риска химических, биологических, паразитических или каких-либо других отравлений.  Сегодня ВОЗ указывает, что продукты питания являются ключевым фактором, связанным с возникновением массовых неинфекционных заболеваний (МНЗ), которые являются следствием неправильной культуры питания, малоподвижного образа жизни, курения или, с другой стороны, недоедания, нехватки макро</w:t>
      </w:r>
      <w:r>
        <w:noBreakHyphen/>
        <w:t xml:space="preserve"> и микроэлементов и т.д.</w:t>
      </w:r>
    </w:p>
    <w:p w:rsidR="00000000" w:rsidRDefault="00000000"/>
    <w:p w:rsidR="00000000" w:rsidRDefault="00000000">
      <w:r>
        <w:t>331.</w:t>
      </w:r>
      <w:r>
        <w:tab/>
        <w:t>Среди выводов, сделанных ВОЗ, можно назвать следующие:</w:t>
      </w:r>
    </w:p>
    <w:p w:rsidR="00000000" w:rsidRDefault="00000000"/>
    <w:p w:rsidR="00000000" w:rsidRDefault="00000000">
      <w:pPr>
        <w:numPr>
          <w:ilvl w:val="0"/>
          <w:numId w:val="20"/>
        </w:numPr>
        <w:tabs>
          <w:tab w:val="clear" w:pos="1701"/>
        </w:tabs>
      </w:pPr>
      <w:r>
        <w:t>контроль за средствами производства, предприятиями и орудиями труда, лицами, занятыми в производстве и инспектировании, является, с точки зрения контроля состояния здоровья населения, недостаточно организованным и неполным в плане его масштаба и параметров;</w:t>
      </w:r>
    </w:p>
    <w:p w:rsidR="00000000" w:rsidRDefault="00000000"/>
    <w:p w:rsidR="00000000" w:rsidRDefault="00000000">
      <w:pPr>
        <w:numPr>
          <w:ilvl w:val="0"/>
          <w:numId w:val="21"/>
        </w:numPr>
        <w:tabs>
          <w:tab w:val="clear" w:pos="1701"/>
        </w:tabs>
      </w:pPr>
      <w:r>
        <w:t>правовые обязательства по обязательному контролю являются неясными как с точки зрения масштабов, так и в плане учреждений, ответственных за его осуществление, поскольку обязанности в этой области общественного и ветеринарного здравоохранения дублируют друг друга и даже существующие положения на практике не осуществляются;</w:t>
      </w:r>
    </w:p>
    <w:p w:rsidR="00000000" w:rsidRDefault="00000000">
      <w:pPr>
        <w:tabs>
          <w:tab w:val="clear" w:pos="1134"/>
        </w:tabs>
      </w:pPr>
    </w:p>
    <w:p w:rsidR="00000000" w:rsidRDefault="00000000">
      <w:pPr>
        <w:numPr>
          <w:ilvl w:val="0"/>
          <w:numId w:val="21"/>
        </w:numPr>
        <w:tabs>
          <w:tab w:val="clear" w:pos="1701"/>
        </w:tabs>
      </w:pPr>
      <w:r>
        <w:t>аккредитация лабораторий (площади, оборудование, кадры, уровень контроля и обязательные параметры) не проведена.</w:t>
      </w:r>
    </w:p>
    <w:p w:rsidR="00000000" w:rsidRDefault="00000000">
      <w:pPr>
        <w:tabs>
          <w:tab w:val="clear" w:pos="1134"/>
        </w:tabs>
      </w:pPr>
    </w:p>
    <w:p w:rsidR="00000000" w:rsidRDefault="00000000">
      <w:r>
        <w:t>332.</w:t>
      </w:r>
      <w:r>
        <w:tab/>
        <w:t>В числе рекомендаций ВОЗ можно назвать следующие:</w:t>
      </w:r>
    </w:p>
    <w:p w:rsidR="00000000" w:rsidRDefault="00000000"/>
    <w:p w:rsidR="00000000" w:rsidRDefault="00000000">
      <w:pPr>
        <w:numPr>
          <w:ilvl w:val="0"/>
          <w:numId w:val="22"/>
        </w:numPr>
      </w:pPr>
      <w:r>
        <w:t>ограничить распространенность и добиться ликвидации заболеваний, вызываемых пищевыми отравлениями;</w:t>
      </w:r>
    </w:p>
    <w:p w:rsidR="00000000" w:rsidRDefault="00000000">
      <w:pPr>
        <w:tabs>
          <w:tab w:val="clear" w:pos="1134"/>
        </w:tabs>
        <w:jc w:val="both"/>
      </w:pPr>
    </w:p>
    <w:p w:rsidR="00000000" w:rsidRDefault="00000000">
      <w:pPr>
        <w:numPr>
          <w:ilvl w:val="0"/>
          <w:numId w:val="22"/>
        </w:numPr>
      </w:pPr>
      <w:r>
        <w:t>создать реестры производителей;</w:t>
      </w:r>
    </w:p>
    <w:p w:rsidR="00000000" w:rsidRDefault="00000000">
      <w:pPr>
        <w:tabs>
          <w:tab w:val="clear" w:pos="1134"/>
        </w:tabs>
      </w:pPr>
    </w:p>
    <w:p w:rsidR="00000000" w:rsidRDefault="00000000">
      <w:pPr>
        <w:numPr>
          <w:ilvl w:val="0"/>
          <w:numId w:val="22"/>
        </w:numPr>
      </w:pPr>
      <w:r>
        <w:t>внедрить НАССР в пищевую промышленность (система оповещения об опасностях и контроля за критическими показателями), а также обеспечить безвредность продуктов питания по всей продовольственной цепи (от</w:t>
      </w:r>
      <w:r>
        <w:rPr>
          <w:lang w:val="en-US"/>
        </w:rPr>
        <w:t> </w:t>
      </w:r>
      <w:r>
        <w:t>первичного производителя до конечного потребителя);</w:t>
      </w:r>
    </w:p>
    <w:p w:rsidR="00000000" w:rsidRDefault="00000000">
      <w:pPr>
        <w:tabs>
          <w:tab w:val="clear" w:pos="1134"/>
        </w:tabs>
      </w:pPr>
    </w:p>
    <w:p w:rsidR="00000000" w:rsidRDefault="00000000">
      <w:pPr>
        <w:numPr>
          <w:ilvl w:val="0"/>
          <w:numId w:val="22"/>
        </w:numPr>
      </w:pPr>
      <w:r>
        <w:t>содействовать оповещению общественности через средства массовой информации о методах подготовки, консервации и сохранения биологической ценности продуктов питания, производимых на дому;</w:t>
      </w:r>
    </w:p>
    <w:p w:rsidR="00000000" w:rsidRDefault="00000000">
      <w:pPr>
        <w:tabs>
          <w:tab w:val="clear" w:pos="1134"/>
        </w:tabs>
      </w:pPr>
    </w:p>
    <w:p w:rsidR="00000000" w:rsidRDefault="00000000">
      <w:pPr>
        <w:numPr>
          <w:ilvl w:val="0"/>
          <w:numId w:val="22"/>
        </w:numPr>
      </w:pPr>
      <w:r>
        <w:t>установить наблюдение за генетически измененными продуктами питания;</w:t>
      </w:r>
    </w:p>
    <w:p w:rsidR="00000000" w:rsidRDefault="00000000">
      <w:pPr>
        <w:tabs>
          <w:tab w:val="clear" w:pos="1134"/>
        </w:tabs>
      </w:pPr>
    </w:p>
    <w:p w:rsidR="00000000" w:rsidRDefault="00000000">
      <w:pPr>
        <w:numPr>
          <w:ilvl w:val="0"/>
          <w:numId w:val="22"/>
        </w:numPr>
      </w:pPr>
      <w:r>
        <w:t>содействовать участию общественности (ассоциаций потребителей и т.д.) посредством привлечения неправительственных организаций (НПО) с целью распространения информации о безвредности продуктов питания и гигиене;</w:t>
      </w:r>
    </w:p>
    <w:p w:rsidR="00000000" w:rsidRDefault="00000000">
      <w:pPr>
        <w:tabs>
          <w:tab w:val="clear" w:pos="1134"/>
        </w:tabs>
      </w:pPr>
    </w:p>
    <w:p w:rsidR="00000000" w:rsidRDefault="00000000">
      <w:pPr>
        <w:numPr>
          <w:ilvl w:val="0"/>
          <w:numId w:val="22"/>
        </w:numPr>
      </w:pPr>
      <w:r>
        <w:t>создать систему аккредитации лабораторий (площади, оборудование, кадры, образование);</w:t>
      </w:r>
    </w:p>
    <w:p w:rsidR="00000000" w:rsidRDefault="00000000">
      <w:pPr>
        <w:tabs>
          <w:tab w:val="clear" w:pos="1134"/>
        </w:tabs>
      </w:pPr>
    </w:p>
    <w:p w:rsidR="00000000" w:rsidRDefault="00000000">
      <w:pPr>
        <w:numPr>
          <w:ilvl w:val="0"/>
          <w:numId w:val="22"/>
        </w:numPr>
      </w:pPr>
      <w:r>
        <w:t>создать единую информационную систему наблюдения за качеством продовольствия;</w:t>
      </w:r>
    </w:p>
    <w:p w:rsidR="00000000" w:rsidRDefault="00000000">
      <w:pPr>
        <w:tabs>
          <w:tab w:val="clear" w:pos="1134"/>
        </w:tabs>
      </w:pPr>
    </w:p>
    <w:p w:rsidR="00000000" w:rsidRDefault="00000000">
      <w:pPr>
        <w:numPr>
          <w:ilvl w:val="0"/>
          <w:numId w:val="22"/>
        </w:numPr>
      </w:pPr>
      <w:r>
        <w:t>усовершенствовать существующие протоколы, определяющие функции инспекторов, контролирующих общественное здравоохранение;</w:t>
      </w:r>
    </w:p>
    <w:p w:rsidR="00000000" w:rsidRDefault="00000000">
      <w:pPr>
        <w:tabs>
          <w:tab w:val="clear" w:pos="1134"/>
        </w:tabs>
      </w:pPr>
    </w:p>
    <w:p w:rsidR="00000000" w:rsidRDefault="00000000">
      <w:pPr>
        <w:numPr>
          <w:ilvl w:val="0"/>
          <w:numId w:val="22"/>
        </w:numPr>
      </w:pPr>
      <w:r>
        <w:t>пропагандировать режим здорового питания и важность здорового образа жизни.</w:t>
      </w:r>
    </w:p>
    <w:p w:rsidR="00000000" w:rsidRDefault="00000000">
      <w:pPr>
        <w:tabs>
          <w:tab w:val="clear" w:pos="1134"/>
        </w:tabs>
      </w:pPr>
    </w:p>
    <w:p w:rsidR="00000000" w:rsidRDefault="00000000">
      <w:pPr>
        <w:rPr>
          <w:b/>
          <w:bCs/>
        </w:rPr>
      </w:pPr>
      <w:r>
        <w:rPr>
          <w:b/>
          <w:bCs/>
        </w:rPr>
        <w:t>Право на достаточное жилище</w:t>
      </w:r>
    </w:p>
    <w:p w:rsidR="00000000" w:rsidRDefault="00000000">
      <w:pPr>
        <w:rPr>
          <w:b/>
          <w:bCs/>
        </w:rPr>
      </w:pPr>
    </w:p>
    <w:p w:rsidR="00000000" w:rsidRDefault="00000000">
      <w:r>
        <w:t>333.</w:t>
      </w:r>
      <w:r>
        <w:tab/>
        <w:t>В 1991 году жилой фонд Боснии и Герцеговины составлял 1 207 693 жилые единицы в 5 825 общинах.  Средняя площадь жилой единицы составляла 60,45 кв. м на семью, т.е. 16,68 кв. м на душу населения.</w:t>
      </w:r>
    </w:p>
    <w:p w:rsidR="00000000" w:rsidRDefault="00000000"/>
    <w:p w:rsidR="00000000" w:rsidRDefault="00000000">
      <w:r>
        <w:t>334.</w:t>
      </w:r>
      <w:r>
        <w:tab/>
        <w:t>Однако, помимо демографического краха, война также радикальным образом изменила положение в жилищном секторе Боснии и Герцеговины, поскольку частично или полностью было разрушено 451 900 жилых единиц, из которых 80% были разрушены или серьезно повреждены.</w:t>
      </w:r>
    </w:p>
    <w:p w:rsidR="00000000" w:rsidRDefault="00000000"/>
    <w:p w:rsidR="00000000" w:rsidRDefault="00000000">
      <w:pPr>
        <w:pStyle w:val="Heading2"/>
        <w:keepNext w:val="0"/>
        <w:jc w:val="center"/>
        <w:rPr>
          <w:b/>
          <w:bCs/>
          <w:u w:val="none"/>
        </w:rPr>
      </w:pPr>
      <w:r>
        <w:rPr>
          <w:b/>
          <w:bCs/>
          <w:u w:val="none"/>
          <w:lang w:val="en-GB"/>
        </w:rPr>
        <w:t>Ta</w:t>
      </w:r>
      <w:r>
        <w:rPr>
          <w:b/>
          <w:bCs/>
          <w:u w:val="none"/>
        </w:rPr>
        <w:t>блица 5</w:t>
      </w:r>
    </w:p>
    <w:p w:rsidR="00000000" w:rsidRDefault="00000000">
      <w:pPr>
        <w:pStyle w:val="Heading2"/>
        <w:keepNext w:val="0"/>
        <w:jc w:val="center"/>
        <w:rPr>
          <w:b/>
          <w:bCs/>
          <w:u w:val="none"/>
        </w:rPr>
      </w:pPr>
    </w:p>
    <w:p w:rsidR="00000000" w:rsidRDefault="00000000">
      <w:pPr>
        <w:pStyle w:val="Heading2"/>
        <w:keepNext w:val="0"/>
        <w:jc w:val="center"/>
        <w:rPr>
          <w:b/>
          <w:bCs/>
          <w:u w:val="none"/>
        </w:rPr>
      </w:pPr>
      <w:r>
        <w:rPr>
          <w:b/>
          <w:bCs/>
          <w:u w:val="none"/>
        </w:rPr>
        <w:t>Число поврежденных или разрушенных жилых единиц</w:t>
      </w:r>
    </w:p>
    <w:p w:rsidR="00000000" w:rsidRDefault="00000000">
      <w:pPr>
        <w:pStyle w:val="Heading2"/>
        <w:keepNext w:val="0"/>
        <w:jc w:val="center"/>
        <w:rPr>
          <w:b/>
          <w:bCs/>
          <w:u w:val="none"/>
        </w:rPr>
      </w:pPr>
      <w:r>
        <w:rPr>
          <w:b/>
          <w:bCs/>
          <w:u w:val="none"/>
        </w:rPr>
        <w:t>в Боснии и Герцеговине, 1992-1995 годы</w:t>
      </w:r>
    </w:p>
    <w:p w:rsidR="00000000" w:rsidRDefault="00000000"/>
    <w:tbl>
      <w:tblPr>
        <w:tblW w:w="9337"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54"/>
        <w:gridCol w:w="1120"/>
        <w:gridCol w:w="1332"/>
        <w:gridCol w:w="1333"/>
        <w:gridCol w:w="1332"/>
        <w:gridCol w:w="1333"/>
        <w:gridCol w:w="1333"/>
      </w:tblGrid>
      <w:tr w:rsidR="00000000">
        <w:tblPrEx>
          <w:tblCellMar>
            <w:top w:w="0" w:type="dxa"/>
            <w:bottom w:w="0" w:type="dxa"/>
          </w:tblCellMar>
        </w:tblPrEx>
        <w:trPr>
          <w:cantSplit/>
        </w:trPr>
        <w:tc>
          <w:tcPr>
            <w:tcW w:w="1554" w:type="dxa"/>
            <w:tcBorders>
              <w:top w:val="single" w:sz="4" w:space="0" w:color="auto"/>
              <w:bottom w:val="single" w:sz="4" w:space="0" w:color="auto"/>
              <w:right w:val="single" w:sz="4" w:space="0" w:color="auto"/>
            </w:tcBorders>
          </w:tcPr>
          <w:p w:rsidR="00000000" w:rsidRDefault="00000000"/>
        </w:tc>
        <w:tc>
          <w:tcPr>
            <w:tcW w:w="7783" w:type="dxa"/>
            <w:gridSpan w:val="6"/>
            <w:tcBorders>
              <w:top w:val="single" w:sz="4" w:space="0" w:color="auto"/>
              <w:left w:val="single" w:sz="4" w:space="0" w:color="auto"/>
              <w:bottom w:val="single" w:sz="4" w:space="0" w:color="auto"/>
            </w:tcBorders>
          </w:tcPr>
          <w:p w:rsidR="00000000" w:rsidRDefault="00000000">
            <w:pPr>
              <w:jc w:val="center"/>
            </w:pPr>
            <w:r>
              <w:t>Число разрушенных или серьезно поврежденных жилых единиц</w:t>
            </w:r>
          </w:p>
          <w:p w:rsidR="00000000" w:rsidRDefault="00000000">
            <w:pPr>
              <w:jc w:val="center"/>
            </w:pPr>
            <w:r>
              <w:t>в 1992-1995 годах</w:t>
            </w:r>
          </w:p>
          <w:p w:rsidR="00000000" w:rsidRDefault="00000000">
            <w:pPr>
              <w:jc w:val="center"/>
            </w:pPr>
            <w:r>
              <w:t>(степень ущерба)</w:t>
            </w:r>
          </w:p>
        </w:tc>
      </w:tr>
      <w:tr w:rsidR="00000000">
        <w:tblPrEx>
          <w:tblCellMar>
            <w:top w:w="0" w:type="dxa"/>
            <w:bottom w:w="0" w:type="dxa"/>
          </w:tblCellMar>
        </w:tblPrEx>
        <w:tc>
          <w:tcPr>
            <w:tcW w:w="1554" w:type="dxa"/>
            <w:tcBorders>
              <w:top w:val="single" w:sz="4" w:space="0" w:color="auto"/>
              <w:bottom w:val="single" w:sz="4" w:space="0" w:color="auto"/>
              <w:right w:val="single" w:sz="4" w:space="0" w:color="auto"/>
            </w:tcBorders>
          </w:tcPr>
          <w:p w:rsidR="00000000" w:rsidRDefault="00000000">
            <w:pPr>
              <w:pStyle w:val="Header"/>
            </w:pPr>
            <w:r>
              <w:t>Образования</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jc w:val="center"/>
            </w:pPr>
            <w:r>
              <w:t>До 20%</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jc w:val="center"/>
            </w:pPr>
            <w:r>
              <w:t>20-70%</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jc w:val="center"/>
            </w:pPr>
            <w:r>
              <w:t>Более 70%</w:t>
            </w:r>
          </w:p>
        </w:tc>
        <w:tc>
          <w:tcPr>
            <w:tcW w:w="1332" w:type="dxa"/>
            <w:tcBorders>
              <w:top w:val="single" w:sz="4" w:space="0" w:color="auto"/>
              <w:left w:val="single" w:sz="4" w:space="0" w:color="auto"/>
              <w:bottom w:val="single" w:sz="4" w:space="0" w:color="auto"/>
              <w:right w:val="single" w:sz="4" w:space="0" w:color="auto"/>
            </w:tcBorders>
          </w:tcPr>
          <w:p w:rsidR="00000000" w:rsidRDefault="00000000">
            <w:pPr>
              <w:jc w:val="center"/>
            </w:pPr>
            <w:r>
              <w:t>Итого 0</w:t>
            </w:r>
            <w:r>
              <w:noBreakHyphen/>
              <w:t>100%</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jc w:val="center"/>
            </w:pPr>
            <w:r>
              <w:t>Итого 20</w:t>
            </w:r>
            <w:r>
              <w:noBreakHyphen/>
              <w:t>100%</w:t>
            </w:r>
          </w:p>
        </w:tc>
        <w:tc>
          <w:tcPr>
            <w:tcW w:w="1333" w:type="dxa"/>
            <w:tcBorders>
              <w:top w:val="single" w:sz="4" w:space="0" w:color="auto"/>
              <w:left w:val="single" w:sz="4" w:space="0" w:color="auto"/>
              <w:bottom w:val="single" w:sz="4" w:space="0" w:color="auto"/>
            </w:tcBorders>
          </w:tcPr>
          <w:p w:rsidR="00000000" w:rsidRDefault="00000000">
            <w:pPr>
              <w:jc w:val="center"/>
            </w:pPr>
            <w:r>
              <w:t>%</w:t>
            </w:r>
          </w:p>
        </w:tc>
      </w:tr>
      <w:tr w:rsidR="00000000">
        <w:tblPrEx>
          <w:tblCellMar>
            <w:top w:w="0" w:type="dxa"/>
            <w:bottom w:w="0" w:type="dxa"/>
          </w:tblCellMar>
        </w:tblPrEx>
        <w:tc>
          <w:tcPr>
            <w:tcW w:w="1554" w:type="dxa"/>
            <w:tcBorders>
              <w:top w:val="single" w:sz="4" w:space="0" w:color="auto"/>
              <w:bottom w:val="nil"/>
              <w:right w:val="single" w:sz="4" w:space="0" w:color="auto"/>
            </w:tcBorders>
          </w:tcPr>
          <w:p w:rsidR="00000000" w:rsidRDefault="00000000">
            <w:r>
              <w:t>ФБГ</w:t>
            </w:r>
          </w:p>
        </w:tc>
        <w:tc>
          <w:tcPr>
            <w:tcW w:w="1120" w:type="dxa"/>
            <w:tcBorders>
              <w:top w:val="single" w:sz="4" w:space="0" w:color="auto"/>
              <w:left w:val="single" w:sz="4" w:space="0" w:color="auto"/>
              <w:bottom w:val="nil"/>
              <w:right w:val="single" w:sz="4" w:space="0" w:color="auto"/>
            </w:tcBorders>
          </w:tcPr>
          <w:p w:rsidR="00000000" w:rsidRDefault="00000000">
            <w:pPr>
              <w:jc w:val="center"/>
            </w:pPr>
            <w:r>
              <w:t>88 901</w:t>
            </w:r>
          </w:p>
        </w:tc>
        <w:tc>
          <w:tcPr>
            <w:tcW w:w="1332" w:type="dxa"/>
            <w:tcBorders>
              <w:top w:val="single" w:sz="4" w:space="0" w:color="auto"/>
              <w:left w:val="single" w:sz="4" w:space="0" w:color="auto"/>
              <w:bottom w:val="nil"/>
              <w:right w:val="single" w:sz="4" w:space="0" w:color="auto"/>
            </w:tcBorders>
          </w:tcPr>
          <w:p w:rsidR="00000000" w:rsidRDefault="00000000">
            <w:pPr>
              <w:jc w:val="center"/>
            </w:pPr>
            <w:r>
              <w:t>161 201</w:t>
            </w:r>
          </w:p>
        </w:tc>
        <w:tc>
          <w:tcPr>
            <w:tcW w:w="1333" w:type="dxa"/>
            <w:tcBorders>
              <w:top w:val="single" w:sz="4" w:space="0" w:color="auto"/>
              <w:left w:val="single" w:sz="4" w:space="0" w:color="auto"/>
              <w:bottom w:val="nil"/>
              <w:right w:val="single" w:sz="4" w:space="0" w:color="auto"/>
            </w:tcBorders>
          </w:tcPr>
          <w:p w:rsidR="00000000" w:rsidRDefault="00000000">
            <w:pPr>
              <w:jc w:val="center"/>
            </w:pPr>
            <w:r>
              <w:t>56 836</w:t>
            </w:r>
          </w:p>
        </w:tc>
        <w:tc>
          <w:tcPr>
            <w:tcW w:w="1332" w:type="dxa"/>
            <w:tcBorders>
              <w:top w:val="single" w:sz="4" w:space="0" w:color="auto"/>
              <w:left w:val="single" w:sz="4" w:space="0" w:color="auto"/>
              <w:bottom w:val="nil"/>
              <w:right w:val="single" w:sz="4" w:space="0" w:color="auto"/>
            </w:tcBorders>
          </w:tcPr>
          <w:p w:rsidR="00000000" w:rsidRDefault="00000000">
            <w:pPr>
              <w:jc w:val="center"/>
            </w:pPr>
            <w:r>
              <w:t>306 938</w:t>
            </w:r>
          </w:p>
        </w:tc>
        <w:tc>
          <w:tcPr>
            <w:tcW w:w="1333" w:type="dxa"/>
            <w:tcBorders>
              <w:top w:val="single" w:sz="4" w:space="0" w:color="auto"/>
              <w:left w:val="single" w:sz="4" w:space="0" w:color="auto"/>
              <w:bottom w:val="nil"/>
              <w:right w:val="single" w:sz="4" w:space="0" w:color="auto"/>
            </w:tcBorders>
          </w:tcPr>
          <w:p w:rsidR="00000000" w:rsidRDefault="00000000">
            <w:pPr>
              <w:jc w:val="center"/>
            </w:pPr>
            <w:r>
              <w:t>218 039</w:t>
            </w:r>
          </w:p>
        </w:tc>
        <w:tc>
          <w:tcPr>
            <w:tcW w:w="1333" w:type="dxa"/>
            <w:tcBorders>
              <w:top w:val="single" w:sz="4" w:space="0" w:color="auto"/>
              <w:left w:val="single" w:sz="4" w:space="0" w:color="auto"/>
            </w:tcBorders>
          </w:tcPr>
          <w:p w:rsidR="00000000" w:rsidRDefault="00000000">
            <w:pPr>
              <w:jc w:val="center"/>
            </w:pPr>
            <w:r>
              <w:t>61,83</w:t>
            </w:r>
          </w:p>
        </w:tc>
      </w:tr>
      <w:tr w:rsidR="00000000">
        <w:tblPrEx>
          <w:tblCellMar>
            <w:top w:w="0" w:type="dxa"/>
            <w:bottom w:w="0" w:type="dxa"/>
          </w:tblCellMar>
        </w:tblPrEx>
        <w:tc>
          <w:tcPr>
            <w:tcW w:w="1554" w:type="dxa"/>
            <w:tcBorders>
              <w:top w:val="nil"/>
              <w:bottom w:val="nil"/>
              <w:right w:val="single" w:sz="4" w:space="0" w:color="auto"/>
            </w:tcBorders>
          </w:tcPr>
          <w:p w:rsidR="00000000" w:rsidRDefault="00000000"/>
        </w:tc>
        <w:tc>
          <w:tcPr>
            <w:tcW w:w="1120" w:type="dxa"/>
            <w:tcBorders>
              <w:top w:val="nil"/>
              <w:left w:val="single" w:sz="4" w:space="0" w:color="auto"/>
              <w:bottom w:val="nil"/>
              <w:right w:val="single" w:sz="4" w:space="0" w:color="auto"/>
            </w:tcBorders>
          </w:tcPr>
          <w:p w:rsidR="00000000" w:rsidRDefault="00000000">
            <w:pPr>
              <w:jc w:val="center"/>
            </w:pPr>
            <w:r>
              <w:t>10 383</w:t>
            </w:r>
          </w:p>
        </w:tc>
        <w:tc>
          <w:tcPr>
            <w:tcW w:w="1332" w:type="dxa"/>
            <w:tcBorders>
              <w:top w:val="nil"/>
              <w:left w:val="single" w:sz="4" w:space="0" w:color="auto"/>
              <w:bottom w:val="nil"/>
              <w:right w:val="single" w:sz="4" w:space="0" w:color="auto"/>
            </w:tcBorders>
          </w:tcPr>
          <w:p w:rsidR="00000000" w:rsidRDefault="00000000">
            <w:pPr>
              <w:jc w:val="center"/>
            </w:pPr>
            <w:r>
              <w:t>109 349</w:t>
            </w:r>
          </w:p>
        </w:tc>
        <w:tc>
          <w:tcPr>
            <w:tcW w:w="1333" w:type="dxa"/>
            <w:tcBorders>
              <w:top w:val="nil"/>
              <w:left w:val="single" w:sz="4" w:space="0" w:color="auto"/>
              <w:bottom w:val="nil"/>
              <w:right w:val="single" w:sz="4" w:space="0" w:color="auto"/>
            </w:tcBorders>
          </w:tcPr>
          <w:p w:rsidR="00000000" w:rsidRDefault="00000000">
            <w:pPr>
              <w:jc w:val="center"/>
            </w:pPr>
            <w:r>
              <w:t>25 230</w:t>
            </w:r>
          </w:p>
        </w:tc>
        <w:tc>
          <w:tcPr>
            <w:tcW w:w="1332" w:type="dxa"/>
            <w:tcBorders>
              <w:top w:val="nil"/>
              <w:left w:val="single" w:sz="4" w:space="0" w:color="auto"/>
              <w:bottom w:val="nil"/>
              <w:right w:val="single" w:sz="4" w:space="0" w:color="auto"/>
            </w:tcBorders>
          </w:tcPr>
          <w:p w:rsidR="00000000" w:rsidRDefault="00000000">
            <w:pPr>
              <w:jc w:val="center"/>
            </w:pPr>
            <w:r>
              <w:t>144 962</w:t>
            </w:r>
          </w:p>
        </w:tc>
        <w:tc>
          <w:tcPr>
            <w:tcW w:w="1333" w:type="dxa"/>
            <w:tcBorders>
              <w:top w:val="nil"/>
              <w:left w:val="single" w:sz="4" w:space="0" w:color="auto"/>
              <w:bottom w:val="nil"/>
              <w:right w:val="single" w:sz="4" w:space="0" w:color="auto"/>
            </w:tcBorders>
          </w:tcPr>
          <w:p w:rsidR="00000000" w:rsidRDefault="00000000">
            <w:pPr>
              <w:jc w:val="center"/>
            </w:pPr>
            <w:r>
              <w:t>134 577</w:t>
            </w:r>
          </w:p>
        </w:tc>
        <w:tc>
          <w:tcPr>
            <w:tcW w:w="1333" w:type="dxa"/>
            <w:tcBorders>
              <w:left w:val="single" w:sz="4" w:space="0" w:color="auto"/>
            </w:tcBorders>
          </w:tcPr>
          <w:p w:rsidR="00000000" w:rsidRDefault="00000000">
            <w:pPr>
              <w:jc w:val="center"/>
            </w:pPr>
            <w:r>
              <w:t>38,16</w:t>
            </w:r>
          </w:p>
        </w:tc>
      </w:tr>
      <w:tr w:rsidR="00000000">
        <w:tblPrEx>
          <w:tblCellMar>
            <w:top w:w="0" w:type="dxa"/>
            <w:bottom w:w="0" w:type="dxa"/>
          </w:tblCellMar>
        </w:tblPrEx>
        <w:tc>
          <w:tcPr>
            <w:tcW w:w="1554" w:type="dxa"/>
            <w:tcBorders>
              <w:top w:val="nil"/>
              <w:bottom w:val="single" w:sz="4" w:space="0" w:color="auto"/>
              <w:right w:val="single" w:sz="4" w:space="0" w:color="auto"/>
            </w:tcBorders>
          </w:tcPr>
          <w:p w:rsidR="00000000" w:rsidRDefault="00000000"/>
        </w:tc>
        <w:tc>
          <w:tcPr>
            <w:tcW w:w="1120" w:type="dxa"/>
            <w:tcBorders>
              <w:top w:val="nil"/>
              <w:left w:val="single" w:sz="4" w:space="0" w:color="auto"/>
              <w:bottom w:val="single" w:sz="4" w:space="0" w:color="auto"/>
              <w:right w:val="single" w:sz="4" w:space="0" w:color="auto"/>
            </w:tcBorders>
          </w:tcPr>
          <w:p w:rsidR="00000000" w:rsidRDefault="00000000">
            <w:pPr>
              <w:jc w:val="center"/>
            </w:pPr>
            <w:r>
              <w:t>99 284</w:t>
            </w:r>
          </w:p>
        </w:tc>
        <w:tc>
          <w:tcPr>
            <w:tcW w:w="1332" w:type="dxa"/>
            <w:tcBorders>
              <w:top w:val="nil"/>
              <w:left w:val="single" w:sz="4" w:space="0" w:color="auto"/>
              <w:bottom w:val="single" w:sz="4" w:space="0" w:color="auto"/>
              <w:right w:val="single" w:sz="4" w:space="0" w:color="auto"/>
            </w:tcBorders>
          </w:tcPr>
          <w:p w:rsidR="00000000" w:rsidRDefault="00000000">
            <w:pPr>
              <w:jc w:val="center"/>
            </w:pPr>
            <w:r>
              <w:t>270 550</w:t>
            </w:r>
          </w:p>
        </w:tc>
        <w:tc>
          <w:tcPr>
            <w:tcW w:w="1333" w:type="dxa"/>
            <w:tcBorders>
              <w:top w:val="nil"/>
              <w:left w:val="single" w:sz="4" w:space="0" w:color="auto"/>
              <w:bottom w:val="single" w:sz="4" w:space="0" w:color="auto"/>
              <w:right w:val="single" w:sz="4" w:space="0" w:color="auto"/>
            </w:tcBorders>
          </w:tcPr>
          <w:p w:rsidR="00000000" w:rsidRDefault="00000000">
            <w:pPr>
              <w:jc w:val="center"/>
            </w:pPr>
            <w:r>
              <w:t>82 066</w:t>
            </w:r>
          </w:p>
        </w:tc>
        <w:tc>
          <w:tcPr>
            <w:tcW w:w="1332" w:type="dxa"/>
            <w:tcBorders>
              <w:top w:val="nil"/>
              <w:left w:val="single" w:sz="4" w:space="0" w:color="auto"/>
              <w:bottom w:val="single" w:sz="4" w:space="0" w:color="auto"/>
              <w:right w:val="single" w:sz="4" w:space="0" w:color="auto"/>
            </w:tcBorders>
          </w:tcPr>
          <w:p w:rsidR="00000000" w:rsidRDefault="00000000">
            <w:pPr>
              <w:jc w:val="center"/>
            </w:pPr>
            <w:r>
              <w:t>451 900</w:t>
            </w:r>
          </w:p>
        </w:tc>
        <w:tc>
          <w:tcPr>
            <w:tcW w:w="1333" w:type="dxa"/>
            <w:tcBorders>
              <w:top w:val="nil"/>
              <w:left w:val="single" w:sz="4" w:space="0" w:color="auto"/>
              <w:bottom w:val="single" w:sz="4" w:space="0" w:color="auto"/>
              <w:right w:val="single" w:sz="4" w:space="0" w:color="auto"/>
            </w:tcBorders>
          </w:tcPr>
          <w:p w:rsidR="00000000" w:rsidRDefault="00000000">
            <w:pPr>
              <w:jc w:val="center"/>
            </w:pPr>
            <w:r>
              <w:t>352 616</w:t>
            </w:r>
          </w:p>
        </w:tc>
        <w:tc>
          <w:tcPr>
            <w:tcW w:w="1333" w:type="dxa"/>
            <w:tcBorders>
              <w:left w:val="single" w:sz="4" w:space="0" w:color="auto"/>
            </w:tcBorders>
          </w:tcPr>
          <w:p w:rsidR="00000000" w:rsidRDefault="00000000">
            <w:pPr>
              <w:jc w:val="center"/>
            </w:pPr>
            <w:r>
              <w:t>100</w:t>
            </w:r>
          </w:p>
        </w:tc>
      </w:tr>
    </w:tbl>
    <w:p w:rsidR="00000000" w:rsidRDefault="00000000"/>
    <w:p w:rsidR="00000000" w:rsidRDefault="00000000">
      <w:r>
        <w:t>335.</w:t>
      </w:r>
      <w:r>
        <w:tab/>
        <w:t>Деятельность по поддержке жилищного сектора после 1995 года была главным образом направлена на обеспечение условий для возвращения беженцев и перемещенных лиц с целью устранения того ущерба, который конфликт нанес демографическому профилю страны, в соответствии с Общим рамочным соглашением о мире в Боснии и Герцеговине.</w:t>
      </w:r>
    </w:p>
    <w:p w:rsidR="00000000" w:rsidRDefault="00000000"/>
    <w:p w:rsidR="00000000" w:rsidRDefault="00000000">
      <w:r>
        <w:t>336.</w:t>
      </w:r>
      <w:r>
        <w:tab/>
        <w:t>В период непосредственно после войны Босния и Герцеговина полностью полагалась на внешнюю помощь, что объясняет то, почему международные усилия после 1996 года были в основном направлены на поощрение и облегчение возвращения людей в Боснию и Герцеговину, в особенности так называемых групп меньшинств.  В жилищном секторе такой подход означал, что внимание уделялось двум сферам деятельности:  восстановление/реконструкция и возвращение прав собственности/владения.</w:t>
      </w:r>
    </w:p>
    <w:p w:rsidR="00000000" w:rsidRDefault="00000000"/>
    <w:p w:rsidR="00000000" w:rsidRDefault="00000000">
      <w:r>
        <w:t>337.</w:t>
      </w:r>
      <w:r>
        <w:tab/>
        <w:t>Согласно расчетам, вся собственность, разрушенная на 20%, была восстановлена, а также в период 1992-2002 годов для удовлетворения нужд возвращенцев в Боснии и Герцеговине было восстановлено около 125 000 жилых единиц.</w:t>
      </w:r>
    </w:p>
    <w:p w:rsidR="00000000" w:rsidRDefault="00000000"/>
    <w:p w:rsidR="00000000" w:rsidRDefault="00000000">
      <w:r>
        <w:t>338.</w:t>
      </w:r>
      <w:r>
        <w:tab/>
        <w:t>Первоначальный период реконструкции был отмечен наличием значительных средств, предоставленных на цели реконструкции.  Хотя они использовались эффективно, средства направлялись таким образом, который не соответствовал подлинной заинтересованности людей в возвращении;  коэффициент возвращения был низким (число жителей по отношению к числу восстановленных жилых единиц), и это привело к тому, что ряд восстановленных жилых единиц оставались незанятыми, поскольку при восстановлении не учитывались намерения целевых групп беженцев и перемещенных лиц.</w:t>
      </w:r>
    </w:p>
    <w:p w:rsidR="00000000" w:rsidRDefault="00000000"/>
    <w:p w:rsidR="00000000" w:rsidRDefault="00000000">
      <w:r>
        <w:t>339.</w:t>
      </w:r>
      <w:r>
        <w:tab/>
        <w:t>Принятая в Федерации правовая основа, обеспечивающая защиту беженцев и перемещенных лиц, состоит из следующих элементов:</w:t>
      </w:r>
    </w:p>
    <w:p w:rsidR="00000000" w:rsidRDefault="00000000"/>
    <w:p w:rsidR="00000000" w:rsidRDefault="00000000">
      <w:pPr>
        <w:numPr>
          <w:ilvl w:val="0"/>
          <w:numId w:val="23"/>
        </w:numPr>
        <w:tabs>
          <w:tab w:val="clear" w:pos="1701"/>
        </w:tabs>
      </w:pPr>
      <w:r>
        <w:t>Закон о перемещенных лицах и беженцах-возвращенцах в Федерации Боснии и Герцеговины и соответствующие подзаконные акты;</w:t>
      </w:r>
    </w:p>
    <w:p w:rsidR="00000000" w:rsidRDefault="00000000">
      <w:pPr>
        <w:tabs>
          <w:tab w:val="clear" w:pos="1134"/>
        </w:tabs>
      </w:pPr>
    </w:p>
    <w:p w:rsidR="00000000" w:rsidRDefault="00000000">
      <w:pPr>
        <w:numPr>
          <w:ilvl w:val="0"/>
          <w:numId w:val="23"/>
        </w:numPr>
        <w:tabs>
          <w:tab w:val="clear" w:pos="1701"/>
        </w:tabs>
      </w:pPr>
      <w:r>
        <w:t>продолжается принятие кантональных законов по делам перемещенных лиц и беженцев;</w:t>
      </w:r>
    </w:p>
    <w:p w:rsidR="00000000" w:rsidRDefault="00000000">
      <w:pPr>
        <w:tabs>
          <w:tab w:val="clear" w:pos="1134"/>
        </w:tabs>
      </w:pPr>
    </w:p>
    <w:p w:rsidR="00000000" w:rsidRDefault="00000000">
      <w:pPr>
        <w:numPr>
          <w:ilvl w:val="0"/>
          <w:numId w:val="23"/>
        </w:numPr>
        <w:tabs>
          <w:tab w:val="clear" w:pos="1701"/>
        </w:tabs>
      </w:pPr>
      <w:r>
        <w:t>законы о собственности и подзаконные акты (Закон о прекращении применения Закона о брошенных квартирах, Закон о прекращении применения Закона о временно оставленной недвижимости, находящейся в собственности граждан);</w:t>
      </w:r>
    </w:p>
    <w:p w:rsidR="00000000" w:rsidRDefault="00000000">
      <w:pPr>
        <w:tabs>
          <w:tab w:val="clear" w:pos="1134"/>
        </w:tabs>
      </w:pPr>
    </w:p>
    <w:p w:rsidR="00000000" w:rsidRDefault="00000000">
      <w:pPr>
        <w:numPr>
          <w:ilvl w:val="0"/>
          <w:numId w:val="23"/>
        </w:numPr>
        <w:tabs>
          <w:tab w:val="clear" w:pos="1701"/>
        </w:tabs>
      </w:pPr>
      <w:r>
        <w:t>Дэйтонское соглашение, приложение 7.</w:t>
      </w:r>
    </w:p>
    <w:p w:rsidR="00000000" w:rsidRDefault="00000000"/>
    <w:p w:rsidR="00000000" w:rsidRDefault="00000000">
      <w:r>
        <w:t>340.</w:t>
      </w:r>
      <w:r>
        <w:tab/>
        <w:t>Проблемой беженцев и перемещенных лиц занимаются органы на всех уровнях:</w:t>
      </w:r>
    </w:p>
    <w:p w:rsidR="00000000" w:rsidRDefault="00000000"/>
    <w:p w:rsidR="00000000" w:rsidRDefault="00000000">
      <w:pPr>
        <w:numPr>
          <w:ilvl w:val="0"/>
          <w:numId w:val="23"/>
        </w:numPr>
        <w:tabs>
          <w:tab w:val="clear" w:pos="1701"/>
        </w:tabs>
      </w:pPr>
      <w:r>
        <w:t>министерство по правам человека и делам беженцев Боснии и Герцеговины;</w:t>
      </w:r>
    </w:p>
    <w:p w:rsidR="00000000" w:rsidRDefault="00000000">
      <w:pPr>
        <w:tabs>
          <w:tab w:val="clear" w:pos="1134"/>
          <w:tab w:val="num" w:pos="1122"/>
        </w:tabs>
        <w:ind w:left="1122" w:hanging="555"/>
      </w:pPr>
    </w:p>
    <w:p w:rsidR="00000000" w:rsidRDefault="00000000">
      <w:pPr>
        <w:numPr>
          <w:ilvl w:val="0"/>
          <w:numId w:val="23"/>
        </w:numPr>
        <w:tabs>
          <w:tab w:val="clear" w:pos="1701"/>
        </w:tabs>
      </w:pPr>
      <w:r>
        <w:t>министерство по делам перемещенных лиц и беженцев Федерации и его Управление по делам беженцев и перемещенных лиц;</w:t>
      </w:r>
    </w:p>
    <w:p w:rsidR="00000000" w:rsidRDefault="00000000">
      <w:pPr>
        <w:tabs>
          <w:tab w:val="clear" w:pos="1134"/>
          <w:tab w:val="num" w:pos="1122"/>
        </w:tabs>
        <w:ind w:left="1122" w:hanging="555"/>
      </w:pPr>
      <w:r>
        <w:br w:type="page"/>
      </w:r>
    </w:p>
    <w:p w:rsidR="00000000" w:rsidRDefault="00000000">
      <w:pPr>
        <w:keepNext/>
        <w:numPr>
          <w:ilvl w:val="0"/>
          <w:numId w:val="23"/>
        </w:numPr>
        <w:tabs>
          <w:tab w:val="clear" w:pos="1701"/>
        </w:tabs>
      </w:pPr>
      <w:r>
        <w:t>министерство по делам беженцев и перемещенных лиц Республики Сербской, имеющее 52 муниципальных отдела и четыре региональных офиса в Федерации Боснии и Герцеговины, причем общее число занятых составляет 520 человек;</w:t>
      </w:r>
    </w:p>
    <w:p w:rsidR="00000000" w:rsidRDefault="00000000">
      <w:pPr>
        <w:keepNext/>
        <w:tabs>
          <w:tab w:val="clear" w:pos="1134"/>
          <w:tab w:val="num" w:pos="1122"/>
        </w:tabs>
        <w:ind w:left="1122" w:hanging="555"/>
      </w:pPr>
    </w:p>
    <w:p w:rsidR="00000000" w:rsidRDefault="00000000">
      <w:pPr>
        <w:numPr>
          <w:ilvl w:val="0"/>
          <w:numId w:val="23"/>
        </w:numPr>
        <w:tabs>
          <w:tab w:val="clear" w:pos="1701"/>
        </w:tabs>
      </w:pPr>
      <w:r>
        <w:t>сектор по делам беженцев Района Брчко;</w:t>
      </w:r>
    </w:p>
    <w:p w:rsidR="00000000" w:rsidRDefault="00000000">
      <w:pPr>
        <w:tabs>
          <w:tab w:val="clear" w:pos="1134"/>
          <w:tab w:val="num" w:pos="1122"/>
        </w:tabs>
        <w:ind w:left="1122" w:hanging="555"/>
      </w:pPr>
    </w:p>
    <w:p w:rsidR="00000000" w:rsidRDefault="00000000">
      <w:pPr>
        <w:numPr>
          <w:ilvl w:val="0"/>
          <w:numId w:val="23"/>
        </w:numPr>
        <w:tabs>
          <w:tab w:val="clear" w:pos="1701"/>
        </w:tabs>
      </w:pPr>
      <w:r>
        <w:t>сектор планирования и экономического развития Района Брчко;</w:t>
      </w:r>
    </w:p>
    <w:p w:rsidR="00000000" w:rsidRDefault="00000000">
      <w:pPr>
        <w:tabs>
          <w:tab w:val="clear" w:pos="1134"/>
          <w:tab w:val="num" w:pos="1122"/>
        </w:tabs>
        <w:ind w:left="1122" w:hanging="555"/>
      </w:pPr>
    </w:p>
    <w:p w:rsidR="00000000" w:rsidRDefault="00000000">
      <w:pPr>
        <w:numPr>
          <w:ilvl w:val="0"/>
          <w:numId w:val="23"/>
        </w:numPr>
        <w:tabs>
          <w:tab w:val="clear" w:pos="1701"/>
        </w:tabs>
      </w:pPr>
      <w:r>
        <w:t>кантональные министерства во всех девяти кантонах;</w:t>
      </w:r>
    </w:p>
    <w:p w:rsidR="00000000" w:rsidRDefault="00000000">
      <w:pPr>
        <w:tabs>
          <w:tab w:val="clear" w:pos="1134"/>
          <w:tab w:val="num" w:pos="1122"/>
        </w:tabs>
        <w:ind w:left="1122" w:hanging="555"/>
      </w:pPr>
    </w:p>
    <w:p w:rsidR="00000000" w:rsidRDefault="00000000">
      <w:pPr>
        <w:numPr>
          <w:ilvl w:val="0"/>
          <w:numId w:val="23"/>
        </w:numPr>
        <w:tabs>
          <w:tab w:val="clear" w:pos="1701"/>
        </w:tabs>
      </w:pPr>
      <w:r>
        <w:t>муниципальные службы в 84 муниципалитетах Федерации, занимающиеся этими вопросами.</w:t>
      </w:r>
    </w:p>
    <w:p w:rsidR="00000000" w:rsidRDefault="00000000">
      <w:pPr>
        <w:tabs>
          <w:tab w:val="clear" w:pos="1134"/>
          <w:tab w:val="num" w:pos="1122"/>
        </w:tabs>
        <w:ind w:left="1122" w:hanging="555"/>
      </w:pPr>
    </w:p>
    <w:p w:rsidR="00000000" w:rsidRDefault="00000000">
      <w:r>
        <w:t>341.</w:t>
      </w:r>
      <w:r>
        <w:tab/>
        <w:t>Для поддержки процесса возвращения беженцев и перемещенных лиц на всех уровнях органов власти резервируются средства, но их объем сокращается.  Тем не менее на эти цели продолжает предоставляться значительная международная помощь:</w:t>
      </w:r>
    </w:p>
    <w:p w:rsidR="00000000" w:rsidRDefault="00000000"/>
    <w:p w:rsidR="00000000" w:rsidRDefault="00000000">
      <w:pPr>
        <w:numPr>
          <w:ilvl w:val="0"/>
          <w:numId w:val="23"/>
        </w:numPr>
      </w:pPr>
      <w:r>
        <w:t>бюджетные средства Федерации Боснии и Герцеговины (3% потребностей);</w:t>
      </w:r>
    </w:p>
    <w:p w:rsidR="00000000" w:rsidRDefault="00000000">
      <w:pPr>
        <w:ind w:left="567"/>
      </w:pPr>
    </w:p>
    <w:p w:rsidR="00000000" w:rsidRDefault="00000000">
      <w:pPr>
        <w:numPr>
          <w:ilvl w:val="0"/>
          <w:numId w:val="23"/>
        </w:numPr>
      </w:pPr>
      <w:r>
        <w:t>кантональные бюджетные средства;</w:t>
      </w:r>
    </w:p>
    <w:p w:rsidR="00000000" w:rsidRDefault="00000000">
      <w:pPr>
        <w:ind w:left="567"/>
      </w:pPr>
    </w:p>
    <w:p w:rsidR="00000000" w:rsidRDefault="00000000">
      <w:pPr>
        <w:numPr>
          <w:ilvl w:val="0"/>
          <w:numId w:val="23"/>
        </w:numPr>
      </w:pPr>
      <w:r>
        <w:t>муниципальные бюджетные средства;</w:t>
      </w:r>
    </w:p>
    <w:p w:rsidR="00000000" w:rsidRDefault="00000000">
      <w:pPr>
        <w:ind w:left="567"/>
      </w:pPr>
    </w:p>
    <w:p w:rsidR="00000000" w:rsidRDefault="00000000">
      <w:pPr>
        <w:numPr>
          <w:ilvl w:val="0"/>
          <w:numId w:val="23"/>
        </w:numPr>
      </w:pPr>
      <w:r>
        <w:t>прочие средства, предоставляемые по решению правительства Федерации или кантональных правительств или выделяемые по решению муниципальных или административных органов.</w:t>
      </w:r>
    </w:p>
    <w:p w:rsidR="00000000" w:rsidRDefault="00000000">
      <w:pPr>
        <w:ind w:left="1134" w:hanging="567"/>
      </w:pPr>
    </w:p>
    <w:p w:rsidR="00000000" w:rsidRDefault="00000000">
      <w:r>
        <w:t>342.</w:t>
      </w:r>
      <w:r>
        <w:tab/>
        <w:t>Несомненно, самым важным органом среди международных организаций, проводящих активную деятельность по поддержке процесса возвращения беженцев, является Целевая группа по вопросам возвращения и реконструкции (ЦГВР) Управления Высокого представителя (УВП).  Она действует через семь специальных посланников, шесть региональных офисов и семь отделений на местах.  УВКБ координирует деятельность по возвращению и регистрации беженцев, а ОБСЕ и Комиссия по притязаниям на недвижимое имущество (КПНИ) играют важную роль в обеспечении имущественных прав и прав перемещенных лиц и беженцев, действуя в сотрудничестве с такими другими организациями, способствующими созданию условий для успешного возвращения, как ЕС, ЮСАИД, ПРООН, МОМ, и многими другими правительственными и неправительственными организациями, оказывающими поддержку процессу реконструкции и возвращения.</w:t>
      </w:r>
    </w:p>
    <w:p w:rsidR="00000000" w:rsidRDefault="00000000"/>
    <w:p w:rsidR="00000000" w:rsidRDefault="00000000">
      <w:r>
        <w:t>343.</w:t>
      </w:r>
      <w:r>
        <w:tab/>
        <w:t>Босния и Герцеговина не в состоянии поддерживать реконструкцию всего жилья и всех инфраструктур, разрушенных войной, поэтому компетентные органы, проводя плановые и стратегические мероприятия, принимают решения о восстановлении разрушенных жилых единиц, имеющих значение для успеха процесса возвращения.</w:t>
      </w:r>
    </w:p>
    <w:p w:rsidR="00000000" w:rsidRDefault="00000000"/>
    <w:p w:rsidR="00000000" w:rsidRDefault="00000000">
      <w:r>
        <w:t>344.</w:t>
      </w:r>
      <w:r>
        <w:tab/>
        <w:t xml:space="preserve">По нашему мнению, для приведения заинтересованности в возвращении беженцев в соответствие с созданием условий для его реализации первоочередная задача заключается в восстановлении около 500 тыс. жилых единиц, что позволит обеспечить возвращение около 200 тыс. перемещенных лиц и беженцев в следующие четыре года.  Это, в сочетании с планом исполнения закона о собственности (ПИЗС), позволит в полном объеме претворить в жизнь положения приложения </w:t>
      </w:r>
      <w:r>
        <w:rPr>
          <w:lang w:val="en-US"/>
        </w:rPr>
        <w:t>VII</w:t>
      </w:r>
      <w:r>
        <w:t xml:space="preserve"> Дейтонского соглашения и успешно завершить процесс возвращения в Боснию и Герцеговину.</w:t>
      </w:r>
    </w:p>
    <w:p w:rsidR="00000000" w:rsidRDefault="00000000"/>
    <w:p w:rsidR="00000000" w:rsidRDefault="00000000">
      <w:r>
        <w:t>345.</w:t>
      </w:r>
      <w:r>
        <w:tab/>
        <w:t>Для достижения этой амбициозной стратегической цели необходимо согласовать стратегию и существующие в данной области положения, восстановить Фонд возвращения и на этой основе определить приоритеты и критерии отбора пользователей для осуществления проекта.  Действуя таким образом, можно обращаться с призывами к международному сообществу с целью выделения средств и участия в совместных мероприятиях.</w:t>
      </w:r>
    </w:p>
    <w:p w:rsidR="00000000" w:rsidRDefault="00000000"/>
    <w:p w:rsidR="00000000" w:rsidRDefault="00000000">
      <w:r>
        <w:t>346.</w:t>
      </w:r>
      <w:r>
        <w:tab/>
        <w:t>С учетом того, что степень разрушения остальных невосстановленных жилых единиц составляет около 80-100%, накопленный опыт показывает, что для финансирования реконструкции 50 тыс. жилых единиц потребуется около 900 млн. КМ.</w:t>
      </w:r>
    </w:p>
    <w:p w:rsidR="00000000" w:rsidRDefault="00000000"/>
    <w:p w:rsidR="00000000" w:rsidRDefault="00000000">
      <w:r>
        <w:t>347.</w:t>
      </w:r>
      <w:r>
        <w:tab/>
        <w:t xml:space="preserve">Возвращение собственности как одно из основных прав беженцев и перемещенных лиц является одним из ключевых условий обеспечения возвращения.  Около двух лет назад ведущие организации, занимающиеся вопросами возвращения беженцев и собственности в Боснии и Герцеговине (УВКБ, УВП, ОБСЕ, КПНИ), приняли План исполнения закона о собственности (ПИЗС) и сделали существенный шаг вперед в деле ликвидации политических препятствий и осуществления права на возвращение собственности и прав владения в порядке чисто административных вопросов.  Учреждения, занимающиеся осуществлением Плана исполнения закона о собственности (ПИЗС), публикуют совместные ежемесячные статистические отчеты о выполнении законов о собственности в Боснии и Герцеговине.  </w:t>
      </w:r>
    </w:p>
    <w:p w:rsidR="00000000" w:rsidRDefault="00000000"/>
    <w:p w:rsidR="00000000" w:rsidRDefault="00000000">
      <w:r>
        <w:t>348.</w:t>
      </w:r>
      <w:r>
        <w:tab/>
        <w:t>Эти статистические данные отражают порядок исполнения законов о собственности в Боснии и Герцеговине со времени их принятия, включая поправки к ним, принятые в октябре 1999</w:t>
      </w:r>
      <w:r>
        <w:rPr>
          <w:lang w:val="en-US"/>
        </w:rPr>
        <w:t> </w:t>
      </w:r>
      <w:r>
        <w:t>года.  Статистические данные каждый месяц компилируются сотрудниками полевой службы ОБСЕ, УВКБ и УВП на основе информации, предоставляемой им местными органами.  Число заявлений соответствует количеству единиц недвижимости, в отношении которых муниципальные органы получили требования о возвращении.</w:t>
      </w:r>
    </w:p>
    <w:p w:rsidR="00000000" w:rsidRDefault="00000000"/>
    <w:p w:rsidR="00000000" w:rsidRDefault="00000000">
      <w:r>
        <w:t>349.</w:t>
      </w:r>
      <w:r>
        <w:tab/>
        <w:t>"Количество решений" - это общее число решений, принятых муниципальными органами, а число "возвращенных жилых единиц" - это общее число собственников или обладателей правами владения, которые вернули себе свою собственность, получив ключи от муниципальных органов.</w:t>
      </w:r>
    </w:p>
    <w:p w:rsidR="00000000" w:rsidRDefault="00000000"/>
    <w:p w:rsidR="00000000" w:rsidRDefault="00000000">
      <w:r>
        <w:t>350.</w:t>
      </w:r>
      <w:r>
        <w:tab/>
        <w:t>Процент реализации определяется общим числом возвращенных жилых единиц, поделенным на количество заявлений, выраженное в процентах.  Эти статистические данные не содержат информации о принятых решениях и возвращении брошенной собственности, помещений предприятий и землях.</w:t>
      </w:r>
    </w:p>
    <w:p w:rsidR="00000000" w:rsidRDefault="00000000"/>
    <w:p w:rsidR="00000000" w:rsidRDefault="00000000">
      <w:pPr>
        <w:rPr>
          <w:b/>
          <w:bCs/>
        </w:rPr>
      </w:pPr>
      <w:r>
        <w:rPr>
          <w:b/>
          <w:bCs/>
        </w:rPr>
        <w:t>Отсутствие надлежащего жилья в Боснии и Герцеговине</w:t>
      </w:r>
    </w:p>
    <w:p w:rsidR="00000000" w:rsidRDefault="00000000">
      <w:pPr>
        <w:rPr>
          <w:b/>
          <w:bCs/>
        </w:rPr>
      </w:pPr>
    </w:p>
    <w:p w:rsidR="00000000" w:rsidRDefault="00000000">
      <w:r>
        <w:t>351.</w:t>
      </w:r>
      <w:r>
        <w:tab/>
        <w:t>Что касается жилья, то в наиболее неблагоприятном положении находятся семьи и отдельные лица, которые до войны снимали жилье у других лиц, являвшихся его собственниками, и которые впоследствии были вынуждены оставить его, не имея каких</w:t>
      </w:r>
      <w:r>
        <w:noBreakHyphen/>
        <w:t>либо прав на альтернативное жилье, независимо от того, являются ли они перемещенными лицами или проживающими на этой площади семьями.</w:t>
      </w:r>
    </w:p>
    <w:p w:rsidR="00000000" w:rsidRDefault="00000000"/>
    <w:p w:rsidR="00000000" w:rsidRDefault="00000000">
      <w:r>
        <w:t>352.</w:t>
      </w:r>
      <w:r>
        <w:tab/>
        <w:t xml:space="preserve">На данный момент какие-либо данные о количестве бездомных лиц или семей на уровне Боснии и Герцеговины отсутствуют, а данные, частично полученные из кантонов и муниципалитетов Федерации, указывают на наличие 800 бездомных.  Эти же источники свидетельствуют о том, что примерно 400 семей не имеют надлежащего жилья, а на 550 человек не распространяется базовая защита.  Около 800 тыс. семей стоят в очереди на жилье.  Остальные данные, такие, как число лиц, не пользующихся базовой защитой, и лиц, расходы которых превышают приемлемые нормы, сгруппированы по нескольким годам, и их нельзя рассматривать как указывающие на количество таких лиц на всей территории Федерации Боснии и Герцеговины.  </w:t>
      </w:r>
    </w:p>
    <w:p w:rsidR="00000000" w:rsidRDefault="00000000"/>
    <w:p w:rsidR="00000000" w:rsidRDefault="00000000">
      <w:r>
        <w:t>353.</w:t>
      </w:r>
      <w:r>
        <w:tab/>
        <w:t xml:space="preserve">В Республике Сербской насчитывается 94 570 семей, не имеющих надлежащего жилья (без воды, отопления, электричества), а также живущих в перенаселенных, влажных/сырых, небезопасных и прочих неприемлемых условиях, и эта информация вызывает обеспокоенность.  </w:t>
      </w:r>
    </w:p>
    <w:p w:rsidR="00000000" w:rsidRDefault="00000000"/>
    <w:p w:rsidR="00000000" w:rsidRDefault="00000000">
      <w:r>
        <w:t>354.</w:t>
      </w:r>
      <w:r>
        <w:tab/>
        <w:t>За последние пять лет было выселено 44 350 семей, и все семьи, имеющие право на альтернативное жилье, не подлежат насильственному выселению, а в основном обеспечиваются альтернативным жильем, в соответствии с законом.  Тем не менее, 5 500 семей, большая часть из которых арендовала жилье до войны, были выселены и, в соответствии с законом, имеют право на альтернативное жилье.</w:t>
      </w:r>
    </w:p>
    <w:p w:rsidR="00000000" w:rsidRDefault="00000000"/>
    <w:p w:rsidR="00000000" w:rsidRDefault="00000000">
      <w:r>
        <w:t>355.</w:t>
      </w:r>
      <w:r>
        <w:tab/>
        <w:t>В данный момент в Республике Сербской в очереди на альтернативное жилье или на получение субсидий с целью аренды альтернативного жилья стоит около 1 000 семей.  Средний срок ожидания такой помощи составляет три месяца.</w:t>
      </w:r>
    </w:p>
    <w:p w:rsidR="00000000" w:rsidRDefault="00000000"/>
    <w:p w:rsidR="00000000" w:rsidRDefault="00000000">
      <w:r>
        <w:t>356.</w:t>
      </w:r>
      <w:r>
        <w:tab/>
        <w:t>Количество семей, использующих жилье альтернативного типа, представляет собой следующее:</w:t>
      </w:r>
    </w:p>
    <w:p w:rsidR="00000000" w:rsidRDefault="00000000"/>
    <w:p w:rsidR="00000000" w:rsidRDefault="00000000">
      <w:pPr>
        <w:numPr>
          <w:ilvl w:val="0"/>
          <w:numId w:val="44"/>
        </w:numPr>
      </w:pPr>
      <w:r>
        <w:t>жилье, за которое платится аренда, - 5 374 семьи;</w:t>
      </w:r>
    </w:p>
    <w:p w:rsidR="00000000" w:rsidRDefault="00000000">
      <w:pPr>
        <w:ind w:left="1134" w:hanging="1134"/>
      </w:pPr>
    </w:p>
    <w:p w:rsidR="00000000" w:rsidRDefault="00000000">
      <w:pPr>
        <w:numPr>
          <w:ilvl w:val="0"/>
          <w:numId w:val="44"/>
        </w:numPr>
      </w:pPr>
      <w:r>
        <w:t>в квартирах, используемых в качестве альтернативного жилья (построенных, приспособленных, отремонтированных для таких целей, а также квартирах, в отношении которых поданы просьбы о возвращении), проживает 1 726 семей;</w:t>
      </w:r>
    </w:p>
    <w:p w:rsidR="00000000" w:rsidRDefault="00000000">
      <w:pPr>
        <w:ind w:left="1134" w:hanging="1134"/>
      </w:pPr>
    </w:p>
    <w:p w:rsidR="00000000" w:rsidRDefault="00000000">
      <w:pPr>
        <w:numPr>
          <w:ilvl w:val="0"/>
          <w:numId w:val="44"/>
        </w:numPr>
      </w:pPr>
      <w:r>
        <w:t>в общественных жилых единицах (таких, как отели, мотели, отремонтированные школы и другие места с общими санитарно-коммунальными удобствами) проживает 680 семей.</w:t>
      </w:r>
    </w:p>
    <w:p w:rsidR="00000000" w:rsidRDefault="00000000"/>
    <w:p w:rsidR="00000000" w:rsidRDefault="00000000">
      <w:r>
        <w:t>357.</w:t>
      </w:r>
      <w:r>
        <w:tab/>
        <w:t>Что касается положения с жильем в Республике Сербской, то каких-либо достоверных статистических данных или точной информации не существует.  Согласно расчетам, произведенным министерством, общее население Республики Сербской составляет  1 513 127 человек, средняя семья состоит из четырех членов, что указывает на наличие около 378 281 семьи.  Кроме того, расчеты указывают на следующее:</w:t>
      </w:r>
    </w:p>
    <w:p w:rsidR="00000000" w:rsidRDefault="00000000"/>
    <w:p w:rsidR="00000000" w:rsidRDefault="00000000">
      <w:pPr>
        <w:numPr>
          <w:ilvl w:val="0"/>
          <w:numId w:val="44"/>
        </w:numPr>
      </w:pPr>
      <w:r>
        <w:t>189 140 семей, или 50%, обеспечено нормальными жилищными условиями;</w:t>
      </w:r>
    </w:p>
    <w:p w:rsidR="00000000" w:rsidRDefault="00000000">
      <w:pPr>
        <w:rPr>
          <w:sz w:val="20"/>
        </w:rPr>
      </w:pPr>
    </w:p>
    <w:p w:rsidR="00000000" w:rsidRDefault="00000000">
      <w:pPr>
        <w:numPr>
          <w:ilvl w:val="0"/>
          <w:numId w:val="44"/>
        </w:numPr>
      </w:pPr>
      <w:r>
        <w:t>94 570 семей, или 25%, не обеспечены нормальными жилищными условиями;</w:t>
      </w:r>
    </w:p>
    <w:p w:rsidR="00000000" w:rsidRDefault="00000000">
      <w:pPr>
        <w:ind w:left="1134" w:hanging="1134"/>
        <w:rPr>
          <w:sz w:val="20"/>
        </w:rPr>
      </w:pPr>
    </w:p>
    <w:p w:rsidR="00000000" w:rsidRDefault="00000000">
      <w:pPr>
        <w:numPr>
          <w:ilvl w:val="0"/>
          <w:numId w:val="44"/>
        </w:numPr>
      </w:pPr>
      <w:r>
        <w:t>10 000 семей, или 3%, продолжают жить в домах и квартирах, которые принадлежат другим лицам;</w:t>
      </w:r>
    </w:p>
    <w:p w:rsidR="00000000" w:rsidRDefault="00000000">
      <w:pPr>
        <w:ind w:left="1134" w:hanging="1134"/>
        <w:rPr>
          <w:sz w:val="20"/>
        </w:rPr>
      </w:pPr>
    </w:p>
    <w:p w:rsidR="00000000" w:rsidRDefault="00000000">
      <w:pPr>
        <w:numPr>
          <w:ilvl w:val="0"/>
          <w:numId w:val="44"/>
        </w:numPr>
      </w:pPr>
      <w:r>
        <w:t>7 565 семей, или 2%, используют альтернативное жилье;</w:t>
      </w:r>
    </w:p>
    <w:p w:rsidR="00000000" w:rsidRDefault="00000000">
      <w:pPr>
        <w:ind w:left="1134" w:hanging="1134"/>
        <w:rPr>
          <w:sz w:val="20"/>
        </w:rPr>
      </w:pPr>
    </w:p>
    <w:p w:rsidR="00000000" w:rsidRDefault="00000000">
      <w:pPr>
        <w:numPr>
          <w:ilvl w:val="0"/>
          <w:numId w:val="44"/>
        </w:numPr>
      </w:pPr>
      <w:r>
        <w:t>75 656 семей, или 20%, жилье арендуют.</w:t>
      </w:r>
    </w:p>
    <w:p w:rsidR="00000000" w:rsidRDefault="00000000"/>
    <w:p w:rsidR="00000000" w:rsidRDefault="00000000">
      <w:r>
        <w:t>358.</w:t>
      </w:r>
      <w:r>
        <w:tab/>
        <w:t>После претворения в жизнь законов о собственности в Республике Сербской и Федерации жилищная сфера, представляющая собой неотложную проблему для всей страны, должна определяться и регулироваться законом на общегосударственном уровне.  Мы считаем, что существующих законов о приватизации государственных квартир и законов о брошенных землях, которые останутся в силе после завершения исполнения законов о собственности, недостаточно для того, чтобы в полной мере регулировать жилищную сферу на общегосударственном уровне.</w:t>
      </w:r>
    </w:p>
    <w:p w:rsidR="00000000" w:rsidRDefault="00000000"/>
    <w:p w:rsidR="00000000" w:rsidRDefault="00000000">
      <w:r>
        <w:t>359.</w:t>
      </w:r>
      <w:r>
        <w:tab/>
        <w:t xml:space="preserve">Республика Сербская, используя Жилищный фонд Республики Сербской, созданный на основе закона о приватизации государственных квартир, собирает средства у владельцев квартир и использует эти средства в качестве льготных займов для жилищных проектов.  Этот процесс начался в сентябре 2000 года.  </w:t>
      </w:r>
    </w:p>
    <w:p w:rsidR="00000000" w:rsidRDefault="00000000"/>
    <w:p w:rsidR="00000000" w:rsidRDefault="00000000">
      <w:r>
        <w:t>360.</w:t>
      </w:r>
      <w:r>
        <w:tab/>
        <w:t>С начала реализации законов о собственности в Районе Брчко было вселено около 1 000 семей, у которых на основе законов о собственности прекращается действие права на альтернативное жилье.  Департаментом по делам беженцев и перемещенных лиц не было произведено ни одного произвольного выселения в процессе претворения в жизнь законов о собственности.  С целью защиты семей, имеющих самые низкие доходы, правительство Района Брчко определило и провело оценку индекса потребительских цен.  Согласно его расчетам, стоимость жилья для семьи из четырех человек составляет 450 КМ (средняя зарплата в Районе Брчко составляет 690 КМ).  Для этих категорий/групп или пенсионеров не осуществляется каких-либо программ помощи, но в рамках бюджета на 2003 год были выделены значительные средства для социального сектора и этих категорий.</w:t>
      </w:r>
    </w:p>
    <w:p w:rsidR="00000000" w:rsidRDefault="00000000"/>
    <w:p w:rsidR="00000000" w:rsidRDefault="00000000">
      <w:r>
        <w:t>361.</w:t>
      </w:r>
      <w:r>
        <w:tab/>
        <w:t>В социальном обеспечении нуждаются 22 семьи, которые стоят в очереди на получение жилья.  Средний срок ожидания составляет более шести месяцев.  Уже приняты меры для сокращения этого срока.  В этом отношении и с целью сокращения числа нуждающихся в альтернативном жилье правительство Района Брчко начало мероприятия, с помощью которых средства, выделяемые на альтернативное жилье, будут перенаправляться в Фонд социальной работы.  Это позволит более эффективно рассматривать дела, связанные с проблемами обеспечения жильем семей, нуждающихся в социальном обеспечении.  Кроме того, в рамках бюджета на 2003 год ассигновано 500 000 КМ на строительство домов для различных социальных категорий.  Были отобраны бенефициары этой программы, и предполагается, что будет построено 17 домов.</w:t>
      </w:r>
    </w:p>
    <w:p w:rsidR="00000000" w:rsidRDefault="00000000"/>
    <w:p w:rsidR="00000000" w:rsidRDefault="00000000">
      <w:r>
        <w:t>362.</w:t>
      </w:r>
      <w:r>
        <w:tab/>
        <w:t>Имеется 640 жилищных единиц различных типов, используемых для обеспечения жильем перемещенных лиц и небольшой части населения, находящегося в неблагоприятном с социальной точки зрения положении.  Из них 320 следующих жилых единиц были построены для этих целей:  Прутаце - 182 квартиры;  Грбавица - 60 квартир;  Церик - 32 квартиры;  Буквик - 28 квартир;  Брка - 10 квартир и Ивица - 8 квартир.  Государству принадлежат 140 квартир, на которые не подавались просьбы о возвращении или в отношении которых такие просьбы были отклонены.  Они также используются для решения жилищных проблем этих двух категорий.  Существуют также специальные средства обеспечения альтернативным жильем этих двух категорий, которые предполагают аренду для них частного жилья.  Установлены процедура и уровни аренды в домах, поэтому насчитывается около 90 жилых единиц, в которых проживают 186 семей.</w:t>
      </w:r>
    </w:p>
    <w:p w:rsidR="00000000" w:rsidRDefault="00000000"/>
    <w:p w:rsidR="00000000" w:rsidRDefault="00000000">
      <w:r>
        <w:t>363.</w:t>
      </w:r>
      <w:r>
        <w:tab/>
        <w:t>Помимо этих способов решения жилищных проблем перемещенных лиц в Районе Брчко, правительство ассигнует значительные средства на решение жилищных проблем перемещенных лиц посредством определения процедуры предоставления финансовой поддержки в течение 12 месяцев в тех случаях, когда перемещенные лица теряют свое право на альтернативное жилье.  Такая финансовая поддержка составляет 1 800 КМ на семью из двух человек, 3 000 КМ на семью из трех или четырех человек и 3 600 КМ на семью из пяти или более человек.  Таким образом, к 31 августа 2003 года были решены жилищные проблемы 294 семей.</w:t>
      </w:r>
    </w:p>
    <w:p w:rsidR="00000000" w:rsidRDefault="00000000"/>
    <w:p w:rsidR="00000000" w:rsidRDefault="00000000">
      <w:r>
        <w:t>364.</w:t>
      </w:r>
      <w:r>
        <w:tab/>
        <w:t>Аналогичное положение наблюдается в Федерации Боснии и Герцеговины, где, согласно имеющимся данным, насчитывается значительное число бездомных, выселенных семей (56 442), семей, не обеспеченных достаточными жилищными условиями, большое число семей, занимающих незаконные помещения, не имеющих основных удобств (воды, электричества, дорог и т.д.).</w:t>
      </w:r>
    </w:p>
    <w:p w:rsidR="00000000" w:rsidRDefault="00000000"/>
    <w:p w:rsidR="00000000" w:rsidRDefault="00000000">
      <w:r>
        <w:t>365.</w:t>
      </w:r>
      <w:r>
        <w:tab/>
        <w:t>Многие семьи в обоих Образованиях и в Районе Брчко не пользуются реальной защитой со стороны общества, когда дело касается жилищных условий.  Это особенно относится к населению рома, численность которого в Боснии и Герцеговине колеблется в пределах 9 000 - 18 000 человек.  Даже хотя правительство прилагает усилия в этом направлении, прогнозы указывают на то, что перспективы быстрого разрешения жилищных проблем являются неопределенными.  Международное сообщество предоставило огромную помощь в области обеспечения жильем, но средства редко перенаправлялись на различные цели.  На Совете министров Боснии и Герцеговины и правительствах Образований и Района Брчко лежит огромная ответственность, поскольку они обязаны предпринять дополнительные усилия и добиться улучшений в данной области, чтобы достигнуть международных норм и критериев в сфере жилья.</w:t>
      </w:r>
    </w:p>
    <w:p w:rsidR="00000000" w:rsidRDefault="00000000">
      <w:pPr>
        <w:rPr>
          <w:b/>
          <w:bCs/>
        </w:rPr>
      </w:pPr>
    </w:p>
    <w:p w:rsidR="00000000" w:rsidRDefault="00000000">
      <w:pPr>
        <w:keepNext/>
        <w:rPr>
          <w:b/>
          <w:bCs/>
        </w:rPr>
      </w:pPr>
      <w:r>
        <w:rPr>
          <w:b/>
          <w:bCs/>
        </w:rPr>
        <w:t>Жилищное законодательство</w:t>
      </w:r>
    </w:p>
    <w:p w:rsidR="00000000" w:rsidRDefault="00000000">
      <w:pPr>
        <w:keepNext/>
      </w:pPr>
    </w:p>
    <w:p w:rsidR="00000000" w:rsidRDefault="00000000">
      <w:pPr>
        <w:keepNext/>
      </w:pPr>
      <w:r>
        <w:t>366.</w:t>
      </w:r>
      <w:r>
        <w:tab/>
        <w:t>Жилищный вопрос регулируется законами и нормативными актами на уровне Образований и Района Брчко.  В этих законах и нормативных актах нет положений, определяющих порядок решения жилищных вопросов, за исключением принудительных или альтернативных мер временного характера.  Такие решения являются неприемлемыми, за исключением обеспечения уважения основных прав на жилье.</w:t>
      </w:r>
    </w:p>
    <w:p w:rsidR="00000000" w:rsidRDefault="00000000"/>
    <w:p w:rsidR="00000000" w:rsidRDefault="00000000">
      <w:r>
        <w:t>367.</w:t>
      </w:r>
      <w:r>
        <w:tab/>
        <w:t>Соответствующими законами Федерации являются следующие:</w:t>
      </w:r>
    </w:p>
    <w:p w:rsidR="00000000" w:rsidRDefault="00000000"/>
    <w:p w:rsidR="00000000" w:rsidRDefault="00000000">
      <w:pPr>
        <w:numPr>
          <w:ilvl w:val="0"/>
          <w:numId w:val="46"/>
        </w:numPr>
      </w:pPr>
      <w:r>
        <w:t>Закон о жилищных отношениях Боснии и Герцеговины;</w:t>
      </w:r>
    </w:p>
    <w:p w:rsidR="00000000" w:rsidRDefault="00000000">
      <w:pPr>
        <w:ind w:left="1134" w:hanging="1134"/>
      </w:pPr>
    </w:p>
    <w:p w:rsidR="00000000" w:rsidRDefault="00000000">
      <w:pPr>
        <w:numPr>
          <w:ilvl w:val="0"/>
          <w:numId w:val="46"/>
        </w:numPr>
      </w:pPr>
      <w:r>
        <w:t>поправки к Закону о прекращении осуществления Закона о брошенных квартирах (</w:t>
      </w:r>
      <w:r>
        <w:rPr>
          <w:i/>
          <w:iCs/>
        </w:rPr>
        <w:t>Официальная газета Федерации Боснии и Герцеговины</w:t>
      </w:r>
      <w:r>
        <w:t>, № 11/98, 38/98, 12/99, 27/99, 43/99, 56/01 и 15/02), Закон о брошенной собственности, принадлежащей гражданам (</w:t>
      </w:r>
      <w:r>
        <w:rPr>
          <w:i/>
          <w:iCs/>
        </w:rPr>
        <w:t>Официальная газета</w:t>
      </w:r>
      <w:r>
        <w:t>, 11/98, 29/98, 27/99, 43/99 и</w:t>
      </w:r>
      <w:r>
        <w:rPr>
          <w:lang w:val="en-US"/>
        </w:rPr>
        <w:t> </w:t>
      </w:r>
      <w:r>
        <w:t>37/01), и поправки, принятые на основе решения Высокого представителя 4 ноября 2001 года (</w:t>
      </w:r>
      <w:r>
        <w:rPr>
          <w:i/>
          <w:iCs/>
        </w:rPr>
        <w:t>Официальная газета</w:t>
      </w:r>
      <w:r>
        <w:t>, 56/01);  Закон о выполнении решения Комиссии по имущественным искам беженцев и перемещенных лиц (</w:t>
      </w:r>
      <w:r>
        <w:rPr>
          <w:i/>
          <w:iCs/>
        </w:rPr>
        <w:t>Официальная газета</w:t>
      </w:r>
      <w:r>
        <w:t>, 49/99).</w:t>
      </w:r>
    </w:p>
    <w:p w:rsidR="00000000" w:rsidRDefault="00000000"/>
    <w:p w:rsidR="00000000" w:rsidRDefault="00000000">
      <w:r>
        <w:t>368.</w:t>
      </w:r>
      <w:r>
        <w:tab/>
        <w:t>В Республике Сербской жилищные права регулируются следующими законами о собственности:  Закон о прекращении осуществления Закона о занятии брошенной собственности (</w:t>
      </w:r>
      <w:r>
        <w:rPr>
          <w:i/>
          <w:iCs/>
        </w:rPr>
        <w:t>Официальная газета Республики Сербской</w:t>
      </w:r>
      <w:r>
        <w:t>, 38/98, 12/99, 31/99, 65/01, 13/02, 64/02 и 39/03), Закон о перемещенных лицах, беженцах и возвращенцах в Республике Сербской (</w:t>
      </w:r>
      <w:r>
        <w:rPr>
          <w:i/>
          <w:iCs/>
        </w:rPr>
        <w:t>Официальная газета</w:t>
      </w:r>
      <w:r>
        <w:t>, 33/99 и 65/01), Закон о приватизации государственных квартир в Республике Сербской (</w:t>
      </w:r>
      <w:r>
        <w:rPr>
          <w:i/>
          <w:iCs/>
        </w:rPr>
        <w:t>Официальная газета</w:t>
      </w:r>
      <w:r>
        <w:t>, 11/00, 18/01, 35/01, 47/02 и 65/03), Закон Республики Сербской о территориях, пригодных для застройки (</w:t>
      </w:r>
      <w:r>
        <w:rPr>
          <w:i/>
          <w:iCs/>
        </w:rPr>
        <w:t>Официальная газета</w:t>
      </w:r>
      <w:r>
        <w:t>, 41/03).</w:t>
      </w:r>
    </w:p>
    <w:p w:rsidR="00000000" w:rsidRDefault="00000000"/>
    <w:p w:rsidR="00000000" w:rsidRDefault="00000000">
      <w:r>
        <w:t>369.</w:t>
      </w:r>
      <w:r>
        <w:tab/>
        <w:t>Законами и нормативными актами в сфере жилья, принятыми в Районе Брчко, являются следующие:</w:t>
      </w:r>
    </w:p>
    <w:p w:rsidR="00000000" w:rsidRDefault="00000000">
      <w:pPr>
        <w:ind w:left="1134" w:hanging="1134"/>
      </w:pPr>
    </w:p>
    <w:p w:rsidR="00000000" w:rsidRDefault="00000000">
      <w:pPr>
        <w:numPr>
          <w:ilvl w:val="0"/>
          <w:numId w:val="48"/>
        </w:numPr>
      </w:pPr>
      <w:r>
        <w:t>Закон о жилищных отношениях Социалистической Республики Боснии и Герцеговины;</w:t>
      </w:r>
    </w:p>
    <w:p w:rsidR="00000000" w:rsidRDefault="00000000">
      <w:pPr>
        <w:ind w:left="1134" w:hanging="1134"/>
      </w:pPr>
    </w:p>
    <w:p w:rsidR="00000000" w:rsidRDefault="00000000">
      <w:pPr>
        <w:numPr>
          <w:ilvl w:val="0"/>
          <w:numId w:val="48"/>
        </w:numPr>
      </w:pPr>
      <w:r>
        <w:t>Закон о возвращении брошенной собственности;</w:t>
      </w:r>
    </w:p>
    <w:p w:rsidR="00000000" w:rsidRDefault="00000000">
      <w:pPr>
        <w:ind w:left="1134" w:hanging="1134"/>
      </w:pPr>
    </w:p>
    <w:p w:rsidR="00000000" w:rsidRDefault="00000000">
      <w:pPr>
        <w:numPr>
          <w:ilvl w:val="0"/>
          <w:numId w:val="48"/>
        </w:numPr>
      </w:pPr>
      <w:r>
        <w:t>Закон о приобретении квартир и праве занятия государственной собственности, Район Брчко.</w:t>
      </w:r>
    </w:p>
    <w:p w:rsidR="00000000" w:rsidRDefault="00000000"/>
    <w:p w:rsidR="00000000" w:rsidRDefault="00000000">
      <w:r>
        <w:t>370.</w:t>
      </w:r>
      <w:r>
        <w:tab/>
        <w:t>На основе принятого в 2000 году решения Совет министров учредил экспертную группу для изучения жилищной политики в Боснии и Герцеговине.  Задача, поставленная перед экспертной группой, заключалась в том, чтобы определить на основе нынешней ситуации и в консультациях с экспертами Пакта стабильности основы жилищной политики в Боснии и Герцеговине и предложить Совету министров правовые решения, с тем чтобы более эффективно решать данную проблему на уровне Боснии и Герцеговины.</w:t>
      </w:r>
    </w:p>
    <w:p w:rsidR="00000000" w:rsidRDefault="00000000"/>
    <w:p w:rsidR="00000000" w:rsidRDefault="00000000">
      <w:r>
        <w:t>371.</w:t>
      </w:r>
      <w:r>
        <w:tab/>
        <w:t xml:space="preserve">У экспертной группы есть программа деятельности, и консультации и обмен мнениями с экспертами Пакта стабильности продолжаются.  Предполагается, что Совет министров, опираясь на деятельность экспертной группы, предложит определить порядок решения данной проблемы в законодательстве на уровне Боснии и Герцеговины путем принятия рамочного закона о жилищных отношениях и предложения мер о внесении поправок в нормативные акты менее высоких инстанций, с тем чтобы решить социальную проблему такого рода и содействовать строительству домов, а также решению других проблем, связанных с жилищными вопросами, в Боснии и Герцеговине.  </w:t>
      </w:r>
    </w:p>
    <w:p w:rsidR="00000000" w:rsidRDefault="00000000"/>
    <w:p w:rsidR="00000000" w:rsidRDefault="00000000">
      <w:r>
        <w:t>372.</w:t>
      </w:r>
      <w:r>
        <w:tab/>
        <w:t>Стратегическое планирование в данной области также следует регулировать на государственном уровне.  Весь проект опирается на тот факт, что средства на эти цели будут предоставлены за счет кредитов на проекты ЕС, и в этом случае государство будет выступать в качестве гаранта.  В Совете министров Боснии и Герцеговины следует образовать дирекцию или какой-либо другой департамент, который будет заниматься этими вопросами.</w:t>
      </w:r>
    </w:p>
    <w:p w:rsidR="00000000" w:rsidRDefault="00000000"/>
    <w:p w:rsidR="00000000" w:rsidRDefault="00000000">
      <w:r>
        <w:t>373.</w:t>
      </w:r>
      <w:r>
        <w:tab/>
        <w:t>Действуя через свой Жилищный фонд, образованный после вступления в силу Закона о приватизации государственных квартир, Республика Сербская собирает средства путем выкупа/перекупки государственных, находящихся в собственности государства, квартир и после этого предоставляет льготные ссуды и кредиты гражданам Республики Сербской исключительно для целей решения жилищных проблем.</w:t>
      </w:r>
    </w:p>
    <w:p w:rsidR="00000000" w:rsidRDefault="00000000"/>
    <w:p w:rsidR="00000000" w:rsidRDefault="00000000">
      <w:pPr>
        <w:jc w:val="center"/>
        <w:rPr>
          <w:b/>
          <w:bCs/>
        </w:rPr>
      </w:pPr>
      <w:r>
        <w:rPr>
          <w:b/>
          <w:bCs/>
        </w:rPr>
        <w:t>Статья 12</w:t>
      </w:r>
    </w:p>
    <w:p w:rsidR="00000000" w:rsidRDefault="00000000">
      <w:pPr>
        <w:jc w:val="center"/>
      </w:pPr>
    </w:p>
    <w:p w:rsidR="00000000" w:rsidRDefault="00000000">
      <w:pPr>
        <w:rPr>
          <w:b/>
          <w:bCs/>
        </w:rPr>
      </w:pPr>
      <w:r>
        <w:rPr>
          <w:b/>
          <w:bCs/>
        </w:rPr>
        <w:t>Право на надлежащую медицинскую помощь</w:t>
      </w:r>
    </w:p>
    <w:p w:rsidR="00000000" w:rsidRDefault="00000000"/>
    <w:p w:rsidR="00000000" w:rsidRDefault="00000000">
      <w:r>
        <w:t>374.</w:t>
      </w:r>
      <w:r>
        <w:tab/>
        <w:t xml:space="preserve">Здоровье - это состояние полного физического, психологического и социального благополучия, а не только отсутствие заболевания или недомогания.  Здоровье человека и общества зависит в целом от взаимодействия биологических начал, внешних факторов (социально-экономические условия, условия жизни, политический и культурный климат) и, естественно, от качества медицинской помощи.  Если здоровье населения принять за единственный фактор, позволяющий охарактеризовать общество как бедное или богатое, то можно сказать, что состояние здоровья отвечает степени экономического развития.  </w:t>
      </w:r>
    </w:p>
    <w:p w:rsidR="00000000" w:rsidRDefault="00000000"/>
    <w:p w:rsidR="00000000" w:rsidRDefault="00000000">
      <w:r>
        <w:t>375.</w:t>
      </w:r>
      <w:r>
        <w:tab/>
        <w:t>Отсюда следует, что бедность, свидетельствующая о плохих социально-экономических условиях, плохих условиях жизни (жилищные условия и бытовые удобства, условия труда и общая обстановка), а также нездоровый образ жизни оказывают непосредственное влияние на нацию и потенциал ее здоровья.</w:t>
      </w:r>
    </w:p>
    <w:p w:rsidR="00000000" w:rsidRDefault="00000000"/>
    <w:p w:rsidR="00000000" w:rsidRDefault="00000000">
      <w:r>
        <w:t>376.</w:t>
      </w:r>
      <w:r>
        <w:tab/>
        <w:t>Если предположить, что обеспечение здоровья является одним из условий существования прогрессивного и процветающего общества, то здоровье и экономическое положение человека и общества являются взаимозависимыми факторами.  Состояние здоровья отдельных социально-экономических групп неодинаково даже в наиболее развитых странах и не обусловлено одним лишь качеством медицинской помощи.  Согласно данным переписи 1991 года, в Боснии и Герцеговине проживали 4 377 033 человека.  К середине 2000 года, по оценкам Статистического управления, численность населения Боснии и Герцеговины составляла 3 828 397 человек.  Возрастная структура населения в 1991 году носила "пограничный статично-регрессивный" характер, изображаемый пирамидой с узкой вершиной.  Согласно тому же источнику, нынешняя возрастная структура населения Боснии и Герцеговины сохраняется на уровне 1991 года.  Поэтому состав населения страны в 2002 году можно охарактеризовать как биологически регрессивный.</w:t>
      </w:r>
    </w:p>
    <w:p w:rsidR="00000000" w:rsidRDefault="00000000"/>
    <w:p w:rsidR="00000000" w:rsidRDefault="00000000">
      <w:r>
        <w:t>377.</w:t>
      </w:r>
      <w:r>
        <w:tab/>
        <w:t>Состояние здоровья населения Боснии и Герцеговины в послевоенный период постоянно ухудшается.  Основными причинами такой ситуации являются:  социально-экономическое положение, безработица, миграция, большое количество перемещенных лиц, неполный охват медицинским страхованием, нездоровый образ жизни и т.д.  Несмотря на то, что война оказала прямое влияние на состояние здоровья населения, средняя продолжительность жизни в 2000 году составляла от 71 года до 75 лет, т.е. была такой же, как и в 1990 году (Всемирный банк, март 2003 года).  В 2000 году в Боснии и Герцеговине охват иммунизацией против туберкулеза, дифтерии, столбняка, коклюша и полиомиелита был довольно высоким (95%), но более низким, чем в 1991 году (98%).  С уровнем смертности новорожденных, составлявшим в 1991 году 16,4 случая на 1 000 детей, Босния и Герцеговина находилась в числе стран с относительно низким уровнем этого показателя смертности.  После войны вследствие введения различных видов регистрации в отдельных регионах отмечался значительный разброс значений уровня смертности новорожденных.  Поэтому к показателю в 11 умерших на 1 000 новорожденных следует относиться с осторожностью.  Если сравнивать уровень смертности новорожденных в Боснии и Герцеговине с уровнем смертности в Западной Европе, то он вдвое превышает последний.  Одним из надежных показателей состояния здравоохранения в Боснии и Герцеговине является уровень смертности младенцев.  В предвоенный период в Боснии и Герцеговине уровень смертности младенцев составлял 10,7 случая на 1 000 детей.  После войны такие данные не публиковались;  по некоторым оценкам, в настоящее время уровень младенческой смертности повышается.</w:t>
      </w:r>
    </w:p>
    <w:p w:rsidR="00000000" w:rsidRDefault="00000000"/>
    <w:p w:rsidR="00000000" w:rsidRDefault="00000000">
      <w:r>
        <w:t>378.</w:t>
      </w:r>
      <w:r>
        <w:tab/>
        <w:t>Согласно "всемирной шкале состояние здоровья", которая фиксирует общее положение в области здравоохранения в стране, Босния и Герцеговина занимает 79</w:t>
      </w:r>
      <w:r>
        <w:noBreakHyphen/>
        <w:t>е место.</w:t>
      </w:r>
    </w:p>
    <w:p w:rsidR="00000000" w:rsidRDefault="00000000"/>
    <w:p w:rsidR="00000000" w:rsidRDefault="00000000">
      <w:r>
        <w:t>379.</w:t>
      </w:r>
      <w:r>
        <w:tab/>
        <w:t>По сравнению с перечнем основных причин смертности в Боснии и Герцеговине в довоенный период, даже если брать наиболее развитые европейские страны, нынешний перечень основных причин смертности в Боснии и Герцеговине практически не изменился.  В 1991 году первое место в перечне основных причин смертности и потери лет жизни вследствие инвалидности занимали болезни сердечно-сосудистой системы (50%), такие, как гипертония и коронарные заболевания.  Второе место (18%) занимают злокачественные новообразования, количество которых за последние десятилетия увеличилось.  На третьем месте находятся неустановленные обстоятельства.  Возросло также количество травм и случаев отравления, которые занимают четвертое место в перечне главных причин смертности.  Тремя основными инфекционными заболеваниями в Боснии и Герцеговине являются заболевания дыхательных путей (грипп), инфекционные детские болезни и энтероколит.</w:t>
      </w:r>
    </w:p>
    <w:p w:rsidR="00000000" w:rsidRDefault="00000000"/>
    <w:p w:rsidR="00000000" w:rsidRDefault="00000000">
      <w:r>
        <w:t>380.</w:t>
      </w:r>
      <w:r>
        <w:tab/>
        <w:t>Вместе с 46 европейскими странами Босния и Герцеговина приступила к осуществлению программы контроля за туберкулезом в Европе, Евро ТБ.  По данным за 2000 год, число случаев заболевания туберкулезом в Боснии и Герцеговине составляло 65,6 на 100 000 человек, в то время как средний уровень заболеваемости туберкулезом в 46 европейских странах составлял 76 случаев на 100 000 человек.  После войны уровень заболеваемости туберкулезом в Боснии и Герцеговине повысился и напрямую связан с ростом бедности.  В этот период возрос также уровень смертности из-за сердечно-сосудистых заболеваний.  В 2000 году было зарегистрировано 12 500 случаев по сравнению с 11 069 случаями в 1991 году.  С трудностями в получении медицинской помощи сталкиваются главным образом престарелые люди, живущие в условиях нищеты и поэтому имеющие ограниченный доступ к услугам здравоохранения.  Растет также количество болезней со смертельным исходом, в связи с чем в 2000 году смертность составила 275 случаев на 100 000 населения по сравнению с 175 случаями в 1991 году.  Кроме того, растет количество дорожно-транспортных происшествий, телесных повреждений и психических расстройств.  Имеющиеся данные указывают на то, что в результате войны более 47 000 человек стали инвалидами.  Количество пострадавших в автомобильных авариях в 1991 году составляло 234 человека на 100 000 населения.  По существующим оценкам, рост в этой области является весьма значительным.</w:t>
      </w:r>
    </w:p>
    <w:p w:rsidR="00000000" w:rsidRDefault="00000000"/>
    <w:p w:rsidR="00000000" w:rsidRDefault="00000000">
      <w:r>
        <w:t>381.</w:t>
      </w:r>
      <w:r>
        <w:tab/>
        <w:t>Инфекционные заболевания по своей природе играют важную роль в жизни людей и требуют принятия особых мер контроля.  Это в значительной мере влияет на патологию общества.  Плохие социально-экономические условия, недостаточная обеспеченность приемлемой с гигиенической точки зрения питьевой водой, неадекватное обеспечение удаления отходов и неудовлетворительные жилищные условия - все это повышает опасность возникновения и распространения многих инфекционных заболеваний.</w:t>
      </w:r>
    </w:p>
    <w:p w:rsidR="00000000" w:rsidRDefault="00000000"/>
    <w:p w:rsidR="00000000" w:rsidRDefault="00000000">
      <w:r>
        <w:t>382.</w:t>
      </w:r>
      <w:r>
        <w:tab/>
        <w:t>Нельзя следить за здоровьем детей, не наблюдая за состоянием здоровья всего населения.  Помимо материнской заботы существуют другие факторы, такие, как социальное окружение и физическая среда, также оказывающие влияние на здоровье детей, особенно в нынешних экономических условиях, которые являются для них вредными.  Существенное значение имеет то обстоятельство, что 8,5% от общей численности населения составляют дети в возрасте до 5 лет, а уровень рождаемости сейчас снижается (в различной степени в зависимости от кантонов и районов).  Уровень смертности считается низким, несмотря на существование региональных кризисов.</w:t>
      </w:r>
    </w:p>
    <w:p w:rsidR="00000000" w:rsidRDefault="00000000"/>
    <w:p w:rsidR="00000000" w:rsidRDefault="00000000">
      <w:r>
        <w:t>383.</w:t>
      </w:r>
      <w:r>
        <w:tab/>
        <w:t>Согласно последним оценкам, женщины составляют 51% населения, из которых 25% находятся в возрасте, позволяющем им иметь детей.  Положение женщин репродуктивного возраста характеризуют несколько общих факторов:  тенденция к снижению общего и специального коэффициентов фертильности из-за умышленного прерывания беременности, используемого в качестве инструмента планирования семьи, растущий уровень нежелательных беременностей при увеличении количества случаев изнасилований, сексуального преследования и проституции, что ведет к росту венерических заболеваний.  Проблемы состояния здоровья женщин заключаются в неравном доступе к медицинской помощи в сельских и городских районах, низком уровне образования, нехватке медицинских служб по оказанию гинекологической помощи/консультированию подростков, низком уровне пропаганды здоровья и в отсутствии многостороннего интеграционного подхода к проблемам обеспечения здоровья женщин.</w:t>
      </w:r>
    </w:p>
    <w:p w:rsidR="00000000" w:rsidRDefault="00000000"/>
    <w:p w:rsidR="00000000" w:rsidRDefault="00000000">
      <w:r>
        <w:t>384.</w:t>
      </w:r>
      <w:r>
        <w:tab/>
        <w:t>Более 10% всего населения Боснии и Герцеговины находятся в так называемом "третьем возрасте" жизни, т.е. по международным стандартам такие люди относятся к категории стариков.  Это является следствием снижения уровня рождаемости и репродуктивности, а также отъезда из страны большого количества молодых людей.  Пожилые люди сталкиваются с конкретными проблемами в области охраны здоровья, главным образом связанными с возрастом, а также с их социально-экономическим положением.  Ведущими болезнями в 2001 году становятся болезни системы кровообращения при структурном индексе, равном 26,2%, болезни органов дыхания (18,3%), костно-мышечные болезни (9%) и т.д.</w:t>
      </w:r>
    </w:p>
    <w:p w:rsidR="00000000" w:rsidRDefault="00000000"/>
    <w:p w:rsidR="00000000" w:rsidRDefault="00000000">
      <w:r>
        <w:t>385.</w:t>
      </w:r>
      <w:r>
        <w:tab/>
        <w:t>Особой проблемой является оказание медицинской помощи людям третьего возраста, являющимся возвращенцами, поскольку взаимодействие между системами здравоохранения Образований полностью не отрегулировано.</w:t>
      </w:r>
    </w:p>
    <w:p w:rsidR="00000000" w:rsidRDefault="00000000"/>
    <w:p w:rsidR="00000000" w:rsidRDefault="00000000">
      <w:r>
        <w:t>386.</w:t>
      </w:r>
      <w:r>
        <w:tab/>
        <w:t>Необходимо усовершенствовать охрану здоровья престарелых путем обеспечения первичной медицинской помощи, организации ухода на дому через департаменты семейной медицины и оказания реабилитационной и медицинской помощи для этой группы населения.  Согласно оценкам, почти 10% всего населения Боснии и Герцеговины по различным причинам имеют инвалидность какого-либо вида и степени.  Эти лица являются весьма уязвимой группой населения и постоянно нуждаются в различных медицинских услугах.  Недостаточное развитие некоторых служб по оказанию поддержки усугубляет ощущение изолированности этих людей и влияет на их психическое состояние.</w:t>
      </w:r>
    </w:p>
    <w:p w:rsidR="00000000" w:rsidRDefault="00000000"/>
    <w:p w:rsidR="00000000" w:rsidRDefault="00000000">
      <w:r>
        <w:t>387.</w:t>
      </w:r>
      <w:r>
        <w:tab/>
        <w:t>Решение данной проблемы следует искать под несколькими углами зрения, и оно должно быть многосторонним, поскольку это проблема не только здравоохранения, но и социального обеспечения, подготовки кадров и охраны труда, которые являются факторами предотвращения инвалидности.  Население Боснии и Герцеговины сталкивается с серьезными проблемами в области здравоохранения и вредными для здоровья явлениями (курение, алкоголизм и наркомания), случаями асоциального поведения и насилия, депрессии и самоубийств, а также с широким кругом различных других физических и психических расстройств.  Значительно растет подверженность населения Боснии и Герцеговины таким угрозам, как курение, повышенное кровяное давление, диабет, высокий уровень холестерина, гиподинамия, болезни, передающиеся половым путем (СПИД) и т.д., которые могут оказать влияние на состояние здоровья отдельных людей и общества в целом.  Нездоровое питание и плохая питьевая вода воздействуют на здоровье, и, поскольку на протяжении ряда лет ситуация не меняется, кризис развивается, и негативные факторы доминируют.</w:t>
      </w:r>
    </w:p>
    <w:p w:rsidR="00000000" w:rsidRDefault="00000000"/>
    <w:p w:rsidR="00000000" w:rsidRDefault="00000000">
      <w:r>
        <w:t>388.</w:t>
      </w:r>
      <w:r>
        <w:tab/>
        <w:t>В соответствии с Конституцией Боснии и Герцеговины все полномочия в области организации здравоохранения находятся на уровне Образований.  В Федерации Боснии и Герцеговины эти полномочия разделяются между федеральным и кантональным уровнями, что обеспечивает децентрализацию сектора здравоохранения, а за федеральным уровнем сохраняется главным образом координирующая роль.  Такое же распределение обязанностей существует между федеральным, кантональным и муниципальным уровнями.  Республика Сербская разделена на районы, однако полномочия находятся на уровне Образования.  В обоих Образованиях и в Районе Брчко система здравоохранения организована на трех уровнях - первичном, вторичном и третичном.</w:t>
      </w:r>
    </w:p>
    <w:p w:rsidR="00000000" w:rsidRDefault="00000000"/>
    <w:p w:rsidR="00000000" w:rsidRDefault="00000000">
      <w:r>
        <w:t>389.</w:t>
      </w:r>
      <w:r>
        <w:tab/>
        <w:t>Реформа системы здравоохранения началась сразу же после окончания войны.  Министерства здравоохранения Образований в тесном взаимодействии с международными организациями подготовили документы для реформы системы здравоохранения с целью повышения эффективности и надежности медицинской помощи.</w:t>
      </w:r>
    </w:p>
    <w:p w:rsidR="00000000" w:rsidRDefault="00000000"/>
    <w:p w:rsidR="00000000" w:rsidRDefault="00000000">
      <w:r>
        <w:t>390.</w:t>
      </w:r>
      <w:r>
        <w:tab/>
        <w:t>Однако, несмотря на ориентацию на реформы (преобразование системы оказания первичной медицинской помощи в группы семейных врачей), продолжается строительство дорогостоящих и хорошо оборудованных объектов здравоохранения в более крупных населенных пунктах (клиники и больницы), что приводит к серьезному росту затрат и расходов при предоставлении медицинских услуг, а также к снижению степени использования этих объектов, что не отвечает экономическим возможностям общества.</w:t>
      </w:r>
    </w:p>
    <w:p w:rsidR="00000000" w:rsidRDefault="00000000"/>
    <w:p w:rsidR="00000000" w:rsidRDefault="00000000">
      <w:r>
        <w:t>391.</w:t>
      </w:r>
      <w:r>
        <w:tab/>
        <w:t>Следствием неравномерного территориального распределения медицинского оборудования и персонала, особенно врачей, являются неодинаковые уровни охраны здоровья, в результате чего сельское население получает медицинскую помощь от врачей общей практики, тогда как в городских районах медицинские услуги предоставляются специалистами разного профиля.</w:t>
      </w:r>
    </w:p>
    <w:p w:rsidR="00000000" w:rsidRDefault="00000000"/>
    <w:p w:rsidR="00000000" w:rsidRDefault="00000000">
      <w:r>
        <w:t>392.</w:t>
      </w:r>
      <w:r>
        <w:tab/>
        <w:t>Различные уровни оказания медицинской помощи недостаточно взаимосвязаны и скоординированы, а стоимость услуг здравоохранения завышена за счет стоимости первичной медицинской помощи.  Ощущается явная нехватка специализированного персонала, который сконцентрирован в крупных центрах.  Процессы планирования людских ресурсов и обеспечения образования не скоординированы, что приводит к перепроизводству некоторых категорий специалистов и росту безработицы.</w:t>
      </w:r>
    </w:p>
    <w:p w:rsidR="00000000" w:rsidRDefault="00000000"/>
    <w:p w:rsidR="00000000" w:rsidRDefault="00000000">
      <w:pPr>
        <w:rPr>
          <w:b/>
          <w:bCs/>
        </w:rPr>
      </w:pPr>
      <w:r>
        <w:rPr>
          <w:b/>
          <w:bCs/>
        </w:rPr>
        <w:t>Финансирование здравоохранения</w:t>
      </w:r>
    </w:p>
    <w:p w:rsidR="00000000" w:rsidRDefault="00000000">
      <w:pPr>
        <w:rPr>
          <w:b/>
          <w:bCs/>
        </w:rPr>
      </w:pPr>
    </w:p>
    <w:p w:rsidR="00000000" w:rsidRDefault="00000000">
      <w:r>
        <w:t>393.</w:t>
      </w:r>
      <w:r>
        <w:tab/>
        <w:t>Здравоохранение финансируется из средств, собираемых в виде отчислений от доходов трудящихся в качестве доли дохода, выплачиваемого работодателем.  Средства также поступают в виде перечислений из сельскохозяйственного сектора и внебюджетных источников (Образования, кантоны и муниципалитеты), для некоторых категорий населения и на определенные цели.  Средства на обязательное медицинское страхование собираются кассами медицинского страхования в кантонах и фондами медицинского страхования Федерации и Республики Сербской.  Помимо этого вида страхования бенефициары участвуют в оплате расходов на медицинское обслуживание.  Это участие не связано с серьезными финансовыми затратами, поскольку большинство бенефициаров (80%) от них освобождены.  Некоторые медицинские услуги оплачиваются на месте, например лекарства, выдаваемые по рецепту.  Медицинские услуги в частных медицинских учреждениях оплачиваются в полном размере на коммерческой основе.</w:t>
      </w:r>
    </w:p>
    <w:p w:rsidR="00000000" w:rsidRDefault="00000000"/>
    <w:p w:rsidR="00000000" w:rsidRDefault="00000000">
      <w:r>
        <w:t>394.</w:t>
      </w:r>
      <w:r>
        <w:tab/>
        <w:t>В Федерации законодательство устанавливает ограничения в отношении отчислений (13% от заработной платы или другого вида доходов, 4% оплачиваются работодателем).  Кантональные парламенты определяют категории граждан, для которых выплата взносов является обязательной.  Ставка взносов изменяется в зависимости от района и категории плательщиков.  Пенсионные фонды, Федеральное бюро занятости, вооруженные силы и работодатели выплачивают свои взносы в частичном размере, в то время как некоторые от них полностью освобождены.</w:t>
      </w:r>
    </w:p>
    <w:p w:rsidR="00000000" w:rsidRDefault="00000000"/>
    <w:p w:rsidR="00000000" w:rsidRDefault="00000000">
      <w:r>
        <w:t>395.</w:t>
      </w:r>
      <w:r>
        <w:tab/>
        <w:t xml:space="preserve">В Республике Сербской медицинское страхование централизовано (единый фонд медицинского страхования с отделениями в муниципалитетах).  Ставка взносов на медицинское страхование определяется на основании чистого дохода (15% от заработка работающего, 3,75% от пенсии и 15% от кадастрового дохода фермера).  Размер оплаты медицинских услуг определяется на основе последних заключенных контрактов.  </w:t>
      </w:r>
    </w:p>
    <w:p w:rsidR="00000000" w:rsidRDefault="00000000"/>
    <w:p w:rsidR="00000000" w:rsidRDefault="00000000">
      <w:r>
        <w:t>396.</w:t>
      </w:r>
      <w:r>
        <w:tab/>
        <w:t>Поскольку законодательства Образований в области медицинского страхования не приведены в соответствие друг с другом, изменение места жительства возвращенцев  и перемещенных лиц приводит к утрате ими медицинской страховки и доступа к медицинским учреждениям.</w:t>
      </w:r>
    </w:p>
    <w:p w:rsidR="00000000" w:rsidRDefault="00000000"/>
    <w:p w:rsidR="00000000" w:rsidRDefault="00000000">
      <w:r>
        <w:t>397.</w:t>
      </w:r>
      <w:r>
        <w:tab/>
        <w:t xml:space="preserve">Базовая ставка отчислений неодинакова во всех кантонах и для всех застрахованных.  Базовая ставка медицинского страхования работающих составляет 17% от валового оклада и является одинаковой во всех кантонах.  Однако для других застрахованных лиц, таких, как пенсионеры, фермеры, безработные, зарегистрированные на бирже труда, привлеченные к службе в вооруженных силах и другие, базовая ставка является разной в различных кантонах.  </w:t>
      </w:r>
    </w:p>
    <w:p w:rsidR="00000000" w:rsidRDefault="00000000"/>
    <w:p w:rsidR="00000000" w:rsidRDefault="00000000">
      <w:r>
        <w:t>398.</w:t>
      </w:r>
      <w:r>
        <w:tab/>
        <w:t xml:space="preserve">По данным кантональных управлений здравоохранения, большинство тех, кто должен платить взносы (более 50%), не выполняют своих обязательств и не платят взносы, вследствие чего более 90% реальных поступлений от взносов на обязательное медицинское страхование </w:t>
      </w:r>
      <w:r>
        <w:noBreakHyphen/>
        <w:t xml:space="preserve"> это поступления от взносов, уплаченных работодателями.  Несмотря на то, что доля отчислений на обязательное медицинское страхование в заработной плате и других видах вознаграждения является довольно высокой, реальные поступления значительно ниже тех, которые предусмотрены законом.</w:t>
      </w:r>
    </w:p>
    <w:p w:rsidR="00000000" w:rsidRDefault="00000000"/>
    <w:p w:rsidR="00000000" w:rsidRDefault="00000000">
      <w:r>
        <w:t>399.</w:t>
      </w:r>
      <w:r>
        <w:tab/>
        <w:t>Основная причина такого положения заключается в низком охвате населения страхованием, а также в неплатежах со стороны зарегистрированных плательщиков.  Примером организации, ответственной за проблему финансирования в связи с неудовлетворительным выполнением законов и положений, является Пенсионный фонд, ставший крупнейшим должником по обязательным взносам на медицинское страхование, при том, что пенсионеры являются самыми активными пользователями медицинских услуг.  Это обязательство не выполняется или не выполнялось и некоторыми другими обязанными его выполнять структурами, такими, как биржи труда, муниципальные и кантональные фонды на медицинское страхование беженцев и перемещенных лиц, инвалидов, гражданских лиц - жертв войны, мобилизованных лиц, социально незащищенных лиц, фермеров, работников некоторых частных предприятий, лиц, оперирующих на черном рынке, и даже некоторых работников учреждений в области медицинского страхования, которые не получают заработную плату или временно отстранены от работы.</w:t>
      </w:r>
    </w:p>
    <w:p w:rsidR="00000000" w:rsidRDefault="00000000"/>
    <w:p w:rsidR="00000000" w:rsidRDefault="00000000">
      <w:r>
        <w:t>400.</w:t>
      </w:r>
      <w:r>
        <w:tab/>
        <w:t>Охват населения медицинским страхованием колеблется от кантона к кантону, в то время как на уровне Федерации Боснии и Герцеговины он является неудовлетворительным и составляет 85% от общей численности населения.  Наивысший охват медицинским страхованием в 2001 году был зафиксирован в кантоне Зеница-Добой и составлял 96,77%, а наинизший - в кантоне Посавина, составлявший 47,84%.  На уровне Федерации в 2001 году средняя норма реальных поступлений в расчете на одного жителя составляла 182,92 КМ, а на застрахованное лицо - 220,87 КМ.  Существует большой разброс в уровне полученных поступлений в различных кантонах, так что поступления в расчете на одного резидента/жителя колеблются от 99,27 КМ в кантоне Герцег-Босния до 341,32 КМ в кантоне Сараево, а поступления в расчете на одно застрахованное лицо составляли от 148,12 КМ в кантоне Тузла до 361,62 КМ в кантоне Сараево.</w:t>
      </w:r>
    </w:p>
    <w:p w:rsidR="00000000" w:rsidRDefault="00000000"/>
    <w:p w:rsidR="00000000" w:rsidRDefault="00000000">
      <w:r>
        <w:t>401.</w:t>
      </w:r>
      <w:r>
        <w:tab/>
        <w:t>Более трети общей суммы средств в Боснии и Герцеговине, или 37%, выделяется на первичную медицинскую помощь, 35% - на вторичную помощь и 18% - на третичную медицинскую помощь.  Одним из определяющих факторов, характеризующих расходы на здравоохранение, является уровень валового внутреннего продукта (ВВП) и доля в нем расходов на здравоохранение.  ВВП на душу населения в 2001 году составлял 2 559,00 КМ.  По имеющимся данным, доля расходов на здравоохранение в 2001 году составляла 8% от ВВП, что приблизительно равно 205 КМ на душу населения в год.</w:t>
      </w:r>
    </w:p>
    <w:p w:rsidR="00000000" w:rsidRDefault="00000000"/>
    <w:p w:rsidR="00000000" w:rsidRDefault="00000000">
      <w:r>
        <w:t>402.</w:t>
      </w:r>
      <w:r>
        <w:tab/>
        <w:t xml:space="preserve">При несчастных случаях на работе или профессиональных заболеваниях застрахованные лица по закону имеют право обращаться в органы здравоохранения, требовать принятия мер по выявлению и предотвращению подобных случаев и заболеваний и получать необходимую медицинскую помощь, а также пользоваться вспомогательными ортопедическими средствами для восстановительного лечения.  Эти меры предпринимаются с целью восстановления работоспособности, компенсации путевых расходов, связанных с реабилитацией или получением медицинской помощи после несчастного случая на работе или профессионального заболевания, и компенсации заработной платы за весь период отпуска по болезни.  </w:t>
      </w:r>
    </w:p>
    <w:p w:rsidR="00000000" w:rsidRDefault="00000000"/>
    <w:p w:rsidR="00000000" w:rsidRDefault="00000000">
      <w:r>
        <w:t>403.</w:t>
      </w:r>
      <w:r>
        <w:tab/>
        <w:t xml:space="preserve">Правом на получение компенсации в отношении заработной платы обладают также застрахованные лица, временно потерявшие трудоспособность в результате других, непрофессиональных заболеваний, травм или несчастных случаев или находящиеся в изоляции как переносчики инфекционных заболеваний, лица, назначенные для сопровождения больных, проходящих курс лечения или реабилитации, а также те, кто ухаживает за больным супругом или ребенком.  </w:t>
      </w:r>
    </w:p>
    <w:p w:rsidR="00000000" w:rsidRDefault="00000000"/>
    <w:p w:rsidR="00000000" w:rsidRDefault="00000000">
      <w:r>
        <w:t>404.</w:t>
      </w:r>
      <w:r>
        <w:tab/>
        <w:t xml:space="preserve">Компенсация личного дохода установлена на уровне не менее 80% от базовой компенсации и не может быть ниже минимальной заработной платы в том месяце, когда она устанавливается.  </w:t>
      </w:r>
    </w:p>
    <w:p w:rsidR="00000000" w:rsidRDefault="00000000"/>
    <w:p w:rsidR="00000000" w:rsidRDefault="00000000">
      <w:r>
        <w:t>405.</w:t>
      </w:r>
      <w:r>
        <w:tab/>
        <w:t xml:space="preserve">Компенсация личного дохода в размере 100% от базовой компенсации осуществляется в следующих случаях:  </w:t>
      </w:r>
    </w:p>
    <w:p w:rsidR="00000000" w:rsidRDefault="00000000"/>
    <w:p w:rsidR="00000000" w:rsidRDefault="00000000">
      <w:pPr>
        <w:numPr>
          <w:ilvl w:val="0"/>
          <w:numId w:val="50"/>
        </w:numPr>
      </w:pPr>
      <w:r>
        <w:t>в течение периода временной потери трудоспособности в результате несчастного случая на работе или профессионального заболевания;</w:t>
      </w:r>
    </w:p>
    <w:p w:rsidR="00000000" w:rsidRDefault="00000000">
      <w:pPr>
        <w:ind w:left="1134" w:hanging="567"/>
      </w:pPr>
    </w:p>
    <w:p w:rsidR="00000000" w:rsidRDefault="00000000">
      <w:pPr>
        <w:numPr>
          <w:ilvl w:val="0"/>
          <w:numId w:val="50"/>
        </w:numPr>
      </w:pPr>
      <w:r>
        <w:t>в течение периода временной потери трудоспособности по болезни или в результате осложнений, связанных с беременностью или родами;</w:t>
      </w:r>
    </w:p>
    <w:p w:rsidR="00000000" w:rsidRDefault="00000000">
      <w:pPr>
        <w:ind w:left="1134" w:hanging="567"/>
      </w:pPr>
    </w:p>
    <w:p w:rsidR="00000000" w:rsidRDefault="00000000">
      <w:pPr>
        <w:numPr>
          <w:ilvl w:val="0"/>
          <w:numId w:val="50"/>
        </w:numPr>
      </w:pPr>
      <w:r>
        <w:t xml:space="preserve">в течение периода временной потери трудоспособности в результате трансплантации живых тканей или органов другому лицу.  </w:t>
      </w:r>
    </w:p>
    <w:p w:rsidR="00000000" w:rsidRDefault="00000000">
      <w:pPr>
        <w:ind w:left="1134" w:hanging="567"/>
      </w:pPr>
    </w:p>
    <w:p w:rsidR="00000000" w:rsidRDefault="00000000">
      <w:r>
        <w:t>406.</w:t>
      </w:r>
      <w:r>
        <w:tab/>
        <w:t xml:space="preserve">Компенсация личного дохода в результате несчастного случая на работе или заболевания, связанного с профессией, определяется и выплачивается из собственных средств юридического или физического лица, являющегося работодателем застрахованного лица.  Несмотря на то, что между Образованиями и районом Брчко было подписано соглашение об оказании медицинской помощи, оно не выполняется, и лишь незначительное число застрахованных лиц пользуется правом на ее получение.  </w:t>
      </w:r>
    </w:p>
    <w:p w:rsidR="00000000" w:rsidRDefault="00000000"/>
    <w:p w:rsidR="00000000" w:rsidRDefault="00000000">
      <w:pPr>
        <w:rPr>
          <w:b/>
          <w:bCs/>
        </w:rPr>
      </w:pPr>
      <w:r>
        <w:rPr>
          <w:b/>
          <w:bCs/>
        </w:rPr>
        <w:t>Психическое здоровье</w:t>
      </w:r>
    </w:p>
    <w:p w:rsidR="00000000" w:rsidRDefault="00000000">
      <w:pPr>
        <w:rPr>
          <w:b/>
          <w:bCs/>
        </w:rPr>
      </w:pPr>
    </w:p>
    <w:p w:rsidR="00000000" w:rsidRDefault="00000000">
      <w:r>
        <w:t>407.</w:t>
      </w:r>
      <w:r>
        <w:tab/>
        <w:t xml:space="preserve">Частота возникновения проблем с психическим здоровьем значительно возросла по сравнению с довоенным периодом.  Если сопоставить показатели предвоенного периода, то можно сказать, что проблемы с психическим здоровьем возросли как прямой результат войны, особенно среди уязвимых групп населения, таких, как беженцы, перемещенные лица, дети, престарелые, молодежь и демобилизованные солдаты.  </w:t>
      </w:r>
    </w:p>
    <w:p w:rsidR="00000000" w:rsidRDefault="00000000"/>
    <w:p w:rsidR="00000000" w:rsidRDefault="00000000">
      <w:r>
        <w:t>408.</w:t>
      </w:r>
      <w:r>
        <w:tab/>
        <w:t xml:space="preserve">По оценкам, 15% населения Федерации Боснии и Герцеговины страдает от психических травм, особенно от посттравматических стрессов.  Наиболее частыми заболеваниями являются связанные со стрессом невротические расстройства, которые составляют 61% от общего числа случаев, и неестественное или аффектированное поведение, отмечаемое в 14% случаев.  Точные данные, например, о росте числа случаев насилия в результате психических расстройств, такие, как динамика увеличения количества самоубийств и убийств, отсутствуют.  Причинами почти всех психических расстройств и нарушений поведения, приводящих к самоубийствам, являются миграция, безработица, изменение семейного положения, рост насилия и другие факторы повышенного риска.  Уровень самоубийств составлял 3,8 случая на 100 000 человек в 2000 году и 32 случая на 100 000 человек в 2001 году.  Наиболее уязвимой группой, на которую приходилось 71,8% случаев в 2001 году и 64% в 2000 году, является работающее активное население в возрасте от 15 до 64 лет.  </w:t>
      </w:r>
    </w:p>
    <w:p w:rsidR="00000000" w:rsidRDefault="00000000"/>
    <w:p w:rsidR="00000000" w:rsidRDefault="00000000">
      <w:r>
        <w:t>409.</w:t>
      </w:r>
      <w:r>
        <w:tab/>
        <w:t>В эпидемиологических исследованиях признак пола рассматривается в большинстве случаев как фактор риска по всем видам психических расстройств.  Депрессивные расстройства, вызванные неврозом, в среднем в 2</w:t>
      </w:r>
      <w:r>
        <w:noBreakHyphen/>
        <w:t>3 раза более часто встречаются у женщин.  Нарушения питания встречаются у женщин в 8</w:t>
      </w:r>
      <w:r>
        <w:noBreakHyphen/>
        <w:t>10 раз чаще, чем у мужчин.  В случаях разного вида расстройств, включая те, которые чаще встречаются у мужчин или женщин, а также те, которые встречаются с одинаковой частотой, различие по признаку пола проявляется в факторах риска и в клинических аспектах.  Различия по признаку пола в нейропсихиатрических случаях, риск повторения или частота проявления, серьезность симптомов или потеря трудоспособности </w:t>
      </w:r>
      <w:r>
        <w:noBreakHyphen/>
        <w:t xml:space="preserve"> все это играет очень важную роль при назначении курса лечения и специальных процедур.  Социальный мотив психических расстройств является дополнительным негативным фактором, проявляющимся в отношении женщин в период беременности, родов и кормления грудью.  К числу других элементов репродуктивного и психического здоровья относятся:  симптомы заболевания репродуктивных органов (репродуктивные нарушения, такие, как влагалищные выделения, вызываются в большей степени стрессом, а не внешними факторами, однако практически всегда считаются проблемой физического, а не психологического состояния);  насилие и психическое здоровье (одна из наиболее инвалидизирующих и долговременных форм расстройств вследствие посттравматического стресса является результатом насилия в отношении женщин и детей);  операции на репродуктивных органах и психическое здоровье (женщины, подвергшиеся такого рода операциям, как мастектомия и удаление матки, любому другому гинекологическому хирургическому вмешательству, могут страдать психическими расстройствами);  ВИЧ/СПИД и психическое здоровье (психические расстройства, связанные с запятнанной репутацией и дискриминацией, у ВИЧ-инфицированных лиц, а также прямое и косвенное воздействие на мозг ВИЧ и других вторичных инфекционных заболеваний).  </w:t>
      </w:r>
    </w:p>
    <w:p w:rsidR="00000000" w:rsidRDefault="00000000"/>
    <w:p w:rsidR="00000000" w:rsidRDefault="00000000">
      <w:r>
        <w:t>410.</w:t>
      </w:r>
      <w:r>
        <w:tab/>
        <w:t xml:space="preserve">Как правило, женщины являются основной категорией лиц, проходящих лечение от психических расстройств и пользующихся соответствующими услугами, однако существует пока еще мало данных об эпидемиологических и клинических результатах и исследованиях по вопросу полового различия, которые используются при проведении политики в области общественного здравоохранения и в рамках соответствующих учреждений.  Отсутствие соответствующих учреждений и необходимого медицинского наблюдения за лицами с психическими расстройствами является препятствием для возвращения беженцев, нуждающихся в такой помощи.  </w:t>
      </w:r>
    </w:p>
    <w:p w:rsidR="00000000" w:rsidRDefault="00000000"/>
    <w:p w:rsidR="00000000" w:rsidRDefault="00000000">
      <w:pPr>
        <w:jc w:val="center"/>
        <w:rPr>
          <w:b/>
          <w:bCs/>
        </w:rPr>
      </w:pPr>
      <w:r>
        <w:rPr>
          <w:b/>
          <w:bCs/>
        </w:rPr>
        <w:t>Таблица 6</w:t>
      </w:r>
    </w:p>
    <w:p w:rsidR="00000000" w:rsidRDefault="00000000">
      <w:pPr>
        <w:jc w:val="center"/>
        <w:rPr>
          <w:b/>
          <w:bCs/>
        </w:rPr>
      </w:pPr>
    </w:p>
    <w:p w:rsidR="00000000" w:rsidRDefault="00000000">
      <w:pPr>
        <w:jc w:val="center"/>
        <w:rPr>
          <w:b/>
          <w:bCs/>
        </w:rPr>
      </w:pPr>
      <w:r>
        <w:rPr>
          <w:b/>
          <w:bCs/>
        </w:rPr>
        <w:t>Психические и поведенческие расстройства в Федерации Боснии и Герцеговины</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1554"/>
        <w:gridCol w:w="1344"/>
        <w:gridCol w:w="1405"/>
        <w:gridCol w:w="1297"/>
        <w:gridCol w:w="1257"/>
        <w:gridCol w:w="1290"/>
        <w:gridCol w:w="1264"/>
      </w:tblGrid>
      <w:tr w:rsidR="00000000">
        <w:trPr>
          <w:cantSplit/>
        </w:trPr>
        <w:tc>
          <w:tcPr>
            <w:tcW w:w="1554" w:type="dxa"/>
          </w:tcPr>
          <w:p w:rsidR="00000000" w:rsidRDefault="00000000">
            <w:pPr>
              <w:jc w:val="center"/>
              <w:rPr>
                <w:sz w:val="22"/>
              </w:rPr>
            </w:pPr>
          </w:p>
        </w:tc>
        <w:tc>
          <w:tcPr>
            <w:tcW w:w="2749" w:type="dxa"/>
            <w:gridSpan w:val="2"/>
          </w:tcPr>
          <w:p w:rsidR="00000000" w:rsidRDefault="00000000">
            <w:pPr>
              <w:jc w:val="center"/>
              <w:rPr>
                <w:sz w:val="22"/>
              </w:rPr>
            </w:pPr>
            <w:r>
              <w:rPr>
                <w:sz w:val="22"/>
              </w:rPr>
              <w:t>1990 год</w:t>
            </w:r>
          </w:p>
        </w:tc>
        <w:tc>
          <w:tcPr>
            <w:tcW w:w="2554" w:type="dxa"/>
            <w:gridSpan w:val="2"/>
          </w:tcPr>
          <w:p w:rsidR="00000000" w:rsidRDefault="00000000">
            <w:pPr>
              <w:jc w:val="center"/>
              <w:rPr>
                <w:sz w:val="22"/>
              </w:rPr>
            </w:pPr>
            <w:r>
              <w:rPr>
                <w:sz w:val="22"/>
              </w:rPr>
              <w:t>2000 год</w:t>
            </w:r>
          </w:p>
        </w:tc>
        <w:tc>
          <w:tcPr>
            <w:tcW w:w="2554" w:type="dxa"/>
            <w:gridSpan w:val="2"/>
          </w:tcPr>
          <w:p w:rsidR="00000000" w:rsidRDefault="00000000">
            <w:pPr>
              <w:jc w:val="center"/>
              <w:rPr>
                <w:sz w:val="22"/>
              </w:rPr>
            </w:pPr>
            <w:r>
              <w:rPr>
                <w:sz w:val="22"/>
              </w:rPr>
              <w:t>2001 год</w:t>
            </w:r>
          </w:p>
        </w:tc>
      </w:tr>
      <w:tr w:rsidR="00000000">
        <w:trPr>
          <w:cantSplit/>
        </w:trPr>
        <w:tc>
          <w:tcPr>
            <w:tcW w:w="1554" w:type="dxa"/>
            <w:vMerge w:val="restart"/>
            <w:vAlign w:val="center"/>
          </w:tcPr>
          <w:p w:rsidR="00000000" w:rsidRDefault="00000000">
            <w:pPr>
              <w:spacing w:line="216" w:lineRule="auto"/>
              <w:rPr>
                <w:sz w:val="22"/>
              </w:rPr>
            </w:pPr>
            <w:r>
              <w:rPr>
                <w:sz w:val="22"/>
              </w:rPr>
              <w:t>Психические и поведенческие расстройства</w:t>
            </w:r>
          </w:p>
        </w:tc>
        <w:tc>
          <w:tcPr>
            <w:tcW w:w="1344" w:type="dxa"/>
            <w:vAlign w:val="center"/>
          </w:tcPr>
          <w:p w:rsidR="00000000" w:rsidRDefault="00000000">
            <w:pPr>
              <w:spacing w:line="216" w:lineRule="auto"/>
              <w:jc w:val="center"/>
              <w:rPr>
                <w:sz w:val="22"/>
              </w:rPr>
            </w:pPr>
            <w:r>
              <w:rPr>
                <w:sz w:val="22"/>
              </w:rPr>
              <w:t>Количество расстройств</w:t>
            </w:r>
          </w:p>
        </w:tc>
        <w:tc>
          <w:tcPr>
            <w:tcW w:w="1405" w:type="dxa"/>
            <w:vAlign w:val="center"/>
          </w:tcPr>
          <w:p w:rsidR="00000000" w:rsidRDefault="00000000">
            <w:pPr>
              <w:spacing w:line="216" w:lineRule="auto"/>
              <w:jc w:val="center"/>
              <w:rPr>
                <w:sz w:val="22"/>
              </w:rPr>
            </w:pPr>
            <w:r>
              <w:rPr>
                <w:sz w:val="22"/>
              </w:rPr>
              <w:t>Число случаев на 100 000 чел.</w:t>
            </w:r>
          </w:p>
        </w:tc>
        <w:tc>
          <w:tcPr>
            <w:tcW w:w="1297" w:type="dxa"/>
            <w:vAlign w:val="center"/>
          </w:tcPr>
          <w:p w:rsidR="00000000" w:rsidRDefault="00000000">
            <w:pPr>
              <w:spacing w:line="216" w:lineRule="auto"/>
              <w:jc w:val="center"/>
              <w:rPr>
                <w:sz w:val="22"/>
              </w:rPr>
            </w:pPr>
            <w:r>
              <w:rPr>
                <w:sz w:val="22"/>
              </w:rPr>
              <w:t>Количество расстройств</w:t>
            </w:r>
          </w:p>
        </w:tc>
        <w:tc>
          <w:tcPr>
            <w:tcW w:w="1257" w:type="dxa"/>
            <w:vAlign w:val="center"/>
          </w:tcPr>
          <w:p w:rsidR="00000000" w:rsidRDefault="00000000">
            <w:pPr>
              <w:spacing w:line="216" w:lineRule="auto"/>
              <w:jc w:val="center"/>
              <w:rPr>
                <w:sz w:val="22"/>
              </w:rPr>
            </w:pPr>
            <w:r>
              <w:rPr>
                <w:sz w:val="22"/>
              </w:rPr>
              <w:t>Число случаев на 100 000 чел.</w:t>
            </w:r>
          </w:p>
        </w:tc>
        <w:tc>
          <w:tcPr>
            <w:tcW w:w="1290" w:type="dxa"/>
            <w:vAlign w:val="center"/>
          </w:tcPr>
          <w:p w:rsidR="00000000" w:rsidRDefault="00000000">
            <w:pPr>
              <w:spacing w:line="216" w:lineRule="auto"/>
              <w:jc w:val="center"/>
              <w:rPr>
                <w:sz w:val="22"/>
              </w:rPr>
            </w:pPr>
            <w:r>
              <w:rPr>
                <w:sz w:val="22"/>
              </w:rPr>
              <w:t>Количество расстройств</w:t>
            </w:r>
          </w:p>
        </w:tc>
        <w:tc>
          <w:tcPr>
            <w:tcW w:w="1264" w:type="dxa"/>
            <w:vAlign w:val="center"/>
          </w:tcPr>
          <w:p w:rsidR="00000000" w:rsidRDefault="00000000">
            <w:pPr>
              <w:spacing w:line="216" w:lineRule="auto"/>
              <w:jc w:val="center"/>
              <w:rPr>
                <w:sz w:val="22"/>
              </w:rPr>
            </w:pPr>
            <w:r>
              <w:rPr>
                <w:sz w:val="22"/>
              </w:rPr>
              <w:t>Число случаев на 100 000 чел.</w:t>
            </w:r>
          </w:p>
        </w:tc>
      </w:tr>
      <w:tr w:rsidR="00000000">
        <w:trPr>
          <w:cantSplit/>
        </w:trPr>
        <w:tc>
          <w:tcPr>
            <w:tcW w:w="1554" w:type="dxa"/>
            <w:vMerge/>
          </w:tcPr>
          <w:p w:rsidR="00000000" w:rsidRDefault="00000000">
            <w:pPr>
              <w:rPr>
                <w:sz w:val="22"/>
              </w:rPr>
            </w:pPr>
          </w:p>
        </w:tc>
        <w:tc>
          <w:tcPr>
            <w:tcW w:w="1344" w:type="dxa"/>
          </w:tcPr>
          <w:p w:rsidR="00000000" w:rsidRDefault="00000000">
            <w:pPr>
              <w:jc w:val="center"/>
              <w:rPr>
                <w:sz w:val="22"/>
              </w:rPr>
            </w:pPr>
            <w:r>
              <w:rPr>
                <w:sz w:val="22"/>
              </w:rPr>
              <w:t>51 435</w:t>
            </w:r>
          </w:p>
        </w:tc>
        <w:tc>
          <w:tcPr>
            <w:tcW w:w="1405" w:type="dxa"/>
          </w:tcPr>
          <w:p w:rsidR="00000000" w:rsidRDefault="00000000">
            <w:pPr>
              <w:jc w:val="center"/>
              <w:rPr>
                <w:sz w:val="22"/>
              </w:rPr>
            </w:pPr>
            <w:r>
              <w:rPr>
                <w:sz w:val="22"/>
              </w:rPr>
              <w:t>2 240</w:t>
            </w:r>
          </w:p>
        </w:tc>
        <w:tc>
          <w:tcPr>
            <w:tcW w:w="1297" w:type="dxa"/>
          </w:tcPr>
          <w:p w:rsidR="00000000" w:rsidRDefault="00000000">
            <w:pPr>
              <w:jc w:val="center"/>
              <w:rPr>
                <w:sz w:val="22"/>
              </w:rPr>
            </w:pPr>
            <w:r>
              <w:rPr>
                <w:sz w:val="22"/>
              </w:rPr>
              <w:t>56 460</w:t>
            </w:r>
          </w:p>
        </w:tc>
        <w:tc>
          <w:tcPr>
            <w:tcW w:w="1257" w:type="dxa"/>
          </w:tcPr>
          <w:p w:rsidR="00000000" w:rsidRDefault="00000000">
            <w:pPr>
              <w:jc w:val="center"/>
              <w:rPr>
                <w:sz w:val="22"/>
              </w:rPr>
            </w:pPr>
            <w:r>
              <w:rPr>
                <w:sz w:val="22"/>
              </w:rPr>
              <w:t>2 470</w:t>
            </w:r>
          </w:p>
        </w:tc>
        <w:tc>
          <w:tcPr>
            <w:tcW w:w="1290" w:type="dxa"/>
          </w:tcPr>
          <w:p w:rsidR="00000000" w:rsidRDefault="00000000">
            <w:pPr>
              <w:jc w:val="center"/>
              <w:rPr>
                <w:sz w:val="22"/>
              </w:rPr>
            </w:pPr>
            <w:r>
              <w:rPr>
                <w:sz w:val="22"/>
              </w:rPr>
              <w:t>48 464</w:t>
            </w:r>
          </w:p>
        </w:tc>
        <w:tc>
          <w:tcPr>
            <w:tcW w:w="1264" w:type="dxa"/>
          </w:tcPr>
          <w:p w:rsidR="00000000" w:rsidRDefault="00000000">
            <w:pPr>
              <w:jc w:val="center"/>
              <w:rPr>
                <w:sz w:val="22"/>
              </w:rPr>
            </w:pPr>
            <w:r>
              <w:rPr>
                <w:sz w:val="22"/>
              </w:rPr>
              <w:t>2 100</w:t>
            </w:r>
          </w:p>
        </w:tc>
      </w:tr>
    </w:tbl>
    <w:p w:rsidR="00000000" w:rsidRDefault="00000000"/>
    <w:p w:rsidR="00000000" w:rsidRDefault="00000000">
      <w:pPr>
        <w:rPr>
          <w:b/>
          <w:bCs/>
        </w:rPr>
      </w:pPr>
      <w:r>
        <w:rPr>
          <w:b/>
          <w:bCs/>
        </w:rPr>
        <w:t>Проведение иммунизации против туберкулеза</w:t>
      </w:r>
    </w:p>
    <w:p w:rsidR="00000000" w:rsidRDefault="00000000">
      <w:pPr>
        <w:rPr>
          <w:b/>
          <w:bCs/>
        </w:rPr>
      </w:pPr>
    </w:p>
    <w:p w:rsidR="00000000" w:rsidRDefault="00000000">
      <w:r>
        <w:t>411.</w:t>
      </w:r>
      <w:r>
        <w:tab/>
        <w:t>Средний уровень первичной противотуберкулезной вакцинации детей в 2000 году составлял 91% и в настоящее время снижается по сравнению с уровнем в 92,5% в 2001 году.  Наивысший уровень вакцинации, составлявший 99,5%, был зарегистрирован в кантоне Ливно, а наинизший 89,5% - в кантоне Тузла.  Вместе с 46 европейскими государствами Босния и Герцеговина приступила к осуществлению программы контроля за туберкулезом в Европе, названной Евро ТБ.  Если посмотреть на данные за 1999</w:t>
      </w:r>
      <w:r>
        <w:noBreakHyphen/>
        <w:t>2001 годы, то можно отметить увеличение числа больных туберкулезом, как это видно по данным для Федерации Боснии и Герцеговины, приведенным в нижеследующей таблице.</w:t>
      </w:r>
    </w:p>
    <w:p w:rsidR="00000000" w:rsidRDefault="00000000"/>
    <w:p w:rsidR="00000000" w:rsidRDefault="00000000">
      <w:pPr>
        <w:spacing w:line="240" w:lineRule="auto"/>
        <w:jc w:val="center"/>
        <w:rPr>
          <w:b/>
          <w:bCs/>
        </w:rPr>
      </w:pPr>
      <w:r>
        <w:rPr>
          <w:b/>
          <w:bCs/>
          <w:lang w:val="en-GB"/>
        </w:rPr>
        <w:t>Ta</w:t>
      </w:r>
      <w:r>
        <w:rPr>
          <w:b/>
          <w:bCs/>
        </w:rPr>
        <w:t>блица 7</w:t>
      </w:r>
    </w:p>
    <w:p w:rsidR="00000000" w:rsidRDefault="00000000">
      <w:pPr>
        <w:spacing w:line="240" w:lineRule="auto"/>
        <w:jc w:val="center"/>
      </w:pPr>
    </w:p>
    <w:p w:rsidR="00000000" w:rsidRDefault="00000000">
      <w:pPr>
        <w:spacing w:line="240" w:lineRule="auto"/>
        <w:jc w:val="center"/>
        <w:rPr>
          <w:b/>
          <w:bCs/>
        </w:rPr>
      </w:pPr>
      <w:r>
        <w:rPr>
          <w:b/>
          <w:bCs/>
        </w:rPr>
        <w:t>Больные туберкулезом в Федерации Боснии и Герцеговины</w:t>
      </w:r>
    </w:p>
    <w:p w:rsidR="00000000" w:rsidRDefault="00000000">
      <w:pPr>
        <w:spacing w:line="240" w:lineRule="auto"/>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1134"/>
        <w:gridCol w:w="1948"/>
        <w:gridCol w:w="1171"/>
        <w:gridCol w:w="2125"/>
        <w:gridCol w:w="1135"/>
        <w:gridCol w:w="1843"/>
      </w:tblGrid>
      <w:tr w:rsidR="00000000">
        <w:tc>
          <w:tcPr>
            <w:tcW w:w="3082" w:type="dxa"/>
            <w:gridSpan w:val="2"/>
          </w:tcPr>
          <w:p w:rsidR="00000000" w:rsidRDefault="00000000">
            <w:pPr>
              <w:jc w:val="center"/>
              <w:rPr>
                <w:sz w:val="22"/>
              </w:rPr>
            </w:pPr>
            <w:r>
              <w:rPr>
                <w:sz w:val="22"/>
              </w:rPr>
              <w:t>1999 год</w:t>
            </w:r>
          </w:p>
        </w:tc>
        <w:tc>
          <w:tcPr>
            <w:tcW w:w="3296" w:type="dxa"/>
            <w:gridSpan w:val="2"/>
          </w:tcPr>
          <w:p w:rsidR="00000000" w:rsidRDefault="00000000">
            <w:pPr>
              <w:jc w:val="center"/>
              <w:rPr>
                <w:sz w:val="22"/>
              </w:rPr>
            </w:pPr>
            <w:r>
              <w:rPr>
                <w:sz w:val="22"/>
              </w:rPr>
              <w:t>2000 год</w:t>
            </w:r>
          </w:p>
        </w:tc>
        <w:tc>
          <w:tcPr>
            <w:tcW w:w="2978" w:type="dxa"/>
            <w:gridSpan w:val="2"/>
          </w:tcPr>
          <w:p w:rsidR="00000000" w:rsidRDefault="00000000">
            <w:pPr>
              <w:jc w:val="center"/>
              <w:rPr>
                <w:sz w:val="22"/>
              </w:rPr>
            </w:pPr>
            <w:r>
              <w:rPr>
                <w:sz w:val="22"/>
              </w:rPr>
              <w:t>2001 год</w:t>
            </w:r>
          </w:p>
        </w:tc>
      </w:tr>
      <w:tr w:rsidR="00000000">
        <w:tc>
          <w:tcPr>
            <w:tcW w:w="1134" w:type="dxa"/>
          </w:tcPr>
          <w:p w:rsidR="00000000" w:rsidRDefault="00000000">
            <w:pPr>
              <w:jc w:val="center"/>
              <w:rPr>
                <w:sz w:val="22"/>
              </w:rPr>
            </w:pPr>
            <w:r>
              <w:rPr>
                <w:sz w:val="22"/>
              </w:rPr>
              <w:t>Всего</w:t>
            </w:r>
          </w:p>
        </w:tc>
        <w:tc>
          <w:tcPr>
            <w:tcW w:w="1948" w:type="dxa"/>
          </w:tcPr>
          <w:p w:rsidR="00000000" w:rsidRDefault="00000000">
            <w:pPr>
              <w:jc w:val="center"/>
              <w:rPr>
                <w:sz w:val="22"/>
              </w:rPr>
            </w:pPr>
            <w:r>
              <w:rPr>
                <w:sz w:val="22"/>
              </w:rPr>
              <w:t>Количество случаев на 100 000 человек</w:t>
            </w:r>
          </w:p>
        </w:tc>
        <w:tc>
          <w:tcPr>
            <w:tcW w:w="1134" w:type="dxa"/>
          </w:tcPr>
          <w:p w:rsidR="00000000" w:rsidRDefault="00000000">
            <w:pPr>
              <w:jc w:val="center"/>
              <w:rPr>
                <w:sz w:val="22"/>
              </w:rPr>
            </w:pPr>
            <w:r>
              <w:rPr>
                <w:sz w:val="22"/>
              </w:rPr>
              <w:t>Всего</w:t>
            </w:r>
          </w:p>
        </w:tc>
        <w:tc>
          <w:tcPr>
            <w:tcW w:w="2125" w:type="dxa"/>
          </w:tcPr>
          <w:p w:rsidR="00000000" w:rsidRDefault="00000000">
            <w:pPr>
              <w:jc w:val="center"/>
              <w:rPr>
                <w:sz w:val="22"/>
              </w:rPr>
            </w:pPr>
            <w:r>
              <w:rPr>
                <w:sz w:val="22"/>
              </w:rPr>
              <w:t>Количество случаев на 100 000 человек</w:t>
            </w:r>
          </w:p>
        </w:tc>
        <w:tc>
          <w:tcPr>
            <w:tcW w:w="1135" w:type="dxa"/>
          </w:tcPr>
          <w:p w:rsidR="00000000" w:rsidRDefault="00000000">
            <w:pPr>
              <w:jc w:val="center"/>
              <w:rPr>
                <w:sz w:val="22"/>
              </w:rPr>
            </w:pPr>
            <w:r>
              <w:rPr>
                <w:sz w:val="22"/>
              </w:rPr>
              <w:t>Всего</w:t>
            </w:r>
          </w:p>
        </w:tc>
        <w:tc>
          <w:tcPr>
            <w:tcW w:w="1843" w:type="dxa"/>
          </w:tcPr>
          <w:p w:rsidR="00000000" w:rsidRDefault="00000000">
            <w:pPr>
              <w:jc w:val="center"/>
              <w:rPr>
                <w:sz w:val="22"/>
              </w:rPr>
            </w:pPr>
            <w:r>
              <w:rPr>
                <w:sz w:val="22"/>
              </w:rPr>
              <w:t>Количество случаев на 100 000 человек</w:t>
            </w:r>
          </w:p>
        </w:tc>
      </w:tr>
      <w:tr w:rsidR="00000000">
        <w:tc>
          <w:tcPr>
            <w:tcW w:w="1134" w:type="dxa"/>
          </w:tcPr>
          <w:p w:rsidR="00000000" w:rsidRDefault="00000000">
            <w:pPr>
              <w:jc w:val="center"/>
              <w:rPr>
                <w:sz w:val="22"/>
              </w:rPr>
            </w:pPr>
            <w:r>
              <w:rPr>
                <w:sz w:val="22"/>
              </w:rPr>
              <w:t>297</w:t>
            </w:r>
          </w:p>
        </w:tc>
        <w:tc>
          <w:tcPr>
            <w:tcW w:w="1948" w:type="dxa"/>
          </w:tcPr>
          <w:p w:rsidR="00000000" w:rsidRDefault="00000000">
            <w:pPr>
              <w:jc w:val="center"/>
              <w:rPr>
                <w:sz w:val="22"/>
              </w:rPr>
            </w:pPr>
            <w:r>
              <w:rPr>
                <w:sz w:val="22"/>
              </w:rPr>
              <w:t>113,2</w:t>
            </w:r>
          </w:p>
        </w:tc>
        <w:tc>
          <w:tcPr>
            <w:tcW w:w="1171" w:type="dxa"/>
          </w:tcPr>
          <w:p w:rsidR="00000000" w:rsidRDefault="00000000">
            <w:pPr>
              <w:jc w:val="center"/>
              <w:rPr>
                <w:sz w:val="22"/>
              </w:rPr>
            </w:pPr>
            <w:r>
              <w:rPr>
                <w:sz w:val="22"/>
              </w:rPr>
              <w:t>340</w:t>
            </w:r>
          </w:p>
        </w:tc>
        <w:tc>
          <w:tcPr>
            <w:tcW w:w="2125" w:type="dxa"/>
          </w:tcPr>
          <w:p w:rsidR="00000000" w:rsidRDefault="00000000">
            <w:pPr>
              <w:jc w:val="center"/>
              <w:rPr>
                <w:sz w:val="22"/>
              </w:rPr>
            </w:pPr>
            <w:r>
              <w:rPr>
                <w:sz w:val="22"/>
              </w:rPr>
              <w:t>113,4</w:t>
            </w:r>
          </w:p>
        </w:tc>
        <w:tc>
          <w:tcPr>
            <w:tcW w:w="1135" w:type="dxa"/>
          </w:tcPr>
          <w:p w:rsidR="00000000" w:rsidRDefault="00000000">
            <w:pPr>
              <w:jc w:val="center"/>
              <w:rPr>
                <w:sz w:val="22"/>
              </w:rPr>
            </w:pPr>
            <w:r>
              <w:rPr>
                <w:sz w:val="22"/>
              </w:rPr>
              <w:t>368</w:t>
            </w:r>
          </w:p>
        </w:tc>
        <w:tc>
          <w:tcPr>
            <w:tcW w:w="1843" w:type="dxa"/>
          </w:tcPr>
          <w:p w:rsidR="00000000" w:rsidRDefault="00000000">
            <w:pPr>
              <w:jc w:val="center"/>
              <w:rPr>
                <w:sz w:val="22"/>
              </w:rPr>
            </w:pPr>
            <w:r>
              <w:rPr>
                <w:sz w:val="22"/>
              </w:rPr>
              <w:t>120,6</w:t>
            </w:r>
          </w:p>
        </w:tc>
      </w:tr>
    </w:tbl>
    <w:p w:rsidR="00000000" w:rsidRDefault="00000000"/>
    <w:p w:rsidR="00000000" w:rsidRDefault="00000000">
      <w:r>
        <w:t xml:space="preserve">Количество случаев заболевания туберкулезом в послевоенный период растет по сравнению с довоенным периодом, что непосредственно связано с бедностью населения.  </w:t>
      </w:r>
    </w:p>
    <w:p w:rsidR="00000000" w:rsidRDefault="00000000"/>
    <w:p w:rsidR="00000000" w:rsidRDefault="00000000">
      <w:pPr>
        <w:rPr>
          <w:b/>
          <w:bCs/>
        </w:rPr>
      </w:pPr>
      <w:r>
        <w:rPr>
          <w:b/>
          <w:bCs/>
        </w:rPr>
        <w:t>Наиболее частые причины и уровни смертности</w:t>
      </w:r>
    </w:p>
    <w:p w:rsidR="00000000" w:rsidRDefault="00000000">
      <w:pPr>
        <w:rPr>
          <w:b/>
          <w:bCs/>
        </w:rPr>
      </w:pPr>
    </w:p>
    <w:p w:rsidR="00000000" w:rsidRDefault="00000000">
      <w:r>
        <w:t>412.</w:t>
      </w:r>
      <w:r>
        <w:tab/>
        <w:t>Босния и Герцеговина не имеет национальной политики в области здравоохранения или национальной программы медицинской помощи.</w:t>
      </w:r>
    </w:p>
    <w:p w:rsidR="00000000" w:rsidRDefault="00000000"/>
    <w:p w:rsidR="00000000" w:rsidRDefault="00000000">
      <w:r>
        <w:t>413.</w:t>
      </w:r>
      <w:r>
        <w:tab/>
        <w:t>Уровень материнской смертности до войны в 1990 году в Боснии и Герцеговине составлял 21,4 случая смерти на 100 000 жителей.  Данные об уровне материнской смертности после войны не являются надежными, однако, по имеющимся сведениям, там, где установлена причина смерти, уровень материнской смертности в 2000 году составлял 8 случаев на 100 000 человек.  К указанным выше данным следует относиться с осторожностью в связи с неудовлетворительной информацией о причинах смерти.</w:t>
      </w:r>
    </w:p>
    <w:p w:rsidR="00000000" w:rsidRDefault="00000000"/>
    <w:p w:rsidR="00000000" w:rsidRDefault="00000000">
      <w:r>
        <w:t>414.</w:t>
      </w:r>
      <w:r>
        <w:tab/>
        <w:t>Главными причинами (в процентах) смерти младенцев в Боснии и Герцеговине в 2002 году были:</w:t>
      </w:r>
    </w:p>
    <w:p w:rsidR="00000000" w:rsidRDefault="00000000"/>
    <w:p w:rsidR="00000000" w:rsidRDefault="00000000">
      <w:pPr>
        <w:numPr>
          <w:ilvl w:val="0"/>
          <w:numId w:val="25"/>
        </w:numPr>
        <w:tabs>
          <w:tab w:val="clear" w:pos="1701"/>
        </w:tabs>
      </w:pPr>
      <w:r>
        <w:t>некоторые заболевания перинатального характера - 67,7%;</w:t>
      </w:r>
    </w:p>
    <w:p w:rsidR="00000000" w:rsidRDefault="00000000">
      <w:pPr>
        <w:tabs>
          <w:tab w:val="clear" w:pos="1134"/>
        </w:tabs>
      </w:pPr>
    </w:p>
    <w:p w:rsidR="00000000" w:rsidRDefault="00000000">
      <w:pPr>
        <w:numPr>
          <w:ilvl w:val="0"/>
          <w:numId w:val="25"/>
        </w:numPr>
        <w:tabs>
          <w:tab w:val="clear" w:pos="1701"/>
        </w:tabs>
      </w:pPr>
      <w:r>
        <w:t>врожденные пороки, уродства и их хромологические аномалии - 12,6%;</w:t>
      </w:r>
    </w:p>
    <w:p w:rsidR="00000000" w:rsidRDefault="00000000">
      <w:pPr>
        <w:tabs>
          <w:tab w:val="clear" w:pos="1134"/>
        </w:tabs>
      </w:pPr>
    </w:p>
    <w:p w:rsidR="00000000" w:rsidRDefault="00000000">
      <w:pPr>
        <w:numPr>
          <w:ilvl w:val="0"/>
          <w:numId w:val="25"/>
        </w:numPr>
        <w:tabs>
          <w:tab w:val="clear" w:pos="1701"/>
        </w:tabs>
      </w:pPr>
      <w:r>
        <w:t>болезни сосудистой системы - 2,1%;</w:t>
      </w:r>
    </w:p>
    <w:p w:rsidR="00000000" w:rsidRDefault="00000000">
      <w:pPr>
        <w:tabs>
          <w:tab w:val="clear" w:pos="1134"/>
        </w:tabs>
      </w:pPr>
    </w:p>
    <w:p w:rsidR="00000000" w:rsidRDefault="00000000">
      <w:pPr>
        <w:numPr>
          <w:ilvl w:val="0"/>
          <w:numId w:val="25"/>
        </w:numPr>
        <w:tabs>
          <w:tab w:val="clear" w:pos="1701"/>
        </w:tabs>
      </w:pPr>
      <w:r>
        <w:t>симптомы, признаки и другие аномальные данные лабораторных анализов при неустановленном диагнозе - 6%;</w:t>
      </w:r>
    </w:p>
    <w:p w:rsidR="00000000" w:rsidRDefault="00000000">
      <w:pPr>
        <w:tabs>
          <w:tab w:val="clear" w:pos="1134"/>
        </w:tabs>
      </w:pPr>
    </w:p>
    <w:p w:rsidR="00000000" w:rsidRDefault="00000000">
      <w:pPr>
        <w:numPr>
          <w:ilvl w:val="0"/>
          <w:numId w:val="25"/>
        </w:numPr>
        <w:tabs>
          <w:tab w:val="clear" w:pos="1701"/>
        </w:tabs>
      </w:pPr>
      <w:r>
        <w:t>некоторые инфекционные заболевания - 3,9%;</w:t>
      </w:r>
    </w:p>
    <w:p w:rsidR="00000000" w:rsidRDefault="00000000">
      <w:pPr>
        <w:tabs>
          <w:tab w:val="clear" w:pos="1134"/>
        </w:tabs>
      </w:pPr>
    </w:p>
    <w:p w:rsidR="00000000" w:rsidRDefault="00000000">
      <w:pPr>
        <w:numPr>
          <w:ilvl w:val="0"/>
          <w:numId w:val="25"/>
        </w:numPr>
        <w:tabs>
          <w:tab w:val="clear" w:pos="1701"/>
        </w:tabs>
      </w:pPr>
      <w:r>
        <w:t>прочие болезни, обстоятельства и травмы - 7,8%.</w:t>
      </w:r>
    </w:p>
    <w:p w:rsidR="00000000" w:rsidRDefault="00000000">
      <w:pPr>
        <w:tabs>
          <w:tab w:val="clear" w:pos="1134"/>
        </w:tabs>
      </w:pPr>
    </w:p>
    <w:p w:rsidR="00000000" w:rsidRDefault="00000000">
      <w:pPr>
        <w:tabs>
          <w:tab w:val="clear" w:pos="1134"/>
        </w:tabs>
      </w:pPr>
      <w:r>
        <w:rPr>
          <w:i/>
          <w:iCs/>
        </w:rPr>
        <w:tab/>
        <w:t>(Источник:</w:t>
      </w:r>
      <w:r>
        <w:t xml:space="preserve">  Таблица 18, Статистический бюллетень 5, 2003 год, Статистическое агентство Боснии и Герцеговины).</w:t>
      </w:r>
    </w:p>
    <w:p w:rsidR="00000000" w:rsidRDefault="00000000">
      <w:pPr>
        <w:tabs>
          <w:tab w:val="clear" w:pos="1134"/>
        </w:tabs>
      </w:pPr>
    </w:p>
    <w:p w:rsidR="00000000" w:rsidRDefault="00000000">
      <w:pPr>
        <w:tabs>
          <w:tab w:val="clear" w:pos="1134"/>
        </w:tabs>
      </w:pPr>
      <w:r>
        <w:t>415.</w:t>
      </w:r>
      <w:r>
        <w:tab/>
        <w:t>Главной причиной смертности (летальности) в 2002 году были болезни сосудистой системы при уровне смертности, составившем 53,1%.  Злокачественные новообразования были причиной смертности в 17,5% случаев, травмы и отравления - в 3,2% случаев и болезни пищеварительной системы - в 2,7% случаев.  Все прочие заболевания стали причиной смерти в 13,5% случаев.  Стандартные данные о конкретных уровнях смертности по каждой болезни пока еще отсутствуют.</w:t>
      </w:r>
    </w:p>
    <w:p w:rsidR="00000000" w:rsidRDefault="00000000">
      <w:pPr>
        <w:tabs>
          <w:tab w:val="clear" w:pos="1134"/>
        </w:tabs>
      </w:pPr>
    </w:p>
    <w:p w:rsidR="00000000" w:rsidRDefault="00000000">
      <w:pPr>
        <w:tabs>
          <w:tab w:val="clear" w:pos="1134"/>
        </w:tabs>
      </w:pPr>
      <w:r>
        <w:t>416.</w:t>
      </w:r>
      <w:r>
        <w:tab/>
        <w:t>Общий уровень смертности в 1991 году в Боснии и Герцеговине составлял 7%.  В послевоенный период имел место незначительный рост этого показателя, и в 2002 году уровень смертности составлял 7,9%.  Эти данные следует рассматривать как предварительные.</w:t>
      </w:r>
    </w:p>
    <w:p w:rsidR="00000000" w:rsidRDefault="00000000">
      <w:pPr>
        <w:tabs>
          <w:tab w:val="clear" w:pos="1134"/>
        </w:tabs>
      </w:pPr>
    </w:p>
    <w:p w:rsidR="00000000" w:rsidRDefault="00000000">
      <w:pPr>
        <w:tabs>
          <w:tab w:val="clear" w:pos="1134"/>
        </w:tabs>
      </w:pPr>
      <w:r>
        <w:t>417.</w:t>
      </w:r>
      <w:r>
        <w:tab/>
        <w:t>Основные причины смертности в Боснии и Герцеговине в 2002 году:</w:t>
      </w:r>
    </w:p>
    <w:p w:rsidR="00000000" w:rsidRDefault="00000000">
      <w:pPr>
        <w:tabs>
          <w:tab w:val="clear" w:pos="1134"/>
        </w:tabs>
      </w:pPr>
    </w:p>
    <w:p w:rsidR="00000000" w:rsidRDefault="00000000">
      <w:pPr>
        <w:numPr>
          <w:ilvl w:val="0"/>
          <w:numId w:val="26"/>
        </w:numPr>
      </w:pPr>
      <w:r>
        <w:t>заболевания сердечно-сосудистой системы - 53,1%;</w:t>
      </w:r>
    </w:p>
    <w:p w:rsidR="00000000" w:rsidRDefault="00000000">
      <w:pPr>
        <w:tabs>
          <w:tab w:val="clear" w:pos="1134"/>
        </w:tabs>
      </w:pPr>
    </w:p>
    <w:p w:rsidR="00000000" w:rsidRDefault="00000000">
      <w:pPr>
        <w:numPr>
          <w:ilvl w:val="0"/>
          <w:numId w:val="26"/>
        </w:numPr>
      </w:pPr>
      <w:r>
        <w:t>злокачественные новообразования - 17,5%;</w:t>
      </w:r>
    </w:p>
    <w:p w:rsidR="00000000" w:rsidRDefault="00000000">
      <w:pPr>
        <w:tabs>
          <w:tab w:val="clear" w:pos="1134"/>
        </w:tabs>
      </w:pPr>
    </w:p>
    <w:p w:rsidR="00000000" w:rsidRDefault="00000000">
      <w:pPr>
        <w:numPr>
          <w:ilvl w:val="0"/>
          <w:numId w:val="26"/>
        </w:numPr>
      </w:pPr>
      <w:r>
        <w:t>симптомы, признаки и другие аномальные данные лабораторных анализов при неустановленном диагнозе - 9,9%;</w:t>
      </w:r>
    </w:p>
    <w:p w:rsidR="00000000" w:rsidRDefault="00000000">
      <w:pPr>
        <w:tabs>
          <w:tab w:val="clear" w:pos="1134"/>
        </w:tabs>
      </w:pPr>
    </w:p>
    <w:p w:rsidR="00000000" w:rsidRDefault="00000000">
      <w:pPr>
        <w:numPr>
          <w:ilvl w:val="0"/>
          <w:numId w:val="26"/>
        </w:numPr>
      </w:pPr>
      <w:r>
        <w:t>травмы, отравления и другие внешние причины заболевания - 3,2%;</w:t>
      </w:r>
    </w:p>
    <w:p w:rsidR="00000000" w:rsidRDefault="00000000">
      <w:pPr>
        <w:tabs>
          <w:tab w:val="clear" w:pos="1134"/>
        </w:tabs>
      </w:pPr>
    </w:p>
    <w:p w:rsidR="00000000" w:rsidRDefault="00000000">
      <w:pPr>
        <w:numPr>
          <w:ilvl w:val="0"/>
          <w:numId w:val="26"/>
        </w:numPr>
      </w:pPr>
      <w:r>
        <w:t>болезни пищеварительной системы - 2,7%;</w:t>
      </w:r>
    </w:p>
    <w:p w:rsidR="00000000" w:rsidRDefault="00000000">
      <w:pPr>
        <w:tabs>
          <w:tab w:val="clear" w:pos="1134"/>
        </w:tabs>
      </w:pPr>
    </w:p>
    <w:p w:rsidR="00000000" w:rsidRDefault="00000000">
      <w:pPr>
        <w:keepNext/>
        <w:numPr>
          <w:ilvl w:val="0"/>
          <w:numId w:val="26"/>
        </w:numPr>
      </w:pPr>
      <w:r>
        <w:t>прочие причины смерти - 13,5%.</w:t>
      </w:r>
    </w:p>
    <w:p w:rsidR="00000000" w:rsidRDefault="00000000">
      <w:pPr>
        <w:keepNext/>
        <w:tabs>
          <w:tab w:val="clear" w:pos="1134"/>
        </w:tabs>
      </w:pPr>
    </w:p>
    <w:p w:rsidR="00000000" w:rsidRDefault="00000000">
      <w:pPr>
        <w:tabs>
          <w:tab w:val="clear" w:pos="1134"/>
        </w:tabs>
      </w:pPr>
      <w:r>
        <w:rPr>
          <w:i/>
          <w:iCs/>
        </w:rPr>
        <w:tab/>
        <w:t>(Источник:</w:t>
      </w:r>
      <w:r>
        <w:t xml:space="preserve">  Таблица 17, Статистический бюллетень 5, 2003 год, Статистическое агентство Боснии и Герцеговины).</w:t>
      </w:r>
    </w:p>
    <w:p w:rsidR="00000000" w:rsidRDefault="00000000">
      <w:pPr>
        <w:tabs>
          <w:tab w:val="clear" w:pos="1134"/>
        </w:tabs>
      </w:pPr>
    </w:p>
    <w:p w:rsidR="00000000" w:rsidRDefault="00000000">
      <w:pPr>
        <w:keepNext/>
        <w:jc w:val="center"/>
        <w:rPr>
          <w:b/>
          <w:bCs/>
        </w:rPr>
      </w:pPr>
      <w:r>
        <w:rPr>
          <w:b/>
          <w:bCs/>
          <w:lang w:val="en-GB"/>
        </w:rPr>
        <w:br w:type="page"/>
        <w:t>Ta</w:t>
      </w:r>
      <w:r>
        <w:rPr>
          <w:b/>
          <w:bCs/>
        </w:rPr>
        <w:t>блица 8</w:t>
      </w:r>
    </w:p>
    <w:p w:rsidR="00000000" w:rsidRDefault="00000000">
      <w:pPr>
        <w:keepNext/>
        <w:jc w:val="center"/>
        <w:rPr>
          <w:b/>
          <w:bCs/>
        </w:rPr>
      </w:pPr>
    </w:p>
    <w:p w:rsidR="00000000" w:rsidRDefault="00000000">
      <w:pPr>
        <w:keepNext/>
        <w:jc w:val="center"/>
        <w:rPr>
          <w:b/>
          <w:bCs/>
        </w:rPr>
      </w:pPr>
      <w:r>
        <w:rPr>
          <w:b/>
          <w:bCs/>
        </w:rPr>
        <w:t>Основные группы заболеваний в Федерации Боснии</w:t>
      </w:r>
    </w:p>
    <w:p w:rsidR="00000000" w:rsidRDefault="00000000">
      <w:pPr>
        <w:keepNext/>
        <w:jc w:val="center"/>
        <w:rPr>
          <w:b/>
          <w:bCs/>
        </w:rPr>
      </w:pPr>
      <w:r>
        <w:rPr>
          <w:b/>
          <w:bCs/>
        </w:rPr>
        <w:t>и Герцеговины в 1999-2001 годах</w:t>
      </w:r>
    </w:p>
    <w:p w:rsidR="00000000" w:rsidRDefault="00000000">
      <w:pPr>
        <w:keepNext/>
        <w:jc w:val="cente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7"/>
        <w:gridCol w:w="2937"/>
        <w:gridCol w:w="1092"/>
        <w:gridCol w:w="952"/>
        <w:gridCol w:w="1063"/>
        <w:gridCol w:w="1036"/>
        <w:gridCol w:w="1064"/>
        <w:gridCol w:w="899"/>
      </w:tblGrid>
      <w:tr w:rsidR="00000000">
        <w:tblPrEx>
          <w:tblCellMar>
            <w:top w:w="0" w:type="dxa"/>
            <w:bottom w:w="0" w:type="dxa"/>
          </w:tblCellMar>
        </w:tblPrEx>
        <w:trPr>
          <w:cantSplit/>
        </w:trPr>
        <w:tc>
          <w:tcPr>
            <w:tcW w:w="3304" w:type="dxa"/>
            <w:gridSpan w:val="2"/>
            <w:vMerge w:val="restart"/>
            <w:tcBorders>
              <w:top w:val="single" w:sz="4" w:space="0" w:color="auto"/>
            </w:tcBorders>
            <w:vAlign w:val="center"/>
          </w:tcPr>
          <w:p w:rsidR="00000000" w:rsidRDefault="00000000">
            <w:pPr>
              <w:spacing w:line="240" w:lineRule="auto"/>
              <w:jc w:val="center"/>
              <w:rPr>
                <w:sz w:val="22"/>
              </w:rPr>
            </w:pPr>
            <w:r>
              <w:rPr>
                <w:sz w:val="22"/>
              </w:rPr>
              <w:t>Заболевания</w:t>
            </w:r>
          </w:p>
        </w:tc>
        <w:tc>
          <w:tcPr>
            <w:tcW w:w="2044" w:type="dxa"/>
            <w:gridSpan w:val="2"/>
            <w:tcBorders>
              <w:bottom w:val="single" w:sz="4" w:space="0" w:color="auto"/>
            </w:tcBorders>
          </w:tcPr>
          <w:p w:rsidR="00000000" w:rsidRDefault="00000000">
            <w:pPr>
              <w:spacing w:line="240" w:lineRule="auto"/>
              <w:jc w:val="center"/>
              <w:rPr>
                <w:sz w:val="22"/>
              </w:rPr>
            </w:pPr>
            <w:r>
              <w:rPr>
                <w:sz w:val="22"/>
              </w:rPr>
              <w:t>1999 год</w:t>
            </w:r>
          </w:p>
        </w:tc>
        <w:tc>
          <w:tcPr>
            <w:tcW w:w="2099" w:type="dxa"/>
            <w:gridSpan w:val="2"/>
            <w:tcBorders>
              <w:bottom w:val="single" w:sz="4" w:space="0" w:color="auto"/>
            </w:tcBorders>
          </w:tcPr>
          <w:p w:rsidR="00000000" w:rsidRDefault="00000000">
            <w:pPr>
              <w:spacing w:line="240" w:lineRule="auto"/>
              <w:jc w:val="center"/>
              <w:rPr>
                <w:sz w:val="22"/>
              </w:rPr>
            </w:pPr>
            <w:r>
              <w:rPr>
                <w:sz w:val="22"/>
              </w:rPr>
              <w:t>2000 год</w:t>
            </w:r>
          </w:p>
        </w:tc>
        <w:tc>
          <w:tcPr>
            <w:tcW w:w="1963" w:type="dxa"/>
            <w:gridSpan w:val="2"/>
            <w:tcBorders>
              <w:bottom w:val="single" w:sz="4" w:space="0" w:color="auto"/>
            </w:tcBorders>
          </w:tcPr>
          <w:p w:rsidR="00000000" w:rsidRDefault="00000000">
            <w:pPr>
              <w:spacing w:line="240" w:lineRule="auto"/>
              <w:jc w:val="center"/>
              <w:rPr>
                <w:sz w:val="22"/>
              </w:rPr>
            </w:pPr>
            <w:r>
              <w:rPr>
                <w:sz w:val="22"/>
              </w:rPr>
              <w:t>2001 год</w:t>
            </w:r>
          </w:p>
        </w:tc>
      </w:tr>
      <w:tr w:rsidR="00000000">
        <w:tblPrEx>
          <w:tblCellMar>
            <w:top w:w="0" w:type="dxa"/>
            <w:bottom w:w="0" w:type="dxa"/>
          </w:tblCellMar>
        </w:tblPrEx>
        <w:trPr>
          <w:cantSplit/>
          <w:trHeight w:val="1724"/>
        </w:trPr>
        <w:tc>
          <w:tcPr>
            <w:tcW w:w="3304" w:type="dxa"/>
            <w:gridSpan w:val="2"/>
            <w:vMerge/>
            <w:tcBorders>
              <w:bottom w:val="single" w:sz="4" w:space="0" w:color="auto"/>
            </w:tcBorders>
          </w:tcPr>
          <w:p w:rsidR="00000000" w:rsidRDefault="00000000">
            <w:pPr>
              <w:spacing w:line="240" w:lineRule="auto"/>
              <w:jc w:val="center"/>
              <w:rPr>
                <w:sz w:val="22"/>
              </w:rPr>
            </w:pPr>
          </w:p>
        </w:tc>
        <w:tc>
          <w:tcPr>
            <w:tcW w:w="1092" w:type="dxa"/>
            <w:tcBorders>
              <w:top w:val="single" w:sz="4" w:space="0" w:color="auto"/>
              <w:bottom w:val="single" w:sz="4" w:space="0" w:color="auto"/>
            </w:tcBorders>
            <w:textDirection w:val="btLr"/>
            <w:vAlign w:val="center"/>
          </w:tcPr>
          <w:p w:rsidR="00000000" w:rsidRDefault="00000000">
            <w:pPr>
              <w:spacing w:line="216" w:lineRule="auto"/>
              <w:ind w:left="113" w:right="113"/>
              <w:rPr>
                <w:sz w:val="22"/>
              </w:rPr>
            </w:pPr>
            <w:r>
              <w:rPr>
                <w:sz w:val="22"/>
              </w:rPr>
              <w:t>Количество заболеваний на 10 000 жителей</w:t>
            </w:r>
          </w:p>
        </w:tc>
        <w:tc>
          <w:tcPr>
            <w:tcW w:w="952" w:type="dxa"/>
            <w:tcBorders>
              <w:top w:val="single" w:sz="4" w:space="0" w:color="auto"/>
              <w:bottom w:val="single" w:sz="4" w:space="0" w:color="auto"/>
            </w:tcBorders>
            <w:textDirection w:val="btLr"/>
            <w:vAlign w:val="center"/>
          </w:tcPr>
          <w:p w:rsidR="00000000" w:rsidRDefault="00000000">
            <w:pPr>
              <w:spacing w:line="216" w:lineRule="auto"/>
              <w:ind w:left="113" w:right="113"/>
              <w:rPr>
                <w:sz w:val="22"/>
              </w:rPr>
            </w:pPr>
            <w:r>
              <w:rPr>
                <w:sz w:val="22"/>
              </w:rPr>
              <w:t>Структурный показатель (%)</w:t>
            </w:r>
          </w:p>
        </w:tc>
        <w:tc>
          <w:tcPr>
            <w:tcW w:w="1063" w:type="dxa"/>
            <w:tcBorders>
              <w:top w:val="single" w:sz="4" w:space="0" w:color="auto"/>
              <w:bottom w:val="single" w:sz="4" w:space="0" w:color="auto"/>
            </w:tcBorders>
            <w:textDirection w:val="btLr"/>
            <w:vAlign w:val="center"/>
          </w:tcPr>
          <w:p w:rsidR="00000000" w:rsidRDefault="00000000">
            <w:pPr>
              <w:spacing w:line="216" w:lineRule="auto"/>
              <w:ind w:left="113" w:right="113"/>
              <w:rPr>
                <w:sz w:val="22"/>
              </w:rPr>
            </w:pPr>
            <w:r>
              <w:rPr>
                <w:sz w:val="22"/>
              </w:rPr>
              <w:t>Количество заболеваний на 10 000 жителей</w:t>
            </w:r>
          </w:p>
        </w:tc>
        <w:tc>
          <w:tcPr>
            <w:tcW w:w="1036" w:type="dxa"/>
            <w:tcBorders>
              <w:top w:val="single" w:sz="4" w:space="0" w:color="auto"/>
              <w:bottom w:val="single" w:sz="4" w:space="0" w:color="auto"/>
            </w:tcBorders>
            <w:textDirection w:val="btLr"/>
            <w:vAlign w:val="center"/>
          </w:tcPr>
          <w:p w:rsidR="00000000" w:rsidRDefault="00000000">
            <w:pPr>
              <w:spacing w:line="216" w:lineRule="auto"/>
              <w:ind w:left="113" w:right="113"/>
              <w:rPr>
                <w:sz w:val="22"/>
              </w:rPr>
            </w:pPr>
            <w:r>
              <w:rPr>
                <w:sz w:val="22"/>
              </w:rPr>
              <w:t>Структурный показатель (%)</w:t>
            </w:r>
          </w:p>
        </w:tc>
        <w:tc>
          <w:tcPr>
            <w:tcW w:w="1064" w:type="dxa"/>
            <w:tcBorders>
              <w:top w:val="single" w:sz="4" w:space="0" w:color="auto"/>
              <w:bottom w:val="single" w:sz="4" w:space="0" w:color="auto"/>
            </w:tcBorders>
            <w:textDirection w:val="btLr"/>
            <w:vAlign w:val="center"/>
          </w:tcPr>
          <w:p w:rsidR="00000000" w:rsidRDefault="00000000">
            <w:pPr>
              <w:spacing w:line="216" w:lineRule="auto"/>
              <w:ind w:left="113" w:right="113"/>
              <w:rPr>
                <w:sz w:val="22"/>
              </w:rPr>
            </w:pPr>
            <w:r>
              <w:rPr>
                <w:sz w:val="22"/>
              </w:rPr>
              <w:t>Количество заболеваний на 10 000 жителей</w:t>
            </w:r>
          </w:p>
        </w:tc>
        <w:tc>
          <w:tcPr>
            <w:tcW w:w="899" w:type="dxa"/>
            <w:tcBorders>
              <w:top w:val="single" w:sz="4" w:space="0" w:color="auto"/>
              <w:bottom w:val="single" w:sz="4" w:space="0" w:color="auto"/>
            </w:tcBorders>
            <w:textDirection w:val="btLr"/>
            <w:vAlign w:val="center"/>
          </w:tcPr>
          <w:p w:rsidR="00000000" w:rsidRDefault="00000000">
            <w:pPr>
              <w:spacing w:line="216" w:lineRule="auto"/>
              <w:ind w:left="113" w:right="113"/>
              <w:rPr>
                <w:sz w:val="22"/>
              </w:rPr>
            </w:pPr>
            <w:r>
              <w:rPr>
                <w:sz w:val="22"/>
              </w:rPr>
              <w:t>Структурный показатель (%)</w:t>
            </w:r>
          </w:p>
        </w:tc>
      </w:tr>
      <w:tr w:rsidR="00000000">
        <w:tblPrEx>
          <w:tblCellMar>
            <w:top w:w="0" w:type="dxa"/>
            <w:bottom w:w="0" w:type="dxa"/>
          </w:tblCellMar>
        </w:tblPrEx>
        <w:trPr>
          <w:cantSplit/>
        </w:trPr>
        <w:tc>
          <w:tcPr>
            <w:tcW w:w="367" w:type="dxa"/>
            <w:tcBorders>
              <w:top w:val="single" w:sz="4" w:space="0" w:color="auto"/>
              <w:bottom w:val="nil"/>
              <w:right w:val="nil"/>
            </w:tcBorders>
            <w:tcMar>
              <w:left w:w="28" w:type="dxa"/>
              <w:right w:w="28" w:type="dxa"/>
            </w:tcMar>
          </w:tcPr>
          <w:p w:rsidR="00000000" w:rsidRDefault="00000000">
            <w:pPr>
              <w:rPr>
                <w:sz w:val="22"/>
              </w:rPr>
            </w:pPr>
            <w:r>
              <w:rPr>
                <w:sz w:val="22"/>
              </w:rPr>
              <w:t>1.</w:t>
            </w:r>
          </w:p>
        </w:tc>
        <w:tc>
          <w:tcPr>
            <w:tcW w:w="2937" w:type="dxa"/>
            <w:tcBorders>
              <w:top w:val="single" w:sz="4" w:space="0" w:color="auto"/>
              <w:left w:val="nil"/>
              <w:bottom w:val="nil"/>
            </w:tcBorders>
          </w:tcPr>
          <w:p w:rsidR="00000000" w:rsidRDefault="00000000">
            <w:pPr>
              <w:rPr>
                <w:sz w:val="22"/>
              </w:rPr>
            </w:pPr>
            <w:r>
              <w:rPr>
                <w:sz w:val="22"/>
              </w:rPr>
              <w:t>Болезни дыхательной системы</w:t>
            </w:r>
          </w:p>
          <w:p w:rsidR="00000000" w:rsidRDefault="00000000">
            <w:pPr>
              <w:rPr>
                <w:sz w:val="22"/>
              </w:rPr>
            </w:pPr>
          </w:p>
        </w:tc>
        <w:tc>
          <w:tcPr>
            <w:tcW w:w="1092" w:type="dxa"/>
            <w:tcBorders>
              <w:top w:val="single" w:sz="4" w:space="0" w:color="auto"/>
              <w:bottom w:val="nil"/>
            </w:tcBorders>
          </w:tcPr>
          <w:p w:rsidR="00000000" w:rsidRDefault="00000000">
            <w:pPr>
              <w:tabs>
                <w:tab w:val="clear" w:pos="567"/>
                <w:tab w:val="clear" w:pos="1134"/>
              </w:tabs>
              <w:ind w:right="216"/>
              <w:jc w:val="right"/>
              <w:rPr>
                <w:sz w:val="22"/>
              </w:rPr>
            </w:pPr>
            <w:r>
              <w:rPr>
                <w:sz w:val="22"/>
              </w:rPr>
              <w:t>3 461</w:t>
            </w:r>
          </w:p>
        </w:tc>
        <w:tc>
          <w:tcPr>
            <w:tcW w:w="952" w:type="dxa"/>
            <w:tcBorders>
              <w:top w:val="single" w:sz="4" w:space="0" w:color="auto"/>
              <w:bottom w:val="nil"/>
            </w:tcBorders>
          </w:tcPr>
          <w:p w:rsidR="00000000" w:rsidRDefault="00000000">
            <w:pPr>
              <w:tabs>
                <w:tab w:val="clear" w:pos="567"/>
                <w:tab w:val="clear" w:pos="1134"/>
              </w:tabs>
              <w:ind w:right="216"/>
              <w:jc w:val="right"/>
              <w:rPr>
                <w:sz w:val="22"/>
              </w:rPr>
            </w:pPr>
            <w:r>
              <w:rPr>
                <w:sz w:val="22"/>
              </w:rPr>
              <w:t>36,2</w:t>
            </w:r>
          </w:p>
        </w:tc>
        <w:tc>
          <w:tcPr>
            <w:tcW w:w="1063" w:type="dxa"/>
            <w:tcBorders>
              <w:top w:val="single" w:sz="4" w:space="0" w:color="auto"/>
              <w:bottom w:val="nil"/>
            </w:tcBorders>
          </w:tcPr>
          <w:p w:rsidR="00000000" w:rsidRDefault="00000000">
            <w:pPr>
              <w:tabs>
                <w:tab w:val="clear" w:pos="567"/>
                <w:tab w:val="clear" w:pos="1134"/>
              </w:tabs>
              <w:ind w:right="216"/>
              <w:jc w:val="right"/>
              <w:rPr>
                <w:sz w:val="22"/>
              </w:rPr>
            </w:pPr>
            <w:r>
              <w:rPr>
                <w:sz w:val="22"/>
              </w:rPr>
              <w:t>3 347</w:t>
            </w:r>
          </w:p>
        </w:tc>
        <w:tc>
          <w:tcPr>
            <w:tcW w:w="1036" w:type="dxa"/>
            <w:tcBorders>
              <w:top w:val="single" w:sz="4" w:space="0" w:color="auto"/>
              <w:bottom w:val="nil"/>
            </w:tcBorders>
          </w:tcPr>
          <w:p w:rsidR="00000000" w:rsidRDefault="00000000">
            <w:pPr>
              <w:tabs>
                <w:tab w:val="clear" w:pos="567"/>
                <w:tab w:val="clear" w:pos="1134"/>
              </w:tabs>
              <w:ind w:right="216"/>
              <w:jc w:val="right"/>
              <w:rPr>
                <w:sz w:val="22"/>
              </w:rPr>
            </w:pPr>
            <w:r>
              <w:rPr>
                <w:sz w:val="22"/>
              </w:rPr>
              <w:t>35,2</w:t>
            </w:r>
          </w:p>
        </w:tc>
        <w:tc>
          <w:tcPr>
            <w:tcW w:w="1064" w:type="dxa"/>
            <w:tcBorders>
              <w:top w:val="single" w:sz="4" w:space="0" w:color="auto"/>
              <w:bottom w:val="nil"/>
            </w:tcBorders>
          </w:tcPr>
          <w:p w:rsidR="00000000" w:rsidRDefault="00000000">
            <w:pPr>
              <w:tabs>
                <w:tab w:val="clear" w:pos="567"/>
                <w:tab w:val="clear" w:pos="1134"/>
              </w:tabs>
              <w:ind w:right="216"/>
              <w:jc w:val="right"/>
              <w:rPr>
                <w:sz w:val="22"/>
              </w:rPr>
            </w:pPr>
            <w:r>
              <w:rPr>
                <w:sz w:val="22"/>
              </w:rPr>
              <w:t>3 095</w:t>
            </w:r>
          </w:p>
        </w:tc>
        <w:tc>
          <w:tcPr>
            <w:tcW w:w="899" w:type="dxa"/>
            <w:tcBorders>
              <w:top w:val="single" w:sz="4" w:space="0" w:color="auto"/>
              <w:bottom w:val="nil"/>
            </w:tcBorders>
          </w:tcPr>
          <w:p w:rsidR="00000000" w:rsidRDefault="00000000">
            <w:pPr>
              <w:tabs>
                <w:tab w:val="clear" w:pos="567"/>
                <w:tab w:val="clear" w:pos="1134"/>
              </w:tabs>
              <w:ind w:right="216"/>
              <w:jc w:val="right"/>
              <w:rPr>
                <w:sz w:val="22"/>
              </w:rPr>
            </w:pPr>
            <w:r>
              <w:rPr>
                <w:sz w:val="22"/>
              </w:rPr>
              <w:t>35,7</w:t>
            </w:r>
          </w:p>
        </w:tc>
      </w:tr>
      <w:tr w:rsidR="00000000">
        <w:tblPrEx>
          <w:tblCellMar>
            <w:top w:w="0" w:type="dxa"/>
            <w:bottom w:w="0" w:type="dxa"/>
          </w:tblCellMar>
        </w:tblPrEx>
        <w:trPr>
          <w:cantSplit/>
        </w:trPr>
        <w:tc>
          <w:tcPr>
            <w:tcW w:w="367" w:type="dxa"/>
            <w:tcBorders>
              <w:top w:val="nil"/>
              <w:right w:val="nil"/>
            </w:tcBorders>
            <w:tcMar>
              <w:left w:w="28" w:type="dxa"/>
              <w:right w:w="28" w:type="dxa"/>
            </w:tcMar>
          </w:tcPr>
          <w:p w:rsidR="00000000" w:rsidRDefault="00000000">
            <w:pPr>
              <w:rPr>
                <w:sz w:val="22"/>
              </w:rPr>
            </w:pPr>
            <w:r>
              <w:rPr>
                <w:sz w:val="22"/>
              </w:rPr>
              <w:t>2.</w:t>
            </w:r>
          </w:p>
        </w:tc>
        <w:tc>
          <w:tcPr>
            <w:tcW w:w="2937" w:type="dxa"/>
            <w:tcBorders>
              <w:top w:val="nil"/>
              <w:left w:val="nil"/>
            </w:tcBorders>
          </w:tcPr>
          <w:p w:rsidR="00000000" w:rsidRDefault="00000000">
            <w:pPr>
              <w:rPr>
                <w:sz w:val="22"/>
              </w:rPr>
            </w:pPr>
            <w:r>
              <w:rPr>
                <w:sz w:val="22"/>
              </w:rPr>
              <w:t>Болезни сердечно-сосудистой системы</w:t>
            </w:r>
          </w:p>
          <w:p w:rsidR="00000000" w:rsidRDefault="00000000">
            <w:pPr>
              <w:rPr>
                <w:sz w:val="22"/>
              </w:rPr>
            </w:pPr>
          </w:p>
        </w:tc>
        <w:tc>
          <w:tcPr>
            <w:tcW w:w="1092" w:type="dxa"/>
            <w:tcBorders>
              <w:top w:val="nil"/>
            </w:tcBorders>
          </w:tcPr>
          <w:p w:rsidR="00000000" w:rsidRDefault="00000000">
            <w:pPr>
              <w:tabs>
                <w:tab w:val="clear" w:pos="567"/>
                <w:tab w:val="clear" w:pos="1134"/>
              </w:tabs>
              <w:ind w:right="216"/>
              <w:jc w:val="right"/>
              <w:rPr>
                <w:sz w:val="22"/>
              </w:rPr>
            </w:pPr>
            <w:r>
              <w:rPr>
                <w:sz w:val="22"/>
              </w:rPr>
              <w:t>850</w:t>
            </w:r>
          </w:p>
        </w:tc>
        <w:tc>
          <w:tcPr>
            <w:tcW w:w="952" w:type="dxa"/>
            <w:tcBorders>
              <w:top w:val="nil"/>
            </w:tcBorders>
          </w:tcPr>
          <w:p w:rsidR="00000000" w:rsidRDefault="00000000">
            <w:pPr>
              <w:tabs>
                <w:tab w:val="clear" w:pos="567"/>
                <w:tab w:val="clear" w:pos="1134"/>
              </w:tabs>
              <w:ind w:right="216"/>
              <w:jc w:val="right"/>
              <w:rPr>
                <w:sz w:val="22"/>
              </w:rPr>
            </w:pPr>
            <w:r>
              <w:rPr>
                <w:sz w:val="22"/>
              </w:rPr>
              <w:t>8,9</w:t>
            </w:r>
          </w:p>
        </w:tc>
        <w:tc>
          <w:tcPr>
            <w:tcW w:w="1063" w:type="dxa"/>
            <w:tcBorders>
              <w:top w:val="nil"/>
            </w:tcBorders>
          </w:tcPr>
          <w:p w:rsidR="00000000" w:rsidRDefault="00000000">
            <w:pPr>
              <w:tabs>
                <w:tab w:val="clear" w:pos="567"/>
                <w:tab w:val="clear" w:pos="1134"/>
              </w:tabs>
              <w:ind w:right="216"/>
              <w:jc w:val="right"/>
              <w:rPr>
                <w:sz w:val="22"/>
              </w:rPr>
            </w:pPr>
            <w:r>
              <w:rPr>
                <w:sz w:val="22"/>
              </w:rPr>
              <w:t>917</w:t>
            </w:r>
          </w:p>
        </w:tc>
        <w:tc>
          <w:tcPr>
            <w:tcW w:w="1036" w:type="dxa"/>
            <w:tcBorders>
              <w:top w:val="nil"/>
            </w:tcBorders>
          </w:tcPr>
          <w:p w:rsidR="00000000" w:rsidRDefault="00000000">
            <w:pPr>
              <w:tabs>
                <w:tab w:val="clear" w:pos="567"/>
                <w:tab w:val="clear" w:pos="1134"/>
              </w:tabs>
              <w:ind w:right="216"/>
              <w:jc w:val="right"/>
              <w:rPr>
                <w:sz w:val="22"/>
              </w:rPr>
            </w:pPr>
            <w:r>
              <w:rPr>
                <w:sz w:val="22"/>
              </w:rPr>
              <w:t>9,6</w:t>
            </w:r>
          </w:p>
        </w:tc>
        <w:tc>
          <w:tcPr>
            <w:tcW w:w="1064" w:type="dxa"/>
            <w:tcBorders>
              <w:top w:val="nil"/>
            </w:tcBorders>
          </w:tcPr>
          <w:p w:rsidR="00000000" w:rsidRDefault="00000000">
            <w:pPr>
              <w:tabs>
                <w:tab w:val="clear" w:pos="567"/>
                <w:tab w:val="clear" w:pos="1134"/>
              </w:tabs>
              <w:ind w:right="216"/>
              <w:jc w:val="right"/>
              <w:rPr>
                <w:sz w:val="22"/>
              </w:rPr>
            </w:pPr>
            <w:r>
              <w:rPr>
                <w:sz w:val="22"/>
              </w:rPr>
              <w:t>853</w:t>
            </w:r>
          </w:p>
        </w:tc>
        <w:tc>
          <w:tcPr>
            <w:tcW w:w="899" w:type="dxa"/>
            <w:tcBorders>
              <w:top w:val="nil"/>
            </w:tcBorders>
          </w:tcPr>
          <w:p w:rsidR="00000000" w:rsidRDefault="00000000">
            <w:pPr>
              <w:tabs>
                <w:tab w:val="clear" w:pos="567"/>
                <w:tab w:val="clear" w:pos="1134"/>
              </w:tabs>
              <w:ind w:right="216"/>
              <w:jc w:val="right"/>
              <w:rPr>
                <w:sz w:val="22"/>
              </w:rPr>
            </w:pPr>
            <w:r>
              <w:rPr>
                <w:sz w:val="22"/>
              </w:rPr>
              <w:t>9,9</w:t>
            </w:r>
          </w:p>
        </w:tc>
      </w:tr>
      <w:tr w:rsidR="00000000">
        <w:tblPrEx>
          <w:tblCellMar>
            <w:top w:w="0" w:type="dxa"/>
            <w:bottom w:w="0" w:type="dxa"/>
          </w:tblCellMar>
        </w:tblPrEx>
        <w:trPr>
          <w:cantSplit/>
        </w:trPr>
        <w:tc>
          <w:tcPr>
            <w:tcW w:w="367" w:type="dxa"/>
            <w:tcBorders>
              <w:right w:val="nil"/>
            </w:tcBorders>
            <w:tcMar>
              <w:left w:w="28" w:type="dxa"/>
              <w:right w:w="28" w:type="dxa"/>
            </w:tcMar>
          </w:tcPr>
          <w:p w:rsidR="00000000" w:rsidRDefault="00000000">
            <w:pPr>
              <w:rPr>
                <w:sz w:val="22"/>
              </w:rPr>
            </w:pPr>
            <w:r>
              <w:rPr>
                <w:sz w:val="22"/>
              </w:rPr>
              <w:t>3.</w:t>
            </w:r>
          </w:p>
        </w:tc>
        <w:tc>
          <w:tcPr>
            <w:tcW w:w="2937" w:type="dxa"/>
            <w:tcBorders>
              <w:left w:val="nil"/>
            </w:tcBorders>
          </w:tcPr>
          <w:p w:rsidR="00000000" w:rsidRDefault="00000000">
            <w:pPr>
              <w:rPr>
                <w:sz w:val="22"/>
              </w:rPr>
            </w:pPr>
            <w:r>
              <w:rPr>
                <w:sz w:val="22"/>
              </w:rPr>
              <w:t>Болезни мочеполовой системы</w:t>
            </w:r>
          </w:p>
          <w:p w:rsidR="00000000" w:rsidRDefault="00000000">
            <w:pPr>
              <w:rPr>
                <w:sz w:val="22"/>
              </w:rPr>
            </w:pPr>
          </w:p>
        </w:tc>
        <w:tc>
          <w:tcPr>
            <w:tcW w:w="1092" w:type="dxa"/>
          </w:tcPr>
          <w:p w:rsidR="00000000" w:rsidRDefault="00000000">
            <w:pPr>
              <w:tabs>
                <w:tab w:val="clear" w:pos="567"/>
                <w:tab w:val="clear" w:pos="1134"/>
              </w:tabs>
              <w:ind w:right="216"/>
              <w:jc w:val="right"/>
              <w:rPr>
                <w:sz w:val="22"/>
              </w:rPr>
            </w:pPr>
            <w:r>
              <w:rPr>
                <w:sz w:val="22"/>
              </w:rPr>
              <w:t>706</w:t>
            </w:r>
          </w:p>
        </w:tc>
        <w:tc>
          <w:tcPr>
            <w:tcW w:w="952" w:type="dxa"/>
          </w:tcPr>
          <w:p w:rsidR="00000000" w:rsidRDefault="00000000">
            <w:pPr>
              <w:tabs>
                <w:tab w:val="clear" w:pos="567"/>
                <w:tab w:val="clear" w:pos="1134"/>
              </w:tabs>
              <w:ind w:right="216"/>
              <w:jc w:val="right"/>
              <w:rPr>
                <w:sz w:val="22"/>
              </w:rPr>
            </w:pPr>
            <w:r>
              <w:rPr>
                <w:sz w:val="22"/>
              </w:rPr>
              <w:t>7,4</w:t>
            </w:r>
          </w:p>
        </w:tc>
        <w:tc>
          <w:tcPr>
            <w:tcW w:w="1063" w:type="dxa"/>
          </w:tcPr>
          <w:p w:rsidR="00000000" w:rsidRDefault="00000000">
            <w:pPr>
              <w:tabs>
                <w:tab w:val="clear" w:pos="567"/>
                <w:tab w:val="clear" w:pos="1134"/>
              </w:tabs>
              <w:ind w:right="216"/>
              <w:jc w:val="right"/>
              <w:rPr>
                <w:sz w:val="22"/>
              </w:rPr>
            </w:pPr>
            <w:r>
              <w:rPr>
                <w:sz w:val="22"/>
              </w:rPr>
              <w:t>668</w:t>
            </w:r>
          </w:p>
        </w:tc>
        <w:tc>
          <w:tcPr>
            <w:tcW w:w="1036" w:type="dxa"/>
          </w:tcPr>
          <w:p w:rsidR="00000000" w:rsidRDefault="00000000">
            <w:pPr>
              <w:tabs>
                <w:tab w:val="clear" w:pos="567"/>
                <w:tab w:val="clear" w:pos="1134"/>
              </w:tabs>
              <w:ind w:right="216"/>
              <w:jc w:val="right"/>
              <w:rPr>
                <w:sz w:val="22"/>
              </w:rPr>
            </w:pPr>
            <w:r>
              <w:rPr>
                <w:sz w:val="22"/>
              </w:rPr>
              <w:t>7,0</w:t>
            </w:r>
          </w:p>
        </w:tc>
        <w:tc>
          <w:tcPr>
            <w:tcW w:w="1064" w:type="dxa"/>
          </w:tcPr>
          <w:p w:rsidR="00000000" w:rsidRDefault="00000000">
            <w:pPr>
              <w:tabs>
                <w:tab w:val="clear" w:pos="567"/>
                <w:tab w:val="clear" w:pos="1134"/>
              </w:tabs>
              <w:ind w:right="216"/>
              <w:jc w:val="right"/>
              <w:rPr>
                <w:sz w:val="22"/>
              </w:rPr>
            </w:pPr>
            <w:r>
              <w:rPr>
                <w:sz w:val="22"/>
              </w:rPr>
              <w:t>503</w:t>
            </w:r>
          </w:p>
        </w:tc>
        <w:tc>
          <w:tcPr>
            <w:tcW w:w="899" w:type="dxa"/>
          </w:tcPr>
          <w:p w:rsidR="00000000" w:rsidRDefault="00000000">
            <w:pPr>
              <w:tabs>
                <w:tab w:val="clear" w:pos="567"/>
                <w:tab w:val="clear" w:pos="1134"/>
              </w:tabs>
              <w:ind w:right="216"/>
              <w:jc w:val="right"/>
              <w:rPr>
                <w:sz w:val="22"/>
              </w:rPr>
            </w:pPr>
            <w:r>
              <w:rPr>
                <w:sz w:val="22"/>
              </w:rPr>
              <w:t>5,8</w:t>
            </w:r>
          </w:p>
        </w:tc>
      </w:tr>
      <w:tr w:rsidR="00000000">
        <w:tblPrEx>
          <w:tblCellMar>
            <w:top w:w="0" w:type="dxa"/>
            <w:bottom w:w="0" w:type="dxa"/>
          </w:tblCellMar>
        </w:tblPrEx>
        <w:trPr>
          <w:cantSplit/>
        </w:trPr>
        <w:tc>
          <w:tcPr>
            <w:tcW w:w="367" w:type="dxa"/>
            <w:tcBorders>
              <w:right w:val="nil"/>
            </w:tcBorders>
            <w:tcMar>
              <w:left w:w="28" w:type="dxa"/>
              <w:right w:w="28" w:type="dxa"/>
            </w:tcMar>
          </w:tcPr>
          <w:p w:rsidR="00000000" w:rsidRDefault="00000000">
            <w:pPr>
              <w:rPr>
                <w:sz w:val="22"/>
              </w:rPr>
            </w:pPr>
            <w:r>
              <w:rPr>
                <w:sz w:val="22"/>
              </w:rPr>
              <w:t>4.</w:t>
            </w:r>
          </w:p>
        </w:tc>
        <w:tc>
          <w:tcPr>
            <w:tcW w:w="2937" w:type="dxa"/>
            <w:tcBorders>
              <w:left w:val="nil"/>
            </w:tcBorders>
          </w:tcPr>
          <w:p w:rsidR="00000000" w:rsidRDefault="00000000">
            <w:pPr>
              <w:rPr>
                <w:sz w:val="22"/>
              </w:rPr>
            </w:pPr>
            <w:r>
              <w:rPr>
                <w:sz w:val="22"/>
              </w:rPr>
              <w:t>Болезни пищеварительной системы</w:t>
            </w:r>
          </w:p>
          <w:p w:rsidR="00000000" w:rsidRDefault="00000000">
            <w:pPr>
              <w:rPr>
                <w:sz w:val="22"/>
              </w:rPr>
            </w:pPr>
          </w:p>
        </w:tc>
        <w:tc>
          <w:tcPr>
            <w:tcW w:w="1092" w:type="dxa"/>
          </w:tcPr>
          <w:p w:rsidR="00000000" w:rsidRDefault="00000000">
            <w:pPr>
              <w:tabs>
                <w:tab w:val="clear" w:pos="567"/>
                <w:tab w:val="clear" w:pos="1134"/>
              </w:tabs>
              <w:ind w:right="216"/>
              <w:jc w:val="right"/>
              <w:rPr>
                <w:sz w:val="22"/>
              </w:rPr>
            </w:pPr>
            <w:r>
              <w:rPr>
                <w:sz w:val="22"/>
              </w:rPr>
              <w:t>554</w:t>
            </w:r>
          </w:p>
        </w:tc>
        <w:tc>
          <w:tcPr>
            <w:tcW w:w="952" w:type="dxa"/>
          </w:tcPr>
          <w:p w:rsidR="00000000" w:rsidRDefault="00000000">
            <w:pPr>
              <w:tabs>
                <w:tab w:val="clear" w:pos="567"/>
                <w:tab w:val="clear" w:pos="1134"/>
              </w:tabs>
              <w:ind w:right="216"/>
              <w:jc w:val="right"/>
              <w:rPr>
                <w:sz w:val="22"/>
              </w:rPr>
            </w:pPr>
            <w:r>
              <w:rPr>
                <w:sz w:val="22"/>
              </w:rPr>
              <w:t>5,8</w:t>
            </w:r>
          </w:p>
        </w:tc>
        <w:tc>
          <w:tcPr>
            <w:tcW w:w="1063" w:type="dxa"/>
          </w:tcPr>
          <w:p w:rsidR="00000000" w:rsidRDefault="00000000">
            <w:pPr>
              <w:tabs>
                <w:tab w:val="clear" w:pos="567"/>
                <w:tab w:val="clear" w:pos="1134"/>
              </w:tabs>
              <w:ind w:right="216"/>
              <w:jc w:val="right"/>
              <w:rPr>
                <w:sz w:val="22"/>
              </w:rPr>
            </w:pPr>
            <w:r>
              <w:rPr>
                <w:sz w:val="22"/>
              </w:rPr>
              <w:t>536</w:t>
            </w:r>
          </w:p>
        </w:tc>
        <w:tc>
          <w:tcPr>
            <w:tcW w:w="1036" w:type="dxa"/>
          </w:tcPr>
          <w:p w:rsidR="00000000" w:rsidRDefault="00000000">
            <w:pPr>
              <w:tabs>
                <w:tab w:val="clear" w:pos="567"/>
                <w:tab w:val="clear" w:pos="1134"/>
              </w:tabs>
              <w:ind w:right="216"/>
              <w:jc w:val="right"/>
              <w:rPr>
                <w:sz w:val="22"/>
              </w:rPr>
            </w:pPr>
            <w:r>
              <w:rPr>
                <w:sz w:val="22"/>
              </w:rPr>
              <w:t>5,6</w:t>
            </w:r>
          </w:p>
        </w:tc>
        <w:tc>
          <w:tcPr>
            <w:tcW w:w="1064" w:type="dxa"/>
          </w:tcPr>
          <w:p w:rsidR="00000000" w:rsidRDefault="00000000">
            <w:pPr>
              <w:tabs>
                <w:tab w:val="clear" w:pos="567"/>
                <w:tab w:val="clear" w:pos="1134"/>
              </w:tabs>
              <w:ind w:right="216"/>
              <w:jc w:val="right"/>
              <w:rPr>
                <w:sz w:val="22"/>
              </w:rPr>
            </w:pPr>
            <w:r>
              <w:rPr>
                <w:sz w:val="22"/>
              </w:rPr>
              <w:t>512</w:t>
            </w:r>
          </w:p>
        </w:tc>
        <w:tc>
          <w:tcPr>
            <w:tcW w:w="899" w:type="dxa"/>
          </w:tcPr>
          <w:p w:rsidR="00000000" w:rsidRDefault="00000000">
            <w:pPr>
              <w:tabs>
                <w:tab w:val="clear" w:pos="567"/>
                <w:tab w:val="clear" w:pos="1134"/>
              </w:tabs>
              <w:ind w:right="216"/>
              <w:jc w:val="right"/>
              <w:rPr>
                <w:sz w:val="22"/>
              </w:rPr>
            </w:pPr>
            <w:r>
              <w:rPr>
                <w:sz w:val="22"/>
              </w:rPr>
              <w:t>5,9</w:t>
            </w:r>
          </w:p>
        </w:tc>
      </w:tr>
      <w:tr w:rsidR="00000000">
        <w:tblPrEx>
          <w:tblCellMar>
            <w:top w:w="0" w:type="dxa"/>
            <w:bottom w:w="0" w:type="dxa"/>
          </w:tblCellMar>
        </w:tblPrEx>
        <w:trPr>
          <w:cantSplit/>
        </w:trPr>
        <w:tc>
          <w:tcPr>
            <w:tcW w:w="367" w:type="dxa"/>
            <w:tcBorders>
              <w:right w:val="nil"/>
            </w:tcBorders>
            <w:tcMar>
              <w:left w:w="28" w:type="dxa"/>
              <w:right w:w="28" w:type="dxa"/>
            </w:tcMar>
          </w:tcPr>
          <w:p w:rsidR="00000000" w:rsidRDefault="00000000">
            <w:pPr>
              <w:rPr>
                <w:sz w:val="22"/>
              </w:rPr>
            </w:pPr>
            <w:r>
              <w:rPr>
                <w:sz w:val="22"/>
              </w:rPr>
              <w:t>5.</w:t>
            </w:r>
          </w:p>
        </w:tc>
        <w:tc>
          <w:tcPr>
            <w:tcW w:w="2937" w:type="dxa"/>
            <w:tcBorders>
              <w:left w:val="nil"/>
            </w:tcBorders>
          </w:tcPr>
          <w:p w:rsidR="00000000" w:rsidRDefault="00000000">
            <w:pPr>
              <w:rPr>
                <w:sz w:val="22"/>
              </w:rPr>
            </w:pPr>
            <w:r>
              <w:rPr>
                <w:sz w:val="22"/>
              </w:rPr>
              <w:t>Болезни костно-мышечных систем</w:t>
            </w:r>
          </w:p>
          <w:p w:rsidR="00000000" w:rsidRDefault="00000000">
            <w:pPr>
              <w:rPr>
                <w:sz w:val="22"/>
              </w:rPr>
            </w:pPr>
          </w:p>
        </w:tc>
        <w:tc>
          <w:tcPr>
            <w:tcW w:w="1092" w:type="dxa"/>
          </w:tcPr>
          <w:p w:rsidR="00000000" w:rsidRDefault="00000000">
            <w:pPr>
              <w:tabs>
                <w:tab w:val="clear" w:pos="567"/>
                <w:tab w:val="clear" w:pos="1134"/>
              </w:tabs>
              <w:ind w:right="216"/>
              <w:jc w:val="right"/>
              <w:rPr>
                <w:sz w:val="22"/>
              </w:rPr>
            </w:pPr>
            <w:r>
              <w:rPr>
                <w:sz w:val="22"/>
              </w:rPr>
              <w:t>429</w:t>
            </w:r>
          </w:p>
        </w:tc>
        <w:tc>
          <w:tcPr>
            <w:tcW w:w="952" w:type="dxa"/>
          </w:tcPr>
          <w:p w:rsidR="00000000" w:rsidRDefault="00000000">
            <w:pPr>
              <w:tabs>
                <w:tab w:val="clear" w:pos="567"/>
                <w:tab w:val="clear" w:pos="1134"/>
              </w:tabs>
              <w:ind w:right="216"/>
              <w:jc w:val="right"/>
              <w:rPr>
                <w:sz w:val="22"/>
              </w:rPr>
            </w:pPr>
            <w:r>
              <w:rPr>
                <w:sz w:val="22"/>
              </w:rPr>
              <w:t>4,5</w:t>
            </w:r>
          </w:p>
        </w:tc>
        <w:tc>
          <w:tcPr>
            <w:tcW w:w="1063" w:type="dxa"/>
          </w:tcPr>
          <w:p w:rsidR="00000000" w:rsidRDefault="00000000">
            <w:pPr>
              <w:tabs>
                <w:tab w:val="clear" w:pos="567"/>
                <w:tab w:val="clear" w:pos="1134"/>
              </w:tabs>
              <w:ind w:right="216"/>
              <w:jc w:val="right"/>
              <w:rPr>
                <w:sz w:val="22"/>
              </w:rPr>
            </w:pPr>
            <w:r>
              <w:rPr>
                <w:sz w:val="22"/>
              </w:rPr>
              <w:t>503</w:t>
            </w:r>
          </w:p>
        </w:tc>
        <w:tc>
          <w:tcPr>
            <w:tcW w:w="1036" w:type="dxa"/>
          </w:tcPr>
          <w:p w:rsidR="00000000" w:rsidRDefault="00000000">
            <w:pPr>
              <w:tabs>
                <w:tab w:val="clear" w:pos="567"/>
                <w:tab w:val="clear" w:pos="1134"/>
              </w:tabs>
              <w:ind w:right="216"/>
              <w:jc w:val="right"/>
              <w:rPr>
                <w:sz w:val="22"/>
              </w:rPr>
            </w:pPr>
            <w:r>
              <w:rPr>
                <w:sz w:val="22"/>
              </w:rPr>
              <w:t>5,2</w:t>
            </w:r>
          </w:p>
        </w:tc>
        <w:tc>
          <w:tcPr>
            <w:tcW w:w="1064" w:type="dxa"/>
          </w:tcPr>
          <w:p w:rsidR="00000000" w:rsidRDefault="00000000">
            <w:pPr>
              <w:tabs>
                <w:tab w:val="clear" w:pos="567"/>
                <w:tab w:val="clear" w:pos="1134"/>
              </w:tabs>
              <w:ind w:right="216"/>
              <w:jc w:val="right"/>
              <w:rPr>
                <w:sz w:val="22"/>
              </w:rPr>
            </w:pPr>
            <w:r>
              <w:rPr>
                <w:sz w:val="22"/>
              </w:rPr>
              <w:t>459</w:t>
            </w:r>
          </w:p>
        </w:tc>
        <w:tc>
          <w:tcPr>
            <w:tcW w:w="899" w:type="dxa"/>
          </w:tcPr>
          <w:p w:rsidR="00000000" w:rsidRDefault="00000000">
            <w:pPr>
              <w:tabs>
                <w:tab w:val="clear" w:pos="567"/>
                <w:tab w:val="clear" w:pos="1134"/>
              </w:tabs>
              <w:ind w:right="216"/>
              <w:jc w:val="right"/>
              <w:rPr>
                <w:sz w:val="22"/>
              </w:rPr>
            </w:pPr>
            <w:r>
              <w:rPr>
                <w:sz w:val="22"/>
              </w:rPr>
              <w:t>5,3</w:t>
            </w:r>
          </w:p>
        </w:tc>
      </w:tr>
      <w:tr w:rsidR="00000000">
        <w:tblPrEx>
          <w:tblCellMar>
            <w:top w:w="0" w:type="dxa"/>
            <w:bottom w:w="0" w:type="dxa"/>
          </w:tblCellMar>
        </w:tblPrEx>
        <w:trPr>
          <w:cantSplit/>
        </w:trPr>
        <w:tc>
          <w:tcPr>
            <w:tcW w:w="367" w:type="dxa"/>
            <w:tcBorders>
              <w:right w:val="nil"/>
            </w:tcBorders>
            <w:tcMar>
              <w:left w:w="28" w:type="dxa"/>
              <w:right w:w="28" w:type="dxa"/>
            </w:tcMar>
          </w:tcPr>
          <w:p w:rsidR="00000000" w:rsidRDefault="00000000">
            <w:pPr>
              <w:rPr>
                <w:sz w:val="22"/>
              </w:rPr>
            </w:pPr>
            <w:r>
              <w:rPr>
                <w:sz w:val="22"/>
              </w:rPr>
              <w:t>6.</w:t>
            </w:r>
          </w:p>
        </w:tc>
        <w:tc>
          <w:tcPr>
            <w:tcW w:w="2937" w:type="dxa"/>
            <w:tcBorders>
              <w:left w:val="nil"/>
            </w:tcBorders>
          </w:tcPr>
          <w:p w:rsidR="00000000" w:rsidRDefault="00000000">
            <w:pPr>
              <w:rPr>
                <w:sz w:val="22"/>
              </w:rPr>
            </w:pPr>
            <w:r>
              <w:rPr>
                <w:sz w:val="22"/>
              </w:rPr>
              <w:t>Болезни кожи и подкожной основы</w:t>
            </w:r>
          </w:p>
          <w:p w:rsidR="00000000" w:rsidRDefault="00000000">
            <w:pPr>
              <w:rPr>
                <w:sz w:val="22"/>
              </w:rPr>
            </w:pPr>
          </w:p>
        </w:tc>
        <w:tc>
          <w:tcPr>
            <w:tcW w:w="1092" w:type="dxa"/>
          </w:tcPr>
          <w:p w:rsidR="00000000" w:rsidRDefault="00000000">
            <w:pPr>
              <w:tabs>
                <w:tab w:val="clear" w:pos="567"/>
                <w:tab w:val="clear" w:pos="1134"/>
              </w:tabs>
              <w:ind w:right="216"/>
              <w:jc w:val="right"/>
              <w:rPr>
                <w:sz w:val="22"/>
                <w:lang w:val="en-GB"/>
              </w:rPr>
            </w:pPr>
            <w:r>
              <w:rPr>
                <w:sz w:val="22"/>
                <w:lang w:val="en-GB"/>
              </w:rPr>
              <w:t>419</w:t>
            </w:r>
          </w:p>
        </w:tc>
        <w:tc>
          <w:tcPr>
            <w:tcW w:w="952" w:type="dxa"/>
          </w:tcPr>
          <w:p w:rsidR="00000000" w:rsidRDefault="00000000">
            <w:pPr>
              <w:tabs>
                <w:tab w:val="clear" w:pos="567"/>
                <w:tab w:val="clear" w:pos="1134"/>
              </w:tabs>
              <w:ind w:right="216"/>
              <w:jc w:val="right"/>
              <w:rPr>
                <w:sz w:val="22"/>
                <w:lang w:val="en-GB"/>
              </w:rPr>
            </w:pPr>
            <w:r>
              <w:rPr>
                <w:sz w:val="22"/>
                <w:lang w:val="en-GB"/>
              </w:rPr>
              <w:t>4,5</w:t>
            </w:r>
          </w:p>
        </w:tc>
        <w:tc>
          <w:tcPr>
            <w:tcW w:w="1063" w:type="dxa"/>
          </w:tcPr>
          <w:p w:rsidR="00000000" w:rsidRDefault="00000000">
            <w:pPr>
              <w:tabs>
                <w:tab w:val="clear" w:pos="567"/>
                <w:tab w:val="clear" w:pos="1134"/>
              </w:tabs>
              <w:ind w:right="216"/>
              <w:jc w:val="right"/>
              <w:rPr>
                <w:sz w:val="22"/>
                <w:lang w:val="en-GB"/>
              </w:rPr>
            </w:pPr>
            <w:r>
              <w:rPr>
                <w:sz w:val="22"/>
                <w:lang w:val="en-GB"/>
              </w:rPr>
              <w:t>421</w:t>
            </w:r>
          </w:p>
        </w:tc>
        <w:tc>
          <w:tcPr>
            <w:tcW w:w="1036" w:type="dxa"/>
          </w:tcPr>
          <w:p w:rsidR="00000000" w:rsidRDefault="00000000">
            <w:pPr>
              <w:tabs>
                <w:tab w:val="clear" w:pos="567"/>
                <w:tab w:val="clear" w:pos="1134"/>
              </w:tabs>
              <w:ind w:right="216"/>
              <w:jc w:val="right"/>
              <w:rPr>
                <w:sz w:val="22"/>
                <w:lang w:val="en-GB"/>
              </w:rPr>
            </w:pPr>
            <w:r>
              <w:rPr>
                <w:sz w:val="22"/>
                <w:lang w:val="en-GB"/>
              </w:rPr>
              <w:t>4,4</w:t>
            </w:r>
          </w:p>
        </w:tc>
        <w:tc>
          <w:tcPr>
            <w:tcW w:w="1064" w:type="dxa"/>
          </w:tcPr>
          <w:p w:rsidR="00000000" w:rsidRDefault="00000000">
            <w:pPr>
              <w:tabs>
                <w:tab w:val="clear" w:pos="567"/>
                <w:tab w:val="clear" w:pos="1134"/>
              </w:tabs>
              <w:ind w:right="216"/>
              <w:jc w:val="right"/>
              <w:rPr>
                <w:sz w:val="22"/>
                <w:lang w:val="en-GB"/>
              </w:rPr>
            </w:pPr>
            <w:r>
              <w:rPr>
                <w:sz w:val="22"/>
                <w:lang w:val="en-GB"/>
              </w:rPr>
              <w:t>429</w:t>
            </w:r>
          </w:p>
        </w:tc>
        <w:tc>
          <w:tcPr>
            <w:tcW w:w="899" w:type="dxa"/>
          </w:tcPr>
          <w:p w:rsidR="00000000" w:rsidRDefault="00000000">
            <w:pPr>
              <w:tabs>
                <w:tab w:val="clear" w:pos="567"/>
                <w:tab w:val="clear" w:pos="1134"/>
              </w:tabs>
              <w:ind w:right="216"/>
              <w:jc w:val="right"/>
              <w:rPr>
                <w:sz w:val="22"/>
                <w:lang w:val="en-GB"/>
              </w:rPr>
            </w:pPr>
            <w:r>
              <w:rPr>
                <w:sz w:val="22"/>
                <w:lang w:val="en-GB"/>
              </w:rPr>
              <w:t>5,0</w:t>
            </w:r>
          </w:p>
        </w:tc>
      </w:tr>
      <w:tr w:rsidR="00000000">
        <w:tblPrEx>
          <w:tblCellMar>
            <w:top w:w="0" w:type="dxa"/>
            <w:bottom w:w="0" w:type="dxa"/>
          </w:tblCellMar>
        </w:tblPrEx>
        <w:trPr>
          <w:cantSplit/>
        </w:trPr>
        <w:tc>
          <w:tcPr>
            <w:tcW w:w="367" w:type="dxa"/>
            <w:tcBorders>
              <w:right w:val="nil"/>
            </w:tcBorders>
            <w:tcMar>
              <w:left w:w="28" w:type="dxa"/>
              <w:right w:w="28" w:type="dxa"/>
            </w:tcMar>
          </w:tcPr>
          <w:p w:rsidR="00000000" w:rsidRDefault="00000000">
            <w:pPr>
              <w:rPr>
                <w:sz w:val="22"/>
              </w:rPr>
            </w:pPr>
            <w:r>
              <w:rPr>
                <w:sz w:val="22"/>
              </w:rPr>
              <w:t>7.</w:t>
            </w:r>
          </w:p>
        </w:tc>
        <w:tc>
          <w:tcPr>
            <w:tcW w:w="2937" w:type="dxa"/>
            <w:tcBorders>
              <w:left w:val="nil"/>
            </w:tcBorders>
          </w:tcPr>
          <w:p w:rsidR="00000000" w:rsidRDefault="00000000">
            <w:pPr>
              <w:rPr>
                <w:sz w:val="22"/>
              </w:rPr>
            </w:pPr>
            <w:r>
              <w:rPr>
                <w:sz w:val="22"/>
              </w:rPr>
              <w:t>Инфекционные и паразитарные болезни</w:t>
            </w:r>
          </w:p>
          <w:p w:rsidR="00000000" w:rsidRDefault="00000000">
            <w:pPr>
              <w:rPr>
                <w:sz w:val="22"/>
              </w:rPr>
            </w:pPr>
          </w:p>
        </w:tc>
        <w:tc>
          <w:tcPr>
            <w:tcW w:w="1092" w:type="dxa"/>
          </w:tcPr>
          <w:p w:rsidR="00000000" w:rsidRDefault="00000000">
            <w:pPr>
              <w:tabs>
                <w:tab w:val="clear" w:pos="567"/>
                <w:tab w:val="clear" w:pos="1134"/>
              </w:tabs>
              <w:ind w:right="216"/>
              <w:jc w:val="right"/>
              <w:rPr>
                <w:sz w:val="22"/>
              </w:rPr>
            </w:pPr>
            <w:r>
              <w:rPr>
                <w:sz w:val="22"/>
              </w:rPr>
              <w:t>398</w:t>
            </w:r>
          </w:p>
        </w:tc>
        <w:tc>
          <w:tcPr>
            <w:tcW w:w="952" w:type="dxa"/>
          </w:tcPr>
          <w:p w:rsidR="00000000" w:rsidRDefault="00000000">
            <w:pPr>
              <w:tabs>
                <w:tab w:val="clear" w:pos="567"/>
                <w:tab w:val="clear" w:pos="1134"/>
              </w:tabs>
              <w:ind w:right="216"/>
              <w:jc w:val="right"/>
              <w:rPr>
                <w:sz w:val="22"/>
              </w:rPr>
            </w:pPr>
            <w:r>
              <w:rPr>
                <w:sz w:val="22"/>
              </w:rPr>
              <w:t>4,2</w:t>
            </w:r>
          </w:p>
        </w:tc>
        <w:tc>
          <w:tcPr>
            <w:tcW w:w="1063" w:type="dxa"/>
          </w:tcPr>
          <w:p w:rsidR="00000000" w:rsidRDefault="00000000">
            <w:pPr>
              <w:tabs>
                <w:tab w:val="clear" w:pos="567"/>
                <w:tab w:val="clear" w:pos="1134"/>
              </w:tabs>
              <w:ind w:right="216"/>
              <w:jc w:val="right"/>
              <w:rPr>
                <w:sz w:val="22"/>
              </w:rPr>
            </w:pPr>
            <w:r>
              <w:rPr>
                <w:sz w:val="22"/>
              </w:rPr>
              <w:t>324</w:t>
            </w:r>
          </w:p>
        </w:tc>
        <w:tc>
          <w:tcPr>
            <w:tcW w:w="1036" w:type="dxa"/>
          </w:tcPr>
          <w:p w:rsidR="00000000" w:rsidRDefault="00000000">
            <w:pPr>
              <w:tabs>
                <w:tab w:val="clear" w:pos="567"/>
                <w:tab w:val="clear" w:pos="1134"/>
              </w:tabs>
              <w:ind w:right="216"/>
              <w:jc w:val="right"/>
              <w:rPr>
                <w:sz w:val="22"/>
              </w:rPr>
            </w:pPr>
            <w:r>
              <w:rPr>
                <w:sz w:val="22"/>
              </w:rPr>
              <w:t>3,4</w:t>
            </w:r>
          </w:p>
        </w:tc>
        <w:tc>
          <w:tcPr>
            <w:tcW w:w="1064" w:type="dxa"/>
          </w:tcPr>
          <w:p w:rsidR="00000000" w:rsidRDefault="00000000">
            <w:pPr>
              <w:tabs>
                <w:tab w:val="clear" w:pos="567"/>
                <w:tab w:val="clear" w:pos="1134"/>
              </w:tabs>
              <w:ind w:right="216"/>
              <w:jc w:val="right"/>
              <w:rPr>
                <w:sz w:val="22"/>
              </w:rPr>
            </w:pPr>
            <w:r>
              <w:rPr>
                <w:sz w:val="22"/>
              </w:rPr>
              <w:t>245</w:t>
            </w:r>
          </w:p>
        </w:tc>
        <w:tc>
          <w:tcPr>
            <w:tcW w:w="899" w:type="dxa"/>
          </w:tcPr>
          <w:p w:rsidR="00000000" w:rsidRDefault="00000000">
            <w:pPr>
              <w:tabs>
                <w:tab w:val="clear" w:pos="567"/>
                <w:tab w:val="clear" w:pos="1134"/>
              </w:tabs>
              <w:ind w:right="216"/>
              <w:jc w:val="right"/>
              <w:rPr>
                <w:sz w:val="22"/>
              </w:rPr>
            </w:pPr>
            <w:r>
              <w:rPr>
                <w:sz w:val="22"/>
              </w:rPr>
              <w:t>2,8</w:t>
            </w:r>
          </w:p>
        </w:tc>
      </w:tr>
      <w:tr w:rsidR="00000000">
        <w:tblPrEx>
          <w:tblCellMar>
            <w:top w:w="0" w:type="dxa"/>
            <w:bottom w:w="0" w:type="dxa"/>
          </w:tblCellMar>
        </w:tblPrEx>
        <w:trPr>
          <w:cantSplit/>
        </w:trPr>
        <w:tc>
          <w:tcPr>
            <w:tcW w:w="367" w:type="dxa"/>
            <w:tcBorders>
              <w:right w:val="nil"/>
            </w:tcBorders>
            <w:tcMar>
              <w:left w:w="28" w:type="dxa"/>
              <w:right w:w="28" w:type="dxa"/>
            </w:tcMar>
          </w:tcPr>
          <w:p w:rsidR="00000000" w:rsidRDefault="00000000">
            <w:pPr>
              <w:rPr>
                <w:sz w:val="22"/>
              </w:rPr>
            </w:pPr>
            <w:r>
              <w:rPr>
                <w:sz w:val="22"/>
              </w:rPr>
              <w:t>8.</w:t>
            </w:r>
          </w:p>
        </w:tc>
        <w:tc>
          <w:tcPr>
            <w:tcW w:w="2937" w:type="dxa"/>
            <w:tcBorders>
              <w:left w:val="nil"/>
            </w:tcBorders>
          </w:tcPr>
          <w:p w:rsidR="00000000" w:rsidRDefault="00000000">
            <w:pPr>
              <w:rPr>
                <w:sz w:val="22"/>
              </w:rPr>
            </w:pPr>
            <w:r>
              <w:rPr>
                <w:sz w:val="22"/>
              </w:rPr>
              <w:t>Эндокринные болезни и болезни обмена веществ</w:t>
            </w:r>
          </w:p>
          <w:p w:rsidR="00000000" w:rsidRDefault="00000000">
            <w:pPr>
              <w:rPr>
                <w:sz w:val="22"/>
              </w:rPr>
            </w:pPr>
          </w:p>
        </w:tc>
        <w:tc>
          <w:tcPr>
            <w:tcW w:w="1092" w:type="dxa"/>
          </w:tcPr>
          <w:p w:rsidR="00000000" w:rsidRDefault="00000000">
            <w:pPr>
              <w:tabs>
                <w:tab w:val="clear" w:pos="567"/>
                <w:tab w:val="clear" w:pos="1134"/>
              </w:tabs>
              <w:ind w:right="216"/>
              <w:jc w:val="right"/>
              <w:rPr>
                <w:sz w:val="22"/>
              </w:rPr>
            </w:pPr>
            <w:r>
              <w:rPr>
                <w:sz w:val="22"/>
              </w:rPr>
              <w:t>259</w:t>
            </w:r>
          </w:p>
        </w:tc>
        <w:tc>
          <w:tcPr>
            <w:tcW w:w="952" w:type="dxa"/>
          </w:tcPr>
          <w:p w:rsidR="00000000" w:rsidRDefault="00000000">
            <w:pPr>
              <w:tabs>
                <w:tab w:val="clear" w:pos="567"/>
                <w:tab w:val="clear" w:pos="1134"/>
              </w:tabs>
              <w:ind w:right="216"/>
              <w:jc w:val="right"/>
              <w:rPr>
                <w:sz w:val="22"/>
              </w:rPr>
            </w:pPr>
            <w:r>
              <w:rPr>
                <w:sz w:val="22"/>
              </w:rPr>
              <w:t>2,7</w:t>
            </w:r>
          </w:p>
        </w:tc>
        <w:tc>
          <w:tcPr>
            <w:tcW w:w="1063" w:type="dxa"/>
          </w:tcPr>
          <w:p w:rsidR="00000000" w:rsidRDefault="00000000">
            <w:pPr>
              <w:tabs>
                <w:tab w:val="clear" w:pos="567"/>
                <w:tab w:val="clear" w:pos="1134"/>
              </w:tabs>
              <w:ind w:right="216"/>
              <w:jc w:val="right"/>
              <w:rPr>
                <w:sz w:val="22"/>
              </w:rPr>
            </w:pPr>
            <w:r>
              <w:rPr>
                <w:sz w:val="22"/>
              </w:rPr>
              <w:t>253</w:t>
            </w:r>
          </w:p>
        </w:tc>
        <w:tc>
          <w:tcPr>
            <w:tcW w:w="1036" w:type="dxa"/>
          </w:tcPr>
          <w:p w:rsidR="00000000" w:rsidRDefault="00000000">
            <w:pPr>
              <w:tabs>
                <w:tab w:val="clear" w:pos="567"/>
                <w:tab w:val="clear" w:pos="1134"/>
              </w:tabs>
              <w:ind w:right="216"/>
              <w:jc w:val="right"/>
              <w:rPr>
                <w:sz w:val="22"/>
              </w:rPr>
            </w:pPr>
            <w:r>
              <w:rPr>
                <w:sz w:val="22"/>
              </w:rPr>
              <w:t>2,7</w:t>
            </w:r>
          </w:p>
        </w:tc>
        <w:tc>
          <w:tcPr>
            <w:tcW w:w="1064" w:type="dxa"/>
          </w:tcPr>
          <w:p w:rsidR="00000000" w:rsidRDefault="00000000">
            <w:pPr>
              <w:tabs>
                <w:tab w:val="clear" w:pos="567"/>
                <w:tab w:val="clear" w:pos="1134"/>
              </w:tabs>
              <w:ind w:right="216"/>
              <w:jc w:val="right"/>
              <w:rPr>
                <w:sz w:val="22"/>
              </w:rPr>
            </w:pPr>
            <w:r>
              <w:rPr>
                <w:sz w:val="22"/>
              </w:rPr>
              <w:t>220</w:t>
            </w:r>
          </w:p>
        </w:tc>
        <w:tc>
          <w:tcPr>
            <w:tcW w:w="899" w:type="dxa"/>
          </w:tcPr>
          <w:p w:rsidR="00000000" w:rsidRDefault="00000000">
            <w:pPr>
              <w:tabs>
                <w:tab w:val="clear" w:pos="567"/>
                <w:tab w:val="clear" w:pos="1134"/>
              </w:tabs>
              <w:ind w:right="216"/>
              <w:jc w:val="right"/>
              <w:rPr>
                <w:sz w:val="22"/>
              </w:rPr>
            </w:pPr>
            <w:r>
              <w:rPr>
                <w:sz w:val="22"/>
              </w:rPr>
              <w:t>2,5</w:t>
            </w:r>
          </w:p>
        </w:tc>
      </w:tr>
      <w:tr w:rsidR="00000000">
        <w:tblPrEx>
          <w:tblCellMar>
            <w:top w:w="0" w:type="dxa"/>
            <w:bottom w:w="0" w:type="dxa"/>
          </w:tblCellMar>
        </w:tblPrEx>
        <w:trPr>
          <w:cantSplit/>
        </w:trPr>
        <w:tc>
          <w:tcPr>
            <w:tcW w:w="367" w:type="dxa"/>
            <w:tcBorders>
              <w:right w:val="nil"/>
            </w:tcBorders>
            <w:tcMar>
              <w:left w:w="28" w:type="dxa"/>
              <w:right w:w="28" w:type="dxa"/>
            </w:tcMar>
          </w:tcPr>
          <w:p w:rsidR="00000000" w:rsidRDefault="00000000">
            <w:pPr>
              <w:rPr>
                <w:sz w:val="22"/>
              </w:rPr>
            </w:pPr>
            <w:r>
              <w:rPr>
                <w:sz w:val="22"/>
              </w:rPr>
              <w:t>9.</w:t>
            </w:r>
          </w:p>
        </w:tc>
        <w:tc>
          <w:tcPr>
            <w:tcW w:w="2937" w:type="dxa"/>
            <w:tcBorders>
              <w:left w:val="nil"/>
            </w:tcBorders>
          </w:tcPr>
          <w:p w:rsidR="00000000" w:rsidRDefault="00000000">
            <w:pPr>
              <w:rPr>
                <w:sz w:val="22"/>
              </w:rPr>
            </w:pPr>
            <w:r>
              <w:rPr>
                <w:sz w:val="22"/>
              </w:rPr>
              <w:t>Глазные болезни</w:t>
            </w:r>
          </w:p>
          <w:p w:rsidR="00000000" w:rsidRDefault="00000000">
            <w:pPr>
              <w:rPr>
                <w:sz w:val="22"/>
              </w:rPr>
            </w:pPr>
          </w:p>
        </w:tc>
        <w:tc>
          <w:tcPr>
            <w:tcW w:w="1092" w:type="dxa"/>
          </w:tcPr>
          <w:p w:rsidR="00000000" w:rsidRDefault="00000000">
            <w:pPr>
              <w:tabs>
                <w:tab w:val="clear" w:pos="567"/>
                <w:tab w:val="clear" w:pos="1134"/>
              </w:tabs>
              <w:ind w:right="216"/>
              <w:jc w:val="right"/>
              <w:rPr>
                <w:sz w:val="22"/>
              </w:rPr>
            </w:pPr>
            <w:r>
              <w:rPr>
                <w:sz w:val="22"/>
              </w:rPr>
              <w:t>256</w:t>
            </w:r>
          </w:p>
        </w:tc>
        <w:tc>
          <w:tcPr>
            <w:tcW w:w="952" w:type="dxa"/>
          </w:tcPr>
          <w:p w:rsidR="00000000" w:rsidRDefault="00000000">
            <w:pPr>
              <w:tabs>
                <w:tab w:val="clear" w:pos="567"/>
                <w:tab w:val="clear" w:pos="1134"/>
              </w:tabs>
              <w:ind w:right="216"/>
              <w:jc w:val="right"/>
              <w:rPr>
                <w:sz w:val="22"/>
              </w:rPr>
            </w:pPr>
            <w:r>
              <w:rPr>
                <w:sz w:val="22"/>
              </w:rPr>
              <w:t>2,7</w:t>
            </w:r>
          </w:p>
        </w:tc>
        <w:tc>
          <w:tcPr>
            <w:tcW w:w="1063" w:type="dxa"/>
          </w:tcPr>
          <w:p w:rsidR="00000000" w:rsidRDefault="00000000">
            <w:pPr>
              <w:tabs>
                <w:tab w:val="clear" w:pos="567"/>
                <w:tab w:val="clear" w:pos="1134"/>
              </w:tabs>
              <w:ind w:right="216"/>
              <w:jc w:val="right"/>
              <w:rPr>
                <w:sz w:val="22"/>
              </w:rPr>
            </w:pPr>
            <w:r>
              <w:rPr>
                <w:sz w:val="22"/>
              </w:rPr>
              <w:t>285</w:t>
            </w:r>
          </w:p>
        </w:tc>
        <w:tc>
          <w:tcPr>
            <w:tcW w:w="1036" w:type="dxa"/>
          </w:tcPr>
          <w:p w:rsidR="00000000" w:rsidRDefault="00000000">
            <w:pPr>
              <w:tabs>
                <w:tab w:val="clear" w:pos="567"/>
                <w:tab w:val="clear" w:pos="1134"/>
              </w:tabs>
              <w:ind w:right="216"/>
              <w:jc w:val="right"/>
              <w:rPr>
                <w:sz w:val="22"/>
              </w:rPr>
            </w:pPr>
            <w:r>
              <w:rPr>
                <w:sz w:val="22"/>
              </w:rPr>
              <w:t>3,0</w:t>
            </w:r>
          </w:p>
        </w:tc>
        <w:tc>
          <w:tcPr>
            <w:tcW w:w="1064" w:type="dxa"/>
          </w:tcPr>
          <w:p w:rsidR="00000000" w:rsidRDefault="00000000">
            <w:pPr>
              <w:tabs>
                <w:tab w:val="clear" w:pos="567"/>
                <w:tab w:val="clear" w:pos="1134"/>
              </w:tabs>
              <w:ind w:right="216"/>
              <w:jc w:val="right"/>
              <w:rPr>
                <w:sz w:val="22"/>
              </w:rPr>
            </w:pPr>
            <w:r>
              <w:rPr>
                <w:sz w:val="22"/>
              </w:rPr>
              <w:t>247</w:t>
            </w:r>
          </w:p>
        </w:tc>
        <w:tc>
          <w:tcPr>
            <w:tcW w:w="899" w:type="dxa"/>
          </w:tcPr>
          <w:p w:rsidR="00000000" w:rsidRDefault="00000000">
            <w:pPr>
              <w:tabs>
                <w:tab w:val="clear" w:pos="567"/>
                <w:tab w:val="clear" w:pos="1134"/>
              </w:tabs>
              <w:ind w:right="216"/>
              <w:jc w:val="right"/>
              <w:rPr>
                <w:sz w:val="22"/>
              </w:rPr>
            </w:pPr>
            <w:r>
              <w:rPr>
                <w:sz w:val="22"/>
              </w:rPr>
              <w:t>2,9</w:t>
            </w:r>
          </w:p>
        </w:tc>
      </w:tr>
      <w:tr w:rsidR="00000000">
        <w:tblPrEx>
          <w:tblCellMar>
            <w:top w:w="0" w:type="dxa"/>
            <w:bottom w:w="0" w:type="dxa"/>
          </w:tblCellMar>
        </w:tblPrEx>
        <w:trPr>
          <w:cantSplit/>
        </w:trPr>
        <w:tc>
          <w:tcPr>
            <w:tcW w:w="367" w:type="dxa"/>
            <w:tcBorders>
              <w:right w:val="nil"/>
            </w:tcBorders>
            <w:tcMar>
              <w:left w:w="28" w:type="dxa"/>
              <w:right w:w="28" w:type="dxa"/>
            </w:tcMar>
          </w:tcPr>
          <w:p w:rsidR="00000000" w:rsidRDefault="00000000">
            <w:pPr>
              <w:rPr>
                <w:sz w:val="22"/>
              </w:rPr>
            </w:pPr>
            <w:r>
              <w:rPr>
                <w:sz w:val="22"/>
              </w:rPr>
              <w:t>10.</w:t>
            </w:r>
          </w:p>
        </w:tc>
        <w:tc>
          <w:tcPr>
            <w:tcW w:w="2937" w:type="dxa"/>
            <w:tcBorders>
              <w:left w:val="nil"/>
              <w:bottom w:val="single" w:sz="4" w:space="0" w:color="auto"/>
            </w:tcBorders>
          </w:tcPr>
          <w:p w:rsidR="00000000" w:rsidRDefault="00000000">
            <w:pPr>
              <w:rPr>
                <w:sz w:val="22"/>
              </w:rPr>
            </w:pPr>
            <w:r>
              <w:rPr>
                <w:sz w:val="22"/>
              </w:rPr>
              <w:t>Болезни органов слуха и мастоидиты</w:t>
            </w:r>
          </w:p>
        </w:tc>
        <w:tc>
          <w:tcPr>
            <w:tcW w:w="1092" w:type="dxa"/>
          </w:tcPr>
          <w:p w:rsidR="00000000" w:rsidRDefault="00000000">
            <w:pPr>
              <w:tabs>
                <w:tab w:val="clear" w:pos="567"/>
                <w:tab w:val="clear" w:pos="1134"/>
              </w:tabs>
              <w:ind w:right="216"/>
              <w:jc w:val="right"/>
              <w:rPr>
                <w:sz w:val="22"/>
              </w:rPr>
            </w:pPr>
            <w:r>
              <w:rPr>
                <w:sz w:val="22"/>
              </w:rPr>
              <w:t>254</w:t>
            </w:r>
          </w:p>
        </w:tc>
        <w:tc>
          <w:tcPr>
            <w:tcW w:w="952" w:type="dxa"/>
          </w:tcPr>
          <w:p w:rsidR="00000000" w:rsidRDefault="00000000">
            <w:pPr>
              <w:tabs>
                <w:tab w:val="clear" w:pos="567"/>
                <w:tab w:val="clear" w:pos="1134"/>
              </w:tabs>
              <w:ind w:right="216"/>
              <w:jc w:val="right"/>
              <w:rPr>
                <w:sz w:val="22"/>
              </w:rPr>
            </w:pPr>
            <w:r>
              <w:rPr>
                <w:sz w:val="22"/>
              </w:rPr>
              <w:t>2,7</w:t>
            </w:r>
          </w:p>
        </w:tc>
        <w:tc>
          <w:tcPr>
            <w:tcW w:w="1063" w:type="dxa"/>
          </w:tcPr>
          <w:p w:rsidR="00000000" w:rsidRDefault="00000000">
            <w:pPr>
              <w:tabs>
                <w:tab w:val="clear" w:pos="567"/>
                <w:tab w:val="clear" w:pos="1134"/>
              </w:tabs>
              <w:ind w:right="216"/>
              <w:jc w:val="right"/>
              <w:rPr>
                <w:sz w:val="22"/>
              </w:rPr>
            </w:pPr>
            <w:r>
              <w:rPr>
                <w:sz w:val="22"/>
              </w:rPr>
              <w:t>241</w:t>
            </w:r>
          </w:p>
        </w:tc>
        <w:tc>
          <w:tcPr>
            <w:tcW w:w="1036" w:type="dxa"/>
          </w:tcPr>
          <w:p w:rsidR="00000000" w:rsidRDefault="00000000">
            <w:pPr>
              <w:tabs>
                <w:tab w:val="clear" w:pos="567"/>
                <w:tab w:val="clear" w:pos="1134"/>
              </w:tabs>
              <w:ind w:right="216"/>
              <w:jc w:val="right"/>
              <w:rPr>
                <w:sz w:val="22"/>
              </w:rPr>
            </w:pPr>
            <w:r>
              <w:rPr>
                <w:sz w:val="22"/>
              </w:rPr>
              <w:t>2,5</w:t>
            </w:r>
          </w:p>
        </w:tc>
        <w:tc>
          <w:tcPr>
            <w:tcW w:w="1064" w:type="dxa"/>
          </w:tcPr>
          <w:p w:rsidR="00000000" w:rsidRDefault="00000000">
            <w:pPr>
              <w:tabs>
                <w:tab w:val="clear" w:pos="567"/>
                <w:tab w:val="clear" w:pos="1134"/>
              </w:tabs>
              <w:ind w:right="216"/>
              <w:jc w:val="right"/>
              <w:rPr>
                <w:sz w:val="22"/>
              </w:rPr>
            </w:pPr>
            <w:r>
              <w:rPr>
                <w:sz w:val="22"/>
              </w:rPr>
              <w:t>238</w:t>
            </w:r>
          </w:p>
        </w:tc>
        <w:tc>
          <w:tcPr>
            <w:tcW w:w="899" w:type="dxa"/>
          </w:tcPr>
          <w:p w:rsidR="00000000" w:rsidRDefault="00000000">
            <w:pPr>
              <w:tabs>
                <w:tab w:val="clear" w:pos="567"/>
                <w:tab w:val="clear" w:pos="1134"/>
              </w:tabs>
              <w:ind w:right="216"/>
              <w:jc w:val="right"/>
              <w:rPr>
                <w:sz w:val="22"/>
              </w:rPr>
            </w:pPr>
            <w:r>
              <w:rPr>
                <w:sz w:val="22"/>
              </w:rPr>
              <w:t>2,7</w:t>
            </w:r>
          </w:p>
        </w:tc>
      </w:tr>
    </w:tbl>
    <w:p w:rsidR="00000000" w:rsidRDefault="00000000"/>
    <w:p w:rsidR="00000000" w:rsidRDefault="00000000">
      <w:r>
        <w:t>418.</w:t>
      </w:r>
      <w:r>
        <w:tab/>
      </w:r>
      <w:r>
        <w:rPr>
          <w:lang w:val="en-US"/>
        </w:rPr>
        <w:t>C</w:t>
      </w:r>
      <w:r>
        <w:t>равнительный анализ за период 1999-2001 годов указывает на высокий уровень хронических, массовых и неинфекционных заболеваний в Федерации Боснии и Герцеговины.</w:t>
      </w:r>
    </w:p>
    <w:p w:rsidR="00000000" w:rsidRDefault="00000000"/>
    <w:p w:rsidR="00000000" w:rsidRDefault="00000000">
      <w:pPr>
        <w:jc w:val="center"/>
        <w:rPr>
          <w:b/>
          <w:bCs/>
        </w:rPr>
      </w:pPr>
      <w:r>
        <w:rPr>
          <w:b/>
          <w:bCs/>
        </w:rPr>
        <w:t>Таблица 9</w:t>
      </w:r>
    </w:p>
    <w:p w:rsidR="00000000" w:rsidRDefault="00000000">
      <w:pPr>
        <w:jc w:val="center"/>
        <w:rPr>
          <w:b/>
          <w:bCs/>
        </w:rPr>
      </w:pPr>
    </w:p>
    <w:p w:rsidR="00000000" w:rsidRDefault="00000000">
      <w:pPr>
        <w:jc w:val="center"/>
        <w:rPr>
          <w:b/>
          <w:bCs/>
        </w:rPr>
      </w:pPr>
      <w:r>
        <w:rPr>
          <w:b/>
          <w:bCs/>
        </w:rPr>
        <w:t>Основные группы болезней в Республике Сербской в 1999-2001 годах</w:t>
      </w:r>
    </w:p>
    <w:p w:rsidR="00000000" w:rsidRDefault="00000000">
      <w:pPr>
        <w:jc w:val="center"/>
        <w:rPr>
          <w:b/>
          <w:bCs/>
        </w:rPr>
      </w:pP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26"/>
        <w:gridCol w:w="2268"/>
        <w:gridCol w:w="1520"/>
        <w:gridCol w:w="826"/>
        <w:gridCol w:w="1357"/>
        <w:gridCol w:w="857"/>
        <w:gridCol w:w="1348"/>
        <w:gridCol w:w="754"/>
      </w:tblGrid>
      <w:tr w:rsidR="00000000">
        <w:tblPrEx>
          <w:tblCellMar>
            <w:top w:w="0" w:type="dxa"/>
            <w:bottom w:w="0" w:type="dxa"/>
          </w:tblCellMar>
        </w:tblPrEx>
        <w:trPr>
          <w:cantSplit/>
        </w:trPr>
        <w:tc>
          <w:tcPr>
            <w:tcW w:w="2694" w:type="dxa"/>
            <w:gridSpan w:val="2"/>
            <w:vMerge w:val="restart"/>
            <w:vAlign w:val="center"/>
          </w:tcPr>
          <w:p w:rsidR="00000000" w:rsidRDefault="00000000">
            <w:pPr>
              <w:spacing w:line="240" w:lineRule="auto"/>
              <w:jc w:val="center"/>
              <w:rPr>
                <w:sz w:val="22"/>
              </w:rPr>
            </w:pPr>
            <w:r>
              <w:rPr>
                <w:sz w:val="22"/>
              </w:rPr>
              <w:t>Болезни</w:t>
            </w:r>
          </w:p>
        </w:tc>
        <w:tc>
          <w:tcPr>
            <w:tcW w:w="2346" w:type="dxa"/>
            <w:gridSpan w:val="2"/>
            <w:tcBorders>
              <w:bottom w:val="single" w:sz="4" w:space="0" w:color="auto"/>
            </w:tcBorders>
          </w:tcPr>
          <w:p w:rsidR="00000000" w:rsidRDefault="00000000">
            <w:pPr>
              <w:spacing w:line="240" w:lineRule="auto"/>
              <w:jc w:val="center"/>
              <w:rPr>
                <w:sz w:val="22"/>
              </w:rPr>
            </w:pPr>
            <w:r>
              <w:rPr>
                <w:sz w:val="22"/>
              </w:rPr>
              <w:t>1999 год</w:t>
            </w:r>
          </w:p>
        </w:tc>
        <w:tc>
          <w:tcPr>
            <w:tcW w:w="2214" w:type="dxa"/>
            <w:gridSpan w:val="2"/>
            <w:tcBorders>
              <w:bottom w:val="single" w:sz="4" w:space="0" w:color="auto"/>
            </w:tcBorders>
          </w:tcPr>
          <w:p w:rsidR="00000000" w:rsidRDefault="00000000">
            <w:pPr>
              <w:spacing w:line="240" w:lineRule="auto"/>
              <w:jc w:val="center"/>
              <w:rPr>
                <w:sz w:val="22"/>
              </w:rPr>
            </w:pPr>
            <w:r>
              <w:rPr>
                <w:sz w:val="22"/>
              </w:rPr>
              <w:t>2000 год</w:t>
            </w:r>
          </w:p>
        </w:tc>
        <w:tc>
          <w:tcPr>
            <w:tcW w:w="2102" w:type="dxa"/>
            <w:gridSpan w:val="2"/>
            <w:tcBorders>
              <w:bottom w:val="single" w:sz="4" w:space="0" w:color="auto"/>
            </w:tcBorders>
          </w:tcPr>
          <w:p w:rsidR="00000000" w:rsidRDefault="00000000">
            <w:pPr>
              <w:spacing w:line="240" w:lineRule="auto"/>
              <w:jc w:val="center"/>
              <w:rPr>
                <w:sz w:val="22"/>
              </w:rPr>
            </w:pPr>
            <w:r>
              <w:rPr>
                <w:sz w:val="22"/>
              </w:rPr>
              <w:t>2001 год</w:t>
            </w:r>
          </w:p>
        </w:tc>
      </w:tr>
      <w:tr w:rsidR="00000000">
        <w:tblPrEx>
          <w:tblCellMar>
            <w:top w:w="0" w:type="dxa"/>
            <w:bottom w:w="0" w:type="dxa"/>
          </w:tblCellMar>
        </w:tblPrEx>
        <w:trPr>
          <w:cantSplit/>
        </w:trPr>
        <w:tc>
          <w:tcPr>
            <w:tcW w:w="2694" w:type="dxa"/>
            <w:gridSpan w:val="2"/>
            <w:vMerge/>
            <w:tcBorders>
              <w:bottom w:val="single" w:sz="4" w:space="0" w:color="auto"/>
            </w:tcBorders>
          </w:tcPr>
          <w:p w:rsidR="00000000" w:rsidRDefault="00000000">
            <w:pPr>
              <w:spacing w:line="240" w:lineRule="auto"/>
              <w:rPr>
                <w:sz w:val="22"/>
              </w:rPr>
            </w:pPr>
          </w:p>
        </w:tc>
        <w:tc>
          <w:tcPr>
            <w:tcW w:w="1520" w:type="dxa"/>
            <w:tcBorders>
              <w:top w:val="single" w:sz="4" w:space="0" w:color="auto"/>
              <w:bottom w:val="single" w:sz="4" w:space="0" w:color="auto"/>
            </w:tcBorders>
          </w:tcPr>
          <w:p w:rsidR="00000000" w:rsidRDefault="00000000">
            <w:pPr>
              <w:spacing w:line="240" w:lineRule="auto"/>
              <w:jc w:val="center"/>
              <w:rPr>
                <w:sz w:val="22"/>
              </w:rPr>
            </w:pPr>
            <w:r>
              <w:rPr>
                <w:sz w:val="22"/>
              </w:rPr>
              <w:t>Количество случаев (</w:t>
            </w:r>
            <w:r>
              <w:rPr>
                <w:sz w:val="22"/>
                <w:lang w:val="en-US"/>
              </w:rPr>
              <w:t>N</w:t>
            </w:r>
            <w:r>
              <w:rPr>
                <w:sz w:val="22"/>
              </w:rPr>
              <w:t>)</w:t>
            </w:r>
          </w:p>
        </w:tc>
        <w:tc>
          <w:tcPr>
            <w:tcW w:w="826" w:type="dxa"/>
            <w:tcBorders>
              <w:top w:val="single" w:sz="4" w:space="0" w:color="auto"/>
              <w:bottom w:val="single" w:sz="4" w:space="0" w:color="auto"/>
            </w:tcBorders>
          </w:tcPr>
          <w:p w:rsidR="00000000" w:rsidRDefault="00000000">
            <w:pPr>
              <w:spacing w:line="240" w:lineRule="auto"/>
              <w:jc w:val="center"/>
              <w:rPr>
                <w:sz w:val="22"/>
              </w:rPr>
            </w:pPr>
            <w:r>
              <w:rPr>
                <w:sz w:val="22"/>
              </w:rPr>
              <w:t>(%)</w:t>
            </w:r>
          </w:p>
        </w:tc>
        <w:tc>
          <w:tcPr>
            <w:tcW w:w="1357" w:type="dxa"/>
            <w:tcBorders>
              <w:top w:val="single" w:sz="4" w:space="0" w:color="auto"/>
              <w:bottom w:val="single" w:sz="4" w:space="0" w:color="auto"/>
            </w:tcBorders>
          </w:tcPr>
          <w:p w:rsidR="00000000" w:rsidRDefault="00000000">
            <w:pPr>
              <w:spacing w:line="240" w:lineRule="auto"/>
              <w:jc w:val="center"/>
              <w:rPr>
                <w:sz w:val="22"/>
              </w:rPr>
            </w:pPr>
            <w:r>
              <w:rPr>
                <w:sz w:val="22"/>
              </w:rPr>
              <w:t>Количество случаев (</w:t>
            </w:r>
            <w:r>
              <w:rPr>
                <w:sz w:val="22"/>
                <w:lang w:val="en-US"/>
              </w:rPr>
              <w:t>N</w:t>
            </w:r>
            <w:r>
              <w:rPr>
                <w:sz w:val="22"/>
              </w:rPr>
              <w:t>)</w:t>
            </w:r>
          </w:p>
        </w:tc>
        <w:tc>
          <w:tcPr>
            <w:tcW w:w="857" w:type="dxa"/>
            <w:tcBorders>
              <w:top w:val="single" w:sz="4" w:space="0" w:color="auto"/>
              <w:bottom w:val="single" w:sz="4" w:space="0" w:color="auto"/>
            </w:tcBorders>
          </w:tcPr>
          <w:p w:rsidR="00000000" w:rsidRDefault="00000000">
            <w:pPr>
              <w:spacing w:line="240" w:lineRule="auto"/>
              <w:jc w:val="center"/>
              <w:rPr>
                <w:sz w:val="22"/>
              </w:rPr>
            </w:pPr>
            <w:r>
              <w:rPr>
                <w:sz w:val="22"/>
              </w:rPr>
              <w:t>(%)</w:t>
            </w:r>
          </w:p>
        </w:tc>
        <w:tc>
          <w:tcPr>
            <w:tcW w:w="1348" w:type="dxa"/>
            <w:tcBorders>
              <w:top w:val="single" w:sz="4" w:space="0" w:color="auto"/>
              <w:bottom w:val="single" w:sz="4" w:space="0" w:color="auto"/>
            </w:tcBorders>
          </w:tcPr>
          <w:p w:rsidR="00000000" w:rsidRDefault="00000000">
            <w:pPr>
              <w:spacing w:line="240" w:lineRule="auto"/>
              <w:jc w:val="center"/>
              <w:rPr>
                <w:sz w:val="22"/>
              </w:rPr>
            </w:pPr>
            <w:r>
              <w:rPr>
                <w:sz w:val="22"/>
              </w:rPr>
              <w:t>Количество случаев (</w:t>
            </w:r>
            <w:r>
              <w:rPr>
                <w:sz w:val="22"/>
                <w:lang w:val="en-US"/>
              </w:rPr>
              <w:t>N</w:t>
            </w:r>
            <w:r>
              <w:rPr>
                <w:sz w:val="22"/>
              </w:rPr>
              <w:t>)</w:t>
            </w:r>
          </w:p>
        </w:tc>
        <w:tc>
          <w:tcPr>
            <w:tcW w:w="754" w:type="dxa"/>
            <w:tcBorders>
              <w:top w:val="single" w:sz="4" w:space="0" w:color="auto"/>
              <w:bottom w:val="single" w:sz="4" w:space="0" w:color="auto"/>
            </w:tcBorders>
          </w:tcPr>
          <w:p w:rsidR="00000000" w:rsidRDefault="00000000">
            <w:pPr>
              <w:spacing w:line="240" w:lineRule="auto"/>
              <w:jc w:val="center"/>
              <w:rPr>
                <w:sz w:val="22"/>
              </w:rPr>
            </w:pPr>
            <w:r>
              <w:rPr>
                <w:sz w:val="22"/>
              </w:rPr>
              <w:t>(%)</w:t>
            </w:r>
          </w:p>
        </w:tc>
      </w:tr>
      <w:tr w:rsidR="00000000">
        <w:tblPrEx>
          <w:tblCellMar>
            <w:top w:w="0" w:type="dxa"/>
            <w:bottom w:w="0" w:type="dxa"/>
          </w:tblCellMar>
        </w:tblPrEx>
        <w:tc>
          <w:tcPr>
            <w:tcW w:w="426" w:type="dxa"/>
            <w:tcBorders>
              <w:top w:val="single" w:sz="4" w:space="0" w:color="auto"/>
              <w:bottom w:val="nil"/>
              <w:right w:val="nil"/>
            </w:tcBorders>
            <w:tcMar>
              <w:left w:w="28" w:type="dxa"/>
              <w:right w:w="28" w:type="dxa"/>
            </w:tcMar>
          </w:tcPr>
          <w:p w:rsidR="00000000" w:rsidRDefault="00000000">
            <w:pPr>
              <w:spacing w:line="240" w:lineRule="auto"/>
              <w:jc w:val="right"/>
              <w:rPr>
                <w:sz w:val="22"/>
              </w:rPr>
            </w:pPr>
            <w:r>
              <w:rPr>
                <w:sz w:val="22"/>
              </w:rPr>
              <w:t>1.</w:t>
            </w:r>
          </w:p>
        </w:tc>
        <w:tc>
          <w:tcPr>
            <w:tcW w:w="2268" w:type="dxa"/>
            <w:tcBorders>
              <w:top w:val="single" w:sz="4" w:space="0" w:color="auto"/>
              <w:left w:val="nil"/>
              <w:bottom w:val="nil"/>
            </w:tcBorders>
          </w:tcPr>
          <w:p w:rsidR="00000000" w:rsidRDefault="00000000">
            <w:pPr>
              <w:spacing w:line="240" w:lineRule="auto"/>
              <w:rPr>
                <w:sz w:val="22"/>
              </w:rPr>
            </w:pPr>
            <w:r>
              <w:rPr>
                <w:sz w:val="22"/>
              </w:rPr>
              <w:t>Болезни дыхательной системы</w:t>
            </w:r>
          </w:p>
        </w:tc>
        <w:tc>
          <w:tcPr>
            <w:tcW w:w="1520" w:type="dxa"/>
            <w:tcBorders>
              <w:top w:val="single" w:sz="4" w:space="0" w:color="auto"/>
              <w:bottom w:val="nil"/>
            </w:tcBorders>
          </w:tcPr>
          <w:p w:rsidR="00000000" w:rsidRDefault="00000000">
            <w:pPr>
              <w:spacing w:line="240" w:lineRule="auto"/>
              <w:ind w:right="170"/>
              <w:jc w:val="right"/>
              <w:rPr>
                <w:sz w:val="22"/>
              </w:rPr>
            </w:pPr>
            <w:r>
              <w:rPr>
                <w:sz w:val="22"/>
              </w:rPr>
              <w:t>3 568</w:t>
            </w:r>
          </w:p>
        </w:tc>
        <w:tc>
          <w:tcPr>
            <w:tcW w:w="826" w:type="dxa"/>
            <w:tcBorders>
              <w:top w:val="single" w:sz="4" w:space="0" w:color="auto"/>
              <w:bottom w:val="nil"/>
            </w:tcBorders>
          </w:tcPr>
          <w:p w:rsidR="00000000" w:rsidRDefault="00000000">
            <w:pPr>
              <w:tabs>
                <w:tab w:val="clear" w:pos="567"/>
              </w:tabs>
              <w:spacing w:line="240" w:lineRule="auto"/>
              <w:ind w:right="113"/>
              <w:jc w:val="right"/>
              <w:rPr>
                <w:sz w:val="22"/>
              </w:rPr>
            </w:pPr>
            <w:r>
              <w:rPr>
                <w:sz w:val="22"/>
              </w:rPr>
              <w:t>29,00</w:t>
            </w:r>
          </w:p>
        </w:tc>
        <w:tc>
          <w:tcPr>
            <w:tcW w:w="1357" w:type="dxa"/>
            <w:tcBorders>
              <w:top w:val="single" w:sz="4" w:space="0" w:color="auto"/>
              <w:bottom w:val="nil"/>
            </w:tcBorders>
          </w:tcPr>
          <w:p w:rsidR="00000000" w:rsidRDefault="00000000">
            <w:pPr>
              <w:spacing w:line="240" w:lineRule="auto"/>
              <w:ind w:right="113"/>
              <w:jc w:val="right"/>
              <w:rPr>
                <w:sz w:val="22"/>
              </w:rPr>
            </w:pPr>
            <w:r>
              <w:rPr>
                <w:sz w:val="22"/>
              </w:rPr>
              <w:t>289 054</w:t>
            </w:r>
          </w:p>
        </w:tc>
        <w:tc>
          <w:tcPr>
            <w:tcW w:w="857" w:type="dxa"/>
            <w:tcBorders>
              <w:top w:val="single" w:sz="4" w:space="0" w:color="auto"/>
              <w:bottom w:val="nil"/>
            </w:tcBorders>
          </w:tcPr>
          <w:p w:rsidR="00000000" w:rsidRDefault="00000000">
            <w:pPr>
              <w:tabs>
                <w:tab w:val="clear" w:pos="567"/>
              </w:tabs>
              <w:spacing w:line="240" w:lineRule="auto"/>
              <w:ind w:right="113"/>
              <w:jc w:val="right"/>
              <w:rPr>
                <w:sz w:val="22"/>
              </w:rPr>
            </w:pPr>
            <w:r>
              <w:rPr>
                <w:sz w:val="22"/>
              </w:rPr>
              <w:t>33,60</w:t>
            </w:r>
          </w:p>
        </w:tc>
        <w:tc>
          <w:tcPr>
            <w:tcW w:w="1348" w:type="dxa"/>
            <w:tcBorders>
              <w:top w:val="single" w:sz="4" w:space="0" w:color="auto"/>
              <w:bottom w:val="nil"/>
            </w:tcBorders>
          </w:tcPr>
          <w:p w:rsidR="00000000" w:rsidRDefault="00000000">
            <w:pPr>
              <w:tabs>
                <w:tab w:val="clear" w:pos="567"/>
                <w:tab w:val="clear" w:pos="1134"/>
              </w:tabs>
              <w:spacing w:line="240" w:lineRule="auto"/>
              <w:ind w:right="266"/>
              <w:jc w:val="right"/>
              <w:rPr>
                <w:sz w:val="22"/>
              </w:rPr>
            </w:pPr>
            <w:r>
              <w:rPr>
                <w:sz w:val="22"/>
              </w:rPr>
              <w:t>283 716</w:t>
            </w:r>
          </w:p>
        </w:tc>
        <w:tc>
          <w:tcPr>
            <w:tcW w:w="754" w:type="dxa"/>
            <w:tcBorders>
              <w:top w:val="single" w:sz="4" w:space="0" w:color="auto"/>
              <w:bottom w:val="nil"/>
            </w:tcBorders>
          </w:tcPr>
          <w:p w:rsidR="00000000" w:rsidRDefault="00000000">
            <w:pPr>
              <w:tabs>
                <w:tab w:val="clear" w:pos="567"/>
              </w:tabs>
              <w:spacing w:line="240" w:lineRule="auto"/>
              <w:jc w:val="right"/>
              <w:rPr>
                <w:sz w:val="22"/>
              </w:rPr>
            </w:pPr>
            <w:r>
              <w:rPr>
                <w:sz w:val="22"/>
              </w:rPr>
              <w:t>31,2</w:t>
            </w:r>
          </w:p>
        </w:tc>
      </w:tr>
      <w:tr w:rsidR="00000000">
        <w:tblPrEx>
          <w:tblCellMar>
            <w:top w:w="0" w:type="dxa"/>
            <w:bottom w:w="0" w:type="dxa"/>
          </w:tblCellMar>
        </w:tblPrEx>
        <w:tc>
          <w:tcPr>
            <w:tcW w:w="426" w:type="dxa"/>
            <w:tcBorders>
              <w:top w:val="nil"/>
              <w:right w:val="nil"/>
            </w:tcBorders>
            <w:tcMar>
              <w:left w:w="28" w:type="dxa"/>
              <w:right w:w="28" w:type="dxa"/>
            </w:tcMar>
          </w:tcPr>
          <w:p w:rsidR="00000000" w:rsidRDefault="00000000">
            <w:pPr>
              <w:spacing w:line="240" w:lineRule="auto"/>
              <w:jc w:val="right"/>
              <w:rPr>
                <w:sz w:val="22"/>
              </w:rPr>
            </w:pPr>
            <w:r>
              <w:rPr>
                <w:sz w:val="22"/>
              </w:rPr>
              <w:t>2.</w:t>
            </w:r>
          </w:p>
        </w:tc>
        <w:tc>
          <w:tcPr>
            <w:tcW w:w="2268" w:type="dxa"/>
            <w:tcBorders>
              <w:top w:val="nil"/>
              <w:left w:val="nil"/>
            </w:tcBorders>
          </w:tcPr>
          <w:p w:rsidR="00000000" w:rsidRDefault="00000000">
            <w:pPr>
              <w:spacing w:line="240" w:lineRule="auto"/>
              <w:rPr>
                <w:sz w:val="22"/>
              </w:rPr>
            </w:pPr>
            <w:r>
              <w:rPr>
                <w:sz w:val="22"/>
              </w:rPr>
              <w:t>Болезни сердечно-сосудистой системы</w:t>
            </w:r>
          </w:p>
        </w:tc>
        <w:tc>
          <w:tcPr>
            <w:tcW w:w="1520" w:type="dxa"/>
            <w:tcBorders>
              <w:top w:val="nil"/>
            </w:tcBorders>
          </w:tcPr>
          <w:p w:rsidR="00000000" w:rsidRDefault="00000000">
            <w:pPr>
              <w:spacing w:line="240" w:lineRule="auto"/>
              <w:ind w:right="170"/>
              <w:jc w:val="right"/>
              <w:rPr>
                <w:sz w:val="22"/>
              </w:rPr>
            </w:pPr>
            <w:r>
              <w:rPr>
                <w:sz w:val="22"/>
              </w:rPr>
              <w:t>103 746</w:t>
            </w:r>
          </w:p>
        </w:tc>
        <w:tc>
          <w:tcPr>
            <w:tcW w:w="826" w:type="dxa"/>
            <w:tcBorders>
              <w:top w:val="nil"/>
            </w:tcBorders>
          </w:tcPr>
          <w:p w:rsidR="00000000" w:rsidRDefault="00000000">
            <w:pPr>
              <w:tabs>
                <w:tab w:val="clear" w:pos="567"/>
              </w:tabs>
              <w:spacing w:line="240" w:lineRule="auto"/>
              <w:ind w:right="113"/>
              <w:jc w:val="right"/>
              <w:rPr>
                <w:sz w:val="22"/>
              </w:rPr>
            </w:pPr>
            <w:r>
              <w:rPr>
                <w:sz w:val="22"/>
              </w:rPr>
              <w:t>8,42</w:t>
            </w:r>
          </w:p>
        </w:tc>
        <w:tc>
          <w:tcPr>
            <w:tcW w:w="1357" w:type="dxa"/>
            <w:tcBorders>
              <w:top w:val="nil"/>
            </w:tcBorders>
          </w:tcPr>
          <w:p w:rsidR="00000000" w:rsidRDefault="00000000">
            <w:pPr>
              <w:spacing w:line="240" w:lineRule="auto"/>
              <w:ind w:right="113"/>
              <w:jc w:val="right"/>
              <w:rPr>
                <w:sz w:val="22"/>
              </w:rPr>
            </w:pPr>
            <w:r>
              <w:rPr>
                <w:sz w:val="22"/>
              </w:rPr>
              <w:t>85 169</w:t>
            </w:r>
          </w:p>
        </w:tc>
        <w:tc>
          <w:tcPr>
            <w:tcW w:w="857" w:type="dxa"/>
            <w:tcBorders>
              <w:top w:val="nil"/>
            </w:tcBorders>
          </w:tcPr>
          <w:p w:rsidR="00000000" w:rsidRDefault="00000000">
            <w:pPr>
              <w:tabs>
                <w:tab w:val="clear" w:pos="567"/>
              </w:tabs>
              <w:spacing w:line="240" w:lineRule="auto"/>
              <w:ind w:right="113"/>
              <w:jc w:val="right"/>
              <w:rPr>
                <w:sz w:val="22"/>
              </w:rPr>
            </w:pPr>
            <w:r>
              <w:rPr>
                <w:sz w:val="22"/>
              </w:rPr>
              <w:t>9,89</w:t>
            </w:r>
          </w:p>
        </w:tc>
        <w:tc>
          <w:tcPr>
            <w:tcW w:w="1348" w:type="dxa"/>
            <w:tcBorders>
              <w:top w:val="nil"/>
            </w:tcBorders>
          </w:tcPr>
          <w:p w:rsidR="00000000" w:rsidRDefault="00000000">
            <w:pPr>
              <w:tabs>
                <w:tab w:val="clear" w:pos="567"/>
                <w:tab w:val="clear" w:pos="1134"/>
              </w:tabs>
              <w:spacing w:line="240" w:lineRule="auto"/>
              <w:ind w:right="266"/>
              <w:jc w:val="right"/>
              <w:rPr>
                <w:sz w:val="22"/>
              </w:rPr>
            </w:pPr>
            <w:r>
              <w:rPr>
                <w:sz w:val="22"/>
              </w:rPr>
              <w:t>110 651</w:t>
            </w:r>
          </w:p>
        </w:tc>
        <w:tc>
          <w:tcPr>
            <w:tcW w:w="754" w:type="dxa"/>
            <w:tcBorders>
              <w:top w:val="nil"/>
            </w:tcBorders>
          </w:tcPr>
          <w:p w:rsidR="00000000" w:rsidRDefault="00000000">
            <w:pPr>
              <w:pStyle w:val="Header"/>
              <w:jc w:val="right"/>
              <w:rPr>
                <w:sz w:val="22"/>
              </w:rPr>
            </w:pPr>
            <w:r>
              <w:rPr>
                <w:sz w:val="22"/>
              </w:rPr>
              <w:t>12,2</w:t>
            </w:r>
          </w:p>
        </w:tc>
      </w:tr>
      <w:tr w:rsidR="00000000">
        <w:tblPrEx>
          <w:tblCellMar>
            <w:top w:w="0" w:type="dxa"/>
            <w:bottom w:w="0" w:type="dxa"/>
          </w:tblCellMar>
        </w:tblPrEx>
        <w:tc>
          <w:tcPr>
            <w:tcW w:w="426" w:type="dxa"/>
            <w:tcBorders>
              <w:right w:val="nil"/>
            </w:tcBorders>
            <w:tcMar>
              <w:left w:w="28" w:type="dxa"/>
              <w:right w:w="28" w:type="dxa"/>
            </w:tcMar>
          </w:tcPr>
          <w:p w:rsidR="00000000" w:rsidRDefault="00000000">
            <w:pPr>
              <w:spacing w:line="240" w:lineRule="auto"/>
              <w:jc w:val="right"/>
              <w:rPr>
                <w:sz w:val="22"/>
              </w:rPr>
            </w:pPr>
            <w:r>
              <w:rPr>
                <w:sz w:val="22"/>
              </w:rPr>
              <w:t>3.</w:t>
            </w:r>
          </w:p>
        </w:tc>
        <w:tc>
          <w:tcPr>
            <w:tcW w:w="2268" w:type="dxa"/>
            <w:tcBorders>
              <w:left w:val="nil"/>
            </w:tcBorders>
          </w:tcPr>
          <w:p w:rsidR="00000000" w:rsidRDefault="00000000">
            <w:pPr>
              <w:spacing w:line="240" w:lineRule="auto"/>
              <w:rPr>
                <w:sz w:val="22"/>
              </w:rPr>
            </w:pPr>
            <w:r>
              <w:rPr>
                <w:sz w:val="22"/>
              </w:rPr>
              <w:t>Болезни мочеполовой системы</w:t>
            </w:r>
          </w:p>
        </w:tc>
        <w:tc>
          <w:tcPr>
            <w:tcW w:w="1520" w:type="dxa"/>
          </w:tcPr>
          <w:p w:rsidR="00000000" w:rsidRDefault="00000000">
            <w:pPr>
              <w:spacing w:line="240" w:lineRule="auto"/>
              <w:ind w:right="170"/>
              <w:jc w:val="right"/>
              <w:rPr>
                <w:sz w:val="22"/>
              </w:rPr>
            </w:pPr>
            <w:r>
              <w:rPr>
                <w:sz w:val="22"/>
              </w:rPr>
              <w:t>106 505</w:t>
            </w:r>
          </w:p>
        </w:tc>
        <w:tc>
          <w:tcPr>
            <w:tcW w:w="826" w:type="dxa"/>
          </w:tcPr>
          <w:p w:rsidR="00000000" w:rsidRDefault="00000000">
            <w:pPr>
              <w:tabs>
                <w:tab w:val="clear" w:pos="567"/>
              </w:tabs>
              <w:spacing w:line="240" w:lineRule="auto"/>
              <w:ind w:right="113"/>
              <w:jc w:val="right"/>
              <w:rPr>
                <w:sz w:val="22"/>
              </w:rPr>
            </w:pPr>
            <w:r>
              <w:rPr>
                <w:sz w:val="22"/>
              </w:rPr>
              <w:t>8,65</w:t>
            </w:r>
          </w:p>
        </w:tc>
        <w:tc>
          <w:tcPr>
            <w:tcW w:w="1357" w:type="dxa"/>
          </w:tcPr>
          <w:p w:rsidR="00000000" w:rsidRDefault="00000000">
            <w:pPr>
              <w:spacing w:line="240" w:lineRule="auto"/>
              <w:ind w:right="113"/>
              <w:jc w:val="right"/>
              <w:rPr>
                <w:sz w:val="22"/>
              </w:rPr>
            </w:pPr>
            <w:r>
              <w:rPr>
                <w:sz w:val="22"/>
              </w:rPr>
              <w:t>96 164</w:t>
            </w:r>
          </w:p>
        </w:tc>
        <w:tc>
          <w:tcPr>
            <w:tcW w:w="857" w:type="dxa"/>
          </w:tcPr>
          <w:p w:rsidR="00000000" w:rsidRDefault="00000000">
            <w:pPr>
              <w:tabs>
                <w:tab w:val="clear" w:pos="567"/>
              </w:tabs>
              <w:spacing w:line="240" w:lineRule="auto"/>
              <w:ind w:right="113"/>
              <w:jc w:val="right"/>
              <w:rPr>
                <w:sz w:val="22"/>
              </w:rPr>
            </w:pPr>
            <w:r>
              <w:rPr>
                <w:sz w:val="22"/>
              </w:rPr>
              <w:t>11,20</w:t>
            </w:r>
          </w:p>
        </w:tc>
        <w:tc>
          <w:tcPr>
            <w:tcW w:w="1348" w:type="dxa"/>
          </w:tcPr>
          <w:p w:rsidR="00000000" w:rsidRDefault="00000000">
            <w:pPr>
              <w:tabs>
                <w:tab w:val="clear" w:pos="567"/>
                <w:tab w:val="clear" w:pos="1134"/>
              </w:tabs>
              <w:spacing w:line="240" w:lineRule="auto"/>
              <w:ind w:right="266"/>
              <w:jc w:val="right"/>
              <w:rPr>
                <w:sz w:val="22"/>
              </w:rPr>
            </w:pPr>
            <w:r>
              <w:rPr>
                <w:sz w:val="22"/>
              </w:rPr>
              <w:t>102 345</w:t>
            </w:r>
          </w:p>
        </w:tc>
        <w:tc>
          <w:tcPr>
            <w:tcW w:w="754" w:type="dxa"/>
          </w:tcPr>
          <w:p w:rsidR="00000000" w:rsidRDefault="00000000">
            <w:pPr>
              <w:tabs>
                <w:tab w:val="clear" w:pos="567"/>
              </w:tabs>
              <w:spacing w:line="240" w:lineRule="auto"/>
              <w:jc w:val="right"/>
              <w:rPr>
                <w:sz w:val="22"/>
              </w:rPr>
            </w:pPr>
            <w:r>
              <w:rPr>
                <w:sz w:val="22"/>
              </w:rPr>
              <w:t>11,3</w:t>
            </w:r>
          </w:p>
        </w:tc>
      </w:tr>
      <w:tr w:rsidR="00000000">
        <w:tblPrEx>
          <w:tblCellMar>
            <w:top w:w="0" w:type="dxa"/>
            <w:bottom w:w="0" w:type="dxa"/>
          </w:tblCellMar>
        </w:tblPrEx>
        <w:tc>
          <w:tcPr>
            <w:tcW w:w="426" w:type="dxa"/>
            <w:tcBorders>
              <w:right w:val="nil"/>
            </w:tcBorders>
            <w:tcMar>
              <w:left w:w="28" w:type="dxa"/>
              <w:right w:w="28" w:type="dxa"/>
            </w:tcMar>
          </w:tcPr>
          <w:p w:rsidR="00000000" w:rsidRDefault="00000000">
            <w:pPr>
              <w:spacing w:line="240" w:lineRule="auto"/>
              <w:jc w:val="right"/>
              <w:rPr>
                <w:sz w:val="22"/>
              </w:rPr>
            </w:pPr>
            <w:r>
              <w:rPr>
                <w:sz w:val="22"/>
              </w:rPr>
              <w:t>4.</w:t>
            </w:r>
          </w:p>
        </w:tc>
        <w:tc>
          <w:tcPr>
            <w:tcW w:w="2268" w:type="dxa"/>
            <w:tcBorders>
              <w:left w:val="nil"/>
            </w:tcBorders>
          </w:tcPr>
          <w:p w:rsidR="00000000" w:rsidRDefault="00000000">
            <w:pPr>
              <w:spacing w:line="240" w:lineRule="auto"/>
              <w:rPr>
                <w:sz w:val="22"/>
              </w:rPr>
            </w:pPr>
            <w:r>
              <w:rPr>
                <w:sz w:val="22"/>
              </w:rPr>
              <w:t>Болезни пищеварительной системы</w:t>
            </w:r>
          </w:p>
        </w:tc>
        <w:tc>
          <w:tcPr>
            <w:tcW w:w="1520" w:type="dxa"/>
          </w:tcPr>
          <w:p w:rsidR="00000000" w:rsidRDefault="00000000">
            <w:pPr>
              <w:spacing w:line="240" w:lineRule="auto"/>
              <w:ind w:right="170"/>
              <w:jc w:val="right"/>
              <w:rPr>
                <w:sz w:val="22"/>
              </w:rPr>
            </w:pPr>
            <w:r>
              <w:rPr>
                <w:sz w:val="22"/>
              </w:rPr>
              <w:t>291 787</w:t>
            </w:r>
          </w:p>
        </w:tc>
        <w:tc>
          <w:tcPr>
            <w:tcW w:w="826" w:type="dxa"/>
          </w:tcPr>
          <w:p w:rsidR="00000000" w:rsidRDefault="00000000">
            <w:pPr>
              <w:tabs>
                <w:tab w:val="clear" w:pos="567"/>
              </w:tabs>
              <w:spacing w:line="240" w:lineRule="auto"/>
              <w:ind w:right="113"/>
              <w:jc w:val="right"/>
              <w:rPr>
                <w:sz w:val="22"/>
              </w:rPr>
            </w:pPr>
            <w:r>
              <w:rPr>
                <w:sz w:val="22"/>
              </w:rPr>
              <w:t>23,70</w:t>
            </w:r>
          </w:p>
        </w:tc>
        <w:tc>
          <w:tcPr>
            <w:tcW w:w="1357" w:type="dxa"/>
          </w:tcPr>
          <w:p w:rsidR="00000000" w:rsidRDefault="00000000">
            <w:pPr>
              <w:spacing w:line="240" w:lineRule="auto"/>
              <w:ind w:right="113"/>
              <w:jc w:val="right"/>
              <w:rPr>
                <w:sz w:val="22"/>
              </w:rPr>
            </w:pPr>
            <w:r>
              <w:rPr>
                <w:sz w:val="22"/>
              </w:rPr>
              <w:t>62 561</w:t>
            </w:r>
          </w:p>
        </w:tc>
        <w:tc>
          <w:tcPr>
            <w:tcW w:w="857" w:type="dxa"/>
          </w:tcPr>
          <w:p w:rsidR="00000000" w:rsidRDefault="00000000">
            <w:pPr>
              <w:tabs>
                <w:tab w:val="clear" w:pos="567"/>
              </w:tabs>
              <w:spacing w:line="240" w:lineRule="auto"/>
              <w:ind w:right="113"/>
              <w:jc w:val="right"/>
              <w:rPr>
                <w:sz w:val="22"/>
              </w:rPr>
            </w:pPr>
            <w:r>
              <w:rPr>
                <w:sz w:val="22"/>
              </w:rPr>
              <w:t>7,27</w:t>
            </w:r>
          </w:p>
        </w:tc>
        <w:tc>
          <w:tcPr>
            <w:tcW w:w="1348" w:type="dxa"/>
          </w:tcPr>
          <w:p w:rsidR="00000000" w:rsidRDefault="00000000">
            <w:pPr>
              <w:tabs>
                <w:tab w:val="clear" w:pos="567"/>
                <w:tab w:val="clear" w:pos="1134"/>
              </w:tabs>
              <w:spacing w:line="240" w:lineRule="auto"/>
              <w:ind w:right="266"/>
              <w:jc w:val="right"/>
              <w:rPr>
                <w:sz w:val="22"/>
              </w:rPr>
            </w:pPr>
            <w:r>
              <w:rPr>
                <w:sz w:val="22"/>
              </w:rPr>
              <w:t>68 932</w:t>
            </w:r>
          </w:p>
        </w:tc>
        <w:tc>
          <w:tcPr>
            <w:tcW w:w="754" w:type="dxa"/>
          </w:tcPr>
          <w:p w:rsidR="00000000" w:rsidRDefault="00000000">
            <w:pPr>
              <w:tabs>
                <w:tab w:val="clear" w:pos="567"/>
              </w:tabs>
              <w:spacing w:line="240" w:lineRule="auto"/>
              <w:jc w:val="right"/>
              <w:rPr>
                <w:sz w:val="22"/>
              </w:rPr>
            </w:pPr>
            <w:r>
              <w:rPr>
                <w:sz w:val="22"/>
              </w:rPr>
              <w:t>7,6</w:t>
            </w:r>
          </w:p>
        </w:tc>
      </w:tr>
      <w:tr w:rsidR="00000000">
        <w:tblPrEx>
          <w:tblCellMar>
            <w:top w:w="0" w:type="dxa"/>
            <w:bottom w:w="0" w:type="dxa"/>
          </w:tblCellMar>
        </w:tblPrEx>
        <w:tc>
          <w:tcPr>
            <w:tcW w:w="426" w:type="dxa"/>
            <w:tcBorders>
              <w:right w:val="nil"/>
            </w:tcBorders>
            <w:tcMar>
              <w:left w:w="28" w:type="dxa"/>
              <w:right w:w="28" w:type="dxa"/>
            </w:tcMar>
          </w:tcPr>
          <w:p w:rsidR="00000000" w:rsidRDefault="00000000">
            <w:pPr>
              <w:spacing w:line="240" w:lineRule="auto"/>
              <w:jc w:val="right"/>
              <w:rPr>
                <w:sz w:val="22"/>
              </w:rPr>
            </w:pPr>
            <w:r>
              <w:rPr>
                <w:sz w:val="22"/>
              </w:rPr>
              <w:t>5.</w:t>
            </w:r>
          </w:p>
        </w:tc>
        <w:tc>
          <w:tcPr>
            <w:tcW w:w="2268" w:type="dxa"/>
            <w:tcBorders>
              <w:left w:val="nil"/>
            </w:tcBorders>
          </w:tcPr>
          <w:p w:rsidR="00000000" w:rsidRDefault="00000000">
            <w:pPr>
              <w:spacing w:line="240" w:lineRule="auto"/>
              <w:rPr>
                <w:sz w:val="22"/>
              </w:rPr>
            </w:pPr>
            <w:r>
              <w:rPr>
                <w:sz w:val="22"/>
              </w:rPr>
              <w:t>Болезни костно-мышечных систем</w:t>
            </w:r>
          </w:p>
        </w:tc>
        <w:tc>
          <w:tcPr>
            <w:tcW w:w="1520" w:type="dxa"/>
          </w:tcPr>
          <w:p w:rsidR="00000000" w:rsidRDefault="00000000">
            <w:pPr>
              <w:spacing w:line="240" w:lineRule="auto"/>
              <w:ind w:right="170"/>
              <w:jc w:val="right"/>
              <w:rPr>
                <w:sz w:val="22"/>
              </w:rPr>
            </w:pPr>
            <w:r>
              <w:rPr>
                <w:sz w:val="22"/>
              </w:rPr>
              <w:t>62 497</w:t>
            </w:r>
          </w:p>
        </w:tc>
        <w:tc>
          <w:tcPr>
            <w:tcW w:w="826" w:type="dxa"/>
          </w:tcPr>
          <w:p w:rsidR="00000000" w:rsidRDefault="00000000">
            <w:pPr>
              <w:tabs>
                <w:tab w:val="clear" w:pos="567"/>
              </w:tabs>
              <w:spacing w:line="240" w:lineRule="auto"/>
              <w:ind w:right="113"/>
              <w:jc w:val="right"/>
              <w:rPr>
                <w:sz w:val="22"/>
              </w:rPr>
            </w:pPr>
            <w:r>
              <w:rPr>
                <w:sz w:val="22"/>
              </w:rPr>
              <w:t>5,07</w:t>
            </w:r>
          </w:p>
        </w:tc>
        <w:tc>
          <w:tcPr>
            <w:tcW w:w="1357" w:type="dxa"/>
          </w:tcPr>
          <w:p w:rsidR="00000000" w:rsidRDefault="00000000">
            <w:pPr>
              <w:spacing w:line="240" w:lineRule="auto"/>
              <w:ind w:right="113"/>
              <w:jc w:val="right"/>
              <w:rPr>
                <w:sz w:val="22"/>
              </w:rPr>
            </w:pPr>
            <w:r>
              <w:rPr>
                <w:sz w:val="22"/>
              </w:rPr>
              <w:t>54 633</w:t>
            </w:r>
          </w:p>
        </w:tc>
        <w:tc>
          <w:tcPr>
            <w:tcW w:w="857" w:type="dxa"/>
          </w:tcPr>
          <w:p w:rsidR="00000000" w:rsidRDefault="00000000">
            <w:pPr>
              <w:tabs>
                <w:tab w:val="clear" w:pos="567"/>
              </w:tabs>
              <w:spacing w:line="240" w:lineRule="auto"/>
              <w:ind w:right="113"/>
              <w:jc w:val="right"/>
              <w:rPr>
                <w:sz w:val="22"/>
              </w:rPr>
            </w:pPr>
            <w:r>
              <w:rPr>
                <w:sz w:val="22"/>
              </w:rPr>
              <w:t>6,34</w:t>
            </w:r>
          </w:p>
        </w:tc>
        <w:tc>
          <w:tcPr>
            <w:tcW w:w="1348" w:type="dxa"/>
          </w:tcPr>
          <w:p w:rsidR="00000000" w:rsidRDefault="00000000">
            <w:pPr>
              <w:tabs>
                <w:tab w:val="clear" w:pos="567"/>
                <w:tab w:val="clear" w:pos="1134"/>
              </w:tabs>
              <w:spacing w:line="240" w:lineRule="auto"/>
              <w:ind w:right="266"/>
              <w:jc w:val="right"/>
              <w:rPr>
                <w:sz w:val="22"/>
              </w:rPr>
            </w:pPr>
            <w:r>
              <w:rPr>
                <w:sz w:val="22"/>
              </w:rPr>
              <w:t>61 249</w:t>
            </w:r>
          </w:p>
        </w:tc>
        <w:tc>
          <w:tcPr>
            <w:tcW w:w="754" w:type="dxa"/>
          </w:tcPr>
          <w:p w:rsidR="00000000" w:rsidRDefault="00000000">
            <w:pPr>
              <w:tabs>
                <w:tab w:val="clear" w:pos="567"/>
              </w:tabs>
              <w:spacing w:line="240" w:lineRule="auto"/>
              <w:jc w:val="right"/>
              <w:rPr>
                <w:sz w:val="22"/>
              </w:rPr>
            </w:pPr>
            <w:r>
              <w:rPr>
                <w:sz w:val="22"/>
              </w:rPr>
              <w:t>6,7</w:t>
            </w:r>
          </w:p>
        </w:tc>
      </w:tr>
      <w:tr w:rsidR="00000000">
        <w:tblPrEx>
          <w:tblCellMar>
            <w:top w:w="0" w:type="dxa"/>
            <w:bottom w:w="0" w:type="dxa"/>
          </w:tblCellMar>
        </w:tblPrEx>
        <w:tc>
          <w:tcPr>
            <w:tcW w:w="426" w:type="dxa"/>
            <w:tcBorders>
              <w:right w:val="nil"/>
            </w:tcBorders>
            <w:tcMar>
              <w:left w:w="28" w:type="dxa"/>
              <w:right w:w="28" w:type="dxa"/>
            </w:tcMar>
          </w:tcPr>
          <w:p w:rsidR="00000000" w:rsidRDefault="00000000">
            <w:pPr>
              <w:spacing w:line="240" w:lineRule="auto"/>
              <w:jc w:val="right"/>
              <w:rPr>
                <w:sz w:val="22"/>
              </w:rPr>
            </w:pPr>
            <w:r>
              <w:rPr>
                <w:sz w:val="22"/>
              </w:rPr>
              <w:t>6.</w:t>
            </w:r>
          </w:p>
        </w:tc>
        <w:tc>
          <w:tcPr>
            <w:tcW w:w="2268" w:type="dxa"/>
            <w:tcBorders>
              <w:left w:val="nil"/>
            </w:tcBorders>
          </w:tcPr>
          <w:p w:rsidR="00000000" w:rsidRDefault="00000000">
            <w:pPr>
              <w:spacing w:line="240" w:lineRule="auto"/>
              <w:rPr>
                <w:sz w:val="22"/>
              </w:rPr>
            </w:pPr>
            <w:r>
              <w:rPr>
                <w:sz w:val="22"/>
              </w:rPr>
              <w:t>Болезни кожи и подкожной основы</w:t>
            </w:r>
          </w:p>
        </w:tc>
        <w:tc>
          <w:tcPr>
            <w:tcW w:w="1520" w:type="dxa"/>
          </w:tcPr>
          <w:p w:rsidR="00000000" w:rsidRDefault="00000000">
            <w:pPr>
              <w:spacing w:line="240" w:lineRule="auto"/>
              <w:ind w:right="170"/>
              <w:jc w:val="right"/>
              <w:rPr>
                <w:sz w:val="22"/>
              </w:rPr>
            </w:pPr>
            <w:r>
              <w:rPr>
                <w:sz w:val="22"/>
              </w:rPr>
              <w:t>35 370</w:t>
            </w:r>
          </w:p>
        </w:tc>
        <w:tc>
          <w:tcPr>
            <w:tcW w:w="826" w:type="dxa"/>
          </w:tcPr>
          <w:p w:rsidR="00000000" w:rsidRDefault="00000000">
            <w:pPr>
              <w:tabs>
                <w:tab w:val="clear" w:pos="567"/>
              </w:tabs>
              <w:spacing w:line="240" w:lineRule="auto"/>
              <w:ind w:right="113"/>
              <w:jc w:val="right"/>
              <w:rPr>
                <w:sz w:val="22"/>
              </w:rPr>
            </w:pPr>
            <w:r>
              <w:rPr>
                <w:sz w:val="22"/>
              </w:rPr>
              <w:t>2,90</w:t>
            </w:r>
          </w:p>
        </w:tc>
        <w:tc>
          <w:tcPr>
            <w:tcW w:w="1357" w:type="dxa"/>
          </w:tcPr>
          <w:p w:rsidR="00000000" w:rsidRDefault="00000000">
            <w:pPr>
              <w:spacing w:line="240" w:lineRule="auto"/>
              <w:ind w:right="113"/>
              <w:jc w:val="right"/>
              <w:rPr>
                <w:sz w:val="22"/>
              </w:rPr>
            </w:pPr>
            <w:r>
              <w:rPr>
                <w:sz w:val="22"/>
              </w:rPr>
              <w:t>31 436</w:t>
            </w:r>
          </w:p>
        </w:tc>
        <w:tc>
          <w:tcPr>
            <w:tcW w:w="857" w:type="dxa"/>
          </w:tcPr>
          <w:p w:rsidR="00000000" w:rsidRDefault="00000000">
            <w:pPr>
              <w:tabs>
                <w:tab w:val="clear" w:pos="567"/>
              </w:tabs>
              <w:spacing w:line="240" w:lineRule="auto"/>
              <w:ind w:right="113"/>
              <w:jc w:val="right"/>
              <w:rPr>
                <w:sz w:val="22"/>
              </w:rPr>
            </w:pPr>
            <w:r>
              <w:rPr>
                <w:sz w:val="22"/>
              </w:rPr>
              <w:t>3,65</w:t>
            </w:r>
          </w:p>
        </w:tc>
        <w:tc>
          <w:tcPr>
            <w:tcW w:w="1348" w:type="dxa"/>
          </w:tcPr>
          <w:p w:rsidR="00000000" w:rsidRDefault="00000000">
            <w:pPr>
              <w:tabs>
                <w:tab w:val="clear" w:pos="567"/>
                <w:tab w:val="clear" w:pos="1134"/>
              </w:tabs>
              <w:spacing w:line="240" w:lineRule="auto"/>
              <w:ind w:right="266"/>
              <w:jc w:val="right"/>
              <w:rPr>
                <w:sz w:val="22"/>
              </w:rPr>
            </w:pPr>
            <w:r>
              <w:rPr>
                <w:sz w:val="22"/>
              </w:rPr>
              <w:t>36 043</w:t>
            </w:r>
          </w:p>
        </w:tc>
        <w:tc>
          <w:tcPr>
            <w:tcW w:w="754" w:type="dxa"/>
          </w:tcPr>
          <w:p w:rsidR="00000000" w:rsidRDefault="00000000">
            <w:pPr>
              <w:tabs>
                <w:tab w:val="clear" w:pos="567"/>
              </w:tabs>
              <w:spacing w:line="240" w:lineRule="auto"/>
              <w:jc w:val="right"/>
              <w:rPr>
                <w:sz w:val="22"/>
              </w:rPr>
            </w:pPr>
            <w:r>
              <w:rPr>
                <w:sz w:val="22"/>
              </w:rPr>
              <w:t>4</w:t>
            </w:r>
          </w:p>
        </w:tc>
      </w:tr>
      <w:tr w:rsidR="00000000">
        <w:tblPrEx>
          <w:tblCellMar>
            <w:top w:w="0" w:type="dxa"/>
            <w:bottom w:w="0" w:type="dxa"/>
          </w:tblCellMar>
        </w:tblPrEx>
        <w:tc>
          <w:tcPr>
            <w:tcW w:w="426" w:type="dxa"/>
            <w:tcBorders>
              <w:right w:val="nil"/>
            </w:tcBorders>
            <w:tcMar>
              <w:left w:w="28" w:type="dxa"/>
              <w:right w:w="28" w:type="dxa"/>
            </w:tcMar>
          </w:tcPr>
          <w:p w:rsidR="00000000" w:rsidRDefault="00000000">
            <w:pPr>
              <w:spacing w:line="240" w:lineRule="auto"/>
              <w:jc w:val="right"/>
              <w:rPr>
                <w:sz w:val="22"/>
              </w:rPr>
            </w:pPr>
            <w:r>
              <w:rPr>
                <w:sz w:val="22"/>
              </w:rPr>
              <w:t>7.</w:t>
            </w:r>
          </w:p>
        </w:tc>
        <w:tc>
          <w:tcPr>
            <w:tcW w:w="2268" w:type="dxa"/>
            <w:tcBorders>
              <w:left w:val="nil"/>
            </w:tcBorders>
          </w:tcPr>
          <w:p w:rsidR="00000000" w:rsidRDefault="00000000">
            <w:pPr>
              <w:spacing w:line="240" w:lineRule="auto"/>
              <w:rPr>
                <w:sz w:val="22"/>
              </w:rPr>
            </w:pPr>
            <w:r>
              <w:rPr>
                <w:sz w:val="22"/>
              </w:rPr>
              <w:t>Инфекционные и паразитарные болезни</w:t>
            </w:r>
          </w:p>
        </w:tc>
        <w:tc>
          <w:tcPr>
            <w:tcW w:w="1520" w:type="dxa"/>
          </w:tcPr>
          <w:p w:rsidR="00000000" w:rsidRDefault="00000000">
            <w:pPr>
              <w:spacing w:line="240" w:lineRule="auto"/>
              <w:ind w:right="170"/>
              <w:jc w:val="right"/>
              <w:rPr>
                <w:sz w:val="22"/>
              </w:rPr>
            </w:pPr>
            <w:r>
              <w:rPr>
                <w:sz w:val="22"/>
              </w:rPr>
              <w:t>33 654</w:t>
            </w:r>
          </w:p>
        </w:tc>
        <w:tc>
          <w:tcPr>
            <w:tcW w:w="826" w:type="dxa"/>
          </w:tcPr>
          <w:p w:rsidR="00000000" w:rsidRDefault="00000000">
            <w:pPr>
              <w:tabs>
                <w:tab w:val="clear" w:pos="567"/>
              </w:tabs>
              <w:spacing w:line="240" w:lineRule="auto"/>
              <w:ind w:right="113"/>
              <w:jc w:val="right"/>
              <w:rPr>
                <w:sz w:val="22"/>
              </w:rPr>
            </w:pPr>
            <w:r>
              <w:rPr>
                <w:sz w:val="22"/>
              </w:rPr>
              <w:t>2,70</w:t>
            </w:r>
          </w:p>
        </w:tc>
        <w:tc>
          <w:tcPr>
            <w:tcW w:w="1357" w:type="dxa"/>
          </w:tcPr>
          <w:p w:rsidR="00000000" w:rsidRDefault="00000000">
            <w:pPr>
              <w:spacing w:line="240" w:lineRule="auto"/>
              <w:ind w:right="113"/>
              <w:jc w:val="right"/>
              <w:rPr>
                <w:sz w:val="22"/>
              </w:rPr>
            </w:pPr>
            <w:r>
              <w:rPr>
                <w:sz w:val="22"/>
              </w:rPr>
              <w:t>27 025</w:t>
            </w:r>
          </w:p>
        </w:tc>
        <w:tc>
          <w:tcPr>
            <w:tcW w:w="857" w:type="dxa"/>
          </w:tcPr>
          <w:p w:rsidR="00000000" w:rsidRDefault="00000000">
            <w:pPr>
              <w:tabs>
                <w:tab w:val="clear" w:pos="567"/>
              </w:tabs>
              <w:spacing w:line="240" w:lineRule="auto"/>
              <w:ind w:right="113"/>
              <w:jc w:val="right"/>
              <w:rPr>
                <w:sz w:val="22"/>
              </w:rPr>
            </w:pPr>
            <w:r>
              <w:rPr>
                <w:sz w:val="22"/>
              </w:rPr>
              <w:t>3,14</w:t>
            </w:r>
          </w:p>
        </w:tc>
        <w:tc>
          <w:tcPr>
            <w:tcW w:w="1348" w:type="dxa"/>
          </w:tcPr>
          <w:p w:rsidR="00000000" w:rsidRDefault="00000000">
            <w:pPr>
              <w:tabs>
                <w:tab w:val="clear" w:pos="567"/>
                <w:tab w:val="clear" w:pos="1134"/>
              </w:tabs>
              <w:spacing w:line="240" w:lineRule="auto"/>
              <w:ind w:right="266"/>
              <w:jc w:val="right"/>
              <w:rPr>
                <w:sz w:val="22"/>
              </w:rPr>
            </w:pPr>
            <w:r>
              <w:rPr>
                <w:sz w:val="22"/>
              </w:rPr>
              <w:t>27 188</w:t>
            </w:r>
          </w:p>
        </w:tc>
        <w:tc>
          <w:tcPr>
            <w:tcW w:w="754" w:type="dxa"/>
          </w:tcPr>
          <w:p w:rsidR="00000000" w:rsidRDefault="00000000">
            <w:pPr>
              <w:tabs>
                <w:tab w:val="clear" w:pos="567"/>
              </w:tabs>
              <w:spacing w:line="240" w:lineRule="auto"/>
              <w:jc w:val="right"/>
              <w:rPr>
                <w:sz w:val="22"/>
              </w:rPr>
            </w:pPr>
            <w:r>
              <w:rPr>
                <w:sz w:val="22"/>
              </w:rPr>
              <w:t>3</w:t>
            </w:r>
          </w:p>
        </w:tc>
      </w:tr>
      <w:tr w:rsidR="00000000">
        <w:tblPrEx>
          <w:tblCellMar>
            <w:top w:w="0" w:type="dxa"/>
            <w:bottom w:w="0" w:type="dxa"/>
          </w:tblCellMar>
        </w:tblPrEx>
        <w:tc>
          <w:tcPr>
            <w:tcW w:w="426" w:type="dxa"/>
            <w:tcBorders>
              <w:right w:val="nil"/>
            </w:tcBorders>
            <w:tcMar>
              <w:left w:w="28" w:type="dxa"/>
              <w:right w:w="28" w:type="dxa"/>
            </w:tcMar>
          </w:tcPr>
          <w:p w:rsidR="00000000" w:rsidRDefault="00000000">
            <w:pPr>
              <w:spacing w:line="240" w:lineRule="auto"/>
              <w:jc w:val="right"/>
              <w:rPr>
                <w:sz w:val="22"/>
              </w:rPr>
            </w:pPr>
            <w:r>
              <w:rPr>
                <w:sz w:val="22"/>
              </w:rPr>
              <w:t>8.</w:t>
            </w:r>
          </w:p>
        </w:tc>
        <w:tc>
          <w:tcPr>
            <w:tcW w:w="2268" w:type="dxa"/>
            <w:tcBorders>
              <w:left w:val="nil"/>
            </w:tcBorders>
          </w:tcPr>
          <w:p w:rsidR="00000000" w:rsidRDefault="00000000">
            <w:pPr>
              <w:spacing w:line="240" w:lineRule="auto"/>
              <w:rPr>
                <w:sz w:val="22"/>
              </w:rPr>
            </w:pPr>
            <w:r>
              <w:rPr>
                <w:sz w:val="22"/>
              </w:rPr>
              <w:t>Эндокринные болезни и болезни обмена веществ</w:t>
            </w:r>
          </w:p>
        </w:tc>
        <w:tc>
          <w:tcPr>
            <w:tcW w:w="1520" w:type="dxa"/>
          </w:tcPr>
          <w:p w:rsidR="00000000" w:rsidRDefault="00000000">
            <w:pPr>
              <w:spacing w:line="240" w:lineRule="auto"/>
              <w:ind w:right="170"/>
              <w:jc w:val="right"/>
              <w:rPr>
                <w:sz w:val="22"/>
                <w:lang w:val="fr-FR"/>
              </w:rPr>
            </w:pPr>
            <w:r>
              <w:rPr>
                <w:sz w:val="22"/>
                <w:lang w:val="fr-FR"/>
              </w:rPr>
              <w:t>Soo-T98</w:t>
            </w:r>
            <w:r>
              <w:rPr>
                <w:b/>
                <w:bCs/>
                <w:sz w:val="22"/>
                <w:vertAlign w:val="superscript"/>
                <w:lang w:val="fr-FR"/>
              </w:rPr>
              <w:t>a</w:t>
            </w:r>
            <w:r>
              <w:rPr>
                <w:b/>
                <w:bCs/>
                <w:sz w:val="22"/>
                <w:vertAlign w:val="superscript"/>
                <w:lang w:val="fr-FR"/>
              </w:rPr>
              <w:br/>
            </w:r>
            <w:r>
              <w:rPr>
                <w:sz w:val="22"/>
                <w:lang w:val="fr-FR"/>
              </w:rPr>
              <w:t>43 895</w:t>
            </w:r>
          </w:p>
        </w:tc>
        <w:tc>
          <w:tcPr>
            <w:tcW w:w="826" w:type="dxa"/>
          </w:tcPr>
          <w:p w:rsidR="00000000" w:rsidRDefault="00000000">
            <w:pPr>
              <w:tabs>
                <w:tab w:val="clear" w:pos="567"/>
              </w:tabs>
              <w:spacing w:line="240" w:lineRule="auto"/>
              <w:ind w:right="113"/>
              <w:jc w:val="right"/>
              <w:rPr>
                <w:sz w:val="22"/>
                <w:lang w:val="fr-FR"/>
              </w:rPr>
            </w:pPr>
            <w:r>
              <w:rPr>
                <w:sz w:val="22"/>
                <w:lang w:val="fr-FR"/>
              </w:rPr>
              <w:t>3,56</w:t>
            </w:r>
          </w:p>
        </w:tc>
        <w:tc>
          <w:tcPr>
            <w:tcW w:w="1357" w:type="dxa"/>
          </w:tcPr>
          <w:p w:rsidR="00000000" w:rsidRDefault="00000000">
            <w:pPr>
              <w:spacing w:line="240" w:lineRule="auto"/>
              <w:ind w:right="113"/>
              <w:jc w:val="right"/>
              <w:rPr>
                <w:sz w:val="22"/>
                <w:lang w:val="fr-FR"/>
              </w:rPr>
            </w:pPr>
            <w:r>
              <w:rPr>
                <w:sz w:val="22"/>
                <w:lang w:val="fr-FR"/>
              </w:rPr>
              <w:t>25 560</w:t>
            </w:r>
          </w:p>
        </w:tc>
        <w:tc>
          <w:tcPr>
            <w:tcW w:w="857" w:type="dxa"/>
          </w:tcPr>
          <w:p w:rsidR="00000000" w:rsidRDefault="00000000">
            <w:pPr>
              <w:tabs>
                <w:tab w:val="clear" w:pos="567"/>
              </w:tabs>
              <w:spacing w:line="240" w:lineRule="auto"/>
              <w:ind w:right="113"/>
              <w:jc w:val="right"/>
              <w:rPr>
                <w:sz w:val="22"/>
                <w:lang w:val="fr-FR"/>
              </w:rPr>
            </w:pPr>
            <w:r>
              <w:rPr>
                <w:sz w:val="22"/>
                <w:lang w:val="fr-FR"/>
              </w:rPr>
              <w:t>2,97</w:t>
            </w:r>
          </w:p>
        </w:tc>
        <w:tc>
          <w:tcPr>
            <w:tcW w:w="1348" w:type="dxa"/>
          </w:tcPr>
          <w:p w:rsidR="00000000" w:rsidRDefault="00000000">
            <w:pPr>
              <w:tabs>
                <w:tab w:val="clear" w:pos="567"/>
                <w:tab w:val="clear" w:pos="1134"/>
              </w:tabs>
              <w:spacing w:line="240" w:lineRule="auto"/>
              <w:ind w:right="266"/>
              <w:jc w:val="right"/>
              <w:rPr>
                <w:sz w:val="22"/>
                <w:lang w:val="fr-FR"/>
              </w:rPr>
            </w:pPr>
            <w:r>
              <w:rPr>
                <w:sz w:val="22"/>
                <w:lang w:val="fr-FR"/>
              </w:rPr>
              <w:t>Soo-T98</w:t>
            </w:r>
            <w:r>
              <w:rPr>
                <w:b/>
                <w:bCs/>
                <w:sz w:val="22"/>
                <w:vertAlign w:val="superscript"/>
                <w:lang w:val="fr-FR"/>
              </w:rPr>
              <w:t>a</w:t>
            </w:r>
            <w:r>
              <w:rPr>
                <w:b/>
                <w:bCs/>
                <w:sz w:val="22"/>
                <w:vertAlign w:val="superscript"/>
                <w:lang w:val="fr-FR"/>
              </w:rPr>
              <w:br/>
            </w:r>
            <w:r>
              <w:rPr>
                <w:sz w:val="22"/>
                <w:lang w:val="fr-FR"/>
              </w:rPr>
              <w:t>43 344</w:t>
            </w:r>
          </w:p>
        </w:tc>
        <w:tc>
          <w:tcPr>
            <w:tcW w:w="754" w:type="dxa"/>
          </w:tcPr>
          <w:p w:rsidR="00000000" w:rsidRDefault="00000000">
            <w:pPr>
              <w:tabs>
                <w:tab w:val="clear" w:pos="567"/>
              </w:tabs>
              <w:spacing w:line="240" w:lineRule="auto"/>
              <w:jc w:val="right"/>
              <w:rPr>
                <w:sz w:val="22"/>
                <w:lang w:val="fr-FR"/>
              </w:rPr>
            </w:pPr>
            <w:r>
              <w:rPr>
                <w:sz w:val="22"/>
                <w:lang w:val="fr-FR"/>
              </w:rPr>
              <w:t>4,8</w:t>
            </w:r>
          </w:p>
        </w:tc>
      </w:tr>
      <w:tr w:rsidR="00000000">
        <w:tblPrEx>
          <w:tblCellMar>
            <w:top w:w="0" w:type="dxa"/>
            <w:bottom w:w="0" w:type="dxa"/>
          </w:tblCellMar>
        </w:tblPrEx>
        <w:tc>
          <w:tcPr>
            <w:tcW w:w="426" w:type="dxa"/>
            <w:tcBorders>
              <w:right w:val="nil"/>
            </w:tcBorders>
            <w:tcMar>
              <w:left w:w="28" w:type="dxa"/>
              <w:right w:w="28" w:type="dxa"/>
            </w:tcMar>
          </w:tcPr>
          <w:p w:rsidR="00000000" w:rsidRDefault="00000000">
            <w:pPr>
              <w:spacing w:line="240" w:lineRule="auto"/>
              <w:jc w:val="right"/>
              <w:rPr>
                <w:sz w:val="22"/>
                <w:lang w:val="fr-FR"/>
              </w:rPr>
            </w:pPr>
            <w:r>
              <w:rPr>
                <w:sz w:val="22"/>
                <w:lang w:val="fr-FR"/>
              </w:rPr>
              <w:t>9.</w:t>
            </w:r>
          </w:p>
        </w:tc>
        <w:tc>
          <w:tcPr>
            <w:tcW w:w="2268" w:type="dxa"/>
            <w:tcBorders>
              <w:left w:val="nil"/>
            </w:tcBorders>
          </w:tcPr>
          <w:p w:rsidR="00000000" w:rsidRDefault="00000000">
            <w:pPr>
              <w:spacing w:line="240" w:lineRule="auto"/>
              <w:rPr>
                <w:sz w:val="22"/>
                <w:lang w:val="fr-FR"/>
              </w:rPr>
            </w:pPr>
            <w:r>
              <w:rPr>
                <w:sz w:val="22"/>
              </w:rPr>
              <w:t>Глазные</w:t>
            </w:r>
            <w:r>
              <w:rPr>
                <w:sz w:val="22"/>
                <w:lang w:val="fr-FR"/>
              </w:rPr>
              <w:t xml:space="preserve"> </w:t>
            </w:r>
            <w:r>
              <w:rPr>
                <w:sz w:val="22"/>
              </w:rPr>
              <w:t>болезни</w:t>
            </w:r>
          </w:p>
        </w:tc>
        <w:tc>
          <w:tcPr>
            <w:tcW w:w="1520" w:type="dxa"/>
          </w:tcPr>
          <w:p w:rsidR="00000000" w:rsidRDefault="00000000">
            <w:pPr>
              <w:spacing w:line="240" w:lineRule="auto"/>
              <w:ind w:right="170"/>
              <w:jc w:val="right"/>
              <w:rPr>
                <w:sz w:val="22"/>
              </w:rPr>
            </w:pPr>
            <w:r>
              <w:rPr>
                <w:sz w:val="22"/>
              </w:rPr>
              <w:t>31 364</w:t>
            </w:r>
          </w:p>
        </w:tc>
        <w:tc>
          <w:tcPr>
            <w:tcW w:w="826" w:type="dxa"/>
          </w:tcPr>
          <w:p w:rsidR="00000000" w:rsidRDefault="00000000">
            <w:pPr>
              <w:tabs>
                <w:tab w:val="clear" w:pos="567"/>
              </w:tabs>
              <w:spacing w:line="240" w:lineRule="auto"/>
              <w:ind w:right="113"/>
              <w:jc w:val="right"/>
              <w:rPr>
                <w:sz w:val="22"/>
              </w:rPr>
            </w:pPr>
            <w:r>
              <w:rPr>
                <w:sz w:val="22"/>
              </w:rPr>
              <w:t>2,54</w:t>
            </w:r>
          </w:p>
        </w:tc>
        <w:tc>
          <w:tcPr>
            <w:tcW w:w="1357" w:type="dxa"/>
          </w:tcPr>
          <w:p w:rsidR="00000000" w:rsidRDefault="00000000">
            <w:pPr>
              <w:spacing w:line="240" w:lineRule="auto"/>
              <w:ind w:right="113"/>
              <w:jc w:val="right"/>
              <w:rPr>
                <w:sz w:val="22"/>
              </w:rPr>
            </w:pPr>
            <w:r>
              <w:rPr>
                <w:sz w:val="22"/>
                <w:lang w:val="en-US"/>
              </w:rPr>
              <w:t>FOO</w:t>
            </w:r>
            <w:r>
              <w:rPr>
                <w:sz w:val="22"/>
              </w:rPr>
              <w:t>-</w:t>
            </w:r>
            <w:r>
              <w:rPr>
                <w:sz w:val="22"/>
                <w:lang w:val="en-US"/>
              </w:rPr>
              <w:t>F</w:t>
            </w:r>
            <w:r>
              <w:rPr>
                <w:sz w:val="22"/>
              </w:rPr>
              <w:t>99</w:t>
            </w:r>
            <w:r>
              <w:rPr>
                <w:b/>
                <w:bCs/>
                <w:sz w:val="22"/>
                <w:vertAlign w:val="superscript"/>
                <w:lang w:val="en-US"/>
              </w:rPr>
              <w:t>b</w:t>
            </w:r>
            <w:r>
              <w:rPr>
                <w:b/>
                <w:bCs/>
                <w:sz w:val="22"/>
                <w:vertAlign w:val="superscript"/>
                <w:lang w:val="en-US"/>
              </w:rPr>
              <w:br/>
            </w:r>
            <w:r>
              <w:rPr>
                <w:sz w:val="22"/>
              </w:rPr>
              <w:t>27 123</w:t>
            </w:r>
          </w:p>
        </w:tc>
        <w:tc>
          <w:tcPr>
            <w:tcW w:w="857" w:type="dxa"/>
          </w:tcPr>
          <w:p w:rsidR="00000000" w:rsidRDefault="00000000">
            <w:pPr>
              <w:tabs>
                <w:tab w:val="clear" w:pos="567"/>
              </w:tabs>
              <w:spacing w:line="240" w:lineRule="auto"/>
              <w:ind w:right="113"/>
              <w:jc w:val="right"/>
              <w:rPr>
                <w:sz w:val="22"/>
              </w:rPr>
            </w:pPr>
            <w:r>
              <w:rPr>
                <w:sz w:val="22"/>
              </w:rPr>
              <w:t>3,15</w:t>
            </w:r>
          </w:p>
        </w:tc>
        <w:tc>
          <w:tcPr>
            <w:tcW w:w="1348" w:type="dxa"/>
          </w:tcPr>
          <w:p w:rsidR="00000000" w:rsidRDefault="00000000">
            <w:pPr>
              <w:tabs>
                <w:tab w:val="clear" w:pos="567"/>
                <w:tab w:val="clear" w:pos="1134"/>
              </w:tabs>
              <w:spacing w:line="240" w:lineRule="auto"/>
              <w:ind w:right="266"/>
              <w:jc w:val="right"/>
              <w:rPr>
                <w:sz w:val="22"/>
              </w:rPr>
            </w:pPr>
            <w:r>
              <w:rPr>
                <w:sz w:val="22"/>
              </w:rPr>
              <w:t>24 057</w:t>
            </w:r>
          </w:p>
        </w:tc>
        <w:tc>
          <w:tcPr>
            <w:tcW w:w="754" w:type="dxa"/>
          </w:tcPr>
          <w:p w:rsidR="00000000" w:rsidRDefault="00000000">
            <w:pPr>
              <w:tabs>
                <w:tab w:val="clear" w:pos="567"/>
              </w:tabs>
              <w:spacing w:line="240" w:lineRule="auto"/>
              <w:jc w:val="right"/>
              <w:rPr>
                <w:sz w:val="22"/>
              </w:rPr>
            </w:pPr>
            <w:r>
              <w:rPr>
                <w:sz w:val="22"/>
              </w:rPr>
              <w:t>2,65</w:t>
            </w:r>
          </w:p>
        </w:tc>
      </w:tr>
      <w:tr w:rsidR="00000000">
        <w:tblPrEx>
          <w:tblCellMar>
            <w:top w:w="0" w:type="dxa"/>
            <w:bottom w:w="0" w:type="dxa"/>
          </w:tblCellMar>
        </w:tblPrEx>
        <w:tc>
          <w:tcPr>
            <w:tcW w:w="426" w:type="dxa"/>
            <w:tcBorders>
              <w:right w:val="nil"/>
            </w:tcBorders>
            <w:tcMar>
              <w:left w:w="28" w:type="dxa"/>
              <w:right w:w="28" w:type="dxa"/>
            </w:tcMar>
          </w:tcPr>
          <w:p w:rsidR="00000000" w:rsidRDefault="00000000">
            <w:pPr>
              <w:spacing w:line="240" w:lineRule="auto"/>
              <w:jc w:val="right"/>
              <w:rPr>
                <w:sz w:val="22"/>
              </w:rPr>
            </w:pPr>
            <w:r>
              <w:rPr>
                <w:sz w:val="22"/>
              </w:rPr>
              <w:t>10.</w:t>
            </w:r>
          </w:p>
        </w:tc>
        <w:tc>
          <w:tcPr>
            <w:tcW w:w="2268" w:type="dxa"/>
            <w:tcBorders>
              <w:left w:val="nil"/>
            </w:tcBorders>
          </w:tcPr>
          <w:p w:rsidR="00000000" w:rsidRDefault="00000000">
            <w:pPr>
              <w:spacing w:line="240" w:lineRule="auto"/>
              <w:rPr>
                <w:sz w:val="22"/>
              </w:rPr>
            </w:pPr>
            <w:r>
              <w:rPr>
                <w:sz w:val="22"/>
              </w:rPr>
              <w:t>Болезни органов слуха и мастоидиты</w:t>
            </w:r>
          </w:p>
        </w:tc>
        <w:tc>
          <w:tcPr>
            <w:tcW w:w="1520" w:type="dxa"/>
          </w:tcPr>
          <w:p w:rsidR="00000000" w:rsidRDefault="00000000">
            <w:pPr>
              <w:spacing w:line="240" w:lineRule="auto"/>
              <w:ind w:right="170"/>
              <w:jc w:val="right"/>
              <w:rPr>
                <w:sz w:val="22"/>
                <w:lang w:val="en-US"/>
              </w:rPr>
            </w:pPr>
            <w:r>
              <w:rPr>
                <w:sz w:val="22"/>
                <w:lang w:val="en-US"/>
              </w:rPr>
              <w:t>FOO-F99</w:t>
            </w:r>
            <w:r>
              <w:rPr>
                <w:b/>
                <w:bCs/>
                <w:sz w:val="22"/>
                <w:vertAlign w:val="superscript"/>
                <w:lang w:val="en-US"/>
              </w:rPr>
              <w:t>b</w:t>
            </w:r>
            <w:r>
              <w:rPr>
                <w:b/>
                <w:bCs/>
                <w:sz w:val="22"/>
                <w:vertAlign w:val="superscript"/>
                <w:lang w:val="en-US"/>
              </w:rPr>
              <w:br/>
            </w:r>
            <w:r>
              <w:rPr>
                <w:sz w:val="22"/>
                <w:lang w:val="en-US"/>
              </w:rPr>
              <w:t>29 805</w:t>
            </w:r>
          </w:p>
        </w:tc>
        <w:tc>
          <w:tcPr>
            <w:tcW w:w="826" w:type="dxa"/>
          </w:tcPr>
          <w:p w:rsidR="00000000" w:rsidRDefault="00000000">
            <w:pPr>
              <w:tabs>
                <w:tab w:val="clear" w:pos="567"/>
              </w:tabs>
              <w:spacing w:line="240" w:lineRule="auto"/>
              <w:ind w:right="113"/>
              <w:jc w:val="right"/>
              <w:rPr>
                <w:sz w:val="22"/>
                <w:lang w:val="en-US"/>
              </w:rPr>
            </w:pPr>
            <w:r>
              <w:rPr>
                <w:sz w:val="22"/>
                <w:lang w:val="en-US"/>
              </w:rPr>
              <w:t>2,40</w:t>
            </w:r>
          </w:p>
        </w:tc>
        <w:tc>
          <w:tcPr>
            <w:tcW w:w="1357" w:type="dxa"/>
          </w:tcPr>
          <w:p w:rsidR="00000000" w:rsidRDefault="00000000">
            <w:pPr>
              <w:spacing w:line="240" w:lineRule="auto"/>
              <w:ind w:right="113"/>
              <w:jc w:val="right"/>
              <w:rPr>
                <w:sz w:val="22"/>
                <w:lang w:val="en-US"/>
              </w:rPr>
            </w:pPr>
            <w:r>
              <w:rPr>
                <w:sz w:val="22"/>
                <w:lang w:val="en-US"/>
              </w:rPr>
              <w:t>Soo-T98</w:t>
            </w:r>
            <w:r>
              <w:rPr>
                <w:b/>
                <w:bCs/>
                <w:sz w:val="22"/>
                <w:vertAlign w:val="superscript"/>
                <w:lang w:val="en-US"/>
              </w:rPr>
              <w:t>a</w:t>
            </w:r>
            <w:r>
              <w:rPr>
                <w:b/>
                <w:bCs/>
                <w:sz w:val="22"/>
                <w:vertAlign w:val="superscript"/>
                <w:lang w:val="en-US"/>
              </w:rPr>
              <w:br/>
            </w:r>
            <w:r>
              <w:rPr>
                <w:sz w:val="22"/>
                <w:lang w:val="en-US"/>
              </w:rPr>
              <w:t>39 580</w:t>
            </w:r>
          </w:p>
        </w:tc>
        <w:tc>
          <w:tcPr>
            <w:tcW w:w="857" w:type="dxa"/>
          </w:tcPr>
          <w:p w:rsidR="00000000" w:rsidRDefault="00000000">
            <w:pPr>
              <w:tabs>
                <w:tab w:val="clear" w:pos="567"/>
              </w:tabs>
              <w:spacing w:line="240" w:lineRule="auto"/>
              <w:ind w:right="113"/>
              <w:jc w:val="right"/>
              <w:rPr>
                <w:sz w:val="22"/>
              </w:rPr>
            </w:pPr>
            <w:r>
              <w:rPr>
                <w:sz w:val="22"/>
              </w:rPr>
              <w:t>4,60</w:t>
            </w:r>
          </w:p>
        </w:tc>
        <w:tc>
          <w:tcPr>
            <w:tcW w:w="1348" w:type="dxa"/>
          </w:tcPr>
          <w:p w:rsidR="00000000" w:rsidRDefault="00000000">
            <w:pPr>
              <w:tabs>
                <w:tab w:val="clear" w:pos="567"/>
                <w:tab w:val="clear" w:pos="1134"/>
              </w:tabs>
              <w:spacing w:line="240" w:lineRule="auto"/>
              <w:ind w:right="266"/>
              <w:jc w:val="right"/>
              <w:rPr>
                <w:sz w:val="22"/>
              </w:rPr>
            </w:pPr>
            <w:r>
              <w:rPr>
                <w:sz w:val="22"/>
              </w:rPr>
              <w:t>2 529</w:t>
            </w:r>
          </w:p>
        </w:tc>
        <w:tc>
          <w:tcPr>
            <w:tcW w:w="754" w:type="dxa"/>
          </w:tcPr>
          <w:p w:rsidR="00000000" w:rsidRDefault="00000000">
            <w:pPr>
              <w:tabs>
                <w:tab w:val="clear" w:pos="567"/>
              </w:tabs>
              <w:spacing w:line="240" w:lineRule="auto"/>
              <w:jc w:val="right"/>
              <w:rPr>
                <w:sz w:val="22"/>
              </w:rPr>
            </w:pPr>
            <w:r>
              <w:rPr>
                <w:sz w:val="22"/>
              </w:rPr>
              <w:t>2,8</w:t>
            </w:r>
          </w:p>
        </w:tc>
      </w:tr>
      <w:tr w:rsidR="00000000">
        <w:tblPrEx>
          <w:tblCellMar>
            <w:top w:w="0" w:type="dxa"/>
            <w:bottom w:w="0" w:type="dxa"/>
          </w:tblCellMar>
        </w:tblPrEx>
        <w:tc>
          <w:tcPr>
            <w:tcW w:w="426" w:type="dxa"/>
            <w:tcBorders>
              <w:bottom w:val="single" w:sz="4" w:space="0" w:color="auto"/>
              <w:right w:val="nil"/>
            </w:tcBorders>
            <w:tcMar>
              <w:left w:w="28" w:type="dxa"/>
              <w:right w:w="28" w:type="dxa"/>
            </w:tcMar>
          </w:tcPr>
          <w:p w:rsidR="00000000" w:rsidRDefault="00000000">
            <w:pPr>
              <w:spacing w:line="240" w:lineRule="auto"/>
              <w:jc w:val="right"/>
              <w:rPr>
                <w:sz w:val="22"/>
              </w:rPr>
            </w:pPr>
          </w:p>
        </w:tc>
        <w:tc>
          <w:tcPr>
            <w:tcW w:w="2268" w:type="dxa"/>
            <w:tcBorders>
              <w:left w:val="nil"/>
              <w:bottom w:val="single" w:sz="4" w:space="0" w:color="auto"/>
            </w:tcBorders>
          </w:tcPr>
          <w:p w:rsidR="00000000" w:rsidRDefault="00000000">
            <w:pPr>
              <w:spacing w:before="120" w:line="240" w:lineRule="auto"/>
              <w:rPr>
                <w:sz w:val="22"/>
              </w:rPr>
            </w:pPr>
            <w:r>
              <w:rPr>
                <w:sz w:val="22"/>
              </w:rPr>
              <w:t>Прочие болезни</w:t>
            </w:r>
          </w:p>
        </w:tc>
        <w:tc>
          <w:tcPr>
            <w:tcW w:w="1520" w:type="dxa"/>
            <w:tcBorders>
              <w:bottom w:val="single" w:sz="4" w:space="0" w:color="auto"/>
            </w:tcBorders>
            <w:vAlign w:val="bottom"/>
          </w:tcPr>
          <w:p w:rsidR="00000000" w:rsidRDefault="00000000">
            <w:pPr>
              <w:spacing w:line="240" w:lineRule="auto"/>
              <w:ind w:right="170"/>
              <w:jc w:val="right"/>
              <w:rPr>
                <w:sz w:val="22"/>
              </w:rPr>
            </w:pPr>
            <w:r>
              <w:rPr>
                <w:sz w:val="22"/>
              </w:rPr>
              <w:t>135 291</w:t>
            </w:r>
          </w:p>
        </w:tc>
        <w:tc>
          <w:tcPr>
            <w:tcW w:w="826" w:type="dxa"/>
            <w:tcBorders>
              <w:bottom w:val="single" w:sz="4" w:space="0" w:color="auto"/>
            </w:tcBorders>
            <w:vAlign w:val="bottom"/>
          </w:tcPr>
          <w:p w:rsidR="00000000" w:rsidRDefault="00000000">
            <w:pPr>
              <w:tabs>
                <w:tab w:val="clear" w:pos="567"/>
              </w:tabs>
              <w:spacing w:line="240" w:lineRule="auto"/>
              <w:ind w:right="113"/>
              <w:jc w:val="right"/>
              <w:rPr>
                <w:sz w:val="22"/>
              </w:rPr>
            </w:pPr>
            <w:r>
              <w:rPr>
                <w:sz w:val="22"/>
              </w:rPr>
              <w:t>11,00</w:t>
            </w:r>
          </w:p>
        </w:tc>
        <w:tc>
          <w:tcPr>
            <w:tcW w:w="1357" w:type="dxa"/>
            <w:tcBorders>
              <w:bottom w:val="single" w:sz="4" w:space="0" w:color="auto"/>
            </w:tcBorders>
            <w:vAlign w:val="bottom"/>
          </w:tcPr>
          <w:p w:rsidR="00000000" w:rsidRDefault="00000000">
            <w:pPr>
              <w:spacing w:line="240" w:lineRule="auto"/>
              <w:ind w:right="113"/>
              <w:jc w:val="right"/>
              <w:rPr>
                <w:sz w:val="22"/>
              </w:rPr>
            </w:pPr>
            <w:r>
              <w:rPr>
                <w:sz w:val="22"/>
              </w:rPr>
              <w:t>122 092</w:t>
            </w:r>
          </w:p>
        </w:tc>
        <w:tc>
          <w:tcPr>
            <w:tcW w:w="857" w:type="dxa"/>
            <w:tcBorders>
              <w:bottom w:val="single" w:sz="4" w:space="0" w:color="auto"/>
            </w:tcBorders>
            <w:vAlign w:val="bottom"/>
          </w:tcPr>
          <w:p w:rsidR="00000000" w:rsidRDefault="00000000">
            <w:pPr>
              <w:tabs>
                <w:tab w:val="clear" w:pos="567"/>
              </w:tabs>
              <w:spacing w:line="240" w:lineRule="auto"/>
              <w:ind w:right="113"/>
              <w:jc w:val="right"/>
              <w:rPr>
                <w:sz w:val="22"/>
              </w:rPr>
            </w:pPr>
            <w:r>
              <w:rPr>
                <w:sz w:val="22"/>
              </w:rPr>
              <w:t>19,20</w:t>
            </w:r>
          </w:p>
        </w:tc>
        <w:tc>
          <w:tcPr>
            <w:tcW w:w="1348" w:type="dxa"/>
            <w:tcBorders>
              <w:bottom w:val="single" w:sz="4" w:space="0" w:color="auto"/>
            </w:tcBorders>
            <w:vAlign w:val="bottom"/>
          </w:tcPr>
          <w:p w:rsidR="00000000" w:rsidRDefault="00000000">
            <w:pPr>
              <w:tabs>
                <w:tab w:val="clear" w:pos="567"/>
                <w:tab w:val="clear" w:pos="1134"/>
              </w:tabs>
              <w:spacing w:line="240" w:lineRule="auto"/>
              <w:ind w:right="266"/>
              <w:jc w:val="right"/>
              <w:rPr>
                <w:sz w:val="22"/>
              </w:rPr>
            </w:pPr>
            <w:r>
              <w:rPr>
                <w:sz w:val="22"/>
              </w:rPr>
              <w:t>126 499</w:t>
            </w:r>
          </w:p>
        </w:tc>
        <w:tc>
          <w:tcPr>
            <w:tcW w:w="754" w:type="dxa"/>
            <w:tcBorders>
              <w:bottom w:val="single" w:sz="4" w:space="0" w:color="auto"/>
            </w:tcBorders>
            <w:vAlign w:val="bottom"/>
          </w:tcPr>
          <w:p w:rsidR="00000000" w:rsidRDefault="00000000">
            <w:pPr>
              <w:tabs>
                <w:tab w:val="clear" w:pos="567"/>
              </w:tabs>
              <w:spacing w:line="240" w:lineRule="auto"/>
              <w:jc w:val="right"/>
              <w:rPr>
                <w:sz w:val="22"/>
              </w:rPr>
            </w:pPr>
            <w:r>
              <w:rPr>
                <w:sz w:val="22"/>
              </w:rPr>
              <w:t>14</w:t>
            </w:r>
          </w:p>
        </w:tc>
      </w:tr>
      <w:tr w:rsidR="00000000">
        <w:tblPrEx>
          <w:tblCellMar>
            <w:top w:w="0" w:type="dxa"/>
            <w:bottom w:w="0" w:type="dxa"/>
          </w:tblCellMar>
        </w:tblPrEx>
        <w:tc>
          <w:tcPr>
            <w:tcW w:w="426" w:type="dxa"/>
            <w:tcBorders>
              <w:top w:val="single" w:sz="4" w:space="0" w:color="auto"/>
              <w:bottom w:val="single" w:sz="4" w:space="0" w:color="auto"/>
              <w:right w:val="nil"/>
            </w:tcBorders>
            <w:tcMar>
              <w:left w:w="28" w:type="dxa"/>
              <w:right w:w="28" w:type="dxa"/>
            </w:tcMar>
          </w:tcPr>
          <w:p w:rsidR="00000000" w:rsidRDefault="00000000">
            <w:pPr>
              <w:spacing w:line="240" w:lineRule="auto"/>
              <w:jc w:val="right"/>
              <w:rPr>
                <w:sz w:val="22"/>
              </w:rPr>
            </w:pPr>
          </w:p>
        </w:tc>
        <w:tc>
          <w:tcPr>
            <w:tcW w:w="2268" w:type="dxa"/>
            <w:tcBorders>
              <w:top w:val="single" w:sz="4" w:space="0" w:color="auto"/>
              <w:left w:val="nil"/>
              <w:bottom w:val="single" w:sz="4" w:space="0" w:color="auto"/>
            </w:tcBorders>
          </w:tcPr>
          <w:p w:rsidR="00000000" w:rsidRDefault="00000000">
            <w:pPr>
              <w:tabs>
                <w:tab w:val="clear" w:pos="567"/>
                <w:tab w:val="left" w:pos="317"/>
              </w:tabs>
              <w:spacing w:line="240" w:lineRule="auto"/>
              <w:rPr>
                <w:sz w:val="22"/>
              </w:rPr>
            </w:pPr>
            <w:r>
              <w:rPr>
                <w:sz w:val="22"/>
              </w:rPr>
              <w:tab/>
              <w:t>Всего</w:t>
            </w:r>
          </w:p>
        </w:tc>
        <w:tc>
          <w:tcPr>
            <w:tcW w:w="1520" w:type="dxa"/>
            <w:tcBorders>
              <w:top w:val="single" w:sz="4" w:space="0" w:color="auto"/>
              <w:bottom w:val="single" w:sz="4" w:space="0" w:color="auto"/>
            </w:tcBorders>
          </w:tcPr>
          <w:p w:rsidR="00000000" w:rsidRDefault="00000000">
            <w:pPr>
              <w:spacing w:line="240" w:lineRule="auto"/>
              <w:ind w:right="170"/>
              <w:jc w:val="right"/>
              <w:rPr>
                <w:sz w:val="22"/>
              </w:rPr>
            </w:pPr>
            <w:r>
              <w:rPr>
                <w:sz w:val="22"/>
              </w:rPr>
              <w:t>1 230 790</w:t>
            </w:r>
          </w:p>
        </w:tc>
        <w:tc>
          <w:tcPr>
            <w:tcW w:w="826" w:type="dxa"/>
            <w:tcBorders>
              <w:top w:val="single" w:sz="4" w:space="0" w:color="auto"/>
              <w:bottom w:val="single" w:sz="4" w:space="0" w:color="auto"/>
            </w:tcBorders>
          </w:tcPr>
          <w:p w:rsidR="00000000" w:rsidRDefault="00000000">
            <w:pPr>
              <w:tabs>
                <w:tab w:val="clear" w:pos="567"/>
              </w:tabs>
              <w:spacing w:line="240" w:lineRule="auto"/>
              <w:ind w:right="113"/>
              <w:jc w:val="right"/>
              <w:rPr>
                <w:sz w:val="22"/>
              </w:rPr>
            </w:pPr>
            <w:r>
              <w:rPr>
                <w:sz w:val="22"/>
              </w:rPr>
              <w:t>100</w:t>
            </w:r>
          </w:p>
        </w:tc>
        <w:tc>
          <w:tcPr>
            <w:tcW w:w="1357" w:type="dxa"/>
            <w:tcBorders>
              <w:top w:val="single" w:sz="4" w:space="0" w:color="auto"/>
              <w:bottom w:val="single" w:sz="4" w:space="0" w:color="auto"/>
            </w:tcBorders>
          </w:tcPr>
          <w:p w:rsidR="00000000" w:rsidRDefault="00000000">
            <w:pPr>
              <w:spacing w:line="240" w:lineRule="auto"/>
              <w:ind w:right="113"/>
              <w:jc w:val="right"/>
              <w:rPr>
                <w:sz w:val="22"/>
              </w:rPr>
            </w:pPr>
            <w:r>
              <w:rPr>
                <w:sz w:val="22"/>
              </w:rPr>
              <w:t>860 397</w:t>
            </w:r>
          </w:p>
        </w:tc>
        <w:tc>
          <w:tcPr>
            <w:tcW w:w="857" w:type="dxa"/>
            <w:tcBorders>
              <w:top w:val="single" w:sz="4" w:space="0" w:color="auto"/>
              <w:bottom w:val="single" w:sz="4" w:space="0" w:color="auto"/>
            </w:tcBorders>
          </w:tcPr>
          <w:p w:rsidR="00000000" w:rsidRDefault="00000000">
            <w:pPr>
              <w:tabs>
                <w:tab w:val="clear" w:pos="567"/>
              </w:tabs>
              <w:spacing w:line="240" w:lineRule="auto"/>
              <w:ind w:right="113"/>
              <w:jc w:val="right"/>
              <w:rPr>
                <w:sz w:val="22"/>
              </w:rPr>
            </w:pPr>
            <w:r>
              <w:rPr>
                <w:sz w:val="22"/>
              </w:rPr>
              <w:t>100</w:t>
            </w:r>
          </w:p>
        </w:tc>
        <w:tc>
          <w:tcPr>
            <w:tcW w:w="1348" w:type="dxa"/>
            <w:tcBorders>
              <w:top w:val="single" w:sz="4" w:space="0" w:color="auto"/>
              <w:bottom w:val="single" w:sz="4" w:space="0" w:color="auto"/>
            </w:tcBorders>
          </w:tcPr>
          <w:p w:rsidR="00000000" w:rsidRDefault="00000000">
            <w:pPr>
              <w:tabs>
                <w:tab w:val="clear" w:pos="567"/>
                <w:tab w:val="clear" w:pos="1134"/>
              </w:tabs>
              <w:spacing w:line="240" w:lineRule="auto"/>
              <w:ind w:right="266"/>
              <w:jc w:val="right"/>
              <w:rPr>
                <w:sz w:val="22"/>
              </w:rPr>
            </w:pPr>
            <w:r>
              <w:rPr>
                <w:sz w:val="22"/>
              </w:rPr>
              <w:t>909 316</w:t>
            </w:r>
          </w:p>
        </w:tc>
        <w:tc>
          <w:tcPr>
            <w:tcW w:w="754" w:type="dxa"/>
            <w:tcBorders>
              <w:top w:val="single" w:sz="4" w:space="0" w:color="auto"/>
              <w:bottom w:val="single" w:sz="4" w:space="0" w:color="auto"/>
            </w:tcBorders>
          </w:tcPr>
          <w:p w:rsidR="00000000" w:rsidRDefault="00000000">
            <w:pPr>
              <w:tabs>
                <w:tab w:val="clear" w:pos="567"/>
              </w:tabs>
              <w:spacing w:line="240" w:lineRule="auto"/>
              <w:jc w:val="right"/>
              <w:rPr>
                <w:sz w:val="22"/>
              </w:rPr>
            </w:pPr>
            <w:r>
              <w:rPr>
                <w:sz w:val="22"/>
              </w:rPr>
              <w:t>100</w:t>
            </w:r>
          </w:p>
        </w:tc>
      </w:tr>
    </w:tbl>
    <w:p w:rsidR="00000000" w:rsidRDefault="00000000">
      <w:pPr>
        <w:rPr>
          <w:b/>
          <w:bCs/>
        </w:rPr>
      </w:pPr>
    </w:p>
    <w:p w:rsidR="00000000" w:rsidRDefault="00000000">
      <w:pPr>
        <w:spacing w:line="240" w:lineRule="auto"/>
        <w:ind w:left="567" w:hanging="567"/>
        <w:rPr>
          <w:sz w:val="22"/>
        </w:rPr>
      </w:pPr>
      <w:r>
        <w:rPr>
          <w:b/>
          <w:bCs/>
          <w:vertAlign w:val="superscript"/>
          <w:lang w:val="en-US"/>
        </w:rPr>
        <w:t>a</w:t>
      </w:r>
      <w:r>
        <w:rPr>
          <w:b/>
          <w:bCs/>
          <w:sz w:val="22"/>
          <w:vertAlign w:val="superscript"/>
        </w:rPr>
        <w:tab/>
      </w:r>
      <w:r>
        <w:rPr>
          <w:sz w:val="22"/>
          <w:lang w:val="en-US"/>
        </w:rPr>
        <w:t>Soo</w:t>
      </w:r>
      <w:r>
        <w:rPr>
          <w:sz w:val="22"/>
        </w:rPr>
        <w:t>-</w:t>
      </w:r>
      <w:r>
        <w:rPr>
          <w:sz w:val="22"/>
          <w:lang w:val="en-US"/>
        </w:rPr>
        <w:t>T</w:t>
      </w:r>
      <w:r>
        <w:rPr>
          <w:sz w:val="22"/>
        </w:rPr>
        <w:t>98 - травмы и несчастные случаи, отравления и последствия внешних факторов.</w:t>
      </w:r>
    </w:p>
    <w:p w:rsidR="00000000" w:rsidRDefault="00000000">
      <w:pPr>
        <w:spacing w:line="240" w:lineRule="auto"/>
        <w:rPr>
          <w:sz w:val="22"/>
        </w:rPr>
      </w:pPr>
    </w:p>
    <w:p w:rsidR="00000000" w:rsidRDefault="00000000">
      <w:pPr>
        <w:spacing w:line="240" w:lineRule="auto"/>
        <w:rPr>
          <w:sz w:val="22"/>
        </w:rPr>
      </w:pPr>
      <w:r>
        <w:rPr>
          <w:b/>
          <w:bCs/>
          <w:vertAlign w:val="superscript"/>
          <w:lang w:val="en-US"/>
        </w:rPr>
        <w:t>b</w:t>
      </w:r>
      <w:r>
        <w:rPr>
          <w:b/>
          <w:bCs/>
          <w:sz w:val="22"/>
          <w:vertAlign w:val="superscript"/>
        </w:rPr>
        <w:tab/>
      </w:r>
      <w:r>
        <w:rPr>
          <w:sz w:val="22"/>
          <w:lang w:val="en-US"/>
        </w:rPr>
        <w:t>FOO</w:t>
      </w:r>
      <w:r>
        <w:rPr>
          <w:sz w:val="22"/>
        </w:rPr>
        <w:t>-</w:t>
      </w:r>
      <w:r>
        <w:rPr>
          <w:sz w:val="22"/>
          <w:lang w:val="en-US"/>
        </w:rPr>
        <w:t>F</w:t>
      </w:r>
      <w:r>
        <w:rPr>
          <w:sz w:val="22"/>
        </w:rPr>
        <w:t>99 - психические и поведенческие расстройства.</w:t>
      </w:r>
    </w:p>
    <w:p w:rsidR="00000000" w:rsidRDefault="00000000"/>
    <w:p w:rsidR="00000000" w:rsidRDefault="00000000">
      <w:r>
        <w:t xml:space="preserve">Сравнительный анализ за период 1999-2001 годов указывает на высокий уровень хронических, массовых и неинфекционных заболеваний в Республике Сербской.  </w:t>
      </w:r>
    </w:p>
    <w:p w:rsidR="00000000" w:rsidRDefault="00000000"/>
    <w:p w:rsidR="00000000" w:rsidRDefault="00000000">
      <w:r>
        <w:t>419.</w:t>
      </w:r>
      <w:r>
        <w:tab/>
        <w:t xml:space="preserve">Если посмотреть на основные причины смертности за трехлетний период, то станет ясно, что их характер не претерпел серьезных изменений.  По сравнению с перечнем основных и наиболее частых причин смерти в Боснии и Герцеговине в довоенный период, даже если брать большинство европейских стран, нынешний перечень основных причин смерти практически не изменился.  Болезни сердечно-сосудистой системы, такие, как коронарные болезни сердца и гипертония, в 1991 году в Боснии и Герцеговине занимали первое место среди основных причин смерти и потерянных лет жизни в результате инвалидности (DALY) и составляли 50% всех случаев.  Злокачественные новообразования находятся на втором месте с 18% случаев, и их количество за последние несколько десятилетий возросло.  На третьем месте в этом перечне находятся симптомы и другие неустановленные обстоятельства.  Растет также число полученных травм и отравлений, которые находятся на третьем месте специфических причин смертности.  </w:t>
      </w:r>
    </w:p>
    <w:p w:rsidR="00000000" w:rsidRDefault="00000000"/>
    <w:p w:rsidR="00000000" w:rsidRDefault="00000000">
      <w:pPr>
        <w:pStyle w:val="Heading2"/>
        <w:jc w:val="center"/>
        <w:rPr>
          <w:b/>
          <w:bCs/>
          <w:u w:val="none"/>
        </w:rPr>
      </w:pPr>
      <w:r>
        <w:rPr>
          <w:b/>
          <w:bCs/>
          <w:u w:val="none"/>
        </w:rPr>
        <w:t>Таблица 10</w:t>
      </w:r>
    </w:p>
    <w:p w:rsidR="00000000" w:rsidRDefault="00000000">
      <w:pPr>
        <w:pStyle w:val="Heading2"/>
        <w:jc w:val="center"/>
        <w:rPr>
          <w:b/>
          <w:bCs/>
          <w:u w:val="none"/>
        </w:rPr>
      </w:pPr>
    </w:p>
    <w:p w:rsidR="00000000" w:rsidRDefault="00000000">
      <w:pPr>
        <w:pStyle w:val="Heading2"/>
        <w:spacing w:line="240" w:lineRule="auto"/>
        <w:jc w:val="center"/>
        <w:rPr>
          <w:b/>
          <w:bCs/>
          <w:u w:val="none"/>
        </w:rPr>
      </w:pPr>
      <w:r>
        <w:rPr>
          <w:b/>
          <w:bCs/>
          <w:u w:val="none"/>
        </w:rPr>
        <w:t>Хронические, массовые неинфекционные заболевания в Федерации</w:t>
      </w:r>
      <w:r>
        <w:rPr>
          <w:b/>
          <w:bCs/>
          <w:u w:val="none"/>
        </w:rPr>
        <w:br/>
        <w:t>Боснии и Герцеговины за период 1999-2001 годов</w:t>
      </w:r>
    </w:p>
    <w:p w:rsidR="00000000" w:rsidRDefault="00000000">
      <w:pPr>
        <w:pStyle w:val="Heading2"/>
        <w:jc w:val="center"/>
        <w:rPr>
          <w:b/>
          <w:bCs/>
          <w:u w:val="none"/>
        </w:rPr>
      </w:pPr>
      <w:r>
        <w:rPr>
          <w:b/>
          <w:bCs/>
          <w:u w:val="none"/>
        </w:rPr>
        <w:t>(количество случаев на 100 000 жителей)</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724"/>
        <w:gridCol w:w="1652"/>
        <w:gridCol w:w="1595"/>
        <w:gridCol w:w="2385"/>
      </w:tblGrid>
      <w:tr w:rsidR="00000000">
        <w:tblPrEx>
          <w:tblCellMar>
            <w:top w:w="0" w:type="dxa"/>
            <w:bottom w:w="0" w:type="dxa"/>
          </w:tblCellMar>
        </w:tblPrEx>
        <w:tc>
          <w:tcPr>
            <w:tcW w:w="3724" w:type="dxa"/>
            <w:tcBorders>
              <w:bottom w:val="single" w:sz="4" w:space="0" w:color="auto"/>
            </w:tcBorders>
          </w:tcPr>
          <w:p w:rsidR="00000000" w:rsidRDefault="00000000">
            <w:pPr>
              <w:spacing w:after="120" w:line="240" w:lineRule="auto"/>
              <w:jc w:val="center"/>
            </w:pPr>
          </w:p>
        </w:tc>
        <w:tc>
          <w:tcPr>
            <w:tcW w:w="1652" w:type="dxa"/>
            <w:tcBorders>
              <w:bottom w:val="single" w:sz="4" w:space="0" w:color="auto"/>
            </w:tcBorders>
          </w:tcPr>
          <w:p w:rsidR="00000000" w:rsidRDefault="00000000">
            <w:pPr>
              <w:spacing w:after="120" w:line="240" w:lineRule="auto"/>
              <w:jc w:val="right"/>
            </w:pPr>
            <w:r>
              <w:t>1999 год</w:t>
            </w:r>
          </w:p>
        </w:tc>
        <w:tc>
          <w:tcPr>
            <w:tcW w:w="1595" w:type="dxa"/>
            <w:tcBorders>
              <w:bottom w:val="single" w:sz="4" w:space="0" w:color="auto"/>
            </w:tcBorders>
          </w:tcPr>
          <w:p w:rsidR="00000000" w:rsidRDefault="00000000">
            <w:pPr>
              <w:spacing w:after="120" w:line="240" w:lineRule="auto"/>
              <w:jc w:val="right"/>
            </w:pPr>
            <w:r>
              <w:t>2000 год</w:t>
            </w:r>
          </w:p>
        </w:tc>
        <w:tc>
          <w:tcPr>
            <w:tcW w:w="2385" w:type="dxa"/>
            <w:tcBorders>
              <w:bottom w:val="single" w:sz="4" w:space="0" w:color="auto"/>
            </w:tcBorders>
          </w:tcPr>
          <w:p w:rsidR="00000000" w:rsidRDefault="00000000">
            <w:pPr>
              <w:spacing w:after="120" w:line="240" w:lineRule="auto"/>
              <w:jc w:val="center"/>
            </w:pPr>
            <w:r>
              <w:t>2001 год</w:t>
            </w:r>
          </w:p>
        </w:tc>
      </w:tr>
      <w:tr w:rsidR="00000000">
        <w:tblPrEx>
          <w:tblCellMar>
            <w:top w:w="0" w:type="dxa"/>
            <w:bottom w:w="0" w:type="dxa"/>
          </w:tblCellMar>
        </w:tblPrEx>
        <w:tc>
          <w:tcPr>
            <w:tcW w:w="3724" w:type="dxa"/>
            <w:tcBorders>
              <w:top w:val="single" w:sz="4" w:space="0" w:color="auto"/>
              <w:bottom w:val="nil"/>
            </w:tcBorders>
          </w:tcPr>
          <w:p w:rsidR="00000000" w:rsidRDefault="00000000">
            <w:pPr>
              <w:pStyle w:val="Header"/>
              <w:spacing w:after="120" w:line="240" w:lineRule="auto"/>
              <w:rPr>
                <w:spacing w:val="-4"/>
              </w:rPr>
            </w:pPr>
            <w:r>
              <w:rPr>
                <w:spacing w:val="-4"/>
              </w:rPr>
              <w:t>Злокачественные новообразования</w:t>
            </w:r>
          </w:p>
        </w:tc>
        <w:tc>
          <w:tcPr>
            <w:tcW w:w="1652" w:type="dxa"/>
            <w:tcBorders>
              <w:top w:val="single" w:sz="4" w:space="0" w:color="auto"/>
              <w:bottom w:val="nil"/>
            </w:tcBorders>
          </w:tcPr>
          <w:p w:rsidR="00000000" w:rsidRDefault="00000000">
            <w:pPr>
              <w:pStyle w:val="Header"/>
              <w:tabs>
                <w:tab w:val="left" w:pos="1023"/>
              </w:tabs>
              <w:spacing w:after="120" w:line="240" w:lineRule="auto"/>
              <w:ind w:right="480"/>
              <w:jc w:val="right"/>
            </w:pPr>
            <w:r>
              <w:t>230</w:t>
            </w:r>
          </w:p>
        </w:tc>
        <w:tc>
          <w:tcPr>
            <w:tcW w:w="1595" w:type="dxa"/>
            <w:tcBorders>
              <w:top w:val="single" w:sz="4" w:space="0" w:color="auto"/>
              <w:bottom w:val="nil"/>
            </w:tcBorders>
          </w:tcPr>
          <w:p w:rsidR="00000000" w:rsidRDefault="00000000">
            <w:pPr>
              <w:tabs>
                <w:tab w:val="clear" w:pos="567"/>
                <w:tab w:val="clear" w:pos="1134"/>
                <w:tab w:val="clear" w:pos="1701"/>
              </w:tabs>
              <w:spacing w:after="120" w:line="240" w:lineRule="auto"/>
              <w:ind w:right="340"/>
              <w:jc w:val="right"/>
            </w:pPr>
            <w:r>
              <w:t>320</w:t>
            </w:r>
          </w:p>
        </w:tc>
        <w:tc>
          <w:tcPr>
            <w:tcW w:w="2385" w:type="dxa"/>
            <w:tcBorders>
              <w:top w:val="single" w:sz="4" w:space="0" w:color="auto"/>
              <w:bottom w:val="nil"/>
            </w:tcBorders>
          </w:tcPr>
          <w:p w:rsidR="00000000" w:rsidRDefault="00000000">
            <w:pPr>
              <w:tabs>
                <w:tab w:val="clear" w:pos="567"/>
                <w:tab w:val="clear" w:pos="1134"/>
                <w:tab w:val="clear" w:pos="1701"/>
              </w:tabs>
              <w:spacing w:after="120" w:line="240" w:lineRule="auto"/>
              <w:ind w:right="1020"/>
              <w:jc w:val="right"/>
            </w:pPr>
            <w:r>
              <w:t>230</w:t>
            </w:r>
          </w:p>
        </w:tc>
      </w:tr>
      <w:tr w:rsidR="00000000">
        <w:tblPrEx>
          <w:tblCellMar>
            <w:top w:w="0" w:type="dxa"/>
            <w:bottom w:w="0" w:type="dxa"/>
          </w:tblCellMar>
        </w:tblPrEx>
        <w:tc>
          <w:tcPr>
            <w:tcW w:w="3724" w:type="dxa"/>
            <w:tcBorders>
              <w:top w:val="nil"/>
            </w:tcBorders>
          </w:tcPr>
          <w:p w:rsidR="00000000" w:rsidRDefault="00000000">
            <w:pPr>
              <w:spacing w:after="120" w:line="240" w:lineRule="auto"/>
            </w:pPr>
            <w:r>
              <w:t>Нарушения функции щитовидной железы</w:t>
            </w:r>
          </w:p>
        </w:tc>
        <w:tc>
          <w:tcPr>
            <w:tcW w:w="1652" w:type="dxa"/>
            <w:tcBorders>
              <w:top w:val="nil"/>
            </w:tcBorders>
          </w:tcPr>
          <w:p w:rsidR="00000000" w:rsidRDefault="00000000">
            <w:pPr>
              <w:tabs>
                <w:tab w:val="clear" w:pos="567"/>
                <w:tab w:val="clear" w:pos="1134"/>
                <w:tab w:val="left" w:pos="1023"/>
              </w:tabs>
              <w:spacing w:after="120" w:line="240" w:lineRule="auto"/>
              <w:ind w:right="480"/>
              <w:jc w:val="right"/>
            </w:pPr>
            <w:r>
              <w:t>448</w:t>
            </w:r>
          </w:p>
        </w:tc>
        <w:tc>
          <w:tcPr>
            <w:tcW w:w="1595" w:type="dxa"/>
            <w:tcBorders>
              <w:top w:val="nil"/>
            </w:tcBorders>
          </w:tcPr>
          <w:p w:rsidR="00000000" w:rsidRDefault="00000000">
            <w:pPr>
              <w:tabs>
                <w:tab w:val="clear" w:pos="567"/>
                <w:tab w:val="clear" w:pos="1134"/>
                <w:tab w:val="clear" w:pos="1701"/>
              </w:tabs>
              <w:spacing w:after="120" w:line="240" w:lineRule="auto"/>
              <w:ind w:right="340"/>
              <w:jc w:val="right"/>
            </w:pPr>
            <w:r>
              <w:t>418</w:t>
            </w:r>
          </w:p>
        </w:tc>
        <w:tc>
          <w:tcPr>
            <w:tcW w:w="2385" w:type="dxa"/>
            <w:tcBorders>
              <w:top w:val="nil"/>
            </w:tcBorders>
          </w:tcPr>
          <w:p w:rsidR="00000000" w:rsidRDefault="00000000">
            <w:pPr>
              <w:pStyle w:val="Header"/>
              <w:spacing w:after="120" w:line="240" w:lineRule="auto"/>
            </w:pPr>
            <w:r>
              <w:t>385 заболеваний сосудистой системы</w:t>
            </w:r>
          </w:p>
        </w:tc>
      </w:tr>
      <w:tr w:rsidR="00000000">
        <w:tblPrEx>
          <w:tblCellMar>
            <w:top w:w="0" w:type="dxa"/>
            <w:bottom w:w="0" w:type="dxa"/>
          </w:tblCellMar>
        </w:tblPrEx>
        <w:tc>
          <w:tcPr>
            <w:tcW w:w="3724" w:type="dxa"/>
          </w:tcPr>
          <w:p w:rsidR="00000000" w:rsidRDefault="00000000">
            <w:pPr>
              <w:spacing w:after="120" w:line="240" w:lineRule="auto"/>
            </w:pPr>
            <w:r>
              <w:t xml:space="preserve">Диабет </w:t>
            </w:r>
          </w:p>
        </w:tc>
        <w:tc>
          <w:tcPr>
            <w:tcW w:w="1652" w:type="dxa"/>
          </w:tcPr>
          <w:p w:rsidR="00000000" w:rsidRDefault="00000000">
            <w:pPr>
              <w:tabs>
                <w:tab w:val="left" w:pos="1023"/>
              </w:tabs>
              <w:spacing w:after="120" w:line="240" w:lineRule="auto"/>
              <w:ind w:right="480"/>
              <w:jc w:val="right"/>
            </w:pPr>
            <w:r>
              <w:t>1 493</w:t>
            </w:r>
          </w:p>
        </w:tc>
        <w:tc>
          <w:tcPr>
            <w:tcW w:w="1595" w:type="dxa"/>
          </w:tcPr>
          <w:p w:rsidR="00000000" w:rsidRDefault="00000000">
            <w:pPr>
              <w:tabs>
                <w:tab w:val="clear" w:pos="567"/>
                <w:tab w:val="clear" w:pos="1134"/>
                <w:tab w:val="clear" w:pos="1701"/>
              </w:tabs>
              <w:spacing w:after="120" w:line="240" w:lineRule="auto"/>
              <w:ind w:right="340"/>
              <w:jc w:val="right"/>
            </w:pPr>
            <w:r>
              <w:t>1 548</w:t>
            </w:r>
          </w:p>
        </w:tc>
        <w:tc>
          <w:tcPr>
            <w:tcW w:w="2385" w:type="dxa"/>
          </w:tcPr>
          <w:p w:rsidR="00000000" w:rsidRDefault="00000000">
            <w:pPr>
              <w:tabs>
                <w:tab w:val="clear" w:pos="567"/>
                <w:tab w:val="clear" w:pos="1134"/>
                <w:tab w:val="clear" w:pos="1701"/>
              </w:tabs>
              <w:spacing w:after="120" w:line="240" w:lineRule="auto"/>
              <w:ind w:right="1020"/>
              <w:jc w:val="right"/>
            </w:pPr>
            <w:r>
              <w:t>1 358</w:t>
            </w:r>
          </w:p>
        </w:tc>
      </w:tr>
      <w:tr w:rsidR="00000000">
        <w:tblPrEx>
          <w:tblCellMar>
            <w:top w:w="0" w:type="dxa"/>
            <w:bottom w:w="0" w:type="dxa"/>
          </w:tblCellMar>
        </w:tblPrEx>
        <w:tc>
          <w:tcPr>
            <w:tcW w:w="3724" w:type="dxa"/>
          </w:tcPr>
          <w:p w:rsidR="00000000" w:rsidRDefault="00000000">
            <w:pPr>
              <w:spacing w:after="120" w:line="240" w:lineRule="auto"/>
            </w:pPr>
            <w:r>
              <w:t>Хронические заболевания легких</w:t>
            </w:r>
          </w:p>
        </w:tc>
        <w:tc>
          <w:tcPr>
            <w:tcW w:w="1652" w:type="dxa"/>
          </w:tcPr>
          <w:p w:rsidR="00000000" w:rsidRDefault="00000000">
            <w:pPr>
              <w:tabs>
                <w:tab w:val="left" w:pos="1023"/>
              </w:tabs>
              <w:spacing w:after="120" w:line="240" w:lineRule="auto"/>
              <w:ind w:right="480"/>
              <w:jc w:val="right"/>
            </w:pPr>
            <w:r>
              <w:t>1 758</w:t>
            </w:r>
          </w:p>
        </w:tc>
        <w:tc>
          <w:tcPr>
            <w:tcW w:w="1595" w:type="dxa"/>
          </w:tcPr>
          <w:p w:rsidR="00000000" w:rsidRDefault="00000000">
            <w:pPr>
              <w:tabs>
                <w:tab w:val="clear" w:pos="567"/>
                <w:tab w:val="clear" w:pos="1134"/>
                <w:tab w:val="clear" w:pos="1701"/>
              </w:tabs>
              <w:spacing w:after="120" w:line="240" w:lineRule="auto"/>
              <w:ind w:right="340"/>
              <w:jc w:val="right"/>
            </w:pPr>
            <w:r>
              <w:t>1 797</w:t>
            </w:r>
          </w:p>
        </w:tc>
        <w:tc>
          <w:tcPr>
            <w:tcW w:w="2385" w:type="dxa"/>
          </w:tcPr>
          <w:p w:rsidR="00000000" w:rsidRDefault="00000000">
            <w:pPr>
              <w:tabs>
                <w:tab w:val="clear" w:pos="567"/>
                <w:tab w:val="clear" w:pos="1134"/>
                <w:tab w:val="clear" w:pos="1701"/>
              </w:tabs>
              <w:spacing w:after="120" w:line="240" w:lineRule="auto"/>
              <w:ind w:right="1020"/>
              <w:jc w:val="right"/>
            </w:pPr>
            <w:r>
              <w:t>1 316</w:t>
            </w:r>
          </w:p>
        </w:tc>
      </w:tr>
      <w:tr w:rsidR="00000000">
        <w:tblPrEx>
          <w:tblCellMar>
            <w:top w:w="0" w:type="dxa"/>
            <w:bottom w:w="0" w:type="dxa"/>
          </w:tblCellMar>
        </w:tblPrEx>
        <w:tc>
          <w:tcPr>
            <w:tcW w:w="3724" w:type="dxa"/>
          </w:tcPr>
          <w:p w:rsidR="00000000" w:rsidRDefault="00000000">
            <w:pPr>
              <w:spacing w:after="120" w:line="240" w:lineRule="auto"/>
            </w:pPr>
            <w:r>
              <w:t>Анемия, вызванная нехваткой железа</w:t>
            </w:r>
          </w:p>
        </w:tc>
        <w:tc>
          <w:tcPr>
            <w:tcW w:w="1652" w:type="dxa"/>
          </w:tcPr>
          <w:p w:rsidR="00000000" w:rsidRDefault="00000000">
            <w:pPr>
              <w:tabs>
                <w:tab w:val="left" w:pos="1023"/>
              </w:tabs>
              <w:spacing w:after="120" w:line="240" w:lineRule="auto"/>
              <w:ind w:right="480"/>
              <w:jc w:val="right"/>
            </w:pPr>
            <w:r>
              <w:t>2 035</w:t>
            </w:r>
          </w:p>
        </w:tc>
        <w:tc>
          <w:tcPr>
            <w:tcW w:w="1595" w:type="dxa"/>
          </w:tcPr>
          <w:p w:rsidR="00000000" w:rsidRDefault="00000000">
            <w:pPr>
              <w:tabs>
                <w:tab w:val="clear" w:pos="567"/>
                <w:tab w:val="clear" w:pos="1134"/>
                <w:tab w:val="clear" w:pos="1701"/>
              </w:tabs>
              <w:spacing w:after="120" w:line="240" w:lineRule="auto"/>
              <w:ind w:right="340"/>
              <w:jc w:val="right"/>
            </w:pPr>
            <w:r>
              <w:t>1 881</w:t>
            </w:r>
          </w:p>
        </w:tc>
        <w:tc>
          <w:tcPr>
            <w:tcW w:w="2385" w:type="dxa"/>
          </w:tcPr>
          <w:p w:rsidR="00000000" w:rsidRDefault="00000000">
            <w:pPr>
              <w:tabs>
                <w:tab w:val="clear" w:pos="567"/>
                <w:tab w:val="clear" w:pos="1134"/>
                <w:tab w:val="clear" w:pos="1701"/>
              </w:tabs>
              <w:spacing w:after="120" w:line="240" w:lineRule="auto"/>
              <w:ind w:right="1020"/>
              <w:jc w:val="right"/>
            </w:pPr>
            <w:r>
              <w:t>1 734</w:t>
            </w:r>
          </w:p>
        </w:tc>
      </w:tr>
      <w:tr w:rsidR="00000000">
        <w:tblPrEx>
          <w:tblCellMar>
            <w:top w:w="0" w:type="dxa"/>
            <w:bottom w:w="0" w:type="dxa"/>
          </w:tblCellMar>
        </w:tblPrEx>
        <w:tc>
          <w:tcPr>
            <w:tcW w:w="3724" w:type="dxa"/>
          </w:tcPr>
          <w:p w:rsidR="00000000" w:rsidRDefault="00000000">
            <w:pPr>
              <w:spacing w:after="120" w:line="240" w:lineRule="auto"/>
            </w:pPr>
            <w:r>
              <w:t>Психические и поведенческие расстройства</w:t>
            </w:r>
          </w:p>
        </w:tc>
        <w:tc>
          <w:tcPr>
            <w:tcW w:w="1652" w:type="dxa"/>
          </w:tcPr>
          <w:p w:rsidR="00000000" w:rsidRDefault="00000000">
            <w:pPr>
              <w:tabs>
                <w:tab w:val="left" w:pos="1023"/>
              </w:tabs>
              <w:spacing w:after="120" w:line="240" w:lineRule="auto"/>
              <w:ind w:right="480"/>
              <w:jc w:val="right"/>
            </w:pPr>
            <w:r>
              <w:t>2 238</w:t>
            </w:r>
          </w:p>
        </w:tc>
        <w:tc>
          <w:tcPr>
            <w:tcW w:w="1595" w:type="dxa"/>
          </w:tcPr>
          <w:p w:rsidR="00000000" w:rsidRDefault="00000000">
            <w:pPr>
              <w:tabs>
                <w:tab w:val="clear" w:pos="567"/>
                <w:tab w:val="clear" w:pos="1134"/>
                <w:tab w:val="clear" w:pos="1701"/>
              </w:tabs>
              <w:spacing w:after="120" w:line="240" w:lineRule="auto"/>
              <w:ind w:right="340"/>
              <w:jc w:val="right"/>
            </w:pPr>
            <w:r>
              <w:t>2 428</w:t>
            </w:r>
          </w:p>
        </w:tc>
        <w:tc>
          <w:tcPr>
            <w:tcW w:w="2385" w:type="dxa"/>
          </w:tcPr>
          <w:p w:rsidR="00000000" w:rsidRDefault="00000000">
            <w:pPr>
              <w:tabs>
                <w:tab w:val="clear" w:pos="567"/>
                <w:tab w:val="clear" w:pos="1134"/>
                <w:tab w:val="clear" w:pos="1701"/>
              </w:tabs>
              <w:spacing w:after="120" w:line="240" w:lineRule="auto"/>
              <w:ind w:right="1020"/>
              <w:jc w:val="right"/>
            </w:pPr>
            <w:r>
              <w:t>2 100</w:t>
            </w:r>
          </w:p>
        </w:tc>
      </w:tr>
      <w:tr w:rsidR="00000000">
        <w:tblPrEx>
          <w:tblCellMar>
            <w:top w:w="0" w:type="dxa"/>
            <w:bottom w:w="0" w:type="dxa"/>
          </w:tblCellMar>
        </w:tblPrEx>
        <w:tc>
          <w:tcPr>
            <w:tcW w:w="3724" w:type="dxa"/>
          </w:tcPr>
          <w:p w:rsidR="00000000" w:rsidRDefault="00000000">
            <w:pPr>
              <w:spacing w:after="120" w:line="240" w:lineRule="auto"/>
            </w:pPr>
            <w:r>
              <w:t>Хронические заболевания пищеварительной системы</w:t>
            </w:r>
          </w:p>
        </w:tc>
        <w:tc>
          <w:tcPr>
            <w:tcW w:w="1652" w:type="dxa"/>
          </w:tcPr>
          <w:p w:rsidR="00000000" w:rsidRDefault="00000000">
            <w:pPr>
              <w:tabs>
                <w:tab w:val="left" w:pos="1023"/>
              </w:tabs>
              <w:spacing w:after="120" w:line="240" w:lineRule="auto"/>
              <w:ind w:right="480"/>
              <w:jc w:val="right"/>
            </w:pPr>
            <w:r>
              <w:t>4 153</w:t>
            </w:r>
          </w:p>
        </w:tc>
        <w:tc>
          <w:tcPr>
            <w:tcW w:w="1595" w:type="dxa"/>
          </w:tcPr>
          <w:p w:rsidR="00000000" w:rsidRDefault="00000000">
            <w:pPr>
              <w:tabs>
                <w:tab w:val="clear" w:pos="567"/>
                <w:tab w:val="clear" w:pos="1134"/>
                <w:tab w:val="clear" w:pos="1701"/>
              </w:tabs>
              <w:spacing w:after="120" w:line="240" w:lineRule="auto"/>
              <w:ind w:right="340"/>
              <w:jc w:val="right"/>
            </w:pPr>
            <w:r>
              <w:t>2 321</w:t>
            </w:r>
          </w:p>
        </w:tc>
        <w:tc>
          <w:tcPr>
            <w:tcW w:w="2385" w:type="dxa"/>
          </w:tcPr>
          <w:p w:rsidR="00000000" w:rsidRDefault="00000000">
            <w:pPr>
              <w:tabs>
                <w:tab w:val="clear" w:pos="567"/>
                <w:tab w:val="clear" w:pos="1134"/>
                <w:tab w:val="clear" w:pos="1701"/>
              </w:tabs>
              <w:spacing w:after="120" w:line="240" w:lineRule="auto"/>
              <w:ind w:right="1020"/>
              <w:jc w:val="right"/>
            </w:pPr>
            <w:r>
              <w:t>2 852</w:t>
            </w:r>
          </w:p>
        </w:tc>
      </w:tr>
      <w:tr w:rsidR="00000000">
        <w:tblPrEx>
          <w:tblCellMar>
            <w:top w:w="0" w:type="dxa"/>
            <w:bottom w:w="0" w:type="dxa"/>
          </w:tblCellMar>
        </w:tblPrEx>
        <w:tc>
          <w:tcPr>
            <w:tcW w:w="3724" w:type="dxa"/>
          </w:tcPr>
          <w:p w:rsidR="00000000" w:rsidRDefault="00000000">
            <w:pPr>
              <w:spacing w:after="120" w:line="240" w:lineRule="auto"/>
            </w:pPr>
            <w:r>
              <w:t>Костно-мышечные заболевания</w:t>
            </w:r>
          </w:p>
        </w:tc>
        <w:tc>
          <w:tcPr>
            <w:tcW w:w="1652" w:type="dxa"/>
          </w:tcPr>
          <w:p w:rsidR="00000000" w:rsidRDefault="00000000">
            <w:pPr>
              <w:tabs>
                <w:tab w:val="left" w:pos="1023"/>
              </w:tabs>
              <w:spacing w:after="120" w:line="240" w:lineRule="auto"/>
              <w:ind w:right="480"/>
              <w:jc w:val="right"/>
            </w:pPr>
            <w:r>
              <w:t>4 286</w:t>
            </w:r>
          </w:p>
        </w:tc>
        <w:tc>
          <w:tcPr>
            <w:tcW w:w="1595" w:type="dxa"/>
          </w:tcPr>
          <w:p w:rsidR="00000000" w:rsidRDefault="00000000">
            <w:pPr>
              <w:tabs>
                <w:tab w:val="clear" w:pos="567"/>
                <w:tab w:val="clear" w:pos="1134"/>
                <w:tab w:val="clear" w:pos="1701"/>
              </w:tabs>
              <w:spacing w:after="120" w:line="240" w:lineRule="auto"/>
              <w:ind w:right="340"/>
              <w:jc w:val="right"/>
            </w:pPr>
            <w:r>
              <w:t>4 947</w:t>
            </w:r>
          </w:p>
        </w:tc>
        <w:tc>
          <w:tcPr>
            <w:tcW w:w="2385" w:type="dxa"/>
          </w:tcPr>
          <w:p w:rsidR="00000000" w:rsidRDefault="00000000">
            <w:pPr>
              <w:tabs>
                <w:tab w:val="clear" w:pos="567"/>
                <w:tab w:val="clear" w:pos="1134"/>
                <w:tab w:val="clear" w:pos="1701"/>
              </w:tabs>
              <w:spacing w:after="120" w:line="240" w:lineRule="auto"/>
              <w:ind w:right="1020"/>
              <w:jc w:val="right"/>
            </w:pPr>
            <w:r>
              <w:t>4 594</w:t>
            </w:r>
          </w:p>
        </w:tc>
      </w:tr>
    </w:tbl>
    <w:p w:rsidR="00000000" w:rsidRDefault="00000000"/>
    <w:p w:rsidR="00000000" w:rsidRDefault="00000000">
      <w:r>
        <w:t>420.</w:t>
      </w:r>
      <w:r>
        <w:tab/>
        <w:t xml:space="preserve">Очевидно, что болезни сосудистой системы находятся на первом месте при 8 300 случаях на 100 000 человек, растет также уровень костно-мышечных заболеваний, за которыми следуют болезни пищеварительной системы и психические и поведенческие расстройства.  В 2001 году по сравнению с 2000 годом была отмечена тенденция к снижению уровня всех заболеваний, за исключением хронических болезней пищеварительной системы, уровень которых повышается.  </w:t>
      </w:r>
    </w:p>
    <w:p w:rsidR="00000000" w:rsidRDefault="00000000">
      <w:pPr>
        <w:rPr>
          <w:b/>
          <w:bCs/>
        </w:rPr>
      </w:pPr>
      <w:r>
        <w:rPr>
          <w:b/>
          <w:bCs/>
        </w:rPr>
        <w:t>Инфекционные заболевания</w:t>
      </w:r>
    </w:p>
    <w:p w:rsidR="00000000" w:rsidRDefault="00000000">
      <w:pPr>
        <w:rPr>
          <w:b/>
          <w:bCs/>
          <w:sz w:val="16"/>
        </w:rPr>
      </w:pPr>
    </w:p>
    <w:p w:rsidR="00000000" w:rsidRDefault="00000000">
      <w:pPr>
        <w:spacing w:line="264" w:lineRule="auto"/>
      </w:pPr>
      <w:r>
        <w:t>421.</w:t>
      </w:r>
      <w:r>
        <w:tab/>
        <w:t>Общее количество зарегистрированных инфекционных заболеваний в 2001 году составило 55 733, т.е. 2 415 случаев на 100 000 жителей.  В 2001 году наиболее частыми заболеваниями в Федерации Боснии и Герцеговины были грипп, энтероколиты, ветряная оспа, чесотка и стрептококковая ангина, на долю которых приходится 90% общего количества зарегистрированных инфекционных заболеваний.  В 1999 году были зарегистрированы 21 вспышка инфекционных заболеваний и 52 050 случаев, в 2000 году - 39 вспышек при 42 614 зарегистрированных случаев и в 2001 году - 31 вспышка и 36 572 случая (эти цифры включают случаи заболевания гриппом).</w:t>
      </w:r>
    </w:p>
    <w:p w:rsidR="00000000" w:rsidRDefault="00000000">
      <w:pPr>
        <w:rPr>
          <w:sz w:val="16"/>
        </w:rPr>
      </w:pPr>
    </w:p>
    <w:p w:rsidR="00000000" w:rsidRDefault="00000000">
      <w:pPr>
        <w:spacing w:line="264" w:lineRule="auto"/>
      </w:pPr>
      <w:r>
        <w:t>422.</w:t>
      </w:r>
      <w:r>
        <w:tab/>
        <w:t>Если проанализировать уровень инфекционных и паразитарных заболеваний в Федерации Боснии и Герцеговины за трехлетний период, то становится очевидным, что существующая тенденция является более менее постоянной, за исключением эпидемического паротита и вируса гепатита А.  Уровни этих двух заболеваний в 2000 и</w:t>
      </w:r>
      <w:r>
        <w:rPr>
          <w:lang w:val="en-US"/>
        </w:rPr>
        <w:t> </w:t>
      </w:r>
      <w:r>
        <w:t xml:space="preserve">2001 годах демонстрировали тенденцию к росту, и поэтому они рассматриваются как эпидемии.  </w:t>
      </w:r>
    </w:p>
    <w:p w:rsidR="00000000" w:rsidRDefault="00000000">
      <w:pPr>
        <w:rPr>
          <w:sz w:val="16"/>
        </w:rPr>
      </w:pPr>
    </w:p>
    <w:p w:rsidR="00000000" w:rsidRDefault="00000000">
      <w:pPr>
        <w:spacing w:line="264" w:lineRule="auto"/>
      </w:pPr>
      <w:r>
        <w:t>423.</w:t>
      </w:r>
      <w:r>
        <w:tab/>
        <w:t xml:space="preserve">В период 1996-2002 годов в Боснии и Герцеговине был зарегистрирован 51 человек, </w:t>
      </w:r>
      <w:r>
        <w:rPr>
          <w:spacing w:val="-4"/>
        </w:rPr>
        <w:t>зараженный СПИДом, и почти все из них умерли.  По оценкам, число ВИЧ-инфицированных</w:t>
      </w:r>
      <w:r>
        <w:t xml:space="preserve"> в Боснии и Герцеговине составляет приблизительно 350 человек.  С целью предотвращения и борьбы с ВИЧ/СПИДом Совет министров Боснии и Герцеговины создал консультационный комитет по борьбе с ВИЧ/СПИДом.  Принятие стратегии по борьбе с этими заболеваниями в Боснии и Герцеговине ожидается в 2004 году.  </w:t>
      </w:r>
    </w:p>
    <w:p w:rsidR="00000000" w:rsidRDefault="00000000">
      <w:pPr>
        <w:rPr>
          <w:sz w:val="16"/>
        </w:rPr>
      </w:pPr>
    </w:p>
    <w:p w:rsidR="00000000" w:rsidRDefault="00000000">
      <w:pPr>
        <w:jc w:val="center"/>
        <w:rPr>
          <w:b/>
          <w:bCs/>
        </w:rPr>
      </w:pPr>
      <w:r>
        <w:rPr>
          <w:b/>
          <w:bCs/>
        </w:rPr>
        <w:t>Таблица 11</w:t>
      </w:r>
    </w:p>
    <w:p w:rsidR="00000000" w:rsidRDefault="00000000">
      <w:pPr>
        <w:jc w:val="center"/>
        <w:rPr>
          <w:b/>
          <w:bCs/>
          <w:sz w:val="16"/>
        </w:rPr>
      </w:pPr>
    </w:p>
    <w:p w:rsidR="00000000" w:rsidRDefault="00000000">
      <w:pPr>
        <w:spacing w:line="216" w:lineRule="auto"/>
        <w:jc w:val="center"/>
        <w:rPr>
          <w:b/>
          <w:bCs/>
        </w:rPr>
      </w:pPr>
      <w:r>
        <w:rPr>
          <w:b/>
          <w:bCs/>
        </w:rPr>
        <w:t>Заболеваемость инфекционными болезнями в Федерации Боснии</w:t>
      </w:r>
    </w:p>
    <w:p w:rsidR="00000000" w:rsidRDefault="00000000">
      <w:pPr>
        <w:spacing w:line="216" w:lineRule="auto"/>
        <w:jc w:val="center"/>
        <w:rPr>
          <w:b/>
          <w:bCs/>
        </w:rPr>
      </w:pPr>
      <w:r>
        <w:rPr>
          <w:b/>
          <w:bCs/>
        </w:rPr>
        <w:t>и Герцеговины в 1999-2001 годах</w:t>
      </w:r>
    </w:p>
    <w:p w:rsidR="00000000" w:rsidRDefault="00000000">
      <w:pPr>
        <w:jc w:val="center"/>
        <w:rPr>
          <w:b/>
          <w:bCs/>
          <w:sz w:val="16"/>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26"/>
        <w:gridCol w:w="3314"/>
        <w:gridCol w:w="1874"/>
        <w:gridCol w:w="1875"/>
        <w:gridCol w:w="1872"/>
      </w:tblGrid>
      <w:tr w:rsidR="00000000">
        <w:tblPrEx>
          <w:tblCellMar>
            <w:top w:w="0" w:type="dxa"/>
            <w:bottom w:w="0" w:type="dxa"/>
          </w:tblCellMar>
        </w:tblPrEx>
        <w:trPr>
          <w:cantSplit/>
        </w:trPr>
        <w:tc>
          <w:tcPr>
            <w:tcW w:w="3740" w:type="dxa"/>
            <w:gridSpan w:val="2"/>
            <w:vMerge w:val="restart"/>
          </w:tcPr>
          <w:p w:rsidR="00000000" w:rsidRDefault="00000000">
            <w:pPr>
              <w:spacing w:line="216" w:lineRule="auto"/>
              <w:jc w:val="center"/>
              <w:rPr>
                <w:sz w:val="23"/>
              </w:rPr>
            </w:pPr>
            <w:r>
              <w:rPr>
                <w:sz w:val="23"/>
              </w:rPr>
              <w:t>Вид инфекционного заболевания</w:t>
            </w:r>
          </w:p>
        </w:tc>
        <w:tc>
          <w:tcPr>
            <w:tcW w:w="1874" w:type="dxa"/>
            <w:tcBorders>
              <w:bottom w:val="single" w:sz="4" w:space="0" w:color="auto"/>
            </w:tcBorders>
          </w:tcPr>
          <w:p w:rsidR="00000000" w:rsidRDefault="00000000">
            <w:pPr>
              <w:spacing w:line="216" w:lineRule="auto"/>
              <w:jc w:val="center"/>
              <w:rPr>
                <w:sz w:val="23"/>
              </w:rPr>
            </w:pPr>
            <w:r>
              <w:rPr>
                <w:sz w:val="23"/>
              </w:rPr>
              <w:t>1999 год</w:t>
            </w:r>
          </w:p>
        </w:tc>
        <w:tc>
          <w:tcPr>
            <w:tcW w:w="1875" w:type="dxa"/>
            <w:tcBorders>
              <w:bottom w:val="single" w:sz="4" w:space="0" w:color="auto"/>
            </w:tcBorders>
          </w:tcPr>
          <w:p w:rsidR="00000000" w:rsidRDefault="00000000">
            <w:pPr>
              <w:spacing w:line="216" w:lineRule="auto"/>
              <w:jc w:val="center"/>
              <w:rPr>
                <w:sz w:val="23"/>
              </w:rPr>
            </w:pPr>
            <w:r>
              <w:rPr>
                <w:sz w:val="23"/>
              </w:rPr>
              <w:t>2000 год</w:t>
            </w:r>
          </w:p>
        </w:tc>
        <w:tc>
          <w:tcPr>
            <w:tcW w:w="1869" w:type="dxa"/>
            <w:tcBorders>
              <w:bottom w:val="single" w:sz="4" w:space="0" w:color="auto"/>
            </w:tcBorders>
          </w:tcPr>
          <w:p w:rsidR="00000000" w:rsidRDefault="00000000">
            <w:pPr>
              <w:spacing w:line="216" w:lineRule="auto"/>
              <w:jc w:val="center"/>
              <w:rPr>
                <w:sz w:val="23"/>
              </w:rPr>
            </w:pPr>
            <w:r>
              <w:rPr>
                <w:sz w:val="23"/>
              </w:rPr>
              <w:t>2001 год</w:t>
            </w:r>
          </w:p>
        </w:tc>
      </w:tr>
      <w:tr w:rsidR="00000000">
        <w:tblPrEx>
          <w:tblCellMar>
            <w:top w:w="0" w:type="dxa"/>
            <w:bottom w:w="0" w:type="dxa"/>
          </w:tblCellMar>
        </w:tblPrEx>
        <w:trPr>
          <w:cantSplit/>
        </w:trPr>
        <w:tc>
          <w:tcPr>
            <w:tcW w:w="3740" w:type="dxa"/>
            <w:gridSpan w:val="2"/>
            <w:vMerge/>
            <w:tcBorders>
              <w:bottom w:val="single" w:sz="4" w:space="0" w:color="auto"/>
            </w:tcBorders>
          </w:tcPr>
          <w:p w:rsidR="00000000" w:rsidRDefault="00000000">
            <w:pPr>
              <w:spacing w:line="216" w:lineRule="auto"/>
              <w:rPr>
                <w:sz w:val="23"/>
              </w:rPr>
            </w:pPr>
          </w:p>
        </w:tc>
        <w:tc>
          <w:tcPr>
            <w:tcW w:w="1874" w:type="dxa"/>
            <w:tcBorders>
              <w:top w:val="single" w:sz="4" w:space="0" w:color="auto"/>
              <w:bottom w:val="single" w:sz="4" w:space="0" w:color="auto"/>
            </w:tcBorders>
          </w:tcPr>
          <w:p w:rsidR="00000000" w:rsidRDefault="00000000">
            <w:pPr>
              <w:spacing w:line="216" w:lineRule="auto"/>
              <w:jc w:val="center"/>
              <w:rPr>
                <w:sz w:val="23"/>
              </w:rPr>
            </w:pPr>
            <w:r>
              <w:rPr>
                <w:sz w:val="23"/>
              </w:rPr>
              <w:t>Количество заболеваний на 100 000 жителей</w:t>
            </w:r>
          </w:p>
        </w:tc>
        <w:tc>
          <w:tcPr>
            <w:tcW w:w="1872" w:type="dxa"/>
            <w:tcBorders>
              <w:top w:val="single" w:sz="4" w:space="0" w:color="auto"/>
              <w:bottom w:val="single" w:sz="4" w:space="0" w:color="auto"/>
            </w:tcBorders>
          </w:tcPr>
          <w:p w:rsidR="00000000" w:rsidRDefault="00000000">
            <w:pPr>
              <w:spacing w:line="216" w:lineRule="auto"/>
              <w:jc w:val="center"/>
              <w:rPr>
                <w:sz w:val="23"/>
              </w:rPr>
            </w:pPr>
            <w:r>
              <w:rPr>
                <w:sz w:val="23"/>
              </w:rPr>
              <w:t>Количество заболеваний на 100 000 жителей</w:t>
            </w:r>
          </w:p>
        </w:tc>
        <w:tc>
          <w:tcPr>
            <w:tcW w:w="1872" w:type="dxa"/>
            <w:tcBorders>
              <w:top w:val="single" w:sz="4" w:space="0" w:color="auto"/>
              <w:bottom w:val="single" w:sz="4" w:space="0" w:color="auto"/>
            </w:tcBorders>
          </w:tcPr>
          <w:p w:rsidR="00000000" w:rsidRDefault="00000000">
            <w:pPr>
              <w:spacing w:line="216" w:lineRule="auto"/>
              <w:jc w:val="center"/>
              <w:rPr>
                <w:sz w:val="23"/>
              </w:rPr>
            </w:pPr>
            <w:r>
              <w:rPr>
                <w:sz w:val="23"/>
              </w:rPr>
              <w:t>Количество заболеваний на 100 000 жителей</w:t>
            </w:r>
          </w:p>
        </w:tc>
      </w:tr>
      <w:tr w:rsidR="00000000">
        <w:tblPrEx>
          <w:tblCellMar>
            <w:top w:w="0" w:type="dxa"/>
            <w:bottom w:w="0" w:type="dxa"/>
          </w:tblCellMar>
        </w:tblPrEx>
        <w:trPr>
          <w:cantSplit/>
          <w:trHeight w:val="270"/>
        </w:trPr>
        <w:tc>
          <w:tcPr>
            <w:tcW w:w="426" w:type="dxa"/>
            <w:tcBorders>
              <w:top w:val="single" w:sz="4" w:space="0" w:color="auto"/>
              <w:bottom w:val="nil"/>
              <w:right w:val="nil"/>
            </w:tcBorders>
            <w:tcMar>
              <w:left w:w="28" w:type="dxa"/>
              <w:right w:w="28" w:type="dxa"/>
            </w:tcMar>
          </w:tcPr>
          <w:p w:rsidR="00000000" w:rsidRDefault="00000000">
            <w:pPr>
              <w:pStyle w:val="Header"/>
              <w:spacing w:line="216" w:lineRule="auto"/>
              <w:jc w:val="right"/>
              <w:rPr>
                <w:sz w:val="23"/>
              </w:rPr>
            </w:pPr>
            <w:r>
              <w:rPr>
                <w:sz w:val="23"/>
              </w:rPr>
              <w:t>1.</w:t>
            </w:r>
          </w:p>
        </w:tc>
        <w:tc>
          <w:tcPr>
            <w:tcW w:w="3314" w:type="dxa"/>
            <w:tcBorders>
              <w:top w:val="single" w:sz="4" w:space="0" w:color="auto"/>
              <w:left w:val="nil"/>
              <w:bottom w:val="nil"/>
            </w:tcBorders>
          </w:tcPr>
          <w:p w:rsidR="00000000" w:rsidRDefault="00000000">
            <w:pPr>
              <w:pStyle w:val="Header"/>
              <w:spacing w:line="216" w:lineRule="auto"/>
              <w:rPr>
                <w:sz w:val="23"/>
              </w:rPr>
            </w:pPr>
            <w:r>
              <w:rPr>
                <w:sz w:val="23"/>
              </w:rPr>
              <w:t>Грипп</w:t>
            </w:r>
          </w:p>
        </w:tc>
        <w:tc>
          <w:tcPr>
            <w:tcW w:w="1874" w:type="dxa"/>
            <w:tcBorders>
              <w:top w:val="single" w:sz="4" w:space="0" w:color="auto"/>
              <w:bottom w:val="nil"/>
            </w:tcBorders>
          </w:tcPr>
          <w:p w:rsidR="00000000" w:rsidRDefault="00000000">
            <w:pPr>
              <w:pStyle w:val="Header"/>
              <w:spacing w:line="216" w:lineRule="auto"/>
              <w:ind w:right="697"/>
              <w:jc w:val="right"/>
              <w:rPr>
                <w:sz w:val="23"/>
              </w:rPr>
            </w:pPr>
            <w:r>
              <w:rPr>
                <w:sz w:val="23"/>
              </w:rPr>
              <w:t>2 342</w:t>
            </w:r>
          </w:p>
        </w:tc>
        <w:tc>
          <w:tcPr>
            <w:tcW w:w="1872" w:type="dxa"/>
            <w:tcBorders>
              <w:top w:val="single" w:sz="4" w:space="0" w:color="auto"/>
              <w:bottom w:val="nil"/>
            </w:tcBorders>
          </w:tcPr>
          <w:p w:rsidR="00000000" w:rsidRDefault="00000000">
            <w:pPr>
              <w:pStyle w:val="Header"/>
              <w:spacing w:line="216" w:lineRule="auto"/>
              <w:ind w:right="578"/>
              <w:jc w:val="right"/>
              <w:rPr>
                <w:sz w:val="23"/>
              </w:rPr>
            </w:pPr>
            <w:r>
              <w:rPr>
                <w:sz w:val="23"/>
              </w:rPr>
              <w:t>1 719</w:t>
            </w:r>
          </w:p>
        </w:tc>
        <w:tc>
          <w:tcPr>
            <w:tcW w:w="1872" w:type="dxa"/>
            <w:tcBorders>
              <w:top w:val="single" w:sz="4" w:space="0" w:color="auto"/>
              <w:bottom w:val="nil"/>
            </w:tcBorders>
          </w:tcPr>
          <w:p w:rsidR="00000000" w:rsidRDefault="00000000">
            <w:pPr>
              <w:pStyle w:val="Header"/>
              <w:spacing w:line="216" w:lineRule="auto"/>
              <w:ind w:right="646"/>
              <w:jc w:val="right"/>
              <w:rPr>
                <w:sz w:val="23"/>
              </w:rPr>
            </w:pPr>
            <w:r>
              <w:rPr>
                <w:sz w:val="23"/>
              </w:rPr>
              <w:t>1 547</w:t>
            </w:r>
          </w:p>
        </w:tc>
      </w:tr>
      <w:tr w:rsidR="00000000">
        <w:tblPrEx>
          <w:tblCellMar>
            <w:top w:w="0" w:type="dxa"/>
            <w:bottom w:w="0" w:type="dxa"/>
          </w:tblCellMar>
        </w:tblPrEx>
        <w:trPr>
          <w:cantSplit/>
          <w:trHeight w:val="270"/>
        </w:trPr>
        <w:tc>
          <w:tcPr>
            <w:tcW w:w="426" w:type="dxa"/>
            <w:tcBorders>
              <w:top w:val="nil"/>
              <w:right w:val="nil"/>
            </w:tcBorders>
            <w:tcMar>
              <w:left w:w="28" w:type="dxa"/>
              <w:right w:w="28" w:type="dxa"/>
            </w:tcMar>
          </w:tcPr>
          <w:p w:rsidR="00000000" w:rsidRDefault="00000000">
            <w:pPr>
              <w:spacing w:line="216" w:lineRule="auto"/>
              <w:jc w:val="right"/>
              <w:rPr>
                <w:sz w:val="23"/>
              </w:rPr>
            </w:pPr>
            <w:r>
              <w:rPr>
                <w:sz w:val="23"/>
              </w:rPr>
              <w:t>2.</w:t>
            </w:r>
          </w:p>
        </w:tc>
        <w:tc>
          <w:tcPr>
            <w:tcW w:w="3314" w:type="dxa"/>
            <w:tcBorders>
              <w:top w:val="nil"/>
              <w:left w:val="nil"/>
            </w:tcBorders>
          </w:tcPr>
          <w:p w:rsidR="00000000" w:rsidRDefault="00000000">
            <w:pPr>
              <w:spacing w:line="216" w:lineRule="auto"/>
              <w:rPr>
                <w:sz w:val="23"/>
              </w:rPr>
            </w:pPr>
            <w:r>
              <w:rPr>
                <w:sz w:val="23"/>
              </w:rPr>
              <w:t>Энтероколит</w:t>
            </w:r>
          </w:p>
        </w:tc>
        <w:tc>
          <w:tcPr>
            <w:tcW w:w="1874" w:type="dxa"/>
            <w:tcBorders>
              <w:top w:val="nil"/>
            </w:tcBorders>
          </w:tcPr>
          <w:p w:rsidR="00000000" w:rsidRDefault="00000000">
            <w:pPr>
              <w:spacing w:line="216" w:lineRule="auto"/>
              <w:ind w:right="698"/>
              <w:jc w:val="right"/>
              <w:rPr>
                <w:sz w:val="23"/>
              </w:rPr>
            </w:pPr>
            <w:r>
              <w:rPr>
                <w:sz w:val="23"/>
              </w:rPr>
              <w:t>194</w:t>
            </w:r>
          </w:p>
        </w:tc>
        <w:tc>
          <w:tcPr>
            <w:tcW w:w="1872" w:type="dxa"/>
            <w:tcBorders>
              <w:top w:val="nil"/>
            </w:tcBorders>
          </w:tcPr>
          <w:p w:rsidR="00000000" w:rsidRDefault="00000000">
            <w:pPr>
              <w:pStyle w:val="Header"/>
              <w:spacing w:line="216" w:lineRule="auto"/>
              <w:ind w:right="578"/>
              <w:jc w:val="right"/>
              <w:rPr>
                <w:sz w:val="23"/>
              </w:rPr>
            </w:pPr>
            <w:r>
              <w:rPr>
                <w:sz w:val="23"/>
              </w:rPr>
              <w:t>162</w:t>
            </w:r>
          </w:p>
        </w:tc>
        <w:tc>
          <w:tcPr>
            <w:tcW w:w="1872" w:type="dxa"/>
            <w:tcBorders>
              <w:top w:val="nil"/>
            </w:tcBorders>
          </w:tcPr>
          <w:p w:rsidR="00000000" w:rsidRDefault="00000000">
            <w:pPr>
              <w:pStyle w:val="Header"/>
              <w:spacing w:line="216" w:lineRule="auto"/>
              <w:ind w:right="646"/>
              <w:jc w:val="right"/>
              <w:rPr>
                <w:sz w:val="23"/>
              </w:rPr>
            </w:pPr>
            <w:r>
              <w:rPr>
                <w:sz w:val="23"/>
              </w:rPr>
              <w:t>156</w:t>
            </w:r>
          </w:p>
        </w:tc>
      </w:tr>
      <w:tr w:rsidR="00000000">
        <w:tblPrEx>
          <w:tblCellMar>
            <w:top w:w="0" w:type="dxa"/>
            <w:bottom w:w="0" w:type="dxa"/>
          </w:tblCellMar>
        </w:tblPrEx>
        <w:trPr>
          <w:cantSplit/>
          <w:trHeight w:val="270"/>
        </w:trPr>
        <w:tc>
          <w:tcPr>
            <w:tcW w:w="426" w:type="dxa"/>
            <w:tcBorders>
              <w:right w:val="nil"/>
            </w:tcBorders>
            <w:tcMar>
              <w:left w:w="28" w:type="dxa"/>
              <w:right w:w="28" w:type="dxa"/>
            </w:tcMar>
          </w:tcPr>
          <w:p w:rsidR="00000000" w:rsidRDefault="00000000">
            <w:pPr>
              <w:spacing w:line="216" w:lineRule="auto"/>
              <w:jc w:val="right"/>
              <w:rPr>
                <w:sz w:val="23"/>
              </w:rPr>
            </w:pPr>
            <w:r>
              <w:rPr>
                <w:sz w:val="23"/>
              </w:rPr>
              <w:t>3.</w:t>
            </w:r>
          </w:p>
        </w:tc>
        <w:tc>
          <w:tcPr>
            <w:tcW w:w="3314" w:type="dxa"/>
            <w:tcBorders>
              <w:left w:val="nil"/>
            </w:tcBorders>
          </w:tcPr>
          <w:p w:rsidR="00000000" w:rsidRDefault="00000000">
            <w:pPr>
              <w:spacing w:line="216" w:lineRule="auto"/>
              <w:rPr>
                <w:sz w:val="23"/>
              </w:rPr>
            </w:pPr>
            <w:r>
              <w:rPr>
                <w:sz w:val="23"/>
              </w:rPr>
              <w:t>Ветряная оспа</w:t>
            </w:r>
          </w:p>
        </w:tc>
        <w:tc>
          <w:tcPr>
            <w:tcW w:w="1874" w:type="dxa"/>
          </w:tcPr>
          <w:p w:rsidR="00000000" w:rsidRDefault="00000000">
            <w:pPr>
              <w:spacing w:line="216" w:lineRule="auto"/>
              <w:ind w:right="698"/>
              <w:jc w:val="right"/>
              <w:rPr>
                <w:sz w:val="23"/>
              </w:rPr>
            </w:pPr>
            <w:r>
              <w:rPr>
                <w:sz w:val="23"/>
              </w:rPr>
              <w:t>176</w:t>
            </w:r>
          </w:p>
        </w:tc>
        <w:tc>
          <w:tcPr>
            <w:tcW w:w="1872" w:type="dxa"/>
          </w:tcPr>
          <w:p w:rsidR="00000000" w:rsidRDefault="00000000">
            <w:pPr>
              <w:pStyle w:val="Header"/>
              <w:spacing w:line="216" w:lineRule="auto"/>
              <w:ind w:right="578"/>
              <w:jc w:val="right"/>
              <w:rPr>
                <w:sz w:val="23"/>
              </w:rPr>
            </w:pPr>
            <w:r>
              <w:rPr>
                <w:sz w:val="23"/>
              </w:rPr>
              <w:t>188</w:t>
            </w:r>
          </w:p>
        </w:tc>
        <w:tc>
          <w:tcPr>
            <w:tcW w:w="1872" w:type="dxa"/>
          </w:tcPr>
          <w:p w:rsidR="00000000" w:rsidRDefault="00000000">
            <w:pPr>
              <w:pStyle w:val="Header"/>
              <w:spacing w:line="216" w:lineRule="auto"/>
              <w:ind w:right="646"/>
              <w:jc w:val="right"/>
              <w:rPr>
                <w:sz w:val="23"/>
              </w:rPr>
            </w:pPr>
            <w:r>
              <w:rPr>
                <w:sz w:val="23"/>
              </w:rPr>
              <w:t>179</w:t>
            </w:r>
          </w:p>
        </w:tc>
      </w:tr>
      <w:tr w:rsidR="00000000">
        <w:tblPrEx>
          <w:tblCellMar>
            <w:top w:w="0" w:type="dxa"/>
            <w:bottom w:w="0" w:type="dxa"/>
          </w:tblCellMar>
        </w:tblPrEx>
        <w:trPr>
          <w:cantSplit/>
          <w:trHeight w:val="270"/>
        </w:trPr>
        <w:tc>
          <w:tcPr>
            <w:tcW w:w="426" w:type="dxa"/>
            <w:tcBorders>
              <w:right w:val="nil"/>
            </w:tcBorders>
            <w:tcMar>
              <w:left w:w="28" w:type="dxa"/>
              <w:right w:w="28" w:type="dxa"/>
            </w:tcMar>
          </w:tcPr>
          <w:p w:rsidR="00000000" w:rsidRDefault="00000000">
            <w:pPr>
              <w:spacing w:line="216" w:lineRule="auto"/>
              <w:jc w:val="right"/>
              <w:rPr>
                <w:sz w:val="23"/>
              </w:rPr>
            </w:pPr>
            <w:r>
              <w:rPr>
                <w:sz w:val="23"/>
              </w:rPr>
              <w:t>4.</w:t>
            </w:r>
          </w:p>
        </w:tc>
        <w:tc>
          <w:tcPr>
            <w:tcW w:w="3314" w:type="dxa"/>
            <w:tcBorders>
              <w:left w:val="nil"/>
            </w:tcBorders>
          </w:tcPr>
          <w:p w:rsidR="00000000" w:rsidRDefault="00000000">
            <w:pPr>
              <w:spacing w:line="216" w:lineRule="auto"/>
              <w:rPr>
                <w:sz w:val="23"/>
              </w:rPr>
            </w:pPr>
            <w:r>
              <w:rPr>
                <w:sz w:val="23"/>
              </w:rPr>
              <w:t>Чесотка</w:t>
            </w:r>
          </w:p>
        </w:tc>
        <w:tc>
          <w:tcPr>
            <w:tcW w:w="1874" w:type="dxa"/>
          </w:tcPr>
          <w:p w:rsidR="00000000" w:rsidRDefault="00000000">
            <w:pPr>
              <w:spacing w:line="216" w:lineRule="auto"/>
              <w:ind w:right="698"/>
              <w:jc w:val="right"/>
              <w:rPr>
                <w:sz w:val="23"/>
              </w:rPr>
            </w:pPr>
            <w:r>
              <w:rPr>
                <w:sz w:val="23"/>
              </w:rPr>
              <w:t>158</w:t>
            </w:r>
          </w:p>
        </w:tc>
        <w:tc>
          <w:tcPr>
            <w:tcW w:w="1872" w:type="dxa"/>
          </w:tcPr>
          <w:p w:rsidR="00000000" w:rsidRDefault="00000000">
            <w:pPr>
              <w:pStyle w:val="Header"/>
              <w:spacing w:line="216" w:lineRule="auto"/>
              <w:ind w:right="578"/>
              <w:jc w:val="right"/>
              <w:rPr>
                <w:sz w:val="23"/>
              </w:rPr>
            </w:pPr>
            <w:r>
              <w:rPr>
                <w:sz w:val="23"/>
              </w:rPr>
              <w:t>97</w:t>
            </w:r>
          </w:p>
        </w:tc>
        <w:tc>
          <w:tcPr>
            <w:tcW w:w="1872" w:type="dxa"/>
          </w:tcPr>
          <w:p w:rsidR="00000000" w:rsidRDefault="00000000">
            <w:pPr>
              <w:pStyle w:val="Header"/>
              <w:spacing w:line="216" w:lineRule="auto"/>
              <w:ind w:right="646"/>
              <w:jc w:val="right"/>
              <w:rPr>
                <w:sz w:val="23"/>
              </w:rPr>
            </w:pPr>
            <w:r>
              <w:rPr>
                <w:sz w:val="23"/>
              </w:rPr>
              <w:t>81</w:t>
            </w:r>
          </w:p>
        </w:tc>
      </w:tr>
      <w:tr w:rsidR="00000000">
        <w:tblPrEx>
          <w:tblCellMar>
            <w:top w:w="0" w:type="dxa"/>
            <w:bottom w:w="0" w:type="dxa"/>
          </w:tblCellMar>
        </w:tblPrEx>
        <w:trPr>
          <w:cantSplit/>
          <w:trHeight w:val="270"/>
        </w:trPr>
        <w:tc>
          <w:tcPr>
            <w:tcW w:w="426" w:type="dxa"/>
            <w:tcBorders>
              <w:right w:val="nil"/>
            </w:tcBorders>
            <w:tcMar>
              <w:left w:w="28" w:type="dxa"/>
              <w:right w:w="28" w:type="dxa"/>
            </w:tcMar>
          </w:tcPr>
          <w:p w:rsidR="00000000" w:rsidRDefault="00000000">
            <w:pPr>
              <w:pStyle w:val="Header"/>
              <w:spacing w:line="216" w:lineRule="auto"/>
              <w:jc w:val="right"/>
              <w:rPr>
                <w:sz w:val="23"/>
              </w:rPr>
            </w:pPr>
            <w:r>
              <w:rPr>
                <w:sz w:val="23"/>
              </w:rPr>
              <w:t>5.</w:t>
            </w:r>
          </w:p>
        </w:tc>
        <w:tc>
          <w:tcPr>
            <w:tcW w:w="3314" w:type="dxa"/>
            <w:tcBorders>
              <w:left w:val="nil"/>
            </w:tcBorders>
          </w:tcPr>
          <w:p w:rsidR="00000000" w:rsidRDefault="00000000">
            <w:pPr>
              <w:pStyle w:val="Header"/>
              <w:spacing w:line="216" w:lineRule="auto"/>
              <w:rPr>
                <w:sz w:val="23"/>
              </w:rPr>
            </w:pPr>
            <w:r>
              <w:rPr>
                <w:sz w:val="23"/>
              </w:rPr>
              <w:t>Стрептококковая ангина</w:t>
            </w:r>
          </w:p>
        </w:tc>
        <w:tc>
          <w:tcPr>
            <w:tcW w:w="1874" w:type="dxa"/>
          </w:tcPr>
          <w:p w:rsidR="00000000" w:rsidRDefault="00000000">
            <w:pPr>
              <w:spacing w:line="216" w:lineRule="auto"/>
              <w:ind w:right="698"/>
              <w:jc w:val="right"/>
              <w:rPr>
                <w:sz w:val="23"/>
              </w:rPr>
            </w:pPr>
            <w:r>
              <w:rPr>
                <w:sz w:val="23"/>
              </w:rPr>
              <w:t>93</w:t>
            </w:r>
          </w:p>
        </w:tc>
        <w:tc>
          <w:tcPr>
            <w:tcW w:w="1872" w:type="dxa"/>
          </w:tcPr>
          <w:p w:rsidR="00000000" w:rsidRDefault="00000000">
            <w:pPr>
              <w:pStyle w:val="Header"/>
              <w:spacing w:line="216" w:lineRule="auto"/>
              <w:ind w:right="578"/>
              <w:jc w:val="right"/>
              <w:rPr>
                <w:sz w:val="23"/>
              </w:rPr>
            </w:pPr>
            <w:r>
              <w:rPr>
                <w:sz w:val="23"/>
              </w:rPr>
              <w:t>74</w:t>
            </w:r>
          </w:p>
        </w:tc>
        <w:tc>
          <w:tcPr>
            <w:tcW w:w="1872" w:type="dxa"/>
          </w:tcPr>
          <w:p w:rsidR="00000000" w:rsidRDefault="00000000">
            <w:pPr>
              <w:pStyle w:val="Header"/>
              <w:spacing w:line="216" w:lineRule="auto"/>
              <w:ind w:right="646"/>
              <w:jc w:val="right"/>
              <w:rPr>
                <w:sz w:val="23"/>
              </w:rPr>
            </w:pPr>
            <w:r>
              <w:rPr>
                <w:sz w:val="23"/>
              </w:rPr>
              <w:t>74</w:t>
            </w:r>
          </w:p>
        </w:tc>
      </w:tr>
      <w:tr w:rsidR="00000000">
        <w:tblPrEx>
          <w:tblCellMar>
            <w:top w:w="0" w:type="dxa"/>
            <w:bottom w:w="0" w:type="dxa"/>
          </w:tblCellMar>
        </w:tblPrEx>
        <w:trPr>
          <w:cantSplit/>
          <w:trHeight w:val="270"/>
        </w:trPr>
        <w:tc>
          <w:tcPr>
            <w:tcW w:w="426" w:type="dxa"/>
            <w:tcBorders>
              <w:right w:val="nil"/>
            </w:tcBorders>
            <w:tcMar>
              <w:left w:w="28" w:type="dxa"/>
              <w:right w:w="28" w:type="dxa"/>
            </w:tcMar>
          </w:tcPr>
          <w:p w:rsidR="00000000" w:rsidRDefault="00000000">
            <w:pPr>
              <w:pStyle w:val="Header"/>
              <w:spacing w:line="216" w:lineRule="auto"/>
              <w:jc w:val="right"/>
              <w:rPr>
                <w:sz w:val="23"/>
              </w:rPr>
            </w:pPr>
            <w:r>
              <w:rPr>
                <w:sz w:val="23"/>
              </w:rPr>
              <w:t>6.</w:t>
            </w:r>
          </w:p>
        </w:tc>
        <w:tc>
          <w:tcPr>
            <w:tcW w:w="3314" w:type="dxa"/>
            <w:tcBorders>
              <w:left w:val="nil"/>
            </w:tcBorders>
          </w:tcPr>
          <w:p w:rsidR="00000000" w:rsidRDefault="00000000">
            <w:pPr>
              <w:pStyle w:val="Header"/>
              <w:spacing w:line="216" w:lineRule="auto"/>
              <w:rPr>
                <w:sz w:val="23"/>
              </w:rPr>
            </w:pPr>
            <w:r>
              <w:rPr>
                <w:sz w:val="23"/>
              </w:rPr>
              <w:t>Пульмонарный туберкулез</w:t>
            </w:r>
          </w:p>
        </w:tc>
        <w:tc>
          <w:tcPr>
            <w:tcW w:w="1874" w:type="dxa"/>
          </w:tcPr>
          <w:p w:rsidR="00000000" w:rsidRDefault="00000000">
            <w:pPr>
              <w:spacing w:line="216" w:lineRule="auto"/>
              <w:ind w:right="698"/>
              <w:jc w:val="right"/>
              <w:rPr>
                <w:sz w:val="23"/>
              </w:rPr>
            </w:pPr>
            <w:r>
              <w:rPr>
                <w:sz w:val="23"/>
              </w:rPr>
              <w:t>78</w:t>
            </w:r>
          </w:p>
        </w:tc>
        <w:tc>
          <w:tcPr>
            <w:tcW w:w="1872" w:type="dxa"/>
          </w:tcPr>
          <w:p w:rsidR="00000000" w:rsidRDefault="00000000">
            <w:pPr>
              <w:pStyle w:val="Header"/>
              <w:spacing w:line="216" w:lineRule="auto"/>
              <w:ind w:right="578"/>
              <w:jc w:val="right"/>
              <w:rPr>
                <w:sz w:val="23"/>
              </w:rPr>
            </w:pPr>
            <w:r>
              <w:rPr>
                <w:sz w:val="23"/>
              </w:rPr>
              <w:t>68</w:t>
            </w:r>
          </w:p>
        </w:tc>
        <w:tc>
          <w:tcPr>
            <w:tcW w:w="1872" w:type="dxa"/>
          </w:tcPr>
          <w:p w:rsidR="00000000" w:rsidRDefault="00000000">
            <w:pPr>
              <w:pStyle w:val="Header"/>
              <w:spacing w:line="216" w:lineRule="auto"/>
              <w:ind w:right="646"/>
              <w:jc w:val="right"/>
              <w:rPr>
                <w:sz w:val="23"/>
              </w:rPr>
            </w:pPr>
            <w:r>
              <w:rPr>
                <w:sz w:val="23"/>
              </w:rPr>
              <w:t>69</w:t>
            </w:r>
          </w:p>
        </w:tc>
      </w:tr>
      <w:tr w:rsidR="00000000">
        <w:tblPrEx>
          <w:tblCellMar>
            <w:top w:w="0" w:type="dxa"/>
            <w:bottom w:w="0" w:type="dxa"/>
          </w:tblCellMar>
        </w:tblPrEx>
        <w:trPr>
          <w:cantSplit/>
          <w:trHeight w:val="270"/>
        </w:trPr>
        <w:tc>
          <w:tcPr>
            <w:tcW w:w="426" w:type="dxa"/>
            <w:tcBorders>
              <w:right w:val="nil"/>
            </w:tcBorders>
            <w:tcMar>
              <w:left w:w="28" w:type="dxa"/>
              <w:right w:w="28" w:type="dxa"/>
            </w:tcMar>
          </w:tcPr>
          <w:p w:rsidR="00000000" w:rsidRDefault="00000000">
            <w:pPr>
              <w:pStyle w:val="Header"/>
              <w:spacing w:line="216" w:lineRule="auto"/>
              <w:jc w:val="right"/>
              <w:rPr>
                <w:sz w:val="23"/>
              </w:rPr>
            </w:pPr>
            <w:r>
              <w:rPr>
                <w:sz w:val="23"/>
              </w:rPr>
              <w:t>7.</w:t>
            </w:r>
          </w:p>
        </w:tc>
        <w:tc>
          <w:tcPr>
            <w:tcW w:w="3314" w:type="dxa"/>
            <w:tcBorders>
              <w:left w:val="nil"/>
            </w:tcBorders>
          </w:tcPr>
          <w:p w:rsidR="00000000" w:rsidRDefault="00000000">
            <w:pPr>
              <w:pStyle w:val="Header"/>
              <w:spacing w:line="216" w:lineRule="auto"/>
              <w:rPr>
                <w:sz w:val="23"/>
              </w:rPr>
            </w:pPr>
            <w:r>
              <w:rPr>
                <w:sz w:val="23"/>
              </w:rPr>
              <w:t>Эпидемический паротит</w:t>
            </w:r>
          </w:p>
        </w:tc>
        <w:tc>
          <w:tcPr>
            <w:tcW w:w="1874" w:type="dxa"/>
          </w:tcPr>
          <w:p w:rsidR="00000000" w:rsidRDefault="00000000">
            <w:pPr>
              <w:pStyle w:val="Header"/>
              <w:spacing w:line="216" w:lineRule="auto"/>
              <w:ind w:right="698"/>
              <w:jc w:val="right"/>
              <w:rPr>
                <w:sz w:val="23"/>
              </w:rPr>
            </w:pPr>
            <w:r>
              <w:rPr>
                <w:sz w:val="23"/>
              </w:rPr>
              <w:t>51</w:t>
            </w:r>
          </w:p>
        </w:tc>
        <w:tc>
          <w:tcPr>
            <w:tcW w:w="1872" w:type="dxa"/>
          </w:tcPr>
          <w:p w:rsidR="00000000" w:rsidRDefault="00000000">
            <w:pPr>
              <w:pStyle w:val="Header"/>
              <w:spacing w:line="216" w:lineRule="auto"/>
              <w:ind w:right="578"/>
              <w:jc w:val="right"/>
              <w:rPr>
                <w:sz w:val="23"/>
              </w:rPr>
            </w:pPr>
            <w:r>
              <w:rPr>
                <w:sz w:val="23"/>
              </w:rPr>
              <w:t>153</w:t>
            </w:r>
          </w:p>
        </w:tc>
        <w:tc>
          <w:tcPr>
            <w:tcW w:w="1872" w:type="dxa"/>
          </w:tcPr>
          <w:p w:rsidR="00000000" w:rsidRDefault="00000000">
            <w:pPr>
              <w:pStyle w:val="Header"/>
              <w:spacing w:line="216" w:lineRule="auto"/>
              <w:ind w:right="646"/>
              <w:jc w:val="right"/>
              <w:rPr>
                <w:sz w:val="23"/>
              </w:rPr>
            </w:pPr>
            <w:r>
              <w:rPr>
                <w:sz w:val="23"/>
              </w:rPr>
              <w:t>131</w:t>
            </w:r>
          </w:p>
        </w:tc>
      </w:tr>
      <w:tr w:rsidR="00000000">
        <w:tblPrEx>
          <w:tblCellMar>
            <w:top w:w="0" w:type="dxa"/>
            <w:bottom w:w="0" w:type="dxa"/>
          </w:tblCellMar>
        </w:tblPrEx>
        <w:trPr>
          <w:cantSplit/>
          <w:trHeight w:val="270"/>
        </w:trPr>
        <w:tc>
          <w:tcPr>
            <w:tcW w:w="426" w:type="dxa"/>
            <w:tcBorders>
              <w:right w:val="nil"/>
            </w:tcBorders>
            <w:tcMar>
              <w:left w:w="28" w:type="dxa"/>
              <w:right w:w="28" w:type="dxa"/>
            </w:tcMar>
          </w:tcPr>
          <w:p w:rsidR="00000000" w:rsidRDefault="00000000">
            <w:pPr>
              <w:pStyle w:val="Header"/>
              <w:spacing w:line="216" w:lineRule="auto"/>
              <w:jc w:val="right"/>
              <w:rPr>
                <w:sz w:val="23"/>
              </w:rPr>
            </w:pPr>
            <w:r>
              <w:rPr>
                <w:sz w:val="23"/>
              </w:rPr>
              <w:t>8.</w:t>
            </w:r>
          </w:p>
        </w:tc>
        <w:tc>
          <w:tcPr>
            <w:tcW w:w="3314" w:type="dxa"/>
            <w:tcBorders>
              <w:left w:val="nil"/>
            </w:tcBorders>
          </w:tcPr>
          <w:p w:rsidR="00000000" w:rsidRDefault="00000000">
            <w:pPr>
              <w:pStyle w:val="Header"/>
              <w:spacing w:line="216" w:lineRule="auto"/>
              <w:rPr>
                <w:sz w:val="23"/>
              </w:rPr>
            </w:pPr>
            <w:r>
              <w:rPr>
                <w:sz w:val="23"/>
              </w:rPr>
              <w:t>Токсиинфекцио алиментарис</w:t>
            </w:r>
          </w:p>
        </w:tc>
        <w:tc>
          <w:tcPr>
            <w:tcW w:w="1874" w:type="dxa"/>
          </w:tcPr>
          <w:p w:rsidR="00000000" w:rsidRDefault="00000000">
            <w:pPr>
              <w:spacing w:line="216" w:lineRule="auto"/>
              <w:ind w:right="698"/>
              <w:jc w:val="right"/>
              <w:rPr>
                <w:sz w:val="23"/>
              </w:rPr>
            </w:pPr>
            <w:r>
              <w:rPr>
                <w:sz w:val="23"/>
              </w:rPr>
              <w:t>43</w:t>
            </w:r>
          </w:p>
        </w:tc>
        <w:tc>
          <w:tcPr>
            <w:tcW w:w="1872" w:type="dxa"/>
          </w:tcPr>
          <w:p w:rsidR="00000000" w:rsidRDefault="00000000">
            <w:pPr>
              <w:pStyle w:val="Header"/>
              <w:spacing w:line="216" w:lineRule="auto"/>
              <w:ind w:right="578"/>
              <w:jc w:val="right"/>
              <w:rPr>
                <w:sz w:val="23"/>
              </w:rPr>
            </w:pPr>
            <w:r>
              <w:rPr>
                <w:sz w:val="23"/>
              </w:rPr>
              <w:t>47</w:t>
            </w:r>
          </w:p>
        </w:tc>
        <w:tc>
          <w:tcPr>
            <w:tcW w:w="1872" w:type="dxa"/>
          </w:tcPr>
          <w:p w:rsidR="00000000" w:rsidRDefault="00000000">
            <w:pPr>
              <w:pStyle w:val="Header"/>
              <w:spacing w:line="216" w:lineRule="auto"/>
              <w:ind w:right="646"/>
              <w:jc w:val="right"/>
              <w:rPr>
                <w:sz w:val="23"/>
              </w:rPr>
            </w:pPr>
            <w:r>
              <w:rPr>
                <w:sz w:val="23"/>
              </w:rPr>
              <w:t>37</w:t>
            </w:r>
          </w:p>
        </w:tc>
      </w:tr>
      <w:tr w:rsidR="00000000">
        <w:tblPrEx>
          <w:tblCellMar>
            <w:top w:w="0" w:type="dxa"/>
            <w:bottom w:w="0" w:type="dxa"/>
          </w:tblCellMar>
        </w:tblPrEx>
        <w:trPr>
          <w:cantSplit/>
          <w:trHeight w:val="270"/>
        </w:trPr>
        <w:tc>
          <w:tcPr>
            <w:tcW w:w="426" w:type="dxa"/>
            <w:tcBorders>
              <w:right w:val="nil"/>
            </w:tcBorders>
            <w:tcMar>
              <w:left w:w="28" w:type="dxa"/>
              <w:right w:w="28" w:type="dxa"/>
            </w:tcMar>
          </w:tcPr>
          <w:p w:rsidR="00000000" w:rsidRDefault="00000000">
            <w:pPr>
              <w:pStyle w:val="Header"/>
              <w:spacing w:line="216" w:lineRule="auto"/>
              <w:jc w:val="right"/>
              <w:rPr>
                <w:sz w:val="23"/>
              </w:rPr>
            </w:pPr>
            <w:r>
              <w:rPr>
                <w:sz w:val="23"/>
              </w:rPr>
              <w:t>9.</w:t>
            </w:r>
          </w:p>
        </w:tc>
        <w:tc>
          <w:tcPr>
            <w:tcW w:w="3314" w:type="dxa"/>
            <w:tcBorders>
              <w:left w:val="nil"/>
            </w:tcBorders>
          </w:tcPr>
          <w:p w:rsidR="00000000" w:rsidRDefault="00000000">
            <w:pPr>
              <w:pStyle w:val="Header"/>
              <w:spacing w:line="216" w:lineRule="auto"/>
              <w:rPr>
                <w:sz w:val="23"/>
              </w:rPr>
            </w:pPr>
            <w:r>
              <w:rPr>
                <w:sz w:val="23"/>
              </w:rPr>
              <w:t>Скарлатина</w:t>
            </w:r>
          </w:p>
        </w:tc>
        <w:tc>
          <w:tcPr>
            <w:tcW w:w="1874" w:type="dxa"/>
          </w:tcPr>
          <w:p w:rsidR="00000000" w:rsidRDefault="00000000">
            <w:pPr>
              <w:spacing w:line="216" w:lineRule="auto"/>
              <w:ind w:right="698"/>
              <w:jc w:val="right"/>
              <w:rPr>
                <w:sz w:val="23"/>
              </w:rPr>
            </w:pPr>
            <w:r>
              <w:rPr>
                <w:sz w:val="23"/>
              </w:rPr>
              <w:t>19</w:t>
            </w:r>
          </w:p>
        </w:tc>
        <w:tc>
          <w:tcPr>
            <w:tcW w:w="1872" w:type="dxa"/>
          </w:tcPr>
          <w:p w:rsidR="00000000" w:rsidRDefault="00000000">
            <w:pPr>
              <w:pStyle w:val="Header"/>
              <w:spacing w:line="216" w:lineRule="auto"/>
              <w:ind w:right="578"/>
              <w:jc w:val="right"/>
              <w:rPr>
                <w:sz w:val="23"/>
              </w:rPr>
            </w:pPr>
            <w:r>
              <w:rPr>
                <w:sz w:val="23"/>
              </w:rPr>
              <w:t>18</w:t>
            </w:r>
          </w:p>
        </w:tc>
        <w:tc>
          <w:tcPr>
            <w:tcW w:w="1872" w:type="dxa"/>
          </w:tcPr>
          <w:p w:rsidR="00000000" w:rsidRDefault="00000000">
            <w:pPr>
              <w:pStyle w:val="Header"/>
              <w:spacing w:line="216" w:lineRule="auto"/>
              <w:ind w:right="646"/>
              <w:jc w:val="right"/>
              <w:rPr>
                <w:sz w:val="23"/>
              </w:rPr>
            </w:pPr>
            <w:r>
              <w:rPr>
                <w:sz w:val="23"/>
              </w:rPr>
              <w:t>22</w:t>
            </w:r>
          </w:p>
        </w:tc>
      </w:tr>
      <w:tr w:rsidR="00000000">
        <w:tblPrEx>
          <w:tblCellMar>
            <w:top w:w="0" w:type="dxa"/>
            <w:bottom w:w="0" w:type="dxa"/>
          </w:tblCellMar>
        </w:tblPrEx>
        <w:trPr>
          <w:cantSplit/>
          <w:trHeight w:val="270"/>
        </w:trPr>
        <w:tc>
          <w:tcPr>
            <w:tcW w:w="426" w:type="dxa"/>
            <w:tcBorders>
              <w:right w:val="nil"/>
            </w:tcBorders>
            <w:tcMar>
              <w:left w:w="28" w:type="dxa"/>
              <w:right w:w="28" w:type="dxa"/>
            </w:tcMar>
          </w:tcPr>
          <w:p w:rsidR="00000000" w:rsidRDefault="00000000">
            <w:pPr>
              <w:pStyle w:val="Header"/>
              <w:spacing w:line="216" w:lineRule="auto"/>
              <w:jc w:val="right"/>
              <w:rPr>
                <w:sz w:val="23"/>
              </w:rPr>
            </w:pPr>
            <w:r>
              <w:rPr>
                <w:sz w:val="23"/>
              </w:rPr>
              <w:t>10.</w:t>
            </w:r>
          </w:p>
        </w:tc>
        <w:tc>
          <w:tcPr>
            <w:tcW w:w="3314" w:type="dxa"/>
            <w:tcBorders>
              <w:left w:val="nil"/>
            </w:tcBorders>
          </w:tcPr>
          <w:p w:rsidR="00000000" w:rsidRDefault="00000000">
            <w:pPr>
              <w:pStyle w:val="Header"/>
              <w:spacing w:line="216" w:lineRule="auto"/>
              <w:rPr>
                <w:sz w:val="23"/>
              </w:rPr>
            </w:pPr>
            <w:r>
              <w:rPr>
                <w:sz w:val="23"/>
              </w:rPr>
              <w:t>Вирус гепатита А</w:t>
            </w:r>
          </w:p>
        </w:tc>
        <w:tc>
          <w:tcPr>
            <w:tcW w:w="1874" w:type="dxa"/>
          </w:tcPr>
          <w:p w:rsidR="00000000" w:rsidRDefault="00000000">
            <w:pPr>
              <w:spacing w:line="216" w:lineRule="auto"/>
              <w:ind w:right="698"/>
              <w:jc w:val="right"/>
              <w:rPr>
                <w:sz w:val="23"/>
              </w:rPr>
            </w:pPr>
            <w:r>
              <w:rPr>
                <w:sz w:val="23"/>
              </w:rPr>
              <w:t>19</w:t>
            </w:r>
          </w:p>
        </w:tc>
        <w:tc>
          <w:tcPr>
            <w:tcW w:w="1872" w:type="dxa"/>
          </w:tcPr>
          <w:p w:rsidR="00000000" w:rsidRDefault="00000000">
            <w:pPr>
              <w:pStyle w:val="Header"/>
              <w:spacing w:line="216" w:lineRule="auto"/>
              <w:ind w:right="578"/>
              <w:jc w:val="right"/>
              <w:rPr>
                <w:sz w:val="23"/>
              </w:rPr>
            </w:pPr>
            <w:r>
              <w:rPr>
                <w:sz w:val="23"/>
              </w:rPr>
              <w:t>69</w:t>
            </w:r>
          </w:p>
        </w:tc>
        <w:tc>
          <w:tcPr>
            <w:tcW w:w="1872" w:type="dxa"/>
          </w:tcPr>
          <w:p w:rsidR="00000000" w:rsidRDefault="00000000">
            <w:pPr>
              <w:pStyle w:val="Header"/>
              <w:spacing w:line="216" w:lineRule="auto"/>
              <w:ind w:right="646"/>
              <w:jc w:val="right"/>
              <w:rPr>
                <w:sz w:val="23"/>
              </w:rPr>
            </w:pPr>
            <w:r>
              <w:rPr>
                <w:sz w:val="23"/>
              </w:rPr>
              <w:t>32</w:t>
            </w:r>
          </w:p>
        </w:tc>
      </w:tr>
      <w:tr w:rsidR="00000000">
        <w:tblPrEx>
          <w:tblCellMar>
            <w:top w:w="0" w:type="dxa"/>
            <w:bottom w:w="0" w:type="dxa"/>
          </w:tblCellMar>
        </w:tblPrEx>
        <w:trPr>
          <w:cantSplit/>
        </w:trPr>
        <w:tc>
          <w:tcPr>
            <w:tcW w:w="426" w:type="dxa"/>
            <w:tcBorders>
              <w:bottom w:val="single" w:sz="4" w:space="0" w:color="auto"/>
              <w:right w:val="nil"/>
            </w:tcBorders>
            <w:tcMar>
              <w:left w:w="28" w:type="dxa"/>
              <w:right w:w="28" w:type="dxa"/>
            </w:tcMar>
          </w:tcPr>
          <w:p w:rsidR="00000000" w:rsidRDefault="00000000">
            <w:pPr>
              <w:pStyle w:val="Header"/>
              <w:spacing w:line="216" w:lineRule="auto"/>
              <w:jc w:val="right"/>
              <w:rPr>
                <w:sz w:val="23"/>
              </w:rPr>
            </w:pPr>
            <w:r>
              <w:rPr>
                <w:sz w:val="23"/>
              </w:rPr>
              <w:t>11.</w:t>
            </w:r>
          </w:p>
        </w:tc>
        <w:tc>
          <w:tcPr>
            <w:tcW w:w="3314" w:type="dxa"/>
            <w:tcBorders>
              <w:left w:val="nil"/>
              <w:bottom w:val="single" w:sz="4" w:space="0" w:color="auto"/>
            </w:tcBorders>
          </w:tcPr>
          <w:p w:rsidR="00000000" w:rsidRDefault="00000000">
            <w:pPr>
              <w:pStyle w:val="Header"/>
              <w:spacing w:line="216" w:lineRule="auto"/>
              <w:rPr>
                <w:sz w:val="23"/>
              </w:rPr>
            </w:pPr>
            <w:r>
              <w:rPr>
                <w:sz w:val="23"/>
              </w:rPr>
              <w:t>Прочие инфекционные заболевания</w:t>
            </w:r>
          </w:p>
        </w:tc>
        <w:tc>
          <w:tcPr>
            <w:tcW w:w="1874" w:type="dxa"/>
            <w:tcBorders>
              <w:bottom w:val="single" w:sz="4" w:space="0" w:color="auto"/>
            </w:tcBorders>
          </w:tcPr>
          <w:p w:rsidR="00000000" w:rsidRDefault="00000000">
            <w:pPr>
              <w:spacing w:line="216" w:lineRule="auto"/>
              <w:ind w:right="698"/>
              <w:jc w:val="right"/>
              <w:rPr>
                <w:sz w:val="23"/>
              </w:rPr>
            </w:pPr>
            <w:r>
              <w:rPr>
                <w:sz w:val="23"/>
              </w:rPr>
              <w:t>984</w:t>
            </w:r>
          </w:p>
        </w:tc>
        <w:tc>
          <w:tcPr>
            <w:tcW w:w="1872" w:type="dxa"/>
            <w:tcBorders>
              <w:bottom w:val="single" w:sz="4" w:space="0" w:color="auto"/>
            </w:tcBorders>
          </w:tcPr>
          <w:p w:rsidR="00000000" w:rsidRDefault="00000000">
            <w:pPr>
              <w:pStyle w:val="Header"/>
              <w:spacing w:line="216" w:lineRule="auto"/>
              <w:ind w:right="578"/>
              <w:jc w:val="right"/>
              <w:rPr>
                <w:sz w:val="23"/>
              </w:rPr>
            </w:pPr>
            <w:r>
              <w:rPr>
                <w:sz w:val="23"/>
              </w:rPr>
              <w:t>99</w:t>
            </w:r>
          </w:p>
        </w:tc>
        <w:tc>
          <w:tcPr>
            <w:tcW w:w="1872" w:type="dxa"/>
            <w:tcBorders>
              <w:bottom w:val="single" w:sz="4" w:space="0" w:color="auto"/>
            </w:tcBorders>
          </w:tcPr>
          <w:p w:rsidR="00000000" w:rsidRDefault="00000000">
            <w:pPr>
              <w:pStyle w:val="Header"/>
              <w:spacing w:line="216" w:lineRule="auto"/>
              <w:ind w:right="646"/>
              <w:jc w:val="right"/>
              <w:rPr>
                <w:sz w:val="23"/>
              </w:rPr>
            </w:pPr>
            <w:r>
              <w:rPr>
                <w:sz w:val="23"/>
              </w:rPr>
              <w:t>89</w:t>
            </w:r>
          </w:p>
        </w:tc>
      </w:tr>
      <w:tr w:rsidR="00000000">
        <w:tblPrEx>
          <w:tblCellMar>
            <w:top w:w="0" w:type="dxa"/>
            <w:bottom w:w="0" w:type="dxa"/>
          </w:tblCellMar>
        </w:tblPrEx>
        <w:trPr>
          <w:cantSplit/>
        </w:trPr>
        <w:tc>
          <w:tcPr>
            <w:tcW w:w="426" w:type="dxa"/>
            <w:tcBorders>
              <w:top w:val="single" w:sz="4" w:space="0" w:color="auto"/>
              <w:bottom w:val="single" w:sz="4" w:space="0" w:color="auto"/>
              <w:right w:val="nil"/>
            </w:tcBorders>
            <w:tcMar>
              <w:left w:w="28" w:type="dxa"/>
              <w:right w:w="28" w:type="dxa"/>
            </w:tcMar>
          </w:tcPr>
          <w:p w:rsidR="00000000" w:rsidRDefault="00000000">
            <w:pPr>
              <w:pStyle w:val="Header"/>
              <w:spacing w:line="216" w:lineRule="auto"/>
              <w:rPr>
                <w:sz w:val="23"/>
              </w:rPr>
            </w:pPr>
          </w:p>
        </w:tc>
        <w:tc>
          <w:tcPr>
            <w:tcW w:w="3314" w:type="dxa"/>
            <w:tcBorders>
              <w:top w:val="single" w:sz="4" w:space="0" w:color="auto"/>
              <w:left w:val="nil"/>
              <w:bottom w:val="single" w:sz="4" w:space="0" w:color="auto"/>
            </w:tcBorders>
          </w:tcPr>
          <w:p w:rsidR="00000000" w:rsidRDefault="00000000">
            <w:pPr>
              <w:pStyle w:val="Header"/>
              <w:spacing w:line="216" w:lineRule="auto"/>
              <w:rPr>
                <w:sz w:val="23"/>
              </w:rPr>
            </w:pPr>
            <w:r>
              <w:rPr>
                <w:sz w:val="23"/>
              </w:rPr>
              <w:t>Всего</w:t>
            </w:r>
          </w:p>
        </w:tc>
        <w:tc>
          <w:tcPr>
            <w:tcW w:w="1874" w:type="dxa"/>
            <w:tcBorders>
              <w:top w:val="single" w:sz="4" w:space="0" w:color="auto"/>
              <w:bottom w:val="single" w:sz="4" w:space="0" w:color="auto"/>
            </w:tcBorders>
          </w:tcPr>
          <w:p w:rsidR="00000000" w:rsidRDefault="00000000">
            <w:pPr>
              <w:spacing w:line="216" w:lineRule="auto"/>
              <w:ind w:right="698"/>
              <w:jc w:val="right"/>
              <w:rPr>
                <w:sz w:val="23"/>
              </w:rPr>
            </w:pPr>
            <w:r>
              <w:rPr>
                <w:sz w:val="23"/>
              </w:rPr>
              <w:t>3 274</w:t>
            </w:r>
          </w:p>
        </w:tc>
        <w:tc>
          <w:tcPr>
            <w:tcW w:w="1872" w:type="dxa"/>
            <w:tcBorders>
              <w:top w:val="single" w:sz="4" w:space="0" w:color="auto"/>
              <w:bottom w:val="single" w:sz="4" w:space="0" w:color="auto"/>
            </w:tcBorders>
          </w:tcPr>
          <w:p w:rsidR="00000000" w:rsidRDefault="00000000">
            <w:pPr>
              <w:pStyle w:val="Header"/>
              <w:spacing w:line="216" w:lineRule="auto"/>
              <w:ind w:right="578"/>
              <w:jc w:val="right"/>
              <w:rPr>
                <w:sz w:val="23"/>
              </w:rPr>
            </w:pPr>
            <w:r>
              <w:rPr>
                <w:sz w:val="23"/>
              </w:rPr>
              <w:t>2 695</w:t>
            </w:r>
          </w:p>
        </w:tc>
        <w:tc>
          <w:tcPr>
            <w:tcW w:w="1872" w:type="dxa"/>
            <w:tcBorders>
              <w:top w:val="single" w:sz="4" w:space="0" w:color="auto"/>
              <w:bottom w:val="single" w:sz="4" w:space="0" w:color="auto"/>
            </w:tcBorders>
          </w:tcPr>
          <w:p w:rsidR="00000000" w:rsidRDefault="00000000">
            <w:pPr>
              <w:pStyle w:val="Header"/>
              <w:spacing w:line="216" w:lineRule="auto"/>
              <w:ind w:right="646"/>
              <w:jc w:val="right"/>
              <w:rPr>
                <w:sz w:val="23"/>
              </w:rPr>
            </w:pPr>
            <w:r>
              <w:rPr>
                <w:sz w:val="23"/>
              </w:rPr>
              <w:t>2 415</w:t>
            </w:r>
          </w:p>
        </w:tc>
      </w:tr>
    </w:tbl>
    <w:p w:rsidR="00000000" w:rsidRDefault="00000000">
      <w:pPr>
        <w:pStyle w:val="Heading2"/>
        <w:jc w:val="center"/>
        <w:rPr>
          <w:b/>
          <w:bCs/>
          <w:u w:val="none"/>
        </w:rPr>
      </w:pPr>
      <w:r>
        <w:rPr>
          <w:b/>
          <w:bCs/>
          <w:u w:val="none"/>
        </w:rPr>
        <w:t>Таблица 12</w:t>
      </w:r>
    </w:p>
    <w:p w:rsidR="00000000" w:rsidRDefault="00000000">
      <w:pPr>
        <w:pStyle w:val="Heading2"/>
        <w:spacing w:line="240" w:lineRule="auto"/>
        <w:jc w:val="center"/>
        <w:rPr>
          <w:b/>
          <w:bCs/>
          <w:u w:val="none"/>
        </w:rPr>
      </w:pPr>
    </w:p>
    <w:p w:rsidR="00000000" w:rsidRDefault="00000000">
      <w:pPr>
        <w:pStyle w:val="Heading2"/>
        <w:spacing w:line="240" w:lineRule="auto"/>
        <w:jc w:val="center"/>
        <w:rPr>
          <w:b/>
          <w:bCs/>
          <w:u w:val="none"/>
        </w:rPr>
      </w:pPr>
      <w:r>
        <w:rPr>
          <w:b/>
          <w:bCs/>
          <w:u w:val="none"/>
        </w:rPr>
        <w:t>Охват иммунизацией БЦЖ в период 1991-2002 годов</w:t>
      </w:r>
    </w:p>
    <w:p w:rsidR="00000000" w:rsidRDefault="00000000">
      <w:pPr>
        <w:spacing w:line="240" w:lineRule="auto"/>
      </w:pPr>
    </w:p>
    <w:tbl>
      <w:tblPr>
        <w:tblW w:w="0" w:type="auto"/>
        <w:tblInd w:w="817" w:type="dxa"/>
        <w:tblBorders>
          <w:top w:val="single" w:sz="4" w:space="0" w:color="auto"/>
          <w:left w:val="single" w:sz="4" w:space="0" w:color="auto"/>
          <w:bottom w:val="single" w:sz="4" w:space="0" w:color="auto"/>
          <w:right w:val="single" w:sz="4" w:space="0" w:color="auto"/>
          <w:insideV w:val="single" w:sz="4" w:space="0" w:color="auto"/>
        </w:tblBorders>
        <w:tblCellMar>
          <w:top w:w="28" w:type="dxa"/>
          <w:bottom w:w="28" w:type="dxa"/>
        </w:tblCellMar>
        <w:tblLook w:val="0000" w:firstRow="0" w:lastRow="0" w:firstColumn="0" w:lastColumn="0" w:noHBand="0" w:noVBand="0"/>
      </w:tblPr>
      <w:tblGrid>
        <w:gridCol w:w="2931"/>
        <w:gridCol w:w="2421"/>
        <w:gridCol w:w="2161"/>
      </w:tblGrid>
      <w:tr w:rsidR="00000000">
        <w:tc>
          <w:tcPr>
            <w:tcW w:w="2931" w:type="dxa"/>
            <w:tcBorders>
              <w:bottom w:val="single" w:sz="4" w:space="0" w:color="auto"/>
            </w:tcBorders>
          </w:tcPr>
          <w:p w:rsidR="00000000" w:rsidRDefault="00000000">
            <w:pPr>
              <w:keepNext/>
              <w:spacing w:line="240" w:lineRule="auto"/>
              <w:jc w:val="center"/>
            </w:pPr>
            <w:r>
              <w:t>Иммунизация</w:t>
            </w:r>
          </w:p>
        </w:tc>
        <w:tc>
          <w:tcPr>
            <w:tcW w:w="2421" w:type="dxa"/>
            <w:tcBorders>
              <w:bottom w:val="single" w:sz="4" w:space="0" w:color="auto"/>
            </w:tcBorders>
          </w:tcPr>
          <w:p w:rsidR="00000000" w:rsidRDefault="00000000">
            <w:pPr>
              <w:keepNext/>
              <w:spacing w:line="240" w:lineRule="auto"/>
              <w:jc w:val="center"/>
            </w:pPr>
            <w:r>
              <w:t>Год</w:t>
            </w:r>
          </w:p>
        </w:tc>
        <w:tc>
          <w:tcPr>
            <w:tcW w:w="2161" w:type="dxa"/>
            <w:tcBorders>
              <w:bottom w:val="single" w:sz="4" w:space="0" w:color="auto"/>
            </w:tcBorders>
          </w:tcPr>
          <w:p w:rsidR="00000000" w:rsidRDefault="00000000">
            <w:pPr>
              <w:keepNext/>
              <w:tabs>
                <w:tab w:val="clear" w:pos="567"/>
                <w:tab w:val="clear" w:pos="1134"/>
                <w:tab w:val="clear" w:pos="1701"/>
                <w:tab w:val="clear" w:pos="2268"/>
                <w:tab w:val="clear" w:pos="6237"/>
              </w:tabs>
              <w:spacing w:line="240" w:lineRule="auto"/>
              <w:jc w:val="center"/>
            </w:pPr>
            <w:r>
              <w:t>БЦЖ (в %)</w:t>
            </w:r>
          </w:p>
        </w:tc>
      </w:tr>
      <w:tr w:rsidR="00000000">
        <w:tc>
          <w:tcPr>
            <w:tcW w:w="2931" w:type="dxa"/>
            <w:tcBorders>
              <w:top w:val="single" w:sz="4" w:space="0" w:color="auto"/>
              <w:bottom w:val="nil"/>
            </w:tcBorders>
          </w:tcPr>
          <w:p w:rsidR="00000000" w:rsidRDefault="00000000">
            <w:pPr>
              <w:spacing w:line="240" w:lineRule="auto"/>
            </w:pPr>
            <w:r>
              <w:t>Вакцинация</w:t>
            </w:r>
          </w:p>
        </w:tc>
        <w:tc>
          <w:tcPr>
            <w:tcW w:w="2421" w:type="dxa"/>
            <w:tcBorders>
              <w:top w:val="single" w:sz="4" w:space="0" w:color="auto"/>
              <w:bottom w:val="nil"/>
            </w:tcBorders>
          </w:tcPr>
          <w:p w:rsidR="00000000" w:rsidRDefault="00000000">
            <w:pPr>
              <w:pStyle w:val="Header"/>
              <w:jc w:val="center"/>
            </w:pPr>
            <w:r>
              <w:t>1991</w:t>
            </w:r>
          </w:p>
        </w:tc>
        <w:tc>
          <w:tcPr>
            <w:tcW w:w="2161" w:type="dxa"/>
            <w:tcBorders>
              <w:top w:val="single" w:sz="4" w:space="0" w:color="auto"/>
              <w:bottom w:val="nil"/>
            </w:tcBorders>
            <w:vAlign w:val="center"/>
          </w:tcPr>
          <w:p w:rsidR="00000000" w:rsidRDefault="00000000">
            <w:pPr>
              <w:pStyle w:val="Header"/>
              <w:ind w:left="720"/>
            </w:pPr>
            <w:r>
              <w:t>94</w:t>
            </w:r>
          </w:p>
        </w:tc>
      </w:tr>
      <w:tr w:rsidR="00000000">
        <w:tc>
          <w:tcPr>
            <w:tcW w:w="2931" w:type="dxa"/>
            <w:tcBorders>
              <w:top w:val="nil"/>
            </w:tcBorders>
          </w:tcPr>
          <w:p w:rsidR="00000000" w:rsidRDefault="00000000">
            <w:pPr>
              <w:spacing w:line="240" w:lineRule="auto"/>
            </w:pPr>
          </w:p>
        </w:tc>
        <w:tc>
          <w:tcPr>
            <w:tcW w:w="2421" w:type="dxa"/>
            <w:tcBorders>
              <w:top w:val="nil"/>
            </w:tcBorders>
          </w:tcPr>
          <w:p w:rsidR="00000000" w:rsidRDefault="00000000">
            <w:pPr>
              <w:spacing w:line="240" w:lineRule="auto"/>
              <w:jc w:val="center"/>
            </w:pPr>
            <w:r>
              <w:t>1999</w:t>
            </w:r>
          </w:p>
        </w:tc>
        <w:tc>
          <w:tcPr>
            <w:tcW w:w="2161" w:type="dxa"/>
            <w:tcBorders>
              <w:top w:val="nil"/>
            </w:tcBorders>
            <w:vAlign w:val="center"/>
          </w:tcPr>
          <w:p w:rsidR="00000000" w:rsidRDefault="00000000">
            <w:pPr>
              <w:pStyle w:val="Header"/>
              <w:ind w:left="720"/>
            </w:pPr>
            <w:r>
              <w:t>94,78</w:t>
            </w:r>
          </w:p>
        </w:tc>
      </w:tr>
      <w:tr w:rsidR="00000000">
        <w:tc>
          <w:tcPr>
            <w:tcW w:w="2931" w:type="dxa"/>
          </w:tcPr>
          <w:p w:rsidR="00000000" w:rsidRDefault="00000000">
            <w:pPr>
              <w:spacing w:line="240" w:lineRule="auto"/>
            </w:pPr>
          </w:p>
        </w:tc>
        <w:tc>
          <w:tcPr>
            <w:tcW w:w="2421" w:type="dxa"/>
          </w:tcPr>
          <w:p w:rsidR="00000000" w:rsidRDefault="00000000">
            <w:pPr>
              <w:spacing w:line="240" w:lineRule="auto"/>
              <w:jc w:val="center"/>
            </w:pPr>
            <w:r>
              <w:t>2000</w:t>
            </w:r>
          </w:p>
        </w:tc>
        <w:tc>
          <w:tcPr>
            <w:tcW w:w="2161" w:type="dxa"/>
            <w:vAlign w:val="center"/>
          </w:tcPr>
          <w:p w:rsidR="00000000" w:rsidRDefault="00000000">
            <w:pPr>
              <w:pStyle w:val="Header"/>
              <w:ind w:left="720"/>
            </w:pPr>
            <w:r>
              <w:t>89,68</w:t>
            </w:r>
          </w:p>
        </w:tc>
      </w:tr>
      <w:tr w:rsidR="00000000">
        <w:tc>
          <w:tcPr>
            <w:tcW w:w="2931" w:type="dxa"/>
          </w:tcPr>
          <w:p w:rsidR="00000000" w:rsidRDefault="00000000">
            <w:pPr>
              <w:spacing w:line="240" w:lineRule="auto"/>
            </w:pPr>
          </w:p>
        </w:tc>
        <w:tc>
          <w:tcPr>
            <w:tcW w:w="2421" w:type="dxa"/>
          </w:tcPr>
          <w:p w:rsidR="00000000" w:rsidRDefault="00000000">
            <w:pPr>
              <w:spacing w:line="240" w:lineRule="auto"/>
              <w:jc w:val="center"/>
            </w:pPr>
            <w:r>
              <w:t>2001</w:t>
            </w:r>
          </w:p>
        </w:tc>
        <w:tc>
          <w:tcPr>
            <w:tcW w:w="2161" w:type="dxa"/>
            <w:vAlign w:val="center"/>
          </w:tcPr>
          <w:p w:rsidR="00000000" w:rsidRDefault="00000000">
            <w:pPr>
              <w:pStyle w:val="Header"/>
              <w:ind w:left="720"/>
            </w:pPr>
            <w:r>
              <w:t>92,50</w:t>
            </w:r>
          </w:p>
        </w:tc>
      </w:tr>
      <w:tr w:rsidR="00000000">
        <w:tc>
          <w:tcPr>
            <w:tcW w:w="2931" w:type="dxa"/>
            <w:tcBorders>
              <w:bottom w:val="single" w:sz="4" w:space="0" w:color="auto"/>
            </w:tcBorders>
          </w:tcPr>
          <w:p w:rsidR="00000000" w:rsidRDefault="00000000">
            <w:pPr>
              <w:spacing w:line="240" w:lineRule="auto"/>
            </w:pPr>
          </w:p>
        </w:tc>
        <w:tc>
          <w:tcPr>
            <w:tcW w:w="2421" w:type="dxa"/>
            <w:tcBorders>
              <w:bottom w:val="single" w:sz="4" w:space="0" w:color="auto"/>
            </w:tcBorders>
          </w:tcPr>
          <w:p w:rsidR="00000000" w:rsidRDefault="00000000">
            <w:pPr>
              <w:spacing w:line="240" w:lineRule="auto"/>
              <w:jc w:val="center"/>
            </w:pPr>
            <w:r>
              <w:t>2002</w:t>
            </w:r>
          </w:p>
        </w:tc>
        <w:tc>
          <w:tcPr>
            <w:tcW w:w="2161" w:type="dxa"/>
            <w:tcBorders>
              <w:bottom w:val="single" w:sz="4" w:space="0" w:color="auto"/>
            </w:tcBorders>
            <w:vAlign w:val="center"/>
          </w:tcPr>
          <w:p w:rsidR="00000000" w:rsidRDefault="00000000">
            <w:pPr>
              <w:pStyle w:val="Header"/>
              <w:ind w:left="720"/>
            </w:pPr>
            <w:r>
              <w:t>91,9</w:t>
            </w:r>
          </w:p>
        </w:tc>
      </w:tr>
      <w:tr w:rsidR="00000000">
        <w:trPr>
          <w:cantSplit/>
        </w:trPr>
        <w:tc>
          <w:tcPr>
            <w:tcW w:w="2931" w:type="dxa"/>
            <w:vMerge w:val="restart"/>
            <w:tcBorders>
              <w:top w:val="single" w:sz="4" w:space="0" w:color="auto"/>
            </w:tcBorders>
          </w:tcPr>
          <w:p w:rsidR="00000000" w:rsidRDefault="00000000">
            <w:pPr>
              <w:spacing w:line="240" w:lineRule="auto"/>
            </w:pPr>
            <w:r>
              <w:t>Повторная вакцинация</w:t>
            </w:r>
          </w:p>
        </w:tc>
        <w:tc>
          <w:tcPr>
            <w:tcW w:w="2421" w:type="dxa"/>
            <w:tcBorders>
              <w:top w:val="single" w:sz="4" w:space="0" w:color="auto"/>
              <w:bottom w:val="nil"/>
            </w:tcBorders>
          </w:tcPr>
          <w:p w:rsidR="00000000" w:rsidRDefault="00000000">
            <w:pPr>
              <w:spacing w:line="240" w:lineRule="auto"/>
              <w:jc w:val="center"/>
            </w:pPr>
            <w:r>
              <w:t>1991</w:t>
            </w:r>
          </w:p>
        </w:tc>
        <w:tc>
          <w:tcPr>
            <w:tcW w:w="2161" w:type="dxa"/>
            <w:tcBorders>
              <w:top w:val="single" w:sz="4" w:space="0" w:color="auto"/>
              <w:bottom w:val="nil"/>
            </w:tcBorders>
          </w:tcPr>
          <w:p w:rsidR="00000000" w:rsidRDefault="00000000">
            <w:pPr>
              <w:pStyle w:val="Header"/>
              <w:ind w:left="720"/>
            </w:pPr>
            <w:r>
              <w:t>92</w:t>
            </w:r>
          </w:p>
        </w:tc>
      </w:tr>
      <w:tr w:rsidR="00000000">
        <w:trPr>
          <w:cantSplit/>
        </w:trPr>
        <w:tc>
          <w:tcPr>
            <w:tcW w:w="2931" w:type="dxa"/>
            <w:vMerge/>
          </w:tcPr>
          <w:p w:rsidR="00000000" w:rsidRDefault="00000000">
            <w:pPr>
              <w:spacing w:line="240" w:lineRule="auto"/>
            </w:pPr>
          </w:p>
        </w:tc>
        <w:tc>
          <w:tcPr>
            <w:tcW w:w="2421" w:type="dxa"/>
            <w:tcBorders>
              <w:top w:val="nil"/>
            </w:tcBorders>
          </w:tcPr>
          <w:p w:rsidR="00000000" w:rsidRDefault="00000000">
            <w:pPr>
              <w:spacing w:line="240" w:lineRule="auto"/>
              <w:jc w:val="center"/>
            </w:pPr>
            <w:r>
              <w:t>1999</w:t>
            </w:r>
          </w:p>
        </w:tc>
        <w:tc>
          <w:tcPr>
            <w:tcW w:w="2161" w:type="dxa"/>
            <w:tcBorders>
              <w:top w:val="nil"/>
            </w:tcBorders>
          </w:tcPr>
          <w:p w:rsidR="00000000" w:rsidRDefault="00000000">
            <w:pPr>
              <w:pStyle w:val="Header"/>
              <w:jc w:val="center"/>
            </w:pPr>
            <w:r>
              <w:t>не проводилась</w:t>
            </w:r>
          </w:p>
        </w:tc>
      </w:tr>
      <w:tr w:rsidR="00000000">
        <w:tc>
          <w:tcPr>
            <w:tcW w:w="2931" w:type="dxa"/>
          </w:tcPr>
          <w:p w:rsidR="00000000" w:rsidRDefault="00000000">
            <w:pPr>
              <w:spacing w:line="240" w:lineRule="auto"/>
            </w:pPr>
          </w:p>
        </w:tc>
        <w:tc>
          <w:tcPr>
            <w:tcW w:w="2421" w:type="dxa"/>
          </w:tcPr>
          <w:p w:rsidR="00000000" w:rsidRDefault="00000000">
            <w:pPr>
              <w:spacing w:line="240" w:lineRule="auto"/>
              <w:jc w:val="center"/>
            </w:pPr>
            <w:r>
              <w:t>2000</w:t>
            </w:r>
          </w:p>
        </w:tc>
        <w:tc>
          <w:tcPr>
            <w:tcW w:w="2161" w:type="dxa"/>
          </w:tcPr>
          <w:p w:rsidR="00000000" w:rsidRDefault="00000000">
            <w:pPr>
              <w:pStyle w:val="Header"/>
              <w:jc w:val="center"/>
            </w:pPr>
            <w:r>
              <w:t>не проводилась</w:t>
            </w:r>
          </w:p>
        </w:tc>
      </w:tr>
      <w:tr w:rsidR="00000000">
        <w:tc>
          <w:tcPr>
            <w:tcW w:w="2931" w:type="dxa"/>
          </w:tcPr>
          <w:p w:rsidR="00000000" w:rsidRDefault="00000000">
            <w:pPr>
              <w:spacing w:line="240" w:lineRule="auto"/>
            </w:pPr>
          </w:p>
        </w:tc>
        <w:tc>
          <w:tcPr>
            <w:tcW w:w="2421" w:type="dxa"/>
          </w:tcPr>
          <w:p w:rsidR="00000000" w:rsidRDefault="00000000">
            <w:pPr>
              <w:spacing w:line="240" w:lineRule="auto"/>
              <w:jc w:val="center"/>
            </w:pPr>
            <w:r>
              <w:t>2001</w:t>
            </w:r>
          </w:p>
        </w:tc>
        <w:tc>
          <w:tcPr>
            <w:tcW w:w="2161" w:type="dxa"/>
          </w:tcPr>
          <w:p w:rsidR="00000000" w:rsidRDefault="00000000">
            <w:pPr>
              <w:pStyle w:val="Header"/>
              <w:jc w:val="center"/>
            </w:pPr>
            <w:r>
              <w:t>не проводилась</w:t>
            </w:r>
          </w:p>
        </w:tc>
      </w:tr>
      <w:tr w:rsidR="00000000">
        <w:tc>
          <w:tcPr>
            <w:tcW w:w="2931" w:type="dxa"/>
          </w:tcPr>
          <w:p w:rsidR="00000000" w:rsidRDefault="00000000">
            <w:pPr>
              <w:spacing w:line="240" w:lineRule="auto"/>
            </w:pPr>
          </w:p>
        </w:tc>
        <w:tc>
          <w:tcPr>
            <w:tcW w:w="2421" w:type="dxa"/>
          </w:tcPr>
          <w:p w:rsidR="00000000" w:rsidRDefault="00000000">
            <w:pPr>
              <w:spacing w:line="240" w:lineRule="auto"/>
              <w:jc w:val="center"/>
            </w:pPr>
            <w:r>
              <w:t>2002</w:t>
            </w:r>
          </w:p>
        </w:tc>
        <w:tc>
          <w:tcPr>
            <w:tcW w:w="2161" w:type="dxa"/>
          </w:tcPr>
          <w:p w:rsidR="00000000" w:rsidRDefault="00000000">
            <w:pPr>
              <w:pStyle w:val="Header"/>
              <w:jc w:val="center"/>
            </w:pPr>
            <w:r>
              <w:t>не проводилась</w:t>
            </w:r>
          </w:p>
        </w:tc>
      </w:tr>
    </w:tbl>
    <w:p w:rsidR="00000000" w:rsidRDefault="00000000"/>
    <w:p w:rsidR="00000000" w:rsidRDefault="00000000">
      <w:r>
        <w:tab/>
      </w:r>
      <w:r>
        <w:rPr>
          <w:i/>
          <w:iCs/>
        </w:rPr>
        <w:t>Источник</w:t>
      </w:r>
      <w:r>
        <w:t>:  Федеральное управление здравоохранения.</w:t>
      </w:r>
    </w:p>
    <w:p w:rsidR="00000000" w:rsidRDefault="00000000"/>
    <w:p w:rsidR="00000000" w:rsidRDefault="00000000">
      <w:r>
        <w:t>424.</w:t>
      </w:r>
      <w:r>
        <w:tab/>
        <w:t>Действующий закон об инфекционных заболеваниях был унаследован от Республики Боснии и Герцеговины.  Новый проект закона об инфекционных заболеваниях находится в стадии рассмотрения.</w:t>
      </w:r>
    </w:p>
    <w:p w:rsidR="00000000" w:rsidRDefault="00000000"/>
    <w:p w:rsidR="00000000" w:rsidRDefault="00000000">
      <w:r>
        <w:t>425.</w:t>
      </w:r>
      <w:r>
        <w:tab/>
        <w:t>Одним из следствий войны является зарегистрированный высокий уровень ампутаций, повреждений позвоночника и костного мозга, черепно-мозговых травм, повреждений периферической нервной системы и множественных травм.  Необходимо отметить, что бóльшая часть этого бремени легла на молодежь и наиболее производительные группы населения.  В настоящее время в Федерации Боснии и Герцеговины действуют 38 реабилитационных центров, созданных в рамках проекта федерального министерства здравоохранения под названием "Реабилитация жертв войны".  Однако следует отметить, что подобные учреждения не представлены одинаково в различных частях страны, а в некоторых районах они полностью отсутствуют.</w:t>
      </w:r>
    </w:p>
    <w:p w:rsidR="00000000" w:rsidRDefault="00000000"/>
    <w:p w:rsidR="00000000" w:rsidRDefault="00000000">
      <w:pPr>
        <w:keepNext/>
      </w:pPr>
      <w:r>
        <w:rPr>
          <w:b/>
          <w:bCs/>
        </w:rPr>
        <w:t>Иммунизация против дифтерии, столбняка и коклюша</w:t>
      </w:r>
    </w:p>
    <w:p w:rsidR="00000000" w:rsidRDefault="00000000">
      <w:pPr>
        <w:keepNext/>
      </w:pPr>
    </w:p>
    <w:p w:rsidR="00000000" w:rsidRDefault="00000000">
      <w:r>
        <w:t>426.</w:t>
      </w:r>
      <w:r>
        <w:tab/>
        <w:t>В 2000 году средняя доля иммунизированных против дифтерии, столбняка и коклюша в Федерации Боснии и Герцеговины составляла 73,9%, что значительно ниже доли иммунизированных в 2001 году, равной 91,7%.  Наиболее широкий охват был зарегистрирован в кантоне Ливно при 89,8% иммунизированных, а наименьший </w:t>
      </w:r>
      <w:r>
        <w:noBreakHyphen/>
        <w:t xml:space="preserve"> в кантоне Сараево, где доля иммунизированных составила 59,7%.</w:t>
      </w:r>
    </w:p>
    <w:p w:rsidR="00000000" w:rsidRDefault="00000000"/>
    <w:p w:rsidR="00000000" w:rsidRDefault="00000000">
      <w:r>
        <w:t>427.</w:t>
      </w:r>
      <w:r>
        <w:tab/>
        <w:t>Низкий процент иммунизированных детей стал следствием кризиса, возникшего после случая с одним ребенком из Сараево, который был заражен энцефалитом после введения живой вакцины австралийского происхождения, полученной от ЮНИСЕФ.  После тестов, проведенных в Соединенных Штатах Америки, было подтверждено, что эта вакцина привела в действие механизм последовавших генетических изменений.</w:t>
      </w:r>
    </w:p>
    <w:p w:rsidR="00000000" w:rsidRDefault="00000000"/>
    <w:p w:rsidR="00000000" w:rsidRDefault="00000000">
      <w:pPr>
        <w:keepNext/>
      </w:pPr>
      <w:r>
        <w:rPr>
          <w:b/>
          <w:bCs/>
        </w:rPr>
        <w:t>Иммунизация против детского паралича</w:t>
      </w:r>
    </w:p>
    <w:p w:rsidR="00000000" w:rsidRDefault="00000000">
      <w:pPr>
        <w:keepNext/>
      </w:pPr>
    </w:p>
    <w:p w:rsidR="00000000" w:rsidRDefault="00000000">
      <w:r>
        <w:t>428.</w:t>
      </w:r>
      <w:r>
        <w:tab/>
        <w:t>В 2002 году средняя доля людей, иммунизированных с помощью пероральной противополиомиелитной вакцины, во всех кантонах Федерации Боснии и Герцеговины составляла 81,8%, что значительно ниже уровня в 92,3% в 2001 году.  Наиболее широкий охват иммунизацией имел место в кантоне Уна-Сана и составлял 94,0%, а наиболее низкий </w:t>
      </w:r>
      <w:r>
        <w:noBreakHyphen/>
        <w:t xml:space="preserve"> в кантоне Сараево при уровне в 61,9%.</w:t>
      </w:r>
    </w:p>
    <w:p w:rsidR="00000000" w:rsidRDefault="00000000"/>
    <w:p w:rsidR="00000000" w:rsidRDefault="00000000">
      <w:pPr>
        <w:keepNext/>
      </w:pPr>
      <w:r>
        <w:rPr>
          <w:b/>
          <w:bCs/>
        </w:rPr>
        <w:t>Иммунизация против кори</w:t>
      </w:r>
    </w:p>
    <w:p w:rsidR="00000000" w:rsidRDefault="00000000">
      <w:pPr>
        <w:keepNext/>
      </w:pPr>
    </w:p>
    <w:p w:rsidR="00000000" w:rsidRDefault="00000000">
      <w:r>
        <w:t>429.</w:t>
      </w:r>
      <w:r>
        <w:tab/>
        <w:t>В 2002 году средняя доля детей, вакцинированных против кори, составляла 86%, что является более низким показателем по сравнению с 2001 годом, когда она составляла 91,7%.  Наименьшее количество охваченных иммунизацией было отмечено в кантоне Сараево при показателе в 62,8%, а наивысший </w:t>
      </w:r>
      <w:r>
        <w:noBreakHyphen/>
        <w:t xml:space="preserve"> в районе Горажде при показателе в 96,2%.</w:t>
      </w:r>
    </w:p>
    <w:p w:rsidR="00000000" w:rsidRDefault="00000000"/>
    <w:p w:rsidR="00000000" w:rsidRDefault="00000000">
      <w:pPr>
        <w:keepNext/>
        <w:spacing w:line="240" w:lineRule="auto"/>
        <w:jc w:val="center"/>
        <w:rPr>
          <w:b/>
          <w:bCs/>
        </w:rPr>
      </w:pPr>
      <w:r>
        <w:rPr>
          <w:b/>
          <w:bCs/>
        </w:rPr>
        <w:t>Таблица 13</w:t>
      </w:r>
    </w:p>
    <w:p w:rsidR="00000000" w:rsidRDefault="00000000">
      <w:pPr>
        <w:keepNext/>
        <w:spacing w:line="240" w:lineRule="auto"/>
        <w:jc w:val="center"/>
        <w:rPr>
          <w:b/>
          <w:bCs/>
        </w:rPr>
      </w:pPr>
    </w:p>
    <w:p w:rsidR="00000000" w:rsidRDefault="00000000">
      <w:pPr>
        <w:keepNext/>
        <w:spacing w:line="240" w:lineRule="auto"/>
        <w:jc w:val="center"/>
        <w:rPr>
          <w:b/>
          <w:bCs/>
        </w:rPr>
      </w:pPr>
      <w:r>
        <w:rPr>
          <w:b/>
          <w:bCs/>
        </w:rPr>
        <w:t>Иммунизация против кори, в %</w:t>
      </w:r>
    </w:p>
    <w:p w:rsidR="00000000" w:rsidRDefault="00000000">
      <w:pPr>
        <w:keepNext/>
        <w:spacing w:line="240" w:lineRule="auto"/>
        <w:rPr>
          <w:b/>
          <w:bCs/>
        </w:rPr>
      </w:pPr>
    </w:p>
    <w:tbl>
      <w:tblPr>
        <w:tblW w:w="0" w:type="auto"/>
        <w:jc w:val="center"/>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2589"/>
        <w:gridCol w:w="1180"/>
        <w:gridCol w:w="1177"/>
        <w:gridCol w:w="1656"/>
        <w:gridCol w:w="1121"/>
        <w:gridCol w:w="9"/>
      </w:tblGrid>
      <w:tr w:rsidR="00000000">
        <w:trPr>
          <w:gridAfter w:val="1"/>
          <w:wAfter w:w="9" w:type="dxa"/>
          <w:jc w:val="center"/>
        </w:trPr>
        <w:tc>
          <w:tcPr>
            <w:tcW w:w="2585" w:type="dxa"/>
            <w:vAlign w:val="center"/>
          </w:tcPr>
          <w:p w:rsidR="00000000" w:rsidRDefault="00000000">
            <w:pPr>
              <w:tabs>
                <w:tab w:val="clear" w:pos="567"/>
                <w:tab w:val="left" w:pos="464"/>
              </w:tabs>
              <w:spacing w:line="264" w:lineRule="auto"/>
            </w:pPr>
            <w:r>
              <w:t>Иммунизация</w:t>
            </w:r>
          </w:p>
        </w:tc>
        <w:tc>
          <w:tcPr>
            <w:tcW w:w="1180" w:type="dxa"/>
            <w:tcBorders>
              <w:bottom w:val="single" w:sz="4" w:space="0" w:color="auto"/>
            </w:tcBorders>
            <w:vAlign w:val="center"/>
          </w:tcPr>
          <w:p w:rsidR="00000000" w:rsidRDefault="00000000">
            <w:pPr>
              <w:spacing w:line="264" w:lineRule="auto"/>
              <w:jc w:val="center"/>
              <w:rPr>
                <w:bCs/>
              </w:rPr>
            </w:pPr>
            <w:r>
              <w:rPr>
                <w:bCs/>
              </w:rPr>
              <w:t>Год</w:t>
            </w:r>
          </w:p>
        </w:tc>
        <w:tc>
          <w:tcPr>
            <w:tcW w:w="1177" w:type="dxa"/>
            <w:tcBorders>
              <w:bottom w:val="single" w:sz="4" w:space="0" w:color="auto"/>
            </w:tcBorders>
            <w:vAlign w:val="center"/>
          </w:tcPr>
          <w:p w:rsidR="00000000" w:rsidRDefault="00000000">
            <w:pPr>
              <w:tabs>
                <w:tab w:val="clear" w:pos="567"/>
                <w:tab w:val="clear" w:pos="1134"/>
                <w:tab w:val="clear" w:pos="1701"/>
                <w:tab w:val="clear" w:pos="2268"/>
                <w:tab w:val="clear" w:pos="6237"/>
              </w:tabs>
              <w:spacing w:line="264" w:lineRule="auto"/>
              <w:jc w:val="center"/>
              <w:rPr>
                <w:bCs/>
              </w:rPr>
            </w:pPr>
            <w:r>
              <w:rPr>
                <w:bCs/>
              </w:rPr>
              <w:t>ДСК</w:t>
            </w:r>
          </w:p>
        </w:tc>
        <w:tc>
          <w:tcPr>
            <w:tcW w:w="1656" w:type="dxa"/>
            <w:tcBorders>
              <w:bottom w:val="single" w:sz="4" w:space="0" w:color="auto"/>
            </w:tcBorders>
            <w:vAlign w:val="center"/>
          </w:tcPr>
          <w:p w:rsidR="00000000" w:rsidRDefault="00000000">
            <w:pPr>
              <w:tabs>
                <w:tab w:val="clear" w:pos="567"/>
                <w:tab w:val="clear" w:pos="1134"/>
                <w:tab w:val="clear" w:pos="1701"/>
                <w:tab w:val="clear" w:pos="2268"/>
                <w:tab w:val="clear" w:pos="6237"/>
              </w:tabs>
              <w:spacing w:line="264" w:lineRule="auto"/>
              <w:jc w:val="center"/>
              <w:rPr>
                <w:bCs/>
              </w:rPr>
            </w:pPr>
            <w:r>
              <w:rPr>
                <w:bCs/>
              </w:rPr>
              <w:t>Полиомиелит</w:t>
            </w:r>
          </w:p>
        </w:tc>
        <w:tc>
          <w:tcPr>
            <w:tcW w:w="1121" w:type="dxa"/>
            <w:tcBorders>
              <w:bottom w:val="single" w:sz="4" w:space="0" w:color="auto"/>
            </w:tcBorders>
            <w:vAlign w:val="center"/>
          </w:tcPr>
          <w:p w:rsidR="00000000" w:rsidRDefault="00000000">
            <w:pPr>
              <w:tabs>
                <w:tab w:val="clear" w:pos="567"/>
                <w:tab w:val="clear" w:pos="1134"/>
                <w:tab w:val="clear" w:pos="1701"/>
                <w:tab w:val="clear" w:pos="2268"/>
                <w:tab w:val="clear" w:pos="6237"/>
              </w:tabs>
              <w:spacing w:line="264" w:lineRule="auto"/>
              <w:jc w:val="center"/>
              <w:rPr>
                <w:bCs/>
              </w:rPr>
            </w:pPr>
            <w:r>
              <w:rPr>
                <w:bCs/>
              </w:rPr>
              <w:t>Корь</w:t>
            </w:r>
          </w:p>
        </w:tc>
      </w:tr>
      <w:tr w:rsidR="00000000">
        <w:trPr>
          <w:cantSplit/>
          <w:jc w:val="center"/>
        </w:trPr>
        <w:tc>
          <w:tcPr>
            <w:tcW w:w="2589" w:type="dxa"/>
            <w:vMerge w:val="restart"/>
          </w:tcPr>
          <w:p w:rsidR="00000000" w:rsidRDefault="00000000">
            <w:pPr>
              <w:spacing w:line="264" w:lineRule="auto"/>
            </w:pPr>
            <w:r>
              <w:t>Вакцинация</w:t>
            </w:r>
          </w:p>
        </w:tc>
        <w:tc>
          <w:tcPr>
            <w:tcW w:w="1176" w:type="dxa"/>
            <w:tcBorders>
              <w:bottom w:val="nil"/>
            </w:tcBorders>
          </w:tcPr>
          <w:p w:rsidR="00000000" w:rsidRDefault="00000000">
            <w:pPr>
              <w:spacing w:line="264" w:lineRule="auto"/>
              <w:jc w:val="center"/>
              <w:rPr>
                <w:bCs/>
              </w:rPr>
            </w:pPr>
            <w:r>
              <w:rPr>
                <w:bCs/>
              </w:rPr>
              <w:t>1991</w:t>
            </w:r>
          </w:p>
        </w:tc>
        <w:tc>
          <w:tcPr>
            <w:tcW w:w="1177" w:type="dxa"/>
            <w:tcBorders>
              <w:bottom w:val="nil"/>
            </w:tcBorders>
          </w:tcPr>
          <w:p w:rsidR="00000000" w:rsidRDefault="00000000">
            <w:pPr>
              <w:pStyle w:val="Header"/>
              <w:spacing w:line="264" w:lineRule="auto"/>
              <w:ind w:right="624"/>
              <w:jc w:val="right"/>
            </w:pPr>
            <w:r>
              <w:t>94</w:t>
            </w:r>
          </w:p>
        </w:tc>
        <w:tc>
          <w:tcPr>
            <w:tcW w:w="1656" w:type="dxa"/>
            <w:tcBorders>
              <w:bottom w:val="nil"/>
            </w:tcBorders>
          </w:tcPr>
          <w:p w:rsidR="00000000" w:rsidRDefault="00000000">
            <w:pPr>
              <w:pStyle w:val="Header"/>
              <w:spacing w:line="264" w:lineRule="auto"/>
              <w:ind w:right="567"/>
              <w:jc w:val="right"/>
            </w:pPr>
            <w:r>
              <w:t>93</w:t>
            </w:r>
          </w:p>
        </w:tc>
        <w:tc>
          <w:tcPr>
            <w:tcW w:w="1130" w:type="dxa"/>
            <w:gridSpan w:val="2"/>
            <w:tcBorders>
              <w:bottom w:val="nil"/>
            </w:tcBorders>
          </w:tcPr>
          <w:p w:rsidR="00000000" w:rsidRDefault="00000000">
            <w:pPr>
              <w:pStyle w:val="Header"/>
              <w:spacing w:line="264" w:lineRule="auto"/>
              <w:ind w:right="397"/>
              <w:jc w:val="right"/>
            </w:pPr>
            <w:r>
              <w:t>95</w:t>
            </w:r>
          </w:p>
        </w:tc>
      </w:tr>
      <w:tr w:rsidR="00000000">
        <w:trPr>
          <w:cantSplit/>
          <w:jc w:val="center"/>
        </w:trPr>
        <w:tc>
          <w:tcPr>
            <w:tcW w:w="2589" w:type="dxa"/>
            <w:vMerge/>
          </w:tcPr>
          <w:p w:rsidR="00000000" w:rsidRDefault="00000000">
            <w:pPr>
              <w:spacing w:line="264" w:lineRule="auto"/>
              <w:rPr>
                <w:bCs/>
              </w:rPr>
            </w:pPr>
          </w:p>
        </w:tc>
        <w:tc>
          <w:tcPr>
            <w:tcW w:w="1176" w:type="dxa"/>
            <w:tcBorders>
              <w:top w:val="nil"/>
              <w:bottom w:val="nil"/>
            </w:tcBorders>
          </w:tcPr>
          <w:p w:rsidR="00000000" w:rsidRDefault="00000000">
            <w:pPr>
              <w:spacing w:line="264" w:lineRule="auto"/>
              <w:jc w:val="center"/>
              <w:rPr>
                <w:bCs/>
              </w:rPr>
            </w:pPr>
            <w:r>
              <w:rPr>
                <w:bCs/>
              </w:rPr>
              <w:t>1999</w:t>
            </w:r>
          </w:p>
        </w:tc>
        <w:tc>
          <w:tcPr>
            <w:tcW w:w="1177" w:type="dxa"/>
            <w:tcBorders>
              <w:top w:val="nil"/>
              <w:bottom w:val="nil"/>
            </w:tcBorders>
          </w:tcPr>
          <w:p w:rsidR="00000000" w:rsidRDefault="00000000">
            <w:pPr>
              <w:pStyle w:val="Header"/>
              <w:spacing w:line="264" w:lineRule="auto"/>
              <w:ind w:right="340"/>
              <w:jc w:val="right"/>
            </w:pPr>
            <w:r>
              <w:t>95,06</w:t>
            </w:r>
          </w:p>
        </w:tc>
        <w:tc>
          <w:tcPr>
            <w:tcW w:w="1656" w:type="dxa"/>
            <w:tcBorders>
              <w:top w:val="nil"/>
              <w:bottom w:val="nil"/>
            </w:tcBorders>
          </w:tcPr>
          <w:p w:rsidR="00000000" w:rsidRDefault="00000000">
            <w:pPr>
              <w:pStyle w:val="Header"/>
              <w:spacing w:line="264" w:lineRule="auto"/>
              <w:ind w:right="284"/>
              <w:jc w:val="right"/>
            </w:pPr>
            <w:r>
              <w:t>95,06</w:t>
            </w:r>
          </w:p>
        </w:tc>
        <w:tc>
          <w:tcPr>
            <w:tcW w:w="1130" w:type="dxa"/>
            <w:gridSpan w:val="2"/>
            <w:tcBorders>
              <w:top w:val="nil"/>
              <w:bottom w:val="nil"/>
            </w:tcBorders>
          </w:tcPr>
          <w:p w:rsidR="00000000" w:rsidRDefault="00000000">
            <w:pPr>
              <w:pStyle w:val="Header"/>
              <w:spacing w:line="264" w:lineRule="auto"/>
              <w:ind w:right="113"/>
              <w:jc w:val="right"/>
            </w:pPr>
            <w:r>
              <w:t>80,74</w:t>
            </w:r>
          </w:p>
        </w:tc>
      </w:tr>
      <w:tr w:rsidR="00000000">
        <w:trPr>
          <w:cantSplit/>
          <w:jc w:val="center"/>
        </w:trPr>
        <w:tc>
          <w:tcPr>
            <w:tcW w:w="2589" w:type="dxa"/>
            <w:vMerge/>
          </w:tcPr>
          <w:p w:rsidR="00000000" w:rsidRDefault="00000000">
            <w:pPr>
              <w:spacing w:line="264" w:lineRule="auto"/>
              <w:rPr>
                <w:bCs/>
              </w:rPr>
            </w:pPr>
          </w:p>
        </w:tc>
        <w:tc>
          <w:tcPr>
            <w:tcW w:w="1176" w:type="dxa"/>
            <w:tcBorders>
              <w:top w:val="nil"/>
              <w:bottom w:val="nil"/>
            </w:tcBorders>
          </w:tcPr>
          <w:p w:rsidR="00000000" w:rsidRDefault="00000000">
            <w:pPr>
              <w:spacing w:line="264" w:lineRule="auto"/>
              <w:jc w:val="center"/>
              <w:rPr>
                <w:bCs/>
              </w:rPr>
            </w:pPr>
            <w:r>
              <w:rPr>
                <w:bCs/>
              </w:rPr>
              <w:t>2000</w:t>
            </w:r>
          </w:p>
        </w:tc>
        <w:tc>
          <w:tcPr>
            <w:tcW w:w="1177" w:type="dxa"/>
            <w:tcBorders>
              <w:top w:val="nil"/>
              <w:bottom w:val="nil"/>
            </w:tcBorders>
          </w:tcPr>
          <w:p w:rsidR="00000000" w:rsidRDefault="00000000">
            <w:pPr>
              <w:pStyle w:val="Header"/>
              <w:spacing w:line="264" w:lineRule="auto"/>
              <w:ind w:right="340"/>
              <w:jc w:val="right"/>
            </w:pPr>
            <w:r>
              <w:t>82,23</w:t>
            </w:r>
          </w:p>
        </w:tc>
        <w:tc>
          <w:tcPr>
            <w:tcW w:w="1656" w:type="dxa"/>
            <w:tcBorders>
              <w:top w:val="nil"/>
              <w:bottom w:val="nil"/>
            </w:tcBorders>
          </w:tcPr>
          <w:p w:rsidR="00000000" w:rsidRDefault="00000000">
            <w:pPr>
              <w:pStyle w:val="Header"/>
              <w:spacing w:line="264" w:lineRule="auto"/>
              <w:ind w:right="284"/>
              <w:jc w:val="right"/>
            </w:pPr>
            <w:r>
              <w:t>85,15</w:t>
            </w:r>
          </w:p>
        </w:tc>
        <w:tc>
          <w:tcPr>
            <w:tcW w:w="1130" w:type="dxa"/>
            <w:gridSpan w:val="2"/>
            <w:tcBorders>
              <w:top w:val="nil"/>
              <w:bottom w:val="nil"/>
            </w:tcBorders>
          </w:tcPr>
          <w:p w:rsidR="00000000" w:rsidRDefault="00000000">
            <w:pPr>
              <w:pStyle w:val="Header"/>
              <w:spacing w:line="264" w:lineRule="auto"/>
              <w:ind w:right="113"/>
              <w:jc w:val="right"/>
            </w:pPr>
            <w:r>
              <w:t>88,61</w:t>
            </w:r>
          </w:p>
        </w:tc>
      </w:tr>
      <w:tr w:rsidR="00000000">
        <w:trPr>
          <w:cantSplit/>
          <w:jc w:val="center"/>
        </w:trPr>
        <w:tc>
          <w:tcPr>
            <w:tcW w:w="2589" w:type="dxa"/>
            <w:vMerge/>
          </w:tcPr>
          <w:p w:rsidR="00000000" w:rsidRDefault="00000000">
            <w:pPr>
              <w:spacing w:line="264" w:lineRule="auto"/>
              <w:rPr>
                <w:bCs/>
              </w:rPr>
            </w:pPr>
          </w:p>
        </w:tc>
        <w:tc>
          <w:tcPr>
            <w:tcW w:w="1176" w:type="dxa"/>
            <w:tcBorders>
              <w:top w:val="nil"/>
              <w:bottom w:val="nil"/>
            </w:tcBorders>
          </w:tcPr>
          <w:p w:rsidR="00000000" w:rsidRDefault="00000000">
            <w:pPr>
              <w:spacing w:line="264" w:lineRule="auto"/>
              <w:jc w:val="center"/>
              <w:rPr>
                <w:bCs/>
              </w:rPr>
            </w:pPr>
            <w:r>
              <w:rPr>
                <w:bCs/>
              </w:rPr>
              <w:t>2001</w:t>
            </w:r>
          </w:p>
        </w:tc>
        <w:tc>
          <w:tcPr>
            <w:tcW w:w="1177" w:type="dxa"/>
            <w:tcBorders>
              <w:top w:val="nil"/>
              <w:bottom w:val="nil"/>
            </w:tcBorders>
          </w:tcPr>
          <w:p w:rsidR="00000000" w:rsidRDefault="00000000">
            <w:pPr>
              <w:pStyle w:val="Header"/>
              <w:spacing w:line="264" w:lineRule="auto"/>
              <w:ind w:right="340"/>
              <w:jc w:val="right"/>
            </w:pPr>
            <w:r>
              <w:t>91,79</w:t>
            </w:r>
          </w:p>
        </w:tc>
        <w:tc>
          <w:tcPr>
            <w:tcW w:w="1656" w:type="dxa"/>
            <w:tcBorders>
              <w:top w:val="nil"/>
              <w:bottom w:val="nil"/>
            </w:tcBorders>
          </w:tcPr>
          <w:p w:rsidR="00000000" w:rsidRDefault="00000000">
            <w:pPr>
              <w:pStyle w:val="Header"/>
              <w:spacing w:line="264" w:lineRule="auto"/>
              <w:ind w:right="284"/>
              <w:jc w:val="right"/>
            </w:pPr>
            <w:r>
              <w:t>92,30</w:t>
            </w:r>
          </w:p>
        </w:tc>
        <w:tc>
          <w:tcPr>
            <w:tcW w:w="1130" w:type="dxa"/>
            <w:gridSpan w:val="2"/>
            <w:tcBorders>
              <w:top w:val="nil"/>
              <w:bottom w:val="nil"/>
            </w:tcBorders>
          </w:tcPr>
          <w:p w:rsidR="00000000" w:rsidRDefault="00000000">
            <w:pPr>
              <w:pStyle w:val="Header"/>
              <w:spacing w:line="264" w:lineRule="auto"/>
              <w:ind w:right="113"/>
              <w:jc w:val="right"/>
            </w:pPr>
            <w:r>
              <w:t>91,70</w:t>
            </w:r>
          </w:p>
        </w:tc>
      </w:tr>
      <w:tr w:rsidR="00000000">
        <w:trPr>
          <w:cantSplit/>
          <w:jc w:val="center"/>
        </w:trPr>
        <w:tc>
          <w:tcPr>
            <w:tcW w:w="2589" w:type="dxa"/>
            <w:vMerge/>
          </w:tcPr>
          <w:p w:rsidR="00000000" w:rsidRDefault="00000000">
            <w:pPr>
              <w:spacing w:line="264" w:lineRule="auto"/>
              <w:rPr>
                <w:bCs/>
              </w:rPr>
            </w:pPr>
          </w:p>
        </w:tc>
        <w:tc>
          <w:tcPr>
            <w:tcW w:w="1176" w:type="dxa"/>
            <w:tcBorders>
              <w:top w:val="nil"/>
              <w:bottom w:val="single" w:sz="4" w:space="0" w:color="auto"/>
            </w:tcBorders>
          </w:tcPr>
          <w:p w:rsidR="00000000" w:rsidRDefault="00000000">
            <w:pPr>
              <w:spacing w:line="264" w:lineRule="auto"/>
              <w:jc w:val="center"/>
              <w:rPr>
                <w:bCs/>
              </w:rPr>
            </w:pPr>
            <w:r>
              <w:rPr>
                <w:bCs/>
              </w:rPr>
              <w:t>2002</w:t>
            </w:r>
          </w:p>
        </w:tc>
        <w:tc>
          <w:tcPr>
            <w:tcW w:w="1177" w:type="dxa"/>
            <w:tcBorders>
              <w:top w:val="nil"/>
              <w:bottom w:val="single" w:sz="4" w:space="0" w:color="auto"/>
            </w:tcBorders>
          </w:tcPr>
          <w:p w:rsidR="00000000" w:rsidRDefault="00000000">
            <w:pPr>
              <w:pStyle w:val="Header"/>
              <w:spacing w:line="264" w:lineRule="auto"/>
              <w:ind w:right="454"/>
              <w:jc w:val="right"/>
            </w:pPr>
            <w:r>
              <w:t>73,9</w:t>
            </w:r>
          </w:p>
        </w:tc>
        <w:tc>
          <w:tcPr>
            <w:tcW w:w="1656" w:type="dxa"/>
            <w:tcBorders>
              <w:top w:val="nil"/>
              <w:bottom w:val="single" w:sz="4" w:space="0" w:color="auto"/>
            </w:tcBorders>
          </w:tcPr>
          <w:p w:rsidR="00000000" w:rsidRDefault="00000000">
            <w:pPr>
              <w:pStyle w:val="Header"/>
              <w:spacing w:line="264" w:lineRule="auto"/>
              <w:ind w:right="369"/>
              <w:jc w:val="right"/>
            </w:pPr>
            <w:r>
              <w:t>81,8</w:t>
            </w:r>
          </w:p>
        </w:tc>
        <w:tc>
          <w:tcPr>
            <w:tcW w:w="1130" w:type="dxa"/>
            <w:gridSpan w:val="2"/>
            <w:tcBorders>
              <w:top w:val="nil"/>
              <w:bottom w:val="single" w:sz="4" w:space="0" w:color="auto"/>
            </w:tcBorders>
          </w:tcPr>
          <w:p w:rsidR="00000000" w:rsidRDefault="00000000">
            <w:pPr>
              <w:pStyle w:val="Header"/>
              <w:spacing w:line="264" w:lineRule="auto"/>
              <w:ind w:right="397"/>
              <w:jc w:val="right"/>
            </w:pPr>
            <w:r>
              <w:t>86</w:t>
            </w:r>
          </w:p>
        </w:tc>
      </w:tr>
      <w:tr w:rsidR="00000000">
        <w:trPr>
          <w:cantSplit/>
          <w:jc w:val="center"/>
        </w:trPr>
        <w:tc>
          <w:tcPr>
            <w:tcW w:w="2589" w:type="dxa"/>
            <w:vMerge w:val="restart"/>
          </w:tcPr>
          <w:p w:rsidR="00000000" w:rsidRDefault="00000000">
            <w:pPr>
              <w:spacing w:line="264" w:lineRule="auto"/>
              <w:rPr>
                <w:bCs/>
              </w:rPr>
            </w:pPr>
            <w:r>
              <w:rPr>
                <w:bCs/>
              </w:rPr>
              <w:t>Повторная вакцинация</w:t>
            </w:r>
          </w:p>
        </w:tc>
        <w:tc>
          <w:tcPr>
            <w:tcW w:w="1176" w:type="dxa"/>
            <w:tcBorders>
              <w:bottom w:val="nil"/>
            </w:tcBorders>
          </w:tcPr>
          <w:p w:rsidR="00000000" w:rsidRDefault="00000000">
            <w:pPr>
              <w:spacing w:line="264" w:lineRule="auto"/>
              <w:jc w:val="center"/>
              <w:rPr>
                <w:bCs/>
              </w:rPr>
            </w:pPr>
            <w:r>
              <w:rPr>
                <w:bCs/>
              </w:rPr>
              <w:t>1991</w:t>
            </w:r>
          </w:p>
        </w:tc>
        <w:tc>
          <w:tcPr>
            <w:tcW w:w="1177" w:type="dxa"/>
            <w:tcBorders>
              <w:bottom w:val="nil"/>
            </w:tcBorders>
          </w:tcPr>
          <w:p w:rsidR="00000000" w:rsidRDefault="00000000">
            <w:pPr>
              <w:pStyle w:val="Header"/>
              <w:spacing w:line="264" w:lineRule="auto"/>
              <w:ind w:right="624"/>
              <w:jc w:val="right"/>
            </w:pPr>
            <w:r>
              <w:t>95</w:t>
            </w:r>
          </w:p>
        </w:tc>
        <w:tc>
          <w:tcPr>
            <w:tcW w:w="1656" w:type="dxa"/>
            <w:tcBorders>
              <w:bottom w:val="nil"/>
            </w:tcBorders>
          </w:tcPr>
          <w:p w:rsidR="00000000" w:rsidRDefault="00000000">
            <w:pPr>
              <w:pStyle w:val="Header"/>
              <w:spacing w:line="264" w:lineRule="auto"/>
              <w:ind w:right="547"/>
              <w:jc w:val="right"/>
            </w:pPr>
            <w:r>
              <w:t>96</w:t>
            </w:r>
          </w:p>
        </w:tc>
        <w:tc>
          <w:tcPr>
            <w:tcW w:w="1130" w:type="dxa"/>
            <w:gridSpan w:val="2"/>
            <w:tcBorders>
              <w:bottom w:val="nil"/>
            </w:tcBorders>
          </w:tcPr>
          <w:p w:rsidR="00000000" w:rsidRDefault="00000000">
            <w:pPr>
              <w:pStyle w:val="Header"/>
              <w:spacing w:line="264" w:lineRule="auto"/>
              <w:ind w:right="397"/>
              <w:jc w:val="right"/>
            </w:pPr>
            <w:r>
              <w:t>98</w:t>
            </w:r>
          </w:p>
        </w:tc>
      </w:tr>
      <w:tr w:rsidR="00000000">
        <w:trPr>
          <w:cantSplit/>
          <w:jc w:val="center"/>
        </w:trPr>
        <w:tc>
          <w:tcPr>
            <w:tcW w:w="2589" w:type="dxa"/>
            <w:vMerge/>
          </w:tcPr>
          <w:p w:rsidR="00000000" w:rsidRDefault="00000000">
            <w:pPr>
              <w:spacing w:line="264" w:lineRule="auto"/>
              <w:rPr>
                <w:bCs/>
              </w:rPr>
            </w:pPr>
          </w:p>
        </w:tc>
        <w:tc>
          <w:tcPr>
            <w:tcW w:w="1176" w:type="dxa"/>
            <w:tcBorders>
              <w:top w:val="nil"/>
              <w:bottom w:val="nil"/>
            </w:tcBorders>
          </w:tcPr>
          <w:p w:rsidR="00000000" w:rsidRDefault="00000000">
            <w:pPr>
              <w:spacing w:line="264" w:lineRule="auto"/>
              <w:jc w:val="center"/>
              <w:rPr>
                <w:bCs/>
              </w:rPr>
            </w:pPr>
            <w:r>
              <w:rPr>
                <w:bCs/>
              </w:rPr>
              <w:t>1999</w:t>
            </w:r>
          </w:p>
        </w:tc>
        <w:tc>
          <w:tcPr>
            <w:tcW w:w="1177" w:type="dxa"/>
            <w:tcBorders>
              <w:top w:val="nil"/>
              <w:bottom w:val="nil"/>
            </w:tcBorders>
          </w:tcPr>
          <w:p w:rsidR="00000000" w:rsidRDefault="00000000">
            <w:pPr>
              <w:pStyle w:val="Header"/>
              <w:spacing w:line="264" w:lineRule="auto"/>
              <w:jc w:val="center"/>
            </w:pPr>
            <w:r>
              <w:t>92,69</w:t>
            </w:r>
          </w:p>
        </w:tc>
        <w:tc>
          <w:tcPr>
            <w:tcW w:w="1656" w:type="dxa"/>
            <w:tcBorders>
              <w:top w:val="nil"/>
              <w:bottom w:val="nil"/>
            </w:tcBorders>
          </w:tcPr>
          <w:p w:rsidR="00000000" w:rsidRDefault="00000000">
            <w:pPr>
              <w:tabs>
                <w:tab w:val="clear" w:pos="567"/>
                <w:tab w:val="clear" w:pos="1134"/>
                <w:tab w:val="clear" w:pos="1701"/>
                <w:tab w:val="clear" w:pos="2268"/>
                <w:tab w:val="clear" w:pos="6237"/>
                <w:tab w:val="center" w:pos="4153"/>
                <w:tab w:val="right" w:pos="8306"/>
              </w:tabs>
              <w:spacing w:line="264" w:lineRule="auto"/>
              <w:ind w:right="284"/>
              <w:jc w:val="right"/>
            </w:pPr>
            <w:r>
              <w:t>92,69</w:t>
            </w:r>
          </w:p>
        </w:tc>
        <w:tc>
          <w:tcPr>
            <w:tcW w:w="1130" w:type="dxa"/>
            <w:gridSpan w:val="2"/>
            <w:tcBorders>
              <w:top w:val="nil"/>
              <w:bottom w:val="nil"/>
            </w:tcBorders>
          </w:tcPr>
          <w:p w:rsidR="00000000" w:rsidRDefault="00000000">
            <w:pPr>
              <w:pStyle w:val="FootnoteText"/>
              <w:tabs>
                <w:tab w:val="clear" w:pos="567"/>
                <w:tab w:val="clear" w:pos="1134"/>
                <w:tab w:val="clear" w:pos="1701"/>
                <w:tab w:val="clear" w:pos="2268"/>
                <w:tab w:val="clear" w:pos="6237"/>
                <w:tab w:val="center" w:pos="4153"/>
                <w:tab w:val="right" w:pos="8306"/>
              </w:tabs>
              <w:spacing w:line="264" w:lineRule="auto"/>
              <w:ind w:right="113"/>
              <w:jc w:val="right"/>
            </w:pPr>
            <w:r>
              <w:t>74,88</w:t>
            </w:r>
          </w:p>
        </w:tc>
      </w:tr>
      <w:tr w:rsidR="00000000">
        <w:trPr>
          <w:cantSplit/>
          <w:jc w:val="center"/>
        </w:trPr>
        <w:tc>
          <w:tcPr>
            <w:tcW w:w="2589" w:type="dxa"/>
            <w:vMerge/>
          </w:tcPr>
          <w:p w:rsidR="00000000" w:rsidRDefault="00000000">
            <w:pPr>
              <w:spacing w:line="264" w:lineRule="auto"/>
              <w:rPr>
                <w:bCs/>
              </w:rPr>
            </w:pPr>
          </w:p>
        </w:tc>
        <w:tc>
          <w:tcPr>
            <w:tcW w:w="1176" w:type="dxa"/>
            <w:tcBorders>
              <w:top w:val="nil"/>
              <w:bottom w:val="nil"/>
            </w:tcBorders>
          </w:tcPr>
          <w:p w:rsidR="00000000" w:rsidRDefault="00000000">
            <w:pPr>
              <w:spacing w:line="264" w:lineRule="auto"/>
              <w:jc w:val="center"/>
              <w:rPr>
                <w:bCs/>
              </w:rPr>
            </w:pPr>
            <w:r>
              <w:rPr>
                <w:bCs/>
              </w:rPr>
              <w:t>2000</w:t>
            </w:r>
          </w:p>
        </w:tc>
        <w:tc>
          <w:tcPr>
            <w:tcW w:w="1177" w:type="dxa"/>
            <w:tcBorders>
              <w:top w:val="nil"/>
              <w:bottom w:val="nil"/>
            </w:tcBorders>
          </w:tcPr>
          <w:p w:rsidR="00000000" w:rsidRDefault="00000000">
            <w:pPr>
              <w:pStyle w:val="Header"/>
              <w:spacing w:line="264" w:lineRule="auto"/>
              <w:jc w:val="center"/>
            </w:pPr>
            <w:r>
              <w:t>78,89</w:t>
            </w:r>
          </w:p>
        </w:tc>
        <w:tc>
          <w:tcPr>
            <w:tcW w:w="1656" w:type="dxa"/>
            <w:tcBorders>
              <w:top w:val="nil"/>
              <w:bottom w:val="nil"/>
            </w:tcBorders>
          </w:tcPr>
          <w:p w:rsidR="00000000" w:rsidRDefault="00000000">
            <w:pPr>
              <w:pStyle w:val="Header"/>
              <w:spacing w:line="264" w:lineRule="auto"/>
              <w:ind w:right="284"/>
              <w:jc w:val="right"/>
            </w:pPr>
            <w:r>
              <w:t>89,22</w:t>
            </w:r>
          </w:p>
        </w:tc>
        <w:tc>
          <w:tcPr>
            <w:tcW w:w="1130" w:type="dxa"/>
            <w:gridSpan w:val="2"/>
            <w:tcBorders>
              <w:top w:val="nil"/>
              <w:bottom w:val="nil"/>
            </w:tcBorders>
          </w:tcPr>
          <w:p w:rsidR="00000000" w:rsidRDefault="00000000">
            <w:pPr>
              <w:pStyle w:val="Header"/>
              <w:spacing w:line="264" w:lineRule="auto"/>
              <w:ind w:right="113"/>
              <w:jc w:val="right"/>
            </w:pPr>
            <w:r>
              <w:t>90,03</w:t>
            </w:r>
          </w:p>
        </w:tc>
      </w:tr>
      <w:tr w:rsidR="00000000">
        <w:trPr>
          <w:cantSplit/>
          <w:jc w:val="center"/>
        </w:trPr>
        <w:tc>
          <w:tcPr>
            <w:tcW w:w="2589" w:type="dxa"/>
            <w:vMerge/>
          </w:tcPr>
          <w:p w:rsidR="00000000" w:rsidRDefault="00000000">
            <w:pPr>
              <w:spacing w:line="264" w:lineRule="auto"/>
              <w:rPr>
                <w:bCs/>
              </w:rPr>
            </w:pPr>
          </w:p>
        </w:tc>
        <w:tc>
          <w:tcPr>
            <w:tcW w:w="1176" w:type="dxa"/>
            <w:tcBorders>
              <w:top w:val="nil"/>
              <w:bottom w:val="nil"/>
            </w:tcBorders>
          </w:tcPr>
          <w:p w:rsidR="00000000" w:rsidRDefault="00000000">
            <w:pPr>
              <w:spacing w:line="264" w:lineRule="auto"/>
              <w:jc w:val="center"/>
              <w:rPr>
                <w:bCs/>
              </w:rPr>
            </w:pPr>
            <w:r>
              <w:rPr>
                <w:bCs/>
              </w:rPr>
              <w:t>2001</w:t>
            </w:r>
          </w:p>
        </w:tc>
        <w:tc>
          <w:tcPr>
            <w:tcW w:w="1177" w:type="dxa"/>
            <w:tcBorders>
              <w:top w:val="nil"/>
              <w:bottom w:val="nil"/>
            </w:tcBorders>
          </w:tcPr>
          <w:p w:rsidR="00000000" w:rsidRDefault="00000000">
            <w:pPr>
              <w:pStyle w:val="Header"/>
              <w:spacing w:line="264" w:lineRule="auto"/>
              <w:ind w:right="454"/>
              <w:jc w:val="right"/>
            </w:pPr>
            <w:r>
              <w:t>89,2</w:t>
            </w:r>
          </w:p>
        </w:tc>
        <w:tc>
          <w:tcPr>
            <w:tcW w:w="1656" w:type="dxa"/>
            <w:tcBorders>
              <w:top w:val="nil"/>
              <w:bottom w:val="nil"/>
            </w:tcBorders>
          </w:tcPr>
          <w:p w:rsidR="00000000" w:rsidRDefault="00000000">
            <w:pPr>
              <w:pStyle w:val="Header"/>
              <w:spacing w:line="264" w:lineRule="auto"/>
              <w:ind w:right="397"/>
              <w:jc w:val="right"/>
            </w:pPr>
            <w:r>
              <w:t>90,6</w:t>
            </w:r>
          </w:p>
        </w:tc>
        <w:tc>
          <w:tcPr>
            <w:tcW w:w="1130" w:type="dxa"/>
            <w:gridSpan w:val="2"/>
            <w:tcBorders>
              <w:top w:val="nil"/>
              <w:bottom w:val="nil"/>
            </w:tcBorders>
          </w:tcPr>
          <w:p w:rsidR="00000000" w:rsidRDefault="00000000">
            <w:pPr>
              <w:pStyle w:val="Header"/>
              <w:spacing w:line="264" w:lineRule="auto"/>
              <w:ind w:right="227"/>
              <w:jc w:val="right"/>
            </w:pPr>
            <w:r>
              <w:t>83,5</w:t>
            </w:r>
          </w:p>
        </w:tc>
      </w:tr>
      <w:tr w:rsidR="00000000">
        <w:trPr>
          <w:cantSplit/>
          <w:jc w:val="center"/>
        </w:trPr>
        <w:tc>
          <w:tcPr>
            <w:tcW w:w="2589" w:type="dxa"/>
            <w:vMerge/>
          </w:tcPr>
          <w:p w:rsidR="00000000" w:rsidRDefault="00000000">
            <w:pPr>
              <w:spacing w:line="264" w:lineRule="auto"/>
              <w:rPr>
                <w:bCs/>
              </w:rPr>
            </w:pPr>
          </w:p>
        </w:tc>
        <w:tc>
          <w:tcPr>
            <w:tcW w:w="1176" w:type="dxa"/>
            <w:tcBorders>
              <w:top w:val="nil"/>
            </w:tcBorders>
          </w:tcPr>
          <w:p w:rsidR="00000000" w:rsidRDefault="00000000">
            <w:pPr>
              <w:spacing w:line="264" w:lineRule="auto"/>
              <w:jc w:val="center"/>
              <w:rPr>
                <w:bCs/>
              </w:rPr>
            </w:pPr>
            <w:r>
              <w:rPr>
                <w:bCs/>
              </w:rPr>
              <w:t>2002</w:t>
            </w:r>
          </w:p>
        </w:tc>
        <w:tc>
          <w:tcPr>
            <w:tcW w:w="1177" w:type="dxa"/>
            <w:tcBorders>
              <w:top w:val="nil"/>
            </w:tcBorders>
          </w:tcPr>
          <w:p w:rsidR="00000000" w:rsidRDefault="00000000">
            <w:pPr>
              <w:pStyle w:val="Header"/>
              <w:spacing w:line="264" w:lineRule="auto"/>
              <w:ind w:right="454"/>
              <w:jc w:val="right"/>
            </w:pPr>
            <w:r>
              <w:t>62,6</w:t>
            </w:r>
          </w:p>
        </w:tc>
        <w:tc>
          <w:tcPr>
            <w:tcW w:w="1656" w:type="dxa"/>
            <w:tcBorders>
              <w:top w:val="nil"/>
            </w:tcBorders>
          </w:tcPr>
          <w:p w:rsidR="00000000" w:rsidRDefault="00000000">
            <w:pPr>
              <w:pStyle w:val="Header"/>
              <w:spacing w:line="264" w:lineRule="auto"/>
              <w:ind w:right="397"/>
              <w:jc w:val="right"/>
            </w:pPr>
            <w:r>
              <w:t>81,8</w:t>
            </w:r>
          </w:p>
        </w:tc>
        <w:tc>
          <w:tcPr>
            <w:tcW w:w="1130" w:type="dxa"/>
            <w:gridSpan w:val="2"/>
            <w:tcBorders>
              <w:top w:val="nil"/>
            </w:tcBorders>
          </w:tcPr>
          <w:p w:rsidR="00000000" w:rsidRDefault="00000000">
            <w:pPr>
              <w:pStyle w:val="Header"/>
              <w:spacing w:line="264" w:lineRule="auto"/>
              <w:ind w:right="227"/>
              <w:jc w:val="right"/>
            </w:pPr>
            <w:r>
              <w:t>87,2</w:t>
            </w:r>
          </w:p>
        </w:tc>
      </w:tr>
    </w:tbl>
    <w:p w:rsidR="00000000" w:rsidRDefault="00000000">
      <w:r>
        <w:rPr>
          <w:b/>
          <w:bCs/>
        </w:rPr>
        <w:t>Негативное воздействие воды</w:t>
      </w:r>
    </w:p>
    <w:p w:rsidR="00000000" w:rsidRDefault="00000000"/>
    <w:p w:rsidR="00000000" w:rsidRDefault="00000000">
      <w:r>
        <w:t>430.</w:t>
      </w:r>
      <w:r>
        <w:tab/>
        <w:t>Вредное воздействие воды, связанное с дисбалансом и неравномерным распространением компонентов окружающей среды (водный режим, климатические, геологические, топографические факторы и деятельность человека), проявляется по всей территории Боснии и Герцеговины.  Ее характерной особенностью является сложный рельеф местности, который, помимо неравномерного распределения осадков, приводит к их несбалансированному стоку.  Бассейны для сбора стекающей по склонам воды в районе низких гор вдоль реки Савы находятся в критическом состоянии, что относится также к верхним, находящимся на большей высоте участкам бассейнов прямых притоков Савы.  Часто наблюдаются совпадающие паводковые волны, поступающие из этих притоков и их последующих притоков, после чего иногда даже происходит затопление самой реки Савы.  Последствия деятельности человека и условия задержания водных потоков становятся все более и более негативными.  Растет рубка леса в районах стока вод, интенсивно создаются и эксплуатируются средства коммуникации (здания, промышленные объекты, дороги и т.д.).  Все это способствует ускорению стока, поскольку возможности задержания вод сокращаются в результате противопаводковых мер, связанных с целевым регулированием режима небольших водных бассейнов.  Из</w:t>
      </w:r>
      <w:r>
        <w:noBreakHyphen/>
        <w:t>за отсутствия координации в деятельности людей условия задержания воды в нижних бассейнах всех водных артерий становятся более сложными.</w:t>
      </w:r>
    </w:p>
    <w:p w:rsidR="00000000" w:rsidRDefault="00000000"/>
    <w:p w:rsidR="00000000" w:rsidRDefault="00000000">
      <w:r>
        <w:t>431.</w:t>
      </w:r>
      <w:r>
        <w:tab/>
        <w:t>Количество сооружений для эффективной защиты от паводков является весьма ограниченным, а условия для их строительства становятся все более трудными (особенно в плане создания запасов и сохранения воды).  Имеются также условия для возможной передачи воды из одного бассейна в другой, и, кроме того, существует проблема со строительством противопаводковых сооружений в пределах одного бассейна (когда сооружения находятся на одном участке бассейна, а водный поток направляется на другой участок, относящийся к другой административной единице/другому муниципалитету).</w:t>
      </w:r>
    </w:p>
    <w:p w:rsidR="00000000" w:rsidRDefault="00000000">
      <w:pPr>
        <w:spacing w:line="240" w:lineRule="auto"/>
      </w:pPr>
    </w:p>
    <w:p w:rsidR="00000000" w:rsidRDefault="00000000">
      <w:pPr>
        <w:spacing w:line="240" w:lineRule="auto"/>
        <w:rPr>
          <w:b/>
          <w:bCs/>
        </w:rPr>
      </w:pPr>
      <w:r>
        <w:rPr>
          <w:b/>
          <w:bCs/>
        </w:rPr>
        <w:t>Престарелые и инвалиды</w:t>
      </w:r>
    </w:p>
    <w:p w:rsidR="00000000" w:rsidRDefault="00000000">
      <w:pPr>
        <w:spacing w:line="240" w:lineRule="auto"/>
        <w:rPr>
          <w:b/>
          <w:bCs/>
        </w:rPr>
      </w:pPr>
    </w:p>
    <w:p w:rsidR="00000000" w:rsidRDefault="00000000">
      <w:pPr>
        <w:spacing w:line="240" w:lineRule="auto"/>
        <w:rPr>
          <w:b/>
          <w:bCs/>
        </w:rPr>
      </w:pPr>
      <w:r>
        <w:rPr>
          <w:b/>
          <w:bCs/>
        </w:rPr>
        <w:t>Престарелые</w:t>
      </w:r>
    </w:p>
    <w:p w:rsidR="00000000" w:rsidRDefault="00000000">
      <w:pPr>
        <w:spacing w:line="240" w:lineRule="auto"/>
        <w:rPr>
          <w:b/>
          <w:bCs/>
        </w:rPr>
      </w:pPr>
    </w:p>
    <w:p w:rsidR="00000000" w:rsidRDefault="00000000">
      <w:r>
        <w:t>432.</w:t>
      </w:r>
      <w:r>
        <w:tab/>
        <w:t xml:space="preserve">По оценкам статистических агентств Образований, доля стариков в общем составе населения Боснии и Герцеговины превышает 10%.  Это означает, что по международным стандартам Босния и Герцеговина относится к категории стран со "старым" населением.  Такое положение является следствием снижения уровня рождаемости и эмиграции молодых людей за границу.  Престарелые люди имеют специфические проблемы со здоровьем, главным образом связанные с их возрастом, однако существуют и проблемы, вызванные трудными социально-экономическими условиями.  </w:t>
      </w:r>
    </w:p>
    <w:p w:rsidR="00000000" w:rsidRDefault="00000000"/>
    <w:p w:rsidR="00000000" w:rsidRDefault="00000000">
      <w:r>
        <w:t>433.</w:t>
      </w:r>
      <w:r>
        <w:tab/>
        <w:t>В 2001 году большую часть болезней составляли расстройства сердечно-сосудистой системы, на уровне 26,2%, затем расстройства дыхательных путей, на уровне 18,3%, и далее нарушения костно-мышечной системы, на уровне 9%.  Отдельной проблемой является обеспечение медицинской помощи для этого сегмента населения, особенно для тех, кто относится к категории возвращенцев.  В стране отсутствует всеобъемлющая и тщательно проработанная методика обеспечения медицинской помощи в рамках какого</w:t>
      </w:r>
      <w:r>
        <w:noBreakHyphen/>
        <w:t>либо механизма, действующего между двумя Образованиями.</w:t>
      </w:r>
    </w:p>
    <w:p w:rsidR="00000000" w:rsidRDefault="00000000"/>
    <w:p w:rsidR="00000000" w:rsidRDefault="00000000">
      <w:r>
        <w:t>434.</w:t>
      </w:r>
      <w:r>
        <w:tab/>
        <w:t>Необходимо поощрять охрану здоровья престарелых путем оказания первичной медицинской помощи как части медицинского обслуживания семей, а также обеспечить осуществление предусмотренной для этой группы населения программы лечения, реабилитации и медицинской помощи на дому.</w:t>
      </w:r>
    </w:p>
    <w:p w:rsidR="00000000" w:rsidRDefault="00000000"/>
    <w:p w:rsidR="00000000" w:rsidRDefault="00000000">
      <w:pPr>
        <w:rPr>
          <w:b/>
          <w:bCs/>
        </w:rPr>
      </w:pPr>
      <w:r>
        <w:rPr>
          <w:b/>
          <w:bCs/>
        </w:rPr>
        <w:t>Инвалиды</w:t>
      </w:r>
    </w:p>
    <w:p w:rsidR="00000000" w:rsidRDefault="00000000">
      <w:pPr>
        <w:rPr>
          <w:b/>
          <w:bCs/>
        </w:rPr>
      </w:pPr>
    </w:p>
    <w:p w:rsidR="00000000" w:rsidRDefault="00000000">
      <w:r>
        <w:t>435.</w:t>
      </w:r>
      <w:r>
        <w:tab/>
        <w:t>В отсутствие точных данных некоторые оценки указывают на то, что около 10% всего населения Боснии и Герцеговины составляют лица, имеющие инвалидность различного вида, степени и происхождения.  Они относятся к весьма уязвимой категории лиц и постоянно нуждаются в разного рода медицинской помощи.  Недостаточное развитие различных вспомогательных услуг приводит к изоляции инвалидов, которая оказывает дополнительное воздействие на их психологическое состояние.  К решению этой проблемы следует подходить под несколькими углами зрения, и оно должно быть комплексным, поскольку это не только проблема здравоохранения, но и вопрос социальной защиты, подготовки к условиям труда и жизни и работы над устранением причин инвалидности.</w:t>
      </w:r>
    </w:p>
    <w:p w:rsidR="00000000" w:rsidRDefault="00000000"/>
    <w:p w:rsidR="00000000" w:rsidRDefault="00000000">
      <w:pPr>
        <w:rPr>
          <w:b/>
          <w:bCs/>
        </w:rPr>
      </w:pPr>
      <w:r>
        <w:rPr>
          <w:b/>
          <w:bCs/>
        </w:rPr>
        <w:t>Факторы, влияющие на состояние здоровья</w:t>
      </w:r>
    </w:p>
    <w:p w:rsidR="00000000" w:rsidRDefault="00000000">
      <w:pPr>
        <w:rPr>
          <w:b/>
          <w:bCs/>
        </w:rPr>
      </w:pPr>
    </w:p>
    <w:p w:rsidR="00000000" w:rsidRDefault="00000000">
      <w:pPr>
        <w:rPr>
          <w:b/>
          <w:bCs/>
        </w:rPr>
      </w:pPr>
      <w:r>
        <w:rPr>
          <w:b/>
          <w:bCs/>
        </w:rPr>
        <w:t>Пища и физическая активность</w:t>
      </w:r>
    </w:p>
    <w:p w:rsidR="00000000" w:rsidRDefault="00000000">
      <w:pPr>
        <w:rPr>
          <w:b/>
          <w:bCs/>
        </w:rPr>
      </w:pPr>
    </w:p>
    <w:p w:rsidR="00000000" w:rsidRDefault="00000000">
      <w:r>
        <w:t>436.</w:t>
      </w:r>
      <w:r>
        <w:tab/>
        <w:t>Детство и юность являются критическими периодами в плане укрепления здоровья, а также провоцирования и предотвращения возможных заболеваний.  Многие поведенческие навыки, связанные с опасностью для здоровья, могут возникнуть именно в этот ранний период.  Некоторые функциональные особенности или отсутствие их, как, например, физическая активность детей, оказывают влияние на их здоровье на протяжении всей жизни.  В 2002 году в рамках исследования влияния поведения детей школьного возраста на их здоровье, предпринятого Институтом здравоохранения Федерации Боснии и Герцеговины, впервые была получена информация об особенностях приема пищи и питания школьников в Федерации.  Основная цель этого исследования заключалась в создании информационной системы для изучения состояния здоровья и образа жизни молодого поколения.</w:t>
      </w:r>
    </w:p>
    <w:p w:rsidR="00000000" w:rsidRDefault="00000000"/>
    <w:p w:rsidR="00000000" w:rsidRDefault="00000000">
      <w:r>
        <w:t>437.</w:t>
      </w:r>
      <w:r>
        <w:tab/>
        <w:t>Для целей настоящего доклада, который пока еще не опубликован, ниже приводятся отдельные данные об особенностях принятия пищи и физической активности детей школьного возраста.  В качестве целевых групп в рамках данного исследования были взяты две возрастные группы, а именно дети, средний возраст которых составлял 11,5 лет и 13,5 лет, а общее количество наблюдаемых учеников </w:t>
      </w:r>
      <w:r>
        <w:noBreakHyphen/>
        <w:t xml:space="preserve"> 3 200 человек.  Результаты показали, что 60,5% учащихся завтракают пять рабочих дней в неделю, причем мальчики и девочки в равной степени.  Однако количество мальчиков и девочек, сказавших, что они никогда не завтракают, является довольно высоким и составляет 14,8%</w:t>
      </w:r>
    </w:p>
    <w:p w:rsidR="00000000" w:rsidRDefault="00000000"/>
    <w:p w:rsidR="00000000" w:rsidRDefault="00000000">
      <w:r>
        <w:t>438.</w:t>
      </w:r>
      <w:r>
        <w:tab/>
        <w:t>В рамках того же исследования было установлено, что доля физически неактивных учащихся, которые, согласно определению, никогда не проявляют физической активности или же проявляют ее лишь два дня в неделю или реже, составляет 27,2%.  Эта доля является более низкой среди мальчиков, на уровне 21,3%, чем среди девочек, на уровне 33%.  В случае девочек отмечаются статистически значимые изменения в плане физической активности в интервале между шестым и восьмым классами.</w:t>
      </w:r>
    </w:p>
    <w:p w:rsidR="00000000" w:rsidRDefault="00000000"/>
    <w:p w:rsidR="00000000" w:rsidRDefault="00000000">
      <w:r>
        <w:t>439.</w:t>
      </w:r>
      <w:r>
        <w:tab/>
        <w:t>На уровне Боснии и Герцеговины и Федерации был принят план действий в интересах детей на период с 2002 по 2010 годы.  Для целей осуществления институциональных реформ в области защиты детей в рамках Совета министров Боснии и Герцеговины был создан Совет по проблемам детей.  В рамках плана действий в интересах детей в отношении охраны здоровья матерей и детей должно быть уделено внимание реализации профилактических программ и решению четко сформулированных задач, отвечающих Конвенции о правах ребенка и целям ВОЗ, таких, как:</w:t>
      </w:r>
    </w:p>
    <w:p w:rsidR="00000000" w:rsidRDefault="00000000"/>
    <w:p w:rsidR="00000000" w:rsidRDefault="00000000">
      <w:pPr>
        <w:numPr>
          <w:ilvl w:val="0"/>
          <w:numId w:val="52"/>
        </w:numPr>
      </w:pPr>
      <w:r>
        <w:t>снижение уровня смертности и заболеваемости среди детей и матерей;</w:t>
      </w:r>
    </w:p>
    <w:p w:rsidR="00000000" w:rsidRDefault="00000000">
      <w:pPr>
        <w:ind w:left="1134" w:hanging="567"/>
      </w:pPr>
    </w:p>
    <w:p w:rsidR="00000000" w:rsidRDefault="00000000">
      <w:pPr>
        <w:numPr>
          <w:ilvl w:val="0"/>
          <w:numId w:val="52"/>
        </w:numPr>
      </w:pPr>
      <w:r>
        <w:t>улучшение питания;</w:t>
      </w:r>
    </w:p>
    <w:p w:rsidR="00000000" w:rsidRDefault="00000000">
      <w:pPr>
        <w:ind w:left="1134" w:hanging="567"/>
      </w:pPr>
    </w:p>
    <w:p w:rsidR="00000000" w:rsidRDefault="00000000">
      <w:pPr>
        <w:numPr>
          <w:ilvl w:val="0"/>
          <w:numId w:val="52"/>
        </w:numPr>
      </w:pPr>
      <w:r>
        <w:t>повышение доступности питьевой воды и систем санитарии;</w:t>
      </w:r>
    </w:p>
    <w:p w:rsidR="00000000" w:rsidRDefault="00000000">
      <w:pPr>
        <w:ind w:left="1134" w:hanging="567"/>
      </w:pPr>
    </w:p>
    <w:p w:rsidR="00000000" w:rsidRDefault="00000000">
      <w:pPr>
        <w:numPr>
          <w:ilvl w:val="0"/>
          <w:numId w:val="52"/>
        </w:numPr>
      </w:pPr>
      <w:r>
        <w:t>профилактика опасного поведения, связанного с заболеваниями, передающимися половым путем, с уделением особого внимания ВИЧ/СПИДу;</w:t>
      </w:r>
    </w:p>
    <w:p w:rsidR="00000000" w:rsidRDefault="00000000">
      <w:pPr>
        <w:ind w:left="1134" w:hanging="567"/>
      </w:pPr>
    </w:p>
    <w:p w:rsidR="00000000" w:rsidRDefault="00000000">
      <w:pPr>
        <w:numPr>
          <w:ilvl w:val="0"/>
          <w:numId w:val="52"/>
        </w:numPr>
      </w:pPr>
      <w:r>
        <w:t>профилактика курения, злоупотребления наркотиками и алкоголизма.</w:t>
      </w:r>
    </w:p>
    <w:p w:rsidR="00000000" w:rsidRDefault="00000000">
      <w:pPr>
        <w:ind w:left="1134" w:hanging="567"/>
      </w:pPr>
    </w:p>
    <w:p w:rsidR="00000000" w:rsidRDefault="00000000"/>
    <w:p w:rsidR="00000000" w:rsidRDefault="00000000">
      <w:r>
        <w:t>440.</w:t>
      </w:r>
      <w:r>
        <w:tab/>
        <w:t>Исследование факторов риска впервые позволило проанализировать особенности рациона и приема пищи в питании взрослых в Федерации Боснии и Герцеговины.  Целевой группой населения при проведении исследования факторов риска в случае неинфекционных заболеваний были граждане Федерации Боснии и Герцеговины в возрасте 35 и 64 лет.  Численность обследуемой группы составляла 3 020 человек.  Антропометрические замеры включали измерение роста, веса, объема талии и бедер, и для оценки состояния здоровья людей использовались рекомендуемые значения индекса массы тела (ИМТ).</w:t>
      </w:r>
    </w:p>
    <w:p w:rsidR="00000000" w:rsidRDefault="00000000"/>
    <w:p w:rsidR="00000000" w:rsidRDefault="00000000">
      <w:r>
        <w:t>441.</w:t>
      </w:r>
      <w:r>
        <w:tab/>
        <w:t>В целом было установлено, что 21,5% респондентов имеют излишний вес, 41% - вес  выше нормального и 36,9% - нормальный или недостаточный вес.  С годами отмечается статистически значимое увеличение доли респондентов, имеющих излишний вес, особенно тех, кто страдает ожирением.  Кроме того, доля людей с излишним весом обычно выше среди женщин, тогда как доля тех, кто имеет вес больше нормального, выше среди мужчин при ИМТ в пределах между 25 и 30.</w:t>
      </w:r>
    </w:p>
    <w:p w:rsidR="00000000" w:rsidRDefault="00000000"/>
    <w:p w:rsidR="00000000" w:rsidRDefault="00000000">
      <w:r>
        <w:t>442.</w:t>
      </w:r>
      <w:r>
        <w:tab/>
        <w:t>Исследования показали, что 15,1% респондентов проявляют физическую активность в свободное время более одного раза в неделю, при этом физическая активность определяется как упражнения, приводящие к учащенному дыханию или выделению пота.  По возрастным группам доля физически активных мужчин (19,6%) превышает долю физически активных женщин (12%).  Результаты исследования ясно указывают на то, что среди взрослого населения Федерации Боснии и Герцеговины отсутствует недоедание.  С другой стороны, бо</w:t>
      </w:r>
      <w:r>
        <w:rPr>
          <w:rFonts w:ascii="Tahoma" w:hAnsi="Tahoma" w:cs="Tahoma"/>
        </w:rPr>
        <w:t></w:t>
      </w:r>
      <w:r>
        <w:t xml:space="preserve">льшая часть взрослого населения ведет спокойный образ жизни, что находит отражение в наличии значительного количества лиц с излишним весом, подверженных риску заболевания неинфекционными болезнями, входящими в пять основных групп болезней.  Неинфекционные болезни являются также основной причиной смертности населения. </w:t>
      </w:r>
    </w:p>
    <w:p w:rsidR="00000000" w:rsidRDefault="00000000"/>
    <w:p w:rsidR="00000000" w:rsidRDefault="00000000">
      <w:r>
        <w:t>443.</w:t>
      </w:r>
      <w:r>
        <w:tab/>
        <w:t xml:space="preserve">Все это говорит о необходимости осуществления профилактических программ в области здравоохранения.  Такая работа предусматривается в рамках плана действий в области обеспечения продовольствием и питания в Федерации Боснии и Герцеговины, подготовка которого завершается.  </w:t>
      </w:r>
    </w:p>
    <w:p w:rsidR="00000000" w:rsidRDefault="00000000"/>
    <w:p w:rsidR="00000000" w:rsidRDefault="00000000">
      <w:r>
        <w:t>444.</w:t>
      </w:r>
      <w:r>
        <w:tab/>
        <w:t xml:space="preserve">В Республике Сербской в 2002 году Институтом здравоохранения Республики Сербской в Бане-Луке было проведено исследование влияния поведения детей школьного возраста на их здоровье.  В рамках этого исследования была собрана информация о питании детей школьного возраста в Республике Сербской.  Целевыми группами были три возрастных группы - 11, 13 и 15 лет - а общее количество обследуемых учащихся составило 5 134 человека.  </w:t>
      </w:r>
    </w:p>
    <w:p w:rsidR="00000000" w:rsidRDefault="00000000"/>
    <w:p w:rsidR="00000000" w:rsidRDefault="00000000">
      <w:r>
        <w:t>445.</w:t>
      </w:r>
      <w:r>
        <w:tab/>
        <w:t>Результаты исследования свидетельствуют о том, что 86% респондентов завтракают каждый день и 94% респондентов чистят зубы один или несколько раз в день.  Кроме того, 88% из них проявляют физическую активность более двух раз в неделю на протяжении 60 минут.  Количество детей, не проявляющих физической активности, составляет 4,2%, а тех, кто физически активен менее двух раз в неделю - 22,9%.</w:t>
      </w:r>
    </w:p>
    <w:p w:rsidR="00000000" w:rsidRDefault="00000000"/>
    <w:p w:rsidR="00000000" w:rsidRDefault="00000000">
      <w:r>
        <w:t>446.</w:t>
      </w:r>
      <w:r>
        <w:tab/>
        <w:t>На уровне Боснии и Герцеговины и в Республике Сербской был разработан План действий в интересах детей на 2010 год.  В рамках этого Плана действий в отношении охраны здоровья матерей и детей должно быть уделено внимание осуществлению профилактических программ, которые также предусмотрены в Плане действий Федерации Боснии и Герцеговины.</w:t>
      </w:r>
    </w:p>
    <w:p w:rsidR="00000000" w:rsidRDefault="00000000"/>
    <w:p w:rsidR="00000000" w:rsidRDefault="00000000">
      <w:r>
        <w:t>447.</w:t>
      </w:r>
      <w:r>
        <w:tab/>
        <w:t>В 2002 году в Республике Сербской было проведено исследование факторов риска в отношении неинфекционных заболеваний.  Целевая группа населения включала жителей Республики Сербской в возрасте от 25 до 64 лет, и обследованием было охвачено 5 952 респондента.  Среди респондентов 1 143 человека были моложе 18 лет (19,25%) и 4 328 респондентов - старше 18 лет (90%).  Антропометрическое обследование включало измерение роста, веста, объема талии и бедер.  Для оценки питания использовались рекомендуемые значения индекса массы тела (ИМТ).</w:t>
      </w:r>
    </w:p>
    <w:p w:rsidR="00000000" w:rsidRDefault="00000000"/>
    <w:p w:rsidR="00000000" w:rsidRDefault="00000000">
      <w:r>
        <w:t>448.</w:t>
      </w:r>
      <w:r>
        <w:tab/>
        <w:t>В целом индекс массы тела, превышающий 27, был отмечен у 55,7% респондентов, или у 650 000 человек.  Результаты исследования показали, что 6,7% респондентов проявляют физическую активность, 42,1% страдают гипертонией и у 55% респондентов уровень холестерина превышает 5,5 ммол/л (миллимолей на литр).</w:t>
      </w:r>
    </w:p>
    <w:p w:rsidR="00000000" w:rsidRDefault="00000000"/>
    <w:p w:rsidR="00000000" w:rsidRDefault="00000000">
      <w:r>
        <w:t>449.</w:t>
      </w:r>
      <w:r>
        <w:tab/>
        <w:t>Полученные результаты свидетельствуют о том, что на территории нашей страны отсутствует недоедание, тогда как бо</w:t>
      </w:r>
      <w:r>
        <w:rPr>
          <w:rFonts w:ascii="Tahoma" w:hAnsi="Tahoma" w:cs="Tahoma"/>
        </w:rPr>
        <w:t></w:t>
      </w:r>
      <w:r>
        <w:t>льшая часть населения ведет спокойный образ жизни, что находит отражение в наличии значительного количества лиц с излишним весом, подверженных опасности хронических неинфекционных заболеваний, входящих в пять основных групп болезней.  Хронические неинфекционные заболевания являются также основной причиной смертности в Республике Сербской.</w:t>
      </w:r>
    </w:p>
    <w:p w:rsidR="00000000" w:rsidRDefault="00000000"/>
    <w:p w:rsidR="00000000" w:rsidRDefault="00000000">
      <w:pPr>
        <w:keepNext/>
        <w:rPr>
          <w:b/>
          <w:bCs/>
        </w:rPr>
      </w:pPr>
      <w:r>
        <w:rPr>
          <w:b/>
          <w:bCs/>
        </w:rPr>
        <w:br w:type="page"/>
        <w:t>Курение и здоровье</w:t>
      </w:r>
    </w:p>
    <w:p w:rsidR="00000000" w:rsidRDefault="00000000">
      <w:pPr>
        <w:keepNext/>
        <w:rPr>
          <w:b/>
          <w:bCs/>
        </w:rPr>
      </w:pPr>
    </w:p>
    <w:p w:rsidR="00000000" w:rsidRDefault="00000000">
      <w:pPr>
        <w:keepNext/>
        <w:spacing w:line="276" w:lineRule="auto"/>
      </w:pPr>
      <w:r>
        <w:t>450.</w:t>
      </w:r>
      <w:r>
        <w:tab/>
        <w:t>При анализе состояния здоровья населения Федерации Боснии и Герцеговины серьезное внимание должно уделяться контролю за тенденциями к приобретению вредных привычек, таких, как курение, потребление алкоголя и использование психотропных веществ.  Оценка позитивных и негативных тенденций осуществляется с помощью официальных статистических данных в области здравоохранения, а также в рамках научных исследований, и ее цель заключается в определении уровня подверженности населения воздействию определенных факторов риска, а также в разработке профилактических программ, ориентированных на наиболее уязвимые группы населения.</w:t>
      </w:r>
    </w:p>
    <w:p w:rsidR="00000000" w:rsidRDefault="00000000">
      <w:pPr>
        <w:keepNext/>
      </w:pPr>
    </w:p>
    <w:p w:rsidR="00000000" w:rsidRDefault="00000000">
      <w:pPr>
        <w:keepNext/>
        <w:spacing w:line="276" w:lineRule="auto"/>
      </w:pPr>
      <w:r>
        <w:t>451.</w:t>
      </w:r>
      <w:r>
        <w:tab/>
        <w:t>Согласно результатам исследования факторов риска в отношении неинфекционных заболеваний среди взрослого населения Федерации Боснии и Герцеговины, проведенного в 2002 году Институтом здравоохранения Федерации Боснии и Герцеговины, самой распространенной вредной привычкой в Федерации Боснии и Герцеговины по</w:t>
      </w:r>
      <w:r>
        <w:noBreakHyphen/>
        <w:t>прежнему остается курение.  Значительная доля респондентов (37,6%) курит ежедневно, и среди молодежи количество курящих является высоким.  Согласно результатам исследования влияния на здоровье особенностей поведения, проведенного среди детей школьного возраста в Федерации Боснии и Герцеговины, проблема курения рассматривалась с двух позиций - на основании данных о привычке к курению в прошлом и в настоящее время.  Что касается прошлых привычек к курению, то 20,8% респондентов подтвердили, что ранее они курили, среди которых мальчиков (25,3%) больше, чем девочек (16,3%).  Доля курильщиков росла среди детей возраста от 12 до 14 лет.  Однако важно отметить, что в связи с исследованием существующих привычек к курению 90,6% респондентов утверждают, что они не курят, к числу которых относятся 87,7% мальчиков и 93,5% девочек.</w:t>
      </w:r>
    </w:p>
    <w:p w:rsidR="00000000" w:rsidRDefault="00000000"/>
    <w:p w:rsidR="00000000" w:rsidRDefault="00000000">
      <w:pPr>
        <w:keepNext/>
        <w:spacing w:line="276" w:lineRule="auto"/>
      </w:pPr>
      <w:r>
        <w:t>452.</w:t>
      </w:r>
      <w:r>
        <w:tab/>
        <w:t xml:space="preserve">При анализе состояния здоровья населения Республики Сербской серьезное внимание уделяется контролю за тенденциями в области вредных привычек, таких, как потребление табака, алкоголя и психотропных веществ.  Оценка позитивных и негативных тенденций осуществляется с помощью официальных статистических данных в области здравоохранения или в рамках научных исследований, цель которых заключается в получении исходных данных для определения уровня подверженности населения воздействию специфических факторов риска, а также в разработке профилактических программ, ориентированных на наиболее уязвимые группы населения.  Согласно результатам исследования факторов риска в отношении неинфекционных заболеваний среди взрослого населения Республики Сербской, проведенного Институтом здравоохранения осенью 2002 года, курение является самой распространенной вредной привычкой среди взрослого населения Республики Сербской;  ежедневно курят 33,6% населения, или 420 000 человек в возрасте старше 18 лет.  </w:t>
      </w:r>
    </w:p>
    <w:p w:rsidR="00000000" w:rsidRDefault="00000000"/>
    <w:p w:rsidR="00000000" w:rsidRDefault="00000000">
      <w:pPr>
        <w:keepNext/>
        <w:spacing w:line="276" w:lineRule="auto"/>
      </w:pPr>
      <w:r>
        <w:t>453.</w:t>
      </w:r>
      <w:r>
        <w:tab/>
        <w:t>В рамках исследования, проведенного среди детей школьного возраста в Республике Сербской, проблема курения рассматривалась с двух позиций:  курение в прошлом и существующая привычка к курению.  Что касается наличия привычки к курению в прошлом, то 14,2% респондентов подтвердили ее (4,1% респондентов курили в возрасте 11 лет, 11,6% - в возрасте 13 лет и 26,8% - в возрасте 15 лет), тогда как 4,2% респондентов сообщили, что они курят в настоящее время (0,7% - в возрасте 11 лет, 11,4% - в возрасте 13 лет и 10,6% - в возрасте 15 лет).</w:t>
      </w:r>
    </w:p>
    <w:p w:rsidR="00000000" w:rsidRDefault="00000000"/>
    <w:p w:rsidR="00000000" w:rsidRDefault="00000000">
      <w:pPr>
        <w:rPr>
          <w:b/>
          <w:bCs/>
        </w:rPr>
      </w:pPr>
      <w:r>
        <w:rPr>
          <w:b/>
          <w:bCs/>
        </w:rPr>
        <w:t>Алкоголь и здоровье</w:t>
      </w:r>
    </w:p>
    <w:p w:rsidR="00000000" w:rsidRDefault="00000000">
      <w:pPr>
        <w:rPr>
          <w:b/>
          <w:bCs/>
        </w:rPr>
      </w:pPr>
    </w:p>
    <w:p w:rsidR="00000000" w:rsidRDefault="00000000">
      <w:pPr>
        <w:keepNext/>
        <w:spacing w:line="276" w:lineRule="auto"/>
      </w:pPr>
      <w:r>
        <w:t>454.</w:t>
      </w:r>
      <w:r>
        <w:tab/>
        <w:t>Согласно результатам исследования факторов риска в отношении неинфекционных заболеваний среди взрослого населения Федерации Боснии и Герцеговины 29,5% респондентов без каких-либо значительных расхождений по возрастным группам подтвердили, что в течение года, предшествовавшего обследованию, они пили алкогольные напитки, не уточняя количество потребленного алкоголя.  В ответах респондентов </w:t>
      </w:r>
      <w:r>
        <w:noBreakHyphen/>
        <w:t xml:space="preserve"> мужчин и женщин  </w:t>
      </w:r>
      <w:r>
        <w:noBreakHyphen/>
        <w:t xml:space="preserve"> существовали большие расхождения;  о потреблении алкоголя сообщили 54,1% мужчин и лишь 12,5% женщин.</w:t>
      </w:r>
    </w:p>
    <w:p w:rsidR="00000000" w:rsidRDefault="00000000"/>
    <w:p w:rsidR="00000000" w:rsidRDefault="00000000">
      <w:pPr>
        <w:keepNext/>
        <w:spacing w:line="276" w:lineRule="auto"/>
      </w:pPr>
      <w:r>
        <w:t>455.</w:t>
      </w:r>
      <w:r>
        <w:tab/>
        <w:t xml:space="preserve">Важным показателем потребления алкоголя и его воздействия на здоровье населения является количество случаев заболеваний, связанных с алкоголем как фактором риска.  Согласно информации, предоставленной Институтом здравоохранения Федерации, среди населения в возрасте старше 19 лет в период с 1998 по 2002 год отмечалась тенденция к росту психических и поведенческих расстройств, вызванных потреблением алкоголя, при уровне заболеваемости, составляющем 101,3 случая на 100 000 человек.  Отмечалась также тенденция к росту в отношении количества случаев заболеваний печени, связанных с потреблением алкоголя, от уровня в 65,5 случая на 100 000 человек до уровня 67,2 случая на 100 000 человек в 2002 году.  </w:t>
      </w:r>
    </w:p>
    <w:p w:rsidR="00000000" w:rsidRDefault="00000000"/>
    <w:p w:rsidR="00000000" w:rsidRDefault="00000000">
      <w:r>
        <w:t>456.</w:t>
      </w:r>
      <w:r>
        <w:tab/>
        <w:t xml:space="preserve">Согласно результатам исследования факторов риска среди взрослых в Республике Сербской в последние годы алкоголь потребляло 78% взрослого населения, а 10% (109 000) людей потребляли алкоголь ежедневно.  </w:t>
      </w:r>
    </w:p>
    <w:p w:rsidR="00000000" w:rsidRDefault="00000000"/>
    <w:p w:rsidR="00000000" w:rsidRDefault="00000000">
      <w:r>
        <w:t>457.</w:t>
      </w:r>
      <w:r>
        <w:tab/>
        <w:t xml:space="preserve">По результатам исследования, проведенного среди детей школьного возраста в Республике Сербской, 41% респондентов пьют пиво (31,5% респондентов в возрасте 11 лет, 42,4% - в возрасте 13 лет и 48,7% - в возрасте 15 лет), 33,4% пьют вино (22,8% респондентов в возрасте 11 лет, 36% - в возрасте 13 лет и 41,3% - в возрасте 15 лет).  Крепкие спиртные напитки потребляют 12% детей школьного возраста (8,7% - в возрасте 11 лет, 14,3% - в возрасте 13 лет и 13% - в возрасте 15 лет). </w:t>
      </w:r>
    </w:p>
    <w:p w:rsidR="00000000" w:rsidRDefault="00000000"/>
    <w:p w:rsidR="00000000" w:rsidRDefault="00000000">
      <w:pPr>
        <w:keepNext/>
        <w:rPr>
          <w:b/>
          <w:bCs/>
        </w:rPr>
      </w:pPr>
      <w:r>
        <w:rPr>
          <w:b/>
          <w:bCs/>
        </w:rPr>
        <w:t>Наркотики и психотропные вещества</w:t>
      </w:r>
    </w:p>
    <w:p w:rsidR="00000000" w:rsidRDefault="00000000">
      <w:pPr>
        <w:keepNext/>
        <w:rPr>
          <w:b/>
          <w:bCs/>
        </w:rPr>
      </w:pPr>
    </w:p>
    <w:p w:rsidR="00000000" w:rsidRDefault="00000000">
      <w:r>
        <w:t>458.</w:t>
      </w:r>
      <w:r>
        <w:tab/>
        <w:t xml:space="preserve">Нынешняя социально-экономическая обстановка в постконфликтной Боснии и Герцеговине располагает к злоупотреблению наркотиками и другими видами злоупотреблений.  При анализе существующей тенденции используются результаты соответствующих исследований.  Поскольку злоупотребление наркотиками и психотропными веществами обычно связано с ВИЧ/СПИДом, в 2001 году в Федерации Боснии и Герцеговины был осуществлен Проект ЮНИСЕФ по быстрой оценке и реагированию, который охватил 676 молодых людей в Тузле, Мостаре и Сараево.  Из 212 человек, потребляющих наркотики, 128 мужчин и 83 женщины, средний возраст которых составляет 18 лет, подтвердили, что впервые использовали наркотики, когда им было 15 лет.  Среди всех респондентов 67,9% имели половые сношения, 35,3% считают, что им угрожают ВИЧ и другие заболевания, передающиеся половым путем, и лишь 4,2% прошли проверку на наличие ВИЧ.  Что касается вида потребляемых ими наркотических средств и психотропных веществ, то это были марихуана (52,8%), экстази (18,4%) и диазепам (9,4%).  Кроме того, 50% респондентов сообщили об использовании одновременно двух или нескольких видов наркотических средств, а 37,7% респондентов подтвердили, что имели половые отношения, находясь под воздействием наркотиков.  </w:t>
      </w:r>
    </w:p>
    <w:p w:rsidR="00000000" w:rsidRDefault="00000000"/>
    <w:p w:rsidR="00000000" w:rsidRDefault="00000000">
      <w:r>
        <w:t>459.</w:t>
      </w:r>
      <w:r>
        <w:tab/>
        <w:t>В поддержку повышения эффективности борьбы против рискованного поведения и вредных привычек под эгидой федерального министерства здравоохранения в 2001 году в парламент для утверждения был направлен документ под названием "Федеральная программа профилактики алкоголизма и наркомании".</w:t>
      </w:r>
    </w:p>
    <w:p w:rsidR="00000000" w:rsidRDefault="00000000"/>
    <w:p w:rsidR="00000000" w:rsidRDefault="00000000">
      <w:pPr>
        <w:keepNext/>
        <w:rPr>
          <w:b/>
          <w:bCs/>
        </w:rPr>
      </w:pPr>
      <w:r>
        <w:rPr>
          <w:b/>
          <w:bCs/>
        </w:rPr>
        <w:t>Оздоровление окружающей среды и производственная гигиена</w:t>
      </w:r>
    </w:p>
    <w:p w:rsidR="00000000" w:rsidRDefault="00000000">
      <w:pPr>
        <w:keepNext/>
        <w:rPr>
          <w:b/>
          <w:bCs/>
        </w:rPr>
      </w:pPr>
    </w:p>
    <w:p w:rsidR="00000000" w:rsidRDefault="00000000">
      <w:r>
        <w:t>460.</w:t>
      </w:r>
      <w:r>
        <w:tab/>
        <w:t xml:space="preserve">Воздействию экологических факторов риска подвержены все группы населения, но особенно дети, беременные женщины, хронические больные и престарелые.  </w:t>
      </w:r>
    </w:p>
    <w:p w:rsidR="00000000" w:rsidRDefault="00000000"/>
    <w:p w:rsidR="00000000" w:rsidRDefault="00000000">
      <w:r>
        <w:t>461.</w:t>
      </w:r>
      <w:r>
        <w:tab/>
        <w:t xml:space="preserve">Огромное влияние на здоровье людей оказывает вода.  Именно поэтому проблема водоснабжения имеет первоочередное значение в Федерации Боснии и Герцеговины, где, по некоторым оценкам, около 50% населения пользуются системой водоснабжения.  Лишь около 55% населения охвачено мерами контроля за водной гигиеной, включающими проведение на удовлетворительном уровне микробиологического, химического и радиологического контроля.  При наличии зон с неодинаковым уровнем санитарной защиты и старом способе очистки воды с помощью хлора главной проблемой становится отсутствие единого реестра установок водоснабжения.  Это препятствует полномасштабной проверке текущего состояния и мер, принимаемых с целью улучшения водоснабжения в Федерации Боснии и Герцеговины.  Качество подаваемой воды можно оценить по эпидемиологической обстановке в отношении некоторых болезней, передаваемых через воду, главным образом кишечных инфекционных заболеваний.  Некоторое улучшение эпидемиологической обстановки за последние два года может рассматриваться как признак определенного повышения эффективности работы системы водоснабжения. </w:t>
      </w:r>
    </w:p>
    <w:p w:rsidR="00000000" w:rsidRDefault="00000000"/>
    <w:p w:rsidR="00000000" w:rsidRDefault="00000000">
      <w:r>
        <w:t>462.</w:t>
      </w:r>
      <w:r>
        <w:tab/>
        <w:t>При ознакомлении с результатами микробиологических и химических анализов, проводимых государственными медицинскими лабораториями Федерации Боснии и Герцеговины, входящими в систему обязательного информирования (в отличие от других учреждений, осуществляющих контроль за химическим качеством воды), можно отметить относительно высокий уровень опасных с микробиологической и химической точек зрения проб.  Большинство загрязняющих примесей составляют колиподобные бактерии и фекальные стрептококки, а в число химических примесей входят аммиак, нитраты, нитриты, редкие тяжелые металлы и другие токсичные вещества.  Основные причины загрязнения водных источников связаны с деятельностью человека, такой, как сброс жидких отходов промышленных предприятий и бытовых отходов.  Помимо неудовлетворительного положения с водоснабжением и канализационными трубами на качество воды влияет неорганизованное удаление отходов, что приводит к повышению подверженности населения воздействию микробиологически и химически загрязненной воды.  Анализ пищевых продуктов, в том числе воды, включает их микробиологический, химический и радиологический анализ еще до появления их на рынке, тогда как анализ во время реализации предполагает некоторые виды анализа после того, как пищевые продукты выставлены на продажу на местных и зарубежных рынках, т.е. когда они доступны для потребителей.</w:t>
      </w:r>
    </w:p>
    <w:p w:rsidR="00000000" w:rsidRDefault="00000000"/>
    <w:p w:rsidR="00000000" w:rsidRDefault="00000000">
      <w:r>
        <w:t>463.</w:t>
      </w:r>
      <w:r>
        <w:tab/>
        <w:t>Концепция экологического здоровья требует, чтобы часть деятельности в области здравоохранения была направлена на совершенствование взаимодействия между человеком и окружающей его средой, принимая во внимание продолжающееся ухудшение экологической обстановки как следствие реализации традиционных современных угроз.  В условиях роста населения, расширения масштабов миграции и модернизации повышается использование экологически токсичных веществ, радиоактивных веществ и</w:t>
      </w:r>
      <w:r>
        <w:rPr>
          <w:lang w:val="en-US"/>
        </w:rPr>
        <w:t> </w:t>
      </w:r>
      <w:r>
        <w:t>т.д.  Изменение качества окружающей среды оказывает непосредственное влияние на здоровье человека через воду, воздух, почву и косвенно через пищевую цепочку.</w:t>
      </w:r>
    </w:p>
    <w:p w:rsidR="00000000" w:rsidRDefault="00000000"/>
    <w:p w:rsidR="00000000" w:rsidRDefault="00000000">
      <w:r>
        <w:t>464.</w:t>
      </w:r>
      <w:r>
        <w:tab/>
        <w:t xml:space="preserve">Пропаганда здоровья каждого человека и общества в Республике Сербской должна стать целью всех стратегий в области развития.  Экологические факторы могут способствовать обеспечению динамического равновесия, т.е. равновесия между здоровьем и его источниками (вода, воздух, пища, почва и жилье);  однако когда они изменяются и создают угрозу для служащего основой здоровья равновесия, уменьшая сопротивляемость организма и приводя к заболеваниям, мы называем их опасными для здоровья.  </w:t>
      </w:r>
    </w:p>
    <w:p w:rsidR="00000000" w:rsidRDefault="00000000"/>
    <w:p w:rsidR="00000000" w:rsidRDefault="00000000">
      <w:r>
        <w:t>465.</w:t>
      </w:r>
      <w:r>
        <w:tab/>
        <w:t>Качество жизни и благосостояние людей зависят от качества окружающей среды, которое классифицируется по четырем уровням:</w:t>
      </w:r>
    </w:p>
    <w:p w:rsidR="00000000" w:rsidRDefault="00000000"/>
    <w:p w:rsidR="00000000" w:rsidRDefault="00000000">
      <w:pPr>
        <w:numPr>
          <w:ilvl w:val="0"/>
          <w:numId w:val="54"/>
        </w:numPr>
      </w:pPr>
      <w:r>
        <w:t>среда для выживания, обеспечивающая подавление грозных эпидемических тенденций;</w:t>
      </w:r>
    </w:p>
    <w:p w:rsidR="00000000" w:rsidRDefault="00000000">
      <w:pPr>
        <w:ind w:left="1134" w:hanging="1134"/>
      </w:pPr>
    </w:p>
    <w:p w:rsidR="00000000" w:rsidRDefault="00000000">
      <w:pPr>
        <w:numPr>
          <w:ilvl w:val="0"/>
          <w:numId w:val="54"/>
        </w:numPr>
      </w:pPr>
      <w:r>
        <w:t>среда базовой безопасности, характеризуемая подавлением эпидемических тенденций, а также возможностью несчастных случаев и влияния на состояние здоровья недоедания;</w:t>
      </w:r>
    </w:p>
    <w:p w:rsidR="00000000" w:rsidRDefault="00000000">
      <w:pPr>
        <w:ind w:left="1134" w:hanging="1134"/>
      </w:pPr>
    </w:p>
    <w:p w:rsidR="00000000" w:rsidRDefault="00000000">
      <w:pPr>
        <w:numPr>
          <w:ilvl w:val="0"/>
          <w:numId w:val="54"/>
        </w:numPr>
      </w:pPr>
      <w:r>
        <w:t>позитивная среда, для которой характерно наличие надлежащего питания, стимулов к труду и необходимых для него условий (здоровый образ жизни);</w:t>
      </w:r>
    </w:p>
    <w:p w:rsidR="00000000" w:rsidRDefault="00000000">
      <w:pPr>
        <w:ind w:left="1134" w:hanging="1134"/>
      </w:pPr>
    </w:p>
    <w:p w:rsidR="00000000" w:rsidRDefault="00000000">
      <w:pPr>
        <w:numPr>
          <w:ilvl w:val="0"/>
          <w:numId w:val="54"/>
        </w:numPr>
      </w:pPr>
      <w:r>
        <w:t>комфортная среда, обеспечивающая мотивацию и эстетичную обстановку.</w:t>
      </w:r>
    </w:p>
    <w:p w:rsidR="00000000" w:rsidRDefault="00000000">
      <w:pPr>
        <w:ind w:left="1134" w:hanging="1134"/>
      </w:pPr>
    </w:p>
    <w:p w:rsidR="00000000" w:rsidRDefault="00000000">
      <w:pPr>
        <w:ind w:left="1134" w:hanging="1134"/>
        <w:rPr>
          <w:b/>
          <w:bCs/>
        </w:rPr>
      </w:pPr>
      <w:r>
        <w:rPr>
          <w:b/>
          <w:bCs/>
        </w:rPr>
        <w:t>Вода</w:t>
      </w:r>
    </w:p>
    <w:p w:rsidR="00000000" w:rsidRDefault="00000000">
      <w:pPr>
        <w:ind w:left="1134" w:hanging="1134"/>
        <w:rPr>
          <w:b/>
          <w:bCs/>
        </w:rPr>
      </w:pPr>
    </w:p>
    <w:p w:rsidR="00000000" w:rsidRDefault="00000000">
      <w:pPr>
        <w:tabs>
          <w:tab w:val="clear" w:pos="1134"/>
          <w:tab w:val="left" w:pos="1122"/>
        </w:tabs>
      </w:pPr>
      <w:r>
        <w:t>466.</w:t>
      </w:r>
      <w:r>
        <w:tab/>
        <w:t>В связи с важной ролью воды в жизни человека ВОЗ установила критерии в отношении потребностей и качества питьевой воды из-за того воздействия, которое она оказывает на здоровье людей.  Эта организация подтвердила значение воды как незаменимого в глобальном плане источника.  Удовлетворительное снабжение гигиенически чистой питьевой водой является императивом современной жизни, мерилом благосостояния и процветания.</w:t>
      </w:r>
    </w:p>
    <w:p w:rsidR="00000000" w:rsidRDefault="00000000">
      <w:pPr>
        <w:tabs>
          <w:tab w:val="clear" w:pos="1134"/>
          <w:tab w:val="left" w:pos="1122"/>
        </w:tabs>
      </w:pPr>
    </w:p>
    <w:p w:rsidR="00000000" w:rsidRDefault="00000000">
      <w:pPr>
        <w:tabs>
          <w:tab w:val="clear" w:pos="1134"/>
          <w:tab w:val="left" w:pos="1122"/>
        </w:tabs>
      </w:pPr>
      <w:r>
        <w:t>467.</w:t>
      </w:r>
      <w:r>
        <w:tab/>
        <w:t>В Республике Сербской 51,4% семей получают воду от городских систем водоснабжения, 27,7% - от местных систем водоснабжения, а 13,45% домашних хозяйств в качестве источника питьевой воды используют колодцы.  С перебоями в подаче питьевой воды сталкиваются 41,6% домашних хозяйств (42,2% - в городских и 41,1% - в</w:t>
      </w:r>
      <w:r>
        <w:rPr>
          <w:lang w:val="en-US"/>
        </w:rPr>
        <w:t> </w:t>
      </w:r>
      <w:r>
        <w:t>сельских районах).  В Республике Сербской отсутствует единый реестр установок водоснабжения, а целый ряд систем не имеют необходимой технической и технологической документации или не установили санитарные зоны для защиты источников и дезинфекции.  Из-за дряхлости распределительных сетей во многих центральных системах водоснабжения происходит значительная потеря воды (25-60%).  Проблемы с питьевой водой и ее гигиеническим качеством наиболее часто связаны с неправильным уделением жидких и твердых промышленных и бытовых отходов, с отсутствием или несоответствием нормам зон защиты систем водоснабжения, с непродуманным сооружением военных объектов и резервуаров, отсутствием материальных источников для их содержания и эксплуатации, с неудовлетворительным соблюдением технологического производственного процесса и процесса кондиционирования воды и, особенно, с невыполнением или неправильным выполнением процесса дезинфекции.</w:t>
      </w:r>
    </w:p>
    <w:p w:rsidR="00000000" w:rsidRDefault="00000000">
      <w:pPr>
        <w:tabs>
          <w:tab w:val="clear" w:pos="1134"/>
          <w:tab w:val="left" w:pos="1122"/>
        </w:tabs>
      </w:pPr>
    </w:p>
    <w:p w:rsidR="00000000" w:rsidRDefault="00000000">
      <w:r>
        <w:t>468.</w:t>
      </w:r>
      <w:r>
        <w:tab/>
        <w:t>В соответствии с действующим законодательством государственный санитарный контроль за качеством воды осуществляется шестью лабораториями Института здравоохранения Республики Сербской (в Бане-Луке, Добое, Лукавице, Зворнике, Србине и Требине).  Они несут ответственность за распространение, контроль, проверку и представление данных, касающихся эпидемиологической обстановки на местах.  В</w:t>
      </w:r>
      <w:r>
        <w:rPr>
          <w:lang w:val="en-US"/>
        </w:rPr>
        <w:t> </w:t>
      </w:r>
      <w:r>
        <w:t xml:space="preserve">соответствии с принципами анализа рисков в критических точках контроля службы водоснабжения регулярно проверяют ремонтируемые установки, а также производство и подачу питьевой воды конечным пользователям.  В предыдущие годы в результате микробиологических проверок наиболее часто выявлялось повышенное содержание аэробных мезофилических бактерий, кишечной палочки и фекальных стрептококков, а в результате химического анализа - содержание органических веществ, аммиака, нитратов, нитритов, железа и других токсичных веществ (подлежат удалению путем обеззараживания).  В целом можно сказать, что мерами государственного контроля в области здравоохранения охвачено около 50% населения.  </w:t>
      </w:r>
    </w:p>
    <w:p w:rsidR="00000000" w:rsidRDefault="00000000"/>
    <w:p w:rsidR="00000000" w:rsidRDefault="00000000">
      <w:pPr>
        <w:jc w:val="center"/>
        <w:rPr>
          <w:b/>
          <w:bCs/>
        </w:rPr>
      </w:pPr>
      <w:r>
        <w:rPr>
          <w:b/>
          <w:bCs/>
        </w:rPr>
        <w:t>Таблица 14</w:t>
      </w:r>
    </w:p>
    <w:p w:rsidR="00000000" w:rsidRDefault="00000000">
      <w:pPr>
        <w:jc w:val="center"/>
        <w:rPr>
          <w:b/>
          <w:bCs/>
        </w:rPr>
      </w:pPr>
    </w:p>
    <w:p w:rsidR="00000000" w:rsidRDefault="00000000">
      <w:pPr>
        <w:jc w:val="center"/>
        <w:rPr>
          <w:b/>
          <w:bCs/>
        </w:rPr>
      </w:pPr>
      <w:r>
        <w:rPr>
          <w:b/>
          <w:bCs/>
        </w:rPr>
        <w:t>Анализ воды</w:t>
      </w:r>
    </w:p>
    <w:p w:rsidR="00000000" w:rsidRDefault="00000000">
      <w:pPr>
        <w:jc w:val="center"/>
        <w:rPr>
          <w:b/>
          <w:bCs/>
        </w:rPr>
      </w:pPr>
    </w:p>
    <w:tbl>
      <w:tblPr>
        <w:tblW w:w="0" w:type="auto"/>
        <w:jc w:val="center"/>
        <w:tblInd w:w="-1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1170"/>
        <w:gridCol w:w="1531"/>
        <w:gridCol w:w="1302"/>
        <w:gridCol w:w="1203"/>
        <w:gridCol w:w="1624"/>
        <w:gridCol w:w="1173"/>
      </w:tblGrid>
      <w:tr w:rsidR="00000000">
        <w:tblPrEx>
          <w:tblCellMar>
            <w:top w:w="0" w:type="dxa"/>
            <w:bottom w:w="0" w:type="dxa"/>
          </w:tblCellMar>
        </w:tblPrEx>
        <w:trPr>
          <w:cantSplit/>
          <w:jc w:val="center"/>
        </w:trPr>
        <w:tc>
          <w:tcPr>
            <w:tcW w:w="5173" w:type="dxa"/>
            <w:gridSpan w:val="4"/>
          </w:tcPr>
          <w:p w:rsidR="00000000" w:rsidRDefault="00000000">
            <w:pPr>
              <w:jc w:val="center"/>
            </w:pPr>
            <w:r>
              <w:t>Физические/химические анализы</w:t>
            </w:r>
          </w:p>
        </w:tc>
        <w:tc>
          <w:tcPr>
            <w:tcW w:w="4000" w:type="dxa"/>
            <w:gridSpan w:val="3"/>
          </w:tcPr>
          <w:p w:rsidR="00000000" w:rsidRDefault="00000000">
            <w:pPr>
              <w:jc w:val="center"/>
            </w:pPr>
            <w:r>
              <w:t>Микробиологические анализы</w:t>
            </w:r>
          </w:p>
        </w:tc>
      </w:tr>
      <w:tr w:rsidR="00000000">
        <w:tblPrEx>
          <w:tblCellMar>
            <w:top w:w="0" w:type="dxa"/>
            <w:bottom w:w="0" w:type="dxa"/>
          </w:tblCellMar>
        </w:tblPrEx>
        <w:trPr>
          <w:cantSplit/>
          <w:jc w:val="center"/>
        </w:trPr>
        <w:tc>
          <w:tcPr>
            <w:tcW w:w="1170" w:type="dxa"/>
            <w:vMerge w:val="restart"/>
          </w:tcPr>
          <w:p w:rsidR="00000000" w:rsidRDefault="00000000">
            <w:pPr>
              <w:pStyle w:val="Header"/>
              <w:jc w:val="center"/>
            </w:pPr>
            <w:r>
              <w:t>Год</w:t>
            </w:r>
          </w:p>
        </w:tc>
        <w:tc>
          <w:tcPr>
            <w:tcW w:w="1170" w:type="dxa"/>
            <w:vMerge w:val="restart"/>
          </w:tcPr>
          <w:p w:rsidR="00000000" w:rsidRDefault="00000000">
            <w:pPr>
              <w:spacing w:line="240" w:lineRule="auto"/>
              <w:jc w:val="center"/>
            </w:pPr>
            <w:r>
              <w:t>Всего</w:t>
            </w:r>
          </w:p>
        </w:tc>
        <w:tc>
          <w:tcPr>
            <w:tcW w:w="2833" w:type="dxa"/>
            <w:gridSpan w:val="2"/>
          </w:tcPr>
          <w:p w:rsidR="00000000" w:rsidRDefault="00000000">
            <w:pPr>
              <w:spacing w:line="216" w:lineRule="auto"/>
              <w:jc w:val="center"/>
            </w:pPr>
            <w:r>
              <w:t>Неудовлетворительные пробы</w:t>
            </w:r>
          </w:p>
        </w:tc>
        <w:tc>
          <w:tcPr>
            <w:tcW w:w="1203" w:type="dxa"/>
            <w:vMerge w:val="restart"/>
          </w:tcPr>
          <w:p w:rsidR="00000000" w:rsidRDefault="00000000">
            <w:pPr>
              <w:spacing w:line="240" w:lineRule="auto"/>
              <w:jc w:val="center"/>
            </w:pPr>
            <w:r>
              <w:t>Всего</w:t>
            </w:r>
          </w:p>
        </w:tc>
        <w:tc>
          <w:tcPr>
            <w:tcW w:w="2797" w:type="dxa"/>
            <w:gridSpan w:val="2"/>
          </w:tcPr>
          <w:p w:rsidR="00000000" w:rsidRDefault="00000000">
            <w:pPr>
              <w:pStyle w:val="Heading1"/>
              <w:spacing w:line="216" w:lineRule="auto"/>
              <w:jc w:val="center"/>
              <w:rPr>
                <w:b w:val="0"/>
                <w:caps/>
              </w:rPr>
            </w:pPr>
            <w:r>
              <w:rPr>
                <w:b w:val="0"/>
              </w:rPr>
              <w:t>Неудовлетворительные пробы</w:t>
            </w:r>
          </w:p>
        </w:tc>
      </w:tr>
      <w:tr w:rsidR="00000000">
        <w:tblPrEx>
          <w:tblCellMar>
            <w:top w:w="0" w:type="dxa"/>
            <w:bottom w:w="0" w:type="dxa"/>
          </w:tblCellMar>
        </w:tblPrEx>
        <w:trPr>
          <w:cantSplit/>
          <w:jc w:val="center"/>
        </w:trPr>
        <w:tc>
          <w:tcPr>
            <w:tcW w:w="1170" w:type="dxa"/>
            <w:vMerge/>
            <w:tcBorders>
              <w:bottom w:val="single" w:sz="4" w:space="0" w:color="auto"/>
            </w:tcBorders>
          </w:tcPr>
          <w:p w:rsidR="00000000" w:rsidRDefault="00000000"/>
        </w:tc>
        <w:tc>
          <w:tcPr>
            <w:tcW w:w="1170" w:type="dxa"/>
            <w:vMerge/>
            <w:tcBorders>
              <w:bottom w:val="single" w:sz="4" w:space="0" w:color="auto"/>
            </w:tcBorders>
          </w:tcPr>
          <w:p w:rsidR="00000000" w:rsidRDefault="00000000"/>
        </w:tc>
        <w:tc>
          <w:tcPr>
            <w:tcW w:w="1531" w:type="dxa"/>
            <w:tcBorders>
              <w:bottom w:val="single" w:sz="4" w:space="0" w:color="auto"/>
            </w:tcBorders>
          </w:tcPr>
          <w:p w:rsidR="00000000" w:rsidRDefault="00000000">
            <w:pPr>
              <w:jc w:val="center"/>
            </w:pPr>
            <w:r>
              <w:t>Количество</w:t>
            </w:r>
          </w:p>
        </w:tc>
        <w:tc>
          <w:tcPr>
            <w:tcW w:w="1302" w:type="dxa"/>
            <w:tcBorders>
              <w:bottom w:val="single" w:sz="4" w:space="0" w:color="auto"/>
            </w:tcBorders>
          </w:tcPr>
          <w:p w:rsidR="00000000" w:rsidRDefault="00000000">
            <w:pPr>
              <w:jc w:val="center"/>
            </w:pPr>
            <w:r>
              <w:t>Процент</w:t>
            </w:r>
          </w:p>
        </w:tc>
        <w:tc>
          <w:tcPr>
            <w:tcW w:w="1203" w:type="dxa"/>
            <w:vMerge/>
            <w:tcBorders>
              <w:bottom w:val="single" w:sz="4" w:space="0" w:color="auto"/>
            </w:tcBorders>
          </w:tcPr>
          <w:p w:rsidR="00000000" w:rsidRDefault="00000000"/>
        </w:tc>
        <w:tc>
          <w:tcPr>
            <w:tcW w:w="1624" w:type="dxa"/>
            <w:tcBorders>
              <w:bottom w:val="single" w:sz="4" w:space="0" w:color="auto"/>
            </w:tcBorders>
          </w:tcPr>
          <w:p w:rsidR="00000000" w:rsidRDefault="00000000">
            <w:pPr>
              <w:jc w:val="center"/>
            </w:pPr>
            <w:r>
              <w:t>Количество</w:t>
            </w:r>
          </w:p>
        </w:tc>
        <w:tc>
          <w:tcPr>
            <w:tcW w:w="1173" w:type="dxa"/>
            <w:tcBorders>
              <w:bottom w:val="single" w:sz="4" w:space="0" w:color="auto"/>
            </w:tcBorders>
          </w:tcPr>
          <w:p w:rsidR="00000000" w:rsidRDefault="00000000">
            <w:r>
              <w:t>Процент</w:t>
            </w:r>
          </w:p>
        </w:tc>
      </w:tr>
      <w:tr w:rsidR="00000000">
        <w:tblPrEx>
          <w:tblCellMar>
            <w:top w:w="0" w:type="dxa"/>
            <w:bottom w:w="0" w:type="dxa"/>
          </w:tblCellMar>
        </w:tblPrEx>
        <w:trPr>
          <w:jc w:val="center"/>
        </w:trPr>
        <w:tc>
          <w:tcPr>
            <w:tcW w:w="1170" w:type="dxa"/>
            <w:tcBorders>
              <w:bottom w:val="nil"/>
            </w:tcBorders>
          </w:tcPr>
          <w:p w:rsidR="00000000" w:rsidRDefault="00000000">
            <w:pPr>
              <w:jc w:val="center"/>
            </w:pPr>
            <w:r>
              <w:t>1998</w:t>
            </w:r>
          </w:p>
        </w:tc>
        <w:tc>
          <w:tcPr>
            <w:tcW w:w="1170" w:type="dxa"/>
            <w:tcBorders>
              <w:bottom w:val="nil"/>
            </w:tcBorders>
          </w:tcPr>
          <w:p w:rsidR="00000000" w:rsidRDefault="00000000">
            <w:pPr>
              <w:jc w:val="center"/>
            </w:pPr>
            <w:r>
              <w:t>1 831</w:t>
            </w:r>
          </w:p>
        </w:tc>
        <w:tc>
          <w:tcPr>
            <w:tcW w:w="1531" w:type="dxa"/>
            <w:tcBorders>
              <w:bottom w:val="nil"/>
            </w:tcBorders>
          </w:tcPr>
          <w:p w:rsidR="00000000" w:rsidRDefault="00000000">
            <w:pPr>
              <w:jc w:val="center"/>
            </w:pPr>
            <w:r>
              <w:t>258</w:t>
            </w:r>
          </w:p>
        </w:tc>
        <w:tc>
          <w:tcPr>
            <w:tcW w:w="1302" w:type="dxa"/>
            <w:tcBorders>
              <w:bottom w:val="nil"/>
            </w:tcBorders>
          </w:tcPr>
          <w:p w:rsidR="00000000" w:rsidRDefault="00000000">
            <w:pPr>
              <w:pStyle w:val="Header"/>
              <w:jc w:val="right"/>
            </w:pPr>
            <w:r>
              <w:t>14,09</w:t>
            </w:r>
          </w:p>
        </w:tc>
        <w:tc>
          <w:tcPr>
            <w:tcW w:w="1203" w:type="dxa"/>
            <w:tcBorders>
              <w:bottom w:val="nil"/>
            </w:tcBorders>
          </w:tcPr>
          <w:p w:rsidR="00000000" w:rsidRDefault="00000000">
            <w:pPr>
              <w:jc w:val="center"/>
            </w:pPr>
            <w:r>
              <w:t>2 380</w:t>
            </w:r>
          </w:p>
        </w:tc>
        <w:tc>
          <w:tcPr>
            <w:tcW w:w="1624" w:type="dxa"/>
            <w:tcBorders>
              <w:bottom w:val="nil"/>
            </w:tcBorders>
          </w:tcPr>
          <w:p w:rsidR="00000000" w:rsidRDefault="00000000">
            <w:pPr>
              <w:jc w:val="center"/>
            </w:pPr>
            <w:r>
              <w:t>538</w:t>
            </w:r>
          </w:p>
        </w:tc>
        <w:tc>
          <w:tcPr>
            <w:tcW w:w="1173" w:type="dxa"/>
            <w:tcBorders>
              <w:bottom w:val="nil"/>
            </w:tcBorders>
          </w:tcPr>
          <w:p w:rsidR="00000000" w:rsidRDefault="00000000">
            <w:pPr>
              <w:pStyle w:val="Header"/>
              <w:jc w:val="right"/>
            </w:pPr>
            <w:r>
              <w:t>22,6</w:t>
            </w:r>
          </w:p>
        </w:tc>
      </w:tr>
      <w:tr w:rsidR="00000000">
        <w:tblPrEx>
          <w:tblCellMar>
            <w:top w:w="0" w:type="dxa"/>
            <w:bottom w:w="0" w:type="dxa"/>
          </w:tblCellMar>
        </w:tblPrEx>
        <w:trPr>
          <w:jc w:val="center"/>
        </w:trPr>
        <w:tc>
          <w:tcPr>
            <w:tcW w:w="1170" w:type="dxa"/>
            <w:tcBorders>
              <w:top w:val="nil"/>
              <w:bottom w:val="nil"/>
            </w:tcBorders>
          </w:tcPr>
          <w:p w:rsidR="00000000" w:rsidRDefault="00000000">
            <w:pPr>
              <w:jc w:val="center"/>
            </w:pPr>
            <w:r>
              <w:t>1999</w:t>
            </w:r>
          </w:p>
        </w:tc>
        <w:tc>
          <w:tcPr>
            <w:tcW w:w="1170" w:type="dxa"/>
            <w:tcBorders>
              <w:top w:val="nil"/>
              <w:bottom w:val="nil"/>
            </w:tcBorders>
          </w:tcPr>
          <w:p w:rsidR="00000000" w:rsidRDefault="00000000">
            <w:pPr>
              <w:jc w:val="center"/>
            </w:pPr>
            <w:r>
              <w:t>2 077</w:t>
            </w:r>
          </w:p>
        </w:tc>
        <w:tc>
          <w:tcPr>
            <w:tcW w:w="1531" w:type="dxa"/>
            <w:tcBorders>
              <w:top w:val="nil"/>
              <w:bottom w:val="nil"/>
            </w:tcBorders>
          </w:tcPr>
          <w:p w:rsidR="00000000" w:rsidRDefault="00000000">
            <w:pPr>
              <w:jc w:val="center"/>
            </w:pPr>
            <w:r>
              <w:t>245</w:t>
            </w:r>
          </w:p>
        </w:tc>
        <w:tc>
          <w:tcPr>
            <w:tcW w:w="1302" w:type="dxa"/>
            <w:tcBorders>
              <w:top w:val="nil"/>
              <w:bottom w:val="nil"/>
            </w:tcBorders>
          </w:tcPr>
          <w:p w:rsidR="00000000" w:rsidRDefault="00000000">
            <w:pPr>
              <w:pStyle w:val="Header"/>
              <w:jc w:val="right"/>
            </w:pPr>
            <w:r>
              <w:t>11,79</w:t>
            </w:r>
          </w:p>
        </w:tc>
        <w:tc>
          <w:tcPr>
            <w:tcW w:w="1203" w:type="dxa"/>
            <w:tcBorders>
              <w:top w:val="nil"/>
              <w:bottom w:val="nil"/>
            </w:tcBorders>
          </w:tcPr>
          <w:p w:rsidR="00000000" w:rsidRDefault="00000000">
            <w:pPr>
              <w:jc w:val="center"/>
            </w:pPr>
            <w:r>
              <w:t>2 638</w:t>
            </w:r>
          </w:p>
        </w:tc>
        <w:tc>
          <w:tcPr>
            <w:tcW w:w="1624" w:type="dxa"/>
            <w:tcBorders>
              <w:top w:val="nil"/>
              <w:bottom w:val="nil"/>
            </w:tcBorders>
          </w:tcPr>
          <w:p w:rsidR="00000000" w:rsidRDefault="00000000">
            <w:pPr>
              <w:jc w:val="center"/>
            </w:pPr>
            <w:r>
              <w:t>484</w:t>
            </w:r>
          </w:p>
        </w:tc>
        <w:tc>
          <w:tcPr>
            <w:tcW w:w="1173" w:type="dxa"/>
            <w:tcBorders>
              <w:top w:val="nil"/>
              <w:bottom w:val="nil"/>
            </w:tcBorders>
          </w:tcPr>
          <w:p w:rsidR="00000000" w:rsidRDefault="00000000">
            <w:pPr>
              <w:jc w:val="right"/>
            </w:pPr>
            <w:r>
              <w:t>18,34</w:t>
            </w:r>
          </w:p>
        </w:tc>
      </w:tr>
      <w:tr w:rsidR="00000000">
        <w:tblPrEx>
          <w:tblCellMar>
            <w:top w:w="0" w:type="dxa"/>
            <w:bottom w:w="0" w:type="dxa"/>
          </w:tblCellMar>
        </w:tblPrEx>
        <w:trPr>
          <w:jc w:val="center"/>
        </w:trPr>
        <w:tc>
          <w:tcPr>
            <w:tcW w:w="1170" w:type="dxa"/>
            <w:tcBorders>
              <w:top w:val="nil"/>
              <w:bottom w:val="nil"/>
            </w:tcBorders>
          </w:tcPr>
          <w:p w:rsidR="00000000" w:rsidRDefault="00000000">
            <w:pPr>
              <w:jc w:val="center"/>
            </w:pPr>
            <w:r>
              <w:t>2000</w:t>
            </w:r>
          </w:p>
        </w:tc>
        <w:tc>
          <w:tcPr>
            <w:tcW w:w="1170" w:type="dxa"/>
            <w:tcBorders>
              <w:top w:val="nil"/>
              <w:bottom w:val="nil"/>
            </w:tcBorders>
          </w:tcPr>
          <w:p w:rsidR="00000000" w:rsidRDefault="00000000">
            <w:pPr>
              <w:jc w:val="center"/>
            </w:pPr>
            <w:r>
              <w:t>3 481</w:t>
            </w:r>
          </w:p>
        </w:tc>
        <w:tc>
          <w:tcPr>
            <w:tcW w:w="1531" w:type="dxa"/>
            <w:tcBorders>
              <w:top w:val="nil"/>
              <w:bottom w:val="nil"/>
            </w:tcBorders>
          </w:tcPr>
          <w:p w:rsidR="00000000" w:rsidRDefault="00000000">
            <w:pPr>
              <w:jc w:val="center"/>
            </w:pPr>
            <w:r>
              <w:t>332</w:t>
            </w:r>
          </w:p>
        </w:tc>
        <w:tc>
          <w:tcPr>
            <w:tcW w:w="1302" w:type="dxa"/>
            <w:tcBorders>
              <w:top w:val="nil"/>
              <w:bottom w:val="nil"/>
            </w:tcBorders>
          </w:tcPr>
          <w:p w:rsidR="00000000" w:rsidRDefault="00000000">
            <w:pPr>
              <w:pStyle w:val="Header"/>
              <w:jc w:val="right"/>
            </w:pPr>
            <w:r>
              <w:t>9,53</w:t>
            </w:r>
          </w:p>
        </w:tc>
        <w:tc>
          <w:tcPr>
            <w:tcW w:w="1203" w:type="dxa"/>
            <w:tcBorders>
              <w:top w:val="nil"/>
              <w:bottom w:val="nil"/>
            </w:tcBorders>
          </w:tcPr>
          <w:p w:rsidR="00000000" w:rsidRDefault="00000000">
            <w:pPr>
              <w:jc w:val="center"/>
            </w:pPr>
            <w:r>
              <w:t>4 522</w:t>
            </w:r>
          </w:p>
        </w:tc>
        <w:tc>
          <w:tcPr>
            <w:tcW w:w="1624" w:type="dxa"/>
            <w:tcBorders>
              <w:top w:val="nil"/>
              <w:bottom w:val="nil"/>
            </w:tcBorders>
          </w:tcPr>
          <w:p w:rsidR="00000000" w:rsidRDefault="00000000">
            <w:pPr>
              <w:jc w:val="center"/>
            </w:pPr>
            <w:r>
              <w:t>892</w:t>
            </w:r>
          </w:p>
        </w:tc>
        <w:tc>
          <w:tcPr>
            <w:tcW w:w="1173" w:type="dxa"/>
            <w:tcBorders>
              <w:top w:val="nil"/>
              <w:bottom w:val="nil"/>
            </w:tcBorders>
          </w:tcPr>
          <w:p w:rsidR="00000000" w:rsidRDefault="00000000">
            <w:pPr>
              <w:jc w:val="right"/>
            </w:pPr>
            <w:r>
              <w:t>19,72</w:t>
            </w:r>
          </w:p>
        </w:tc>
      </w:tr>
      <w:tr w:rsidR="00000000">
        <w:tblPrEx>
          <w:tblCellMar>
            <w:top w:w="0" w:type="dxa"/>
            <w:bottom w:w="0" w:type="dxa"/>
          </w:tblCellMar>
        </w:tblPrEx>
        <w:trPr>
          <w:jc w:val="center"/>
        </w:trPr>
        <w:tc>
          <w:tcPr>
            <w:tcW w:w="1170" w:type="dxa"/>
            <w:tcBorders>
              <w:top w:val="nil"/>
              <w:bottom w:val="nil"/>
            </w:tcBorders>
          </w:tcPr>
          <w:p w:rsidR="00000000" w:rsidRDefault="00000000">
            <w:pPr>
              <w:jc w:val="center"/>
            </w:pPr>
            <w:r>
              <w:t>2001</w:t>
            </w:r>
          </w:p>
        </w:tc>
        <w:tc>
          <w:tcPr>
            <w:tcW w:w="1170" w:type="dxa"/>
            <w:tcBorders>
              <w:top w:val="nil"/>
              <w:bottom w:val="nil"/>
            </w:tcBorders>
          </w:tcPr>
          <w:p w:rsidR="00000000" w:rsidRDefault="00000000">
            <w:pPr>
              <w:jc w:val="center"/>
            </w:pPr>
            <w:r>
              <w:t>3 720</w:t>
            </w:r>
          </w:p>
        </w:tc>
        <w:tc>
          <w:tcPr>
            <w:tcW w:w="1531" w:type="dxa"/>
            <w:tcBorders>
              <w:top w:val="nil"/>
              <w:bottom w:val="nil"/>
            </w:tcBorders>
          </w:tcPr>
          <w:p w:rsidR="00000000" w:rsidRDefault="00000000">
            <w:pPr>
              <w:jc w:val="center"/>
            </w:pPr>
            <w:r>
              <w:t>330</w:t>
            </w:r>
          </w:p>
        </w:tc>
        <w:tc>
          <w:tcPr>
            <w:tcW w:w="1302" w:type="dxa"/>
            <w:tcBorders>
              <w:top w:val="nil"/>
              <w:bottom w:val="nil"/>
            </w:tcBorders>
          </w:tcPr>
          <w:p w:rsidR="00000000" w:rsidRDefault="00000000">
            <w:pPr>
              <w:pStyle w:val="Header"/>
              <w:jc w:val="right"/>
            </w:pPr>
            <w:r>
              <w:t>8,87</w:t>
            </w:r>
          </w:p>
        </w:tc>
        <w:tc>
          <w:tcPr>
            <w:tcW w:w="1203" w:type="dxa"/>
            <w:tcBorders>
              <w:top w:val="nil"/>
              <w:bottom w:val="nil"/>
            </w:tcBorders>
          </w:tcPr>
          <w:p w:rsidR="00000000" w:rsidRDefault="00000000">
            <w:pPr>
              <w:jc w:val="center"/>
            </w:pPr>
            <w:r>
              <w:t>4 711</w:t>
            </w:r>
          </w:p>
        </w:tc>
        <w:tc>
          <w:tcPr>
            <w:tcW w:w="1624" w:type="dxa"/>
            <w:tcBorders>
              <w:top w:val="nil"/>
              <w:bottom w:val="nil"/>
            </w:tcBorders>
          </w:tcPr>
          <w:p w:rsidR="00000000" w:rsidRDefault="00000000">
            <w:pPr>
              <w:jc w:val="center"/>
            </w:pPr>
            <w:r>
              <w:t>927</w:t>
            </w:r>
          </w:p>
        </w:tc>
        <w:tc>
          <w:tcPr>
            <w:tcW w:w="1173" w:type="dxa"/>
            <w:tcBorders>
              <w:top w:val="nil"/>
              <w:bottom w:val="nil"/>
            </w:tcBorders>
          </w:tcPr>
          <w:p w:rsidR="00000000" w:rsidRDefault="00000000">
            <w:pPr>
              <w:jc w:val="right"/>
            </w:pPr>
            <w:r>
              <w:t>19,67</w:t>
            </w:r>
          </w:p>
        </w:tc>
      </w:tr>
      <w:tr w:rsidR="00000000">
        <w:tblPrEx>
          <w:tblCellMar>
            <w:top w:w="0" w:type="dxa"/>
            <w:bottom w:w="0" w:type="dxa"/>
          </w:tblCellMar>
        </w:tblPrEx>
        <w:trPr>
          <w:jc w:val="center"/>
        </w:trPr>
        <w:tc>
          <w:tcPr>
            <w:tcW w:w="1170" w:type="dxa"/>
            <w:tcBorders>
              <w:top w:val="nil"/>
            </w:tcBorders>
          </w:tcPr>
          <w:p w:rsidR="00000000" w:rsidRDefault="00000000">
            <w:pPr>
              <w:jc w:val="center"/>
            </w:pPr>
            <w:r>
              <w:t>2002</w:t>
            </w:r>
          </w:p>
        </w:tc>
        <w:tc>
          <w:tcPr>
            <w:tcW w:w="1170" w:type="dxa"/>
            <w:tcBorders>
              <w:top w:val="nil"/>
            </w:tcBorders>
          </w:tcPr>
          <w:p w:rsidR="00000000" w:rsidRDefault="00000000">
            <w:pPr>
              <w:jc w:val="center"/>
            </w:pPr>
            <w:r>
              <w:t>3 833</w:t>
            </w:r>
          </w:p>
        </w:tc>
        <w:tc>
          <w:tcPr>
            <w:tcW w:w="1531" w:type="dxa"/>
            <w:tcBorders>
              <w:top w:val="nil"/>
            </w:tcBorders>
          </w:tcPr>
          <w:p w:rsidR="00000000" w:rsidRDefault="00000000">
            <w:pPr>
              <w:jc w:val="center"/>
            </w:pPr>
            <w:r>
              <w:t>770</w:t>
            </w:r>
          </w:p>
        </w:tc>
        <w:tc>
          <w:tcPr>
            <w:tcW w:w="1302" w:type="dxa"/>
            <w:tcBorders>
              <w:top w:val="nil"/>
            </w:tcBorders>
          </w:tcPr>
          <w:p w:rsidR="00000000" w:rsidRDefault="00000000">
            <w:pPr>
              <w:pStyle w:val="Header"/>
              <w:jc w:val="right"/>
            </w:pPr>
            <w:r>
              <w:t>20,8</w:t>
            </w:r>
          </w:p>
        </w:tc>
        <w:tc>
          <w:tcPr>
            <w:tcW w:w="1203" w:type="dxa"/>
            <w:tcBorders>
              <w:top w:val="nil"/>
            </w:tcBorders>
          </w:tcPr>
          <w:p w:rsidR="00000000" w:rsidRDefault="00000000">
            <w:pPr>
              <w:jc w:val="center"/>
            </w:pPr>
            <w:r>
              <w:t>4 946</w:t>
            </w:r>
          </w:p>
        </w:tc>
        <w:tc>
          <w:tcPr>
            <w:tcW w:w="1624" w:type="dxa"/>
            <w:tcBorders>
              <w:top w:val="nil"/>
            </w:tcBorders>
          </w:tcPr>
          <w:p w:rsidR="00000000" w:rsidRDefault="00000000">
            <w:pPr>
              <w:jc w:val="center"/>
            </w:pPr>
            <w:r>
              <w:t>910</w:t>
            </w:r>
          </w:p>
        </w:tc>
        <w:tc>
          <w:tcPr>
            <w:tcW w:w="1173" w:type="dxa"/>
            <w:tcBorders>
              <w:top w:val="nil"/>
            </w:tcBorders>
          </w:tcPr>
          <w:p w:rsidR="00000000" w:rsidRDefault="00000000">
            <w:pPr>
              <w:jc w:val="right"/>
            </w:pPr>
            <w:r>
              <w:t>18,39</w:t>
            </w:r>
          </w:p>
        </w:tc>
      </w:tr>
    </w:tbl>
    <w:p w:rsidR="00000000" w:rsidRDefault="00000000"/>
    <w:p w:rsidR="00000000" w:rsidRDefault="00000000">
      <w:r>
        <w:tab/>
      </w:r>
      <w:r>
        <w:rPr>
          <w:i/>
          <w:iCs/>
        </w:rPr>
        <w:t>Источник:</w:t>
      </w:r>
      <w:r>
        <w:t xml:space="preserve">  Санитарно-экологическая служба Института здравоохранения Республики Сербской.</w:t>
      </w:r>
    </w:p>
    <w:p w:rsidR="00000000" w:rsidRDefault="00000000"/>
    <w:p w:rsidR="00000000" w:rsidRDefault="00000000">
      <w:pPr>
        <w:keepNext/>
      </w:pPr>
      <w:r>
        <w:t>469.</w:t>
      </w:r>
      <w:r>
        <w:tab/>
        <w:t>В отношении качества воды можно сделать следующие основные выводы:</w:t>
      </w:r>
    </w:p>
    <w:p w:rsidR="00000000" w:rsidRDefault="00000000">
      <w:pPr>
        <w:keepNext/>
      </w:pPr>
    </w:p>
    <w:p w:rsidR="00000000" w:rsidRDefault="00000000">
      <w:pPr>
        <w:keepNext/>
        <w:numPr>
          <w:ilvl w:val="0"/>
          <w:numId w:val="54"/>
        </w:numPr>
      </w:pPr>
      <w:r>
        <w:t>около 50% населения Республики Сербской пользуется системой водоснабжения.  В некоторых частях Республики Сербской все еще существует проблема неудовлетворительного доступа к безопасной воде и ее нехватки;</w:t>
      </w:r>
    </w:p>
    <w:p w:rsidR="00000000" w:rsidRDefault="00000000"/>
    <w:p w:rsidR="00000000" w:rsidRDefault="00000000">
      <w:pPr>
        <w:numPr>
          <w:ilvl w:val="0"/>
          <w:numId w:val="54"/>
        </w:numPr>
      </w:pPr>
      <w:r>
        <w:t>отсутствует единый реестр установок водоснабжения;</w:t>
      </w:r>
    </w:p>
    <w:p w:rsidR="00000000" w:rsidRDefault="00000000"/>
    <w:p w:rsidR="00000000" w:rsidRDefault="00000000">
      <w:pPr>
        <w:numPr>
          <w:ilvl w:val="0"/>
          <w:numId w:val="54"/>
        </w:numPr>
      </w:pPr>
      <w:r>
        <w:t>основная проблема всех установок водоснабжения заключается в неодинаковой защите санитарных зон вокруг источников питьевой воды в соответствии с требованиями ВОЗ, предусматривающими защиту 95% источников;</w:t>
      </w:r>
    </w:p>
    <w:p w:rsidR="00000000" w:rsidRDefault="00000000"/>
    <w:p w:rsidR="00000000" w:rsidRDefault="00000000">
      <w:pPr>
        <w:numPr>
          <w:ilvl w:val="0"/>
          <w:numId w:val="54"/>
        </w:numPr>
      </w:pPr>
      <w:r>
        <w:t>меры государственного контроля охватывают немногим более 50% населения, что свидетельствует о неудовлетворительном качестве и объеме информации о надежном обеспечении питьевой водой;</w:t>
      </w:r>
    </w:p>
    <w:p w:rsidR="00000000" w:rsidRDefault="00000000"/>
    <w:p w:rsidR="00000000" w:rsidRDefault="00000000">
      <w:pPr>
        <w:numPr>
          <w:ilvl w:val="0"/>
          <w:numId w:val="54"/>
        </w:numPr>
      </w:pPr>
      <w:r>
        <w:t>предусмотренный ВОЗ и Европейским союзом контроль за химическими, биологическими и радиологическими параметрами является недостаточным;  отсутствие у институтских лабораторий оборудования и опыта в области диагностики препятствует выявлению новых многочисленных источников опасности, о наличии и токсичности которых населению ничего не известно.</w:t>
      </w:r>
    </w:p>
    <w:p w:rsidR="00000000" w:rsidRDefault="00000000"/>
    <w:p w:rsidR="00000000" w:rsidRDefault="00000000">
      <w:r>
        <w:t>470.</w:t>
      </w:r>
      <w:r>
        <w:tab/>
        <w:t>В число рекомендаций входят следующие:</w:t>
      </w:r>
    </w:p>
    <w:p w:rsidR="00000000" w:rsidRDefault="00000000"/>
    <w:p w:rsidR="00000000" w:rsidRDefault="00000000">
      <w:pPr>
        <w:numPr>
          <w:ilvl w:val="0"/>
          <w:numId w:val="54"/>
        </w:numPr>
      </w:pPr>
      <w:r>
        <w:t>составить единый реестр установок водоснабжения в Республике Сербской по каждому их виду;</w:t>
      </w:r>
    </w:p>
    <w:p w:rsidR="00000000" w:rsidRDefault="00000000">
      <w:pPr>
        <w:tabs>
          <w:tab w:val="clear" w:pos="567"/>
        </w:tabs>
        <w:ind w:left="283"/>
      </w:pPr>
    </w:p>
    <w:p w:rsidR="00000000" w:rsidRDefault="00000000">
      <w:pPr>
        <w:numPr>
          <w:ilvl w:val="0"/>
          <w:numId w:val="54"/>
        </w:numPr>
      </w:pPr>
      <w:r>
        <w:t>необходимо разработать многоэтапные проекты для организационного укрепления эталонных лабораторий путем предоставления оборудования, обучения персонала и расширения спектра выявляемых загрязнителей (остаточных пестицидов, металлов, металлоидов, радионуклидов и других токсичных веществ);</w:t>
      </w:r>
    </w:p>
    <w:p w:rsidR="00000000" w:rsidRDefault="00000000">
      <w:pPr>
        <w:tabs>
          <w:tab w:val="clear" w:pos="567"/>
        </w:tabs>
        <w:ind w:left="283"/>
      </w:pPr>
    </w:p>
    <w:p w:rsidR="00000000" w:rsidRDefault="00000000">
      <w:pPr>
        <w:numPr>
          <w:ilvl w:val="0"/>
          <w:numId w:val="54"/>
        </w:numPr>
      </w:pPr>
      <w:r>
        <w:t>в соответствии с рекомендациями ВОЗ необходимо ввести в действие гигиенические/экологические нормы в целях совершенствования санитарного контроля и защиты источников питьевой воды;</w:t>
      </w:r>
    </w:p>
    <w:p w:rsidR="00000000" w:rsidRDefault="00000000">
      <w:pPr>
        <w:tabs>
          <w:tab w:val="clear" w:pos="567"/>
        </w:tabs>
        <w:ind w:left="283"/>
      </w:pPr>
    </w:p>
    <w:p w:rsidR="00000000" w:rsidRDefault="00000000">
      <w:pPr>
        <w:numPr>
          <w:ilvl w:val="0"/>
          <w:numId w:val="54"/>
        </w:numPr>
      </w:pPr>
      <w:r>
        <w:t>в соответствии с нормативно-правовыми актами обеспечить на государственных установках водоснабжения непрерывный систематический контроль за качеством питьевой воды;</w:t>
      </w:r>
    </w:p>
    <w:p w:rsidR="00000000" w:rsidRDefault="00000000">
      <w:pPr>
        <w:tabs>
          <w:tab w:val="clear" w:pos="567"/>
        </w:tabs>
        <w:ind w:left="283"/>
      </w:pPr>
    </w:p>
    <w:p w:rsidR="00000000" w:rsidRDefault="00000000">
      <w:pPr>
        <w:numPr>
          <w:ilvl w:val="0"/>
          <w:numId w:val="54"/>
        </w:numPr>
      </w:pPr>
      <w:r>
        <w:t>в соответствии с новым сводом правил принять меры по наблюдению за ситуацией в отношении разлива воды по бутылкам и воды, уже находящейся в продаже.</w:t>
      </w:r>
    </w:p>
    <w:p w:rsidR="00000000" w:rsidRDefault="00000000">
      <w:pPr>
        <w:tabs>
          <w:tab w:val="clear" w:pos="567"/>
        </w:tabs>
        <w:ind w:left="283"/>
      </w:pPr>
    </w:p>
    <w:p w:rsidR="00000000" w:rsidRDefault="00000000">
      <w:pPr>
        <w:keepNext/>
        <w:rPr>
          <w:b/>
          <w:bCs/>
        </w:rPr>
      </w:pPr>
      <w:r>
        <w:rPr>
          <w:b/>
          <w:bCs/>
        </w:rPr>
        <w:t>Воздух</w:t>
      </w:r>
    </w:p>
    <w:p w:rsidR="00000000" w:rsidRDefault="00000000">
      <w:pPr>
        <w:keepNext/>
        <w:rPr>
          <w:b/>
          <w:bCs/>
        </w:rPr>
      </w:pPr>
    </w:p>
    <w:p w:rsidR="00000000" w:rsidRDefault="00000000">
      <w:r>
        <w:t>471.</w:t>
      </w:r>
      <w:r>
        <w:tab/>
        <w:t>В Федерации Боснии и Герцеговины отсутствует единая система обнаружения и измерения в отношении основных компонентов загрязнения воздуха (сернистый ангидрид и свободные частицы).  В настоящее время постоянные замеры проводятся только в Сараево, Зенице и в Какани.  Особую проблему представляет собой неподдающееся контролю развитие транспорта.  Количество выбрасываемых в атмосферу промышленными предприятиями загрязняющих веществ пока еще значительно ниже, чем в предвоенный период, когда оно зачастую превышало допустимые нормы.  По оценкам, за последние три года уровень содержания в атмосфере сернистого ангидрида в Сараево, Зенице и Какани не должен превысить 100 мкг на куб.</w:t>
      </w:r>
      <w:r>
        <w:rPr>
          <w:lang w:val="en-US"/>
        </w:rPr>
        <w:t> </w:t>
      </w:r>
      <w:r>
        <w:t>м.  Концентрация сернистого ангидрида выше установленного предела приводит к возникновению у населения, особенно у хронических больных и детей, проблем с органами дыхания.  В Федерации отсутствует единая система обнаружения основных компонентов загрязнения воздуха, как сернистого ангидрида, так и свободных частиц.</w:t>
      </w:r>
    </w:p>
    <w:p w:rsidR="00000000" w:rsidRDefault="00000000"/>
    <w:p w:rsidR="00000000" w:rsidRDefault="00000000">
      <w:r>
        <w:t>472.</w:t>
      </w:r>
      <w:r>
        <w:tab/>
        <w:t>Несмотря на то что в Республике Сербской нет системы контроля за состоянием воздуха или интерпретации качественных параметров в интересах здравоохранения, принятые в некоторых населенных пунктах меры указывают на то, что в ряде городских районов происходит более интенсивное загрязнение воздуха.  Не существует никаких перечней загрязняющих веществ, и действующее законодательство не отвечает рекомендациям ВОЗ и нормам Европейского союза.</w:t>
      </w:r>
    </w:p>
    <w:p w:rsidR="00000000" w:rsidRDefault="00000000"/>
    <w:p w:rsidR="00000000" w:rsidRDefault="00000000">
      <w:pPr>
        <w:spacing w:line="276" w:lineRule="auto"/>
      </w:pPr>
      <w:r>
        <w:t>473.</w:t>
      </w:r>
      <w:r>
        <w:tab/>
        <w:t xml:space="preserve">Периодический контроль за качеством воздуха проводится в ограниченном числе муниципалитетов (20%), а постоянный - в Бане-Луке (по решению городской администрации от 1989 года).  Наиболее важным фактором в области загрязнения воздуха являются промышленные и энергетические предприятия, средства транспорта и в отопительный сезон индивидуальные обогреватели.  Для отопления чаще всего используется твердое ископаемое топливо, в котором содержится 2,5-4% серы и которое выделяет большие количества сернистого ангидрида и золы (20-30%).  Большие количества сернистого ангидрида выбрасываются в воздух из-за использования для отопления горюче-смазочных материалов.  Использование нефтепродуктов, содержащих тетраэтиловый свинец, является причиной сильного загрязнения воздуха содержащими свинец моноксидами углерода, оксидами азота и полицикличными нитрогидридами.  В результате предпринятых мер по обнаружению загрязнения было установлено, что только в Бане-Луке ежегодно в воздух выбрасывается 250 т свинца.  Несмотря на то что по законодательству замеры по всем источникам загрязнения воздуха должны производиться постоянно, на практике они не производятся.  Только в 10% муниципалитетов время от времени проводится контроль за дымом от промышленных и энергетических предприятий с применением метода Бергмана.  Контроль за загрязнением воздуха осуществляется путем проведения соответствующих замеров на семи экологических постах.  </w:t>
      </w:r>
    </w:p>
    <w:p w:rsidR="00000000" w:rsidRDefault="00000000"/>
    <w:p w:rsidR="00000000" w:rsidRDefault="00000000">
      <w:pPr>
        <w:spacing w:line="276" w:lineRule="auto"/>
      </w:pPr>
      <w:r>
        <w:t>474.</w:t>
      </w:r>
      <w:r>
        <w:tab/>
        <w:t>Средняя годовая концентрация сернистого диоксида колеблется в небольших пределах в зависимости от местоположения, тогда как увеличение выброса выхлопных газов от автомобилей соответствует росту интенсивности движения, что является главной причиной перехода в классификации качества воздуха от класса I к классу II.  Что касается загрязнения черным дымом (сажей), то городскую территорию можно разделить на две зоны:  а)  зону чистого воздуха и  b)  зону загрязнения воздуха от низкого до среднего уровня в течение года и крайне высокого уровня в зимний период.  Из-за отсутствия полных данных по основным источникам загрязнения, а также в связи с изменением климатических условий и ограниченным количеством измеряемых параметров оценка воздействия этого фактора на здоровье человека не представляется возможной, несмотря на то, что анализ результатов эпидемиологических исследований указывает на высокую степень корреляции качества воздуха с состоянием здоровья детей в возрасте до шести лет.</w:t>
      </w:r>
    </w:p>
    <w:p w:rsidR="00000000" w:rsidRDefault="00000000"/>
    <w:p w:rsidR="00000000" w:rsidRDefault="00000000">
      <w:pPr>
        <w:spacing w:line="240" w:lineRule="auto"/>
        <w:jc w:val="center"/>
        <w:rPr>
          <w:b/>
          <w:bCs/>
        </w:rPr>
      </w:pPr>
      <w:r>
        <w:rPr>
          <w:b/>
          <w:bCs/>
        </w:rPr>
        <w:t>Таблица 15</w:t>
      </w:r>
    </w:p>
    <w:p w:rsidR="00000000" w:rsidRDefault="00000000">
      <w:pPr>
        <w:spacing w:line="240" w:lineRule="auto"/>
        <w:jc w:val="center"/>
        <w:rPr>
          <w:b/>
          <w:bCs/>
          <w:sz w:val="20"/>
        </w:rPr>
      </w:pPr>
    </w:p>
    <w:p w:rsidR="00000000" w:rsidRDefault="00000000">
      <w:pPr>
        <w:spacing w:line="216" w:lineRule="auto"/>
        <w:jc w:val="center"/>
        <w:rPr>
          <w:b/>
          <w:bCs/>
        </w:rPr>
      </w:pPr>
      <w:r>
        <w:rPr>
          <w:b/>
          <w:bCs/>
        </w:rPr>
        <w:t>Концентрация загрязнителей воздуха на экологических постах в Бане-Луке,</w:t>
      </w:r>
      <w:r>
        <w:rPr>
          <w:b/>
          <w:bCs/>
        </w:rPr>
        <w:br/>
        <w:t>1998-2002 годы</w:t>
      </w:r>
    </w:p>
    <w:p w:rsidR="00000000" w:rsidRDefault="00000000">
      <w:pPr>
        <w:spacing w:line="240" w:lineRule="auto"/>
        <w:jc w:val="center"/>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000" w:firstRow="0" w:lastRow="0" w:firstColumn="0" w:lastColumn="0" w:noHBand="0" w:noVBand="0"/>
      </w:tblPr>
      <w:tblGrid>
        <w:gridCol w:w="1701"/>
        <w:gridCol w:w="1418"/>
        <w:gridCol w:w="1418"/>
        <w:gridCol w:w="1418"/>
        <w:gridCol w:w="1418"/>
      </w:tblGrid>
      <w:tr w:rsidR="00000000">
        <w:trPr>
          <w:cantSplit/>
          <w:jc w:val="center"/>
        </w:trPr>
        <w:tc>
          <w:tcPr>
            <w:tcW w:w="1701" w:type="dxa"/>
            <w:vMerge w:val="restart"/>
            <w:tcBorders>
              <w:bottom w:val="nil"/>
            </w:tcBorders>
            <w:vAlign w:val="center"/>
          </w:tcPr>
          <w:p w:rsidR="00000000" w:rsidRDefault="00000000">
            <w:pPr>
              <w:spacing w:line="240" w:lineRule="auto"/>
              <w:jc w:val="center"/>
            </w:pPr>
            <w:r>
              <w:t>Год</w:t>
            </w:r>
          </w:p>
        </w:tc>
        <w:tc>
          <w:tcPr>
            <w:tcW w:w="2836" w:type="dxa"/>
            <w:gridSpan w:val="2"/>
            <w:tcBorders>
              <w:bottom w:val="nil"/>
            </w:tcBorders>
            <w:vAlign w:val="center"/>
          </w:tcPr>
          <w:p w:rsidR="00000000" w:rsidRDefault="00000000">
            <w:pPr>
              <w:spacing w:line="240" w:lineRule="auto"/>
              <w:jc w:val="center"/>
            </w:pPr>
            <w:r>
              <w:t>Сернистый ангидрид</w:t>
            </w:r>
          </w:p>
        </w:tc>
        <w:tc>
          <w:tcPr>
            <w:tcW w:w="2836" w:type="dxa"/>
            <w:gridSpan w:val="2"/>
            <w:tcBorders>
              <w:bottom w:val="nil"/>
            </w:tcBorders>
            <w:vAlign w:val="center"/>
          </w:tcPr>
          <w:p w:rsidR="00000000" w:rsidRDefault="00000000">
            <w:pPr>
              <w:pStyle w:val="Header"/>
              <w:spacing w:line="240" w:lineRule="auto"/>
              <w:jc w:val="center"/>
            </w:pPr>
            <w:r>
              <w:t>Сажа</w:t>
            </w:r>
          </w:p>
        </w:tc>
      </w:tr>
      <w:tr w:rsidR="00000000">
        <w:trPr>
          <w:cantSplit/>
          <w:jc w:val="center"/>
        </w:trPr>
        <w:tc>
          <w:tcPr>
            <w:tcW w:w="1701" w:type="dxa"/>
            <w:vMerge/>
            <w:tcBorders>
              <w:bottom w:val="nil"/>
            </w:tcBorders>
            <w:vAlign w:val="center"/>
          </w:tcPr>
          <w:p w:rsidR="00000000" w:rsidRDefault="00000000">
            <w:pPr>
              <w:spacing w:line="240" w:lineRule="auto"/>
              <w:jc w:val="center"/>
            </w:pPr>
          </w:p>
        </w:tc>
        <w:tc>
          <w:tcPr>
            <w:tcW w:w="1418" w:type="dxa"/>
            <w:tcBorders>
              <w:bottom w:val="nil"/>
            </w:tcBorders>
            <w:vAlign w:val="center"/>
          </w:tcPr>
          <w:p w:rsidR="00000000" w:rsidRDefault="00000000">
            <w:pPr>
              <w:pStyle w:val="FootnoteText"/>
              <w:jc w:val="center"/>
            </w:pPr>
            <w:r>
              <w:rPr>
                <w:lang w:val="en-US"/>
              </w:rPr>
              <w:t>C</w:t>
            </w:r>
            <w:r>
              <w:rPr>
                <w:b/>
                <w:bCs/>
                <w:vertAlign w:val="superscript"/>
                <w:lang w:val="en-US"/>
              </w:rPr>
              <w:t>a</w:t>
            </w:r>
          </w:p>
        </w:tc>
        <w:tc>
          <w:tcPr>
            <w:tcW w:w="1418" w:type="dxa"/>
            <w:tcBorders>
              <w:bottom w:val="nil"/>
            </w:tcBorders>
            <w:vAlign w:val="center"/>
          </w:tcPr>
          <w:p w:rsidR="00000000" w:rsidRDefault="00000000">
            <w:pPr>
              <w:spacing w:line="240" w:lineRule="auto"/>
              <w:jc w:val="center"/>
            </w:pPr>
            <w:r>
              <w:rPr>
                <w:lang w:val="en-US"/>
              </w:rPr>
              <w:t>Cm</w:t>
            </w:r>
            <w:r>
              <w:rPr>
                <w:b/>
                <w:bCs/>
                <w:vertAlign w:val="superscript"/>
                <w:lang w:val="en-US"/>
              </w:rPr>
              <w:t>b</w:t>
            </w:r>
          </w:p>
        </w:tc>
        <w:tc>
          <w:tcPr>
            <w:tcW w:w="1418" w:type="dxa"/>
            <w:tcBorders>
              <w:bottom w:val="nil"/>
            </w:tcBorders>
            <w:vAlign w:val="center"/>
          </w:tcPr>
          <w:p w:rsidR="00000000" w:rsidRDefault="00000000">
            <w:pPr>
              <w:spacing w:line="240" w:lineRule="auto"/>
              <w:jc w:val="center"/>
            </w:pPr>
            <w:r>
              <w:t>C</w:t>
            </w:r>
          </w:p>
        </w:tc>
        <w:tc>
          <w:tcPr>
            <w:tcW w:w="1418" w:type="dxa"/>
            <w:tcBorders>
              <w:bottom w:val="nil"/>
            </w:tcBorders>
            <w:vAlign w:val="center"/>
          </w:tcPr>
          <w:p w:rsidR="00000000" w:rsidRDefault="00000000">
            <w:pPr>
              <w:pStyle w:val="Header"/>
              <w:spacing w:line="240" w:lineRule="auto"/>
              <w:jc w:val="center"/>
            </w:pPr>
            <w:r>
              <w:t>Cm</w:t>
            </w:r>
          </w:p>
        </w:tc>
      </w:tr>
      <w:tr w:rsidR="00000000">
        <w:trPr>
          <w:cantSplit/>
          <w:jc w:val="center"/>
        </w:trPr>
        <w:tc>
          <w:tcPr>
            <w:tcW w:w="1701" w:type="dxa"/>
            <w:tcBorders>
              <w:bottom w:val="nil"/>
            </w:tcBorders>
          </w:tcPr>
          <w:p w:rsidR="00000000" w:rsidRDefault="00000000">
            <w:pPr>
              <w:spacing w:line="240" w:lineRule="auto"/>
              <w:jc w:val="center"/>
            </w:pPr>
            <w:r>
              <w:t>1998</w:t>
            </w:r>
          </w:p>
        </w:tc>
        <w:tc>
          <w:tcPr>
            <w:tcW w:w="1418" w:type="dxa"/>
            <w:tcBorders>
              <w:bottom w:val="nil"/>
            </w:tcBorders>
          </w:tcPr>
          <w:p w:rsidR="00000000" w:rsidRDefault="00000000">
            <w:pPr>
              <w:spacing w:line="240" w:lineRule="auto"/>
              <w:jc w:val="center"/>
            </w:pPr>
            <w:r>
              <w:t>19</w:t>
            </w:r>
          </w:p>
        </w:tc>
        <w:tc>
          <w:tcPr>
            <w:tcW w:w="1418" w:type="dxa"/>
            <w:tcBorders>
              <w:bottom w:val="nil"/>
            </w:tcBorders>
          </w:tcPr>
          <w:p w:rsidR="00000000" w:rsidRDefault="00000000">
            <w:pPr>
              <w:spacing w:line="240" w:lineRule="auto"/>
              <w:jc w:val="center"/>
            </w:pPr>
            <w:r>
              <w:t>55</w:t>
            </w:r>
          </w:p>
        </w:tc>
        <w:tc>
          <w:tcPr>
            <w:tcW w:w="1418" w:type="dxa"/>
            <w:tcBorders>
              <w:bottom w:val="nil"/>
            </w:tcBorders>
          </w:tcPr>
          <w:p w:rsidR="00000000" w:rsidRDefault="00000000">
            <w:pPr>
              <w:spacing w:line="240" w:lineRule="auto"/>
              <w:jc w:val="center"/>
            </w:pPr>
            <w:r>
              <w:t>39</w:t>
            </w:r>
          </w:p>
        </w:tc>
        <w:tc>
          <w:tcPr>
            <w:tcW w:w="1418" w:type="dxa"/>
            <w:tcBorders>
              <w:bottom w:val="nil"/>
            </w:tcBorders>
          </w:tcPr>
          <w:p w:rsidR="00000000" w:rsidRDefault="00000000">
            <w:pPr>
              <w:spacing w:line="240" w:lineRule="auto"/>
              <w:jc w:val="center"/>
            </w:pPr>
            <w:r>
              <w:t>117</w:t>
            </w:r>
          </w:p>
        </w:tc>
      </w:tr>
      <w:tr w:rsidR="00000000">
        <w:trPr>
          <w:cantSplit/>
          <w:jc w:val="center"/>
        </w:trPr>
        <w:tc>
          <w:tcPr>
            <w:tcW w:w="1701" w:type="dxa"/>
            <w:tcBorders>
              <w:top w:val="nil"/>
              <w:bottom w:val="nil"/>
            </w:tcBorders>
          </w:tcPr>
          <w:p w:rsidR="00000000" w:rsidRDefault="00000000">
            <w:pPr>
              <w:spacing w:line="240" w:lineRule="auto"/>
              <w:jc w:val="center"/>
            </w:pPr>
            <w:r>
              <w:t>1999</w:t>
            </w:r>
          </w:p>
        </w:tc>
        <w:tc>
          <w:tcPr>
            <w:tcW w:w="1418" w:type="dxa"/>
            <w:tcBorders>
              <w:top w:val="nil"/>
              <w:bottom w:val="nil"/>
            </w:tcBorders>
          </w:tcPr>
          <w:p w:rsidR="00000000" w:rsidRDefault="00000000">
            <w:pPr>
              <w:spacing w:line="240" w:lineRule="auto"/>
              <w:jc w:val="center"/>
            </w:pPr>
            <w:r>
              <w:t>16</w:t>
            </w:r>
          </w:p>
        </w:tc>
        <w:tc>
          <w:tcPr>
            <w:tcW w:w="1418" w:type="dxa"/>
            <w:tcBorders>
              <w:top w:val="nil"/>
              <w:bottom w:val="nil"/>
            </w:tcBorders>
          </w:tcPr>
          <w:p w:rsidR="00000000" w:rsidRDefault="00000000">
            <w:pPr>
              <w:spacing w:line="240" w:lineRule="auto"/>
              <w:jc w:val="center"/>
            </w:pPr>
            <w:r>
              <w:t>38</w:t>
            </w:r>
          </w:p>
        </w:tc>
        <w:tc>
          <w:tcPr>
            <w:tcW w:w="1418" w:type="dxa"/>
            <w:tcBorders>
              <w:top w:val="nil"/>
              <w:bottom w:val="nil"/>
            </w:tcBorders>
          </w:tcPr>
          <w:p w:rsidR="00000000" w:rsidRDefault="00000000">
            <w:pPr>
              <w:spacing w:line="240" w:lineRule="auto"/>
              <w:jc w:val="center"/>
            </w:pPr>
            <w:r>
              <w:t>20</w:t>
            </w:r>
          </w:p>
        </w:tc>
        <w:tc>
          <w:tcPr>
            <w:tcW w:w="1418" w:type="dxa"/>
            <w:tcBorders>
              <w:top w:val="nil"/>
              <w:bottom w:val="nil"/>
            </w:tcBorders>
          </w:tcPr>
          <w:p w:rsidR="00000000" w:rsidRDefault="00000000">
            <w:pPr>
              <w:spacing w:line="240" w:lineRule="auto"/>
              <w:jc w:val="center"/>
            </w:pPr>
            <w:r>
              <w:t xml:space="preserve">  82</w:t>
            </w:r>
          </w:p>
        </w:tc>
      </w:tr>
      <w:tr w:rsidR="00000000">
        <w:trPr>
          <w:cantSplit/>
          <w:jc w:val="center"/>
        </w:trPr>
        <w:tc>
          <w:tcPr>
            <w:tcW w:w="1701" w:type="dxa"/>
            <w:tcBorders>
              <w:top w:val="nil"/>
              <w:bottom w:val="nil"/>
            </w:tcBorders>
          </w:tcPr>
          <w:p w:rsidR="00000000" w:rsidRDefault="00000000">
            <w:pPr>
              <w:pStyle w:val="Header"/>
              <w:spacing w:line="240" w:lineRule="auto"/>
              <w:jc w:val="center"/>
            </w:pPr>
            <w:r>
              <w:t>2000</w:t>
            </w:r>
          </w:p>
        </w:tc>
        <w:tc>
          <w:tcPr>
            <w:tcW w:w="1418" w:type="dxa"/>
            <w:tcBorders>
              <w:top w:val="nil"/>
              <w:bottom w:val="nil"/>
            </w:tcBorders>
          </w:tcPr>
          <w:p w:rsidR="00000000" w:rsidRDefault="00000000">
            <w:pPr>
              <w:spacing w:line="240" w:lineRule="auto"/>
              <w:jc w:val="center"/>
            </w:pPr>
            <w:r>
              <w:t>18</w:t>
            </w:r>
          </w:p>
        </w:tc>
        <w:tc>
          <w:tcPr>
            <w:tcW w:w="1418" w:type="dxa"/>
            <w:tcBorders>
              <w:top w:val="nil"/>
              <w:bottom w:val="nil"/>
            </w:tcBorders>
          </w:tcPr>
          <w:p w:rsidR="00000000" w:rsidRDefault="00000000">
            <w:pPr>
              <w:spacing w:line="240" w:lineRule="auto"/>
              <w:jc w:val="center"/>
            </w:pPr>
            <w:r>
              <w:t>52</w:t>
            </w:r>
          </w:p>
        </w:tc>
        <w:tc>
          <w:tcPr>
            <w:tcW w:w="1418" w:type="dxa"/>
            <w:tcBorders>
              <w:top w:val="nil"/>
              <w:bottom w:val="nil"/>
            </w:tcBorders>
          </w:tcPr>
          <w:p w:rsidR="00000000" w:rsidRDefault="00000000">
            <w:pPr>
              <w:spacing w:line="240" w:lineRule="auto"/>
              <w:jc w:val="center"/>
            </w:pPr>
            <w:r>
              <w:t>22</w:t>
            </w:r>
          </w:p>
        </w:tc>
        <w:tc>
          <w:tcPr>
            <w:tcW w:w="1418" w:type="dxa"/>
            <w:tcBorders>
              <w:top w:val="nil"/>
              <w:bottom w:val="nil"/>
            </w:tcBorders>
          </w:tcPr>
          <w:p w:rsidR="00000000" w:rsidRDefault="00000000">
            <w:pPr>
              <w:spacing w:line="240" w:lineRule="auto"/>
              <w:jc w:val="center"/>
            </w:pPr>
            <w:r>
              <w:t xml:space="preserve">  90</w:t>
            </w:r>
          </w:p>
        </w:tc>
      </w:tr>
      <w:tr w:rsidR="00000000">
        <w:trPr>
          <w:cantSplit/>
          <w:jc w:val="center"/>
        </w:trPr>
        <w:tc>
          <w:tcPr>
            <w:tcW w:w="1701" w:type="dxa"/>
            <w:tcBorders>
              <w:top w:val="nil"/>
              <w:bottom w:val="nil"/>
            </w:tcBorders>
          </w:tcPr>
          <w:p w:rsidR="00000000" w:rsidRDefault="00000000">
            <w:pPr>
              <w:spacing w:line="240" w:lineRule="auto"/>
              <w:jc w:val="center"/>
            </w:pPr>
            <w:r>
              <w:t>2001</w:t>
            </w:r>
          </w:p>
        </w:tc>
        <w:tc>
          <w:tcPr>
            <w:tcW w:w="1418" w:type="dxa"/>
            <w:tcBorders>
              <w:top w:val="nil"/>
              <w:bottom w:val="nil"/>
            </w:tcBorders>
          </w:tcPr>
          <w:p w:rsidR="00000000" w:rsidRDefault="00000000">
            <w:pPr>
              <w:spacing w:line="240" w:lineRule="auto"/>
              <w:jc w:val="center"/>
            </w:pPr>
            <w:r>
              <w:t>17</w:t>
            </w:r>
          </w:p>
        </w:tc>
        <w:tc>
          <w:tcPr>
            <w:tcW w:w="1418" w:type="dxa"/>
            <w:tcBorders>
              <w:top w:val="nil"/>
              <w:bottom w:val="nil"/>
            </w:tcBorders>
          </w:tcPr>
          <w:p w:rsidR="00000000" w:rsidRDefault="00000000">
            <w:pPr>
              <w:spacing w:line="240" w:lineRule="auto"/>
              <w:jc w:val="center"/>
            </w:pPr>
            <w:r>
              <w:t>48</w:t>
            </w:r>
          </w:p>
        </w:tc>
        <w:tc>
          <w:tcPr>
            <w:tcW w:w="1418" w:type="dxa"/>
            <w:tcBorders>
              <w:top w:val="nil"/>
              <w:bottom w:val="nil"/>
            </w:tcBorders>
          </w:tcPr>
          <w:p w:rsidR="00000000" w:rsidRDefault="00000000">
            <w:pPr>
              <w:spacing w:line="240" w:lineRule="auto"/>
              <w:jc w:val="center"/>
            </w:pPr>
            <w:r>
              <w:t>22</w:t>
            </w:r>
          </w:p>
        </w:tc>
        <w:tc>
          <w:tcPr>
            <w:tcW w:w="1418" w:type="dxa"/>
            <w:tcBorders>
              <w:top w:val="nil"/>
              <w:bottom w:val="nil"/>
            </w:tcBorders>
          </w:tcPr>
          <w:p w:rsidR="00000000" w:rsidRDefault="00000000">
            <w:pPr>
              <w:spacing w:line="240" w:lineRule="auto"/>
              <w:jc w:val="center"/>
            </w:pPr>
            <w:r>
              <w:t xml:space="preserve">  68</w:t>
            </w:r>
          </w:p>
        </w:tc>
      </w:tr>
      <w:tr w:rsidR="00000000">
        <w:trPr>
          <w:cantSplit/>
          <w:jc w:val="center"/>
        </w:trPr>
        <w:tc>
          <w:tcPr>
            <w:tcW w:w="1701" w:type="dxa"/>
            <w:tcBorders>
              <w:top w:val="nil"/>
            </w:tcBorders>
          </w:tcPr>
          <w:p w:rsidR="00000000" w:rsidRDefault="00000000">
            <w:pPr>
              <w:spacing w:line="240" w:lineRule="auto"/>
              <w:jc w:val="center"/>
            </w:pPr>
            <w:r>
              <w:t>2002</w:t>
            </w:r>
          </w:p>
        </w:tc>
        <w:tc>
          <w:tcPr>
            <w:tcW w:w="1418" w:type="dxa"/>
            <w:tcBorders>
              <w:top w:val="nil"/>
            </w:tcBorders>
          </w:tcPr>
          <w:p w:rsidR="00000000" w:rsidRDefault="00000000">
            <w:pPr>
              <w:spacing w:line="240" w:lineRule="auto"/>
              <w:jc w:val="center"/>
            </w:pPr>
            <w:r>
              <w:t>18</w:t>
            </w:r>
          </w:p>
        </w:tc>
        <w:tc>
          <w:tcPr>
            <w:tcW w:w="1418" w:type="dxa"/>
            <w:tcBorders>
              <w:top w:val="nil"/>
            </w:tcBorders>
          </w:tcPr>
          <w:p w:rsidR="00000000" w:rsidRDefault="00000000">
            <w:pPr>
              <w:spacing w:line="240" w:lineRule="auto"/>
              <w:jc w:val="center"/>
            </w:pPr>
            <w:r>
              <w:t>46</w:t>
            </w:r>
          </w:p>
        </w:tc>
        <w:tc>
          <w:tcPr>
            <w:tcW w:w="1418" w:type="dxa"/>
            <w:tcBorders>
              <w:top w:val="nil"/>
            </w:tcBorders>
          </w:tcPr>
          <w:p w:rsidR="00000000" w:rsidRDefault="00000000">
            <w:pPr>
              <w:spacing w:line="240" w:lineRule="auto"/>
              <w:jc w:val="center"/>
            </w:pPr>
            <w:r>
              <w:t>20</w:t>
            </w:r>
          </w:p>
        </w:tc>
        <w:tc>
          <w:tcPr>
            <w:tcW w:w="1418" w:type="dxa"/>
            <w:tcBorders>
              <w:top w:val="nil"/>
            </w:tcBorders>
          </w:tcPr>
          <w:p w:rsidR="00000000" w:rsidRDefault="00000000">
            <w:pPr>
              <w:spacing w:line="240" w:lineRule="auto"/>
              <w:jc w:val="center"/>
            </w:pPr>
            <w:r>
              <w:t xml:space="preserve">  41</w:t>
            </w:r>
          </w:p>
        </w:tc>
      </w:tr>
    </w:tbl>
    <w:p w:rsidR="00000000" w:rsidRDefault="00000000">
      <w:pPr>
        <w:spacing w:line="240" w:lineRule="auto"/>
        <w:rPr>
          <w:sz w:val="20"/>
        </w:rPr>
      </w:pPr>
    </w:p>
    <w:p w:rsidR="00000000" w:rsidRDefault="00000000">
      <w:pPr>
        <w:tabs>
          <w:tab w:val="clear" w:pos="1134"/>
          <w:tab w:val="clear" w:pos="1701"/>
          <w:tab w:val="left" w:pos="994"/>
          <w:tab w:val="left" w:pos="1554"/>
        </w:tabs>
        <w:spacing w:line="240" w:lineRule="auto"/>
      </w:pPr>
      <w:r>
        <w:tab/>
      </w:r>
      <w:r>
        <w:tab/>
      </w:r>
      <w:r>
        <w:rPr>
          <w:i/>
          <w:iCs/>
        </w:rPr>
        <w:t>Источник</w:t>
      </w:r>
      <w:r>
        <w:t>:  Институт охраны природы и экологии, Баня-Лука.</w:t>
      </w:r>
    </w:p>
    <w:p w:rsidR="00000000" w:rsidRDefault="00000000">
      <w:pPr>
        <w:tabs>
          <w:tab w:val="clear" w:pos="1134"/>
          <w:tab w:val="clear" w:pos="1701"/>
          <w:tab w:val="left" w:pos="994"/>
          <w:tab w:val="left" w:pos="1554"/>
        </w:tabs>
        <w:spacing w:line="240" w:lineRule="auto"/>
        <w:rPr>
          <w:sz w:val="20"/>
        </w:rPr>
      </w:pPr>
    </w:p>
    <w:p w:rsidR="00000000" w:rsidRDefault="00000000">
      <w:pPr>
        <w:tabs>
          <w:tab w:val="clear" w:pos="1134"/>
          <w:tab w:val="clear" w:pos="1701"/>
          <w:tab w:val="left" w:pos="994"/>
          <w:tab w:val="left" w:pos="1554"/>
        </w:tabs>
        <w:spacing w:line="240" w:lineRule="auto"/>
      </w:pPr>
      <w:r>
        <w:tab/>
      </w:r>
      <w:r>
        <w:tab/>
      </w:r>
      <w:r>
        <w:rPr>
          <w:b/>
          <w:bCs/>
          <w:vertAlign w:val="superscript"/>
        </w:rPr>
        <w:t>а</w:t>
      </w:r>
      <w:r>
        <w:tab/>
        <w:t>С:  среднемесячная концентрация.</w:t>
      </w:r>
    </w:p>
    <w:p w:rsidR="00000000" w:rsidRDefault="00000000">
      <w:pPr>
        <w:tabs>
          <w:tab w:val="clear" w:pos="1134"/>
          <w:tab w:val="clear" w:pos="1701"/>
          <w:tab w:val="left" w:pos="994"/>
          <w:tab w:val="left" w:pos="1554"/>
        </w:tabs>
        <w:spacing w:line="240" w:lineRule="auto"/>
        <w:rPr>
          <w:sz w:val="20"/>
        </w:rPr>
      </w:pPr>
    </w:p>
    <w:p w:rsidR="00000000" w:rsidRDefault="00000000">
      <w:pPr>
        <w:tabs>
          <w:tab w:val="clear" w:pos="1134"/>
          <w:tab w:val="clear" w:pos="1701"/>
          <w:tab w:val="left" w:pos="994"/>
          <w:tab w:val="left" w:pos="1554"/>
        </w:tabs>
        <w:spacing w:line="240" w:lineRule="auto"/>
      </w:pPr>
      <w:r>
        <w:tab/>
      </w:r>
      <w:r>
        <w:tab/>
      </w:r>
      <w:r>
        <w:rPr>
          <w:b/>
          <w:bCs/>
          <w:vertAlign w:val="superscript"/>
        </w:rPr>
        <w:t>b</w:t>
      </w:r>
      <w:r>
        <w:tab/>
      </w:r>
      <w:r>
        <w:rPr>
          <w:lang w:val="en-US"/>
        </w:rPr>
        <w:t>Cm</w:t>
      </w:r>
      <w:r>
        <w:t>:  наивысшая среднесуточная концентрация в течение месяца.</w:t>
      </w:r>
    </w:p>
    <w:p w:rsidR="00000000" w:rsidRDefault="00000000"/>
    <w:p w:rsidR="00000000" w:rsidRDefault="00000000">
      <w:r>
        <w:t>475.</w:t>
      </w:r>
      <w:r>
        <w:tab/>
        <w:t xml:space="preserve">Меры контроля и процедура описания последствий для здоровья человека качества воздуха в замкнутых жилых пространствах и в производственных помещениях не охватывают выбросы от строительных материалов и влияние курения, домашней пыли, открытого пламени и горящих объектов (углерод, двуокись азота) и т.п.  </w:t>
      </w:r>
    </w:p>
    <w:p w:rsidR="00000000" w:rsidRDefault="00000000"/>
    <w:p w:rsidR="00000000" w:rsidRDefault="00000000">
      <w:r>
        <w:t>476.</w:t>
      </w:r>
      <w:r>
        <w:tab/>
        <w:t>Выводы, которые можно сделать, являются следующими:</w:t>
      </w:r>
    </w:p>
    <w:p w:rsidR="00000000" w:rsidRDefault="00000000"/>
    <w:p w:rsidR="00000000" w:rsidRDefault="00000000">
      <w:pPr>
        <w:numPr>
          <w:ilvl w:val="0"/>
          <w:numId w:val="58"/>
        </w:numPr>
      </w:pPr>
      <w:r>
        <w:t>в этом Образовании не проводится контроль за качеством воздуха с учетом новых параметров, включающих азот, кислород, тяжелые металлы (свинец и кадмий), летучие органические соединения (ЛОС) и стойкие органические загрязнители (СОЗ);</w:t>
      </w:r>
    </w:p>
    <w:p w:rsidR="00000000" w:rsidRDefault="00000000">
      <w:pPr>
        <w:ind w:left="1134" w:hanging="1134"/>
      </w:pPr>
    </w:p>
    <w:p w:rsidR="00000000" w:rsidRDefault="00000000">
      <w:pPr>
        <w:numPr>
          <w:ilvl w:val="0"/>
          <w:numId w:val="58"/>
        </w:numPr>
      </w:pPr>
      <w:r>
        <w:t>не осуществляется описание качества воздуха с точки зрения его воздействия на здоровье человека, хотя обзор результатов измерений может свидетельствовать об отсутствии критических изменений по определяемым параметрам;</w:t>
      </w:r>
    </w:p>
    <w:p w:rsidR="00000000" w:rsidRDefault="00000000">
      <w:pPr>
        <w:ind w:left="1134" w:hanging="1134"/>
      </w:pPr>
    </w:p>
    <w:p w:rsidR="00000000" w:rsidRDefault="00000000">
      <w:pPr>
        <w:numPr>
          <w:ilvl w:val="0"/>
          <w:numId w:val="58"/>
        </w:numPr>
      </w:pPr>
      <w:r>
        <w:t>не составлен перечень загрязнителей воздуха.</w:t>
      </w:r>
    </w:p>
    <w:p w:rsidR="00000000" w:rsidRDefault="00000000">
      <w:pPr>
        <w:ind w:left="1134" w:hanging="1134"/>
      </w:pPr>
    </w:p>
    <w:p w:rsidR="00000000" w:rsidRDefault="00000000">
      <w:r>
        <w:t>477.</w:t>
      </w:r>
      <w:r>
        <w:tab/>
        <w:t>Рекомендации, которые заслуживают выполнения:</w:t>
      </w:r>
    </w:p>
    <w:p w:rsidR="00000000" w:rsidRDefault="00000000"/>
    <w:p w:rsidR="00000000" w:rsidRDefault="00000000">
      <w:pPr>
        <w:numPr>
          <w:ilvl w:val="0"/>
          <w:numId w:val="58"/>
        </w:numPr>
      </w:pPr>
      <w:r>
        <w:t>составить перечень и кадастр загрязнителей и ввести постоянный контроль за ними;</w:t>
      </w:r>
    </w:p>
    <w:p w:rsidR="00000000" w:rsidRDefault="00000000">
      <w:pPr>
        <w:ind w:left="1134" w:hanging="1134"/>
      </w:pPr>
    </w:p>
    <w:p w:rsidR="00000000" w:rsidRDefault="00000000">
      <w:pPr>
        <w:numPr>
          <w:ilvl w:val="0"/>
          <w:numId w:val="58"/>
        </w:numPr>
      </w:pPr>
      <w:r>
        <w:t>при оценке допустимых значений обратить внимание на частицы размером до 10 мкм и дымовые фракции, которые влияют на здоровье людей;</w:t>
      </w:r>
    </w:p>
    <w:p w:rsidR="00000000" w:rsidRDefault="00000000">
      <w:pPr>
        <w:ind w:left="1134" w:hanging="1134"/>
      </w:pPr>
    </w:p>
    <w:p w:rsidR="00000000" w:rsidRDefault="00000000">
      <w:pPr>
        <w:numPr>
          <w:ilvl w:val="0"/>
          <w:numId w:val="58"/>
        </w:numPr>
      </w:pPr>
      <w:r>
        <w:t>привести действующее законодательство в соответствие с рекомендациями ВОЗ и указаниями ЕС;</w:t>
      </w:r>
    </w:p>
    <w:p w:rsidR="00000000" w:rsidRDefault="00000000">
      <w:pPr>
        <w:ind w:left="1134" w:hanging="1134"/>
      </w:pPr>
    </w:p>
    <w:p w:rsidR="00000000" w:rsidRDefault="00000000">
      <w:pPr>
        <w:numPr>
          <w:ilvl w:val="0"/>
          <w:numId w:val="58"/>
        </w:numPr>
      </w:pPr>
      <w:r>
        <w:t>постоянно собирать данные о различных факторах, оказывающих негативное воздействие на наиболее уязвимые группы населения, и оценивать уровень грозящей им опасности;</w:t>
      </w:r>
    </w:p>
    <w:p w:rsidR="00000000" w:rsidRDefault="00000000">
      <w:pPr>
        <w:ind w:left="1134" w:hanging="1134"/>
      </w:pPr>
    </w:p>
    <w:p w:rsidR="00000000" w:rsidRDefault="00000000">
      <w:pPr>
        <w:numPr>
          <w:ilvl w:val="0"/>
          <w:numId w:val="58"/>
        </w:numPr>
      </w:pPr>
      <w:r>
        <w:t>необходимо принять соответствующие меры в отношении источников загрязнения (в зависимости от уровня выбросов) и принять участие в разработке порайонных планов и выборе технологий для возможного сокращения выбросов;</w:t>
      </w:r>
    </w:p>
    <w:p w:rsidR="00000000" w:rsidRDefault="00000000">
      <w:pPr>
        <w:ind w:left="1134" w:hanging="1134"/>
      </w:pPr>
    </w:p>
    <w:p w:rsidR="00000000" w:rsidRDefault="00000000">
      <w:pPr>
        <w:numPr>
          <w:ilvl w:val="0"/>
          <w:numId w:val="58"/>
        </w:numPr>
      </w:pPr>
      <w:r>
        <w:t>осуществлять контроль за содержанием бензола и бензопирена как показателем наличия в воздухе канцерогенных веществ и проводить работу по сокращению выбросов от подвижных источников загрязнения (регулирование двигателей автомобилей и транспортных средств и корректировка режима вождения и перевозок);</w:t>
      </w:r>
    </w:p>
    <w:p w:rsidR="00000000" w:rsidRDefault="00000000">
      <w:pPr>
        <w:ind w:left="1134" w:hanging="1134"/>
      </w:pPr>
    </w:p>
    <w:p w:rsidR="00000000" w:rsidRDefault="00000000">
      <w:pPr>
        <w:numPr>
          <w:ilvl w:val="0"/>
          <w:numId w:val="58"/>
        </w:numPr>
      </w:pPr>
      <w:r>
        <w:t>составить карту распространения пыльцы на территории Образования с учетом фитографических зон и подготовить календарь появления пыльцы;  своевременно в различные сезоны уведомлять население о перемещении пыльцы;</w:t>
      </w:r>
    </w:p>
    <w:p w:rsidR="00000000" w:rsidRDefault="00000000">
      <w:pPr>
        <w:ind w:left="1134" w:hanging="1134"/>
      </w:pPr>
    </w:p>
    <w:p w:rsidR="00000000" w:rsidRDefault="00000000">
      <w:pPr>
        <w:numPr>
          <w:ilvl w:val="0"/>
          <w:numId w:val="58"/>
        </w:numPr>
      </w:pPr>
      <w:r>
        <w:t>регулярно информировать население об уровне содержащихся в воздухе загрязнителей и повышать его осведомленность об их воздействии на здоровье и мерах, направленных на снижение их концентрации.</w:t>
      </w:r>
    </w:p>
    <w:p w:rsidR="00000000" w:rsidRDefault="00000000">
      <w:pPr>
        <w:ind w:left="1134" w:hanging="1134"/>
      </w:pPr>
    </w:p>
    <w:p w:rsidR="00000000" w:rsidRDefault="00000000">
      <w:pPr>
        <w:keepNext/>
        <w:rPr>
          <w:b/>
          <w:bCs/>
        </w:rPr>
      </w:pPr>
      <w:r>
        <w:rPr>
          <w:b/>
          <w:bCs/>
        </w:rPr>
        <w:t>Отходы</w:t>
      </w:r>
    </w:p>
    <w:p w:rsidR="00000000" w:rsidRDefault="00000000">
      <w:pPr>
        <w:keepNext/>
        <w:rPr>
          <w:b/>
          <w:bCs/>
        </w:rPr>
      </w:pPr>
    </w:p>
    <w:p w:rsidR="00000000" w:rsidRDefault="00000000">
      <w:r>
        <w:t>478.</w:t>
      </w:r>
      <w:r>
        <w:tab/>
        <w:t xml:space="preserve">Метод удаления жидких и твердых отходов в Федерации Боснии и Герцеговины нельзя считать удовлетворительным.  Около 50% населения, особенно городского,  пользуются системой канализации, в то время как сельское население в большинстве случаев удаляет жидкие отходы путем помещения их в проницаемые или полупроницаемые резервуары.  Лишь 15% жидких отходов проходит очистку перед сбросом их в реки или озера.  Согласно данным, представленным Институтом здравоохранения Федерации Боснии и Герцеговины, около 40% твердых отходов удаляется в соответствии с санитарными/гигиеническими правилами.  Особую проблему представляют специальные отходы, например лекарства, срок годности которых истек.  Предполагается, что на территории Федерации Боснии и Герцеговины находится около 740 т подобных отходов.  Комплексных заводов, которые должны использоваться для сжигания подобных отходов, не существует, кроме обжиговых печей, мощность которых является слишком малой.  По этой причине отходы помещаются в пластиковые или металлические бочки, герметизируются бетонной смесью и зарываются глубоко в землю.  Такое решение нельзя назвать в полной мере удовлетворительным, поскольку существует угроза заражения подземных вод.  </w:t>
      </w:r>
    </w:p>
    <w:p w:rsidR="00000000" w:rsidRDefault="00000000"/>
    <w:p w:rsidR="00000000" w:rsidRDefault="00000000">
      <w:pPr>
        <w:keepNext/>
        <w:rPr>
          <w:b/>
          <w:bCs/>
        </w:rPr>
      </w:pPr>
      <w:r>
        <w:rPr>
          <w:b/>
          <w:bCs/>
        </w:rPr>
        <w:t>Твердые отходы</w:t>
      </w:r>
    </w:p>
    <w:p w:rsidR="00000000" w:rsidRDefault="00000000">
      <w:pPr>
        <w:keepNext/>
        <w:rPr>
          <w:b/>
          <w:bCs/>
        </w:rPr>
      </w:pPr>
    </w:p>
    <w:p w:rsidR="00000000" w:rsidRDefault="00000000">
      <w:r>
        <w:t>479.</w:t>
      </w:r>
      <w:r>
        <w:tab/>
        <w:t>По оценкам, ежегодное количество твердых отходов в Республике Сербской составляет 400 кг на одного человека.  В 28 муниципалитетах находятся управляемые хранилища твердых отходов.  Около 700 000 человек из различных районов пользуются услугами системы организованного сбора удаления и обработки отходов, включающей 44 хранилища (45 государственных коммунальных компаний), и ни одно из них не отвечает санитарным/гигиеническим требованиям.  В других муниципалитетах существует целый ряд "диких" свалок и отвалов шлака.</w:t>
      </w:r>
    </w:p>
    <w:p w:rsidR="00000000" w:rsidRDefault="00000000"/>
    <w:p w:rsidR="00000000" w:rsidRDefault="00000000">
      <w:pPr>
        <w:jc w:val="center"/>
        <w:rPr>
          <w:b/>
          <w:bCs/>
        </w:rPr>
      </w:pPr>
      <w:r>
        <w:rPr>
          <w:b/>
          <w:bCs/>
        </w:rPr>
        <w:t>Таблица 16</w:t>
      </w:r>
    </w:p>
    <w:p w:rsidR="00000000" w:rsidRDefault="00000000">
      <w:pPr>
        <w:jc w:val="center"/>
        <w:rPr>
          <w:b/>
          <w:bCs/>
        </w:rPr>
      </w:pPr>
    </w:p>
    <w:p w:rsidR="00000000" w:rsidRDefault="00000000">
      <w:pPr>
        <w:jc w:val="center"/>
        <w:rPr>
          <w:b/>
          <w:bCs/>
        </w:rPr>
      </w:pPr>
      <w:r>
        <w:rPr>
          <w:b/>
          <w:bCs/>
        </w:rPr>
        <w:t>Охват населения государственными системами удаления отходов, число хранилищ и</w:t>
      </w:r>
      <w:r>
        <w:rPr>
          <w:b/>
          <w:bCs/>
          <w:lang w:val="en-US"/>
        </w:rPr>
        <w:t> </w:t>
      </w:r>
      <w:r>
        <w:rPr>
          <w:b/>
          <w:bCs/>
        </w:rPr>
        <w:t>количество государственных коммунальных предприятий в районах/городах</w:t>
      </w:r>
    </w:p>
    <w:p w:rsidR="00000000" w:rsidRDefault="00000000">
      <w:pPr>
        <w:pStyle w:val="Heading2"/>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rPr>
          <w:jc w:val="center"/>
        </w:trPr>
        <w:tc>
          <w:tcPr>
            <w:tcW w:w="2284" w:type="dxa"/>
            <w:vAlign w:val="center"/>
          </w:tcPr>
          <w:p w:rsidR="00000000" w:rsidRDefault="00000000">
            <w:pPr>
              <w:jc w:val="center"/>
            </w:pPr>
            <w:r>
              <w:t>Город/район</w:t>
            </w:r>
          </w:p>
        </w:tc>
        <w:tc>
          <w:tcPr>
            <w:tcW w:w="2393" w:type="dxa"/>
            <w:vAlign w:val="center"/>
          </w:tcPr>
          <w:p w:rsidR="00000000" w:rsidRDefault="00000000">
            <w:pPr>
              <w:jc w:val="center"/>
            </w:pPr>
            <w:r>
              <w:t>Население</w:t>
            </w:r>
          </w:p>
        </w:tc>
        <w:tc>
          <w:tcPr>
            <w:tcW w:w="2393" w:type="dxa"/>
            <w:vAlign w:val="center"/>
          </w:tcPr>
          <w:p w:rsidR="00000000" w:rsidRDefault="00000000">
            <w:pPr>
              <w:jc w:val="center"/>
            </w:pPr>
            <w:r>
              <w:t>Хранилища</w:t>
            </w:r>
          </w:p>
        </w:tc>
        <w:tc>
          <w:tcPr>
            <w:tcW w:w="2286" w:type="dxa"/>
            <w:vAlign w:val="center"/>
          </w:tcPr>
          <w:p w:rsidR="00000000" w:rsidRDefault="00000000">
            <w:pPr>
              <w:spacing w:line="240" w:lineRule="auto"/>
              <w:jc w:val="center"/>
            </w:pPr>
            <w:r>
              <w:t>Коммунальные предприятия</w:t>
            </w:r>
          </w:p>
        </w:tc>
      </w:tr>
      <w:tr w:rsidR="00000000">
        <w:tblPrEx>
          <w:tblCellMar>
            <w:top w:w="0" w:type="dxa"/>
            <w:bottom w:w="0" w:type="dxa"/>
          </w:tblCellMar>
        </w:tblPrEx>
        <w:trPr>
          <w:jc w:val="center"/>
        </w:trPr>
        <w:tc>
          <w:tcPr>
            <w:tcW w:w="2284" w:type="dxa"/>
            <w:tcBorders>
              <w:bottom w:val="nil"/>
            </w:tcBorders>
          </w:tcPr>
          <w:p w:rsidR="00000000" w:rsidRDefault="00000000">
            <w:r>
              <w:t>Требине</w:t>
            </w:r>
          </w:p>
        </w:tc>
        <w:tc>
          <w:tcPr>
            <w:tcW w:w="2393" w:type="dxa"/>
            <w:tcBorders>
              <w:bottom w:val="nil"/>
            </w:tcBorders>
          </w:tcPr>
          <w:p w:rsidR="00000000" w:rsidRDefault="00000000">
            <w:pPr>
              <w:tabs>
                <w:tab w:val="clear" w:pos="1134"/>
                <w:tab w:val="clear" w:pos="1701"/>
                <w:tab w:val="clear" w:pos="2268"/>
              </w:tabs>
              <w:ind w:right="828"/>
              <w:jc w:val="right"/>
            </w:pPr>
            <w:r>
              <w:t>24 500</w:t>
            </w:r>
          </w:p>
        </w:tc>
        <w:tc>
          <w:tcPr>
            <w:tcW w:w="2393" w:type="dxa"/>
            <w:tcBorders>
              <w:bottom w:val="nil"/>
            </w:tcBorders>
          </w:tcPr>
          <w:p w:rsidR="00000000" w:rsidRDefault="00000000">
            <w:pPr>
              <w:tabs>
                <w:tab w:val="clear" w:pos="567"/>
                <w:tab w:val="clear" w:pos="1134"/>
                <w:tab w:val="clear" w:pos="1701"/>
                <w:tab w:val="clear" w:pos="2268"/>
                <w:tab w:val="clear" w:pos="6237"/>
              </w:tabs>
              <w:ind w:right="977"/>
              <w:jc w:val="right"/>
            </w:pPr>
            <w:r>
              <w:t>5</w:t>
            </w:r>
          </w:p>
        </w:tc>
        <w:tc>
          <w:tcPr>
            <w:tcW w:w="2286" w:type="dxa"/>
            <w:tcBorders>
              <w:bottom w:val="nil"/>
            </w:tcBorders>
          </w:tcPr>
          <w:p w:rsidR="00000000" w:rsidRDefault="00000000">
            <w:pPr>
              <w:tabs>
                <w:tab w:val="clear" w:pos="1134"/>
                <w:tab w:val="clear" w:pos="1701"/>
                <w:tab w:val="clear" w:pos="2268"/>
              </w:tabs>
              <w:ind w:right="1019"/>
              <w:jc w:val="right"/>
            </w:pPr>
            <w:r>
              <w:t>5</w:t>
            </w:r>
          </w:p>
        </w:tc>
      </w:tr>
      <w:tr w:rsidR="00000000">
        <w:tblPrEx>
          <w:tblCellMar>
            <w:top w:w="0" w:type="dxa"/>
            <w:bottom w:w="0" w:type="dxa"/>
          </w:tblCellMar>
        </w:tblPrEx>
        <w:trPr>
          <w:jc w:val="center"/>
        </w:trPr>
        <w:tc>
          <w:tcPr>
            <w:tcW w:w="2284" w:type="dxa"/>
            <w:tcBorders>
              <w:top w:val="nil"/>
              <w:bottom w:val="nil"/>
            </w:tcBorders>
          </w:tcPr>
          <w:p w:rsidR="00000000" w:rsidRDefault="00000000">
            <w:r>
              <w:t>Фоча/Србине</w:t>
            </w:r>
          </w:p>
        </w:tc>
        <w:tc>
          <w:tcPr>
            <w:tcW w:w="2393" w:type="dxa"/>
            <w:tcBorders>
              <w:top w:val="nil"/>
              <w:bottom w:val="nil"/>
            </w:tcBorders>
          </w:tcPr>
          <w:p w:rsidR="00000000" w:rsidRDefault="00000000">
            <w:pPr>
              <w:tabs>
                <w:tab w:val="clear" w:pos="1134"/>
                <w:tab w:val="clear" w:pos="1701"/>
                <w:tab w:val="clear" w:pos="2268"/>
              </w:tabs>
              <w:ind w:right="828"/>
              <w:jc w:val="right"/>
            </w:pPr>
            <w:r>
              <w:t>22 200</w:t>
            </w:r>
          </w:p>
        </w:tc>
        <w:tc>
          <w:tcPr>
            <w:tcW w:w="2393" w:type="dxa"/>
            <w:tcBorders>
              <w:top w:val="nil"/>
              <w:bottom w:val="nil"/>
            </w:tcBorders>
          </w:tcPr>
          <w:p w:rsidR="00000000" w:rsidRDefault="00000000">
            <w:pPr>
              <w:tabs>
                <w:tab w:val="clear" w:pos="567"/>
                <w:tab w:val="clear" w:pos="1134"/>
                <w:tab w:val="clear" w:pos="1701"/>
                <w:tab w:val="clear" w:pos="2268"/>
                <w:tab w:val="clear" w:pos="6237"/>
              </w:tabs>
              <w:ind w:right="977"/>
              <w:jc w:val="right"/>
            </w:pPr>
            <w:r>
              <w:t>6</w:t>
            </w:r>
          </w:p>
        </w:tc>
        <w:tc>
          <w:tcPr>
            <w:tcW w:w="2286" w:type="dxa"/>
            <w:tcBorders>
              <w:top w:val="nil"/>
              <w:bottom w:val="nil"/>
            </w:tcBorders>
          </w:tcPr>
          <w:p w:rsidR="00000000" w:rsidRDefault="00000000">
            <w:pPr>
              <w:tabs>
                <w:tab w:val="clear" w:pos="1134"/>
                <w:tab w:val="clear" w:pos="1701"/>
                <w:tab w:val="clear" w:pos="2268"/>
              </w:tabs>
              <w:ind w:right="1019"/>
              <w:jc w:val="right"/>
            </w:pPr>
            <w:r>
              <w:t>7</w:t>
            </w:r>
          </w:p>
        </w:tc>
      </w:tr>
      <w:tr w:rsidR="00000000">
        <w:tblPrEx>
          <w:tblCellMar>
            <w:top w:w="0" w:type="dxa"/>
            <w:bottom w:w="0" w:type="dxa"/>
          </w:tblCellMar>
        </w:tblPrEx>
        <w:trPr>
          <w:jc w:val="center"/>
        </w:trPr>
        <w:tc>
          <w:tcPr>
            <w:tcW w:w="2284" w:type="dxa"/>
            <w:tcBorders>
              <w:top w:val="nil"/>
              <w:bottom w:val="nil"/>
            </w:tcBorders>
          </w:tcPr>
          <w:p w:rsidR="00000000" w:rsidRDefault="00000000">
            <w:r>
              <w:t>Пале</w:t>
            </w:r>
          </w:p>
        </w:tc>
        <w:tc>
          <w:tcPr>
            <w:tcW w:w="2393" w:type="dxa"/>
            <w:tcBorders>
              <w:top w:val="nil"/>
              <w:bottom w:val="nil"/>
            </w:tcBorders>
          </w:tcPr>
          <w:p w:rsidR="00000000" w:rsidRDefault="00000000">
            <w:pPr>
              <w:tabs>
                <w:tab w:val="clear" w:pos="1134"/>
                <w:tab w:val="clear" w:pos="1701"/>
                <w:tab w:val="clear" w:pos="2268"/>
              </w:tabs>
              <w:ind w:right="828"/>
              <w:jc w:val="right"/>
            </w:pPr>
            <w:r>
              <w:t>39 200</w:t>
            </w:r>
          </w:p>
        </w:tc>
        <w:tc>
          <w:tcPr>
            <w:tcW w:w="2393" w:type="dxa"/>
            <w:tcBorders>
              <w:top w:val="nil"/>
              <w:bottom w:val="nil"/>
            </w:tcBorders>
          </w:tcPr>
          <w:p w:rsidR="00000000" w:rsidRDefault="00000000">
            <w:pPr>
              <w:tabs>
                <w:tab w:val="clear" w:pos="567"/>
                <w:tab w:val="clear" w:pos="1134"/>
                <w:tab w:val="clear" w:pos="1701"/>
                <w:tab w:val="clear" w:pos="2268"/>
                <w:tab w:val="clear" w:pos="6237"/>
              </w:tabs>
              <w:ind w:right="977"/>
              <w:jc w:val="right"/>
            </w:pPr>
            <w:r>
              <w:t>3</w:t>
            </w:r>
          </w:p>
        </w:tc>
        <w:tc>
          <w:tcPr>
            <w:tcW w:w="2286" w:type="dxa"/>
            <w:tcBorders>
              <w:top w:val="nil"/>
              <w:bottom w:val="nil"/>
            </w:tcBorders>
          </w:tcPr>
          <w:p w:rsidR="00000000" w:rsidRDefault="00000000">
            <w:pPr>
              <w:tabs>
                <w:tab w:val="clear" w:pos="1134"/>
                <w:tab w:val="clear" w:pos="1701"/>
                <w:tab w:val="clear" w:pos="2268"/>
              </w:tabs>
              <w:ind w:right="1019"/>
              <w:jc w:val="right"/>
            </w:pPr>
            <w:r>
              <w:t>3</w:t>
            </w:r>
          </w:p>
        </w:tc>
      </w:tr>
      <w:tr w:rsidR="00000000">
        <w:tblPrEx>
          <w:tblCellMar>
            <w:top w:w="0" w:type="dxa"/>
            <w:bottom w:w="0" w:type="dxa"/>
          </w:tblCellMar>
        </w:tblPrEx>
        <w:trPr>
          <w:jc w:val="center"/>
        </w:trPr>
        <w:tc>
          <w:tcPr>
            <w:tcW w:w="2284" w:type="dxa"/>
            <w:tcBorders>
              <w:top w:val="nil"/>
              <w:bottom w:val="nil"/>
            </w:tcBorders>
          </w:tcPr>
          <w:p w:rsidR="00000000" w:rsidRDefault="00000000">
            <w:r>
              <w:t>Братунац</w:t>
            </w:r>
          </w:p>
        </w:tc>
        <w:tc>
          <w:tcPr>
            <w:tcW w:w="2393" w:type="dxa"/>
            <w:tcBorders>
              <w:top w:val="nil"/>
              <w:bottom w:val="nil"/>
            </w:tcBorders>
          </w:tcPr>
          <w:p w:rsidR="00000000" w:rsidRDefault="00000000">
            <w:pPr>
              <w:pStyle w:val="Header"/>
              <w:ind w:right="828"/>
              <w:jc w:val="right"/>
            </w:pPr>
            <w:r>
              <w:t>45 000</w:t>
            </w:r>
          </w:p>
        </w:tc>
        <w:tc>
          <w:tcPr>
            <w:tcW w:w="2393" w:type="dxa"/>
            <w:tcBorders>
              <w:top w:val="nil"/>
              <w:bottom w:val="nil"/>
            </w:tcBorders>
          </w:tcPr>
          <w:p w:rsidR="00000000" w:rsidRDefault="00000000">
            <w:pPr>
              <w:tabs>
                <w:tab w:val="clear" w:pos="567"/>
                <w:tab w:val="clear" w:pos="1134"/>
                <w:tab w:val="clear" w:pos="1701"/>
                <w:tab w:val="clear" w:pos="2268"/>
                <w:tab w:val="clear" w:pos="6237"/>
              </w:tabs>
              <w:ind w:right="977"/>
              <w:jc w:val="right"/>
            </w:pPr>
            <w:r>
              <w:t>6</w:t>
            </w:r>
          </w:p>
        </w:tc>
        <w:tc>
          <w:tcPr>
            <w:tcW w:w="2286" w:type="dxa"/>
            <w:tcBorders>
              <w:top w:val="nil"/>
              <w:bottom w:val="nil"/>
            </w:tcBorders>
          </w:tcPr>
          <w:p w:rsidR="00000000" w:rsidRDefault="00000000">
            <w:pPr>
              <w:tabs>
                <w:tab w:val="clear" w:pos="1134"/>
                <w:tab w:val="clear" w:pos="1701"/>
                <w:tab w:val="clear" w:pos="2268"/>
              </w:tabs>
              <w:ind w:right="1019"/>
              <w:jc w:val="right"/>
            </w:pPr>
            <w:r>
              <w:t>6</w:t>
            </w:r>
          </w:p>
        </w:tc>
      </w:tr>
      <w:tr w:rsidR="00000000">
        <w:tblPrEx>
          <w:tblCellMar>
            <w:top w:w="0" w:type="dxa"/>
            <w:bottom w:w="0" w:type="dxa"/>
          </w:tblCellMar>
        </w:tblPrEx>
        <w:trPr>
          <w:jc w:val="center"/>
        </w:trPr>
        <w:tc>
          <w:tcPr>
            <w:tcW w:w="2284" w:type="dxa"/>
            <w:tcBorders>
              <w:top w:val="nil"/>
              <w:bottom w:val="nil"/>
            </w:tcBorders>
          </w:tcPr>
          <w:p w:rsidR="00000000" w:rsidRDefault="00000000">
            <w:pPr>
              <w:pStyle w:val="Header"/>
            </w:pPr>
            <w:r>
              <w:t>Биелина</w:t>
            </w:r>
          </w:p>
        </w:tc>
        <w:tc>
          <w:tcPr>
            <w:tcW w:w="2393" w:type="dxa"/>
            <w:tcBorders>
              <w:top w:val="nil"/>
              <w:bottom w:val="nil"/>
            </w:tcBorders>
          </w:tcPr>
          <w:p w:rsidR="00000000" w:rsidRDefault="00000000">
            <w:pPr>
              <w:tabs>
                <w:tab w:val="clear" w:pos="1134"/>
                <w:tab w:val="clear" w:pos="1701"/>
                <w:tab w:val="clear" w:pos="2268"/>
              </w:tabs>
              <w:ind w:right="828"/>
              <w:jc w:val="right"/>
            </w:pPr>
            <w:r>
              <w:t>101 000</w:t>
            </w:r>
          </w:p>
        </w:tc>
        <w:tc>
          <w:tcPr>
            <w:tcW w:w="2393" w:type="dxa"/>
            <w:tcBorders>
              <w:top w:val="nil"/>
              <w:bottom w:val="nil"/>
            </w:tcBorders>
          </w:tcPr>
          <w:p w:rsidR="00000000" w:rsidRDefault="00000000">
            <w:pPr>
              <w:tabs>
                <w:tab w:val="clear" w:pos="567"/>
                <w:tab w:val="clear" w:pos="1134"/>
                <w:tab w:val="clear" w:pos="1701"/>
                <w:tab w:val="clear" w:pos="2268"/>
                <w:tab w:val="clear" w:pos="6237"/>
              </w:tabs>
              <w:ind w:right="977"/>
              <w:jc w:val="right"/>
            </w:pPr>
            <w:r>
              <w:t>3</w:t>
            </w:r>
          </w:p>
        </w:tc>
        <w:tc>
          <w:tcPr>
            <w:tcW w:w="2286" w:type="dxa"/>
            <w:tcBorders>
              <w:top w:val="nil"/>
              <w:bottom w:val="nil"/>
            </w:tcBorders>
          </w:tcPr>
          <w:p w:rsidR="00000000" w:rsidRDefault="00000000">
            <w:pPr>
              <w:tabs>
                <w:tab w:val="clear" w:pos="1134"/>
                <w:tab w:val="clear" w:pos="1701"/>
                <w:tab w:val="clear" w:pos="2268"/>
              </w:tabs>
              <w:ind w:right="1019"/>
              <w:jc w:val="right"/>
            </w:pPr>
            <w:r>
              <w:t>3</w:t>
            </w:r>
          </w:p>
        </w:tc>
      </w:tr>
      <w:tr w:rsidR="00000000">
        <w:tblPrEx>
          <w:tblCellMar>
            <w:top w:w="0" w:type="dxa"/>
            <w:bottom w:w="0" w:type="dxa"/>
          </w:tblCellMar>
        </w:tblPrEx>
        <w:trPr>
          <w:jc w:val="center"/>
        </w:trPr>
        <w:tc>
          <w:tcPr>
            <w:tcW w:w="2284" w:type="dxa"/>
            <w:tcBorders>
              <w:top w:val="nil"/>
              <w:bottom w:val="nil"/>
            </w:tcBorders>
          </w:tcPr>
          <w:p w:rsidR="00000000" w:rsidRDefault="00000000">
            <w:r>
              <w:t>Добой</w:t>
            </w:r>
          </w:p>
        </w:tc>
        <w:tc>
          <w:tcPr>
            <w:tcW w:w="2393" w:type="dxa"/>
            <w:tcBorders>
              <w:top w:val="nil"/>
              <w:bottom w:val="nil"/>
            </w:tcBorders>
          </w:tcPr>
          <w:p w:rsidR="00000000" w:rsidRDefault="00000000">
            <w:pPr>
              <w:tabs>
                <w:tab w:val="clear" w:pos="1134"/>
                <w:tab w:val="clear" w:pos="1701"/>
                <w:tab w:val="clear" w:pos="2268"/>
              </w:tabs>
              <w:ind w:right="828"/>
              <w:jc w:val="right"/>
            </w:pPr>
            <w:r>
              <w:t>109 000</w:t>
            </w:r>
          </w:p>
        </w:tc>
        <w:tc>
          <w:tcPr>
            <w:tcW w:w="2393" w:type="dxa"/>
            <w:tcBorders>
              <w:top w:val="nil"/>
              <w:bottom w:val="nil"/>
            </w:tcBorders>
          </w:tcPr>
          <w:p w:rsidR="00000000" w:rsidRDefault="00000000">
            <w:pPr>
              <w:tabs>
                <w:tab w:val="clear" w:pos="567"/>
                <w:tab w:val="clear" w:pos="1134"/>
                <w:tab w:val="clear" w:pos="1701"/>
                <w:tab w:val="clear" w:pos="2268"/>
                <w:tab w:val="clear" w:pos="6237"/>
              </w:tabs>
              <w:ind w:right="977"/>
              <w:jc w:val="right"/>
            </w:pPr>
            <w:r>
              <w:t>5</w:t>
            </w:r>
          </w:p>
        </w:tc>
        <w:tc>
          <w:tcPr>
            <w:tcW w:w="2286" w:type="dxa"/>
            <w:tcBorders>
              <w:top w:val="nil"/>
              <w:bottom w:val="nil"/>
            </w:tcBorders>
          </w:tcPr>
          <w:p w:rsidR="00000000" w:rsidRDefault="00000000">
            <w:pPr>
              <w:tabs>
                <w:tab w:val="clear" w:pos="1134"/>
                <w:tab w:val="clear" w:pos="1701"/>
                <w:tab w:val="clear" w:pos="2268"/>
              </w:tabs>
              <w:ind w:right="1019"/>
              <w:jc w:val="right"/>
            </w:pPr>
            <w:r>
              <w:t>5</w:t>
            </w:r>
          </w:p>
        </w:tc>
      </w:tr>
      <w:tr w:rsidR="00000000">
        <w:tblPrEx>
          <w:tblCellMar>
            <w:top w:w="0" w:type="dxa"/>
            <w:bottom w:w="0" w:type="dxa"/>
          </w:tblCellMar>
        </w:tblPrEx>
        <w:trPr>
          <w:jc w:val="center"/>
        </w:trPr>
        <w:tc>
          <w:tcPr>
            <w:tcW w:w="2284" w:type="dxa"/>
            <w:tcBorders>
              <w:top w:val="nil"/>
              <w:bottom w:val="single" w:sz="4" w:space="0" w:color="auto"/>
            </w:tcBorders>
          </w:tcPr>
          <w:p w:rsidR="00000000" w:rsidRDefault="00000000">
            <w:r>
              <w:t>Баня-Лука</w:t>
            </w:r>
          </w:p>
        </w:tc>
        <w:tc>
          <w:tcPr>
            <w:tcW w:w="2393" w:type="dxa"/>
            <w:tcBorders>
              <w:top w:val="nil"/>
              <w:bottom w:val="single" w:sz="4" w:space="0" w:color="auto"/>
            </w:tcBorders>
          </w:tcPr>
          <w:p w:rsidR="00000000" w:rsidRDefault="00000000">
            <w:pPr>
              <w:tabs>
                <w:tab w:val="clear" w:pos="1134"/>
                <w:tab w:val="clear" w:pos="1701"/>
                <w:tab w:val="clear" w:pos="2268"/>
              </w:tabs>
              <w:ind w:right="828"/>
              <w:jc w:val="right"/>
            </w:pPr>
            <w:r>
              <w:t>350 000</w:t>
            </w:r>
          </w:p>
        </w:tc>
        <w:tc>
          <w:tcPr>
            <w:tcW w:w="2393" w:type="dxa"/>
            <w:tcBorders>
              <w:top w:val="nil"/>
              <w:bottom w:val="single" w:sz="4" w:space="0" w:color="auto"/>
            </w:tcBorders>
          </w:tcPr>
          <w:p w:rsidR="00000000" w:rsidRDefault="00000000">
            <w:pPr>
              <w:tabs>
                <w:tab w:val="clear" w:pos="567"/>
                <w:tab w:val="clear" w:pos="1134"/>
                <w:tab w:val="clear" w:pos="1701"/>
                <w:tab w:val="clear" w:pos="2268"/>
                <w:tab w:val="clear" w:pos="6237"/>
              </w:tabs>
              <w:ind w:right="977"/>
              <w:jc w:val="right"/>
            </w:pPr>
            <w:r>
              <w:t>16</w:t>
            </w:r>
          </w:p>
        </w:tc>
        <w:tc>
          <w:tcPr>
            <w:tcW w:w="2286" w:type="dxa"/>
            <w:tcBorders>
              <w:top w:val="nil"/>
              <w:bottom w:val="single" w:sz="4" w:space="0" w:color="auto"/>
            </w:tcBorders>
          </w:tcPr>
          <w:p w:rsidR="00000000" w:rsidRDefault="00000000">
            <w:pPr>
              <w:tabs>
                <w:tab w:val="clear" w:pos="1134"/>
                <w:tab w:val="clear" w:pos="1701"/>
                <w:tab w:val="clear" w:pos="2268"/>
              </w:tabs>
              <w:ind w:right="1019"/>
              <w:jc w:val="right"/>
            </w:pPr>
            <w:r>
              <w:t>16</w:t>
            </w:r>
          </w:p>
        </w:tc>
      </w:tr>
      <w:tr w:rsidR="00000000">
        <w:tblPrEx>
          <w:tblCellMar>
            <w:top w:w="0" w:type="dxa"/>
            <w:bottom w:w="0" w:type="dxa"/>
          </w:tblCellMar>
        </w:tblPrEx>
        <w:trPr>
          <w:jc w:val="center"/>
        </w:trPr>
        <w:tc>
          <w:tcPr>
            <w:tcW w:w="2284" w:type="dxa"/>
            <w:tcBorders>
              <w:top w:val="single" w:sz="4" w:space="0" w:color="auto"/>
            </w:tcBorders>
          </w:tcPr>
          <w:p w:rsidR="00000000" w:rsidRDefault="00000000">
            <w:pPr>
              <w:tabs>
                <w:tab w:val="clear" w:pos="567"/>
                <w:tab w:val="left" w:pos="460"/>
              </w:tabs>
            </w:pPr>
            <w:r>
              <w:rPr>
                <w:lang w:val="en-US"/>
              </w:rPr>
              <w:tab/>
            </w:r>
            <w:r>
              <w:t>Всего</w:t>
            </w:r>
          </w:p>
        </w:tc>
        <w:tc>
          <w:tcPr>
            <w:tcW w:w="2393" w:type="dxa"/>
            <w:tcBorders>
              <w:top w:val="single" w:sz="4" w:space="0" w:color="auto"/>
            </w:tcBorders>
          </w:tcPr>
          <w:p w:rsidR="00000000" w:rsidRDefault="00000000">
            <w:pPr>
              <w:tabs>
                <w:tab w:val="clear" w:pos="1134"/>
                <w:tab w:val="clear" w:pos="1701"/>
                <w:tab w:val="clear" w:pos="2268"/>
              </w:tabs>
              <w:ind w:right="828"/>
              <w:jc w:val="right"/>
            </w:pPr>
            <w:r>
              <w:t>690 000</w:t>
            </w:r>
          </w:p>
        </w:tc>
        <w:tc>
          <w:tcPr>
            <w:tcW w:w="2393" w:type="dxa"/>
            <w:tcBorders>
              <w:top w:val="single" w:sz="4" w:space="0" w:color="auto"/>
            </w:tcBorders>
          </w:tcPr>
          <w:p w:rsidR="00000000" w:rsidRDefault="00000000">
            <w:pPr>
              <w:tabs>
                <w:tab w:val="clear" w:pos="567"/>
                <w:tab w:val="clear" w:pos="1134"/>
                <w:tab w:val="clear" w:pos="1701"/>
                <w:tab w:val="clear" w:pos="2268"/>
                <w:tab w:val="clear" w:pos="6237"/>
              </w:tabs>
              <w:ind w:right="977"/>
              <w:jc w:val="right"/>
            </w:pPr>
            <w:r>
              <w:t>44</w:t>
            </w:r>
          </w:p>
        </w:tc>
        <w:tc>
          <w:tcPr>
            <w:tcW w:w="2286" w:type="dxa"/>
            <w:tcBorders>
              <w:top w:val="single" w:sz="4" w:space="0" w:color="auto"/>
            </w:tcBorders>
          </w:tcPr>
          <w:p w:rsidR="00000000" w:rsidRDefault="00000000">
            <w:pPr>
              <w:tabs>
                <w:tab w:val="clear" w:pos="1134"/>
                <w:tab w:val="clear" w:pos="1701"/>
                <w:tab w:val="clear" w:pos="2268"/>
              </w:tabs>
              <w:ind w:right="1019"/>
              <w:jc w:val="right"/>
            </w:pPr>
            <w:r>
              <w:t>45</w:t>
            </w:r>
          </w:p>
        </w:tc>
      </w:tr>
    </w:tbl>
    <w:p w:rsidR="00000000" w:rsidRDefault="00000000">
      <w:pPr>
        <w:jc w:val="center"/>
        <w:rPr>
          <w:b/>
          <w:bCs/>
        </w:rPr>
      </w:pPr>
    </w:p>
    <w:p w:rsidR="00000000" w:rsidRDefault="00000000">
      <w:pPr>
        <w:spacing w:line="240" w:lineRule="auto"/>
      </w:pPr>
      <w:r>
        <w:rPr>
          <w:i/>
          <w:iCs/>
        </w:rPr>
        <w:tab/>
        <w:t xml:space="preserve">Источники:  </w:t>
      </w:r>
      <w:r>
        <w:t>Республиканский статистический институт, Институт планирования земельных ресурсов Республики Сербской, Баня-Лука, Институт водных ресурсов, Биелина, Институт здравоохранения Республики Сербской, Баня-Лука, компания "Двокут", Сараево, Федерация Боснии и Герцеговины.</w:t>
      </w:r>
    </w:p>
    <w:p w:rsidR="00000000" w:rsidRDefault="00000000">
      <w:pPr>
        <w:rPr>
          <w:sz w:val="28"/>
        </w:rPr>
      </w:pPr>
    </w:p>
    <w:p w:rsidR="00000000" w:rsidRDefault="00000000">
      <w:r>
        <w:t>480.</w:t>
      </w:r>
      <w:r>
        <w:tab/>
        <w:t>Большинство домашних хозяйств пользуются услугами системы организованного удаления отходов (45%), 7,6% домашних хозяйств удаляют отходы в установленных местах, 15,2% </w:t>
      </w:r>
      <w:r>
        <w:noBreakHyphen/>
        <w:t xml:space="preserve"> пользуются "дикими" свалками, 24,4% </w:t>
      </w:r>
      <w:r>
        <w:noBreakHyphen/>
        <w:t xml:space="preserve"> сжигают свои отходы и 3,2% домашних хозяйств удаляют свои отходы каким-либо другим образом.</w:t>
      </w:r>
    </w:p>
    <w:p w:rsidR="00000000" w:rsidRDefault="00000000"/>
    <w:p w:rsidR="00000000" w:rsidRDefault="00000000">
      <w:r>
        <w:t>481.</w:t>
      </w:r>
      <w:r>
        <w:tab/>
        <w:t>Для хранения токсичных химических материалов не предусмотрено единого хранилища.  Особую проблему представляют устаревшие лекарства и санитарные материалы после истечения срока их годности, включая те, которые были завезены в страну в качестве гуманитарной помощи, причем количество подобных лекарств оценивается в несколько тонн.  В настоящее время их удаление не представляется возможным из-за отсутствия мусоросжигателя.  Эти лекарственные препараты хранятся в герметичных бочках около учреждений здравоохранения, и лишь для половины из них были выделены средства для транспортировки и утилизации за пределами территории Республики Сербской.  В сельской местности население не сталкивается с проблемой отходов, поскольку большую их часть использует (перерабатывает, повторно использует в качестве пищи для животных или твердого топлива или же для компостирования), тогда как в городах можно наблюдать тенденцию к росту количества отходов на душу населения, как это происходит в соседних высокоразвитых странах.  Реальность такова, что проблема отходов стала одной из глобальных проблем здравоохранения сегодняшнего современного общества, особенно когда речь идет о вредных (медицинских радиоактивных, фармацевтических) и потенциально опасных отходах.</w:t>
      </w:r>
    </w:p>
    <w:p w:rsidR="00000000" w:rsidRDefault="00000000"/>
    <w:p w:rsidR="00000000" w:rsidRDefault="00000000">
      <w:pPr>
        <w:rPr>
          <w:b/>
          <w:bCs/>
        </w:rPr>
      </w:pPr>
      <w:r>
        <w:rPr>
          <w:b/>
          <w:bCs/>
        </w:rPr>
        <w:t>Гигиена питания</w:t>
      </w:r>
    </w:p>
    <w:p w:rsidR="00000000" w:rsidRDefault="00000000">
      <w:pPr>
        <w:rPr>
          <w:b/>
          <w:bCs/>
        </w:rPr>
      </w:pPr>
    </w:p>
    <w:p w:rsidR="00000000" w:rsidRDefault="00000000">
      <w:r>
        <w:t>482.</w:t>
      </w:r>
      <w:r>
        <w:tab/>
        <w:t xml:space="preserve">Сохраняющаяся на протяжении пяти лет тенденция в отношении различных инфекционных заболеваний на территории Федерации Боснии и Герцеговины ясно указывает на то, что ситуация с годами практически не изменяется и что зафиксированный в этом году коэффициент заболеваемости в 44,09%, когда причиной смерти были пищевые токсичные инфекции, сохранился на уровне предыдущего года.  И в этом году пищевые токсичные инфекции занимают восьмое место в ряду основных инфекционных заболеваний в Федерации.  Однако в 2002 году были зафиксированы две вспышки заболеваний, вызванных пищевыми токсичными инфекциями, что меньше уровня предыдущих лет. </w:t>
      </w:r>
    </w:p>
    <w:p w:rsidR="00000000" w:rsidRDefault="00000000"/>
    <w:p w:rsidR="00000000" w:rsidRDefault="00000000">
      <w:r>
        <w:t>483.</w:t>
      </w:r>
      <w:r>
        <w:tab/>
        <w:t xml:space="preserve">Собранные пятью лабораториями системы здравоохранения Федерации Боснии и Герцеговины данные о гигиеническом соответствии пищевых продуктов и объектов общего пользования указывают на то, что в 2002 году доля неудовлетворительных проб, взятых во время производственного процесса, по сравнению с предыдущими годами значительно сократилась.  А именно, из общего количества исследованных производственных проб лишь 6% являлись химически неудовлетворительными и 2,6% - микробиологически неудовлетворительными.  Это, а также уменьшение числа эпидемий можно отнести на счет постоянного совершенствования процесса производства пищевых продуктов при внедрении в практику принципов НАСРР.  На новых предприятиях применяются также современные международно признанные технологии.  Кроме того, еще одной причиной можно назвать широкие государственные компании за приобретение отечественных продуктов, отвечающих рекомендациям, содержащимся в настоящем докладе по вопросам здравоохранения.  </w:t>
      </w:r>
    </w:p>
    <w:p w:rsidR="00000000" w:rsidRDefault="00000000"/>
    <w:p w:rsidR="00000000" w:rsidRDefault="00000000">
      <w:r>
        <w:t>484.</w:t>
      </w:r>
      <w:r>
        <w:tab/>
        <w:t xml:space="preserve">Однако, поскольку целый ряд учреждений, которые также осуществляют гигиенический контроль качества пищевых продуктов, не входит в систему обязательного представления данных, касающихся здравоохранения, необходимо отметить, что обзор фактического положения является неполным.  Контроль и наблюдение за гигиеническим качеством пищевых продуктов все еще сопровождаются возникновением многих проблем, связанных с нехваткой и недостаточной подготовкой персонала, неудовлетворительным оборудованием и устаревшим и несогласованным законодательством. </w:t>
      </w:r>
    </w:p>
    <w:p w:rsidR="00000000" w:rsidRDefault="00000000">
      <w:pPr>
        <w:rPr>
          <w:sz w:val="22"/>
        </w:rPr>
      </w:pPr>
    </w:p>
    <w:p w:rsidR="00000000" w:rsidRDefault="00000000">
      <w:r>
        <w:t>485.</w:t>
      </w:r>
      <w:r>
        <w:tab/>
        <w:t xml:space="preserve">В рамках инициатив Пакта о стабильности и проекта его государств-членов по укреплению продовольственной и пищевой безопасности в Юго-Восточной Европе в рамках сети органов здравоохранения Юго-Восточной Европы создаются условия для принятия на национальном уровне всеобъемлющего закона о продовольствии и политике в области продовольствия и питания.  На уровне Образований ответственность за осуществление этого проекта должна быть возложена на министерства здравоохранения Образований и институты здравоохранения Федерации Боснии и Герцеговины и Республики Сербской. </w:t>
      </w:r>
    </w:p>
    <w:p w:rsidR="00000000" w:rsidRDefault="00000000">
      <w:pPr>
        <w:rPr>
          <w:sz w:val="22"/>
        </w:rPr>
      </w:pPr>
    </w:p>
    <w:p w:rsidR="00000000" w:rsidRDefault="00000000">
      <w:pPr>
        <w:tabs>
          <w:tab w:val="left" w:pos="3740"/>
        </w:tabs>
        <w:spacing w:line="276" w:lineRule="auto"/>
      </w:pPr>
      <w:r>
        <w:t>486.</w:t>
      </w:r>
      <w:r>
        <w:tab/>
        <w:t>Существует очевидная несогласованность между действующим законодательством и нормами ЕС и рекомендациями ВОЗ в отношении обеспечения достаточного количества здоровой безопасной пищи, которые охватывают все элементы пищевой цепочки и выполнение которых является необходимым для сохранения и укрепления здоровья населения.  В связи с их крайне важным значением продукты питания рассматриваются в качестве экологических факторов высокого риска.  Они определенно играют важную роль, поскольку могут служить причиной как возникновения инфекционных заболеваний, так и, даже в большей степени, массового заболевания населения неинфекционными болезнями.</w:t>
      </w:r>
    </w:p>
    <w:p w:rsidR="00000000" w:rsidRDefault="00000000">
      <w:pPr>
        <w:rPr>
          <w:sz w:val="22"/>
        </w:rPr>
      </w:pPr>
    </w:p>
    <w:p w:rsidR="00000000" w:rsidRDefault="00000000">
      <w:pPr>
        <w:tabs>
          <w:tab w:val="left" w:pos="3740"/>
        </w:tabs>
        <w:spacing w:line="276" w:lineRule="auto"/>
      </w:pPr>
      <w:r>
        <w:t>487.</w:t>
      </w:r>
      <w:r>
        <w:tab/>
        <w:t>Несмотря на то, что в Республике Сербской на крупных и мелких предприятиях ежегодно производятся тонны продовольствия, значительное его количество по</w:t>
      </w:r>
      <w:r>
        <w:noBreakHyphen/>
        <w:t>прежнему импортируется.  Контроль за производством и продажей пищевых продуктов (в том числе питьевой воды как наиболее важного пищевого продукта) осуществляется санитарными, торговыми и ветеринарными инспекторами.  Лишь несколько лабораторий в ходе технологического процесса проводят контроль пищевых продуктов в соответствии с НАССР как форму внутреннего контроля.  Государственный санитарный контроль осуществляется главным образом лабораториями Института здравоохранения Республики Сербской, которые уполномочены проводить проверку на соответствие санитарным нормам, а микробиологические проверки проводятся также Ветеринарным институтом.</w:t>
      </w:r>
    </w:p>
    <w:p w:rsidR="00000000" w:rsidRDefault="00000000">
      <w:pPr>
        <w:rPr>
          <w:sz w:val="22"/>
        </w:rPr>
      </w:pPr>
    </w:p>
    <w:p w:rsidR="00000000" w:rsidRDefault="00000000">
      <w:pPr>
        <w:tabs>
          <w:tab w:val="left" w:pos="3740"/>
        </w:tabs>
        <w:spacing w:line="276" w:lineRule="auto"/>
      </w:pPr>
      <w:r>
        <w:t>488.</w:t>
      </w:r>
      <w:r>
        <w:tab/>
        <w:t>Причины недостаточно удовлетворительного качества пищевых продуктов заключаются в повышенном содержании пестицидов или тяжелых металлов (кадмия, свинца и мышьяка), при этом информация на оригинальной упаковке пищевых продуктов является неполной или неточной.  Поэтому можно сделать вывод, что общее количество пищевых продуктов, проверяемых государственными институтами системы здравоохранения, является недостаточным и значительно ниже количества, предусмотренного законом (15 проб на 1 000 человек).</w:t>
      </w:r>
    </w:p>
    <w:p w:rsidR="00000000" w:rsidRDefault="00000000">
      <w:pPr>
        <w:tabs>
          <w:tab w:val="left" w:pos="3740"/>
        </w:tabs>
      </w:pPr>
      <w:r>
        <w:t>489.</w:t>
      </w:r>
      <w:r>
        <w:tab/>
        <w:t>Относительно часто регистрируются случаи инфицирования и отравления, происходящие в результате перевозки пищевых продуктов.  В прошлые годы из-за дефицита оборудования радиологический и токсикологический анализ пищевых продуктов не проводился.  В соответствии с действующим законодательством оценка санитарного соответствия осуществляется исключительно на основе органолептического, химического и микробиологического анализа.</w:t>
      </w:r>
    </w:p>
    <w:p w:rsidR="00000000" w:rsidRDefault="00000000">
      <w:pPr>
        <w:tabs>
          <w:tab w:val="left" w:pos="3740"/>
        </w:tabs>
      </w:pPr>
    </w:p>
    <w:p w:rsidR="00000000" w:rsidRDefault="00000000">
      <w:pPr>
        <w:keepNext/>
        <w:tabs>
          <w:tab w:val="left" w:pos="3740"/>
        </w:tabs>
        <w:jc w:val="center"/>
        <w:rPr>
          <w:b/>
          <w:bCs/>
        </w:rPr>
      </w:pPr>
      <w:r>
        <w:rPr>
          <w:b/>
          <w:bCs/>
        </w:rPr>
        <w:t>Таблица 17</w:t>
      </w:r>
    </w:p>
    <w:p w:rsidR="00000000" w:rsidRDefault="00000000">
      <w:pPr>
        <w:pStyle w:val="Heading2"/>
        <w:jc w:val="center"/>
        <w:rPr>
          <w:b/>
          <w:bCs/>
          <w:u w:val="none"/>
        </w:rPr>
      </w:pPr>
    </w:p>
    <w:p w:rsidR="00000000" w:rsidRDefault="00000000">
      <w:pPr>
        <w:keepNext/>
        <w:jc w:val="center"/>
        <w:rPr>
          <w:b/>
          <w:bCs/>
        </w:rPr>
      </w:pPr>
      <w:r>
        <w:rPr>
          <w:b/>
          <w:bCs/>
        </w:rPr>
        <w:t>Результаты проверки пищевых продуктов по микробиологическим и физическим/химическим показателям в Республике Сербской</w:t>
      </w:r>
    </w:p>
    <w:p w:rsidR="00000000" w:rsidRDefault="00000000">
      <w:pPr>
        <w:pStyle w:val="Heading2"/>
        <w:jc w:val="center"/>
        <w:rPr>
          <w:b/>
          <w:bCs/>
          <w:u w:val="none"/>
        </w:rPr>
      </w:pPr>
      <w:r>
        <w:rPr>
          <w:b/>
          <w:bCs/>
          <w:u w:val="none"/>
        </w:rPr>
        <w:t>в 1998-2000 годах</w:t>
      </w:r>
    </w:p>
    <w:p w:rsidR="00000000" w:rsidRDefault="00000000">
      <w:pPr>
        <w:keepN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28"/>
        <w:gridCol w:w="1549"/>
        <w:gridCol w:w="1417"/>
        <w:gridCol w:w="1238"/>
        <w:gridCol w:w="1451"/>
        <w:gridCol w:w="1459"/>
        <w:gridCol w:w="1169"/>
      </w:tblGrid>
      <w:tr w:rsidR="00000000">
        <w:tblPrEx>
          <w:tblCellMar>
            <w:top w:w="0" w:type="dxa"/>
            <w:bottom w:w="0" w:type="dxa"/>
          </w:tblCellMar>
        </w:tblPrEx>
        <w:trPr>
          <w:cantSplit/>
        </w:trPr>
        <w:tc>
          <w:tcPr>
            <w:tcW w:w="5332" w:type="dxa"/>
            <w:gridSpan w:val="4"/>
          </w:tcPr>
          <w:p w:rsidR="00000000" w:rsidRDefault="00000000">
            <w:pPr>
              <w:keepNext/>
              <w:spacing w:line="240" w:lineRule="auto"/>
              <w:jc w:val="center"/>
            </w:pPr>
            <w:r>
              <w:t>Физические/химические анализы</w:t>
            </w:r>
          </w:p>
        </w:tc>
        <w:tc>
          <w:tcPr>
            <w:tcW w:w="4079" w:type="dxa"/>
            <w:gridSpan w:val="3"/>
          </w:tcPr>
          <w:p w:rsidR="00000000" w:rsidRDefault="00000000">
            <w:pPr>
              <w:keepNext/>
              <w:spacing w:line="240" w:lineRule="auto"/>
              <w:jc w:val="center"/>
            </w:pPr>
            <w:r>
              <w:t>Микробиологические анализы</w:t>
            </w:r>
          </w:p>
        </w:tc>
      </w:tr>
      <w:tr w:rsidR="00000000">
        <w:tblPrEx>
          <w:tblCellMar>
            <w:top w:w="0" w:type="dxa"/>
            <w:bottom w:w="0" w:type="dxa"/>
          </w:tblCellMar>
        </w:tblPrEx>
        <w:trPr>
          <w:cantSplit/>
        </w:trPr>
        <w:tc>
          <w:tcPr>
            <w:tcW w:w="1128" w:type="dxa"/>
            <w:vMerge w:val="restart"/>
          </w:tcPr>
          <w:p w:rsidR="00000000" w:rsidRDefault="00000000">
            <w:pPr>
              <w:pStyle w:val="Header"/>
              <w:keepNext/>
              <w:jc w:val="center"/>
            </w:pPr>
            <w:r>
              <w:t>Год</w:t>
            </w:r>
          </w:p>
        </w:tc>
        <w:tc>
          <w:tcPr>
            <w:tcW w:w="1549" w:type="dxa"/>
            <w:vMerge w:val="restart"/>
          </w:tcPr>
          <w:p w:rsidR="00000000" w:rsidRDefault="00000000">
            <w:pPr>
              <w:keepNext/>
              <w:spacing w:line="240" w:lineRule="auto"/>
              <w:jc w:val="center"/>
            </w:pPr>
            <w:r>
              <w:t>Всего</w:t>
            </w:r>
          </w:p>
        </w:tc>
        <w:tc>
          <w:tcPr>
            <w:tcW w:w="2655" w:type="dxa"/>
            <w:gridSpan w:val="2"/>
            <w:vAlign w:val="center"/>
          </w:tcPr>
          <w:p w:rsidR="00000000" w:rsidRDefault="00000000">
            <w:pPr>
              <w:pStyle w:val="Header"/>
              <w:keepNext/>
              <w:jc w:val="center"/>
            </w:pPr>
            <w:r>
              <w:t>Неудовлетворительные пробы</w:t>
            </w:r>
          </w:p>
        </w:tc>
        <w:tc>
          <w:tcPr>
            <w:tcW w:w="1451" w:type="dxa"/>
            <w:vMerge w:val="restart"/>
            <w:vAlign w:val="center"/>
          </w:tcPr>
          <w:p w:rsidR="00000000" w:rsidRDefault="00000000">
            <w:pPr>
              <w:keepNext/>
              <w:spacing w:line="240" w:lineRule="auto"/>
              <w:jc w:val="center"/>
            </w:pPr>
            <w:r>
              <w:t>Всего</w:t>
            </w:r>
          </w:p>
        </w:tc>
        <w:tc>
          <w:tcPr>
            <w:tcW w:w="2628" w:type="dxa"/>
            <w:gridSpan w:val="2"/>
            <w:vAlign w:val="center"/>
          </w:tcPr>
          <w:p w:rsidR="00000000" w:rsidRDefault="00000000">
            <w:pPr>
              <w:keepNext/>
              <w:spacing w:line="240" w:lineRule="auto"/>
              <w:jc w:val="center"/>
            </w:pPr>
            <w:r>
              <w:t>Неудовлетворительные пробы</w:t>
            </w:r>
          </w:p>
        </w:tc>
      </w:tr>
      <w:tr w:rsidR="00000000">
        <w:tblPrEx>
          <w:tblCellMar>
            <w:top w:w="0" w:type="dxa"/>
            <w:bottom w:w="0" w:type="dxa"/>
          </w:tblCellMar>
        </w:tblPrEx>
        <w:trPr>
          <w:cantSplit/>
        </w:trPr>
        <w:tc>
          <w:tcPr>
            <w:tcW w:w="1128" w:type="dxa"/>
            <w:vMerge/>
          </w:tcPr>
          <w:p w:rsidR="00000000" w:rsidRDefault="00000000">
            <w:pPr>
              <w:pStyle w:val="Header"/>
              <w:keepNext/>
              <w:jc w:val="center"/>
            </w:pPr>
          </w:p>
        </w:tc>
        <w:tc>
          <w:tcPr>
            <w:tcW w:w="1549" w:type="dxa"/>
            <w:vMerge/>
          </w:tcPr>
          <w:p w:rsidR="00000000" w:rsidRDefault="00000000">
            <w:pPr>
              <w:keepNext/>
              <w:spacing w:line="240" w:lineRule="auto"/>
              <w:jc w:val="center"/>
            </w:pPr>
          </w:p>
        </w:tc>
        <w:tc>
          <w:tcPr>
            <w:tcW w:w="1417" w:type="dxa"/>
          </w:tcPr>
          <w:p w:rsidR="00000000" w:rsidRDefault="00000000">
            <w:pPr>
              <w:keepNext/>
              <w:spacing w:line="240" w:lineRule="auto"/>
              <w:jc w:val="center"/>
            </w:pPr>
            <w:r>
              <w:t>Количество</w:t>
            </w:r>
          </w:p>
        </w:tc>
        <w:tc>
          <w:tcPr>
            <w:tcW w:w="1238" w:type="dxa"/>
          </w:tcPr>
          <w:p w:rsidR="00000000" w:rsidRDefault="00000000">
            <w:pPr>
              <w:keepNext/>
              <w:spacing w:line="240" w:lineRule="auto"/>
              <w:jc w:val="center"/>
            </w:pPr>
            <w:r>
              <w:t>%</w:t>
            </w:r>
          </w:p>
        </w:tc>
        <w:tc>
          <w:tcPr>
            <w:tcW w:w="1451" w:type="dxa"/>
            <w:vMerge/>
          </w:tcPr>
          <w:p w:rsidR="00000000" w:rsidRDefault="00000000">
            <w:pPr>
              <w:keepNext/>
              <w:spacing w:line="240" w:lineRule="auto"/>
              <w:jc w:val="center"/>
            </w:pPr>
          </w:p>
        </w:tc>
        <w:tc>
          <w:tcPr>
            <w:tcW w:w="1459" w:type="dxa"/>
          </w:tcPr>
          <w:p w:rsidR="00000000" w:rsidRDefault="00000000">
            <w:pPr>
              <w:keepNext/>
              <w:spacing w:line="240" w:lineRule="auto"/>
              <w:jc w:val="center"/>
            </w:pPr>
            <w:r>
              <w:t>Количество</w:t>
            </w:r>
          </w:p>
        </w:tc>
        <w:tc>
          <w:tcPr>
            <w:tcW w:w="1169" w:type="dxa"/>
          </w:tcPr>
          <w:p w:rsidR="00000000" w:rsidRDefault="00000000">
            <w:pPr>
              <w:keepNext/>
              <w:spacing w:line="240" w:lineRule="auto"/>
              <w:jc w:val="center"/>
            </w:pPr>
            <w:r>
              <w:t>%</w:t>
            </w:r>
          </w:p>
        </w:tc>
      </w:tr>
      <w:tr w:rsidR="00000000">
        <w:tblPrEx>
          <w:tblCellMar>
            <w:top w:w="0" w:type="dxa"/>
            <w:bottom w:w="0" w:type="dxa"/>
          </w:tblCellMar>
        </w:tblPrEx>
        <w:trPr>
          <w:cantSplit/>
        </w:trPr>
        <w:tc>
          <w:tcPr>
            <w:tcW w:w="1128" w:type="dxa"/>
            <w:tcBorders>
              <w:bottom w:val="nil"/>
            </w:tcBorders>
          </w:tcPr>
          <w:p w:rsidR="00000000" w:rsidRDefault="00000000">
            <w:pPr>
              <w:keepNext/>
              <w:spacing w:line="240" w:lineRule="auto"/>
              <w:jc w:val="center"/>
            </w:pPr>
            <w:r>
              <w:t>1998</w:t>
            </w:r>
          </w:p>
        </w:tc>
        <w:tc>
          <w:tcPr>
            <w:tcW w:w="1549" w:type="dxa"/>
            <w:tcBorders>
              <w:bottom w:val="nil"/>
            </w:tcBorders>
          </w:tcPr>
          <w:p w:rsidR="00000000" w:rsidRDefault="00000000">
            <w:pPr>
              <w:keepNext/>
              <w:spacing w:line="240" w:lineRule="auto"/>
              <w:jc w:val="center"/>
            </w:pPr>
            <w:r>
              <w:t>2 286</w:t>
            </w:r>
          </w:p>
        </w:tc>
        <w:tc>
          <w:tcPr>
            <w:tcW w:w="1417" w:type="dxa"/>
            <w:tcBorders>
              <w:bottom w:val="nil"/>
            </w:tcBorders>
          </w:tcPr>
          <w:p w:rsidR="00000000" w:rsidRDefault="00000000">
            <w:pPr>
              <w:keepNext/>
              <w:spacing w:line="240" w:lineRule="auto"/>
              <w:jc w:val="center"/>
            </w:pPr>
            <w:r>
              <w:t>253</w:t>
            </w:r>
          </w:p>
        </w:tc>
        <w:tc>
          <w:tcPr>
            <w:tcW w:w="1238" w:type="dxa"/>
            <w:tcBorders>
              <w:bottom w:val="nil"/>
            </w:tcBorders>
          </w:tcPr>
          <w:p w:rsidR="00000000" w:rsidRDefault="00000000">
            <w:pPr>
              <w:keepNext/>
              <w:tabs>
                <w:tab w:val="clear" w:pos="1134"/>
                <w:tab w:val="clear" w:pos="1701"/>
                <w:tab w:val="clear" w:pos="2268"/>
                <w:tab w:val="clear" w:pos="6237"/>
                <w:tab w:val="decimal" w:pos="567"/>
              </w:tabs>
              <w:spacing w:line="240" w:lineRule="auto"/>
            </w:pPr>
            <w:r>
              <w:t>11</w:t>
            </w:r>
          </w:p>
        </w:tc>
        <w:tc>
          <w:tcPr>
            <w:tcW w:w="1451" w:type="dxa"/>
            <w:tcBorders>
              <w:bottom w:val="nil"/>
            </w:tcBorders>
          </w:tcPr>
          <w:p w:rsidR="00000000" w:rsidRDefault="00000000">
            <w:pPr>
              <w:keepNext/>
              <w:spacing w:line="240" w:lineRule="auto"/>
              <w:jc w:val="center"/>
            </w:pPr>
            <w:r>
              <w:t>3 927</w:t>
            </w:r>
          </w:p>
        </w:tc>
        <w:tc>
          <w:tcPr>
            <w:tcW w:w="1459" w:type="dxa"/>
            <w:tcBorders>
              <w:bottom w:val="nil"/>
            </w:tcBorders>
          </w:tcPr>
          <w:p w:rsidR="00000000" w:rsidRDefault="00000000">
            <w:pPr>
              <w:keepNext/>
              <w:spacing w:line="240" w:lineRule="auto"/>
              <w:jc w:val="center"/>
            </w:pPr>
            <w:r>
              <w:t>537</w:t>
            </w:r>
          </w:p>
        </w:tc>
        <w:tc>
          <w:tcPr>
            <w:tcW w:w="1169" w:type="dxa"/>
            <w:tcBorders>
              <w:bottom w:val="nil"/>
            </w:tcBorders>
          </w:tcPr>
          <w:p w:rsidR="00000000" w:rsidRDefault="00000000">
            <w:pPr>
              <w:keepNext/>
              <w:spacing w:line="240" w:lineRule="auto"/>
              <w:jc w:val="center"/>
            </w:pPr>
            <w:r>
              <w:t>13,67</w:t>
            </w:r>
          </w:p>
        </w:tc>
      </w:tr>
      <w:tr w:rsidR="00000000">
        <w:tblPrEx>
          <w:tblCellMar>
            <w:top w:w="0" w:type="dxa"/>
            <w:bottom w:w="0" w:type="dxa"/>
          </w:tblCellMar>
        </w:tblPrEx>
        <w:trPr>
          <w:cantSplit/>
        </w:trPr>
        <w:tc>
          <w:tcPr>
            <w:tcW w:w="1128" w:type="dxa"/>
            <w:tcBorders>
              <w:top w:val="nil"/>
              <w:bottom w:val="nil"/>
            </w:tcBorders>
          </w:tcPr>
          <w:p w:rsidR="00000000" w:rsidRDefault="00000000">
            <w:pPr>
              <w:keepNext/>
              <w:spacing w:line="240" w:lineRule="auto"/>
              <w:jc w:val="center"/>
            </w:pPr>
            <w:r>
              <w:t>1999</w:t>
            </w:r>
          </w:p>
        </w:tc>
        <w:tc>
          <w:tcPr>
            <w:tcW w:w="1549" w:type="dxa"/>
            <w:tcBorders>
              <w:top w:val="nil"/>
              <w:bottom w:val="nil"/>
            </w:tcBorders>
          </w:tcPr>
          <w:p w:rsidR="00000000" w:rsidRDefault="00000000">
            <w:pPr>
              <w:keepNext/>
              <w:spacing w:line="240" w:lineRule="auto"/>
              <w:jc w:val="center"/>
            </w:pPr>
            <w:r>
              <w:t>2 418</w:t>
            </w:r>
          </w:p>
        </w:tc>
        <w:tc>
          <w:tcPr>
            <w:tcW w:w="1417" w:type="dxa"/>
            <w:tcBorders>
              <w:top w:val="nil"/>
              <w:bottom w:val="nil"/>
            </w:tcBorders>
          </w:tcPr>
          <w:p w:rsidR="00000000" w:rsidRDefault="00000000">
            <w:pPr>
              <w:keepNext/>
              <w:spacing w:line="240" w:lineRule="auto"/>
              <w:jc w:val="center"/>
            </w:pPr>
            <w:r>
              <w:t>220</w:t>
            </w:r>
          </w:p>
        </w:tc>
        <w:tc>
          <w:tcPr>
            <w:tcW w:w="1238"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pPr>
            <w:r>
              <w:t>11,1</w:t>
            </w:r>
          </w:p>
        </w:tc>
        <w:tc>
          <w:tcPr>
            <w:tcW w:w="1451" w:type="dxa"/>
            <w:tcBorders>
              <w:top w:val="nil"/>
              <w:bottom w:val="nil"/>
            </w:tcBorders>
          </w:tcPr>
          <w:p w:rsidR="00000000" w:rsidRDefault="00000000">
            <w:pPr>
              <w:keepNext/>
              <w:spacing w:line="240" w:lineRule="auto"/>
              <w:jc w:val="center"/>
            </w:pPr>
            <w:r>
              <w:t>3 225</w:t>
            </w:r>
          </w:p>
        </w:tc>
        <w:tc>
          <w:tcPr>
            <w:tcW w:w="1459" w:type="dxa"/>
            <w:tcBorders>
              <w:top w:val="nil"/>
              <w:bottom w:val="nil"/>
            </w:tcBorders>
          </w:tcPr>
          <w:p w:rsidR="00000000" w:rsidRDefault="00000000">
            <w:pPr>
              <w:keepNext/>
              <w:spacing w:line="240" w:lineRule="auto"/>
              <w:jc w:val="center"/>
            </w:pPr>
            <w:r>
              <w:t>547</w:t>
            </w:r>
          </w:p>
        </w:tc>
        <w:tc>
          <w:tcPr>
            <w:tcW w:w="1169" w:type="dxa"/>
            <w:tcBorders>
              <w:top w:val="nil"/>
              <w:bottom w:val="nil"/>
            </w:tcBorders>
          </w:tcPr>
          <w:p w:rsidR="00000000" w:rsidRDefault="00000000">
            <w:pPr>
              <w:keepNext/>
              <w:spacing w:line="240" w:lineRule="auto"/>
              <w:jc w:val="center"/>
            </w:pPr>
            <w:r>
              <w:t>16,96</w:t>
            </w:r>
          </w:p>
        </w:tc>
      </w:tr>
      <w:tr w:rsidR="00000000">
        <w:tblPrEx>
          <w:tblCellMar>
            <w:top w:w="0" w:type="dxa"/>
            <w:bottom w:w="0" w:type="dxa"/>
          </w:tblCellMar>
        </w:tblPrEx>
        <w:trPr>
          <w:cantSplit/>
        </w:trPr>
        <w:tc>
          <w:tcPr>
            <w:tcW w:w="1128" w:type="dxa"/>
            <w:tcBorders>
              <w:top w:val="nil"/>
              <w:bottom w:val="nil"/>
            </w:tcBorders>
          </w:tcPr>
          <w:p w:rsidR="00000000" w:rsidRDefault="00000000">
            <w:pPr>
              <w:keepNext/>
              <w:spacing w:line="240" w:lineRule="auto"/>
              <w:jc w:val="center"/>
            </w:pPr>
            <w:r>
              <w:t>2000</w:t>
            </w:r>
          </w:p>
        </w:tc>
        <w:tc>
          <w:tcPr>
            <w:tcW w:w="1549" w:type="dxa"/>
            <w:tcBorders>
              <w:top w:val="nil"/>
              <w:bottom w:val="nil"/>
            </w:tcBorders>
          </w:tcPr>
          <w:p w:rsidR="00000000" w:rsidRDefault="00000000">
            <w:pPr>
              <w:keepNext/>
              <w:spacing w:line="240" w:lineRule="auto"/>
              <w:jc w:val="center"/>
            </w:pPr>
            <w:r>
              <w:t>2 647</w:t>
            </w:r>
          </w:p>
        </w:tc>
        <w:tc>
          <w:tcPr>
            <w:tcW w:w="1417" w:type="dxa"/>
            <w:tcBorders>
              <w:top w:val="nil"/>
              <w:bottom w:val="nil"/>
            </w:tcBorders>
          </w:tcPr>
          <w:p w:rsidR="00000000" w:rsidRDefault="00000000">
            <w:pPr>
              <w:keepNext/>
              <w:spacing w:line="240" w:lineRule="auto"/>
              <w:jc w:val="center"/>
            </w:pPr>
            <w:r>
              <w:t>398</w:t>
            </w:r>
          </w:p>
        </w:tc>
        <w:tc>
          <w:tcPr>
            <w:tcW w:w="1238"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pPr>
            <w:r>
              <w:t>15</w:t>
            </w:r>
          </w:p>
        </w:tc>
        <w:tc>
          <w:tcPr>
            <w:tcW w:w="1451" w:type="dxa"/>
            <w:tcBorders>
              <w:top w:val="nil"/>
              <w:bottom w:val="nil"/>
            </w:tcBorders>
          </w:tcPr>
          <w:p w:rsidR="00000000" w:rsidRDefault="00000000">
            <w:pPr>
              <w:keepNext/>
              <w:spacing w:line="240" w:lineRule="auto"/>
              <w:jc w:val="center"/>
            </w:pPr>
            <w:r>
              <w:t>5 243</w:t>
            </w:r>
          </w:p>
        </w:tc>
        <w:tc>
          <w:tcPr>
            <w:tcW w:w="1459" w:type="dxa"/>
            <w:tcBorders>
              <w:top w:val="nil"/>
              <w:bottom w:val="nil"/>
            </w:tcBorders>
          </w:tcPr>
          <w:p w:rsidR="00000000" w:rsidRDefault="00000000">
            <w:pPr>
              <w:keepNext/>
              <w:spacing w:line="240" w:lineRule="auto"/>
              <w:jc w:val="center"/>
            </w:pPr>
            <w:r>
              <w:t>528</w:t>
            </w:r>
          </w:p>
        </w:tc>
        <w:tc>
          <w:tcPr>
            <w:tcW w:w="1169" w:type="dxa"/>
            <w:tcBorders>
              <w:top w:val="nil"/>
              <w:bottom w:val="nil"/>
            </w:tcBorders>
          </w:tcPr>
          <w:p w:rsidR="00000000" w:rsidRDefault="00000000">
            <w:pPr>
              <w:keepNext/>
              <w:spacing w:line="240" w:lineRule="auto"/>
              <w:jc w:val="center"/>
            </w:pPr>
            <w:r>
              <w:t>10,07</w:t>
            </w:r>
          </w:p>
        </w:tc>
      </w:tr>
      <w:tr w:rsidR="00000000">
        <w:tblPrEx>
          <w:tblCellMar>
            <w:top w:w="0" w:type="dxa"/>
            <w:bottom w:w="0" w:type="dxa"/>
          </w:tblCellMar>
        </w:tblPrEx>
        <w:trPr>
          <w:cantSplit/>
        </w:trPr>
        <w:tc>
          <w:tcPr>
            <w:tcW w:w="1128" w:type="dxa"/>
            <w:tcBorders>
              <w:top w:val="nil"/>
              <w:bottom w:val="nil"/>
            </w:tcBorders>
          </w:tcPr>
          <w:p w:rsidR="00000000" w:rsidRDefault="00000000">
            <w:pPr>
              <w:keepNext/>
              <w:spacing w:line="240" w:lineRule="auto"/>
              <w:jc w:val="center"/>
            </w:pPr>
            <w:r>
              <w:t>2001</w:t>
            </w:r>
          </w:p>
        </w:tc>
        <w:tc>
          <w:tcPr>
            <w:tcW w:w="1549" w:type="dxa"/>
            <w:tcBorders>
              <w:top w:val="nil"/>
              <w:bottom w:val="nil"/>
            </w:tcBorders>
          </w:tcPr>
          <w:p w:rsidR="00000000" w:rsidRDefault="00000000">
            <w:pPr>
              <w:keepNext/>
              <w:spacing w:line="240" w:lineRule="auto"/>
              <w:jc w:val="center"/>
            </w:pPr>
            <w:r>
              <w:t>3 004</w:t>
            </w:r>
          </w:p>
        </w:tc>
        <w:tc>
          <w:tcPr>
            <w:tcW w:w="1417" w:type="dxa"/>
            <w:tcBorders>
              <w:top w:val="nil"/>
              <w:bottom w:val="nil"/>
            </w:tcBorders>
          </w:tcPr>
          <w:p w:rsidR="00000000" w:rsidRDefault="00000000">
            <w:pPr>
              <w:keepNext/>
              <w:spacing w:line="240" w:lineRule="auto"/>
              <w:jc w:val="center"/>
            </w:pPr>
            <w:r>
              <w:t>446</w:t>
            </w:r>
          </w:p>
        </w:tc>
        <w:tc>
          <w:tcPr>
            <w:tcW w:w="1238"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pPr>
            <w:r>
              <w:t>14,8</w:t>
            </w:r>
          </w:p>
        </w:tc>
        <w:tc>
          <w:tcPr>
            <w:tcW w:w="1451" w:type="dxa"/>
            <w:tcBorders>
              <w:top w:val="nil"/>
              <w:bottom w:val="nil"/>
            </w:tcBorders>
          </w:tcPr>
          <w:p w:rsidR="00000000" w:rsidRDefault="00000000">
            <w:pPr>
              <w:keepNext/>
              <w:spacing w:line="240" w:lineRule="auto"/>
              <w:jc w:val="center"/>
            </w:pPr>
            <w:r>
              <w:t>5 872</w:t>
            </w:r>
          </w:p>
        </w:tc>
        <w:tc>
          <w:tcPr>
            <w:tcW w:w="1459" w:type="dxa"/>
            <w:tcBorders>
              <w:top w:val="nil"/>
              <w:bottom w:val="nil"/>
            </w:tcBorders>
          </w:tcPr>
          <w:p w:rsidR="00000000" w:rsidRDefault="00000000">
            <w:pPr>
              <w:keepNext/>
              <w:spacing w:line="240" w:lineRule="auto"/>
              <w:jc w:val="center"/>
            </w:pPr>
            <w:r>
              <w:t>661</w:t>
            </w:r>
          </w:p>
        </w:tc>
        <w:tc>
          <w:tcPr>
            <w:tcW w:w="1169" w:type="dxa"/>
            <w:tcBorders>
              <w:top w:val="nil"/>
              <w:bottom w:val="nil"/>
            </w:tcBorders>
          </w:tcPr>
          <w:p w:rsidR="00000000" w:rsidRDefault="00000000">
            <w:pPr>
              <w:keepNext/>
              <w:spacing w:line="240" w:lineRule="auto"/>
              <w:jc w:val="center"/>
            </w:pPr>
            <w:r>
              <w:t>11,25</w:t>
            </w:r>
          </w:p>
        </w:tc>
      </w:tr>
      <w:tr w:rsidR="00000000">
        <w:tblPrEx>
          <w:tblCellMar>
            <w:top w:w="0" w:type="dxa"/>
            <w:bottom w:w="0" w:type="dxa"/>
          </w:tblCellMar>
        </w:tblPrEx>
        <w:trPr>
          <w:cantSplit/>
        </w:trPr>
        <w:tc>
          <w:tcPr>
            <w:tcW w:w="1128" w:type="dxa"/>
            <w:tcBorders>
              <w:top w:val="nil"/>
            </w:tcBorders>
          </w:tcPr>
          <w:p w:rsidR="00000000" w:rsidRDefault="00000000">
            <w:pPr>
              <w:keepNext/>
              <w:spacing w:line="240" w:lineRule="auto"/>
              <w:jc w:val="center"/>
            </w:pPr>
            <w:r>
              <w:t>2002</w:t>
            </w:r>
          </w:p>
        </w:tc>
        <w:tc>
          <w:tcPr>
            <w:tcW w:w="1549" w:type="dxa"/>
            <w:tcBorders>
              <w:top w:val="nil"/>
            </w:tcBorders>
          </w:tcPr>
          <w:p w:rsidR="00000000" w:rsidRDefault="00000000">
            <w:pPr>
              <w:keepNext/>
              <w:spacing w:line="240" w:lineRule="auto"/>
              <w:jc w:val="center"/>
            </w:pPr>
            <w:r>
              <w:t>4 712</w:t>
            </w:r>
          </w:p>
        </w:tc>
        <w:tc>
          <w:tcPr>
            <w:tcW w:w="1417" w:type="dxa"/>
            <w:tcBorders>
              <w:top w:val="nil"/>
            </w:tcBorders>
          </w:tcPr>
          <w:p w:rsidR="00000000" w:rsidRDefault="00000000">
            <w:pPr>
              <w:keepNext/>
              <w:spacing w:line="240" w:lineRule="auto"/>
              <w:jc w:val="center"/>
            </w:pPr>
            <w:r>
              <w:t>618</w:t>
            </w:r>
          </w:p>
        </w:tc>
        <w:tc>
          <w:tcPr>
            <w:tcW w:w="1238" w:type="dxa"/>
            <w:tcBorders>
              <w:top w:val="nil"/>
            </w:tcBorders>
          </w:tcPr>
          <w:p w:rsidR="00000000" w:rsidRDefault="00000000">
            <w:pPr>
              <w:keepNext/>
              <w:tabs>
                <w:tab w:val="clear" w:pos="1134"/>
                <w:tab w:val="clear" w:pos="1701"/>
                <w:tab w:val="clear" w:pos="2268"/>
                <w:tab w:val="clear" w:pos="6237"/>
                <w:tab w:val="decimal" w:pos="567"/>
              </w:tabs>
              <w:spacing w:line="240" w:lineRule="auto"/>
            </w:pPr>
            <w:r>
              <w:t>13,1</w:t>
            </w:r>
          </w:p>
        </w:tc>
        <w:tc>
          <w:tcPr>
            <w:tcW w:w="1451" w:type="dxa"/>
            <w:tcBorders>
              <w:top w:val="nil"/>
            </w:tcBorders>
          </w:tcPr>
          <w:p w:rsidR="00000000" w:rsidRDefault="00000000">
            <w:pPr>
              <w:keepNext/>
              <w:spacing w:line="240" w:lineRule="auto"/>
              <w:jc w:val="center"/>
            </w:pPr>
            <w:r>
              <w:t>7 128</w:t>
            </w:r>
          </w:p>
        </w:tc>
        <w:tc>
          <w:tcPr>
            <w:tcW w:w="1459" w:type="dxa"/>
            <w:tcBorders>
              <w:top w:val="nil"/>
            </w:tcBorders>
          </w:tcPr>
          <w:p w:rsidR="00000000" w:rsidRDefault="00000000">
            <w:pPr>
              <w:keepNext/>
              <w:spacing w:line="240" w:lineRule="auto"/>
              <w:jc w:val="center"/>
            </w:pPr>
            <w:r>
              <w:t>892</w:t>
            </w:r>
          </w:p>
        </w:tc>
        <w:tc>
          <w:tcPr>
            <w:tcW w:w="1169" w:type="dxa"/>
            <w:tcBorders>
              <w:top w:val="nil"/>
            </w:tcBorders>
          </w:tcPr>
          <w:p w:rsidR="00000000" w:rsidRDefault="00000000">
            <w:pPr>
              <w:keepNext/>
              <w:spacing w:line="240" w:lineRule="auto"/>
              <w:jc w:val="center"/>
            </w:pPr>
            <w:r>
              <w:t>12,51</w:t>
            </w:r>
          </w:p>
        </w:tc>
      </w:tr>
    </w:tbl>
    <w:p w:rsidR="00000000" w:rsidRDefault="00000000">
      <w:pPr>
        <w:keepNext/>
        <w:rPr>
          <w:i/>
          <w:iCs/>
        </w:rPr>
      </w:pPr>
    </w:p>
    <w:p w:rsidR="00000000" w:rsidRDefault="00000000">
      <w:pPr>
        <w:keepNext/>
        <w:spacing w:line="240" w:lineRule="auto"/>
      </w:pPr>
      <w:r>
        <w:rPr>
          <w:i/>
          <w:iCs/>
        </w:rPr>
        <w:tab/>
        <w:t>Источник:</w:t>
      </w:r>
      <w:r>
        <w:t xml:space="preserve">  Доклад за 1998-2000 годы, Институт здравоохранения  Республики Сербской, Баня-Лука.</w:t>
      </w:r>
    </w:p>
    <w:p w:rsidR="00000000" w:rsidRDefault="00000000">
      <w:pPr>
        <w:rPr>
          <w:sz w:val="28"/>
        </w:rPr>
      </w:pPr>
    </w:p>
    <w:p w:rsidR="00000000" w:rsidRDefault="00000000">
      <w:pPr>
        <w:tabs>
          <w:tab w:val="left" w:pos="3740"/>
        </w:tabs>
        <w:spacing w:line="276" w:lineRule="auto"/>
      </w:pPr>
      <w:r>
        <w:t>490.</w:t>
      </w:r>
      <w:r>
        <w:tab/>
        <w:t>Лица, участвующие в процессе производства пищевых продуктов, подвергаются контролю на местном уровне Санитарной инспекцией Отдела по делам надзора.  Персонал должен регулярно, т.е. не менее двух раз в год, проходить санитарную проверку (взятие мазков из горла и носа, проверка кала на наличие паразитов и простейших) и медицинский осмотр, а также дополнительные проверки, которые врач сочтет необходимыми.  После завершения осмотра и получения результатов лабораторных анализов выдается санитарная книжка или в случае выявления каких-либо заболеваний выносятся соответствующие рекомендации в отношении дальнейшего лечения больных.</w:t>
      </w:r>
    </w:p>
    <w:p w:rsidR="00000000" w:rsidRDefault="00000000">
      <w:pPr>
        <w:tabs>
          <w:tab w:val="left" w:pos="3740"/>
        </w:tabs>
      </w:pPr>
    </w:p>
    <w:p w:rsidR="00000000" w:rsidRDefault="00000000">
      <w:pPr>
        <w:tabs>
          <w:tab w:val="left" w:pos="3740"/>
        </w:tabs>
        <w:spacing w:line="276" w:lineRule="auto"/>
      </w:pPr>
      <w:r>
        <w:t>491.</w:t>
      </w:r>
      <w:r>
        <w:tab/>
        <w:t xml:space="preserve">Весь персонал, участвующий в процессе производства пищевых продуктов или работающий на предприятиях по приготовлению пищи (предприятия общественного питания), должен посещать занятия по изучению основ гигиены/санитарии и сдать итоговый экзамен, прежде чем вступить в трудовые отношения.  Полученные персоналом знания должны время от времени проверяться.  В рамках надзора за персоналом и предприятиями по производству пищевых продуктов предпринимаются следующие меры:  берутся пробы продуктов и смывы с рабочих поверхностей, рабочей одежды, посуды и рук лиц, участвующих в производственном процессе.  </w:t>
      </w:r>
    </w:p>
    <w:p w:rsidR="00000000" w:rsidRDefault="00000000">
      <w:pPr>
        <w:tabs>
          <w:tab w:val="left" w:pos="3740"/>
        </w:tabs>
      </w:pPr>
    </w:p>
    <w:p w:rsidR="00000000" w:rsidRDefault="00000000">
      <w:pPr>
        <w:tabs>
          <w:tab w:val="left" w:pos="3740"/>
        </w:tabs>
        <w:spacing w:line="276" w:lineRule="auto"/>
      </w:pPr>
      <w:r>
        <w:t>492.</w:t>
      </w:r>
      <w:r>
        <w:tab/>
        <w:t>Контроль за заболеваниями, вызванными микробиологически загрязненными пищевыми продуктами, осуществляется Эпидемиологической службой Института здравоохранения на основе докладов, регулярно поступающих от медицинских центров.  Микробиологическая лаборатория Института здравоохранения осуществляет анализ секрета и содержимого желудка, а также остатков пищи, которая, предположительно, стала причиной заболевания.  В настоящее время контроль за болезнями, вызванными химически загрязненными пищевыми продуктами, не осуществляется, поскольку подобные загрязнения относятся к группе хронического долгосрочного загрязнения, последствия которого в большинстве случаев проявляются лишь после длительного воздействия, и отсутствуют какие-либо предпосылки для контроля за ними (</w:t>
      </w:r>
      <w:r>
        <w:rPr>
          <w:lang w:val="en-US"/>
        </w:rPr>
        <w:t>TDI</w:t>
      </w:r>
      <w:r>
        <w:t xml:space="preserve">, </w:t>
      </w:r>
      <w:r>
        <w:rPr>
          <w:lang w:val="en-US"/>
        </w:rPr>
        <w:t>NOEL</w:t>
      </w:r>
      <w:r>
        <w:t>), несмотря на тот факт, что ВОЗ все активнее указывает на такую необходимость.</w:t>
      </w:r>
    </w:p>
    <w:p w:rsidR="00000000" w:rsidRDefault="00000000">
      <w:pPr>
        <w:tabs>
          <w:tab w:val="left" w:pos="3740"/>
        </w:tabs>
      </w:pPr>
    </w:p>
    <w:p w:rsidR="00000000" w:rsidRDefault="00000000">
      <w:pPr>
        <w:tabs>
          <w:tab w:val="left" w:pos="3740"/>
        </w:tabs>
        <w:rPr>
          <w:b/>
          <w:bCs/>
        </w:rPr>
      </w:pPr>
      <w:r>
        <w:rPr>
          <w:b/>
          <w:bCs/>
        </w:rPr>
        <w:t>Условия труда</w:t>
      </w:r>
    </w:p>
    <w:p w:rsidR="00000000" w:rsidRDefault="00000000">
      <w:pPr>
        <w:tabs>
          <w:tab w:val="left" w:pos="3740"/>
        </w:tabs>
        <w:rPr>
          <w:b/>
          <w:bCs/>
        </w:rPr>
      </w:pPr>
    </w:p>
    <w:p w:rsidR="00000000" w:rsidRDefault="00000000">
      <w:pPr>
        <w:tabs>
          <w:tab w:val="left" w:pos="3740"/>
        </w:tabs>
        <w:spacing w:line="276" w:lineRule="auto"/>
      </w:pPr>
      <w:r>
        <w:t>493.</w:t>
      </w:r>
      <w:r>
        <w:tab/>
        <w:t>Система охраны здоровья трудящихся является сложной, и поэтому данные о мерах здравоохранения на рабочем месте являются все еще весьма скудными.  Хотя кантональные институты производственной медицины там, где они существуют, действительно занимаются сбором соответствующей информации, обобщение статистических данных в Федерации Боснии и Герцеговины осуществляется лишь частично и находится в компетенции Института здравоохранении Федерации Боснии и Герцеговины.</w:t>
      </w:r>
    </w:p>
    <w:p w:rsidR="00000000" w:rsidRDefault="00000000">
      <w:pPr>
        <w:tabs>
          <w:tab w:val="left" w:pos="3740"/>
        </w:tabs>
      </w:pPr>
    </w:p>
    <w:p w:rsidR="00000000" w:rsidRDefault="00000000">
      <w:pPr>
        <w:tabs>
          <w:tab w:val="left" w:pos="3740"/>
        </w:tabs>
        <w:spacing w:line="276" w:lineRule="auto"/>
      </w:pPr>
      <w:r>
        <w:t>494.</w:t>
      </w:r>
      <w:r>
        <w:tab/>
        <w:t>В настоящее время имеются лишь данные об уровне травматизма, который можно проследить за последние пять лет.  В 2002 году уровень травматизма по сравнению с предыдущим годом повысился.  Пока еще отсутствуют данные о видах производственных травм по роду работ, а также данные о заболеваемости в результате травм и несчастных случаев на рабочем месте.  Поэтому необходимо работать над совершенствованием отчетности в области производственной медицины и осуществлением контроля за вредной практикой на рабочем месте.</w:t>
      </w:r>
    </w:p>
    <w:p w:rsidR="00000000" w:rsidRDefault="00000000">
      <w:pPr>
        <w:tabs>
          <w:tab w:val="left" w:pos="3740"/>
        </w:tabs>
      </w:pPr>
    </w:p>
    <w:p w:rsidR="00000000" w:rsidRDefault="00000000">
      <w:pPr>
        <w:tabs>
          <w:tab w:val="left" w:pos="3740"/>
        </w:tabs>
        <w:spacing w:line="276" w:lineRule="auto"/>
      </w:pPr>
      <w:r>
        <w:t>495.</w:t>
      </w:r>
      <w:r>
        <w:tab/>
        <w:t xml:space="preserve">Ситуацию в Республике Сербской нельзя сравнивать с ситуацией в странах Западной Европы, однако ее можно сравнить с ситуацией в соседних странах, где произошло сокращение производства.  Для всех них характерно, что организационные трудности и проблемы наемных работников с конкретными патологиями находят также отражение в хорошо известной системе отчетности, в регистрации заболеваний трудящихся, в сокращении количества целевых эпидемиологических исследований среди профессиональных работников, прошедших курс лечения, и в сокращении совокупного пользования услугами специалистов в области профилактической медицины (количество которых уменьшается или которых увольняют, особенно из мелких или средних предприятий).  Что касается структурирования заболеваний по профессиям, то можно выделить машинистов железнодорожного транспорта, страдающих вибрационной болезнью, болезнями дыхательной системы в сочетании с вдыханием вредной пыли и химических веществ, производственной интоксикацией и различными видами аллергии.  </w:t>
      </w:r>
    </w:p>
    <w:p w:rsidR="00000000" w:rsidRDefault="00000000"/>
    <w:p w:rsidR="00000000" w:rsidRDefault="00000000">
      <w:pPr>
        <w:tabs>
          <w:tab w:val="left" w:pos="3740"/>
        </w:tabs>
        <w:spacing w:line="276" w:lineRule="auto"/>
      </w:pPr>
      <w:r>
        <w:t>496.</w:t>
      </w:r>
      <w:r>
        <w:tab/>
        <w:t>Отсутствие на рабочем месте по болезни обычно отражает особенности растущей тенденции, особенно в металлургической, строительной и текстильной промышленности.  Многие зарегистрированные заболевания, вместе взятые, приводят к росту количества потерянных рабочих дней из</w:t>
      </w:r>
      <w:r>
        <w:noBreakHyphen/>
        <w:t>за производственных условий, например из</w:t>
      </w:r>
      <w:r>
        <w:noBreakHyphen/>
        <w:t xml:space="preserve">за респираторных заболеваний, гипертонии, ишемической болезни сердца и болезни опорно-двигательного аппарата.  Частичная физическая недееспособность людей связана с растущей тенденцией к приобретению инвалидности и увеличением количества лиц, затронутых производственными заболеваниями.  </w:t>
      </w:r>
    </w:p>
    <w:p w:rsidR="00000000" w:rsidRDefault="00000000"/>
    <w:p w:rsidR="00000000" w:rsidRDefault="00000000">
      <w:pPr>
        <w:tabs>
          <w:tab w:val="left" w:pos="3740"/>
        </w:tabs>
        <w:spacing w:line="276" w:lineRule="auto"/>
      </w:pPr>
      <w:r>
        <w:t>497.</w:t>
      </w:r>
      <w:r>
        <w:tab/>
        <w:t>Ознакомившись с имеющимися в настоящее время данными, приведенными ниже в таблице 18, можно определить долю больных от общего количества трудящихся по виду заболевания и в соответствии с действующей Международной классификацией болезней.</w:t>
      </w:r>
    </w:p>
    <w:p w:rsidR="00000000" w:rsidRDefault="00000000">
      <w:pPr>
        <w:spacing w:line="240" w:lineRule="auto"/>
        <w:rPr>
          <w:sz w:val="16"/>
        </w:rPr>
      </w:pPr>
    </w:p>
    <w:p w:rsidR="00000000" w:rsidRDefault="00000000">
      <w:pPr>
        <w:pStyle w:val="Heading2"/>
        <w:spacing w:line="240" w:lineRule="auto"/>
        <w:jc w:val="center"/>
        <w:rPr>
          <w:b/>
          <w:bCs/>
          <w:u w:val="none"/>
        </w:rPr>
      </w:pPr>
      <w:r>
        <w:rPr>
          <w:b/>
          <w:bCs/>
          <w:u w:val="none"/>
        </w:rPr>
        <w:t>Таблица 18</w:t>
      </w:r>
    </w:p>
    <w:p w:rsidR="00000000" w:rsidRDefault="00000000">
      <w:pPr>
        <w:pStyle w:val="Heading2"/>
        <w:spacing w:line="240" w:lineRule="auto"/>
        <w:jc w:val="center"/>
        <w:rPr>
          <w:b/>
          <w:bCs/>
          <w:sz w:val="16"/>
          <w:u w:val="none"/>
        </w:rPr>
      </w:pPr>
    </w:p>
    <w:p w:rsidR="00000000" w:rsidRDefault="00000000">
      <w:pPr>
        <w:spacing w:line="240" w:lineRule="auto"/>
        <w:jc w:val="center"/>
        <w:rPr>
          <w:b/>
          <w:bCs/>
        </w:rPr>
      </w:pPr>
      <w:r>
        <w:rPr>
          <w:b/>
          <w:bCs/>
        </w:rPr>
        <w:t>Основные заболевания трудящихся в Республике Сербской в 1999 году</w:t>
      </w:r>
    </w:p>
    <w:p w:rsidR="00000000" w:rsidRDefault="00000000">
      <w:pPr>
        <w:spacing w:line="240" w:lineRule="auto"/>
        <w:jc w:val="center"/>
        <w:rPr>
          <w:b/>
          <w:bCs/>
        </w:rPr>
      </w:pPr>
      <w:r>
        <w:rPr>
          <w:b/>
          <w:bCs/>
        </w:rPr>
        <w:t>(по Международной классификации болезней)</w:t>
      </w:r>
    </w:p>
    <w:p w:rsidR="00000000" w:rsidRDefault="00000000">
      <w:pPr>
        <w:spacing w:line="240" w:lineRule="auto"/>
        <w:jc w:val="center"/>
        <w:rPr>
          <w:b/>
          <w:bCs/>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69"/>
        <w:gridCol w:w="6098"/>
        <w:gridCol w:w="1244"/>
      </w:tblGrid>
      <w:tr w:rsidR="00000000">
        <w:tblPrEx>
          <w:tblCellMar>
            <w:top w:w="0" w:type="dxa"/>
            <w:bottom w:w="0" w:type="dxa"/>
          </w:tblCellMar>
        </w:tblPrEx>
        <w:trPr>
          <w:cantSplit/>
        </w:trPr>
        <w:tc>
          <w:tcPr>
            <w:tcW w:w="2069" w:type="dxa"/>
          </w:tcPr>
          <w:p w:rsidR="00000000" w:rsidRDefault="00000000">
            <w:pPr>
              <w:spacing w:line="240" w:lineRule="auto"/>
              <w:jc w:val="center"/>
            </w:pPr>
            <w:r>
              <w:t>Код группы заболевания</w:t>
            </w:r>
          </w:p>
        </w:tc>
        <w:tc>
          <w:tcPr>
            <w:tcW w:w="6098" w:type="dxa"/>
          </w:tcPr>
          <w:p w:rsidR="00000000" w:rsidRDefault="00000000">
            <w:pPr>
              <w:spacing w:line="240" w:lineRule="auto"/>
              <w:jc w:val="center"/>
            </w:pPr>
            <w:r>
              <w:t>Вид заболевания</w:t>
            </w:r>
          </w:p>
        </w:tc>
        <w:tc>
          <w:tcPr>
            <w:tcW w:w="1244" w:type="dxa"/>
          </w:tcPr>
          <w:p w:rsidR="00000000" w:rsidRDefault="00000000">
            <w:pPr>
              <w:pStyle w:val="Header"/>
              <w:jc w:val="center"/>
            </w:pPr>
            <w:r>
              <w:t>%</w:t>
            </w:r>
          </w:p>
        </w:tc>
      </w:tr>
      <w:tr w:rsidR="00000000">
        <w:tblPrEx>
          <w:tblCellMar>
            <w:top w:w="0" w:type="dxa"/>
            <w:bottom w:w="0" w:type="dxa"/>
          </w:tblCellMar>
        </w:tblPrEx>
        <w:trPr>
          <w:cantSplit/>
        </w:trPr>
        <w:tc>
          <w:tcPr>
            <w:tcW w:w="2069" w:type="dxa"/>
            <w:tcBorders>
              <w:bottom w:val="nil"/>
            </w:tcBorders>
          </w:tcPr>
          <w:p w:rsidR="00000000" w:rsidRDefault="00000000">
            <w:pPr>
              <w:pStyle w:val="Header"/>
              <w:jc w:val="center"/>
            </w:pPr>
            <w:r>
              <w:rPr>
                <w:lang w:val="en-US"/>
              </w:rPr>
              <w:t>J</w:t>
            </w:r>
            <w:r>
              <w:t>00.......</w:t>
            </w:r>
            <w:r>
              <w:rPr>
                <w:lang w:val="en-US"/>
              </w:rPr>
              <w:t>J</w:t>
            </w:r>
            <w:r>
              <w:t>99</w:t>
            </w:r>
          </w:p>
        </w:tc>
        <w:tc>
          <w:tcPr>
            <w:tcW w:w="6098" w:type="dxa"/>
            <w:tcBorders>
              <w:bottom w:val="nil"/>
            </w:tcBorders>
          </w:tcPr>
          <w:p w:rsidR="00000000" w:rsidRDefault="00000000">
            <w:pPr>
              <w:spacing w:line="240" w:lineRule="auto"/>
            </w:pPr>
            <w:r>
              <w:t>Болезни органов дыхания</w:t>
            </w:r>
          </w:p>
        </w:tc>
        <w:tc>
          <w:tcPr>
            <w:tcW w:w="1244" w:type="dxa"/>
            <w:tcBorders>
              <w:bottom w:val="nil"/>
            </w:tcBorders>
          </w:tcPr>
          <w:p w:rsidR="00000000" w:rsidRDefault="00000000">
            <w:pPr>
              <w:tabs>
                <w:tab w:val="clear" w:pos="567"/>
                <w:tab w:val="clear" w:pos="1134"/>
              </w:tabs>
              <w:spacing w:line="240" w:lineRule="auto"/>
              <w:ind w:right="368"/>
              <w:jc w:val="right"/>
            </w:pPr>
            <w:r>
              <w:t>25,1</w:t>
            </w:r>
          </w:p>
        </w:tc>
      </w:tr>
      <w:tr w:rsidR="00000000">
        <w:tblPrEx>
          <w:tblCellMar>
            <w:top w:w="0" w:type="dxa"/>
            <w:bottom w:w="0" w:type="dxa"/>
          </w:tblCellMar>
        </w:tblPrEx>
        <w:trPr>
          <w:cantSplit/>
        </w:trPr>
        <w:tc>
          <w:tcPr>
            <w:tcW w:w="2069" w:type="dxa"/>
            <w:tcBorders>
              <w:top w:val="nil"/>
              <w:bottom w:val="nil"/>
            </w:tcBorders>
          </w:tcPr>
          <w:p w:rsidR="00000000" w:rsidRDefault="00000000">
            <w:pPr>
              <w:spacing w:line="240" w:lineRule="auto"/>
              <w:jc w:val="center"/>
            </w:pPr>
            <w:r>
              <w:rPr>
                <w:lang w:val="en-US"/>
              </w:rPr>
              <w:t>I</w:t>
            </w:r>
            <w:r>
              <w:t>00.......</w:t>
            </w:r>
            <w:r>
              <w:rPr>
                <w:lang w:val="en-US"/>
              </w:rPr>
              <w:t>I</w:t>
            </w:r>
            <w:r>
              <w:t>99</w:t>
            </w:r>
          </w:p>
        </w:tc>
        <w:tc>
          <w:tcPr>
            <w:tcW w:w="6098" w:type="dxa"/>
            <w:tcBorders>
              <w:top w:val="nil"/>
              <w:bottom w:val="nil"/>
            </w:tcBorders>
          </w:tcPr>
          <w:p w:rsidR="00000000" w:rsidRDefault="00000000">
            <w:pPr>
              <w:spacing w:line="240" w:lineRule="auto"/>
            </w:pPr>
            <w:r>
              <w:t>Болезни сердечно-сосудистой системы</w:t>
            </w:r>
          </w:p>
        </w:tc>
        <w:tc>
          <w:tcPr>
            <w:tcW w:w="1244" w:type="dxa"/>
            <w:tcBorders>
              <w:top w:val="nil"/>
              <w:bottom w:val="nil"/>
            </w:tcBorders>
          </w:tcPr>
          <w:p w:rsidR="00000000" w:rsidRDefault="00000000">
            <w:pPr>
              <w:tabs>
                <w:tab w:val="clear" w:pos="567"/>
                <w:tab w:val="clear" w:pos="1134"/>
              </w:tabs>
              <w:spacing w:line="240" w:lineRule="auto"/>
              <w:ind w:right="368"/>
              <w:jc w:val="right"/>
            </w:pPr>
            <w:r>
              <w:t>10,9</w:t>
            </w:r>
          </w:p>
        </w:tc>
      </w:tr>
      <w:tr w:rsidR="00000000">
        <w:tblPrEx>
          <w:tblCellMar>
            <w:top w:w="0" w:type="dxa"/>
            <w:bottom w:w="0" w:type="dxa"/>
          </w:tblCellMar>
        </w:tblPrEx>
        <w:trPr>
          <w:cantSplit/>
        </w:trPr>
        <w:tc>
          <w:tcPr>
            <w:tcW w:w="2069" w:type="dxa"/>
            <w:tcBorders>
              <w:top w:val="nil"/>
              <w:bottom w:val="nil"/>
            </w:tcBorders>
          </w:tcPr>
          <w:p w:rsidR="00000000" w:rsidRDefault="00000000">
            <w:pPr>
              <w:spacing w:line="240" w:lineRule="auto"/>
              <w:jc w:val="center"/>
            </w:pPr>
            <w:r>
              <w:rPr>
                <w:lang w:val="en-US"/>
              </w:rPr>
              <w:t>M</w:t>
            </w:r>
            <w:r>
              <w:t>00....</w:t>
            </w:r>
            <w:r>
              <w:rPr>
                <w:lang w:val="en-US"/>
              </w:rPr>
              <w:t>M</w:t>
            </w:r>
            <w:r>
              <w:t>99</w:t>
            </w:r>
          </w:p>
        </w:tc>
        <w:tc>
          <w:tcPr>
            <w:tcW w:w="6098" w:type="dxa"/>
            <w:tcBorders>
              <w:top w:val="nil"/>
              <w:bottom w:val="nil"/>
            </w:tcBorders>
          </w:tcPr>
          <w:p w:rsidR="00000000" w:rsidRDefault="00000000">
            <w:pPr>
              <w:spacing w:line="240" w:lineRule="auto"/>
            </w:pPr>
            <w:r>
              <w:t>Болезни мышечно-костных систем и сухожилий</w:t>
            </w:r>
          </w:p>
        </w:tc>
        <w:tc>
          <w:tcPr>
            <w:tcW w:w="1244" w:type="dxa"/>
            <w:tcBorders>
              <w:top w:val="nil"/>
              <w:bottom w:val="nil"/>
            </w:tcBorders>
          </w:tcPr>
          <w:p w:rsidR="00000000" w:rsidRDefault="00000000">
            <w:pPr>
              <w:tabs>
                <w:tab w:val="clear" w:pos="567"/>
                <w:tab w:val="clear" w:pos="1134"/>
              </w:tabs>
              <w:spacing w:line="240" w:lineRule="auto"/>
              <w:ind w:right="368"/>
              <w:jc w:val="right"/>
            </w:pPr>
            <w:r>
              <w:t>10,4</w:t>
            </w:r>
          </w:p>
        </w:tc>
      </w:tr>
      <w:tr w:rsidR="00000000">
        <w:tblPrEx>
          <w:tblCellMar>
            <w:top w:w="0" w:type="dxa"/>
            <w:bottom w:w="0" w:type="dxa"/>
          </w:tblCellMar>
        </w:tblPrEx>
        <w:trPr>
          <w:cantSplit/>
        </w:trPr>
        <w:tc>
          <w:tcPr>
            <w:tcW w:w="2069" w:type="dxa"/>
            <w:tcBorders>
              <w:top w:val="nil"/>
              <w:bottom w:val="nil"/>
            </w:tcBorders>
          </w:tcPr>
          <w:p w:rsidR="00000000" w:rsidRDefault="00000000">
            <w:pPr>
              <w:spacing w:line="240" w:lineRule="auto"/>
              <w:jc w:val="center"/>
            </w:pPr>
            <w:r>
              <w:rPr>
                <w:lang w:val="en-US"/>
              </w:rPr>
              <w:t>N</w:t>
            </w:r>
            <w:r>
              <w:t>00.....</w:t>
            </w:r>
            <w:r>
              <w:rPr>
                <w:lang w:val="en-US"/>
              </w:rPr>
              <w:t>N</w:t>
            </w:r>
            <w:r>
              <w:t>99</w:t>
            </w:r>
          </w:p>
        </w:tc>
        <w:tc>
          <w:tcPr>
            <w:tcW w:w="6098" w:type="dxa"/>
            <w:tcBorders>
              <w:top w:val="nil"/>
              <w:bottom w:val="nil"/>
            </w:tcBorders>
          </w:tcPr>
          <w:p w:rsidR="00000000" w:rsidRDefault="00000000">
            <w:pPr>
              <w:spacing w:line="240" w:lineRule="auto"/>
            </w:pPr>
            <w:r>
              <w:t>Болезни мочеполовой системы</w:t>
            </w:r>
          </w:p>
        </w:tc>
        <w:tc>
          <w:tcPr>
            <w:tcW w:w="1244" w:type="dxa"/>
            <w:tcBorders>
              <w:top w:val="nil"/>
              <w:bottom w:val="nil"/>
            </w:tcBorders>
          </w:tcPr>
          <w:p w:rsidR="00000000" w:rsidRDefault="00000000">
            <w:pPr>
              <w:tabs>
                <w:tab w:val="clear" w:pos="567"/>
                <w:tab w:val="clear" w:pos="1134"/>
              </w:tabs>
              <w:spacing w:line="240" w:lineRule="auto"/>
              <w:ind w:right="368"/>
              <w:jc w:val="right"/>
            </w:pPr>
            <w:r>
              <w:t>8,0</w:t>
            </w:r>
          </w:p>
        </w:tc>
      </w:tr>
      <w:tr w:rsidR="00000000">
        <w:tblPrEx>
          <w:tblCellMar>
            <w:top w:w="0" w:type="dxa"/>
            <w:bottom w:w="0" w:type="dxa"/>
          </w:tblCellMar>
        </w:tblPrEx>
        <w:trPr>
          <w:cantSplit/>
        </w:trPr>
        <w:tc>
          <w:tcPr>
            <w:tcW w:w="2069" w:type="dxa"/>
            <w:tcBorders>
              <w:top w:val="nil"/>
              <w:bottom w:val="nil"/>
            </w:tcBorders>
          </w:tcPr>
          <w:p w:rsidR="00000000" w:rsidRDefault="00000000">
            <w:pPr>
              <w:spacing w:line="240" w:lineRule="auto"/>
              <w:jc w:val="center"/>
            </w:pPr>
            <w:r>
              <w:rPr>
                <w:lang w:val="en-US"/>
              </w:rPr>
              <w:t>K</w:t>
            </w:r>
            <w:r>
              <w:t>00.....</w:t>
            </w:r>
            <w:r>
              <w:rPr>
                <w:lang w:val="en-US"/>
              </w:rPr>
              <w:t>K</w:t>
            </w:r>
            <w:r>
              <w:t>99</w:t>
            </w:r>
          </w:p>
        </w:tc>
        <w:tc>
          <w:tcPr>
            <w:tcW w:w="6098" w:type="dxa"/>
            <w:tcBorders>
              <w:top w:val="nil"/>
              <w:bottom w:val="nil"/>
            </w:tcBorders>
          </w:tcPr>
          <w:p w:rsidR="00000000" w:rsidRDefault="00000000">
            <w:pPr>
              <w:spacing w:line="240" w:lineRule="auto"/>
            </w:pPr>
            <w:r>
              <w:t>Болезни органов пищеварения</w:t>
            </w:r>
          </w:p>
        </w:tc>
        <w:tc>
          <w:tcPr>
            <w:tcW w:w="1244" w:type="dxa"/>
            <w:tcBorders>
              <w:top w:val="nil"/>
              <w:bottom w:val="nil"/>
            </w:tcBorders>
          </w:tcPr>
          <w:p w:rsidR="00000000" w:rsidRDefault="00000000">
            <w:pPr>
              <w:tabs>
                <w:tab w:val="clear" w:pos="567"/>
                <w:tab w:val="clear" w:pos="1134"/>
              </w:tabs>
              <w:spacing w:line="240" w:lineRule="auto"/>
              <w:ind w:right="368"/>
              <w:jc w:val="right"/>
            </w:pPr>
            <w:r>
              <w:t>7,2</w:t>
            </w:r>
          </w:p>
        </w:tc>
      </w:tr>
      <w:tr w:rsidR="00000000">
        <w:tblPrEx>
          <w:tblCellMar>
            <w:top w:w="0" w:type="dxa"/>
            <w:bottom w:w="0" w:type="dxa"/>
          </w:tblCellMar>
        </w:tblPrEx>
        <w:trPr>
          <w:cantSplit/>
        </w:trPr>
        <w:tc>
          <w:tcPr>
            <w:tcW w:w="2069" w:type="dxa"/>
            <w:tcBorders>
              <w:top w:val="nil"/>
              <w:bottom w:val="nil"/>
            </w:tcBorders>
          </w:tcPr>
          <w:p w:rsidR="00000000" w:rsidRDefault="00000000">
            <w:pPr>
              <w:pStyle w:val="Header"/>
              <w:jc w:val="center"/>
            </w:pPr>
            <w:r>
              <w:rPr>
                <w:lang w:val="en-US"/>
              </w:rPr>
              <w:t>Z</w:t>
            </w:r>
            <w:r>
              <w:t>00.....</w:t>
            </w:r>
            <w:r>
              <w:rPr>
                <w:lang w:val="en-US"/>
              </w:rPr>
              <w:t>Z</w:t>
            </w:r>
            <w:r>
              <w:t>99</w:t>
            </w:r>
          </w:p>
        </w:tc>
        <w:tc>
          <w:tcPr>
            <w:tcW w:w="6098" w:type="dxa"/>
            <w:tcBorders>
              <w:top w:val="nil"/>
              <w:bottom w:val="nil"/>
            </w:tcBorders>
          </w:tcPr>
          <w:p w:rsidR="00000000" w:rsidRDefault="00000000">
            <w:pPr>
              <w:pStyle w:val="Header"/>
            </w:pPr>
            <w:r>
              <w:t>Факторы, влияющие на состояние здоровья</w:t>
            </w:r>
          </w:p>
        </w:tc>
        <w:tc>
          <w:tcPr>
            <w:tcW w:w="1244" w:type="dxa"/>
            <w:tcBorders>
              <w:top w:val="nil"/>
              <w:bottom w:val="nil"/>
            </w:tcBorders>
          </w:tcPr>
          <w:p w:rsidR="00000000" w:rsidRDefault="00000000">
            <w:pPr>
              <w:tabs>
                <w:tab w:val="clear" w:pos="567"/>
                <w:tab w:val="clear" w:pos="1134"/>
              </w:tabs>
              <w:spacing w:line="240" w:lineRule="auto"/>
              <w:ind w:right="368"/>
              <w:jc w:val="right"/>
            </w:pPr>
            <w:r>
              <w:t>6,6</w:t>
            </w:r>
          </w:p>
        </w:tc>
      </w:tr>
      <w:tr w:rsidR="00000000">
        <w:tblPrEx>
          <w:tblCellMar>
            <w:top w:w="0" w:type="dxa"/>
            <w:bottom w:w="0" w:type="dxa"/>
          </w:tblCellMar>
        </w:tblPrEx>
        <w:trPr>
          <w:cantSplit/>
        </w:trPr>
        <w:tc>
          <w:tcPr>
            <w:tcW w:w="2069" w:type="dxa"/>
            <w:tcBorders>
              <w:top w:val="nil"/>
              <w:bottom w:val="nil"/>
            </w:tcBorders>
          </w:tcPr>
          <w:p w:rsidR="00000000" w:rsidRDefault="00000000">
            <w:pPr>
              <w:spacing w:line="240" w:lineRule="auto"/>
              <w:jc w:val="center"/>
            </w:pPr>
            <w:r>
              <w:rPr>
                <w:lang w:val="en-US"/>
              </w:rPr>
              <w:t>S</w:t>
            </w:r>
            <w:r>
              <w:t>00......</w:t>
            </w:r>
            <w:r>
              <w:rPr>
                <w:lang w:val="en-US"/>
              </w:rPr>
              <w:t>S</w:t>
            </w:r>
            <w:r>
              <w:t>99</w:t>
            </w:r>
          </w:p>
        </w:tc>
        <w:tc>
          <w:tcPr>
            <w:tcW w:w="6098" w:type="dxa"/>
            <w:tcBorders>
              <w:top w:val="nil"/>
              <w:bottom w:val="nil"/>
            </w:tcBorders>
          </w:tcPr>
          <w:p w:rsidR="00000000" w:rsidRDefault="00000000">
            <w:pPr>
              <w:spacing w:line="240" w:lineRule="auto"/>
            </w:pPr>
            <w:r>
              <w:t>Травмы, интоксикация и последствия внешних факторов</w:t>
            </w:r>
          </w:p>
        </w:tc>
        <w:tc>
          <w:tcPr>
            <w:tcW w:w="1244" w:type="dxa"/>
            <w:tcBorders>
              <w:top w:val="nil"/>
              <w:bottom w:val="nil"/>
            </w:tcBorders>
          </w:tcPr>
          <w:p w:rsidR="00000000" w:rsidRDefault="00000000">
            <w:pPr>
              <w:tabs>
                <w:tab w:val="clear" w:pos="567"/>
                <w:tab w:val="clear" w:pos="1134"/>
              </w:tabs>
              <w:spacing w:line="240" w:lineRule="auto"/>
              <w:ind w:right="368"/>
              <w:jc w:val="right"/>
            </w:pPr>
            <w:r>
              <w:t>5,8</w:t>
            </w:r>
          </w:p>
        </w:tc>
      </w:tr>
      <w:tr w:rsidR="00000000">
        <w:tblPrEx>
          <w:tblCellMar>
            <w:top w:w="0" w:type="dxa"/>
            <w:bottom w:w="0" w:type="dxa"/>
          </w:tblCellMar>
        </w:tblPrEx>
        <w:trPr>
          <w:cantSplit/>
        </w:trPr>
        <w:tc>
          <w:tcPr>
            <w:tcW w:w="2069" w:type="dxa"/>
            <w:tcBorders>
              <w:top w:val="nil"/>
              <w:bottom w:val="nil"/>
            </w:tcBorders>
          </w:tcPr>
          <w:p w:rsidR="00000000" w:rsidRDefault="00000000">
            <w:pPr>
              <w:spacing w:line="240" w:lineRule="auto"/>
              <w:jc w:val="center"/>
            </w:pPr>
            <w:r>
              <w:rPr>
                <w:lang w:val="en-US"/>
              </w:rPr>
              <w:t>F</w:t>
            </w:r>
            <w:r>
              <w:t>00......</w:t>
            </w:r>
            <w:r>
              <w:rPr>
                <w:lang w:val="en-US"/>
              </w:rPr>
              <w:t>F</w:t>
            </w:r>
            <w:r>
              <w:t>99</w:t>
            </w:r>
          </w:p>
        </w:tc>
        <w:tc>
          <w:tcPr>
            <w:tcW w:w="6098" w:type="dxa"/>
            <w:tcBorders>
              <w:top w:val="nil"/>
              <w:bottom w:val="nil"/>
            </w:tcBorders>
          </w:tcPr>
          <w:p w:rsidR="00000000" w:rsidRDefault="00000000">
            <w:pPr>
              <w:spacing w:line="240" w:lineRule="auto"/>
            </w:pPr>
            <w:r>
              <w:t>Психические и поведенческие расстройства</w:t>
            </w:r>
          </w:p>
        </w:tc>
        <w:tc>
          <w:tcPr>
            <w:tcW w:w="1244" w:type="dxa"/>
            <w:tcBorders>
              <w:top w:val="nil"/>
              <w:bottom w:val="nil"/>
            </w:tcBorders>
          </w:tcPr>
          <w:p w:rsidR="00000000" w:rsidRDefault="00000000">
            <w:pPr>
              <w:tabs>
                <w:tab w:val="clear" w:pos="567"/>
                <w:tab w:val="clear" w:pos="1134"/>
              </w:tabs>
              <w:spacing w:line="240" w:lineRule="auto"/>
              <w:ind w:right="368"/>
              <w:jc w:val="right"/>
            </w:pPr>
            <w:r>
              <w:t>4,0</w:t>
            </w:r>
          </w:p>
        </w:tc>
      </w:tr>
      <w:tr w:rsidR="00000000">
        <w:tblPrEx>
          <w:tblCellMar>
            <w:top w:w="0" w:type="dxa"/>
            <w:bottom w:w="0" w:type="dxa"/>
          </w:tblCellMar>
        </w:tblPrEx>
        <w:trPr>
          <w:cantSplit/>
        </w:trPr>
        <w:tc>
          <w:tcPr>
            <w:tcW w:w="2069" w:type="dxa"/>
            <w:tcBorders>
              <w:top w:val="nil"/>
              <w:bottom w:val="nil"/>
            </w:tcBorders>
          </w:tcPr>
          <w:p w:rsidR="00000000" w:rsidRDefault="00000000">
            <w:pPr>
              <w:spacing w:line="240" w:lineRule="auto"/>
              <w:jc w:val="center"/>
            </w:pPr>
            <w:r>
              <w:rPr>
                <w:lang w:val="en-US"/>
              </w:rPr>
              <w:t>L</w:t>
            </w:r>
            <w:r>
              <w:t>00......</w:t>
            </w:r>
            <w:r>
              <w:rPr>
                <w:lang w:val="en-US"/>
              </w:rPr>
              <w:t>L</w:t>
            </w:r>
            <w:r>
              <w:t>99</w:t>
            </w:r>
          </w:p>
        </w:tc>
        <w:tc>
          <w:tcPr>
            <w:tcW w:w="6098" w:type="dxa"/>
            <w:tcBorders>
              <w:top w:val="nil"/>
              <w:bottom w:val="nil"/>
            </w:tcBorders>
          </w:tcPr>
          <w:p w:rsidR="00000000" w:rsidRDefault="00000000">
            <w:pPr>
              <w:pStyle w:val="Header"/>
            </w:pPr>
            <w:r>
              <w:t>Болезни кожи и подкожной основы</w:t>
            </w:r>
          </w:p>
        </w:tc>
        <w:tc>
          <w:tcPr>
            <w:tcW w:w="1244" w:type="dxa"/>
            <w:tcBorders>
              <w:top w:val="nil"/>
              <w:bottom w:val="nil"/>
            </w:tcBorders>
          </w:tcPr>
          <w:p w:rsidR="00000000" w:rsidRDefault="00000000">
            <w:pPr>
              <w:tabs>
                <w:tab w:val="clear" w:pos="567"/>
                <w:tab w:val="clear" w:pos="1134"/>
              </w:tabs>
              <w:spacing w:line="240" w:lineRule="auto"/>
              <w:ind w:right="368"/>
              <w:jc w:val="right"/>
            </w:pPr>
            <w:r>
              <w:t>3,6</w:t>
            </w:r>
          </w:p>
        </w:tc>
      </w:tr>
      <w:tr w:rsidR="00000000">
        <w:tblPrEx>
          <w:tblCellMar>
            <w:top w:w="0" w:type="dxa"/>
            <w:bottom w:w="0" w:type="dxa"/>
          </w:tblCellMar>
        </w:tblPrEx>
        <w:trPr>
          <w:cantSplit/>
        </w:trPr>
        <w:tc>
          <w:tcPr>
            <w:tcW w:w="2069" w:type="dxa"/>
            <w:tcBorders>
              <w:top w:val="nil"/>
              <w:bottom w:val="nil"/>
            </w:tcBorders>
          </w:tcPr>
          <w:p w:rsidR="00000000" w:rsidRDefault="00000000">
            <w:pPr>
              <w:spacing w:line="240" w:lineRule="auto"/>
              <w:jc w:val="center"/>
            </w:pPr>
            <w:r>
              <w:rPr>
                <w:lang w:val="en-US"/>
              </w:rPr>
              <w:t>H</w:t>
            </w:r>
            <w:r>
              <w:t>00.....</w:t>
            </w:r>
            <w:r>
              <w:rPr>
                <w:lang w:val="en-US"/>
              </w:rPr>
              <w:t>H</w:t>
            </w:r>
            <w:r>
              <w:t>99</w:t>
            </w:r>
          </w:p>
        </w:tc>
        <w:tc>
          <w:tcPr>
            <w:tcW w:w="6098" w:type="dxa"/>
            <w:tcBorders>
              <w:top w:val="nil"/>
              <w:bottom w:val="nil"/>
            </w:tcBorders>
          </w:tcPr>
          <w:p w:rsidR="00000000" w:rsidRDefault="00000000">
            <w:pPr>
              <w:pStyle w:val="Header"/>
            </w:pPr>
            <w:r>
              <w:t>Глазные болезни</w:t>
            </w:r>
          </w:p>
        </w:tc>
        <w:tc>
          <w:tcPr>
            <w:tcW w:w="1244" w:type="dxa"/>
            <w:tcBorders>
              <w:top w:val="nil"/>
              <w:bottom w:val="nil"/>
            </w:tcBorders>
          </w:tcPr>
          <w:p w:rsidR="00000000" w:rsidRDefault="00000000">
            <w:pPr>
              <w:tabs>
                <w:tab w:val="clear" w:pos="567"/>
                <w:tab w:val="clear" w:pos="1134"/>
              </w:tabs>
              <w:spacing w:line="240" w:lineRule="auto"/>
              <w:ind w:right="368"/>
              <w:jc w:val="right"/>
            </w:pPr>
            <w:r>
              <w:t>2,9</w:t>
            </w:r>
          </w:p>
        </w:tc>
      </w:tr>
      <w:tr w:rsidR="00000000">
        <w:tblPrEx>
          <w:tblCellMar>
            <w:top w:w="0" w:type="dxa"/>
            <w:bottom w:w="0" w:type="dxa"/>
          </w:tblCellMar>
        </w:tblPrEx>
        <w:trPr>
          <w:cantSplit/>
        </w:trPr>
        <w:tc>
          <w:tcPr>
            <w:tcW w:w="2069" w:type="dxa"/>
            <w:tcBorders>
              <w:top w:val="nil"/>
            </w:tcBorders>
          </w:tcPr>
          <w:p w:rsidR="00000000" w:rsidRDefault="00000000">
            <w:pPr>
              <w:spacing w:line="240" w:lineRule="auto"/>
              <w:jc w:val="center"/>
            </w:pPr>
            <w:r>
              <w:t>-------------</w:t>
            </w:r>
          </w:p>
        </w:tc>
        <w:tc>
          <w:tcPr>
            <w:tcW w:w="6098" w:type="dxa"/>
            <w:tcBorders>
              <w:top w:val="nil"/>
            </w:tcBorders>
          </w:tcPr>
          <w:p w:rsidR="00000000" w:rsidRDefault="00000000">
            <w:pPr>
              <w:spacing w:line="240" w:lineRule="auto"/>
            </w:pPr>
            <w:r>
              <w:t>Прочие болезни</w:t>
            </w:r>
          </w:p>
        </w:tc>
        <w:tc>
          <w:tcPr>
            <w:tcW w:w="1244" w:type="dxa"/>
            <w:tcBorders>
              <w:top w:val="nil"/>
            </w:tcBorders>
          </w:tcPr>
          <w:p w:rsidR="00000000" w:rsidRDefault="00000000">
            <w:pPr>
              <w:tabs>
                <w:tab w:val="clear" w:pos="567"/>
                <w:tab w:val="clear" w:pos="1134"/>
              </w:tabs>
              <w:spacing w:line="240" w:lineRule="auto"/>
              <w:ind w:right="368"/>
              <w:jc w:val="right"/>
            </w:pPr>
            <w:r>
              <w:t>15,5</w:t>
            </w:r>
          </w:p>
        </w:tc>
      </w:tr>
      <w:tr w:rsidR="00000000">
        <w:tblPrEx>
          <w:tblCellMar>
            <w:top w:w="0" w:type="dxa"/>
            <w:bottom w:w="0" w:type="dxa"/>
          </w:tblCellMar>
        </w:tblPrEx>
        <w:trPr>
          <w:cantSplit/>
        </w:trPr>
        <w:tc>
          <w:tcPr>
            <w:tcW w:w="2069" w:type="dxa"/>
          </w:tcPr>
          <w:p w:rsidR="00000000" w:rsidRDefault="00000000">
            <w:pPr>
              <w:tabs>
                <w:tab w:val="clear" w:pos="567"/>
                <w:tab w:val="left" w:pos="434"/>
              </w:tabs>
              <w:spacing w:line="240" w:lineRule="auto"/>
            </w:pPr>
            <w:r>
              <w:tab/>
              <w:t>Всего</w:t>
            </w:r>
          </w:p>
        </w:tc>
        <w:tc>
          <w:tcPr>
            <w:tcW w:w="6098" w:type="dxa"/>
          </w:tcPr>
          <w:p w:rsidR="00000000" w:rsidRDefault="00000000">
            <w:pPr>
              <w:spacing w:line="240" w:lineRule="auto"/>
            </w:pPr>
          </w:p>
        </w:tc>
        <w:tc>
          <w:tcPr>
            <w:tcW w:w="1244" w:type="dxa"/>
          </w:tcPr>
          <w:p w:rsidR="00000000" w:rsidRDefault="00000000">
            <w:pPr>
              <w:tabs>
                <w:tab w:val="clear" w:pos="567"/>
                <w:tab w:val="clear" w:pos="1134"/>
              </w:tabs>
              <w:spacing w:line="240" w:lineRule="auto"/>
              <w:ind w:right="368"/>
              <w:jc w:val="right"/>
            </w:pPr>
            <w:r>
              <w:t>100</w:t>
            </w:r>
            <w:r>
              <w:rPr>
                <w:sz w:val="20"/>
                <w:lang w:val="en-US"/>
              </w:rPr>
              <w:t>   </w:t>
            </w:r>
          </w:p>
        </w:tc>
      </w:tr>
    </w:tbl>
    <w:p w:rsidR="00000000" w:rsidRDefault="00000000">
      <w:pPr>
        <w:pStyle w:val="ParaNo"/>
        <w:numPr>
          <w:ilvl w:val="0"/>
          <w:numId w:val="0"/>
        </w:numPr>
        <w:tabs>
          <w:tab w:val="clear" w:pos="737"/>
        </w:tabs>
        <w:spacing w:after="0" w:line="288" w:lineRule="auto"/>
        <w:rPr>
          <w:sz w:val="16"/>
          <w:lang w:val="ru-RU"/>
        </w:rPr>
      </w:pPr>
    </w:p>
    <w:p w:rsidR="00000000" w:rsidRDefault="00000000">
      <w:pPr>
        <w:pStyle w:val="ParaNo"/>
        <w:numPr>
          <w:ilvl w:val="0"/>
          <w:numId w:val="0"/>
        </w:numPr>
        <w:tabs>
          <w:tab w:val="clear" w:pos="737"/>
        </w:tabs>
        <w:spacing w:after="0" w:line="216" w:lineRule="auto"/>
        <w:rPr>
          <w:lang w:val="ru-RU"/>
        </w:rPr>
      </w:pPr>
      <w:r>
        <w:rPr>
          <w:sz w:val="20"/>
          <w:lang w:val="ru-RU"/>
        </w:rPr>
        <w:tab/>
      </w:r>
      <w:r>
        <w:rPr>
          <w:i/>
          <w:iCs/>
          <w:lang w:val="ru-RU"/>
        </w:rPr>
        <w:t>Источник</w:t>
      </w:r>
      <w:r>
        <w:rPr>
          <w:lang w:val="ru-RU"/>
        </w:rPr>
        <w:t xml:space="preserve">:  Данные Республики Сербской, полученные на основании установленной формы 3-05/1 </w:t>
      </w:r>
      <w:r>
        <w:rPr>
          <w:lang w:val="en-US"/>
        </w:rPr>
        <w:t>RS</w:t>
      </w:r>
      <w:r>
        <w:rPr>
          <w:lang w:val="ru-RU"/>
        </w:rPr>
        <w:t>, касающейся только работников, проходящих лечение в рамках служб оказания медицинской помощи на рабочем месте центров здравоохранения и центров производственной медицины.</w:t>
      </w:r>
    </w:p>
    <w:p w:rsidR="00000000" w:rsidRDefault="00000000">
      <w:pPr>
        <w:pStyle w:val="ParaNo"/>
        <w:numPr>
          <w:ilvl w:val="0"/>
          <w:numId w:val="0"/>
        </w:numPr>
        <w:tabs>
          <w:tab w:val="clear" w:pos="737"/>
        </w:tabs>
        <w:spacing w:after="0" w:line="288" w:lineRule="auto"/>
        <w:rPr>
          <w:sz w:val="28"/>
          <w:lang w:val="ru-RU"/>
        </w:rPr>
      </w:pPr>
    </w:p>
    <w:p w:rsidR="00000000" w:rsidRDefault="00000000">
      <w:pPr>
        <w:pStyle w:val="ParaNo"/>
        <w:numPr>
          <w:ilvl w:val="0"/>
          <w:numId w:val="0"/>
        </w:numPr>
        <w:tabs>
          <w:tab w:val="clear" w:pos="737"/>
        </w:tabs>
        <w:spacing w:after="0" w:line="288" w:lineRule="auto"/>
        <w:rPr>
          <w:lang w:val="ru-RU"/>
        </w:rPr>
      </w:pPr>
      <w:r>
        <w:rPr>
          <w:lang w:val="ru-RU"/>
        </w:rPr>
        <w:t>498.</w:t>
      </w:r>
      <w:r>
        <w:rPr>
          <w:lang w:val="ru-RU"/>
        </w:rPr>
        <w:tab/>
        <w:t xml:space="preserve">Меры по охране здоровья трудящихся послужили целевым вкладом в развитие диагностики и лечения заболеваний, а также в их профилактику.  Речь идет об оценке опасностей для здоровья и мероприятиях, направленных на их сокращение и устранение.  </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499.</w:t>
      </w:r>
      <w:r>
        <w:rPr>
          <w:lang w:val="ru-RU"/>
        </w:rPr>
        <w:tab/>
        <w:t>Нормативно-правовые акты в отношении охраны здоровья трудящихся не отвечают требованиям, касающимся новых экономических условий, экономических и фискальных инициатив, а также механизмов улучшения условий труда.  Работники, занятые на опасном производстве, продолжают пользоваться некоторыми привилегиями:  сокращенный рабочий день, продолжительный ежегодный отпуск, ранний выход на пенсию.  Однако позитивное отношение и мотивация в случае профессий, связанных с высоким риском, вызывали серьезные проблемы и трудности при осуществлении программ, касающихся условий труда.</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b/>
          <w:bCs/>
          <w:lang w:val="ru-RU"/>
        </w:rPr>
      </w:pPr>
      <w:r>
        <w:rPr>
          <w:b/>
          <w:bCs/>
          <w:lang w:val="ru-RU"/>
        </w:rPr>
        <w:t>Ионизирующая радиация</w:t>
      </w:r>
    </w:p>
    <w:p w:rsidR="00000000" w:rsidRDefault="00000000">
      <w:pPr>
        <w:pStyle w:val="ParaNo"/>
        <w:numPr>
          <w:ilvl w:val="0"/>
          <w:numId w:val="0"/>
        </w:numPr>
        <w:tabs>
          <w:tab w:val="clear" w:pos="737"/>
        </w:tabs>
        <w:spacing w:after="0" w:line="288" w:lineRule="auto"/>
        <w:rPr>
          <w:b/>
          <w:bCs/>
          <w:lang w:val="ru-RU"/>
        </w:rPr>
      </w:pPr>
    </w:p>
    <w:p w:rsidR="00000000" w:rsidRDefault="00000000">
      <w:pPr>
        <w:pStyle w:val="ParaNo"/>
        <w:numPr>
          <w:ilvl w:val="0"/>
          <w:numId w:val="0"/>
        </w:numPr>
        <w:tabs>
          <w:tab w:val="clear" w:pos="737"/>
        </w:tabs>
        <w:spacing w:after="0" w:line="288" w:lineRule="auto"/>
        <w:rPr>
          <w:lang w:val="ru-RU"/>
        </w:rPr>
      </w:pPr>
      <w:r>
        <w:rPr>
          <w:lang w:val="ru-RU"/>
        </w:rPr>
        <w:t>500.</w:t>
      </w:r>
      <w:r>
        <w:rPr>
          <w:lang w:val="ru-RU"/>
        </w:rPr>
        <w:tab/>
        <w:t>Центр защиты от ионизирующей радиации Института здравоохранения Федерации Боснии и Герцеговины занимается проверкой источников ионизирующей радиации.  Индивидуальные дозиметры позволяют осуществлять медицинский контроль за лицами, работающими с источниками ионизации и радиоактивной биосферой.  Контролирование источников радиации регулируется законодательством.  До настоящего времени было демонтировано 15 радиоактивных стержневых молниеотводов.  Радиоактивные пожарные детекторы, а также большое количество стержневых молниеотводов не находятся под контролем, поскольку их владельцы не были установлены, и, кроме того, многие компании разорились и расходы по осуществлению контроля оплачивать не могут.</w:t>
      </w:r>
    </w:p>
    <w:p w:rsidR="00000000" w:rsidRDefault="00000000">
      <w:pPr>
        <w:pStyle w:val="ParaNo"/>
        <w:numPr>
          <w:ilvl w:val="0"/>
          <w:numId w:val="0"/>
        </w:numPr>
        <w:tabs>
          <w:tab w:val="clear" w:pos="737"/>
        </w:tabs>
        <w:spacing w:after="0" w:line="288" w:lineRule="auto"/>
        <w:rPr>
          <w:lang w:val="ru-RU"/>
        </w:rPr>
      </w:pPr>
    </w:p>
    <w:p w:rsidR="00000000" w:rsidRDefault="00000000">
      <w:pPr>
        <w:pStyle w:val="ParaNo"/>
        <w:numPr>
          <w:ilvl w:val="0"/>
          <w:numId w:val="0"/>
        </w:numPr>
        <w:tabs>
          <w:tab w:val="clear" w:pos="737"/>
        </w:tabs>
        <w:spacing w:after="0" w:line="288" w:lineRule="auto"/>
        <w:rPr>
          <w:lang w:val="ru-RU"/>
        </w:rPr>
      </w:pPr>
      <w:r>
        <w:rPr>
          <w:lang w:val="ru-RU"/>
        </w:rPr>
        <w:t>501.</w:t>
      </w:r>
      <w:r>
        <w:rPr>
          <w:lang w:val="ru-RU"/>
        </w:rPr>
        <w:tab/>
        <w:t>Контроль за ионизирующей и неионизирующей радиацией осуществляется в Республике Сербской в рамках нового Закона о защите от ионизации, который предусматривает принятие рекомендаций МАГАТЭ относительно надзора и контроля за источниками ионизации и предписывает организацию мониторинга.  Меры, направленные на сокращение нежелательного воздействия на население широко используемых источников ионизирующей радиации в медицине, промышленности и научных исследованиях, являются недостаточными.</w:t>
      </w:r>
    </w:p>
    <w:p w:rsidR="00000000" w:rsidRDefault="00000000">
      <w:pPr>
        <w:pStyle w:val="ParaNo"/>
        <w:numPr>
          <w:ilvl w:val="0"/>
          <w:numId w:val="0"/>
        </w:numPr>
        <w:tabs>
          <w:tab w:val="clear" w:pos="737"/>
        </w:tabs>
        <w:spacing w:after="0" w:line="288" w:lineRule="auto"/>
        <w:rPr>
          <w:lang w:val="ru-RU"/>
        </w:rPr>
      </w:pPr>
    </w:p>
    <w:p w:rsidR="00000000" w:rsidRDefault="00000000">
      <w:r>
        <w:t>502.</w:t>
      </w:r>
      <w:r>
        <w:tab/>
        <w:t>Наблюдается повышение так называемой естественной радиации, ставшей в нашей стране еще более высокой в результате военных событий, приведших к некоторым нежелательным мутагенно-тератогенным или карциногенным последствиям для населения, которые нашли свое подтверждение в зарегистрированном уровне раковых новообразований.  В Республике Сербской контроль за индивидуальными дозиметрами не осуществляется.  Однако в Институте здравоохранения Республики Сербской в Бане-Луке начал функционировать отдел радиационной химии.  Организация работы этого отдела, оснащение его оборудованием и укомплектование персоналом должны отвечать требованиям национальных институтов и реальным потребностям здравоохранения в этой области.  Таблица 19 дает представление о деятельности этого отдела.</w:t>
      </w:r>
    </w:p>
    <w:p w:rsidR="00000000" w:rsidRDefault="00000000"/>
    <w:p w:rsidR="00000000" w:rsidRDefault="00000000">
      <w:pPr>
        <w:spacing w:line="240" w:lineRule="auto"/>
        <w:jc w:val="center"/>
        <w:rPr>
          <w:b/>
          <w:bCs/>
        </w:rPr>
      </w:pPr>
      <w:r>
        <w:rPr>
          <w:b/>
          <w:bCs/>
        </w:rPr>
        <w:t>Таблица 19</w:t>
      </w:r>
    </w:p>
    <w:p w:rsidR="00000000" w:rsidRDefault="00000000">
      <w:pPr>
        <w:spacing w:line="240" w:lineRule="auto"/>
        <w:jc w:val="center"/>
        <w:rPr>
          <w:b/>
          <w:bCs/>
          <w:sz w:val="20"/>
        </w:rPr>
      </w:pPr>
    </w:p>
    <w:p w:rsidR="00000000" w:rsidRDefault="00000000">
      <w:pPr>
        <w:spacing w:line="240" w:lineRule="auto"/>
        <w:jc w:val="center"/>
        <w:rPr>
          <w:b/>
          <w:bCs/>
        </w:rPr>
      </w:pPr>
      <w:r>
        <w:rPr>
          <w:b/>
          <w:bCs/>
        </w:rPr>
        <w:t>Обзор контролируемых источников ионизирующей радиации</w:t>
      </w:r>
    </w:p>
    <w:p w:rsidR="00000000" w:rsidRDefault="00000000">
      <w:pPr>
        <w:spacing w:line="240" w:lineRule="auto"/>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78"/>
        <w:gridCol w:w="1428"/>
        <w:gridCol w:w="1385"/>
        <w:gridCol w:w="1512"/>
        <w:gridCol w:w="1207"/>
      </w:tblGrid>
      <w:tr w:rsidR="00000000">
        <w:tblPrEx>
          <w:tblCellMar>
            <w:top w:w="0" w:type="dxa"/>
            <w:bottom w:w="0" w:type="dxa"/>
          </w:tblCellMar>
        </w:tblPrEx>
        <w:trPr>
          <w:cantSplit/>
        </w:trPr>
        <w:tc>
          <w:tcPr>
            <w:tcW w:w="3878" w:type="dxa"/>
            <w:vMerge w:val="restart"/>
            <w:vAlign w:val="center"/>
          </w:tcPr>
          <w:p w:rsidR="00000000" w:rsidRDefault="00000000">
            <w:pPr>
              <w:jc w:val="center"/>
              <w:rPr>
                <w:sz w:val="22"/>
              </w:rPr>
            </w:pPr>
            <w:r>
              <w:rPr>
                <w:sz w:val="22"/>
              </w:rPr>
              <w:t>Источник</w:t>
            </w:r>
          </w:p>
        </w:tc>
        <w:tc>
          <w:tcPr>
            <w:tcW w:w="2813" w:type="dxa"/>
            <w:gridSpan w:val="2"/>
          </w:tcPr>
          <w:p w:rsidR="00000000" w:rsidRDefault="00000000">
            <w:pPr>
              <w:jc w:val="center"/>
              <w:rPr>
                <w:sz w:val="22"/>
              </w:rPr>
            </w:pPr>
            <w:r>
              <w:rPr>
                <w:sz w:val="22"/>
              </w:rPr>
              <w:t>2001 год</w:t>
            </w:r>
          </w:p>
        </w:tc>
        <w:tc>
          <w:tcPr>
            <w:tcW w:w="2719" w:type="dxa"/>
            <w:gridSpan w:val="2"/>
          </w:tcPr>
          <w:p w:rsidR="00000000" w:rsidRDefault="00000000">
            <w:pPr>
              <w:jc w:val="center"/>
              <w:rPr>
                <w:sz w:val="22"/>
              </w:rPr>
            </w:pPr>
            <w:r>
              <w:rPr>
                <w:sz w:val="22"/>
              </w:rPr>
              <w:t>2002 год</w:t>
            </w:r>
          </w:p>
        </w:tc>
      </w:tr>
      <w:tr w:rsidR="00000000">
        <w:tblPrEx>
          <w:tblCellMar>
            <w:top w:w="0" w:type="dxa"/>
            <w:bottom w:w="0" w:type="dxa"/>
          </w:tblCellMar>
        </w:tblPrEx>
        <w:trPr>
          <w:cantSplit/>
        </w:trPr>
        <w:tc>
          <w:tcPr>
            <w:tcW w:w="3878" w:type="dxa"/>
            <w:vMerge/>
            <w:tcBorders>
              <w:bottom w:val="single" w:sz="4" w:space="0" w:color="auto"/>
            </w:tcBorders>
          </w:tcPr>
          <w:p w:rsidR="00000000" w:rsidRDefault="00000000">
            <w:pPr>
              <w:rPr>
                <w:sz w:val="22"/>
              </w:rPr>
            </w:pPr>
          </w:p>
        </w:tc>
        <w:tc>
          <w:tcPr>
            <w:tcW w:w="1428" w:type="dxa"/>
            <w:tcBorders>
              <w:bottom w:val="single" w:sz="4" w:space="0" w:color="auto"/>
            </w:tcBorders>
          </w:tcPr>
          <w:p w:rsidR="00000000" w:rsidRDefault="00000000">
            <w:pPr>
              <w:spacing w:line="216" w:lineRule="auto"/>
              <w:jc w:val="center"/>
              <w:rPr>
                <w:sz w:val="22"/>
              </w:rPr>
            </w:pPr>
            <w:r>
              <w:rPr>
                <w:sz w:val="22"/>
              </w:rPr>
              <w:t>Общее количество</w:t>
            </w:r>
          </w:p>
        </w:tc>
        <w:tc>
          <w:tcPr>
            <w:tcW w:w="1385" w:type="dxa"/>
            <w:tcBorders>
              <w:bottom w:val="single" w:sz="4" w:space="0" w:color="auto"/>
            </w:tcBorders>
          </w:tcPr>
          <w:p w:rsidR="00000000" w:rsidRDefault="00000000">
            <w:pPr>
              <w:jc w:val="center"/>
              <w:rPr>
                <w:sz w:val="22"/>
              </w:rPr>
            </w:pPr>
            <w:r>
              <w:rPr>
                <w:sz w:val="22"/>
              </w:rPr>
              <w:t>Проверено</w:t>
            </w:r>
          </w:p>
        </w:tc>
        <w:tc>
          <w:tcPr>
            <w:tcW w:w="1512" w:type="dxa"/>
            <w:tcBorders>
              <w:bottom w:val="single" w:sz="4" w:space="0" w:color="auto"/>
            </w:tcBorders>
          </w:tcPr>
          <w:p w:rsidR="00000000" w:rsidRDefault="00000000">
            <w:pPr>
              <w:spacing w:line="216" w:lineRule="auto"/>
              <w:jc w:val="center"/>
              <w:rPr>
                <w:sz w:val="22"/>
              </w:rPr>
            </w:pPr>
            <w:r>
              <w:rPr>
                <w:sz w:val="22"/>
              </w:rPr>
              <w:t>Общее количество</w:t>
            </w:r>
          </w:p>
        </w:tc>
        <w:tc>
          <w:tcPr>
            <w:tcW w:w="1207" w:type="dxa"/>
            <w:tcBorders>
              <w:bottom w:val="single" w:sz="4" w:space="0" w:color="auto"/>
            </w:tcBorders>
          </w:tcPr>
          <w:p w:rsidR="00000000" w:rsidRDefault="00000000">
            <w:pPr>
              <w:jc w:val="center"/>
              <w:rPr>
                <w:sz w:val="22"/>
              </w:rPr>
            </w:pPr>
            <w:r>
              <w:rPr>
                <w:sz w:val="22"/>
              </w:rPr>
              <w:t>Проверено</w:t>
            </w:r>
          </w:p>
        </w:tc>
      </w:tr>
      <w:tr w:rsidR="00000000">
        <w:tblPrEx>
          <w:tblCellMar>
            <w:top w:w="0" w:type="dxa"/>
            <w:bottom w:w="0" w:type="dxa"/>
          </w:tblCellMar>
        </w:tblPrEx>
        <w:trPr>
          <w:cantSplit/>
        </w:trPr>
        <w:tc>
          <w:tcPr>
            <w:tcW w:w="3878" w:type="dxa"/>
            <w:tcBorders>
              <w:bottom w:val="nil"/>
            </w:tcBorders>
          </w:tcPr>
          <w:p w:rsidR="00000000" w:rsidRDefault="00000000">
            <w:pPr>
              <w:rPr>
                <w:sz w:val="22"/>
              </w:rPr>
            </w:pPr>
            <w:r>
              <w:rPr>
                <w:sz w:val="22"/>
                <w:lang w:val="en-US"/>
              </w:rPr>
              <w:t>RTG</w:t>
            </w:r>
            <w:r>
              <w:rPr>
                <w:sz w:val="22"/>
              </w:rPr>
              <w:t>-машины</w:t>
            </w:r>
          </w:p>
        </w:tc>
        <w:tc>
          <w:tcPr>
            <w:tcW w:w="1428" w:type="dxa"/>
            <w:tcBorders>
              <w:bottom w:val="nil"/>
            </w:tcBorders>
          </w:tcPr>
          <w:p w:rsidR="00000000" w:rsidRDefault="00000000">
            <w:pPr>
              <w:jc w:val="center"/>
              <w:rPr>
                <w:sz w:val="22"/>
              </w:rPr>
            </w:pPr>
            <w:r>
              <w:rPr>
                <w:sz w:val="22"/>
              </w:rPr>
              <w:t>206</w:t>
            </w:r>
          </w:p>
        </w:tc>
        <w:tc>
          <w:tcPr>
            <w:tcW w:w="1385" w:type="dxa"/>
            <w:tcBorders>
              <w:bottom w:val="nil"/>
            </w:tcBorders>
          </w:tcPr>
          <w:p w:rsidR="00000000" w:rsidRDefault="00000000">
            <w:pPr>
              <w:spacing w:line="216" w:lineRule="auto"/>
              <w:jc w:val="center"/>
              <w:rPr>
                <w:sz w:val="22"/>
              </w:rPr>
            </w:pPr>
            <w:r>
              <w:rPr>
                <w:sz w:val="22"/>
              </w:rPr>
              <w:t>206</w:t>
            </w:r>
          </w:p>
          <w:p w:rsidR="00000000" w:rsidRDefault="00000000">
            <w:pPr>
              <w:spacing w:line="216" w:lineRule="auto"/>
              <w:jc w:val="center"/>
              <w:rPr>
                <w:sz w:val="22"/>
              </w:rPr>
            </w:pPr>
            <w:r>
              <w:rPr>
                <w:sz w:val="22"/>
              </w:rPr>
              <w:t>(100%)</w:t>
            </w:r>
          </w:p>
        </w:tc>
        <w:tc>
          <w:tcPr>
            <w:tcW w:w="1512" w:type="dxa"/>
            <w:tcBorders>
              <w:bottom w:val="nil"/>
            </w:tcBorders>
          </w:tcPr>
          <w:p w:rsidR="00000000" w:rsidRDefault="00000000">
            <w:pPr>
              <w:jc w:val="center"/>
              <w:rPr>
                <w:sz w:val="22"/>
              </w:rPr>
            </w:pPr>
            <w:r>
              <w:rPr>
                <w:sz w:val="22"/>
              </w:rPr>
              <w:t>206</w:t>
            </w:r>
          </w:p>
        </w:tc>
        <w:tc>
          <w:tcPr>
            <w:tcW w:w="1207" w:type="dxa"/>
            <w:tcBorders>
              <w:bottom w:val="nil"/>
            </w:tcBorders>
          </w:tcPr>
          <w:p w:rsidR="00000000" w:rsidRDefault="00000000">
            <w:pPr>
              <w:spacing w:line="216" w:lineRule="auto"/>
              <w:jc w:val="center"/>
              <w:rPr>
                <w:sz w:val="22"/>
              </w:rPr>
            </w:pPr>
            <w:r>
              <w:rPr>
                <w:sz w:val="22"/>
              </w:rPr>
              <w:t>206</w:t>
            </w:r>
          </w:p>
          <w:p w:rsidR="00000000" w:rsidRDefault="00000000">
            <w:pPr>
              <w:spacing w:line="216" w:lineRule="auto"/>
              <w:jc w:val="center"/>
              <w:rPr>
                <w:sz w:val="22"/>
              </w:rPr>
            </w:pPr>
            <w:r>
              <w:rPr>
                <w:sz w:val="22"/>
              </w:rPr>
              <w:t>(100%)</w:t>
            </w:r>
          </w:p>
        </w:tc>
      </w:tr>
      <w:tr w:rsidR="00000000">
        <w:tblPrEx>
          <w:tblCellMar>
            <w:top w:w="0" w:type="dxa"/>
            <w:bottom w:w="0" w:type="dxa"/>
          </w:tblCellMar>
        </w:tblPrEx>
        <w:trPr>
          <w:cantSplit/>
        </w:trPr>
        <w:tc>
          <w:tcPr>
            <w:tcW w:w="3878" w:type="dxa"/>
            <w:tcBorders>
              <w:top w:val="nil"/>
              <w:bottom w:val="nil"/>
            </w:tcBorders>
          </w:tcPr>
          <w:p w:rsidR="00000000" w:rsidRDefault="00000000">
            <w:pPr>
              <w:rPr>
                <w:sz w:val="22"/>
              </w:rPr>
            </w:pPr>
            <w:r>
              <w:rPr>
                <w:sz w:val="22"/>
              </w:rPr>
              <w:t>СТ-машины</w:t>
            </w:r>
          </w:p>
        </w:tc>
        <w:tc>
          <w:tcPr>
            <w:tcW w:w="1428" w:type="dxa"/>
            <w:tcBorders>
              <w:top w:val="nil"/>
              <w:bottom w:val="nil"/>
            </w:tcBorders>
          </w:tcPr>
          <w:p w:rsidR="00000000" w:rsidRDefault="00000000">
            <w:pPr>
              <w:jc w:val="center"/>
              <w:rPr>
                <w:sz w:val="22"/>
              </w:rPr>
            </w:pPr>
            <w:r>
              <w:rPr>
                <w:sz w:val="22"/>
              </w:rPr>
              <w:t>10</w:t>
            </w:r>
          </w:p>
        </w:tc>
        <w:tc>
          <w:tcPr>
            <w:tcW w:w="1385" w:type="dxa"/>
            <w:tcBorders>
              <w:top w:val="nil"/>
              <w:bottom w:val="nil"/>
            </w:tcBorders>
          </w:tcPr>
          <w:p w:rsidR="00000000" w:rsidRDefault="00000000">
            <w:pPr>
              <w:spacing w:line="216" w:lineRule="auto"/>
              <w:jc w:val="center"/>
              <w:rPr>
                <w:sz w:val="22"/>
              </w:rPr>
            </w:pPr>
            <w:r>
              <w:rPr>
                <w:sz w:val="22"/>
              </w:rPr>
              <w:t>10</w:t>
            </w:r>
          </w:p>
          <w:p w:rsidR="00000000" w:rsidRDefault="00000000">
            <w:pPr>
              <w:spacing w:line="216" w:lineRule="auto"/>
              <w:jc w:val="center"/>
              <w:rPr>
                <w:sz w:val="22"/>
              </w:rPr>
            </w:pPr>
            <w:r>
              <w:rPr>
                <w:sz w:val="22"/>
              </w:rPr>
              <w:t>(100%)</w:t>
            </w:r>
          </w:p>
        </w:tc>
        <w:tc>
          <w:tcPr>
            <w:tcW w:w="1512" w:type="dxa"/>
            <w:tcBorders>
              <w:top w:val="nil"/>
              <w:bottom w:val="nil"/>
            </w:tcBorders>
          </w:tcPr>
          <w:p w:rsidR="00000000" w:rsidRDefault="00000000">
            <w:pPr>
              <w:jc w:val="center"/>
              <w:rPr>
                <w:sz w:val="22"/>
              </w:rPr>
            </w:pPr>
            <w:r>
              <w:rPr>
                <w:sz w:val="22"/>
              </w:rPr>
              <w:t>10</w:t>
            </w:r>
          </w:p>
        </w:tc>
        <w:tc>
          <w:tcPr>
            <w:tcW w:w="1207" w:type="dxa"/>
            <w:tcBorders>
              <w:top w:val="nil"/>
              <w:bottom w:val="nil"/>
            </w:tcBorders>
          </w:tcPr>
          <w:p w:rsidR="00000000" w:rsidRDefault="00000000">
            <w:pPr>
              <w:spacing w:line="216" w:lineRule="auto"/>
              <w:jc w:val="center"/>
              <w:rPr>
                <w:sz w:val="22"/>
              </w:rPr>
            </w:pPr>
            <w:r>
              <w:rPr>
                <w:sz w:val="22"/>
              </w:rPr>
              <w:t>10</w:t>
            </w:r>
          </w:p>
          <w:p w:rsidR="00000000" w:rsidRDefault="00000000">
            <w:pPr>
              <w:spacing w:line="216" w:lineRule="auto"/>
              <w:jc w:val="center"/>
              <w:rPr>
                <w:sz w:val="22"/>
              </w:rPr>
            </w:pPr>
            <w:r>
              <w:rPr>
                <w:sz w:val="22"/>
              </w:rPr>
              <w:t>(100%)</w:t>
            </w:r>
          </w:p>
        </w:tc>
      </w:tr>
      <w:tr w:rsidR="00000000">
        <w:tblPrEx>
          <w:tblCellMar>
            <w:top w:w="0" w:type="dxa"/>
            <w:bottom w:w="0" w:type="dxa"/>
          </w:tblCellMar>
        </w:tblPrEx>
        <w:trPr>
          <w:cantSplit/>
        </w:trPr>
        <w:tc>
          <w:tcPr>
            <w:tcW w:w="3878" w:type="dxa"/>
            <w:tcBorders>
              <w:top w:val="nil"/>
              <w:bottom w:val="nil"/>
            </w:tcBorders>
          </w:tcPr>
          <w:p w:rsidR="00000000" w:rsidRDefault="00000000">
            <w:pPr>
              <w:spacing w:after="120" w:line="216" w:lineRule="auto"/>
              <w:rPr>
                <w:sz w:val="22"/>
              </w:rPr>
            </w:pPr>
            <w:r>
              <w:rPr>
                <w:sz w:val="22"/>
              </w:rPr>
              <w:t>Радиоактивные стержневые молниеотводы</w:t>
            </w:r>
          </w:p>
        </w:tc>
        <w:tc>
          <w:tcPr>
            <w:tcW w:w="1428" w:type="dxa"/>
            <w:tcBorders>
              <w:top w:val="nil"/>
              <w:bottom w:val="nil"/>
            </w:tcBorders>
          </w:tcPr>
          <w:p w:rsidR="00000000" w:rsidRDefault="00000000">
            <w:pPr>
              <w:jc w:val="center"/>
              <w:rPr>
                <w:sz w:val="22"/>
              </w:rPr>
            </w:pPr>
            <w:r>
              <w:rPr>
                <w:sz w:val="22"/>
              </w:rPr>
              <w:t>215</w:t>
            </w:r>
          </w:p>
        </w:tc>
        <w:tc>
          <w:tcPr>
            <w:tcW w:w="1385" w:type="dxa"/>
            <w:tcBorders>
              <w:top w:val="nil"/>
              <w:bottom w:val="nil"/>
            </w:tcBorders>
          </w:tcPr>
          <w:p w:rsidR="00000000" w:rsidRDefault="00000000">
            <w:pPr>
              <w:jc w:val="center"/>
              <w:rPr>
                <w:sz w:val="22"/>
              </w:rPr>
            </w:pPr>
            <w:r>
              <w:rPr>
                <w:sz w:val="22"/>
              </w:rPr>
              <w:t>0</w:t>
            </w:r>
          </w:p>
        </w:tc>
        <w:tc>
          <w:tcPr>
            <w:tcW w:w="1512" w:type="dxa"/>
            <w:tcBorders>
              <w:top w:val="nil"/>
              <w:bottom w:val="nil"/>
            </w:tcBorders>
          </w:tcPr>
          <w:p w:rsidR="00000000" w:rsidRDefault="00000000">
            <w:pPr>
              <w:jc w:val="center"/>
              <w:rPr>
                <w:sz w:val="22"/>
              </w:rPr>
            </w:pPr>
            <w:r>
              <w:rPr>
                <w:sz w:val="22"/>
              </w:rPr>
              <w:t>215</w:t>
            </w:r>
          </w:p>
        </w:tc>
        <w:tc>
          <w:tcPr>
            <w:tcW w:w="1207" w:type="dxa"/>
            <w:tcBorders>
              <w:top w:val="nil"/>
              <w:bottom w:val="nil"/>
            </w:tcBorders>
          </w:tcPr>
          <w:p w:rsidR="00000000" w:rsidRDefault="00000000">
            <w:pPr>
              <w:jc w:val="center"/>
              <w:rPr>
                <w:sz w:val="22"/>
              </w:rPr>
            </w:pPr>
            <w:r>
              <w:rPr>
                <w:sz w:val="22"/>
              </w:rPr>
              <w:t>0</w:t>
            </w:r>
          </w:p>
        </w:tc>
      </w:tr>
      <w:tr w:rsidR="00000000">
        <w:tblPrEx>
          <w:tblCellMar>
            <w:top w:w="0" w:type="dxa"/>
            <w:bottom w:w="0" w:type="dxa"/>
          </w:tblCellMar>
        </w:tblPrEx>
        <w:trPr>
          <w:cantSplit/>
        </w:trPr>
        <w:tc>
          <w:tcPr>
            <w:tcW w:w="3878" w:type="dxa"/>
            <w:tcBorders>
              <w:top w:val="nil"/>
              <w:bottom w:val="nil"/>
            </w:tcBorders>
          </w:tcPr>
          <w:p w:rsidR="00000000" w:rsidRDefault="00000000">
            <w:pPr>
              <w:spacing w:after="120" w:line="216" w:lineRule="auto"/>
              <w:rPr>
                <w:sz w:val="22"/>
              </w:rPr>
            </w:pPr>
            <w:r>
              <w:rPr>
                <w:sz w:val="22"/>
              </w:rPr>
              <w:t>Промышленные источники радиоактивности</w:t>
            </w:r>
          </w:p>
        </w:tc>
        <w:tc>
          <w:tcPr>
            <w:tcW w:w="1428" w:type="dxa"/>
            <w:tcBorders>
              <w:top w:val="nil"/>
              <w:bottom w:val="nil"/>
            </w:tcBorders>
          </w:tcPr>
          <w:p w:rsidR="00000000" w:rsidRDefault="00000000">
            <w:pPr>
              <w:jc w:val="center"/>
              <w:rPr>
                <w:sz w:val="22"/>
              </w:rPr>
            </w:pPr>
            <w:r>
              <w:rPr>
                <w:sz w:val="22"/>
              </w:rPr>
              <w:t>Неизвестно</w:t>
            </w:r>
          </w:p>
        </w:tc>
        <w:tc>
          <w:tcPr>
            <w:tcW w:w="1385" w:type="dxa"/>
            <w:tcBorders>
              <w:top w:val="nil"/>
              <w:bottom w:val="nil"/>
            </w:tcBorders>
          </w:tcPr>
          <w:p w:rsidR="00000000" w:rsidRDefault="00000000">
            <w:pPr>
              <w:jc w:val="center"/>
              <w:rPr>
                <w:sz w:val="22"/>
              </w:rPr>
            </w:pPr>
            <w:r>
              <w:rPr>
                <w:sz w:val="22"/>
              </w:rPr>
              <w:t>66</w:t>
            </w:r>
          </w:p>
        </w:tc>
        <w:tc>
          <w:tcPr>
            <w:tcW w:w="1512" w:type="dxa"/>
            <w:tcBorders>
              <w:top w:val="nil"/>
              <w:bottom w:val="nil"/>
            </w:tcBorders>
          </w:tcPr>
          <w:p w:rsidR="00000000" w:rsidRDefault="00000000">
            <w:pPr>
              <w:jc w:val="center"/>
              <w:rPr>
                <w:sz w:val="22"/>
              </w:rPr>
            </w:pPr>
            <w:r>
              <w:rPr>
                <w:sz w:val="22"/>
              </w:rPr>
              <w:t>Неизвестно</w:t>
            </w:r>
          </w:p>
        </w:tc>
        <w:tc>
          <w:tcPr>
            <w:tcW w:w="1207" w:type="dxa"/>
            <w:tcBorders>
              <w:top w:val="nil"/>
              <w:bottom w:val="nil"/>
            </w:tcBorders>
          </w:tcPr>
          <w:p w:rsidR="00000000" w:rsidRDefault="00000000">
            <w:pPr>
              <w:jc w:val="center"/>
              <w:rPr>
                <w:sz w:val="22"/>
              </w:rPr>
            </w:pPr>
            <w:r>
              <w:rPr>
                <w:sz w:val="22"/>
              </w:rPr>
              <w:t>66</w:t>
            </w:r>
          </w:p>
        </w:tc>
      </w:tr>
      <w:tr w:rsidR="00000000">
        <w:tblPrEx>
          <w:tblCellMar>
            <w:top w:w="0" w:type="dxa"/>
            <w:bottom w:w="0" w:type="dxa"/>
          </w:tblCellMar>
        </w:tblPrEx>
        <w:trPr>
          <w:cantSplit/>
        </w:trPr>
        <w:tc>
          <w:tcPr>
            <w:tcW w:w="3878" w:type="dxa"/>
            <w:tcBorders>
              <w:top w:val="nil"/>
            </w:tcBorders>
          </w:tcPr>
          <w:p w:rsidR="00000000" w:rsidRDefault="00000000">
            <w:pPr>
              <w:spacing w:after="120"/>
              <w:rPr>
                <w:sz w:val="22"/>
              </w:rPr>
            </w:pPr>
            <w:r>
              <w:rPr>
                <w:sz w:val="22"/>
              </w:rPr>
              <w:t>Радиоактивные пожарные детекторы</w:t>
            </w:r>
          </w:p>
        </w:tc>
        <w:tc>
          <w:tcPr>
            <w:tcW w:w="1428" w:type="dxa"/>
            <w:tcBorders>
              <w:top w:val="nil"/>
            </w:tcBorders>
          </w:tcPr>
          <w:p w:rsidR="00000000" w:rsidRDefault="00000000">
            <w:pPr>
              <w:jc w:val="center"/>
              <w:rPr>
                <w:sz w:val="22"/>
              </w:rPr>
            </w:pPr>
            <w:r>
              <w:rPr>
                <w:sz w:val="22"/>
              </w:rPr>
              <w:t>11 879</w:t>
            </w:r>
          </w:p>
        </w:tc>
        <w:tc>
          <w:tcPr>
            <w:tcW w:w="1385" w:type="dxa"/>
            <w:tcBorders>
              <w:top w:val="nil"/>
            </w:tcBorders>
          </w:tcPr>
          <w:p w:rsidR="00000000" w:rsidRDefault="00000000">
            <w:pPr>
              <w:jc w:val="center"/>
              <w:rPr>
                <w:sz w:val="22"/>
              </w:rPr>
            </w:pPr>
            <w:r>
              <w:rPr>
                <w:sz w:val="22"/>
              </w:rPr>
              <w:t>0</w:t>
            </w:r>
          </w:p>
        </w:tc>
        <w:tc>
          <w:tcPr>
            <w:tcW w:w="1512" w:type="dxa"/>
            <w:tcBorders>
              <w:top w:val="nil"/>
            </w:tcBorders>
          </w:tcPr>
          <w:p w:rsidR="00000000" w:rsidRDefault="00000000">
            <w:pPr>
              <w:jc w:val="center"/>
              <w:rPr>
                <w:sz w:val="22"/>
              </w:rPr>
            </w:pPr>
            <w:r>
              <w:rPr>
                <w:sz w:val="22"/>
              </w:rPr>
              <w:t>11 897</w:t>
            </w:r>
          </w:p>
        </w:tc>
        <w:tc>
          <w:tcPr>
            <w:tcW w:w="1207" w:type="dxa"/>
            <w:tcBorders>
              <w:top w:val="nil"/>
            </w:tcBorders>
          </w:tcPr>
          <w:p w:rsidR="00000000" w:rsidRDefault="00000000">
            <w:pPr>
              <w:jc w:val="center"/>
              <w:rPr>
                <w:sz w:val="22"/>
              </w:rPr>
            </w:pPr>
            <w:r>
              <w:rPr>
                <w:sz w:val="22"/>
              </w:rPr>
              <w:t>50</w:t>
            </w:r>
          </w:p>
        </w:tc>
      </w:tr>
    </w:tbl>
    <w:p w:rsidR="00000000" w:rsidRDefault="00000000"/>
    <w:p w:rsidR="00000000" w:rsidRDefault="00000000">
      <w:r>
        <w:t>503.</w:t>
      </w:r>
      <w:r>
        <w:tab/>
        <w:t>За последние два года было зарегистрировано 215 радиоактивных стержневых молниеотводов и 15 из них были демонтированы, однако уровни радиоактивности при этом не проверялись.  Из-за отсутствия документации не существует достоверных данных о количестве промышленных источников и радиоактивных пожарных детекторов.</w:t>
      </w:r>
    </w:p>
    <w:p w:rsidR="00000000" w:rsidRDefault="00000000"/>
    <w:p w:rsidR="00000000" w:rsidRDefault="00000000">
      <w:r>
        <w:t>504.</w:t>
      </w:r>
      <w:r>
        <w:tab/>
        <w:t>Согласно имеющемуся реестру в Республике Сербской существует 193 радиоактивных стержневых молниеотвода, содержащих кобальт 60 со стандартным уровнем радиоактивности в диапазоне от 3,7 до 7,4 </w:t>
      </w:r>
      <w:r>
        <w:rPr>
          <w:lang w:val="en-US"/>
        </w:rPr>
        <w:t>GB</w:t>
      </w:r>
      <w:r>
        <w:t>, у 152 из которых период полураспада составляет 13 лет.  Перед войной насчитывалось более 600 ионизирующих пожарных детекторов, содержащих кристаллический европий (</w:t>
      </w:r>
      <w:r>
        <w:rPr>
          <w:lang w:val="en-US"/>
        </w:rPr>
        <w:t>Eu</w:t>
      </w:r>
      <w:r>
        <w:t>).  Во время войны целый ряд установленных на крупных фабриках радиоактивных стержневых молниеотводов с большими пожарными детекторами был разрушен.  При расчистке развалин радиоактивный материал ионизирующих пожарных детекторов был бесконтрольно рассеян и удален вместе с остальным мусором.  Места хранения подобных материалов в большинстве случаев не отвечают установленным требованиям и могут рассматриваться лишь в качестве временного варианта до тех пор, пока не будут найдены лучшие хранилища.  Ожидается, что новый Закон о защите от ионизирующего излучения поможет обеспечить контроль и сведение к минимуму нежелательного воздействия на население широко используемых источников ионизирующей радиации в медицине, промышленности и научных исследованиях.</w:t>
      </w:r>
    </w:p>
    <w:p w:rsidR="00000000" w:rsidRDefault="00000000">
      <w:pPr>
        <w:spacing w:line="240" w:lineRule="auto"/>
        <w:jc w:val="center"/>
        <w:rPr>
          <w:b/>
          <w:bCs/>
        </w:rPr>
      </w:pPr>
      <w:r>
        <w:rPr>
          <w:b/>
          <w:bCs/>
        </w:rPr>
        <w:t>Таблица 20</w:t>
      </w:r>
    </w:p>
    <w:p w:rsidR="00000000" w:rsidRDefault="00000000">
      <w:pPr>
        <w:spacing w:line="240" w:lineRule="auto"/>
        <w:jc w:val="center"/>
        <w:rPr>
          <w:b/>
          <w:bCs/>
        </w:rPr>
      </w:pPr>
    </w:p>
    <w:p w:rsidR="00000000" w:rsidRDefault="00000000">
      <w:pPr>
        <w:spacing w:line="240" w:lineRule="auto"/>
        <w:jc w:val="center"/>
        <w:rPr>
          <w:b/>
          <w:bCs/>
        </w:rPr>
      </w:pPr>
      <w:r>
        <w:rPr>
          <w:b/>
          <w:bCs/>
        </w:rPr>
        <w:t>Тестирование лиц, работающих с источниками ионизирующей радиации</w:t>
      </w:r>
    </w:p>
    <w:p w:rsidR="00000000" w:rsidRDefault="00000000">
      <w:pPr>
        <w:spacing w:line="240" w:lineRule="auto"/>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56"/>
        <w:gridCol w:w="2044"/>
        <w:gridCol w:w="1329"/>
        <w:gridCol w:w="1904"/>
        <w:gridCol w:w="1277"/>
      </w:tblGrid>
      <w:tr w:rsidR="00000000">
        <w:tblPrEx>
          <w:tblCellMar>
            <w:top w:w="0" w:type="dxa"/>
            <w:bottom w:w="0" w:type="dxa"/>
          </w:tblCellMar>
        </w:tblPrEx>
        <w:trPr>
          <w:cantSplit/>
        </w:trPr>
        <w:tc>
          <w:tcPr>
            <w:tcW w:w="2856" w:type="dxa"/>
            <w:vMerge w:val="restart"/>
          </w:tcPr>
          <w:p w:rsidR="00000000" w:rsidRDefault="00000000">
            <w:pPr>
              <w:jc w:val="center"/>
              <w:rPr>
                <w:sz w:val="22"/>
              </w:rPr>
            </w:pPr>
            <w:r>
              <w:rPr>
                <w:sz w:val="22"/>
              </w:rPr>
              <w:t>Вид тестирования</w:t>
            </w:r>
          </w:p>
        </w:tc>
        <w:tc>
          <w:tcPr>
            <w:tcW w:w="3373" w:type="dxa"/>
            <w:gridSpan w:val="2"/>
          </w:tcPr>
          <w:p w:rsidR="00000000" w:rsidRDefault="00000000">
            <w:pPr>
              <w:jc w:val="center"/>
              <w:rPr>
                <w:sz w:val="22"/>
              </w:rPr>
            </w:pPr>
            <w:r>
              <w:rPr>
                <w:sz w:val="22"/>
              </w:rPr>
              <w:t>2001 год</w:t>
            </w:r>
          </w:p>
        </w:tc>
        <w:tc>
          <w:tcPr>
            <w:tcW w:w="3181" w:type="dxa"/>
            <w:gridSpan w:val="2"/>
          </w:tcPr>
          <w:p w:rsidR="00000000" w:rsidRDefault="00000000">
            <w:pPr>
              <w:jc w:val="center"/>
              <w:rPr>
                <w:sz w:val="22"/>
              </w:rPr>
            </w:pPr>
            <w:r>
              <w:rPr>
                <w:sz w:val="22"/>
              </w:rPr>
              <w:t>2002 год</w:t>
            </w:r>
          </w:p>
        </w:tc>
      </w:tr>
      <w:tr w:rsidR="00000000">
        <w:tblPrEx>
          <w:tblCellMar>
            <w:top w:w="0" w:type="dxa"/>
            <w:bottom w:w="0" w:type="dxa"/>
          </w:tblCellMar>
        </w:tblPrEx>
        <w:trPr>
          <w:cantSplit/>
        </w:trPr>
        <w:tc>
          <w:tcPr>
            <w:tcW w:w="2856" w:type="dxa"/>
            <w:vMerge/>
            <w:tcBorders>
              <w:bottom w:val="single" w:sz="4" w:space="0" w:color="auto"/>
            </w:tcBorders>
          </w:tcPr>
          <w:p w:rsidR="00000000" w:rsidRDefault="00000000">
            <w:pPr>
              <w:jc w:val="center"/>
              <w:rPr>
                <w:sz w:val="22"/>
              </w:rPr>
            </w:pPr>
          </w:p>
        </w:tc>
        <w:tc>
          <w:tcPr>
            <w:tcW w:w="2044" w:type="dxa"/>
            <w:tcBorders>
              <w:bottom w:val="single" w:sz="4" w:space="0" w:color="auto"/>
            </w:tcBorders>
          </w:tcPr>
          <w:p w:rsidR="00000000" w:rsidRDefault="00000000">
            <w:pPr>
              <w:jc w:val="center"/>
              <w:rPr>
                <w:sz w:val="22"/>
              </w:rPr>
            </w:pPr>
            <w:r>
              <w:rPr>
                <w:sz w:val="22"/>
              </w:rPr>
              <w:t>Общее количество лиц, работающих с источниками ионизирующей радиации</w:t>
            </w:r>
          </w:p>
        </w:tc>
        <w:tc>
          <w:tcPr>
            <w:tcW w:w="1329" w:type="dxa"/>
            <w:tcBorders>
              <w:bottom w:val="single" w:sz="4" w:space="0" w:color="auto"/>
            </w:tcBorders>
          </w:tcPr>
          <w:p w:rsidR="00000000" w:rsidRDefault="00000000">
            <w:pPr>
              <w:jc w:val="center"/>
              <w:rPr>
                <w:sz w:val="22"/>
              </w:rPr>
            </w:pPr>
            <w:r>
              <w:rPr>
                <w:sz w:val="22"/>
              </w:rPr>
              <w:t>Охвачено мерами контроля</w:t>
            </w:r>
          </w:p>
        </w:tc>
        <w:tc>
          <w:tcPr>
            <w:tcW w:w="1904" w:type="dxa"/>
            <w:tcBorders>
              <w:bottom w:val="single" w:sz="4" w:space="0" w:color="auto"/>
            </w:tcBorders>
          </w:tcPr>
          <w:p w:rsidR="00000000" w:rsidRDefault="00000000">
            <w:pPr>
              <w:jc w:val="center"/>
              <w:rPr>
                <w:sz w:val="22"/>
              </w:rPr>
            </w:pPr>
            <w:r>
              <w:rPr>
                <w:sz w:val="22"/>
              </w:rPr>
              <w:t>Общее количество лиц, работающих с источниками ионизирующей радиации</w:t>
            </w:r>
          </w:p>
        </w:tc>
        <w:tc>
          <w:tcPr>
            <w:tcW w:w="1277" w:type="dxa"/>
            <w:tcBorders>
              <w:bottom w:val="single" w:sz="4" w:space="0" w:color="auto"/>
            </w:tcBorders>
          </w:tcPr>
          <w:p w:rsidR="00000000" w:rsidRDefault="00000000">
            <w:pPr>
              <w:jc w:val="center"/>
              <w:rPr>
                <w:sz w:val="22"/>
              </w:rPr>
            </w:pPr>
            <w:r>
              <w:rPr>
                <w:sz w:val="22"/>
              </w:rPr>
              <w:t>Охвачено мерами контроля</w:t>
            </w:r>
          </w:p>
        </w:tc>
      </w:tr>
      <w:tr w:rsidR="00000000">
        <w:tblPrEx>
          <w:tblCellMar>
            <w:top w:w="0" w:type="dxa"/>
            <w:bottom w:w="0" w:type="dxa"/>
          </w:tblCellMar>
        </w:tblPrEx>
        <w:trPr>
          <w:cantSplit/>
        </w:trPr>
        <w:tc>
          <w:tcPr>
            <w:tcW w:w="2856" w:type="dxa"/>
            <w:tcBorders>
              <w:bottom w:val="nil"/>
            </w:tcBorders>
          </w:tcPr>
          <w:p w:rsidR="00000000" w:rsidRDefault="00000000">
            <w:pPr>
              <w:rPr>
                <w:sz w:val="22"/>
              </w:rPr>
            </w:pPr>
            <w:r>
              <w:rPr>
                <w:sz w:val="22"/>
              </w:rPr>
              <w:t>Термолюминесцентная дозиметрия</w:t>
            </w:r>
          </w:p>
        </w:tc>
        <w:tc>
          <w:tcPr>
            <w:tcW w:w="2044" w:type="dxa"/>
            <w:tcBorders>
              <w:bottom w:val="nil"/>
            </w:tcBorders>
          </w:tcPr>
          <w:p w:rsidR="00000000" w:rsidRDefault="00000000">
            <w:pPr>
              <w:jc w:val="center"/>
              <w:rPr>
                <w:sz w:val="22"/>
              </w:rPr>
            </w:pPr>
            <w:r>
              <w:rPr>
                <w:sz w:val="22"/>
              </w:rPr>
              <w:t>630</w:t>
            </w:r>
          </w:p>
        </w:tc>
        <w:tc>
          <w:tcPr>
            <w:tcW w:w="1329" w:type="dxa"/>
            <w:tcBorders>
              <w:bottom w:val="nil"/>
            </w:tcBorders>
          </w:tcPr>
          <w:p w:rsidR="00000000" w:rsidRDefault="00000000">
            <w:pPr>
              <w:jc w:val="center"/>
              <w:rPr>
                <w:sz w:val="22"/>
              </w:rPr>
            </w:pPr>
            <w:r>
              <w:rPr>
                <w:sz w:val="22"/>
              </w:rPr>
              <w:t>613</w:t>
            </w:r>
          </w:p>
          <w:p w:rsidR="00000000" w:rsidRDefault="00000000">
            <w:pPr>
              <w:jc w:val="center"/>
              <w:rPr>
                <w:sz w:val="22"/>
              </w:rPr>
            </w:pPr>
            <w:r>
              <w:rPr>
                <w:sz w:val="22"/>
              </w:rPr>
              <w:t>(97%)</w:t>
            </w:r>
          </w:p>
        </w:tc>
        <w:tc>
          <w:tcPr>
            <w:tcW w:w="1904" w:type="dxa"/>
            <w:tcBorders>
              <w:bottom w:val="nil"/>
            </w:tcBorders>
          </w:tcPr>
          <w:p w:rsidR="00000000" w:rsidRDefault="00000000">
            <w:pPr>
              <w:jc w:val="center"/>
              <w:rPr>
                <w:sz w:val="22"/>
              </w:rPr>
            </w:pPr>
            <w:r>
              <w:rPr>
                <w:sz w:val="22"/>
              </w:rPr>
              <w:t>715</w:t>
            </w:r>
          </w:p>
        </w:tc>
        <w:tc>
          <w:tcPr>
            <w:tcW w:w="1277" w:type="dxa"/>
            <w:tcBorders>
              <w:bottom w:val="nil"/>
            </w:tcBorders>
          </w:tcPr>
          <w:p w:rsidR="00000000" w:rsidRDefault="00000000">
            <w:pPr>
              <w:jc w:val="center"/>
              <w:rPr>
                <w:sz w:val="22"/>
              </w:rPr>
            </w:pPr>
            <w:r>
              <w:rPr>
                <w:sz w:val="22"/>
              </w:rPr>
              <w:t>694</w:t>
            </w:r>
          </w:p>
          <w:p w:rsidR="00000000" w:rsidRDefault="00000000">
            <w:pPr>
              <w:jc w:val="center"/>
              <w:rPr>
                <w:sz w:val="22"/>
              </w:rPr>
            </w:pPr>
            <w:r>
              <w:rPr>
                <w:sz w:val="22"/>
              </w:rPr>
              <w:t>(97%)</w:t>
            </w:r>
          </w:p>
        </w:tc>
      </w:tr>
      <w:tr w:rsidR="00000000">
        <w:tblPrEx>
          <w:tblCellMar>
            <w:top w:w="0" w:type="dxa"/>
            <w:bottom w:w="0" w:type="dxa"/>
          </w:tblCellMar>
        </w:tblPrEx>
        <w:trPr>
          <w:cantSplit/>
        </w:trPr>
        <w:tc>
          <w:tcPr>
            <w:tcW w:w="2856" w:type="dxa"/>
            <w:tcBorders>
              <w:top w:val="nil"/>
            </w:tcBorders>
          </w:tcPr>
          <w:p w:rsidR="00000000" w:rsidRDefault="00000000">
            <w:pPr>
              <w:rPr>
                <w:sz w:val="22"/>
              </w:rPr>
            </w:pPr>
            <w:r>
              <w:rPr>
                <w:sz w:val="22"/>
              </w:rPr>
              <w:t>Медицинский осмотр</w:t>
            </w:r>
          </w:p>
        </w:tc>
        <w:tc>
          <w:tcPr>
            <w:tcW w:w="2044" w:type="dxa"/>
            <w:tcBorders>
              <w:top w:val="nil"/>
            </w:tcBorders>
          </w:tcPr>
          <w:p w:rsidR="00000000" w:rsidRDefault="00000000">
            <w:pPr>
              <w:jc w:val="center"/>
              <w:rPr>
                <w:sz w:val="22"/>
              </w:rPr>
            </w:pPr>
            <w:r>
              <w:rPr>
                <w:sz w:val="22"/>
              </w:rPr>
              <w:t>630</w:t>
            </w:r>
          </w:p>
        </w:tc>
        <w:tc>
          <w:tcPr>
            <w:tcW w:w="1329" w:type="dxa"/>
            <w:tcBorders>
              <w:top w:val="nil"/>
            </w:tcBorders>
          </w:tcPr>
          <w:p w:rsidR="00000000" w:rsidRDefault="00000000">
            <w:pPr>
              <w:jc w:val="center"/>
              <w:rPr>
                <w:sz w:val="22"/>
              </w:rPr>
            </w:pPr>
            <w:r>
              <w:rPr>
                <w:sz w:val="22"/>
              </w:rPr>
              <w:t>128</w:t>
            </w:r>
          </w:p>
          <w:p w:rsidR="00000000" w:rsidRDefault="00000000">
            <w:pPr>
              <w:jc w:val="center"/>
              <w:rPr>
                <w:sz w:val="22"/>
              </w:rPr>
            </w:pPr>
            <w:r>
              <w:rPr>
                <w:sz w:val="22"/>
              </w:rPr>
              <w:t>(20%)</w:t>
            </w:r>
          </w:p>
        </w:tc>
        <w:tc>
          <w:tcPr>
            <w:tcW w:w="1904" w:type="dxa"/>
            <w:tcBorders>
              <w:top w:val="nil"/>
            </w:tcBorders>
          </w:tcPr>
          <w:p w:rsidR="00000000" w:rsidRDefault="00000000">
            <w:pPr>
              <w:jc w:val="center"/>
              <w:rPr>
                <w:sz w:val="22"/>
              </w:rPr>
            </w:pPr>
            <w:r>
              <w:rPr>
                <w:sz w:val="22"/>
              </w:rPr>
              <w:t>715</w:t>
            </w:r>
          </w:p>
        </w:tc>
        <w:tc>
          <w:tcPr>
            <w:tcW w:w="1277" w:type="dxa"/>
            <w:tcBorders>
              <w:top w:val="nil"/>
            </w:tcBorders>
          </w:tcPr>
          <w:p w:rsidR="00000000" w:rsidRDefault="00000000">
            <w:pPr>
              <w:jc w:val="center"/>
              <w:rPr>
                <w:sz w:val="22"/>
              </w:rPr>
            </w:pPr>
            <w:r>
              <w:rPr>
                <w:sz w:val="22"/>
              </w:rPr>
              <w:t>460</w:t>
            </w:r>
          </w:p>
          <w:p w:rsidR="00000000" w:rsidRDefault="00000000">
            <w:pPr>
              <w:jc w:val="center"/>
              <w:rPr>
                <w:sz w:val="22"/>
              </w:rPr>
            </w:pPr>
            <w:r>
              <w:rPr>
                <w:sz w:val="22"/>
              </w:rPr>
              <w:t>(64%)</w:t>
            </w:r>
          </w:p>
        </w:tc>
      </w:tr>
    </w:tbl>
    <w:p w:rsidR="00000000" w:rsidRDefault="00000000"/>
    <w:p w:rsidR="00000000" w:rsidRDefault="00000000">
      <w:r>
        <w:t>505.</w:t>
      </w:r>
      <w:r>
        <w:tab/>
        <w:t>Что касается тестирования лиц, работающих с источниками ионизирующей радиации, то измеренные с помощью термолюминесцентной дозиметрии (</w:t>
      </w:r>
      <w:r>
        <w:rPr>
          <w:lang w:val="en-US"/>
        </w:rPr>
        <w:t>T</w:t>
      </w:r>
      <w:r>
        <w:t>ЛД) полученные дозы находятся в установленных пределах.  Медицинский осмотр не выявил наличия условий, вредных для здоровья лиц, работающих с источниками ионизирующей радиации.</w:t>
      </w:r>
    </w:p>
    <w:p w:rsidR="00000000" w:rsidRDefault="00000000"/>
    <w:p w:rsidR="00000000" w:rsidRDefault="00000000">
      <w:pPr>
        <w:spacing w:line="240" w:lineRule="auto"/>
        <w:jc w:val="center"/>
        <w:rPr>
          <w:b/>
          <w:bCs/>
        </w:rPr>
      </w:pPr>
      <w:r>
        <w:rPr>
          <w:b/>
          <w:bCs/>
        </w:rPr>
        <w:t>Таблица 21</w:t>
      </w:r>
    </w:p>
    <w:p w:rsidR="00000000" w:rsidRDefault="00000000">
      <w:pPr>
        <w:spacing w:line="240" w:lineRule="auto"/>
        <w:jc w:val="center"/>
        <w:rPr>
          <w:b/>
          <w:bCs/>
        </w:rPr>
      </w:pPr>
    </w:p>
    <w:p w:rsidR="00000000" w:rsidRDefault="00000000">
      <w:pPr>
        <w:spacing w:line="240" w:lineRule="auto"/>
        <w:jc w:val="center"/>
        <w:rPr>
          <w:b/>
          <w:bCs/>
        </w:rPr>
      </w:pPr>
      <w:r>
        <w:rPr>
          <w:b/>
          <w:bCs/>
        </w:rPr>
        <w:t>Радиологический контроль пищевых продуктов и питьевой воды</w:t>
      </w:r>
    </w:p>
    <w:p w:rsidR="00000000" w:rsidRDefault="00000000">
      <w:pPr>
        <w:spacing w:line="240" w:lineRule="auto"/>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36"/>
        <w:gridCol w:w="3137"/>
        <w:gridCol w:w="3137"/>
      </w:tblGrid>
      <w:tr w:rsidR="00000000">
        <w:tblPrEx>
          <w:tblCellMar>
            <w:top w:w="0" w:type="dxa"/>
            <w:bottom w:w="0" w:type="dxa"/>
          </w:tblCellMar>
        </w:tblPrEx>
        <w:trPr>
          <w:cantSplit/>
        </w:trPr>
        <w:tc>
          <w:tcPr>
            <w:tcW w:w="3136" w:type="dxa"/>
            <w:tcBorders>
              <w:bottom w:val="single" w:sz="4" w:space="0" w:color="auto"/>
            </w:tcBorders>
          </w:tcPr>
          <w:p w:rsidR="00000000" w:rsidRDefault="00000000">
            <w:pPr>
              <w:jc w:val="center"/>
            </w:pPr>
            <w:r>
              <w:t>Виды проб</w:t>
            </w:r>
          </w:p>
        </w:tc>
        <w:tc>
          <w:tcPr>
            <w:tcW w:w="3137" w:type="dxa"/>
            <w:tcBorders>
              <w:bottom w:val="single" w:sz="4" w:space="0" w:color="auto"/>
            </w:tcBorders>
          </w:tcPr>
          <w:p w:rsidR="00000000" w:rsidRDefault="00000000">
            <w:pPr>
              <w:jc w:val="center"/>
            </w:pPr>
            <w:r>
              <w:t>Пробы, взятые в 2001 году</w:t>
            </w:r>
          </w:p>
        </w:tc>
        <w:tc>
          <w:tcPr>
            <w:tcW w:w="3137" w:type="dxa"/>
            <w:tcBorders>
              <w:bottom w:val="single" w:sz="4" w:space="0" w:color="auto"/>
            </w:tcBorders>
          </w:tcPr>
          <w:p w:rsidR="00000000" w:rsidRDefault="00000000">
            <w:pPr>
              <w:jc w:val="center"/>
            </w:pPr>
            <w:r>
              <w:t>Пробы, взятые в 2002 году</w:t>
            </w:r>
          </w:p>
        </w:tc>
      </w:tr>
      <w:tr w:rsidR="00000000">
        <w:tblPrEx>
          <w:tblCellMar>
            <w:top w:w="0" w:type="dxa"/>
            <w:bottom w:w="0" w:type="dxa"/>
          </w:tblCellMar>
        </w:tblPrEx>
        <w:trPr>
          <w:cantSplit/>
        </w:trPr>
        <w:tc>
          <w:tcPr>
            <w:tcW w:w="3136" w:type="dxa"/>
            <w:tcBorders>
              <w:bottom w:val="nil"/>
            </w:tcBorders>
          </w:tcPr>
          <w:p w:rsidR="00000000" w:rsidRDefault="00000000">
            <w:r>
              <w:t>Пищевые продукты</w:t>
            </w:r>
          </w:p>
        </w:tc>
        <w:tc>
          <w:tcPr>
            <w:tcW w:w="3137" w:type="dxa"/>
            <w:tcBorders>
              <w:bottom w:val="nil"/>
            </w:tcBorders>
          </w:tcPr>
          <w:p w:rsidR="00000000" w:rsidRDefault="00000000">
            <w:pPr>
              <w:jc w:val="center"/>
            </w:pPr>
            <w:r>
              <w:t>170</w:t>
            </w:r>
          </w:p>
        </w:tc>
        <w:tc>
          <w:tcPr>
            <w:tcW w:w="3137" w:type="dxa"/>
            <w:tcBorders>
              <w:bottom w:val="nil"/>
            </w:tcBorders>
          </w:tcPr>
          <w:p w:rsidR="00000000" w:rsidRDefault="00000000">
            <w:pPr>
              <w:jc w:val="center"/>
            </w:pPr>
            <w:r>
              <w:t>349</w:t>
            </w:r>
          </w:p>
        </w:tc>
      </w:tr>
      <w:tr w:rsidR="00000000">
        <w:tblPrEx>
          <w:tblCellMar>
            <w:top w:w="0" w:type="dxa"/>
            <w:bottom w:w="0" w:type="dxa"/>
          </w:tblCellMar>
        </w:tblPrEx>
        <w:trPr>
          <w:cantSplit/>
        </w:trPr>
        <w:tc>
          <w:tcPr>
            <w:tcW w:w="3136" w:type="dxa"/>
            <w:tcBorders>
              <w:top w:val="nil"/>
            </w:tcBorders>
          </w:tcPr>
          <w:p w:rsidR="00000000" w:rsidRDefault="00000000">
            <w:r>
              <w:t>Питьевая вода</w:t>
            </w:r>
          </w:p>
        </w:tc>
        <w:tc>
          <w:tcPr>
            <w:tcW w:w="3137" w:type="dxa"/>
            <w:tcBorders>
              <w:top w:val="nil"/>
            </w:tcBorders>
          </w:tcPr>
          <w:p w:rsidR="00000000" w:rsidRDefault="00000000">
            <w:pPr>
              <w:jc w:val="center"/>
            </w:pPr>
            <w:r>
              <w:t>27</w:t>
            </w:r>
          </w:p>
        </w:tc>
        <w:tc>
          <w:tcPr>
            <w:tcW w:w="3137" w:type="dxa"/>
            <w:tcBorders>
              <w:top w:val="nil"/>
            </w:tcBorders>
          </w:tcPr>
          <w:p w:rsidR="00000000" w:rsidRDefault="00000000">
            <w:pPr>
              <w:jc w:val="center"/>
            </w:pPr>
            <w:r>
              <w:t>31</w:t>
            </w:r>
          </w:p>
        </w:tc>
      </w:tr>
    </w:tbl>
    <w:p w:rsidR="00000000" w:rsidRDefault="00000000"/>
    <w:p w:rsidR="00000000" w:rsidRDefault="00000000">
      <w:r>
        <w:t>506.</w:t>
      </w:r>
      <w:r>
        <w:tab/>
        <w:t>Что касается радиологической проверки пищевых продуктов и питьевой воды в 2002 году, то параллельно с проверкой 349 проб пищевых продуктов проводилась ежегодная проверка 24 проб на содержание пяти радиоизотопов.  Все пробы оказались свободными от радиации.  Питьевая вода проверялась на общую бета-активность.  Все пробы оказались свободными от радиации.  Из</w:t>
      </w:r>
      <w:r>
        <w:noBreakHyphen/>
        <w:t>за отсутствия счетчиков альфа/бета-излучения не удалось определить общую альфа/бета-активность воды, что является необходимым по действующему законодательству.</w:t>
      </w:r>
    </w:p>
    <w:p w:rsidR="00000000" w:rsidRDefault="00000000"/>
    <w:p w:rsidR="00000000" w:rsidRDefault="00000000">
      <w:r>
        <w:t>507.</w:t>
      </w:r>
      <w:r>
        <w:tab/>
        <w:t>На основании вышеизложенного можно сделать заключение, что в 2002 году по сравнению с предыдущим периодом в осуществлении радиационного контроля был достигнут значительный прогресс.  Улучшилась работа над проектами Международного агентства по атомной энергии (МАГАТЭ).  Получаемая человеком ежегодная доза радиации является результатом фоновой активности.  Она находится в пределах 1</w:t>
      </w:r>
      <w:r>
        <w:noBreakHyphen/>
        <w:t>10 мЗв и составляет в среднем 2,4 мЗв.  Более серьезным является присутствие в воздухе в закрытых помещениях радона, содержание которого должно контролироваться.</w:t>
      </w:r>
    </w:p>
    <w:p w:rsidR="00000000" w:rsidRDefault="00000000"/>
    <w:p w:rsidR="00000000" w:rsidRDefault="00000000">
      <w:r>
        <w:t>508.</w:t>
      </w:r>
      <w:r>
        <w:tab/>
        <w:t>Воздействие ионизирующей радиации в медицине, промышленности и в научных исследованиях </w:t>
      </w:r>
      <w:r>
        <w:noBreakHyphen/>
        <w:t xml:space="preserve"> везде, где используется радиация, повышается.  Однако совершенствуется также защита и контроль за источниками радиации, в связи с чем считается, что риски воздействия ионизирующей радиации на лиц, работающих с ее источниками, снижаются.</w:t>
      </w:r>
    </w:p>
    <w:p w:rsidR="00000000" w:rsidRDefault="00000000"/>
    <w:p w:rsidR="00000000" w:rsidRDefault="00000000">
      <w:r>
        <w:t>509.</w:t>
      </w:r>
      <w:r>
        <w:tab/>
        <w:t>На основании результатов проведенного национальными экспертами исследования состояния здоровья населения, опубликованных документов, результатов проведенного Всемирным банком изучения проблемы нищеты в Боснии и Герцеговине, а также доклада Всемирной организации здравоохранения становится совершенно ясно, что уровень нищеты в Боснии и Герцеговине является высоким.  Здравоохранение является одним из социальных секторов, который оказывает непосредственное влияние на другие, и особенно на экономику.  Все проблемы в секторе здравоохранения можно свести к тем, которые являются результатом состояния системы здравоохранения, неудовлетворенности пользователей медицинских услуг и финансовых трудностей.  Решение этих проблем осуществляется в направлении изменения методов сбора и расходования денежных средств, совершенствования управления, привлечения населения с возложением также на него ответственности за свое собственное здоровье и повышения эффективности системы здравоохранения, которая отвечала бы потребностям всего общества.</w:t>
      </w:r>
    </w:p>
    <w:p w:rsidR="00000000" w:rsidRDefault="00000000"/>
    <w:p w:rsidR="00000000" w:rsidRDefault="00000000">
      <w:r>
        <w:t>510.</w:t>
      </w:r>
      <w:r>
        <w:tab/>
        <w:t>Для достижения этой цели в настоящее время разрабатывается стратегия развития здравоохранения для Боснии и Герцеговины как часть Документа о стратегиях сокращения масштабов нищеты.  Она также предусматривает изменение существующего и принятие нового законодательства.</w:t>
      </w:r>
    </w:p>
    <w:p w:rsidR="00000000" w:rsidRDefault="00000000"/>
    <w:p w:rsidR="00000000" w:rsidRDefault="00000000">
      <w:pPr>
        <w:rPr>
          <w:b/>
          <w:bCs/>
        </w:rPr>
      </w:pPr>
      <w:r>
        <w:rPr>
          <w:b/>
          <w:bCs/>
        </w:rPr>
        <w:t>Угроза неразорвавшихся мин и взрывных устройств</w:t>
      </w:r>
    </w:p>
    <w:p w:rsidR="00000000" w:rsidRDefault="00000000">
      <w:pPr>
        <w:rPr>
          <w:b/>
          <w:bCs/>
        </w:rPr>
      </w:pPr>
    </w:p>
    <w:p w:rsidR="00000000" w:rsidRDefault="00000000">
      <w:r>
        <w:t>511.</w:t>
      </w:r>
      <w:r>
        <w:tab/>
        <w:t>Неразорвавшиеся мины и взрывные устройства в различных районах несут конкретную угрозу здоровью детей и здоровью населения всей страны.  По существующим оценкам, в Боснии и Герцеговине насчитывается около 1 млн. неразорвавшихся мин, 70% которых в Федерации Боснии и Герцеговины были взяты на учет в рамках 16 000</w:t>
      </w:r>
      <w:r>
        <w:noBreakHyphen/>
        <w:t>20 000 минных полей.</w:t>
      </w:r>
    </w:p>
    <w:p w:rsidR="00000000" w:rsidRDefault="00000000"/>
    <w:p w:rsidR="00000000" w:rsidRDefault="00000000">
      <w:pPr>
        <w:spacing w:line="276" w:lineRule="auto"/>
      </w:pPr>
      <w:r>
        <w:t>512.</w:t>
      </w:r>
      <w:r>
        <w:tab/>
        <w:t>Следующим фактором риска являются неконтролируемые источники ионизирующей радиации.  В этой области не существует никаких точных данных.  В настоящее время идет процесс регистрации источников ионизирующей радиации.  В 1999 году был принят Закон о защите от ионизирующей радиации и радиационной безопасности.  Этот закон предусматривает создание административного подразделения по вопросам защиты от ионизирующей радиации и радиационной безопасности в рамках федерального министерства здравоохранения, а также центра по защите от ионизирующей радиации, который находится при Управлении здравоохранения.</w:t>
      </w:r>
    </w:p>
    <w:p w:rsidR="00000000" w:rsidRDefault="00000000"/>
    <w:p w:rsidR="00000000" w:rsidRDefault="00000000">
      <w:pPr>
        <w:spacing w:line="276" w:lineRule="auto"/>
      </w:pPr>
      <w:r>
        <w:t>513.</w:t>
      </w:r>
      <w:r>
        <w:tab/>
        <w:t>По данным центра по обнаружению мин и разминированию Боснии и Герцеговины, в 2001 году произошло 63 несчастных случая, 34 человека были убиты и 37 - ранены.  В предыдущие три года было зарегистрировано 125 несчастных случаев, в результате которых 71 человек был убит и 113 человек ранены.  Среди жертв 90% составляли взрослые (в среднем 30</w:t>
      </w:r>
      <w:r>
        <w:noBreakHyphen/>
        <w:t>летние мужчины) и около 20% - дети.  Наиболее подверженной такого рода угрозе группой населения являются возвращенцы, особенно в сельской местности.</w:t>
      </w:r>
    </w:p>
    <w:p w:rsidR="00000000" w:rsidRDefault="00000000">
      <w:pPr>
        <w:spacing w:line="240" w:lineRule="auto"/>
      </w:pPr>
    </w:p>
    <w:p w:rsidR="00000000" w:rsidRDefault="00000000">
      <w:pPr>
        <w:spacing w:line="240" w:lineRule="auto"/>
        <w:jc w:val="center"/>
        <w:rPr>
          <w:b/>
          <w:bCs/>
        </w:rPr>
      </w:pPr>
      <w:r>
        <w:rPr>
          <w:b/>
          <w:bCs/>
        </w:rPr>
        <w:t>Таблица 22</w:t>
      </w:r>
    </w:p>
    <w:p w:rsidR="00000000" w:rsidRDefault="00000000">
      <w:pPr>
        <w:spacing w:line="240" w:lineRule="auto"/>
        <w:jc w:val="center"/>
        <w:rPr>
          <w:b/>
          <w:bCs/>
        </w:rPr>
      </w:pPr>
    </w:p>
    <w:p w:rsidR="00000000" w:rsidRDefault="00000000">
      <w:pPr>
        <w:spacing w:line="240" w:lineRule="auto"/>
        <w:jc w:val="center"/>
        <w:rPr>
          <w:b/>
          <w:bCs/>
        </w:rPr>
      </w:pPr>
      <w:r>
        <w:rPr>
          <w:b/>
          <w:bCs/>
        </w:rPr>
        <w:t>Количество убитых и раненых в результате взрыва мин и других взрывных устройств в период 1998-2002 годов</w:t>
      </w:r>
    </w:p>
    <w:p w:rsidR="00000000" w:rsidRDefault="00000000">
      <w:pPr>
        <w:spacing w:line="240" w:lineRule="auto"/>
        <w:jc w:val="center"/>
        <w:rPr>
          <w:b/>
          <w:bCs/>
        </w:rPr>
      </w:pPr>
    </w:p>
    <w:tbl>
      <w:tblPr>
        <w:tblW w:w="0" w:type="auto"/>
        <w:jc w:val="center"/>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1"/>
        <w:gridCol w:w="1342"/>
        <w:gridCol w:w="1341"/>
        <w:gridCol w:w="1342"/>
        <w:gridCol w:w="1341"/>
        <w:gridCol w:w="1342"/>
      </w:tblGrid>
      <w:tr w:rsidR="00000000">
        <w:tblPrEx>
          <w:tblCellMar>
            <w:top w:w="0" w:type="dxa"/>
            <w:bottom w:w="0" w:type="dxa"/>
          </w:tblCellMar>
        </w:tblPrEx>
        <w:trPr>
          <w:jc w:val="center"/>
        </w:trPr>
        <w:tc>
          <w:tcPr>
            <w:tcW w:w="1341" w:type="dxa"/>
            <w:tcBorders>
              <w:bottom w:val="single" w:sz="4" w:space="0" w:color="auto"/>
            </w:tcBorders>
          </w:tcPr>
          <w:p w:rsidR="00000000" w:rsidRDefault="00000000">
            <w:pPr>
              <w:spacing w:line="240" w:lineRule="auto"/>
            </w:pPr>
          </w:p>
        </w:tc>
        <w:tc>
          <w:tcPr>
            <w:tcW w:w="1342" w:type="dxa"/>
            <w:tcBorders>
              <w:bottom w:val="single" w:sz="4" w:space="0" w:color="auto"/>
            </w:tcBorders>
          </w:tcPr>
          <w:p w:rsidR="00000000" w:rsidRDefault="00000000">
            <w:pPr>
              <w:spacing w:line="240" w:lineRule="auto"/>
              <w:jc w:val="center"/>
            </w:pPr>
            <w:r>
              <w:t>1998 год</w:t>
            </w:r>
          </w:p>
        </w:tc>
        <w:tc>
          <w:tcPr>
            <w:tcW w:w="1341" w:type="dxa"/>
            <w:tcBorders>
              <w:bottom w:val="single" w:sz="4" w:space="0" w:color="auto"/>
            </w:tcBorders>
          </w:tcPr>
          <w:p w:rsidR="00000000" w:rsidRDefault="00000000">
            <w:pPr>
              <w:spacing w:line="240" w:lineRule="auto"/>
              <w:jc w:val="center"/>
            </w:pPr>
            <w:r>
              <w:t>1999 год</w:t>
            </w:r>
          </w:p>
        </w:tc>
        <w:tc>
          <w:tcPr>
            <w:tcW w:w="1342" w:type="dxa"/>
            <w:tcBorders>
              <w:bottom w:val="single" w:sz="4" w:space="0" w:color="auto"/>
            </w:tcBorders>
          </w:tcPr>
          <w:p w:rsidR="00000000" w:rsidRDefault="00000000">
            <w:pPr>
              <w:spacing w:line="240" w:lineRule="auto"/>
              <w:jc w:val="center"/>
            </w:pPr>
            <w:r>
              <w:t>2000 год</w:t>
            </w:r>
          </w:p>
        </w:tc>
        <w:tc>
          <w:tcPr>
            <w:tcW w:w="1341" w:type="dxa"/>
            <w:tcBorders>
              <w:bottom w:val="single" w:sz="4" w:space="0" w:color="auto"/>
            </w:tcBorders>
          </w:tcPr>
          <w:p w:rsidR="00000000" w:rsidRDefault="00000000">
            <w:pPr>
              <w:spacing w:line="240" w:lineRule="auto"/>
              <w:jc w:val="center"/>
            </w:pPr>
            <w:r>
              <w:t>2001 год</w:t>
            </w:r>
          </w:p>
        </w:tc>
        <w:tc>
          <w:tcPr>
            <w:tcW w:w="1342" w:type="dxa"/>
            <w:tcBorders>
              <w:bottom w:val="single" w:sz="4" w:space="0" w:color="auto"/>
            </w:tcBorders>
          </w:tcPr>
          <w:p w:rsidR="00000000" w:rsidRDefault="00000000">
            <w:pPr>
              <w:spacing w:line="240" w:lineRule="auto"/>
              <w:jc w:val="center"/>
            </w:pPr>
            <w:r>
              <w:t>2002 год</w:t>
            </w:r>
          </w:p>
        </w:tc>
      </w:tr>
      <w:tr w:rsidR="00000000">
        <w:tblPrEx>
          <w:tblCellMar>
            <w:top w:w="0" w:type="dxa"/>
            <w:bottom w:w="0" w:type="dxa"/>
          </w:tblCellMar>
        </w:tblPrEx>
        <w:trPr>
          <w:jc w:val="center"/>
        </w:trPr>
        <w:tc>
          <w:tcPr>
            <w:tcW w:w="1341" w:type="dxa"/>
            <w:tcBorders>
              <w:bottom w:val="nil"/>
            </w:tcBorders>
          </w:tcPr>
          <w:p w:rsidR="00000000" w:rsidRDefault="00000000">
            <w:pPr>
              <w:spacing w:line="240" w:lineRule="auto"/>
            </w:pPr>
            <w:r>
              <w:t>Убито</w:t>
            </w:r>
          </w:p>
        </w:tc>
        <w:tc>
          <w:tcPr>
            <w:tcW w:w="1342" w:type="dxa"/>
            <w:tcBorders>
              <w:bottom w:val="nil"/>
            </w:tcBorders>
          </w:tcPr>
          <w:p w:rsidR="00000000" w:rsidRDefault="00000000">
            <w:pPr>
              <w:spacing w:line="240" w:lineRule="auto"/>
              <w:jc w:val="center"/>
            </w:pPr>
            <w:r>
              <w:t>30</w:t>
            </w:r>
          </w:p>
        </w:tc>
        <w:tc>
          <w:tcPr>
            <w:tcW w:w="1341" w:type="dxa"/>
            <w:tcBorders>
              <w:bottom w:val="nil"/>
            </w:tcBorders>
          </w:tcPr>
          <w:p w:rsidR="00000000" w:rsidRDefault="00000000">
            <w:pPr>
              <w:spacing w:line="240" w:lineRule="auto"/>
              <w:jc w:val="center"/>
            </w:pPr>
            <w:r>
              <w:t>14</w:t>
            </w:r>
          </w:p>
        </w:tc>
        <w:tc>
          <w:tcPr>
            <w:tcW w:w="1342" w:type="dxa"/>
            <w:tcBorders>
              <w:bottom w:val="nil"/>
            </w:tcBorders>
          </w:tcPr>
          <w:p w:rsidR="00000000" w:rsidRDefault="00000000">
            <w:pPr>
              <w:spacing w:line="240" w:lineRule="auto"/>
              <w:jc w:val="center"/>
            </w:pPr>
            <w:r>
              <w:t>21</w:t>
            </w:r>
          </w:p>
        </w:tc>
        <w:tc>
          <w:tcPr>
            <w:tcW w:w="1341" w:type="dxa"/>
            <w:tcBorders>
              <w:bottom w:val="nil"/>
            </w:tcBorders>
          </w:tcPr>
          <w:p w:rsidR="00000000" w:rsidRDefault="00000000">
            <w:pPr>
              <w:spacing w:line="240" w:lineRule="auto"/>
              <w:jc w:val="center"/>
            </w:pPr>
            <w:r>
              <w:t>24</w:t>
            </w:r>
          </w:p>
        </w:tc>
        <w:tc>
          <w:tcPr>
            <w:tcW w:w="1342" w:type="dxa"/>
            <w:tcBorders>
              <w:bottom w:val="nil"/>
            </w:tcBorders>
          </w:tcPr>
          <w:p w:rsidR="00000000" w:rsidRDefault="00000000">
            <w:pPr>
              <w:spacing w:line="240" w:lineRule="auto"/>
              <w:jc w:val="center"/>
            </w:pPr>
            <w:r>
              <w:t>17</w:t>
            </w:r>
          </w:p>
        </w:tc>
      </w:tr>
      <w:tr w:rsidR="00000000">
        <w:tblPrEx>
          <w:tblCellMar>
            <w:top w:w="0" w:type="dxa"/>
            <w:bottom w:w="0" w:type="dxa"/>
          </w:tblCellMar>
        </w:tblPrEx>
        <w:trPr>
          <w:jc w:val="center"/>
        </w:trPr>
        <w:tc>
          <w:tcPr>
            <w:tcW w:w="1341" w:type="dxa"/>
            <w:tcBorders>
              <w:top w:val="nil"/>
            </w:tcBorders>
          </w:tcPr>
          <w:p w:rsidR="00000000" w:rsidRDefault="00000000">
            <w:pPr>
              <w:spacing w:line="240" w:lineRule="auto"/>
            </w:pPr>
            <w:r>
              <w:t>Ранено</w:t>
            </w:r>
          </w:p>
        </w:tc>
        <w:tc>
          <w:tcPr>
            <w:tcW w:w="1342" w:type="dxa"/>
            <w:tcBorders>
              <w:top w:val="nil"/>
            </w:tcBorders>
          </w:tcPr>
          <w:p w:rsidR="00000000" w:rsidRDefault="00000000">
            <w:pPr>
              <w:spacing w:line="240" w:lineRule="auto"/>
              <w:jc w:val="center"/>
            </w:pPr>
            <w:r>
              <w:t>50</w:t>
            </w:r>
          </w:p>
        </w:tc>
        <w:tc>
          <w:tcPr>
            <w:tcW w:w="1341" w:type="dxa"/>
            <w:tcBorders>
              <w:top w:val="nil"/>
            </w:tcBorders>
          </w:tcPr>
          <w:p w:rsidR="00000000" w:rsidRDefault="00000000">
            <w:pPr>
              <w:spacing w:line="240" w:lineRule="auto"/>
              <w:jc w:val="center"/>
            </w:pPr>
            <w:r>
              <w:t>26</w:t>
            </w:r>
          </w:p>
        </w:tc>
        <w:tc>
          <w:tcPr>
            <w:tcW w:w="1342" w:type="dxa"/>
            <w:tcBorders>
              <w:top w:val="nil"/>
            </w:tcBorders>
          </w:tcPr>
          <w:p w:rsidR="00000000" w:rsidRDefault="00000000">
            <w:pPr>
              <w:spacing w:line="240" w:lineRule="auto"/>
              <w:jc w:val="center"/>
            </w:pPr>
            <w:r>
              <w:t>44</w:t>
            </w:r>
          </w:p>
        </w:tc>
        <w:tc>
          <w:tcPr>
            <w:tcW w:w="1341" w:type="dxa"/>
            <w:tcBorders>
              <w:top w:val="nil"/>
            </w:tcBorders>
          </w:tcPr>
          <w:p w:rsidR="00000000" w:rsidRDefault="00000000">
            <w:pPr>
              <w:spacing w:line="240" w:lineRule="auto"/>
              <w:jc w:val="center"/>
            </w:pPr>
            <w:r>
              <w:t>37</w:t>
            </w:r>
          </w:p>
        </w:tc>
        <w:tc>
          <w:tcPr>
            <w:tcW w:w="1342" w:type="dxa"/>
            <w:tcBorders>
              <w:top w:val="nil"/>
            </w:tcBorders>
          </w:tcPr>
          <w:p w:rsidR="00000000" w:rsidRDefault="00000000">
            <w:pPr>
              <w:spacing w:line="240" w:lineRule="auto"/>
              <w:jc w:val="center"/>
            </w:pPr>
            <w:r>
              <w:t>35</w:t>
            </w:r>
          </w:p>
        </w:tc>
      </w:tr>
    </w:tbl>
    <w:p w:rsidR="00000000" w:rsidRDefault="00000000">
      <w:pPr>
        <w:rPr>
          <w:i/>
          <w:iCs/>
        </w:rPr>
      </w:pPr>
    </w:p>
    <w:p w:rsidR="00000000" w:rsidRDefault="00000000">
      <w:r>
        <w:rPr>
          <w:i/>
          <w:iCs/>
        </w:rPr>
        <w:tab/>
        <w:t>Источник</w:t>
      </w:r>
      <w:r>
        <w:t>:  Центр по разминированию Боснии и Герцеговины.</w:t>
      </w:r>
    </w:p>
    <w:p w:rsidR="00000000" w:rsidRDefault="00000000"/>
    <w:p w:rsidR="00000000" w:rsidRDefault="00000000">
      <w:pPr>
        <w:spacing w:line="276" w:lineRule="auto"/>
      </w:pPr>
      <w:r>
        <w:t>514.</w:t>
      </w:r>
      <w:r>
        <w:tab/>
        <w:t xml:space="preserve">В период с 1998 по 2002 год на территории Федерации Боснии и Герцеговины были ранены 298 человек, причем 106 из них - смертельно.  Приведенные в таблице 22 цифры указывают на то, что за последние пять лет количество раненых и убитых не увеличилось.  Однако тот факт, что ежегодно мины уносят жизни людей, указывает на серьезность этой проблемы.  </w:t>
      </w:r>
    </w:p>
    <w:p w:rsidR="00000000" w:rsidRDefault="00000000">
      <w:pPr>
        <w:spacing w:line="240" w:lineRule="auto"/>
      </w:pPr>
    </w:p>
    <w:p w:rsidR="00000000" w:rsidRDefault="00000000">
      <w:pPr>
        <w:spacing w:line="240" w:lineRule="auto"/>
        <w:jc w:val="center"/>
        <w:rPr>
          <w:b/>
          <w:bCs/>
        </w:rPr>
      </w:pPr>
      <w:r>
        <w:rPr>
          <w:b/>
          <w:bCs/>
        </w:rPr>
        <w:t>Таблица 23</w:t>
      </w:r>
    </w:p>
    <w:p w:rsidR="00000000" w:rsidRDefault="00000000">
      <w:pPr>
        <w:spacing w:line="240" w:lineRule="auto"/>
        <w:jc w:val="center"/>
        <w:rPr>
          <w:b/>
          <w:bCs/>
        </w:rPr>
      </w:pPr>
    </w:p>
    <w:p w:rsidR="00000000" w:rsidRDefault="00000000">
      <w:pPr>
        <w:spacing w:line="240" w:lineRule="auto"/>
        <w:jc w:val="center"/>
        <w:rPr>
          <w:b/>
          <w:bCs/>
        </w:rPr>
      </w:pPr>
      <w:r>
        <w:rPr>
          <w:b/>
          <w:bCs/>
        </w:rPr>
        <w:t>Классификация убитых и раненых в период 1993-2002 годов</w:t>
      </w:r>
    </w:p>
    <w:p w:rsidR="00000000" w:rsidRDefault="00000000">
      <w:pPr>
        <w:spacing w:line="240" w:lineRule="auto"/>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95"/>
        <w:gridCol w:w="1308"/>
        <w:gridCol w:w="1308"/>
        <w:gridCol w:w="1122"/>
        <w:gridCol w:w="1122"/>
        <w:gridCol w:w="1156"/>
      </w:tblGrid>
      <w:tr w:rsidR="00000000">
        <w:tblPrEx>
          <w:tblCellMar>
            <w:top w:w="0" w:type="dxa"/>
            <w:bottom w:w="0" w:type="dxa"/>
          </w:tblCellMar>
        </w:tblPrEx>
        <w:trPr>
          <w:cantSplit/>
        </w:trPr>
        <w:tc>
          <w:tcPr>
            <w:tcW w:w="3395" w:type="dxa"/>
            <w:tcBorders>
              <w:bottom w:val="single" w:sz="4" w:space="0" w:color="auto"/>
            </w:tcBorders>
          </w:tcPr>
          <w:p w:rsidR="00000000" w:rsidRDefault="00000000">
            <w:pPr>
              <w:spacing w:line="240" w:lineRule="auto"/>
              <w:jc w:val="center"/>
            </w:pPr>
            <w:r>
              <w:t>Возрастная группа</w:t>
            </w:r>
          </w:p>
        </w:tc>
        <w:tc>
          <w:tcPr>
            <w:tcW w:w="1308" w:type="dxa"/>
            <w:tcBorders>
              <w:bottom w:val="single" w:sz="4" w:space="0" w:color="auto"/>
            </w:tcBorders>
          </w:tcPr>
          <w:p w:rsidR="00000000" w:rsidRDefault="00000000">
            <w:pPr>
              <w:spacing w:line="240" w:lineRule="auto"/>
              <w:jc w:val="center"/>
            </w:pPr>
            <w:r>
              <w:t>1998 год</w:t>
            </w:r>
          </w:p>
        </w:tc>
        <w:tc>
          <w:tcPr>
            <w:tcW w:w="1308" w:type="dxa"/>
            <w:tcBorders>
              <w:bottom w:val="single" w:sz="4" w:space="0" w:color="auto"/>
            </w:tcBorders>
          </w:tcPr>
          <w:p w:rsidR="00000000" w:rsidRDefault="00000000">
            <w:pPr>
              <w:spacing w:line="240" w:lineRule="auto"/>
              <w:jc w:val="center"/>
            </w:pPr>
            <w:r>
              <w:t>1999 год</w:t>
            </w:r>
          </w:p>
        </w:tc>
        <w:tc>
          <w:tcPr>
            <w:tcW w:w="1122" w:type="dxa"/>
            <w:tcBorders>
              <w:bottom w:val="single" w:sz="4" w:space="0" w:color="auto"/>
            </w:tcBorders>
          </w:tcPr>
          <w:p w:rsidR="00000000" w:rsidRDefault="00000000">
            <w:pPr>
              <w:spacing w:line="240" w:lineRule="auto"/>
              <w:jc w:val="center"/>
            </w:pPr>
            <w:r>
              <w:t>2000 год</w:t>
            </w:r>
          </w:p>
        </w:tc>
        <w:tc>
          <w:tcPr>
            <w:tcW w:w="1122" w:type="dxa"/>
            <w:tcBorders>
              <w:bottom w:val="single" w:sz="4" w:space="0" w:color="auto"/>
            </w:tcBorders>
          </w:tcPr>
          <w:p w:rsidR="00000000" w:rsidRDefault="00000000">
            <w:pPr>
              <w:spacing w:line="240" w:lineRule="auto"/>
              <w:jc w:val="center"/>
            </w:pPr>
            <w:r>
              <w:t>2001 год</w:t>
            </w:r>
          </w:p>
        </w:tc>
        <w:tc>
          <w:tcPr>
            <w:tcW w:w="1156" w:type="dxa"/>
            <w:tcBorders>
              <w:bottom w:val="single" w:sz="4" w:space="0" w:color="auto"/>
            </w:tcBorders>
          </w:tcPr>
          <w:p w:rsidR="00000000" w:rsidRDefault="00000000">
            <w:pPr>
              <w:spacing w:line="240" w:lineRule="auto"/>
              <w:jc w:val="center"/>
            </w:pPr>
            <w:r>
              <w:t>2002 год</w:t>
            </w:r>
          </w:p>
        </w:tc>
      </w:tr>
      <w:tr w:rsidR="00000000">
        <w:tblPrEx>
          <w:tblCellMar>
            <w:top w:w="0" w:type="dxa"/>
            <w:bottom w:w="0" w:type="dxa"/>
          </w:tblCellMar>
        </w:tblPrEx>
        <w:trPr>
          <w:cantSplit/>
        </w:trPr>
        <w:tc>
          <w:tcPr>
            <w:tcW w:w="3395" w:type="dxa"/>
            <w:tcBorders>
              <w:bottom w:val="nil"/>
            </w:tcBorders>
          </w:tcPr>
          <w:p w:rsidR="00000000" w:rsidRDefault="00000000">
            <w:pPr>
              <w:spacing w:line="240" w:lineRule="auto"/>
            </w:pPr>
            <w:r>
              <w:t>Дети в возрасте 0-18 лет</w:t>
            </w:r>
          </w:p>
        </w:tc>
        <w:tc>
          <w:tcPr>
            <w:tcW w:w="1308" w:type="dxa"/>
            <w:tcBorders>
              <w:bottom w:val="nil"/>
            </w:tcBorders>
          </w:tcPr>
          <w:p w:rsidR="00000000" w:rsidRDefault="00000000">
            <w:pPr>
              <w:spacing w:line="240" w:lineRule="auto"/>
              <w:ind w:right="448"/>
              <w:jc w:val="right"/>
            </w:pPr>
            <w:r>
              <w:t>24</w:t>
            </w:r>
          </w:p>
        </w:tc>
        <w:tc>
          <w:tcPr>
            <w:tcW w:w="1308" w:type="dxa"/>
            <w:tcBorders>
              <w:bottom w:val="nil"/>
            </w:tcBorders>
          </w:tcPr>
          <w:p w:rsidR="00000000" w:rsidRDefault="00000000">
            <w:pPr>
              <w:spacing w:line="240" w:lineRule="auto"/>
              <w:ind w:right="448"/>
              <w:jc w:val="right"/>
            </w:pPr>
            <w:r>
              <w:t>9</w:t>
            </w:r>
          </w:p>
        </w:tc>
        <w:tc>
          <w:tcPr>
            <w:tcW w:w="1122" w:type="dxa"/>
            <w:tcBorders>
              <w:bottom w:val="nil"/>
            </w:tcBorders>
          </w:tcPr>
          <w:p w:rsidR="00000000" w:rsidRDefault="00000000">
            <w:pPr>
              <w:spacing w:line="240" w:lineRule="auto"/>
              <w:ind w:right="448"/>
              <w:jc w:val="right"/>
            </w:pPr>
            <w:r>
              <w:t>28</w:t>
            </w:r>
          </w:p>
        </w:tc>
        <w:tc>
          <w:tcPr>
            <w:tcW w:w="1122" w:type="dxa"/>
            <w:tcBorders>
              <w:bottom w:val="nil"/>
            </w:tcBorders>
          </w:tcPr>
          <w:p w:rsidR="00000000" w:rsidRDefault="00000000">
            <w:pPr>
              <w:spacing w:line="240" w:lineRule="auto"/>
              <w:ind w:right="448"/>
              <w:jc w:val="right"/>
            </w:pPr>
            <w:r>
              <w:t>12</w:t>
            </w:r>
          </w:p>
        </w:tc>
        <w:tc>
          <w:tcPr>
            <w:tcW w:w="1156" w:type="dxa"/>
            <w:tcBorders>
              <w:bottom w:val="nil"/>
            </w:tcBorders>
          </w:tcPr>
          <w:p w:rsidR="00000000" w:rsidRDefault="00000000">
            <w:pPr>
              <w:spacing w:line="240" w:lineRule="auto"/>
              <w:ind w:right="448"/>
              <w:jc w:val="right"/>
            </w:pPr>
            <w:r>
              <w:t>11</w:t>
            </w:r>
          </w:p>
        </w:tc>
      </w:tr>
      <w:tr w:rsidR="00000000">
        <w:tblPrEx>
          <w:tblCellMar>
            <w:top w:w="0" w:type="dxa"/>
            <w:bottom w:w="0" w:type="dxa"/>
          </w:tblCellMar>
        </w:tblPrEx>
        <w:trPr>
          <w:cantSplit/>
        </w:trPr>
        <w:tc>
          <w:tcPr>
            <w:tcW w:w="3395" w:type="dxa"/>
            <w:tcBorders>
              <w:top w:val="nil"/>
              <w:bottom w:val="nil"/>
            </w:tcBorders>
          </w:tcPr>
          <w:p w:rsidR="00000000" w:rsidRDefault="00000000">
            <w:pPr>
              <w:spacing w:line="240" w:lineRule="auto"/>
            </w:pPr>
            <w:r>
              <w:t>Взрослые в возрасте 19</w:t>
            </w:r>
            <w:r>
              <w:noBreakHyphen/>
              <w:t>39 лет</w:t>
            </w:r>
          </w:p>
        </w:tc>
        <w:tc>
          <w:tcPr>
            <w:tcW w:w="1308" w:type="dxa"/>
            <w:tcBorders>
              <w:top w:val="nil"/>
              <w:bottom w:val="nil"/>
            </w:tcBorders>
          </w:tcPr>
          <w:p w:rsidR="00000000" w:rsidRDefault="00000000">
            <w:pPr>
              <w:spacing w:line="240" w:lineRule="auto"/>
              <w:ind w:right="448"/>
              <w:jc w:val="right"/>
            </w:pPr>
            <w:r>
              <w:t>32</w:t>
            </w:r>
          </w:p>
        </w:tc>
        <w:tc>
          <w:tcPr>
            <w:tcW w:w="1308" w:type="dxa"/>
            <w:tcBorders>
              <w:top w:val="nil"/>
              <w:bottom w:val="nil"/>
            </w:tcBorders>
          </w:tcPr>
          <w:p w:rsidR="00000000" w:rsidRDefault="00000000">
            <w:pPr>
              <w:spacing w:line="240" w:lineRule="auto"/>
              <w:ind w:right="448"/>
              <w:jc w:val="right"/>
            </w:pPr>
            <w:r>
              <w:t>15</w:t>
            </w:r>
          </w:p>
        </w:tc>
        <w:tc>
          <w:tcPr>
            <w:tcW w:w="1122" w:type="dxa"/>
            <w:tcBorders>
              <w:top w:val="nil"/>
              <w:bottom w:val="nil"/>
            </w:tcBorders>
          </w:tcPr>
          <w:p w:rsidR="00000000" w:rsidRDefault="00000000">
            <w:pPr>
              <w:spacing w:line="240" w:lineRule="auto"/>
              <w:ind w:right="448"/>
              <w:jc w:val="right"/>
            </w:pPr>
            <w:r>
              <w:t>17</w:t>
            </w:r>
          </w:p>
        </w:tc>
        <w:tc>
          <w:tcPr>
            <w:tcW w:w="1122" w:type="dxa"/>
            <w:tcBorders>
              <w:top w:val="nil"/>
              <w:bottom w:val="nil"/>
            </w:tcBorders>
          </w:tcPr>
          <w:p w:rsidR="00000000" w:rsidRDefault="00000000">
            <w:pPr>
              <w:spacing w:line="240" w:lineRule="auto"/>
              <w:ind w:right="448"/>
              <w:jc w:val="right"/>
            </w:pPr>
            <w:r>
              <w:t>25</w:t>
            </w:r>
          </w:p>
        </w:tc>
        <w:tc>
          <w:tcPr>
            <w:tcW w:w="1156" w:type="dxa"/>
            <w:tcBorders>
              <w:top w:val="nil"/>
              <w:bottom w:val="nil"/>
            </w:tcBorders>
          </w:tcPr>
          <w:p w:rsidR="00000000" w:rsidRDefault="00000000">
            <w:pPr>
              <w:spacing w:line="240" w:lineRule="auto"/>
              <w:ind w:right="448"/>
              <w:jc w:val="right"/>
            </w:pPr>
            <w:r>
              <w:t>15</w:t>
            </w:r>
          </w:p>
        </w:tc>
      </w:tr>
      <w:tr w:rsidR="00000000">
        <w:tblPrEx>
          <w:tblCellMar>
            <w:top w:w="0" w:type="dxa"/>
            <w:bottom w:w="0" w:type="dxa"/>
          </w:tblCellMar>
        </w:tblPrEx>
        <w:trPr>
          <w:cantSplit/>
        </w:trPr>
        <w:tc>
          <w:tcPr>
            <w:tcW w:w="3395" w:type="dxa"/>
            <w:tcBorders>
              <w:top w:val="nil"/>
              <w:bottom w:val="nil"/>
            </w:tcBorders>
          </w:tcPr>
          <w:p w:rsidR="00000000" w:rsidRDefault="00000000">
            <w:pPr>
              <w:spacing w:line="240" w:lineRule="auto"/>
            </w:pPr>
            <w:r>
              <w:t>Взрослые в возрасте 40</w:t>
            </w:r>
            <w:r>
              <w:noBreakHyphen/>
              <w:t>60 лет</w:t>
            </w:r>
          </w:p>
        </w:tc>
        <w:tc>
          <w:tcPr>
            <w:tcW w:w="1308" w:type="dxa"/>
            <w:tcBorders>
              <w:top w:val="nil"/>
              <w:bottom w:val="nil"/>
            </w:tcBorders>
          </w:tcPr>
          <w:p w:rsidR="00000000" w:rsidRDefault="00000000">
            <w:pPr>
              <w:spacing w:line="240" w:lineRule="auto"/>
              <w:ind w:right="448"/>
              <w:jc w:val="right"/>
            </w:pPr>
            <w:r>
              <w:t>19</w:t>
            </w:r>
          </w:p>
        </w:tc>
        <w:tc>
          <w:tcPr>
            <w:tcW w:w="1308" w:type="dxa"/>
            <w:tcBorders>
              <w:top w:val="nil"/>
              <w:bottom w:val="nil"/>
            </w:tcBorders>
          </w:tcPr>
          <w:p w:rsidR="00000000" w:rsidRDefault="00000000">
            <w:pPr>
              <w:spacing w:line="240" w:lineRule="auto"/>
              <w:ind w:right="448"/>
              <w:jc w:val="right"/>
            </w:pPr>
            <w:r>
              <w:t>11</w:t>
            </w:r>
          </w:p>
        </w:tc>
        <w:tc>
          <w:tcPr>
            <w:tcW w:w="1122" w:type="dxa"/>
            <w:tcBorders>
              <w:top w:val="nil"/>
              <w:bottom w:val="nil"/>
            </w:tcBorders>
          </w:tcPr>
          <w:p w:rsidR="00000000" w:rsidRDefault="00000000">
            <w:pPr>
              <w:spacing w:line="240" w:lineRule="auto"/>
              <w:ind w:right="448"/>
              <w:jc w:val="right"/>
            </w:pPr>
            <w:r>
              <w:t>16</w:t>
            </w:r>
          </w:p>
        </w:tc>
        <w:tc>
          <w:tcPr>
            <w:tcW w:w="1122" w:type="dxa"/>
            <w:tcBorders>
              <w:top w:val="nil"/>
              <w:bottom w:val="nil"/>
            </w:tcBorders>
          </w:tcPr>
          <w:p w:rsidR="00000000" w:rsidRDefault="00000000">
            <w:pPr>
              <w:spacing w:line="240" w:lineRule="auto"/>
              <w:ind w:right="448"/>
              <w:jc w:val="right"/>
            </w:pPr>
            <w:r>
              <w:t>13</w:t>
            </w:r>
          </w:p>
        </w:tc>
        <w:tc>
          <w:tcPr>
            <w:tcW w:w="1156" w:type="dxa"/>
            <w:tcBorders>
              <w:top w:val="nil"/>
              <w:bottom w:val="nil"/>
            </w:tcBorders>
          </w:tcPr>
          <w:p w:rsidR="00000000" w:rsidRDefault="00000000">
            <w:pPr>
              <w:spacing w:line="240" w:lineRule="auto"/>
              <w:ind w:right="448"/>
              <w:jc w:val="right"/>
            </w:pPr>
            <w:r>
              <w:t>21</w:t>
            </w:r>
          </w:p>
        </w:tc>
      </w:tr>
      <w:tr w:rsidR="00000000">
        <w:tblPrEx>
          <w:tblCellMar>
            <w:top w:w="0" w:type="dxa"/>
            <w:bottom w:w="0" w:type="dxa"/>
          </w:tblCellMar>
        </w:tblPrEx>
        <w:trPr>
          <w:cantSplit/>
        </w:trPr>
        <w:tc>
          <w:tcPr>
            <w:tcW w:w="3395" w:type="dxa"/>
            <w:tcBorders>
              <w:top w:val="nil"/>
              <w:bottom w:val="nil"/>
            </w:tcBorders>
          </w:tcPr>
          <w:p w:rsidR="00000000" w:rsidRDefault="00000000">
            <w:pPr>
              <w:spacing w:line="240" w:lineRule="auto"/>
            </w:pPr>
            <w:r>
              <w:t>Лица старше 60 лет</w:t>
            </w:r>
          </w:p>
        </w:tc>
        <w:tc>
          <w:tcPr>
            <w:tcW w:w="1308" w:type="dxa"/>
            <w:tcBorders>
              <w:top w:val="nil"/>
              <w:bottom w:val="nil"/>
            </w:tcBorders>
          </w:tcPr>
          <w:p w:rsidR="00000000" w:rsidRDefault="00000000">
            <w:pPr>
              <w:spacing w:line="240" w:lineRule="auto"/>
              <w:ind w:right="448"/>
              <w:jc w:val="right"/>
            </w:pPr>
            <w:r>
              <w:t>7</w:t>
            </w:r>
          </w:p>
        </w:tc>
        <w:tc>
          <w:tcPr>
            <w:tcW w:w="1308" w:type="dxa"/>
            <w:tcBorders>
              <w:top w:val="nil"/>
              <w:bottom w:val="nil"/>
            </w:tcBorders>
          </w:tcPr>
          <w:p w:rsidR="00000000" w:rsidRDefault="00000000">
            <w:pPr>
              <w:spacing w:line="240" w:lineRule="auto"/>
              <w:ind w:right="448"/>
              <w:jc w:val="right"/>
            </w:pPr>
            <w:r>
              <w:t>3</w:t>
            </w:r>
          </w:p>
        </w:tc>
        <w:tc>
          <w:tcPr>
            <w:tcW w:w="1122" w:type="dxa"/>
            <w:tcBorders>
              <w:top w:val="nil"/>
              <w:bottom w:val="nil"/>
            </w:tcBorders>
          </w:tcPr>
          <w:p w:rsidR="00000000" w:rsidRDefault="00000000">
            <w:pPr>
              <w:spacing w:line="240" w:lineRule="auto"/>
              <w:ind w:right="448"/>
              <w:jc w:val="right"/>
            </w:pPr>
            <w:r>
              <w:t>3</w:t>
            </w:r>
          </w:p>
        </w:tc>
        <w:tc>
          <w:tcPr>
            <w:tcW w:w="1122" w:type="dxa"/>
            <w:tcBorders>
              <w:top w:val="nil"/>
              <w:bottom w:val="nil"/>
            </w:tcBorders>
          </w:tcPr>
          <w:p w:rsidR="00000000" w:rsidRDefault="00000000">
            <w:pPr>
              <w:spacing w:line="240" w:lineRule="auto"/>
              <w:ind w:right="448"/>
              <w:jc w:val="right"/>
            </w:pPr>
            <w:r>
              <w:t>5</w:t>
            </w:r>
          </w:p>
        </w:tc>
        <w:tc>
          <w:tcPr>
            <w:tcW w:w="1156" w:type="dxa"/>
            <w:tcBorders>
              <w:top w:val="nil"/>
              <w:bottom w:val="nil"/>
            </w:tcBorders>
          </w:tcPr>
          <w:p w:rsidR="00000000" w:rsidRDefault="00000000">
            <w:pPr>
              <w:spacing w:line="240" w:lineRule="auto"/>
              <w:ind w:right="448"/>
              <w:jc w:val="right"/>
            </w:pPr>
            <w:r>
              <w:t>5</w:t>
            </w:r>
          </w:p>
        </w:tc>
      </w:tr>
      <w:tr w:rsidR="00000000">
        <w:tblPrEx>
          <w:tblCellMar>
            <w:top w:w="0" w:type="dxa"/>
            <w:bottom w:w="0" w:type="dxa"/>
          </w:tblCellMar>
        </w:tblPrEx>
        <w:trPr>
          <w:cantSplit/>
        </w:trPr>
        <w:tc>
          <w:tcPr>
            <w:tcW w:w="3395" w:type="dxa"/>
            <w:tcBorders>
              <w:top w:val="nil"/>
            </w:tcBorders>
          </w:tcPr>
          <w:p w:rsidR="00000000" w:rsidRDefault="00000000">
            <w:pPr>
              <w:spacing w:line="240" w:lineRule="auto"/>
            </w:pPr>
            <w:r>
              <w:t>Неизвестна</w:t>
            </w:r>
          </w:p>
        </w:tc>
        <w:tc>
          <w:tcPr>
            <w:tcW w:w="1308" w:type="dxa"/>
            <w:tcBorders>
              <w:top w:val="nil"/>
            </w:tcBorders>
          </w:tcPr>
          <w:p w:rsidR="00000000" w:rsidRDefault="00000000">
            <w:pPr>
              <w:spacing w:line="240" w:lineRule="auto"/>
              <w:ind w:right="448"/>
              <w:jc w:val="right"/>
            </w:pPr>
            <w:r>
              <w:t>8</w:t>
            </w:r>
          </w:p>
        </w:tc>
        <w:tc>
          <w:tcPr>
            <w:tcW w:w="1308" w:type="dxa"/>
            <w:tcBorders>
              <w:top w:val="nil"/>
            </w:tcBorders>
          </w:tcPr>
          <w:p w:rsidR="00000000" w:rsidRDefault="00000000">
            <w:pPr>
              <w:spacing w:line="240" w:lineRule="auto"/>
              <w:ind w:right="448"/>
              <w:jc w:val="right"/>
            </w:pPr>
            <w:r>
              <w:t>2</w:t>
            </w:r>
          </w:p>
        </w:tc>
        <w:tc>
          <w:tcPr>
            <w:tcW w:w="1122" w:type="dxa"/>
            <w:tcBorders>
              <w:top w:val="nil"/>
            </w:tcBorders>
          </w:tcPr>
          <w:p w:rsidR="00000000" w:rsidRDefault="00000000">
            <w:pPr>
              <w:spacing w:line="240" w:lineRule="auto"/>
              <w:ind w:right="448"/>
              <w:jc w:val="right"/>
            </w:pPr>
            <w:r>
              <w:t>0</w:t>
            </w:r>
          </w:p>
        </w:tc>
        <w:tc>
          <w:tcPr>
            <w:tcW w:w="1122" w:type="dxa"/>
            <w:tcBorders>
              <w:top w:val="nil"/>
            </w:tcBorders>
          </w:tcPr>
          <w:p w:rsidR="00000000" w:rsidRDefault="00000000">
            <w:pPr>
              <w:spacing w:line="240" w:lineRule="auto"/>
              <w:ind w:right="448"/>
              <w:jc w:val="right"/>
            </w:pPr>
            <w:r>
              <w:t>6</w:t>
            </w:r>
          </w:p>
        </w:tc>
        <w:tc>
          <w:tcPr>
            <w:tcW w:w="1156" w:type="dxa"/>
            <w:tcBorders>
              <w:top w:val="nil"/>
            </w:tcBorders>
          </w:tcPr>
          <w:p w:rsidR="00000000" w:rsidRDefault="00000000">
            <w:pPr>
              <w:spacing w:line="240" w:lineRule="auto"/>
              <w:ind w:right="448"/>
              <w:jc w:val="right"/>
            </w:pPr>
            <w:r>
              <w:t>0</w:t>
            </w:r>
          </w:p>
        </w:tc>
      </w:tr>
    </w:tbl>
    <w:p w:rsidR="00000000" w:rsidRDefault="00000000">
      <w:pPr>
        <w:rPr>
          <w:i/>
          <w:iCs/>
        </w:rPr>
      </w:pPr>
    </w:p>
    <w:p w:rsidR="00000000" w:rsidRDefault="00000000">
      <w:pPr>
        <w:ind w:left="567"/>
      </w:pPr>
      <w:r>
        <w:rPr>
          <w:i/>
          <w:iCs/>
        </w:rPr>
        <w:t>Источник</w:t>
      </w:r>
      <w:r>
        <w:t>:  Центр по обнаружению мин и разминированию Боснии и Герцеговины.</w:t>
      </w:r>
    </w:p>
    <w:p w:rsidR="00000000" w:rsidRDefault="00000000"/>
    <w:p w:rsidR="00000000" w:rsidRDefault="00000000">
      <w:r>
        <w:t>515.</w:t>
      </w:r>
      <w:r>
        <w:tab/>
        <w:t>Информация, содержащаяся в базе данных ВОЗ, и анализ основных показателей указывают на тот очевидный факт, что дорожно-транспортные происшествия по</w:t>
      </w:r>
      <w:r>
        <w:noBreakHyphen/>
        <w:t>прежнему представляют одну из главных угроз для здоровья людей в Федерации Боснии и Герцеговины.  По мнению федерального министерства внутренних дел, уровень причинения телесных повреждений в результате дорожно-транспортных происшествий в Федерации Боснии и Герцеговины является высоким.  Согласно имеющимся данным, в 1998 году телесные повреждения получили 6 360 человек, а в 2002 году - 6 677 человек.</w:t>
      </w:r>
    </w:p>
    <w:p w:rsidR="00000000" w:rsidRDefault="00000000"/>
    <w:p w:rsidR="00000000" w:rsidRDefault="00000000">
      <w:r>
        <w:t>516.</w:t>
      </w:r>
      <w:r>
        <w:tab/>
        <w:t>В период 2000-2002 годов был зарегистрирован значительный рост общего количества дорожно-транспортных происшествий в результате потребления алкоголя.  Согласно тому же источнику, на территории Федерации Боснии и Герцеговины количество несчастных случаев в результате потребления алкоголя в 2000 году составляло 21 669, а в 2002 году - 25 772, вследствие чего уровень причинения телесных повреждений повысился с 59 случаев на 100 000 человек в 2000 году до 71 случая на 100 000 человек в 2002 году.</w:t>
      </w:r>
    </w:p>
    <w:p w:rsidR="00000000" w:rsidRDefault="00000000"/>
    <w:p w:rsidR="00000000" w:rsidRDefault="00000000">
      <w:r>
        <w:t>517.</w:t>
      </w:r>
      <w:r>
        <w:tab/>
        <w:t>В Республике Сербской существовало много вредных для здоровья видов деятельности, связанных с войной и послевоенным периодом.  Они находят свое проявление в высоких уровнях смертности и инвалидности, особенно в приоритетных областях.  Согласно данным Центра по разминированию Боснии и Герцеговины (ЦРБГ), после войны в Республике Сербской было зарегистрировано 4 679 минных полей.  Однако, по оценкам, это лишь 60% от фактического количества минных полей.  Что касается конкретной угрозы для здоровья, то из общего количества пострадавших от этого вида несчастных случаев некоторые потеряли свою жизнь, а другие обе или одну ногу или ступню (см. таблицу 24).  Наибольшее количество несчастных случаев произошло в 1996 году, и с того времени отмечается тенденция к их сокращению.  Очевидно также, что самое большое количество несчастных случаев происходит в марте, апреле, июне и июле, и эта особенность с годами не изменяется.</w:t>
      </w:r>
    </w:p>
    <w:p w:rsidR="00000000" w:rsidRDefault="00000000"/>
    <w:p w:rsidR="00000000" w:rsidRDefault="00000000">
      <w:r>
        <w:t>518.</w:t>
      </w:r>
      <w:r>
        <w:tab/>
        <w:t xml:space="preserve">Необходимо сделать следующие выводы:  </w:t>
      </w:r>
    </w:p>
    <w:p w:rsidR="00000000" w:rsidRDefault="00000000"/>
    <w:p w:rsidR="00000000" w:rsidRDefault="00000000">
      <w:pPr>
        <w:numPr>
          <w:ilvl w:val="0"/>
          <w:numId w:val="67"/>
        </w:numPr>
        <w:spacing w:line="264" w:lineRule="auto"/>
      </w:pPr>
      <w:r>
        <w:t>существующие законы и нормативно-правовые акты не приведены в соответствие с рекомендациями ВОЗ и ЕС и не осуществляются в полной мере;</w:t>
      </w:r>
    </w:p>
    <w:p w:rsidR="00000000" w:rsidRDefault="00000000">
      <w:pPr>
        <w:ind w:left="1134" w:hanging="1134"/>
      </w:pPr>
    </w:p>
    <w:p w:rsidR="00000000" w:rsidRDefault="00000000">
      <w:pPr>
        <w:numPr>
          <w:ilvl w:val="0"/>
          <w:numId w:val="67"/>
        </w:numPr>
        <w:spacing w:line="264" w:lineRule="auto"/>
      </w:pPr>
      <w:r>
        <w:t>положение с регистрацией несчастных случаев является неудовлетворительным, несмотря на то, что по законодательству регистрация с указанием этиологии и места происшествия (на рабочем месте, дома, во время поездки, во время производственной катастрофы или стихийного бедствия) является обязательной.</w:t>
      </w:r>
    </w:p>
    <w:p w:rsidR="00000000" w:rsidRDefault="00000000">
      <w:pPr>
        <w:ind w:left="1134" w:hanging="1134"/>
      </w:pPr>
    </w:p>
    <w:p w:rsidR="00000000" w:rsidRDefault="00000000">
      <w:pPr>
        <w:spacing w:line="240" w:lineRule="auto"/>
        <w:ind w:left="1134" w:hanging="1134"/>
        <w:jc w:val="center"/>
        <w:rPr>
          <w:b/>
          <w:bCs/>
        </w:rPr>
      </w:pPr>
      <w:r>
        <w:rPr>
          <w:b/>
          <w:bCs/>
        </w:rPr>
        <w:t>Таблица 24</w:t>
      </w:r>
    </w:p>
    <w:p w:rsidR="00000000" w:rsidRDefault="00000000">
      <w:pPr>
        <w:spacing w:line="240" w:lineRule="auto"/>
        <w:ind w:left="1134" w:hanging="1134"/>
        <w:jc w:val="center"/>
        <w:rPr>
          <w:b/>
          <w:bCs/>
        </w:rPr>
      </w:pPr>
    </w:p>
    <w:p w:rsidR="00000000" w:rsidRDefault="00000000">
      <w:pPr>
        <w:spacing w:line="240" w:lineRule="auto"/>
        <w:ind w:left="1134" w:hanging="1134"/>
        <w:jc w:val="center"/>
        <w:rPr>
          <w:b/>
          <w:bCs/>
        </w:rPr>
      </w:pPr>
      <w:r>
        <w:rPr>
          <w:b/>
          <w:bCs/>
        </w:rPr>
        <w:t>Статистические данные о раненых и погибших в результате взрывов мин в Республике Сербской в 1996-2000 годах</w:t>
      </w:r>
    </w:p>
    <w:p w:rsidR="00000000" w:rsidRDefault="00000000">
      <w:pPr>
        <w:spacing w:line="240" w:lineRule="auto"/>
        <w:ind w:left="1134" w:hanging="1134"/>
        <w:jc w:val="center"/>
        <w:rPr>
          <w:b/>
          <w:bCs/>
        </w:rPr>
      </w:pPr>
    </w:p>
    <w:tbl>
      <w:tblPr>
        <w:tblW w:w="0" w:type="auto"/>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9"/>
        <w:gridCol w:w="2312"/>
        <w:gridCol w:w="1526"/>
        <w:gridCol w:w="1904"/>
        <w:gridCol w:w="1915"/>
      </w:tblGrid>
      <w:tr w:rsidR="00000000">
        <w:tblPrEx>
          <w:tblCellMar>
            <w:top w:w="0" w:type="dxa"/>
            <w:bottom w:w="0" w:type="dxa"/>
          </w:tblCellMar>
        </w:tblPrEx>
        <w:trPr>
          <w:jc w:val="center"/>
        </w:trPr>
        <w:tc>
          <w:tcPr>
            <w:tcW w:w="1379" w:type="dxa"/>
            <w:tcBorders>
              <w:bottom w:val="single" w:sz="4" w:space="0" w:color="auto"/>
            </w:tcBorders>
          </w:tcPr>
          <w:p w:rsidR="00000000" w:rsidRDefault="00000000">
            <w:pPr>
              <w:jc w:val="center"/>
              <w:rPr>
                <w:sz w:val="22"/>
              </w:rPr>
            </w:pPr>
            <w:r>
              <w:rPr>
                <w:sz w:val="22"/>
              </w:rPr>
              <w:t>Год</w:t>
            </w:r>
          </w:p>
        </w:tc>
        <w:tc>
          <w:tcPr>
            <w:tcW w:w="2312" w:type="dxa"/>
            <w:tcBorders>
              <w:bottom w:val="single" w:sz="4" w:space="0" w:color="auto"/>
            </w:tcBorders>
          </w:tcPr>
          <w:p w:rsidR="00000000" w:rsidRDefault="00000000">
            <w:pPr>
              <w:jc w:val="center"/>
              <w:rPr>
                <w:sz w:val="22"/>
              </w:rPr>
            </w:pPr>
            <w:r>
              <w:rPr>
                <w:sz w:val="22"/>
              </w:rPr>
              <w:t>Количество несчастных случаев</w:t>
            </w:r>
          </w:p>
        </w:tc>
        <w:tc>
          <w:tcPr>
            <w:tcW w:w="1526" w:type="dxa"/>
            <w:tcBorders>
              <w:bottom w:val="single" w:sz="4" w:space="0" w:color="auto"/>
            </w:tcBorders>
          </w:tcPr>
          <w:p w:rsidR="00000000" w:rsidRDefault="00000000">
            <w:pPr>
              <w:jc w:val="center"/>
              <w:rPr>
                <w:sz w:val="22"/>
              </w:rPr>
            </w:pPr>
            <w:r>
              <w:rPr>
                <w:sz w:val="22"/>
              </w:rPr>
              <w:t>Количество погибших</w:t>
            </w:r>
          </w:p>
        </w:tc>
        <w:tc>
          <w:tcPr>
            <w:tcW w:w="1904" w:type="dxa"/>
            <w:tcBorders>
              <w:bottom w:val="single" w:sz="4" w:space="0" w:color="auto"/>
            </w:tcBorders>
          </w:tcPr>
          <w:p w:rsidR="00000000" w:rsidRDefault="00000000">
            <w:pPr>
              <w:jc w:val="center"/>
              <w:rPr>
                <w:sz w:val="22"/>
              </w:rPr>
            </w:pPr>
            <w:r>
              <w:rPr>
                <w:sz w:val="22"/>
              </w:rPr>
              <w:t>Количество тяжело раненых</w:t>
            </w:r>
          </w:p>
        </w:tc>
        <w:tc>
          <w:tcPr>
            <w:tcW w:w="1915" w:type="dxa"/>
            <w:tcBorders>
              <w:bottom w:val="single" w:sz="4" w:space="0" w:color="auto"/>
            </w:tcBorders>
          </w:tcPr>
          <w:p w:rsidR="00000000" w:rsidRDefault="00000000">
            <w:pPr>
              <w:jc w:val="center"/>
              <w:rPr>
                <w:sz w:val="22"/>
              </w:rPr>
            </w:pPr>
            <w:r>
              <w:rPr>
                <w:sz w:val="22"/>
              </w:rPr>
              <w:t>Количество легко раненых</w:t>
            </w:r>
          </w:p>
        </w:tc>
      </w:tr>
      <w:tr w:rsidR="00000000">
        <w:tblPrEx>
          <w:tblCellMar>
            <w:top w:w="0" w:type="dxa"/>
            <w:bottom w:w="0" w:type="dxa"/>
          </w:tblCellMar>
        </w:tblPrEx>
        <w:trPr>
          <w:jc w:val="center"/>
        </w:trPr>
        <w:tc>
          <w:tcPr>
            <w:tcW w:w="1379" w:type="dxa"/>
            <w:tcBorders>
              <w:bottom w:val="nil"/>
            </w:tcBorders>
          </w:tcPr>
          <w:p w:rsidR="00000000" w:rsidRDefault="00000000">
            <w:pPr>
              <w:pStyle w:val="Header"/>
              <w:jc w:val="center"/>
              <w:rPr>
                <w:sz w:val="22"/>
              </w:rPr>
            </w:pPr>
            <w:r>
              <w:rPr>
                <w:sz w:val="22"/>
              </w:rPr>
              <w:t>1996</w:t>
            </w:r>
          </w:p>
        </w:tc>
        <w:tc>
          <w:tcPr>
            <w:tcW w:w="2312" w:type="dxa"/>
            <w:tcBorders>
              <w:bottom w:val="nil"/>
            </w:tcBorders>
          </w:tcPr>
          <w:p w:rsidR="00000000" w:rsidRDefault="00000000">
            <w:pPr>
              <w:tabs>
                <w:tab w:val="clear" w:pos="567"/>
                <w:tab w:val="right" w:pos="957"/>
              </w:tabs>
              <w:rPr>
                <w:sz w:val="22"/>
              </w:rPr>
            </w:pPr>
            <w:r>
              <w:rPr>
                <w:sz w:val="22"/>
              </w:rPr>
              <w:tab/>
              <w:t>187</w:t>
            </w:r>
          </w:p>
        </w:tc>
        <w:tc>
          <w:tcPr>
            <w:tcW w:w="1526" w:type="dxa"/>
            <w:tcBorders>
              <w:bottom w:val="nil"/>
            </w:tcBorders>
          </w:tcPr>
          <w:p w:rsidR="00000000" w:rsidRDefault="00000000">
            <w:pPr>
              <w:tabs>
                <w:tab w:val="clear" w:pos="567"/>
                <w:tab w:val="right" w:pos="957"/>
              </w:tabs>
              <w:rPr>
                <w:sz w:val="22"/>
              </w:rPr>
            </w:pPr>
            <w:r>
              <w:rPr>
                <w:sz w:val="22"/>
              </w:rPr>
              <w:tab/>
              <w:t>51</w:t>
            </w:r>
          </w:p>
        </w:tc>
        <w:tc>
          <w:tcPr>
            <w:tcW w:w="1904" w:type="dxa"/>
            <w:tcBorders>
              <w:bottom w:val="nil"/>
            </w:tcBorders>
          </w:tcPr>
          <w:p w:rsidR="00000000" w:rsidRDefault="00000000">
            <w:pPr>
              <w:tabs>
                <w:tab w:val="clear" w:pos="567"/>
                <w:tab w:val="right" w:pos="957"/>
              </w:tabs>
              <w:rPr>
                <w:sz w:val="22"/>
              </w:rPr>
            </w:pPr>
            <w:r>
              <w:rPr>
                <w:sz w:val="22"/>
              </w:rPr>
              <w:tab/>
              <w:t>131</w:t>
            </w:r>
          </w:p>
        </w:tc>
        <w:tc>
          <w:tcPr>
            <w:tcW w:w="1915" w:type="dxa"/>
            <w:tcBorders>
              <w:bottom w:val="nil"/>
            </w:tcBorders>
          </w:tcPr>
          <w:p w:rsidR="00000000" w:rsidRDefault="00000000">
            <w:pPr>
              <w:tabs>
                <w:tab w:val="clear" w:pos="567"/>
                <w:tab w:val="right" w:pos="957"/>
              </w:tabs>
              <w:rPr>
                <w:sz w:val="22"/>
              </w:rPr>
            </w:pPr>
            <w:r>
              <w:rPr>
                <w:sz w:val="22"/>
              </w:rPr>
              <w:tab/>
              <w:t>68</w:t>
            </w:r>
          </w:p>
        </w:tc>
      </w:tr>
      <w:tr w:rsidR="00000000">
        <w:tblPrEx>
          <w:tblCellMar>
            <w:top w:w="0" w:type="dxa"/>
            <w:bottom w:w="0" w:type="dxa"/>
          </w:tblCellMar>
        </w:tblPrEx>
        <w:trPr>
          <w:jc w:val="center"/>
        </w:trPr>
        <w:tc>
          <w:tcPr>
            <w:tcW w:w="1379" w:type="dxa"/>
            <w:tcBorders>
              <w:top w:val="nil"/>
              <w:bottom w:val="nil"/>
            </w:tcBorders>
          </w:tcPr>
          <w:p w:rsidR="00000000" w:rsidRDefault="00000000">
            <w:pPr>
              <w:jc w:val="center"/>
              <w:rPr>
                <w:sz w:val="22"/>
              </w:rPr>
            </w:pPr>
            <w:r>
              <w:rPr>
                <w:sz w:val="22"/>
              </w:rPr>
              <w:t>1997</w:t>
            </w:r>
          </w:p>
        </w:tc>
        <w:tc>
          <w:tcPr>
            <w:tcW w:w="2312" w:type="dxa"/>
            <w:tcBorders>
              <w:top w:val="nil"/>
              <w:bottom w:val="nil"/>
            </w:tcBorders>
          </w:tcPr>
          <w:p w:rsidR="00000000" w:rsidRDefault="00000000">
            <w:pPr>
              <w:tabs>
                <w:tab w:val="clear" w:pos="567"/>
                <w:tab w:val="right" w:pos="957"/>
              </w:tabs>
              <w:rPr>
                <w:sz w:val="22"/>
              </w:rPr>
            </w:pPr>
            <w:r>
              <w:rPr>
                <w:sz w:val="22"/>
              </w:rPr>
              <w:tab/>
              <w:t>99</w:t>
            </w:r>
          </w:p>
        </w:tc>
        <w:tc>
          <w:tcPr>
            <w:tcW w:w="1526" w:type="dxa"/>
            <w:tcBorders>
              <w:top w:val="nil"/>
              <w:bottom w:val="nil"/>
            </w:tcBorders>
          </w:tcPr>
          <w:p w:rsidR="00000000" w:rsidRDefault="00000000">
            <w:pPr>
              <w:tabs>
                <w:tab w:val="clear" w:pos="567"/>
                <w:tab w:val="right" w:pos="957"/>
              </w:tabs>
              <w:rPr>
                <w:sz w:val="22"/>
              </w:rPr>
            </w:pPr>
            <w:r>
              <w:rPr>
                <w:sz w:val="22"/>
              </w:rPr>
              <w:tab/>
              <w:t>46</w:t>
            </w:r>
          </w:p>
        </w:tc>
        <w:tc>
          <w:tcPr>
            <w:tcW w:w="1904" w:type="dxa"/>
            <w:tcBorders>
              <w:top w:val="nil"/>
              <w:bottom w:val="nil"/>
            </w:tcBorders>
          </w:tcPr>
          <w:p w:rsidR="00000000" w:rsidRDefault="00000000">
            <w:pPr>
              <w:tabs>
                <w:tab w:val="clear" w:pos="567"/>
                <w:tab w:val="right" w:pos="957"/>
              </w:tabs>
              <w:rPr>
                <w:sz w:val="22"/>
              </w:rPr>
            </w:pPr>
            <w:r>
              <w:rPr>
                <w:sz w:val="22"/>
              </w:rPr>
              <w:tab/>
              <w:t>62</w:t>
            </w:r>
          </w:p>
        </w:tc>
        <w:tc>
          <w:tcPr>
            <w:tcW w:w="1915" w:type="dxa"/>
            <w:tcBorders>
              <w:top w:val="nil"/>
              <w:bottom w:val="nil"/>
            </w:tcBorders>
          </w:tcPr>
          <w:p w:rsidR="00000000" w:rsidRDefault="00000000">
            <w:pPr>
              <w:tabs>
                <w:tab w:val="clear" w:pos="567"/>
                <w:tab w:val="right" w:pos="957"/>
              </w:tabs>
              <w:rPr>
                <w:sz w:val="22"/>
              </w:rPr>
            </w:pPr>
            <w:r>
              <w:rPr>
                <w:sz w:val="22"/>
              </w:rPr>
              <w:tab/>
              <w:t>13</w:t>
            </w:r>
          </w:p>
        </w:tc>
      </w:tr>
      <w:tr w:rsidR="00000000">
        <w:tblPrEx>
          <w:tblCellMar>
            <w:top w:w="0" w:type="dxa"/>
            <w:bottom w:w="0" w:type="dxa"/>
          </w:tblCellMar>
        </w:tblPrEx>
        <w:trPr>
          <w:jc w:val="center"/>
        </w:trPr>
        <w:tc>
          <w:tcPr>
            <w:tcW w:w="1379" w:type="dxa"/>
            <w:tcBorders>
              <w:top w:val="nil"/>
              <w:bottom w:val="nil"/>
            </w:tcBorders>
          </w:tcPr>
          <w:p w:rsidR="00000000" w:rsidRDefault="00000000">
            <w:pPr>
              <w:jc w:val="center"/>
              <w:rPr>
                <w:sz w:val="22"/>
              </w:rPr>
            </w:pPr>
            <w:r>
              <w:rPr>
                <w:sz w:val="22"/>
              </w:rPr>
              <w:t>1998</w:t>
            </w:r>
          </w:p>
        </w:tc>
        <w:tc>
          <w:tcPr>
            <w:tcW w:w="2312" w:type="dxa"/>
            <w:tcBorders>
              <w:top w:val="nil"/>
              <w:bottom w:val="nil"/>
            </w:tcBorders>
          </w:tcPr>
          <w:p w:rsidR="00000000" w:rsidRDefault="00000000">
            <w:pPr>
              <w:tabs>
                <w:tab w:val="clear" w:pos="567"/>
                <w:tab w:val="right" w:pos="957"/>
              </w:tabs>
              <w:rPr>
                <w:sz w:val="22"/>
              </w:rPr>
            </w:pPr>
            <w:r>
              <w:rPr>
                <w:sz w:val="22"/>
              </w:rPr>
              <w:tab/>
              <w:t>29</w:t>
            </w:r>
          </w:p>
        </w:tc>
        <w:tc>
          <w:tcPr>
            <w:tcW w:w="1526" w:type="dxa"/>
            <w:tcBorders>
              <w:top w:val="nil"/>
              <w:bottom w:val="nil"/>
            </w:tcBorders>
          </w:tcPr>
          <w:p w:rsidR="00000000" w:rsidRDefault="00000000">
            <w:pPr>
              <w:tabs>
                <w:tab w:val="clear" w:pos="567"/>
                <w:tab w:val="right" w:pos="957"/>
              </w:tabs>
              <w:rPr>
                <w:sz w:val="22"/>
              </w:rPr>
            </w:pPr>
            <w:r>
              <w:rPr>
                <w:sz w:val="22"/>
              </w:rPr>
              <w:tab/>
              <w:t>9</w:t>
            </w:r>
          </w:p>
        </w:tc>
        <w:tc>
          <w:tcPr>
            <w:tcW w:w="1904" w:type="dxa"/>
            <w:tcBorders>
              <w:top w:val="nil"/>
              <w:bottom w:val="nil"/>
            </w:tcBorders>
          </w:tcPr>
          <w:p w:rsidR="00000000" w:rsidRDefault="00000000">
            <w:pPr>
              <w:tabs>
                <w:tab w:val="clear" w:pos="567"/>
                <w:tab w:val="right" w:pos="957"/>
              </w:tabs>
              <w:rPr>
                <w:sz w:val="22"/>
              </w:rPr>
            </w:pPr>
            <w:r>
              <w:rPr>
                <w:sz w:val="22"/>
              </w:rPr>
              <w:tab/>
              <w:t>20</w:t>
            </w:r>
          </w:p>
        </w:tc>
        <w:tc>
          <w:tcPr>
            <w:tcW w:w="1915" w:type="dxa"/>
            <w:tcBorders>
              <w:top w:val="nil"/>
              <w:bottom w:val="nil"/>
            </w:tcBorders>
          </w:tcPr>
          <w:p w:rsidR="00000000" w:rsidRDefault="00000000">
            <w:pPr>
              <w:tabs>
                <w:tab w:val="clear" w:pos="567"/>
                <w:tab w:val="right" w:pos="957"/>
              </w:tabs>
              <w:rPr>
                <w:sz w:val="22"/>
              </w:rPr>
            </w:pPr>
            <w:r>
              <w:rPr>
                <w:sz w:val="22"/>
              </w:rPr>
              <w:tab/>
              <w:t>5</w:t>
            </w:r>
          </w:p>
        </w:tc>
      </w:tr>
      <w:tr w:rsidR="00000000">
        <w:tblPrEx>
          <w:tblCellMar>
            <w:top w:w="0" w:type="dxa"/>
            <w:bottom w:w="0" w:type="dxa"/>
          </w:tblCellMar>
        </w:tblPrEx>
        <w:trPr>
          <w:jc w:val="center"/>
        </w:trPr>
        <w:tc>
          <w:tcPr>
            <w:tcW w:w="1379" w:type="dxa"/>
            <w:tcBorders>
              <w:top w:val="nil"/>
              <w:bottom w:val="nil"/>
            </w:tcBorders>
          </w:tcPr>
          <w:p w:rsidR="00000000" w:rsidRDefault="00000000">
            <w:pPr>
              <w:jc w:val="center"/>
              <w:rPr>
                <w:sz w:val="22"/>
              </w:rPr>
            </w:pPr>
            <w:r>
              <w:rPr>
                <w:sz w:val="22"/>
              </w:rPr>
              <w:t>1999</w:t>
            </w:r>
          </w:p>
        </w:tc>
        <w:tc>
          <w:tcPr>
            <w:tcW w:w="2312" w:type="dxa"/>
            <w:tcBorders>
              <w:top w:val="nil"/>
              <w:bottom w:val="nil"/>
            </w:tcBorders>
          </w:tcPr>
          <w:p w:rsidR="00000000" w:rsidRDefault="00000000">
            <w:pPr>
              <w:tabs>
                <w:tab w:val="clear" w:pos="567"/>
                <w:tab w:val="right" w:pos="957"/>
              </w:tabs>
              <w:rPr>
                <w:sz w:val="22"/>
              </w:rPr>
            </w:pPr>
            <w:r>
              <w:rPr>
                <w:sz w:val="22"/>
              </w:rPr>
              <w:tab/>
              <w:t>9</w:t>
            </w:r>
          </w:p>
        </w:tc>
        <w:tc>
          <w:tcPr>
            <w:tcW w:w="1526" w:type="dxa"/>
            <w:tcBorders>
              <w:top w:val="nil"/>
              <w:bottom w:val="nil"/>
            </w:tcBorders>
          </w:tcPr>
          <w:p w:rsidR="00000000" w:rsidRDefault="00000000">
            <w:pPr>
              <w:tabs>
                <w:tab w:val="clear" w:pos="567"/>
                <w:tab w:val="right" w:pos="957"/>
              </w:tabs>
              <w:rPr>
                <w:sz w:val="22"/>
              </w:rPr>
            </w:pPr>
            <w:r>
              <w:rPr>
                <w:sz w:val="22"/>
              </w:rPr>
              <w:tab/>
              <w:t>9</w:t>
            </w:r>
          </w:p>
        </w:tc>
        <w:tc>
          <w:tcPr>
            <w:tcW w:w="1904" w:type="dxa"/>
            <w:tcBorders>
              <w:top w:val="nil"/>
              <w:bottom w:val="nil"/>
            </w:tcBorders>
          </w:tcPr>
          <w:p w:rsidR="00000000" w:rsidRDefault="00000000">
            <w:pPr>
              <w:tabs>
                <w:tab w:val="clear" w:pos="567"/>
                <w:tab w:val="right" w:pos="957"/>
              </w:tabs>
              <w:rPr>
                <w:sz w:val="22"/>
              </w:rPr>
            </w:pPr>
            <w:r>
              <w:rPr>
                <w:sz w:val="22"/>
              </w:rPr>
              <w:tab/>
              <w:t>9</w:t>
            </w:r>
          </w:p>
        </w:tc>
        <w:tc>
          <w:tcPr>
            <w:tcW w:w="1915" w:type="dxa"/>
            <w:tcBorders>
              <w:top w:val="nil"/>
              <w:bottom w:val="nil"/>
            </w:tcBorders>
          </w:tcPr>
          <w:p w:rsidR="00000000" w:rsidRDefault="00000000">
            <w:pPr>
              <w:tabs>
                <w:tab w:val="clear" w:pos="567"/>
                <w:tab w:val="right" w:pos="957"/>
              </w:tabs>
              <w:rPr>
                <w:sz w:val="22"/>
              </w:rPr>
            </w:pPr>
            <w:r>
              <w:rPr>
                <w:sz w:val="22"/>
              </w:rPr>
              <w:tab/>
              <w:t>3</w:t>
            </w:r>
          </w:p>
        </w:tc>
      </w:tr>
      <w:tr w:rsidR="00000000">
        <w:tblPrEx>
          <w:tblCellMar>
            <w:top w:w="0" w:type="dxa"/>
            <w:bottom w:w="0" w:type="dxa"/>
          </w:tblCellMar>
        </w:tblPrEx>
        <w:trPr>
          <w:jc w:val="center"/>
        </w:trPr>
        <w:tc>
          <w:tcPr>
            <w:tcW w:w="1379" w:type="dxa"/>
            <w:tcBorders>
              <w:top w:val="nil"/>
              <w:bottom w:val="nil"/>
            </w:tcBorders>
          </w:tcPr>
          <w:p w:rsidR="00000000" w:rsidRDefault="00000000">
            <w:pPr>
              <w:jc w:val="center"/>
              <w:rPr>
                <w:sz w:val="22"/>
              </w:rPr>
            </w:pPr>
            <w:r>
              <w:rPr>
                <w:sz w:val="22"/>
              </w:rPr>
              <w:t>2000</w:t>
            </w:r>
          </w:p>
        </w:tc>
        <w:tc>
          <w:tcPr>
            <w:tcW w:w="2312" w:type="dxa"/>
            <w:tcBorders>
              <w:top w:val="nil"/>
              <w:bottom w:val="nil"/>
            </w:tcBorders>
          </w:tcPr>
          <w:p w:rsidR="00000000" w:rsidRDefault="00000000">
            <w:pPr>
              <w:tabs>
                <w:tab w:val="clear" w:pos="567"/>
                <w:tab w:val="right" w:pos="957"/>
              </w:tabs>
              <w:rPr>
                <w:sz w:val="22"/>
              </w:rPr>
            </w:pPr>
            <w:r>
              <w:rPr>
                <w:sz w:val="22"/>
              </w:rPr>
              <w:tab/>
              <w:t>18</w:t>
            </w:r>
          </w:p>
        </w:tc>
        <w:tc>
          <w:tcPr>
            <w:tcW w:w="1526" w:type="dxa"/>
            <w:tcBorders>
              <w:top w:val="nil"/>
              <w:bottom w:val="nil"/>
            </w:tcBorders>
          </w:tcPr>
          <w:p w:rsidR="00000000" w:rsidRDefault="00000000">
            <w:pPr>
              <w:tabs>
                <w:tab w:val="clear" w:pos="567"/>
                <w:tab w:val="right" w:pos="957"/>
              </w:tabs>
              <w:rPr>
                <w:sz w:val="22"/>
              </w:rPr>
            </w:pPr>
            <w:r>
              <w:rPr>
                <w:sz w:val="22"/>
              </w:rPr>
              <w:tab/>
              <w:t>14</w:t>
            </w:r>
          </w:p>
        </w:tc>
        <w:tc>
          <w:tcPr>
            <w:tcW w:w="1904" w:type="dxa"/>
            <w:tcBorders>
              <w:top w:val="nil"/>
              <w:bottom w:val="nil"/>
            </w:tcBorders>
          </w:tcPr>
          <w:p w:rsidR="00000000" w:rsidRDefault="00000000">
            <w:pPr>
              <w:tabs>
                <w:tab w:val="clear" w:pos="567"/>
                <w:tab w:val="right" w:pos="957"/>
              </w:tabs>
              <w:rPr>
                <w:sz w:val="22"/>
              </w:rPr>
            </w:pPr>
            <w:r>
              <w:rPr>
                <w:sz w:val="22"/>
              </w:rPr>
              <w:tab/>
              <w:t>9</w:t>
            </w:r>
          </w:p>
        </w:tc>
        <w:tc>
          <w:tcPr>
            <w:tcW w:w="1915" w:type="dxa"/>
            <w:tcBorders>
              <w:top w:val="nil"/>
              <w:bottom w:val="nil"/>
            </w:tcBorders>
          </w:tcPr>
          <w:p w:rsidR="00000000" w:rsidRDefault="00000000">
            <w:pPr>
              <w:tabs>
                <w:tab w:val="clear" w:pos="567"/>
                <w:tab w:val="right" w:pos="957"/>
              </w:tabs>
              <w:rPr>
                <w:sz w:val="22"/>
              </w:rPr>
            </w:pPr>
            <w:r>
              <w:rPr>
                <w:sz w:val="22"/>
              </w:rPr>
              <w:tab/>
              <w:t>5</w:t>
            </w:r>
          </w:p>
        </w:tc>
      </w:tr>
      <w:tr w:rsidR="00000000">
        <w:tblPrEx>
          <w:tblCellMar>
            <w:top w:w="0" w:type="dxa"/>
            <w:bottom w:w="0" w:type="dxa"/>
          </w:tblCellMar>
        </w:tblPrEx>
        <w:trPr>
          <w:jc w:val="center"/>
        </w:trPr>
        <w:tc>
          <w:tcPr>
            <w:tcW w:w="1379" w:type="dxa"/>
            <w:tcBorders>
              <w:top w:val="nil"/>
              <w:bottom w:val="nil"/>
            </w:tcBorders>
          </w:tcPr>
          <w:p w:rsidR="00000000" w:rsidRDefault="00000000">
            <w:pPr>
              <w:jc w:val="center"/>
              <w:rPr>
                <w:sz w:val="22"/>
              </w:rPr>
            </w:pPr>
            <w:r>
              <w:rPr>
                <w:sz w:val="22"/>
              </w:rPr>
              <w:t>2001</w:t>
            </w:r>
          </w:p>
        </w:tc>
        <w:tc>
          <w:tcPr>
            <w:tcW w:w="2312" w:type="dxa"/>
            <w:tcBorders>
              <w:top w:val="nil"/>
              <w:bottom w:val="nil"/>
            </w:tcBorders>
          </w:tcPr>
          <w:p w:rsidR="00000000" w:rsidRDefault="00000000">
            <w:pPr>
              <w:tabs>
                <w:tab w:val="clear" w:pos="567"/>
                <w:tab w:val="right" w:pos="957"/>
              </w:tabs>
              <w:rPr>
                <w:sz w:val="22"/>
              </w:rPr>
            </w:pPr>
            <w:r>
              <w:rPr>
                <w:sz w:val="22"/>
              </w:rPr>
              <w:tab/>
              <w:t>19</w:t>
            </w:r>
          </w:p>
        </w:tc>
        <w:tc>
          <w:tcPr>
            <w:tcW w:w="1526" w:type="dxa"/>
            <w:tcBorders>
              <w:top w:val="nil"/>
              <w:bottom w:val="nil"/>
            </w:tcBorders>
          </w:tcPr>
          <w:p w:rsidR="00000000" w:rsidRDefault="00000000">
            <w:pPr>
              <w:tabs>
                <w:tab w:val="clear" w:pos="567"/>
                <w:tab w:val="right" w:pos="957"/>
              </w:tabs>
              <w:rPr>
                <w:sz w:val="22"/>
              </w:rPr>
            </w:pPr>
            <w:r>
              <w:rPr>
                <w:sz w:val="22"/>
              </w:rPr>
              <w:tab/>
              <w:t>9</w:t>
            </w:r>
          </w:p>
        </w:tc>
        <w:tc>
          <w:tcPr>
            <w:tcW w:w="1904" w:type="dxa"/>
            <w:tcBorders>
              <w:top w:val="nil"/>
              <w:bottom w:val="nil"/>
            </w:tcBorders>
          </w:tcPr>
          <w:p w:rsidR="00000000" w:rsidRDefault="00000000">
            <w:pPr>
              <w:tabs>
                <w:tab w:val="clear" w:pos="567"/>
                <w:tab w:val="right" w:pos="957"/>
              </w:tabs>
              <w:rPr>
                <w:sz w:val="22"/>
              </w:rPr>
            </w:pPr>
            <w:r>
              <w:rPr>
                <w:sz w:val="22"/>
              </w:rPr>
              <w:tab/>
              <w:t>7</w:t>
            </w:r>
          </w:p>
        </w:tc>
        <w:tc>
          <w:tcPr>
            <w:tcW w:w="1915" w:type="dxa"/>
            <w:tcBorders>
              <w:top w:val="nil"/>
              <w:bottom w:val="nil"/>
            </w:tcBorders>
          </w:tcPr>
          <w:p w:rsidR="00000000" w:rsidRDefault="00000000">
            <w:pPr>
              <w:tabs>
                <w:tab w:val="clear" w:pos="567"/>
                <w:tab w:val="right" w:pos="957"/>
              </w:tabs>
              <w:rPr>
                <w:sz w:val="22"/>
              </w:rPr>
            </w:pPr>
            <w:r>
              <w:rPr>
                <w:sz w:val="22"/>
              </w:rPr>
              <w:tab/>
              <w:t>2</w:t>
            </w:r>
          </w:p>
        </w:tc>
      </w:tr>
      <w:tr w:rsidR="00000000">
        <w:tblPrEx>
          <w:tblCellMar>
            <w:top w:w="0" w:type="dxa"/>
            <w:bottom w:w="0" w:type="dxa"/>
          </w:tblCellMar>
        </w:tblPrEx>
        <w:trPr>
          <w:jc w:val="center"/>
        </w:trPr>
        <w:tc>
          <w:tcPr>
            <w:tcW w:w="1379" w:type="dxa"/>
            <w:tcBorders>
              <w:top w:val="nil"/>
            </w:tcBorders>
          </w:tcPr>
          <w:p w:rsidR="00000000" w:rsidRDefault="00000000">
            <w:pPr>
              <w:jc w:val="center"/>
              <w:rPr>
                <w:sz w:val="22"/>
              </w:rPr>
            </w:pPr>
            <w:r>
              <w:rPr>
                <w:sz w:val="22"/>
              </w:rPr>
              <w:t>2002</w:t>
            </w:r>
          </w:p>
        </w:tc>
        <w:tc>
          <w:tcPr>
            <w:tcW w:w="2312" w:type="dxa"/>
            <w:tcBorders>
              <w:top w:val="nil"/>
            </w:tcBorders>
          </w:tcPr>
          <w:p w:rsidR="00000000" w:rsidRDefault="00000000">
            <w:pPr>
              <w:tabs>
                <w:tab w:val="clear" w:pos="567"/>
                <w:tab w:val="right" w:pos="957"/>
              </w:tabs>
              <w:rPr>
                <w:sz w:val="22"/>
              </w:rPr>
            </w:pPr>
            <w:r>
              <w:rPr>
                <w:sz w:val="22"/>
              </w:rPr>
              <w:tab/>
              <w:t>18</w:t>
            </w:r>
          </w:p>
        </w:tc>
        <w:tc>
          <w:tcPr>
            <w:tcW w:w="1526" w:type="dxa"/>
            <w:tcBorders>
              <w:top w:val="nil"/>
            </w:tcBorders>
          </w:tcPr>
          <w:p w:rsidR="00000000" w:rsidRDefault="00000000">
            <w:pPr>
              <w:tabs>
                <w:tab w:val="clear" w:pos="567"/>
                <w:tab w:val="right" w:pos="957"/>
              </w:tabs>
              <w:rPr>
                <w:sz w:val="22"/>
              </w:rPr>
            </w:pPr>
            <w:r>
              <w:rPr>
                <w:sz w:val="22"/>
              </w:rPr>
              <w:tab/>
              <w:t>9</w:t>
            </w:r>
          </w:p>
        </w:tc>
        <w:tc>
          <w:tcPr>
            <w:tcW w:w="1904" w:type="dxa"/>
            <w:tcBorders>
              <w:top w:val="nil"/>
            </w:tcBorders>
          </w:tcPr>
          <w:p w:rsidR="00000000" w:rsidRDefault="00000000">
            <w:pPr>
              <w:tabs>
                <w:tab w:val="clear" w:pos="567"/>
                <w:tab w:val="right" w:pos="957"/>
              </w:tabs>
              <w:rPr>
                <w:sz w:val="22"/>
              </w:rPr>
            </w:pPr>
            <w:r>
              <w:rPr>
                <w:sz w:val="22"/>
              </w:rPr>
              <w:tab/>
              <w:t>7</w:t>
            </w:r>
          </w:p>
        </w:tc>
        <w:tc>
          <w:tcPr>
            <w:tcW w:w="1915" w:type="dxa"/>
            <w:tcBorders>
              <w:top w:val="nil"/>
            </w:tcBorders>
          </w:tcPr>
          <w:p w:rsidR="00000000" w:rsidRDefault="00000000">
            <w:pPr>
              <w:tabs>
                <w:tab w:val="clear" w:pos="567"/>
                <w:tab w:val="right" w:pos="957"/>
              </w:tabs>
              <w:rPr>
                <w:sz w:val="22"/>
              </w:rPr>
            </w:pPr>
            <w:r>
              <w:rPr>
                <w:sz w:val="22"/>
              </w:rPr>
              <w:tab/>
              <w:t>4</w:t>
            </w:r>
          </w:p>
        </w:tc>
      </w:tr>
      <w:tr w:rsidR="00000000">
        <w:tblPrEx>
          <w:tblCellMar>
            <w:top w:w="0" w:type="dxa"/>
            <w:bottom w:w="0" w:type="dxa"/>
          </w:tblCellMar>
        </w:tblPrEx>
        <w:trPr>
          <w:jc w:val="center"/>
        </w:trPr>
        <w:tc>
          <w:tcPr>
            <w:tcW w:w="1379" w:type="dxa"/>
          </w:tcPr>
          <w:p w:rsidR="00000000" w:rsidRDefault="00000000">
            <w:pPr>
              <w:jc w:val="center"/>
              <w:rPr>
                <w:sz w:val="22"/>
              </w:rPr>
            </w:pPr>
            <w:r>
              <w:rPr>
                <w:sz w:val="22"/>
              </w:rPr>
              <w:t>Всего</w:t>
            </w:r>
          </w:p>
        </w:tc>
        <w:tc>
          <w:tcPr>
            <w:tcW w:w="2312" w:type="dxa"/>
          </w:tcPr>
          <w:p w:rsidR="00000000" w:rsidRDefault="00000000">
            <w:pPr>
              <w:tabs>
                <w:tab w:val="clear" w:pos="567"/>
                <w:tab w:val="right" w:pos="957"/>
              </w:tabs>
              <w:rPr>
                <w:sz w:val="22"/>
              </w:rPr>
            </w:pPr>
            <w:r>
              <w:rPr>
                <w:sz w:val="22"/>
              </w:rPr>
              <w:tab/>
              <w:t>381</w:t>
            </w:r>
          </w:p>
        </w:tc>
        <w:tc>
          <w:tcPr>
            <w:tcW w:w="1526" w:type="dxa"/>
          </w:tcPr>
          <w:p w:rsidR="00000000" w:rsidRDefault="00000000">
            <w:pPr>
              <w:tabs>
                <w:tab w:val="clear" w:pos="567"/>
                <w:tab w:val="right" w:pos="957"/>
              </w:tabs>
              <w:rPr>
                <w:sz w:val="22"/>
              </w:rPr>
            </w:pPr>
            <w:r>
              <w:rPr>
                <w:sz w:val="22"/>
              </w:rPr>
              <w:tab/>
              <w:t>148</w:t>
            </w:r>
          </w:p>
        </w:tc>
        <w:tc>
          <w:tcPr>
            <w:tcW w:w="1904" w:type="dxa"/>
          </w:tcPr>
          <w:p w:rsidR="00000000" w:rsidRDefault="00000000">
            <w:pPr>
              <w:tabs>
                <w:tab w:val="clear" w:pos="567"/>
                <w:tab w:val="right" w:pos="957"/>
              </w:tabs>
              <w:rPr>
                <w:sz w:val="22"/>
              </w:rPr>
            </w:pPr>
            <w:r>
              <w:rPr>
                <w:sz w:val="22"/>
              </w:rPr>
              <w:tab/>
              <w:t>246</w:t>
            </w:r>
          </w:p>
        </w:tc>
        <w:tc>
          <w:tcPr>
            <w:tcW w:w="1915" w:type="dxa"/>
          </w:tcPr>
          <w:p w:rsidR="00000000" w:rsidRDefault="00000000">
            <w:pPr>
              <w:tabs>
                <w:tab w:val="clear" w:pos="567"/>
                <w:tab w:val="right" w:pos="957"/>
              </w:tabs>
              <w:rPr>
                <w:sz w:val="22"/>
              </w:rPr>
            </w:pPr>
            <w:r>
              <w:rPr>
                <w:sz w:val="22"/>
              </w:rPr>
              <w:tab/>
              <w:t>100</w:t>
            </w:r>
          </w:p>
        </w:tc>
      </w:tr>
    </w:tbl>
    <w:p w:rsidR="00000000" w:rsidRDefault="00000000">
      <w:pPr>
        <w:ind w:left="1134" w:hanging="1134"/>
        <w:rPr>
          <w:i/>
          <w:iCs/>
          <w:sz w:val="20"/>
        </w:rPr>
      </w:pPr>
    </w:p>
    <w:p w:rsidR="00000000" w:rsidRDefault="00000000">
      <w:pPr>
        <w:ind w:left="1701" w:hanging="1134"/>
      </w:pPr>
      <w:r>
        <w:rPr>
          <w:i/>
          <w:iCs/>
        </w:rPr>
        <w:t>Источник:</w:t>
      </w:r>
      <w:r>
        <w:t xml:space="preserve">  База данных Международного комитета Красного Креста.</w:t>
      </w:r>
    </w:p>
    <w:p w:rsidR="00000000" w:rsidRDefault="00000000">
      <w:pPr>
        <w:ind w:left="1134" w:hanging="1134"/>
      </w:pPr>
    </w:p>
    <w:p w:rsidR="00000000" w:rsidRDefault="00000000">
      <w:pPr>
        <w:spacing w:line="240" w:lineRule="auto"/>
        <w:ind w:left="1134" w:hanging="1134"/>
        <w:jc w:val="center"/>
        <w:rPr>
          <w:b/>
          <w:bCs/>
        </w:rPr>
      </w:pPr>
      <w:r>
        <w:rPr>
          <w:b/>
          <w:bCs/>
        </w:rPr>
        <w:t>Таблица 25</w:t>
      </w:r>
    </w:p>
    <w:p w:rsidR="00000000" w:rsidRDefault="00000000">
      <w:pPr>
        <w:spacing w:line="240" w:lineRule="auto"/>
        <w:ind w:left="1134" w:hanging="1134"/>
        <w:jc w:val="center"/>
        <w:rPr>
          <w:b/>
          <w:bCs/>
        </w:rPr>
      </w:pPr>
    </w:p>
    <w:p w:rsidR="00000000" w:rsidRDefault="00000000">
      <w:pPr>
        <w:spacing w:line="240" w:lineRule="auto"/>
        <w:ind w:left="1134" w:hanging="1134"/>
        <w:jc w:val="center"/>
        <w:rPr>
          <w:b/>
          <w:bCs/>
        </w:rPr>
      </w:pPr>
      <w:r>
        <w:rPr>
          <w:b/>
          <w:bCs/>
        </w:rPr>
        <w:t>Количество пострадавших во время несчастных случаев по возрастным категориям</w:t>
      </w:r>
    </w:p>
    <w:p w:rsidR="00000000" w:rsidRDefault="00000000">
      <w:pPr>
        <w:spacing w:line="240" w:lineRule="auto"/>
        <w:ind w:left="1134" w:hanging="1134"/>
        <w:jc w:val="center"/>
        <w:rPr>
          <w:b/>
          <w:bCs/>
        </w:rPr>
      </w:pPr>
    </w:p>
    <w:tbl>
      <w:tblPr>
        <w:tblW w:w="0" w:type="auto"/>
        <w:jc w:val="center"/>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2174"/>
        <w:gridCol w:w="1028"/>
        <w:gridCol w:w="991"/>
        <w:gridCol w:w="991"/>
        <w:gridCol w:w="991"/>
        <w:gridCol w:w="991"/>
        <w:gridCol w:w="991"/>
        <w:gridCol w:w="1035"/>
      </w:tblGrid>
      <w:tr w:rsidR="00000000">
        <w:tblPrEx>
          <w:tblCellMar>
            <w:top w:w="0" w:type="dxa"/>
            <w:bottom w:w="0" w:type="dxa"/>
          </w:tblCellMar>
        </w:tblPrEx>
        <w:trPr>
          <w:jc w:val="center"/>
        </w:trPr>
        <w:tc>
          <w:tcPr>
            <w:tcW w:w="2174" w:type="dxa"/>
            <w:tcBorders>
              <w:bottom w:val="single" w:sz="4" w:space="0" w:color="auto"/>
            </w:tcBorders>
          </w:tcPr>
          <w:p w:rsidR="00000000" w:rsidRDefault="00000000">
            <w:pPr>
              <w:jc w:val="center"/>
              <w:rPr>
                <w:sz w:val="22"/>
              </w:rPr>
            </w:pPr>
            <w:r>
              <w:rPr>
                <w:sz w:val="22"/>
              </w:rPr>
              <w:t>Группа</w:t>
            </w:r>
          </w:p>
        </w:tc>
        <w:tc>
          <w:tcPr>
            <w:tcW w:w="1028" w:type="dxa"/>
            <w:tcBorders>
              <w:bottom w:val="single" w:sz="4" w:space="0" w:color="auto"/>
            </w:tcBorders>
          </w:tcPr>
          <w:p w:rsidR="00000000" w:rsidRDefault="00000000">
            <w:pPr>
              <w:jc w:val="center"/>
              <w:rPr>
                <w:sz w:val="22"/>
              </w:rPr>
            </w:pPr>
            <w:r>
              <w:rPr>
                <w:sz w:val="22"/>
              </w:rPr>
              <w:t>1996 год</w:t>
            </w:r>
          </w:p>
        </w:tc>
        <w:tc>
          <w:tcPr>
            <w:tcW w:w="991" w:type="dxa"/>
            <w:tcBorders>
              <w:bottom w:val="single" w:sz="4" w:space="0" w:color="auto"/>
            </w:tcBorders>
          </w:tcPr>
          <w:p w:rsidR="00000000" w:rsidRDefault="00000000">
            <w:pPr>
              <w:jc w:val="center"/>
              <w:rPr>
                <w:sz w:val="22"/>
              </w:rPr>
            </w:pPr>
            <w:r>
              <w:rPr>
                <w:sz w:val="22"/>
              </w:rPr>
              <w:t>1997 год</w:t>
            </w:r>
          </w:p>
        </w:tc>
        <w:tc>
          <w:tcPr>
            <w:tcW w:w="991" w:type="dxa"/>
            <w:tcBorders>
              <w:bottom w:val="single" w:sz="4" w:space="0" w:color="auto"/>
            </w:tcBorders>
          </w:tcPr>
          <w:p w:rsidR="00000000" w:rsidRDefault="00000000">
            <w:pPr>
              <w:jc w:val="center"/>
              <w:rPr>
                <w:sz w:val="22"/>
              </w:rPr>
            </w:pPr>
            <w:r>
              <w:rPr>
                <w:sz w:val="22"/>
              </w:rPr>
              <w:t>1998 год</w:t>
            </w:r>
          </w:p>
        </w:tc>
        <w:tc>
          <w:tcPr>
            <w:tcW w:w="991" w:type="dxa"/>
            <w:tcBorders>
              <w:bottom w:val="single" w:sz="4" w:space="0" w:color="auto"/>
            </w:tcBorders>
          </w:tcPr>
          <w:p w:rsidR="00000000" w:rsidRDefault="00000000">
            <w:pPr>
              <w:jc w:val="center"/>
              <w:rPr>
                <w:sz w:val="22"/>
              </w:rPr>
            </w:pPr>
            <w:r>
              <w:rPr>
                <w:sz w:val="22"/>
              </w:rPr>
              <w:t>1999 год</w:t>
            </w:r>
          </w:p>
        </w:tc>
        <w:tc>
          <w:tcPr>
            <w:tcW w:w="991" w:type="dxa"/>
            <w:tcBorders>
              <w:bottom w:val="single" w:sz="4" w:space="0" w:color="auto"/>
            </w:tcBorders>
          </w:tcPr>
          <w:p w:rsidR="00000000" w:rsidRDefault="00000000">
            <w:pPr>
              <w:jc w:val="center"/>
              <w:rPr>
                <w:sz w:val="22"/>
              </w:rPr>
            </w:pPr>
            <w:r>
              <w:rPr>
                <w:sz w:val="22"/>
              </w:rPr>
              <w:t>2000 год</w:t>
            </w:r>
          </w:p>
        </w:tc>
        <w:tc>
          <w:tcPr>
            <w:tcW w:w="991" w:type="dxa"/>
            <w:tcBorders>
              <w:bottom w:val="single" w:sz="4" w:space="0" w:color="auto"/>
            </w:tcBorders>
          </w:tcPr>
          <w:p w:rsidR="00000000" w:rsidRDefault="00000000">
            <w:pPr>
              <w:jc w:val="center"/>
              <w:rPr>
                <w:sz w:val="22"/>
              </w:rPr>
            </w:pPr>
            <w:r>
              <w:rPr>
                <w:sz w:val="22"/>
              </w:rPr>
              <w:t>2001 год</w:t>
            </w:r>
          </w:p>
        </w:tc>
        <w:tc>
          <w:tcPr>
            <w:tcW w:w="1035" w:type="dxa"/>
            <w:tcBorders>
              <w:bottom w:val="single" w:sz="4" w:space="0" w:color="auto"/>
            </w:tcBorders>
          </w:tcPr>
          <w:p w:rsidR="00000000" w:rsidRDefault="00000000">
            <w:pPr>
              <w:jc w:val="center"/>
              <w:rPr>
                <w:sz w:val="22"/>
              </w:rPr>
            </w:pPr>
            <w:r>
              <w:rPr>
                <w:sz w:val="22"/>
              </w:rPr>
              <w:t>2002 год</w:t>
            </w:r>
          </w:p>
        </w:tc>
      </w:tr>
      <w:tr w:rsidR="00000000">
        <w:tblPrEx>
          <w:tblCellMar>
            <w:top w:w="0" w:type="dxa"/>
            <w:bottom w:w="0" w:type="dxa"/>
          </w:tblCellMar>
        </w:tblPrEx>
        <w:trPr>
          <w:jc w:val="center"/>
        </w:trPr>
        <w:tc>
          <w:tcPr>
            <w:tcW w:w="2174" w:type="dxa"/>
            <w:tcBorders>
              <w:bottom w:val="nil"/>
            </w:tcBorders>
          </w:tcPr>
          <w:p w:rsidR="00000000" w:rsidRDefault="00000000">
            <w:pPr>
              <w:rPr>
                <w:sz w:val="22"/>
              </w:rPr>
            </w:pPr>
            <w:r>
              <w:rPr>
                <w:sz w:val="22"/>
              </w:rPr>
              <w:t>Дети (0-18 лет)</w:t>
            </w:r>
          </w:p>
        </w:tc>
        <w:tc>
          <w:tcPr>
            <w:tcW w:w="1028" w:type="dxa"/>
            <w:tcBorders>
              <w:bottom w:val="nil"/>
            </w:tcBorders>
          </w:tcPr>
          <w:p w:rsidR="00000000" w:rsidRDefault="00000000">
            <w:pPr>
              <w:jc w:val="center"/>
              <w:rPr>
                <w:sz w:val="22"/>
              </w:rPr>
            </w:pPr>
            <w:r>
              <w:rPr>
                <w:sz w:val="22"/>
              </w:rPr>
              <w:t>27</w:t>
            </w:r>
          </w:p>
        </w:tc>
        <w:tc>
          <w:tcPr>
            <w:tcW w:w="991" w:type="dxa"/>
            <w:tcBorders>
              <w:bottom w:val="nil"/>
            </w:tcBorders>
          </w:tcPr>
          <w:p w:rsidR="00000000" w:rsidRDefault="00000000">
            <w:pPr>
              <w:tabs>
                <w:tab w:val="clear" w:pos="567"/>
                <w:tab w:val="right" w:pos="499"/>
              </w:tabs>
              <w:rPr>
                <w:sz w:val="22"/>
              </w:rPr>
            </w:pPr>
            <w:r>
              <w:rPr>
                <w:sz w:val="22"/>
              </w:rPr>
              <w:tab/>
              <w:t>13</w:t>
            </w:r>
          </w:p>
        </w:tc>
        <w:tc>
          <w:tcPr>
            <w:tcW w:w="991" w:type="dxa"/>
            <w:tcBorders>
              <w:bottom w:val="nil"/>
            </w:tcBorders>
          </w:tcPr>
          <w:p w:rsidR="00000000" w:rsidRDefault="00000000">
            <w:pPr>
              <w:tabs>
                <w:tab w:val="clear" w:pos="567"/>
                <w:tab w:val="right" w:pos="499"/>
              </w:tabs>
              <w:rPr>
                <w:sz w:val="22"/>
              </w:rPr>
            </w:pPr>
            <w:r>
              <w:rPr>
                <w:sz w:val="22"/>
              </w:rPr>
              <w:tab/>
              <w:t>8</w:t>
            </w:r>
          </w:p>
        </w:tc>
        <w:tc>
          <w:tcPr>
            <w:tcW w:w="991" w:type="dxa"/>
            <w:tcBorders>
              <w:bottom w:val="nil"/>
            </w:tcBorders>
          </w:tcPr>
          <w:p w:rsidR="00000000" w:rsidRDefault="00000000">
            <w:pPr>
              <w:tabs>
                <w:tab w:val="clear" w:pos="567"/>
                <w:tab w:val="right" w:pos="499"/>
              </w:tabs>
              <w:rPr>
                <w:sz w:val="22"/>
              </w:rPr>
            </w:pPr>
            <w:r>
              <w:rPr>
                <w:sz w:val="22"/>
              </w:rPr>
              <w:tab/>
              <w:t>10</w:t>
            </w:r>
          </w:p>
        </w:tc>
        <w:tc>
          <w:tcPr>
            <w:tcW w:w="991" w:type="dxa"/>
            <w:tcBorders>
              <w:bottom w:val="nil"/>
            </w:tcBorders>
          </w:tcPr>
          <w:p w:rsidR="00000000" w:rsidRDefault="00000000">
            <w:pPr>
              <w:tabs>
                <w:tab w:val="clear" w:pos="567"/>
                <w:tab w:val="right" w:pos="499"/>
              </w:tabs>
              <w:rPr>
                <w:sz w:val="22"/>
              </w:rPr>
            </w:pPr>
            <w:r>
              <w:rPr>
                <w:sz w:val="22"/>
              </w:rPr>
              <w:tab/>
              <w:t>1</w:t>
            </w:r>
          </w:p>
        </w:tc>
        <w:tc>
          <w:tcPr>
            <w:tcW w:w="991" w:type="dxa"/>
            <w:tcBorders>
              <w:bottom w:val="nil"/>
            </w:tcBorders>
          </w:tcPr>
          <w:p w:rsidR="00000000" w:rsidRDefault="00000000">
            <w:pPr>
              <w:tabs>
                <w:tab w:val="clear" w:pos="567"/>
                <w:tab w:val="right" w:pos="499"/>
              </w:tabs>
              <w:rPr>
                <w:sz w:val="22"/>
              </w:rPr>
            </w:pPr>
            <w:r>
              <w:rPr>
                <w:sz w:val="22"/>
              </w:rPr>
              <w:tab/>
              <w:t>0</w:t>
            </w:r>
          </w:p>
        </w:tc>
        <w:tc>
          <w:tcPr>
            <w:tcW w:w="1035" w:type="dxa"/>
            <w:tcBorders>
              <w:bottom w:val="nil"/>
            </w:tcBorders>
          </w:tcPr>
          <w:p w:rsidR="00000000" w:rsidRDefault="00000000">
            <w:pPr>
              <w:tabs>
                <w:tab w:val="clear" w:pos="567"/>
                <w:tab w:val="right" w:pos="499"/>
              </w:tabs>
              <w:rPr>
                <w:sz w:val="22"/>
              </w:rPr>
            </w:pPr>
            <w:r>
              <w:rPr>
                <w:sz w:val="22"/>
              </w:rPr>
              <w:tab/>
              <w:t>8</w:t>
            </w:r>
          </w:p>
        </w:tc>
      </w:tr>
      <w:tr w:rsidR="00000000">
        <w:tblPrEx>
          <w:tblCellMar>
            <w:top w:w="0" w:type="dxa"/>
            <w:bottom w:w="0" w:type="dxa"/>
          </w:tblCellMar>
        </w:tblPrEx>
        <w:trPr>
          <w:jc w:val="center"/>
        </w:trPr>
        <w:tc>
          <w:tcPr>
            <w:tcW w:w="2174" w:type="dxa"/>
            <w:tcBorders>
              <w:top w:val="nil"/>
              <w:bottom w:val="nil"/>
            </w:tcBorders>
          </w:tcPr>
          <w:p w:rsidR="00000000" w:rsidRDefault="00000000">
            <w:pPr>
              <w:rPr>
                <w:sz w:val="22"/>
              </w:rPr>
            </w:pPr>
            <w:r>
              <w:rPr>
                <w:sz w:val="22"/>
              </w:rPr>
              <w:t>Взрослые (19-39 лет)</w:t>
            </w:r>
          </w:p>
        </w:tc>
        <w:tc>
          <w:tcPr>
            <w:tcW w:w="1028" w:type="dxa"/>
            <w:tcBorders>
              <w:top w:val="nil"/>
              <w:bottom w:val="nil"/>
            </w:tcBorders>
          </w:tcPr>
          <w:p w:rsidR="00000000" w:rsidRDefault="00000000">
            <w:pPr>
              <w:jc w:val="center"/>
              <w:rPr>
                <w:sz w:val="22"/>
              </w:rPr>
            </w:pPr>
            <w:r>
              <w:rPr>
                <w:sz w:val="22"/>
              </w:rPr>
              <w:t>58</w:t>
            </w:r>
          </w:p>
        </w:tc>
        <w:tc>
          <w:tcPr>
            <w:tcW w:w="991" w:type="dxa"/>
            <w:tcBorders>
              <w:top w:val="nil"/>
              <w:bottom w:val="nil"/>
            </w:tcBorders>
          </w:tcPr>
          <w:p w:rsidR="00000000" w:rsidRDefault="00000000">
            <w:pPr>
              <w:tabs>
                <w:tab w:val="clear" w:pos="567"/>
                <w:tab w:val="right" w:pos="499"/>
              </w:tabs>
              <w:rPr>
                <w:sz w:val="22"/>
              </w:rPr>
            </w:pPr>
            <w:r>
              <w:rPr>
                <w:sz w:val="22"/>
              </w:rPr>
              <w:tab/>
              <w:t>25</w:t>
            </w:r>
          </w:p>
        </w:tc>
        <w:tc>
          <w:tcPr>
            <w:tcW w:w="991" w:type="dxa"/>
            <w:tcBorders>
              <w:top w:val="nil"/>
              <w:bottom w:val="nil"/>
            </w:tcBorders>
          </w:tcPr>
          <w:p w:rsidR="00000000" w:rsidRDefault="00000000">
            <w:pPr>
              <w:tabs>
                <w:tab w:val="clear" w:pos="567"/>
                <w:tab w:val="right" w:pos="499"/>
              </w:tabs>
              <w:rPr>
                <w:sz w:val="22"/>
              </w:rPr>
            </w:pPr>
            <w:r>
              <w:rPr>
                <w:sz w:val="22"/>
              </w:rPr>
              <w:tab/>
              <w:t>24</w:t>
            </w:r>
          </w:p>
        </w:tc>
        <w:tc>
          <w:tcPr>
            <w:tcW w:w="991" w:type="dxa"/>
            <w:tcBorders>
              <w:top w:val="nil"/>
              <w:bottom w:val="nil"/>
            </w:tcBorders>
          </w:tcPr>
          <w:p w:rsidR="00000000" w:rsidRDefault="00000000">
            <w:pPr>
              <w:tabs>
                <w:tab w:val="clear" w:pos="567"/>
                <w:tab w:val="right" w:pos="499"/>
              </w:tabs>
              <w:rPr>
                <w:sz w:val="22"/>
              </w:rPr>
            </w:pPr>
            <w:r>
              <w:rPr>
                <w:sz w:val="22"/>
              </w:rPr>
              <w:tab/>
              <w:t>24</w:t>
            </w:r>
          </w:p>
        </w:tc>
        <w:tc>
          <w:tcPr>
            <w:tcW w:w="991" w:type="dxa"/>
            <w:tcBorders>
              <w:top w:val="nil"/>
              <w:bottom w:val="nil"/>
            </w:tcBorders>
          </w:tcPr>
          <w:p w:rsidR="00000000" w:rsidRDefault="00000000">
            <w:pPr>
              <w:tabs>
                <w:tab w:val="clear" w:pos="567"/>
                <w:tab w:val="right" w:pos="499"/>
              </w:tabs>
              <w:rPr>
                <w:sz w:val="22"/>
              </w:rPr>
            </w:pPr>
            <w:r>
              <w:rPr>
                <w:sz w:val="22"/>
              </w:rPr>
              <w:tab/>
              <w:t>23</w:t>
            </w:r>
          </w:p>
        </w:tc>
        <w:tc>
          <w:tcPr>
            <w:tcW w:w="991" w:type="dxa"/>
            <w:tcBorders>
              <w:top w:val="nil"/>
              <w:bottom w:val="nil"/>
            </w:tcBorders>
          </w:tcPr>
          <w:p w:rsidR="00000000" w:rsidRDefault="00000000">
            <w:pPr>
              <w:tabs>
                <w:tab w:val="clear" w:pos="567"/>
                <w:tab w:val="right" w:pos="499"/>
              </w:tabs>
              <w:rPr>
                <w:sz w:val="22"/>
              </w:rPr>
            </w:pPr>
            <w:r>
              <w:rPr>
                <w:sz w:val="22"/>
              </w:rPr>
              <w:tab/>
              <w:t>11</w:t>
            </w:r>
          </w:p>
        </w:tc>
        <w:tc>
          <w:tcPr>
            <w:tcW w:w="1035" w:type="dxa"/>
            <w:tcBorders>
              <w:top w:val="nil"/>
              <w:bottom w:val="nil"/>
            </w:tcBorders>
          </w:tcPr>
          <w:p w:rsidR="00000000" w:rsidRDefault="00000000">
            <w:pPr>
              <w:tabs>
                <w:tab w:val="clear" w:pos="567"/>
                <w:tab w:val="right" w:pos="499"/>
              </w:tabs>
              <w:rPr>
                <w:sz w:val="22"/>
              </w:rPr>
            </w:pPr>
            <w:r>
              <w:rPr>
                <w:sz w:val="22"/>
              </w:rPr>
              <w:tab/>
              <w:t>11</w:t>
            </w:r>
          </w:p>
        </w:tc>
      </w:tr>
      <w:tr w:rsidR="00000000">
        <w:tblPrEx>
          <w:tblCellMar>
            <w:top w:w="0" w:type="dxa"/>
            <w:bottom w:w="0" w:type="dxa"/>
          </w:tblCellMar>
        </w:tblPrEx>
        <w:trPr>
          <w:jc w:val="center"/>
        </w:trPr>
        <w:tc>
          <w:tcPr>
            <w:tcW w:w="2174" w:type="dxa"/>
            <w:tcBorders>
              <w:top w:val="nil"/>
              <w:bottom w:val="nil"/>
            </w:tcBorders>
          </w:tcPr>
          <w:p w:rsidR="00000000" w:rsidRDefault="00000000">
            <w:pPr>
              <w:rPr>
                <w:sz w:val="22"/>
              </w:rPr>
            </w:pPr>
            <w:r>
              <w:rPr>
                <w:sz w:val="22"/>
              </w:rPr>
              <w:t>Взрослые (40-60 лет)</w:t>
            </w:r>
          </w:p>
        </w:tc>
        <w:tc>
          <w:tcPr>
            <w:tcW w:w="1028" w:type="dxa"/>
            <w:tcBorders>
              <w:top w:val="nil"/>
              <w:bottom w:val="nil"/>
            </w:tcBorders>
          </w:tcPr>
          <w:p w:rsidR="00000000" w:rsidRDefault="00000000">
            <w:pPr>
              <w:jc w:val="center"/>
              <w:rPr>
                <w:sz w:val="22"/>
              </w:rPr>
            </w:pPr>
            <w:r>
              <w:rPr>
                <w:sz w:val="22"/>
              </w:rPr>
              <w:t>39</w:t>
            </w:r>
          </w:p>
        </w:tc>
        <w:tc>
          <w:tcPr>
            <w:tcW w:w="991" w:type="dxa"/>
            <w:tcBorders>
              <w:top w:val="nil"/>
              <w:bottom w:val="nil"/>
            </w:tcBorders>
          </w:tcPr>
          <w:p w:rsidR="00000000" w:rsidRDefault="00000000">
            <w:pPr>
              <w:tabs>
                <w:tab w:val="clear" w:pos="567"/>
                <w:tab w:val="right" w:pos="499"/>
              </w:tabs>
              <w:rPr>
                <w:sz w:val="22"/>
              </w:rPr>
            </w:pPr>
            <w:r>
              <w:rPr>
                <w:sz w:val="22"/>
              </w:rPr>
              <w:tab/>
              <w:t>28</w:t>
            </w:r>
          </w:p>
        </w:tc>
        <w:tc>
          <w:tcPr>
            <w:tcW w:w="991" w:type="dxa"/>
            <w:tcBorders>
              <w:top w:val="nil"/>
              <w:bottom w:val="nil"/>
            </w:tcBorders>
          </w:tcPr>
          <w:p w:rsidR="00000000" w:rsidRDefault="00000000">
            <w:pPr>
              <w:tabs>
                <w:tab w:val="clear" w:pos="567"/>
                <w:tab w:val="right" w:pos="499"/>
              </w:tabs>
              <w:rPr>
                <w:sz w:val="22"/>
              </w:rPr>
            </w:pPr>
            <w:r>
              <w:rPr>
                <w:sz w:val="22"/>
              </w:rPr>
              <w:tab/>
              <w:t>25</w:t>
            </w:r>
          </w:p>
        </w:tc>
        <w:tc>
          <w:tcPr>
            <w:tcW w:w="991" w:type="dxa"/>
            <w:tcBorders>
              <w:top w:val="nil"/>
              <w:bottom w:val="nil"/>
            </w:tcBorders>
          </w:tcPr>
          <w:p w:rsidR="00000000" w:rsidRDefault="00000000">
            <w:pPr>
              <w:tabs>
                <w:tab w:val="clear" w:pos="567"/>
                <w:tab w:val="right" w:pos="499"/>
              </w:tabs>
              <w:rPr>
                <w:sz w:val="22"/>
              </w:rPr>
            </w:pPr>
            <w:r>
              <w:rPr>
                <w:sz w:val="22"/>
              </w:rPr>
              <w:tab/>
              <w:t>14</w:t>
            </w:r>
          </w:p>
        </w:tc>
        <w:tc>
          <w:tcPr>
            <w:tcW w:w="991" w:type="dxa"/>
            <w:tcBorders>
              <w:top w:val="nil"/>
              <w:bottom w:val="nil"/>
            </w:tcBorders>
          </w:tcPr>
          <w:p w:rsidR="00000000" w:rsidRDefault="00000000">
            <w:pPr>
              <w:tabs>
                <w:tab w:val="clear" w:pos="567"/>
                <w:tab w:val="right" w:pos="499"/>
              </w:tabs>
              <w:rPr>
                <w:sz w:val="22"/>
              </w:rPr>
            </w:pPr>
            <w:r>
              <w:rPr>
                <w:sz w:val="22"/>
              </w:rPr>
              <w:tab/>
              <w:t>8</w:t>
            </w:r>
          </w:p>
        </w:tc>
        <w:tc>
          <w:tcPr>
            <w:tcW w:w="991" w:type="dxa"/>
            <w:tcBorders>
              <w:top w:val="nil"/>
              <w:bottom w:val="nil"/>
            </w:tcBorders>
          </w:tcPr>
          <w:p w:rsidR="00000000" w:rsidRDefault="00000000">
            <w:pPr>
              <w:tabs>
                <w:tab w:val="clear" w:pos="567"/>
                <w:tab w:val="right" w:pos="499"/>
              </w:tabs>
              <w:rPr>
                <w:sz w:val="22"/>
              </w:rPr>
            </w:pPr>
            <w:r>
              <w:rPr>
                <w:sz w:val="22"/>
              </w:rPr>
              <w:tab/>
              <w:t>10</w:t>
            </w:r>
          </w:p>
        </w:tc>
        <w:tc>
          <w:tcPr>
            <w:tcW w:w="1035" w:type="dxa"/>
            <w:tcBorders>
              <w:top w:val="nil"/>
              <w:bottom w:val="nil"/>
            </w:tcBorders>
          </w:tcPr>
          <w:p w:rsidR="00000000" w:rsidRDefault="00000000">
            <w:pPr>
              <w:tabs>
                <w:tab w:val="clear" w:pos="567"/>
                <w:tab w:val="right" w:pos="499"/>
              </w:tabs>
              <w:rPr>
                <w:sz w:val="22"/>
              </w:rPr>
            </w:pPr>
            <w:r>
              <w:rPr>
                <w:sz w:val="22"/>
              </w:rPr>
              <w:tab/>
              <w:t>1</w:t>
            </w:r>
          </w:p>
        </w:tc>
      </w:tr>
      <w:tr w:rsidR="00000000">
        <w:tblPrEx>
          <w:tblCellMar>
            <w:top w:w="0" w:type="dxa"/>
            <w:bottom w:w="0" w:type="dxa"/>
          </w:tblCellMar>
        </w:tblPrEx>
        <w:trPr>
          <w:jc w:val="center"/>
        </w:trPr>
        <w:tc>
          <w:tcPr>
            <w:tcW w:w="2174" w:type="dxa"/>
            <w:tcBorders>
              <w:top w:val="nil"/>
              <w:bottom w:val="nil"/>
            </w:tcBorders>
          </w:tcPr>
          <w:p w:rsidR="00000000" w:rsidRDefault="00000000">
            <w:pPr>
              <w:rPr>
                <w:sz w:val="22"/>
              </w:rPr>
            </w:pPr>
            <w:r>
              <w:rPr>
                <w:sz w:val="22"/>
              </w:rPr>
              <w:t>Лица старше 60 лет</w:t>
            </w:r>
          </w:p>
        </w:tc>
        <w:tc>
          <w:tcPr>
            <w:tcW w:w="1028" w:type="dxa"/>
            <w:tcBorders>
              <w:top w:val="nil"/>
              <w:bottom w:val="nil"/>
            </w:tcBorders>
          </w:tcPr>
          <w:p w:rsidR="00000000" w:rsidRDefault="00000000">
            <w:pPr>
              <w:jc w:val="center"/>
              <w:rPr>
                <w:sz w:val="22"/>
              </w:rPr>
            </w:pPr>
            <w:r>
              <w:rPr>
                <w:sz w:val="22"/>
              </w:rPr>
              <w:t>18</w:t>
            </w:r>
          </w:p>
        </w:tc>
        <w:tc>
          <w:tcPr>
            <w:tcW w:w="991" w:type="dxa"/>
            <w:tcBorders>
              <w:top w:val="nil"/>
              <w:bottom w:val="nil"/>
            </w:tcBorders>
          </w:tcPr>
          <w:p w:rsidR="00000000" w:rsidRDefault="00000000">
            <w:pPr>
              <w:tabs>
                <w:tab w:val="clear" w:pos="567"/>
                <w:tab w:val="right" w:pos="499"/>
              </w:tabs>
              <w:rPr>
                <w:sz w:val="22"/>
              </w:rPr>
            </w:pPr>
            <w:r>
              <w:rPr>
                <w:sz w:val="22"/>
              </w:rPr>
              <w:tab/>
              <w:t>8</w:t>
            </w:r>
          </w:p>
        </w:tc>
        <w:tc>
          <w:tcPr>
            <w:tcW w:w="991" w:type="dxa"/>
            <w:tcBorders>
              <w:top w:val="nil"/>
              <w:bottom w:val="nil"/>
            </w:tcBorders>
          </w:tcPr>
          <w:p w:rsidR="00000000" w:rsidRDefault="00000000">
            <w:pPr>
              <w:tabs>
                <w:tab w:val="clear" w:pos="567"/>
                <w:tab w:val="right" w:pos="499"/>
              </w:tabs>
              <w:rPr>
                <w:sz w:val="22"/>
              </w:rPr>
            </w:pPr>
            <w:r>
              <w:rPr>
                <w:sz w:val="22"/>
              </w:rPr>
              <w:tab/>
              <w:t>10</w:t>
            </w:r>
          </w:p>
        </w:tc>
        <w:tc>
          <w:tcPr>
            <w:tcW w:w="991" w:type="dxa"/>
            <w:tcBorders>
              <w:top w:val="nil"/>
              <w:bottom w:val="nil"/>
            </w:tcBorders>
          </w:tcPr>
          <w:p w:rsidR="00000000" w:rsidRDefault="00000000">
            <w:pPr>
              <w:tabs>
                <w:tab w:val="clear" w:pos="567"/>
                <w:tab w:val="right" w:pos="499"/>
              </w:tabs>
              <w:rPr>
                <w:sz w:val="22"/>
              </w:rPr>
            </w:pPr>
            <w:r>
              <w:rPr>
                <w:sz w:val="22"/>
              </w:rPr>
              <w:tab/>
              <w:t>7</w:t>
            </w:r>
          </w:p>
        </w:tc>
        <w:tc>
          <w:tcPr>
            <w:tcW w:w="991" w:type="dxa"/>
            <w:tcBorders>
              <w:top w:val="nil"/>
              <w:bottom w:val="nil"/>
            </w:tcBorders>
          </w:tcPr>
          <w:p w:rsidR="00000000" w:rsidRDefault="00000000">
            <w:pPr>
              <w:tabs>
                <w:tab w:val="clear" w:pos="567"/>
                <w:tab w:val="right" w:pos="499"/>
              </w:tabs>
              <w:rPr>
                <w:sz w:val="22"/>
              </w:rPr>
            </w:pPr>
            <w:r>
              <w:rPr>
                <w:sz w:val="22"/>
              </w:rPr>
              <w:tab/>
              <w:t>3</w:t>
            </w:r>
          </w:p>
        </w:tc>
        <w:tc>
          <w:tcPr>
            <w:tcW w:w="991" w:type="dxa"/>
            <w:tcBorders>
              <w:top w:val="nil"/>
              <w:bottom w:val="nil"/>
            </w:tcBorders>
          </w:tcPr>
          <w:p w:rsidR="00000000" w:rsidRDefault="00000000">
            <w:pPr>
              <w:tabs>
                <w:tab w:val="clear" w:pos="567"/>
                <w:tab w:val="right" w:pos="499"/>
              </w:tabs>
              <w:rPr>
                <w:sz w:val="22"/>
              </w:rPr>
            </w:pPr>
            <w:r>
              <w:rPr>
                <w:sz w:val="22"/>
              </w:rPr>
              <w:tab/>
              <w:t>2</w:t>
            </w:r>
          </w:p>
        </w:tc>
        <w:tc>
          <w:tcPr>
            <w:tcW w:w="1035" w:type="dxa"/>
            <w:tcBorders>
              <w:top w:val="nil"/>
              <w:bottom w:val="nil"/>
            </w:tcBorders>
          </w:tcPr>
          <w:p w:rsidR="00000000" w:rsidRDefault="00000000">
            <w:pPr>
              <w:tabs>
                <w:tab w:val="clear" w:pos="567"/>
                <w:tab w:val="right" w:pos="499"/>
              </w:tabs>
              <w:rPr>
                <w:sz w:val="22"/>
              </w:rPr>
            </w:pPr>
            <w:r>
              <w:rPr>
                <w:sz w:val="22"/>
              </w:rPr>
              <w:tab/>
              <w:t>0</w:t>
            </w:r>
          </w:p>
        </w:tc>
      </w:tr>
      <w:tr w:rsidR="00000000">
        <w:tblPrEx>
          <w:tblCellMar>
            <w:top w:w="0" w:type="dxa"/>
            <w:bottom w:w="0" w:type="dxa"/>
          </w:tblCellMar>
        </w:tblPrEx>
        <w:trPr>
          <w:jc w:val="center"/>
        </w:trPr>
        <w:tc>
          <w:tcPr>
            <w:tcW w:w="2174" w:type="dxa"/>
            <w:tcBorders>
              <w:top w:val="nil"/>
            </w:tcBorders>
          </w:tcPr>
          <w:p w:rsidR="00000000" w:rsidRDefault="00000000">
            <w:pPr>
              <w:rPr>
                <w:sz w:val="22"/>
              </w:rPr>
            </w:pPr>
            <w:r>
              <w:rPr>
                <w:sz w:val="22"/>
              </w:rPr>
              <w:t>Возраст не известен</w:t>
            </w:r>
          </w:p>
        </w:tc>
        <w:tc>
          <w:tcPr>
            <w:tcW w:w="1028" w:type="dxa"/>
            <w:tcBorders>
              <w:top w:val="nil"/>
            </w:tcBorders>
          </w:tcPr>
          <w:p w:rsidR="00000000" w:rsidRDefault="00000000">
            <w:pPr>
              <w:jc w:val="center"/>
              <w:rPr>
                <w:sz w:val="22"/>
              </w:rPr>
            </w:pPr>
            <w:r>
              <w:rPr>
                <w:sz w:val="22"/>
              </w:rPr>
              <w:t>9</w:t>
            </w:r>
          </w:p>
        </w:tc>
        <w:tc>
          <w:tcPr>
            <w:tcW w:w="991" w:type="dxa"/>
            <w:tcBorders>
              <w:top w:val="nil"/>
            </w:tcBorders>
          </w:tcPr>
          <w:p w:rsidR="00000000" w:rsidRDefault="00000000">
            <w:pPr>
              <w:jc w:val="center"/>
              <w:rPr>
                <w:sz w:val="22"/>
              </w:rPr>
            </w:pPr>
            <w:r>
              <w:rPr>
                <w:sz w:val="22"/>
              </w:rPr>
              <w:t>0</w:t>
            </w:r>
          </w:p>
        </w:tc>
        <w:tc>
          <w:tcPr>
            <w:tcW w:w="991" w:type="dxa"/>
            <w:tcBorders>
              <w:top w:val="nil"/>
            </w:tcBorders>
          </w:tcPr>
          <w:p w:rsidR="00000000" w:rsidRDefault="00000000">
            <w:pPr>
              <w:jc w:val="center"/>
              <w:rPr>
                <w:sz w:val="22"/>
              </w:rPr>
            </w:pPr>
            <w:r>
              <w:rPr>
                <w:sz w:val="22"/>
              </w:rPr>
              <w:t>2</w:t>
            </w:r>
          </w:p>
        </w:tc>
        <w:tc>
          <w:tcPr>
            <w:tcW w:w="991" w:type="dxa"/>
            <w:tcBorders>
              <w:top w:val="nil"/>
            </w:tcBorders>
          </w:tcPr>
          <w:p w:rsidR="00000000" w:rsidRDefault="00000000">
            <w:pPr>
              <w:jc w:val="center"/>
              <w:rPr>
                <w:sz w:val="22"/>
              </w:rPr>
            </w:pPr>
            <w:r>
              <w:rPr>
                <w:sz w:val="22"/>
              </w:rPr>
              <w:t>0</w:t>
            </w:r>
          </w:p>
        </w:tc>
        <w:tc>
          <w:tcPr>
            <w:tcW w:w="991" w:type="dxa"/>
            <w:tcBorders>
              <w:top w:val="nil"/>
            </w:tcBorders>
          </w:tcPr>
          <w:p w:rsidR="00000000" w:rsidRDefault="00000000">
            <w:pPr>
              <w:tabs>
                <w:tab w:val="clear" w:pos="567"/>
                <w:tab w:val="right" w:pos="499"/>
              </w:tabs>
              <w:rPr>
                <w:sz w:val="22"/>
              </w:rPr>
            </w:pPr>
            <w:r>
              <w:rPr>
                <w:sz w:val="22"/>
              </w:rPr>
              <w:tab/>
              <w:t>0</w:t>
            </w:r>
          </w:p>
        </w:tc>
        <w:tc>
          <w:tcPr>
            <w:tcW w:w="991" w:type="dxa"/>
            <w:tcBorders>
              <w:top w:val="nil"/>
            </w:tcBorders>
          </w:tcPr>
          <w:p w:rsidR="00000000" w:rsidRDefault="00000000">
            <w:pPr>
              <w:tabs>
                <w:tab w:val="clear" w:pos="567"/>
                <w:tab w:val="right" w:pos="499"/>
              </w:tabs>
              <w:rPr>
                <w:sz w:val="22"/>
              </w:rPr>
            </w:pPr>
            <w:r>
              <w:rPr>
                <w:sz w:val="22"/>
              </w:rPr>
              <w:tab/>
              <w:t>3</w:t>
            </w:r>
          </w:p>
        </w:tc>
        <w:tc>
          <w:tcPr>
            <w:tcW w:w="1035" w:type="dxa"/>
            <w:tcBorders>
              <w:top w:val="nil"/>
            </w:tcBorders>
          </w:tcPr>
          <w:p w:rsidR="00000000" w:rsidRDefault="00000000">
            <w:pPr>
              <w:tabs>
                <w:tab w:val="clear" w:pos="567"/>
                <w:tab w:val="right" w:pos="499"/>
              </w:tabs>
              <w:rPr>
                <w:sz w:val="22"/>
              </w:rPr>
            </w:pPr>
            <w:r>
              <w:rPr>
                <w:sz w:val="22"/>
              </w:rPr>
              <w:tab/>
              <w:t xml:space="preserve"> 0</w:t>
            </w:r>
          </w:p>
        </w:tc>
      </w:tr>
    </w:tbl>
    <w:p w:rsidR="00000000" w:rsidRDefault="00000000">
      <w:pPr>
        <w:ind w:left="1134" w:hanging="1134"/>
      </w:pPr>
    </w:p>
    <w:p w:rsidR="00000000" w:rsidRDefault="00000000">
      <w:pPr>
        <w:ind w:left="1134" w:hanging="1134"/>
      </w:pPr>
      <w:r>
        <w:t>519.</w:t>
      </w:r>
      <w:r>
        <w:tab/>
        <w:t>Необходимо выполнять следующие рекомендации:</w:t>
      </w:r>
    </w:p>
    <w:p w:rsidR="00000000" w:rsidRDefault="00000000">
      <w:pPr>
        <w:ind w:left="1134" w:hanging="1134"/>
      </w:pPr>
    </w:p>
    <w:p w:rsidR="00000000" w:rsidRDefault="00000000">
      <w:pPr>
        <w:numPr>
          <w:ilvl w:val="0"/>
          <w:numId w:val="69"/>
        </w:numPr>
      </w:pPr>
      <w:r>
        <w:t>постоянно собирать исчерпывающие данные о приоритетных областях, количестве раненых и убитых во время несчастных случаев с минами и другими взрывными устройствами;</w:t>
      </w:r>
    </w:p>
    <w:p w:rsidR="00000000" w:rsidRDefault="00000000">
      <w:pPr>
        <w:ind w:left="1134" w:hanging="1134"/>
      </w:pPr>
    </w:p>
    <w:p w:rsidR="00000000" w:rsidRDefault="00000000">
      <w:pPr>
        <w:numPr>
          <w:ilvl w:val="0"/>
          <w:numId w:val="69"/>
        </w:numPr>
      </w:pPr>
      <w:r>
        <w:t>увеличить количество общественных компаний с целью информирования населения, предупреждения об опасности и инструктирования о том, как предотвратить несчастные случаи и избежать их;</w:t>
      </w:r>
    </w:p>
    <w:p w:rsidR="00000000" w:rsidRDefault="00000000">
      <w:pPr>
        <w:ind w:left="1134" w:hanging="1134"/>
      </w:pPr>
    </w:p>
    <w:p w:rsidR="00000000" w:rsidRDefault="00000000">
      <w:pPr>
        <w:numPr>
          <w:ilvl w:val="0"/>
          <w:numId w:val="69"/>
        </w:numPr>
      </w:pPr>
      <w:r>
        <w:t>заниматься просветительской деятельностью в рамках процесса реабилитации и облегчения участия тех, кто подвергается опасности.</w:t>
      </w:r>
    </w:p>
    <w:p w:rsidR="00000000" w:rsidRDefault="00000000">
      <w:pPr>
        <w:keepNext/>
        <w:spacing w:line="264" w:lineRule="auto"/>
        <w:ind w:left="1134" w:hanging="1134"/>
        <w:jc w:val="center"/>
        <w:rPr>
          <w:b/>
          <w:bCs/>
        </w:rPr>
      </w:pPr>
      <w:r>
        <w:rPr>
          <w:b/>
          <w:bCs/>
        </w:rPr>
        <w:t>Статья 13</w:t>
      </w:r>
    </w:p>
    <w:p w:rsidR="00000000" w:rsidRDefault="00000000">
      <w:pPr>
        <w:keepNext/>
        <w:spacing w:line="264" w:lineRule="auto"/>
        <w:ind w:left="1134" w:hanging="1134"/>
        <w:jc w:val="center"/>
        <w:rPr>
          <w:b/>
          <w:bCs/>
        </w:rPr>
      </w:pPr>
    </w:p>
    <w:p w:rsidR="00000000" w:rsidRDefault="00000000">
      <w:pPr>
        <w:spacing w:line="264" w:lineRule="auto"/>
        <w:ind w:left="1134" w:hanging="1134"/>
        <w:rPr>
          <w:b/>
          <w:bCs/>
        </w:rPr>
      </w:pPr>
      <w:r>
        <w:rPr>
          <w:b/>
          <w:bCs/>
        </w:rPr>
        <w:t>Право на надлежащее образование</w:t>
      </w:r>
    </w:p>
    <w:p w:rsidR="00000000" w:rsidRDefault="00000000">
      <w:pPr>
        <w:spacing w:line="264" w:lineRule="auto"/>
        <w:ind w:left="1134" w:hanging="1134"/>
        <w:rPr>
          <w:b/>
          <w:bCs/>
        </w:rPr>
      </w:pPr>
    </w:p>
    <w:p w:rsidR="00000000" w:rsidRDefault="00000000">
      <w:pPr>
        <w:spacing w:line="264" w:lineRule="auto"/>
        <w:ind w:left="1134" w:hanging="1134"/>
        <w:rPr>
          <w:b/>
          <w:bCs/>
        </w:rPr>
      </w:pPr>
      <w:r>
        <w:rPr>
          <w:b/>
          <w:bCs/>
        </w:rPr>
        <w:t>Образование в Боснии и Герцеговине во время войны</w:t>
      </w:r>
    </w:p>
    <w:p w:rsidR="00000000" w:rsidRDefault="00000000">
      <w:pPr>
        <w:spacing w:line="264" w:lineRule="auto"/>
        <w:ind w:left="1134" w:hanging="1134"/>
        <w:rPr>
          <w:b/>
          <w:bCs/>
        </w:rPr>
      </w:pPr>
    </w:p>
    <w:p w:rsidR="00000000" w:rsidRDefault="00000000">
      <w:r>
        <w:t>520.</w:t>
      </w:r>
      <w:r>
        <w:tab/>
        <w:t>В связи со сложившимися обстоятельствами некогда высокоцентрализованная и единая образовательная система во время войны была разделена на три отдельных системы.  Общая организационно-правовая основа обеспечения образования, т.е. структура образования, во всех трех системах осталась прежней, но появились большие различия, связанные с планами и учебными программами, в частности, в отношении преподавания родного языка и литературы, истории, географии, музыки и гуманитарных наук.  В школах, находящихся на территориях, контролируемых боснийскими хорватами, использовались планы и учебные программы Республики Хорватии, а в школах, находящихся на территориях, контролируемых боснийскими сербами, - планы и учебные программы Федеративной Республики Югославии.  В школах, находящихся на территориях, контролируемых босняками, планы и учебные программы Республики Боснии и Герцеговины использовались до тех пор, пока в 1994 году не были разработаны новые планы и учебные программы и не было выпущено значительное количество учебников.  Поскольку во время войны условия жизни и работы были чрезвычайно трудными и зачастую даже опасными, образовательный процесс почти по всей стране был прерван.</w:t>
      </w:r>
    </w:p>
    <w:p w:rsidR="00000000" w:rsidRDefault="00000000">
      <w:pPr>
        <w:rPr>
          <w:sz w:val="22"/>
        </w:rPr>
      </w:pPr>
    </w:p>
    <w:p w:rsidR="00000000" w:rsidRDefault="00000000">
      <w:pPr>
        <w:rPr>
          <w:b/>
          <w:bCs/>
        </w:rPr>
      </w:pPr>
      <w:r>
        <w:rPr>
          <w:b/>
          <w:bCs/>
        </w:rPr>
        <w:t>Дейтонские положения об образовании</w:t>
      </w:r>
    </w:p>
    <w:p w:rsidR="00000000" w:rsidRDefault="00000000">
      <w:pPr>
        <w:rPr>
          <w:b/>
          <w:bCs/>
          <w:sz w:val="22"/>
        </w:rPr>
      </w:pPr>
    </w:p>
    <w:p w:rsidR="00000000" w:rsidRDefault="00000000">
      <w:r>
        <w:t>521.</w:t>
      </w:r>
      <w:r>
        <w:tab/>
        <w:t xml:space="preserve">Согласно Дейтонскому соглашению основными административными полномочиями наделены Образования, в компетенции которых находятся вопросы образования, науки и культуры.  В Федерации Боснии и Герцеговины в соответствии с ее Конституцией (глава III, статья 4b) обеспечение образования децентрализовано путем передачи соответствующих полномочий кантонам.  В Республике Сербской обеспечение образования централизовано на уровне Образования. </w:t>
      </w:r>
    </w:p>
    <w:p w:rsidR="00000000" w:rsidRDefault="00000000"/>
    <w:p w:rsidR="00000000" w:rsidRDefault="00000000">
      <w:pPr>
        <w:spacing w:line="240" w:lineRule="auto"/>
        <w:rPr>
          <w:b/>
          <w:bCs/>
        </w:rPr>
      </w:pPr>
      <w:r>
        <w:rPr>
          <w:b/>
          <w:bCs/>
        </w:rPr>
        <w:t>Конституционные положения</w:t>
      </w:r>
    </w:p>
    <w:p w:rsidR="00000000" w:rsidRDefault="00000000">
      <w:pPr>
        <w:spacing w:line="240" w:lineRule="auto"/>
        <w:rPr>
          <w:b/>
          <w:bCs/>
        </w:rPr>
      </w:pPr>
    </w:p>
    <w:p w:rsidR="00000000" w:rsidRDefault="00000000">
      <w:pPr>
        <w:spacing w:line="240" w:lineRule="auto"/>
        <w:rPr>
          <w:b/>
          <w:bCs/>
        </w:rPr>
      </w:pPr>
      <w:r>
        <w:rPr>
          <w:b/>
          <w:bCs/>
        </w:rPr>
        <w:tab/>
        <w:t>Конституция Боснии и Герцеговины</w:t>
      </w:r>
    </w:p>
    <w:p w:rsidR="00000000" w:rsidRDefault="00000000">
      <w:pPr>
        <w:rPr>
          <w:b/>
          <w:bCs/>
        </w:rPr>
      </w:pPr>
    </w:p>
    <w:p w:rsidR="00000000" w:rsidRDefault="00000000">
      <w:r>
        <w:t>522.</w:t>
      </w:r>
      <w:r>
        <w:tab/>
        <w:t>В широкий круг прав и свобод, поощряемых и гарантируемых Конституцией Боснии и Герцеговины и международными документами, являющимися составной частью Конституции, входит право на образование (статья II.3 "I" Конституции Боснии и Герцеговины).</w:t>
      </w:r>
    </w:p>
    <w:p w:rsidR="00000000" w:rsidRDefault="00000000"/>
    <w:p w:rsidR="00000000" w:rsidRDefault="00000000">
      <w:r>
        <w:t>523.</w:t>
      </w:r>
      <w:r>
        <w:tab/>
        <w:t xml:space="preserve">Конституция устанавливает ответственность государства Боснии и Герцеговины и обоих Образований за обеспечение наивысшего уровня международно признанных прав человека и основных свобод (статья II.1 Конституции).  Это означает, что обеспечение гарантий в отношении прав человека и ответственность за недискриминацию в осуществлении таких прав возлагаются на государство и Образования и что власти на всех уровнях принятия решений должны обеспечить защиту охраняемых Конституцией прав человека и свобод, включая право на образование. </w:t>
      </w:r>
    </w:p>
    <w:p w:rsidR="00000000" w:rsidRDefault="00000000"/>
    <w:p w:rsidR="00000000" w:rsidRDefault="00000000">
      <w:r>
        <w:t>524.</w:t>
      </w:r>
      <w:r>
        <w:tab/>
        <w:t>Далее Конституция Боснии и Герцеговины определяет конкретное распределение ответственности между государством и Образованиями и взаимоотношения между институтами государства и Образований.  Все государственные функции, которые прямо не возложены на институты Боснии и Герцеговины, принадлежат Образованиям (статья III.3 а) Конституции).  В этом смысле специальная и конкретная ответственность за организацию и управление системой образования лежит на Образованиях, т.е. на федеральных единицах.</w:t>
      </w:r>
    </w:p>
    <w:p w:rsidR="00000000" w:rsidRDefault="00000000"/>
    <w:p w:rsidR="00000000" w:rsidRDefault="00000000">
      <w:r>
        <w:t>525.</w:t>
      </w:r>
      <w:r>
        <w:tab/>
        <w:t>Кроме того,  конституционные положения поощряют координацию между Образованиями в вопросах, не относящихся к компетенции Боснии и Герцеговины, как это предусмотрено в ее Конституции.  Конституция также предусматривает возможность принятия на себя Боснией и Герцеговиной ответственности в вопросах, по которым между Образованиями достигнуто соглашение, и создания новых институтов Боснии и Герцеговины для реализации такой ответственности (статья III.4.5. а) Конституции Боснии и Герцеговины).</w:t>
      </w:r>
    </w:p>
    <w:p w:rsidR="00000000" w:rsidRDefault="00000000"/>
    <w:p w:rsidR="00000000" w:rsidRDefault="00000000">
      <w:r>
        <w:t>526.</w:t>
      </w:r>
      <w:r>
        <w:tab/>
        <w:t>Конституция Федерации Боснии и Герцеговины предусматривает реализацию концепции децентрализации образования путем распределения ответственности между властями Федерации и властями федеральных единиц - кантонов.  Путем определения исключительной ответственности Федерации, ответственности, распределенной между Федерацией и кантонами, а также особой ответственности кантонов было осуществлено общее перераспределение полномочий на всех уровнях принятия решений.</w:t>
      </w:r>
    </w:p>
    <w:p w:rsidR="00000000" w:rsidRDefault="00000000"/>
    <w:p w:rsidR="00000000" w:rsidRDefault="00000000">
      <w:r>
        <w:t>527.</w:t>
      </w:r>
      <w:r>
        <w:tab/>
        <w:t>В соответствии со своими конституционными положениями власти Федерации и кантоны совместно или индивидуально или же в рамках кантонов при условии координации со стороны властей Федерации несут ответственность за обеспечение осуществления прав человека, в том числе права на образование.  В отношении распределения ответственности между властями Федерации и кантонов действуют постоянные соглашения (статья III.2 a) и 3. (1) и (2) Конституции Боснии и Герцеговины).</w:t>
      </w:r>
    </w:p>
    <w:p w:rsidR="00000000" w:rsidRDefault="00000000"/>
    <w:p w:rsidR="00000000" w:rsidRDefault="00000000">
      <w:pPr>
        <w:keepNext/>
      </w:pPr>
      <w:r>
        <w:t>528.</w:t>
      </w:r>
      <w:r>
        <w:tab/>
        <w:t>В области образования кантоны, в частности, несут ответственность за:</w:t>
      </w:r>
    </w:p>
    <w:p w:rsidR="00000000" w:rsidRDefault="00000000">
      <w:pPr>
        <w:keepNext/>
      </w:pPr>
    </w:p>
    <w:p w:rsidR="00000000" w:rsidRDefault="00000000">
      <w:r>
        <w:tab/>
        <w:t>a)</w:t>
      </w:r>
      <w:r>
        <w:tab/>
        <w:t>определение политики в области образования;</w:t>
      </w:r>
    </w:p>
    <w:p w:rsidR="00000000" w:rsidRDefault="00000000">
      <w:r>
        <w:tab/>
        <w:t>b)</w:t>
      </w:r>
      <w:r>
        <w:tab/>
        <w:t>принятие нормативно-правовых актов в области образования;  и</w:t>
      </w:r>
    </w:p>
    <w:p w:rsidR="00000000" w:rsidRDefault="00000000">
      <w:r>
        <w:tab/>
        <w:t>c)</w:t>
      </w:r>
      <w:r>
        <w:tab/>
        <w:t>обеспечение образования (статья III.4. b) Конституции Боснии и Герцеговины).</w:t>
      </w:r>
    </w:p>
    <w:p w:rsidR="00000000" w:rsidRDefault="00000000"/>
    <w:p w:rsidR="00000000" w:rsidRDefault="00000000">
      <w:r>
        <w:t xml:space="preserve">Все кантональные конституции также провозглашают и поощряют права человека и свободы, исходя из постоянного обязательства кантонов и органов местного самоуправления обеспечивать их полную защиту и осуществление. </w:t>
      </w:r>
    </w:p>
    <w:p w:rsidR="00000000" w:rsidRDefault="00000000"/>
    <w:p w:rsidR="00000000" w:rsidRDefault="00000000">
      <w:r>
        <w:t>529.</w:t>
      </w:r>
      <w:r>
        <w:tab/>
        <w:t xml:space="preserve">Ответственность, определенная как особая ответственность кантонов в области образования, может делегироваться и передаваться властям Федерации или органам местного самоуправления (статья </w:t>
      </w:r>
      <w:r>
        <w:rPr>
          <w:lang w:val="en-US"/>
        </w:rPr>
        <w:t>V</w:t>
      </w:r>
      <w:r>
        <w:t>.1.2 (1) Конституции Боснии и Герцеговины).  Все кантональные конституции предусматривают эту возможность, а также обязательство передавать особую ответственность тем муниципалитетам в рамках кантона, где большинство населения по своему этническому составу является меньшинством в кантоне в целом.</w:t>
      </w:r>
    </w:p>
    <w:p w:rsidR="00000000" w:rsidRDefault="00000000"/>
    <w:p w:rsidR="00000000" w:rsidRDefault="00000000">
      <w:r>
        <w:t>530.</w:t>
      </w:r>
      <w:r>
        <w:tab/>
        <w:t xml:space="preserve">Механизмы передачи ответственности местным или федеральным властям варьируются от обязательства принять специальный закон о передаче ответственности, касающейся процедуры достижения взаимного согласия, принятия ответственности и утверждения специального закона до одностороннего решения о передаче ответственности.  Однако сформулированные конституционные положения носят все еще, главным образом, риторический характер.  Согласно имеющейся сегодня информации, ни один кантон не передал никакой конкретной кантональной ответственности в области образования властям Федерации или это было сделано в незначительной степени лишь на низких уровнях полномочий и принятия решений и в рамках положений специальных законов об образовании (например, в отношении органов местного самоуправления как основателей учебных учреждений на некоторых уровнях образования и участия в (со)финансировании различных элементов предоставляемых учащимся стандартных услуг - транспорт, питание и т.д.).  </w:t>
      </w:r>
    </w:p>
    <w:p w:rsidR="00000000" w:rsidRDefault="00000000"/>
    <w:p w:rsidR="00000000" w:rsidRDefault="00000000">
      <w:pPr>
        <w:rPr>
          <w:b/>
          <w:bCs/>
        </w:rPr>
      </w:pPr>
      <w:r>
        <w:rPr>
          <w:b/>
          <w:bCs/>
        </w:rPr>
        <w:t>Конституция Республики Сербской</w:t>
      </w:r>
    </w:p>
    <w:p w:rsidR="00000000" w:rsidRDefault="00000000">
      <w:pPr>
        <w:rPr>
          <w:b/>
          <w:bCs/>
        </w:rPr>
      </w:pPr>
    </w:p>
    <w:p w:rsidR="00000000" w:rsidRDefault="00000000">
      <w:r>
        <w:t>531.</w:t>
      </w:r>
      <w:r>
        <w:tab/>
        <w:t>Конституция Республики Сербской гарантирует каждому гражданину право на образование.  Образование является обязательным для всех детей в возрасте до 16 лет.  Как начальное, так и среднее образование является бесплатным.  Кроме того, "среднее и высшее образование доступно для всех при равных условиях" (статья 38 Конституции).  Статья 7 Конституции предписывает использование в качестве официального сербский язык и кириллицу, а "на территориях, где проживают другие языковые группы, официально также используются их языки и алфавиты".  Здесь следует упомянуть о невозможности выполнять конституционное обязательство в отношении бесплатного обеспечения начального образования.  Речь идет о том, что лишь небольшое число учащихся (по социальным мотивам) получают бесплатные учебники, а перевозка учащихся (которые преодолевают расстояние более 4 км) не организована наилучшим возможным образом.</w:t>
      </w:r>
    </w:p>
    <w:p w:rsidR="00000000" w:rsidRDefault="00000000"/>
    <w:p w:rsidR="00000000" w:rsidRDefault="00000000">
      <w:pPr>
        <w:rPr>
          <w:b/>
          <w:bCs/>
        </w:rPr>
      </w:pPr>
      <w:r>
        <w:rPr>
          <w:b/>
          <w:bCs/>
        </w:rPr>
        <w:t>Статут Района Брчко</w:t>
      </w:r>
    </w:p>
    <w:p w:rsidR="00000000" w:rsidRDefault="00000000">
      <w:pPr>
        <w:rPr>
          <w:b/>
          <w:bCs/>
        </w:rPr>
      </w:pPr>
    </w:p>
    <w:p w:rsidR="00000000" w:rsidRDefault="00000000">
      <w:r>
        <w:t>532.</w:t>
      </w:r>
      <w:r>
        <w:tab/>
        <w:t xml:space="preserve">В соответствии со статьей 9 </w:t>
      </w:r>
      <w:r>
        <w:rPr>
          <w:lang w:val="en-US"/>
        </w:rPr>
        <w:t>g</w:t>
      </w:r>
      <w:r>
        <w:t>) Статута Района Брчко Боснии и Герцеговины установлены функции Района Брчко, в том числе в области образования.  Статья 13 Статута признает право каждого пользоваться всеми правами и свободами, гарантированными Конституцией и законодательством Боснии и Герцеговины, а также законами Района Брчко без какой-либо дискриминации по любому признаку.</w:t>
      </w:r>
    </w:p>
    <w:p w:rsidR="00000000" w:rsidRDefault="00000000"/>
    <w:p w:rsidR="00000000" w:rsidRDefault="00000000">
      <w:r>
        <w:t>533.</w:t>
      </w:r>
      <w:r>
        <w:tab/>
        <w:t>Статья 16 Статута Района Брчко устанавливает, что каждое лицо имеет право на образование без дискриминации.  Начальное образование является обязательным и бесплатным.  Среднее образование является бесплатным.  Частные школы и высшие учебные заведения могут создаваться в соответствии с законодательством.</w:t>
      </w:r>
    </w:p>
    <w:p w:rsidR="00000000" w:rsidRDefault="00000000"/>
    <w:p w:rsidR="00000000" w:rsidRDefault="00000000">
      <w:r>
        <w:t>534.</w:t>
      </w:r>
      <w:r>
        <w:tab/>
        <w:t>В соответствии со статьей 47 Статута градоначальник согласно организационному плану (статья 9) создает различные отделы, в том числе отдел образования.</w:t>
      </w:r>
    </w:p>
    <w:p w:rsidR="00000000" w:rsidRDefault="00000000"/>
    <w:p w:rsidR="00000000" w:rsidRDefault="00000000">
      <w:pPr>
        <w:rPr>
          <w:b/>
          <w:bCs/>
        </w:rPr>
      </w:pPr>
      <w:r>
        <w:rPr>
          <w:b/>
          <w:bCs/>
        </w:rPr>
        <w:t>Реформа законодательства в области образования</w:t>
      </w:r>
    </w:p>
    <w:p w:rsidR="00000000" w:rsidRDefault="00000000">
      <w:pPr>
        <w:rPr>
          <w:b/>
          <w:bCs/>
        </w:rPr>
      </w:pPr>
    </w:p>
    <w:p w:rsidR="00000000" w:rsidRDefault="00000000">
      <w:r>
        <w:t>535.</w:t>
      </w:r>
      <w:r>
        <w:tab/>
        <w:t>Таким образом, вышеперечисленные конституционные положения создают общую основу для децентрализации образования, которая обеспечивает дальнейшее развитие этого процесса в направлении более низких и более высоких уровней принятия решений.  Как было сказано выше, Конституция Боснии и Герцеговины и Конституция Федерации Боснии и Герцеговины поощряют и поддерживают подобные процессы, определяя обязательство или предусматривая возможность делегировать существующую и устанавливать новую ответственность и создавать институты в области образования.</w:t>
      </w:r>
    </w:p>
    <w:p w:rsidR="00000000" w:rsidRDefault="00000000"/>
    <w:p w:rsidR="00000000" w:rsidRDefault="00000000">
      <w:r>
        <w:t>536.</w:t>
      </w:r>
      <w:r>
        <w:tab/>
        <w:t>В этом смысле и в целях обеспечения адекватной правовой основы для организации системы образования в Боснии и Герцеговине и создания эффективных механизмов для управления образованием в целом и непрерывным, а не фрагментарным и частичным, процессом документ о начальных стратегических целях реформы образования (представлен Совету по выполнению Мирного соглашения для Боснии и Герцеговины в Брюсселе в ноябре 2002 года) предусматривает, среди прочего, реформу действующего законодательства в области образования в Боснии и Герцеговине.</w:t>
      </w:r>
    </w:p>
    <w:p w:rsidR="00000000" w:rsidRDefault="00000000"/>
    <w:p w:rsidR="00000000" w:rsidRDefault="00000000">
      <w:r>
        <w:t>537.</w:t>
      </w:r>
      <w:r>
        <w:tab/>
        <w:t xml:space="preserve">Реформа законодательства в области образования призвана обеспечить гармонизацию и обновление многочисленных закрытых и стереотипных законов об образовании, не отвечающих требованиям децентрализованного образования.  С другой стороны, ожидается, что реформа законодательства в области образования позволит обеспечить равный доступ к образованию всем людям в Боснии и Герцеговине и реализацию ими своего права на образование и гарантировать выполнение необходимых требований и предварительных условий, с тем чтобы осуществить гармонизацию и достичь качественного уровня образования, отвечающего европейским и мировым стандартам.  </w:t>
      </w:r>
    </w:p>
    <w:p w:rsidR="00000000" w:rsidRDefault="00000000"/>
    <w:p w:rsidR="00000000" w:rsidRDefault="00000000">
      <w:pPr>
        <w:rPr>
          <w:b/>
          <w:bCs/>
        </w:rPr>
      </w:pPr>
      <w:r>
        <w:rPr>
          <w:b/>
          <w:bCs/>
        </w:rPr>
        <w:t>Обзор законов и нормативно-правовых актов в области образования</w:t>
      </w:r>
    </w:p>
    <w:p w:rsidR="00000000" w:rsidRDefault="00000000">
      <w:pPr>
        <w:rPr>
          <w:b/>
          <w:bCs/>
        </w:rPr>
      </w:pPr>
    </w:p>
    <w:p w:rsidR="00000000" w:rsidRDefault="00000000">
      <w:r>
        <w:t>538.</w:t>
      </w:r>
      <w:r>
        <w:tab/>
        <w:t>В области образования в Боснии и Герцеговине был принят Рамочный закон о начальном и среднем образовании.  В настоящее время идет подготовка проекта закона о высшем образовании, а в Образованиях и в Районе Брчко были приняты следующие законы:  Закон о доначальном образовании, Закон о начальном образовании, Закон о среднем образовании и Закон о высшем образовании.</w:t>
      </w:r>
    </w:p>
    <w:p w:rsidR="00000000" w:rsidRDefault="00000000"/>
    <w:p w:rsidR="00000000" w:rsidRDefault="00000000">
      <w:r>
        <w:t>539.</w:t>
      </w:r>
      <w:r>
        <w:tab/>
        <w:t>Договоренности между Образованиями включают:</w:t>
      </w:r>
    </w:p>
    <w:p w:rsidR="00000000" w:rsidRDefault="00000000">
      <w:pPr>
        <w:rPr>
          <w:sz w:val="22"/>
        </w:rPr>
      </w:pPr>
    </w:p>
    <w:p w:rsidR="00000000" w:rsidRDefault="00000000">
      <w:r>
        <w:tab/>
        <w:t>а)</w:t>
      </w:r>
      <w:r>
        <w:tab/>
        <w:t>Заявление о намерениях, Брюссель, ноябрь 2000 года;</w:t>
      </w:r>
    </w:p>
    <w:p w:rsidR="00000000" w:rsidRDefault="00000000">
      <w:pPr>
        <w:rPr>
          <w:sz w:val="22"/>
        </w:rPr>
      </w:pPr>
    </w:p>
    <w:p w:rsidR="00000000" w:rsidRDefault="00000000">
      <w:pPr>
        <w:ind w:left="1134" w:hanging="1134"/>
      </w:pPr>
      <w:r>
        <w:tab/>
      </w:r>
      <w:r>
        <w:rPr>
          <w:lang w:val="en-US"/>
        </w:rPr>
        <w:t>b</w:t>
      </w:r>
      <w:r>
        <w:t>)</w:t>
      </w:r>
      <w:r>
        <w:tab/>
        <w:t>Письмо о намерении присоединиться к Болонской декларации от 2001/2002 года;</w:t>
      </w:r>
    </w:p>
    <w:p w:rsidR="00000000" w:rsidRDefault="00000000">
      <w:pPr>
        <w:ind w:left="1134" w:hanging="1134"/>
        <w:rPr>
          <w:sz w:val="22"/>
        </w:rPr>
      </w:pPr>
    </w:p>
    <w:p w:rsidR="00000000" w:rsidRDefault="00000000">
      <w:pPr>
        <w:ind w:left="1134" w:hanging="1134"/>
      </w:pPr>
      <w:r>
        <w:tab/>
        <w:t>с)</w:t>
      </w:r>
      <w:r>
        <w:tab/>
        <w:t>Соглашение об общей основной учебной программе, 8 августа 2003 года, Сараево;</w:t>
      </w:r>
    </w:p>
    <w:p w:rsidR="00000000" w:rsidRDefault="00000000">
      <w:pPr>
        <w:ind w:left="1134" w:hanging="1134"/>
        <w:rPr>
          <w:sz w:val="22"/>
        </w:rPr>
      </w:pPr>
    </w:p>
    <w:p w:rsidR="00000000" w:rsidRDefault="00000000">
      <w:pPr>
        <w:ind w:left="1134" w:hanging="1134"/>
      </w:pPr>
      <w:r>
        <w:tab/>
      </w:r>
      <w:r>
        <w:rPr>
          <w:lang w:val="en-US"/>
        </w:rPr>
        <w:t>d</w:t>
      </w:r>
      <w:r>
        <w:t>)</w:t>
      </w:r>
      <w:r>
        <w:tab/>
        <w:t>Болонскую декларацию, апрель 2002 года.</w:t>
      </w:r>
    </w:p>
    <w:p w:rsidR="00000000" w:rsidRDefault="00000000">
      <w:pPr>
        <w:ind w:left="1134" w:hanging="1134"/>
        <w:rPr>
          <w:sz w:val="22"/>
        </w:rPr>
      </w:pPr>
    </w:p>
    <w:p w:rsidR="00000000" w:rsidRDefault="00000000">
      <w:pPr>
        <w:ind w:left="1134" w:hanging="1134"/>
        <w:rPr>
          <w:b/>
          <w:bCs/>
        </w:rPr>
      </w:pPr>
      <w:r>
        <w:rPr>
          <w:b/>
          <w:bCs/>
        </w:rPr>
        <w:t>Временное соглашение о детях-возвращенцах</w:t>
      </w:r>
    </w:p>
    <w:p w:rsidR="00000000" w:rsidRDefault="00000000">
      <w:pPr>
        <w:ind w:left="1134" w:hanging="1134"/>
        <w:rPr>
          <w:b/>
          <w:bCs/>
        </w:rPr>
      </w:pPr>
    </w:p>
    <w:p w:rsidR="00000000" w:rsidRDefault="00000000">
      <w:pPr>
        <w:tabs>
          <w:tab w:val="clear" w:pos="1134"/>
          <w:tab w:val="left" w:pos="1122"/>
        </w:tabs>
      </w:pPr>
      <w:r>
        <w:t>540.</w:t>
      </w:r>
      <w:r>
        <w:tab/>
        <w:t>5 марта 2002 года министры образования Образований подписали Временное соглашение об обеспечении специальных потребностей и прав детей-возвращенцев.  Цель этого Соглашения заключалась в обеспечении выполнения очевидного требования увеличить количество детей-возвращенцев, зачисленных в школы по всей Боснии и Герцеговине, особенно в школы, где они находятся в меньшинстве.</w:t>
      </w:r>
    </w:p>
    <w:p w:rsidR="00000000" w:rsidRDefault="00000000">
      <w:pPr>
        <w:tabs>
          <w:tab w:val="clear" w:pos="1134"/>
          <w:tab w:val="left" w:pos="1122"/>
        </w:tabs>
      </w:pPr>
    </w:p>
    <w:p w:rsidR="00000000" w:rsidRDefault="00000000">
      <w:pPr>
        <w:tabs>
          <w:tab w:val="clear" w:pos="1134"/>
          <w:tab w:val="left" w:pos="1122"/>
        </w:tabs>
      </w:pPr>
      <w:r>
        <w:t>541.</w:t>
      </w:r>
      <w:r>
        <w:tab/>
        <w:t>Временное соглашение обеспечивает возможность найма большего количества учителей-возвращенцев и предусматривает, что этнический состав школьных советов должен отражать этнический состав местного населения.  Временное соглашение также предусматривает, что министерства образования должны издать инструкции по осуществлению Соглашения и назначить представителей своих министерств, отвечающих за решение проблем детей-возвращенцев.</w:t>
      </w:r>
    </w:p>
    <w:p w:rsidR="00000000" w:rsidRDefault="00000000">
      <w:pPr>
        <w:tabs>
          <w:tab w:val="clear" w:pos="1134"/>
          <w:tab w:val="left" w:pos="1122"/>
        </w:tabs>
      </w:pPr>
    </w:p>
    <w:p w:rsidR="00000000" w:rsidRDefault="00000000">
      <w:pPr>
        <w:tabs>
          <w:tab w:val="clear" w:pos="1134"/>
          <w:tab w:val="left" w:pos="1122"/>
        </w:tabs>
      </w:pPr>
      <w:r>
        <w:t>542.</w:t>
      </w:r>
      <w:r>
        <w:tab/>
        <w:t xml:space="preserve">В этом Соглашении для родителей-возвращенцев предусматривается также возможность получения их детьми образования по "национальной группе предметов".  Это означает, что учащиеся могут посещать занятия на своем родном языке по литературе, истории, географии, природоведению и естествознанию, а также по изучению религии в соответствии с учебными программами для своих соответствующих этнических групп. </w:t>
      </w:r>
    </w:p>
    <w:p w:rsidR="00000000" w:rsidRDefault="00000000">
      <w:pPr>
        <w:tabs>
          <w:tab w:val="clear" w:pos="1134"/>
          <w:tab w:val="left" w:pos="1122"/>
        </w:tabs>
      </w:pPr>
    </w:p>
    <w:p w:rsidR="00000000" w:rsidRDefault="00000000">
      <w:pPr>
        <w:tabs>
          <w:tab w:val="clear" w:pos="1134"/>
          <w:tab w:val="left" w:pos="1122"/>
        </w:tabs>
      </w:pPr>
      <w:r>
        <w:t>543.</w:t>
      </w:r>
      <w:r>
        <w:tab/>
        <w:t>Для обеспечения полного выполнения Соглашения был создан Координационный совет, включающий представителей всех министерств образования Образований и кантонов.  Был разработан всеобъемлющий план выполнения Соглашения, подлежащий подписанию министрами образования Образований и кантонов 13 ноября 2002 года.  В этом плане сформулированы условия, необходимые для организации и финансирования образования детей-возвращенцев по национальной группе предметов.</w:t>
      </w:r>
    </w:p>
    <w:p w:rsidR="00000000" w:rsidRDefault="00000000">
      <w:pPr>
        <w:tabs>
          <w:tab w:val="clear" w:pos="1134"/>
          <w:tab w:val="left" w:pos="1122"/>
        </w:tabs>
      </w:pPr>
    </w:p>
    <w:p w:rsidR="00000000" w:rsidRDefault="00000000">
      <w:pPr>
        <w:keepNext/>
        <w:tabs>
          <w:tab w:val="clear" w:pos="1134"/>
          <w:tab w:val="left" w:pos="1122"/>
        </w:tabs>
        <w:rPr>
          <w:b/>
          <w:bCs/>
        </w:rPr>
      </w:pPr>
      <w:r>
        <w:rPr>
          <w:b/>
          <w:bCs/>
        </w:rPr>
        <w:t>Рамочный закон о начальном и среднем образовании в Боснии и Герцеговине</w:t>
      </w:r>
    </w:p>
    <w:p w:rsidR="00000000" w:rsidRDefault="00000000">
      <w:pPr>
        <w:keepNext/>
        <w:tabs>
          <w:tab w:val="clear" w:pos="1134"/>
          <w:tab w:val="left" w:pos="1122"/>
        </w:tabs>
        <w:rPr>
          <w:b/>
          <w:bCs/>
        </w:rPr>
      </w:pPr>
    </w:p>
    <w:p w:rsidR="00000000" w:rsidRDefault="00000000">
      <w:pPr>
        <w:tabs>
          <w:tab w:val="clear" w:pos="1134"/>
          <w:tab w:val="left" w:pos="1122"/>
        </w:tabs>
      </w:pPr>
      <w:r>
        <w:t>544.</w:t>
      </w:r>
      <w:r>
        <w:tab/>
        <w:t>Право на образование как основное право человека и образование как род деятельности, который несет атрибуты деятельности, представляющей особый общественный интерес, не могут находиться исключительно в сфере внимания правительства на региональном или местном уровнях.  Ключ к обеспечению эффективного принятия обществом ответственности и обязанностей в области образования лежит в пересмотре функций на всех уровнях власти и в создании потенциала по обеспечению развития законодательства в области образования и, следовательно, системы образования.</w:t>
      </w:r>
    </w:p>
    <w:p w:rsidR="00000000" w:rsidRDefault="00000000">
      <w:pPr>
        <w:tabs>
          <w:tab w:val="clear" w:pos="1134"/>
          <w:tab w:val="left" w:pos="1122"/>
        </w:tabs>
      </w:pPr>
    </w:p>
    <w:p w:rsidR="00000000" w:rsidRDefault="00000000">
      <w:pPr>
        <w:tabs>
          <w:tab w:val="clear" w:pos="1134"/>
          <w:tab w:val="left" w:pos="1122"/>
        </w:tabs>
      </w:pPr>
      <w:r>
        <w:t>545.</w:t>
      </w:r>
      <w:r>
        <w:tab/>
        <w:t>В соответствии с конституционной обязанностью государства Боснии и Герцеговины обеспечивать защиту права на образование был принят Рамочный закон о начальном и среднем образовании в Боснии и Герцеговине, в котором сформулированы "основные принципы доначального, начального и среднего образования, образования взрослых, а также создания и деятельности учреждений, предоставляющих услуги в области образования в Боснии и Герцеговине".  (Текст Закона содержится в приложении.)</w:t>
      </w:r>
    </w:p>
    <w:p w:rsidR="00000000" w:rsidRDefault="00000000">
      <w:pPr>
        <w:tabs>
          <w:tab w:val="clear" w:pos="1134"/>
          <w:tab w:val="left" w:pos="1122"/>
        </w:tabs>
      </w:pPr>
    </w:p>
    <w:p w:rsidR="00000000" w:rsidRDefault="00000000">
      <w:pPr>
        <w:tabs>
          <w:tab w:val="clear" w:pos="1134"/>
          <w:tab w:val="left" w:pos="1122"/>
        </w:tabs>
      </w:pPr>
      <w:r>
        <w:t>546.</w:t>
      </w:r>
      <w:r>
        <w:tab/>
        <w:t>Предложение и принятие подобного общего закона на национальном уровне является первым и наиболее важным шагом на пути создания адекватной правовой основы для законных действий всех заинтересованных сторон в области образования, и, кроме того, среди прочего, он позволяет государству Боснии и Герцеговины обеспечить свое присутствие на "входе" и "выходе" своей собственной системы образования и нести ответственность за ее качество, как это практикуется в европейских и других странах.</w:t>
      </w:r>
    </w:p>
    <w:p w:rsidR="00000000" w:rsidRDefault="00000000">
      <w:pPr>
        <w:tabs>
          <w:tab w:val="clear" w:pos="1134"/>
          <w:tab w:val="left" w:pos="1122"/>
        </w:tabs>
      </w:pPr>
    </w:p>
    <w:p w:rsidR="00000000" w:rsidRDefault="00000000">
      <w:r>
        <w:t>547.</w:t>
      </w:r>
      <w:r>
        <w:tab/>
        <w:t>Закон вводит общие основные учебные программы и другие образовательные стандарты, а также определяет соответствующий механизм для их осуществления, контроля и развития, что является важным предварительным условием для гармонизации действующей параллельно системы образования.  Это должно привести к достижению необходимого уровня последовательности и специализации системы образования Боснии и Герцеговины, а также к обеспечению гармонизации и достижению соответствующего качества образования.  Оно будет поддаваться измерению и сравнению на национальном и международном уровнях.</w:t>
      </w:r>
    </w:p>
    <w:p w:rsidR="00000000" w:rsidRDefault="00000000"/>
    <w:p w:rsidR="00000000" w:rsidRDefault="00000000">
      <w:r>
        <w:t>548.</w:t>
      </w:r>
      <w:r>
        <w:tab/>
        <w:t>Законодательство Федерации Боснии и Герцеговины в области образования является весьма широким вследствие параллельного осуществления нового кантонального законодательства и большого количества прежних федеральных нормативно-правовых актов, главным образом законодательства о среднем образовании.  Почти все кантоны приняли свои собственные нормативно-правовые акты в качестве базовых законов по практически всем уровням образования (см. перечень, содержащийся в приложении).  Кроме того, многие кантоны приняли значительное количество нормативно-правовых и подзаконных актов, касающихся среднего образования.  В тех кантонах, в которых не были приняты все необходимые подзаконные акты, действует прежнее федеральное законодательство.</w:t>
      </w:r>
    </w:p>
    <w:p w:rsidR="00000000" w:rsidRDefault="00000000">
      <w:pPr>
        <w:rPr>
          <w:sz w:val="22"/>
        </w:rPr>
      </w:pPr>
    </w:p>
    <w:p w:rsidR="00000000" w:rsidRDefault="00000000">
      <w:r>
        <w:t>549.</w:t>
      </w:r>
      <w:r>
        <w:tab/>
        <w:t>В Республике Сербской были приняты следующие законы:  Закон о начальной школе, Закон о средней школе и Закон о высшем образовании.</w:t>
      </w:r>
    </w:p>
    <w:p w:rsidR="00000000" w:rsidRDefault="00000000">
      <w:pPr>
        <w:rPr>
          <w:sz w:val="22"/>
        </w:rPr>
      </w:pPr>
    </w:p>
    <w:p w:rsidR="00000000" w:rsidRDefault="00000000">
      <w:r>
        <w:t>550.</w:t>
      </w:r>
      <w:r>
        <w:tab/>
        <w:t>В Районе Брчко деятельность в области образования регулируется Законом об образовании в начальных и средних школах Района Брчко в Боснии и Герцеговине.</w:t>
      </w:r>
    </w:p>
    <w:p w:rsidR="00000000" w:rsidRDefault="00000000">
      <w:pPr>
        <w:rPr>
          <w:sz w:val="22"/>
        </w:rPr>
      </w:pPr>
    </w:p>
    <w:p w:rsidR="00000000" w:rsidRDefault="00000000">
      <w:r>
        <w:t>551.</w:t>
      </w:r>
      <w:r>
        <w:tab/>
        <w:t>Как часть реформы законодательства в области образования в Боснии и Герцеговине будет осуществляться процесс гармонизации и обновления действующего законодательства в области образования в Образованиях, т.е. в кантонах.  Этот процесс будет включать разработку и осуществление законодательства на всех уровнях образования, основанного на европейских нормах и стандартах, а также на положениях международных конвенций о правах человека.</w:t>
      </w:r>
    </w:p>
    <w:p w:rsidR="00000000" w:rsidRDefault="00000000"/>
    <w:p w:rsidR="00000000" w:rsidRDefault="00000000">
      <w:pPr>
        <w:keepNext/>
        <w:rPr>
          <w:b/>
          <w:bCs/>
        </w:rPr>
      </w:pPr>
      <w:r>
        <w:rPr>
          <w:b/>
          <w:bCs/>
        </w:rPr>
        <w:t>Предыдущие нормативно-правовые акты</w:t>
      </w:r>
    </w:p>
    <w:p w:rsidR="00000000" w:rsidRDefault="00000000">
      <w:pPr>
        <w:keepNext/>
        <w:rPr>
          <w:b/>
          <w:bCs/>
        </w:rPr>
      </w:pPr>
    </w:p>
    <w:p w:rsidR="00000000" w:rsidRDefault="00000000">
      <w:r>
        <w:t>552.</w:t>
      </w:r>
      <w:r>
        <w:tab/>
        <w:t>Прежние республиканские/федеральные нормативно-правовые акты в области образования применялись как действующие кантональные акты до тех пор, пока не были приняты новые кантональные нормативно-правовые акты.  Поскольку все десять кантонов приняли свои собственные базовые/основные законы в области образования, республиканские/федеральные законы перестали применяться.</w:t>
      </w:r>
    </w:p>
    <w:p w:rsidR="00000000" w:rsidRDefault="00000000"/>
    <w:p w:rsidR="00000000" w:rsidRDefault="00000000">
      <w:r>
        <w:t>553.</w:t>
      </w:r>
      <w:r>
        <w:tab/>
        <w:t>В кантонах, которые не приняли все необходимые подзаконные акты в области образования, определенное количество старых республиканских/федеральных подзаконных актов все еще сохраняют свою силу и применяются в качестве кантональных подзаконных актов до принятия кантональных подзаконных актов.</w:t>
      </w:r>
    </w:p>
    <w:p w:rsidR="00000000" w:rsidRDefault="00000000"/>
    <w:p w:rsidR="00000000" w:rsidRDefault="00000000">
      <w:r>
        <w:t>554.</w:t>
      </w:r>
      <w:r>
        <w:tab/>
        <w:t>Во всех действующих в Образованиях и в Районе Брчко законах, касающихся образования, указывается, что образование является вопросом общественного значения и в связи с этим начальное образование является обязательным как для мальчиков, так и для девочек.</w:t>
      </w:r>
    </w:p>
    <w:p w:rsidR="00000000" w:rsidRDefault="00000000"/>
    <w:p w:rsidR="00000000" w:rsidRDefault="00000000">
      <w:r>
        <w:t>555.</w:t>
      </w:r>
      <w:r>
        <w:tab/>
        <w:t>Неэффективное и непрозрачное выделение средств на финансирование образовательной деятельности предопределяет условия, в которых будут работать будущие учителя.  Вообще имеет место очевидное несоответствие между образованием и фактическими потребностями преподавательской практики;  существует слишком много формализма в профессиональной подготовке учителей и проблем, которые являются результатом перегруженности часто и произвольно изменяемых учебных программ при отсутствии необходимых учебников и современных учебных пособий.  Кроме того, неудовлетворительные педагогические стандарты, отсутствие инфраструктуры для образовательных учреждений и низкий статус преподавателей </w:t>
      </w:r>
      <w:r>
        <w:noBreakHyphen/>
        <w:t xml:space="preserve"> все это способствует ухудшению условий для осуществления высококачественного процесса обучения, несмотря на то что они являются ключом к успешной реформе образования на всех уровнях и к осуществлению в Боснии и Герцеговине Международного пакта об экономических, социальных и культурных правах.</w:t>
      </w:r>
    </w:p>
    <w:p w:rsidR="00000000" w:rsidRDefault="00000000"/>
    <w:p w:rsidR="00000000" w:rsidRDefault="00000000">
      <w:r>
        <w:t>556.</w:t>
      </w:r>
      <w:r>
        <w:tab/>
        <w:t>В июне 2003 года в Боснии и Герцеговине были принят Рамочный закон о начальном и среднем образовании.  Он предусматривает обязательное образование вместо нынешнего восьмилетнего начального образования.  Осуществление девятилетнего начального образования уже началось в Республике Сербской, и со следующего года оно начнется в Федерации Боснии и Герцеговины.  В соответствии с вышеуказанным Законом Образования и кантоны в Федерации должны были до конца 2003 года принять свои соответствующие законы о начальном и среднем образовании.</w:t>
      </w:r>
    </w:p>
    <w:p w:rsidR="00000000" w:rsidRDefault="00000000"/>
    <w:p w:rsidR="00000000" w:rsidRDefault="00000000">
      <w:r>
        <w:t>557.</w:t>
      </w:r>
      <w:r>
        <w:tab/>
        <w:t>Рамочный закон устанавливает основные принципы доначального, начального и среднего образования, образования взрослых, а также создания и деятельности учреждений, предоставляющих услуги в области образования в Боснии и Герцеговине.  В статье 16 Рамочного закона говорится, что начальное образование является обязательным и бесплатным для всех детей.  Кроме того, следует отметить, что в рамках осуществляемой в настоящее время в Боснии и Герцеговине всеобщей реформы образования планируется реформа действующих законодательств в области образования (Образований и кантональных) по всем уровням образования, начиная с доначального и кончая высшим.  Сейчас ведется работа над проектом закона о профессиональном образовании и подготовке в Боснии и Герцеговине, а также над проектом рамочного закона о высшем образовании в Боснии и Герцеговине.</w:t>
      </w:r>
    </w:p>
    <w:p w:rsidR="00000000" w:rsidRDefault="00000000"/>
    <w:p w:rsidR="00000000" w:rsidRDefault="00000000">
      <w:r>
        <w:t>558.</w:t>
      </w:r>
      <w:r>
        <w:tab/>
        <w:t>Реформа системы образования в Боснии и Герцеговине осуществляется в соответствии с европейскими стандартами, и разработаны общие основные учебные программы.  Министры образования Образований подписали Соглашение о разработке и осуществлении совместной стратегии развития начального и всеобщего среднего образования в Боснии и Герцеговине, известное как "Яхоринское соглашение".</w:t>
      </w:r>
    </w:p>
    <w:p w:rsidR="00000000" w:rsidRDefault="00000000"/>
    <w:p w:rsidR="00000000" w:rsidRDefault="00000000">
      <w:r>
        <w:t>559.</w:t>
      </w:r>
      <w:r>
        <w:tab/>
        <w:t>Кроме того, весьма важно упомянуть, что в настоящее время в Федерации Боснии и Герцеговины определяются стратегия, политика и основное направление развития образования.  При содействии международного сообщества (ОБСЕ) 21 ноября 2002 года в Брюсселе представители руководящих органов в области образования на всех уровнях (кантоны и Образования) подписали в присутствии членов Совета по выполнению Мирного соглашения документ, озаглавленный "Реформа образования".  Этот документ определяет приоритеты и основные направления развития образования в Боснии и Герцеговине с целью обеспечения того, чтобы все дети и молодежь имели возможность получить образование хорошего качества в едином многокультурном пространстве без какой-либо дискриминации и предрассудков.  Это должно обеспечить рациональное и надежное финансирование и выполнение Рамочного закона в области образования, основанного на международных конвенциях о правах человека и правах ребенка.  С целью осуществление поставленных задач и директив относительно изменений на всех уровнях образования в настоящее время осуществляется несколько проектов.</w:t>
      </w:r>
    </w:p>
    <w:p w:rsidR="00000000" w:rsidRDefault="00000000"/>
    <w:p w:rsidR="00000000" w:rsidRDefault="00000000">
      <w:r>
        <w:t>560.</w:t>
      </w:r>
      <w:r>
        <w:tab/>
        <w:t>В рамках проекта Европейского союза, являющегося формой технической помощи в реформе образования (ЕС</w:t>
      </w:r>
      <w:r>
        <w:noBreakHyphen/>
      </w:r>
      <w:r>
        <w:rPr>
          <w:lang w:val="en-US"/>
        </w:rPr>
        <w:t>TAER</w:t>
      </w:r>
      <w:r>
        <w:t>) в Боснии и Герцеговине, и во взаимодействии с руководящими органами Образований, кантонов и Района Брчко в области образования и международными организациями (Европейская комиссия и ОБСЕ) осуществляется совместная стратегия развития начального и среднего всеобщего образования.  Для руководящих органов Боснии и Герцеговины в области образования были разработаны рекомендации под названием "Зеленый документ" (май 2003 года).  После публичного обсуждения началась работа по подготовке "Белого документа", в котором определяются конкретные задачи, подлежащие выполнению в области начального и среднего образования и устанавливаются соответствующие приоритеты, в том числе в отношении гармонизации системы образования Боснии и Герцеговины с образовательной системой стран - членов Европейского союза.  Этот документ был принят в октябре 2003 года.  Что касается среднего профессионального образования, то в настоящее время осуществляется проект Европейского союза под названием "</w:t>
      </w:r>
      <w:r>
        <w:rPr>
          <w:lang w:val="en-US"/>
        </w:rPr>
        <w:t>EU</w:t>
      </w:r>
      <w:r>
        <w:t>-</w:t>
      </w:r>
      <w:r>
        <w:rPr>
          <w:lang w:val="en-US"/>
        </w:rPr>
        <w:t>VET</w:t>
      </w:r>
      <w:r>
        <w:t>".  Цель этого проекта заключается в определении новой методики профессионального образования и в разработке соответствующих учебных планов и программ подготовки преподавателей.  Этот проект осуществляется в пяти выбранных опытных школах одновременно в обоих Образованиях.</w:t>
      </w:r>
    </w:p>
    <w:p w:rsidR="00000000" w:rsidRDefault="00000000"/>
    <w:p w:rsidR="00000000" w:rsidRDefault="00000000">
      <w:r>
        <w:t>561.</w:t>
      </w:r>
      <w:r>
        <w:tab/>
        <w:t xml:space="preserve">В Федерации Боснии и Герцеговины принимались активные меры по созданию системы начального образования для лиц, не окончивших начальную школу (в рамках программы </w:t>
      </w:r>
      <w:r>
        <w:rPr>
          <w:lang w:val="en-US"/>
        </w:rPr>
        <w:t>PHARE</w:t>
      </w:r>
      <w:r>
        <w:t xml:space="preserve"> </w:t>
      </w:r>
      <w:r>
        <w:rPr>
          <w:lang w:val="en-US"/>
        </w:rPr>
        <w:t>VET</w:t>
      </w:r>
      <w:r>
        <w:t>, негосударственный сектор), однако они не представляли собой системный подход к решению данной проблемы.</w:t>
      </w:r>
    </w:p>
    <w:p w:rsidR="00000000" w:rsidRDefault="00000000"/>
    <w:p w:rsidR="00000000" w:rsidRDefault="00000000">
      <w:r>
        <w:t>562.</w:t>
      </w:r>
      <w:r>
        <w:tab/>
        <w:t>Та же статья того же вышеуказанного закона предусматривает, что ответственные органы в области образования обязаны принять необходимые меры по обеспечению условий для увеличения периода обязательного образования до уровня среднего образования.</w:t>
      </w:r>
    </w:p>
    <w:p w:rsidR="00000000" w:rsidRDefault="00000000"/>
    <w:p w:rsidR="00000000" w:rsidRDefault="00000000">
      <w:r>
        <w:t>563.</w:t>
      </w:r>
      <w:r>
        <w:tab/>
        <w:t>В статье 18 Закона говорится, что в течение периода обязательного образования ответственные органы будут принимать все необходимые меры по обеспечению учащимся условий для свободного доступа и получения образования, особенно в том, что касается обеспечения доступа к бесплатным учебникам, пособиям и другим учебным материалам.  В частности, Закон не определяет, что эти уровни образования являются платными, однако на практике были отмечены некоторые акции, которые в конечном итоге приводят к различным формам сбора средств (минимальная сумма на страхование школьной собственности от ущерба, причиняемого в течение школьного года, и на приобретение учебников, тетрадей и учебных материалов).  Учащиеся без отрыва от работы в средних школах для взрослых ежегодно оплачивают расходы на образование, сумма которых определяется ответственным министерством образования.</w:t>
      </w:r>
    </w:p>
    <w:p w:rsidR="00000000" w:rsidRDefault="00000000"/>
    <w:p w:rsidR="00000000" w:rsidRDefault="00000000">
      <w:r>
        <w:t>564.</w:t>
      </w:r>
      <w:r>
        <w:tab/>
        <w:t>В последние годы было открыто несколько колледжей (частных начальных и средних школ), которые требуют оплату расходов на образование в полном размере.  Обучение в таких колледжах может позволить себе лишь небольшая часть населения.  Среднее образование доступно и свободно для всех при условии, что учащиеся отвечают некоторым предъявляемым при поступлении критериям.  Как и начальное образование, оно является бесплатным, однако родители должны покрывать дополнительные расходы, связанные с проведением практической подготовки, которая является обязательной в большинстве средних школ.  Более высокими являются также расходы по перевозке учащихся, поскольку сеть средних школ не так развита, как сеть начальных школ.</w:t>
      </w:r>
    </w:p>
    <w:p w:rsidR="00000000" w:rsidRDefault="00000000"/>
    <w:p w:rsidR="00000000" w:rsidRDefault="00000000">
      <w:r>
        <w:t>565.</w:t>
      </w:r>
      <w:r>
        <w:tab/>
        <w:t>Высшее образование в принципе является бесплатным для студентов дневного обучения, тогда как учащиеся без отрыва от работы должны платить за свое обучение.  С учетом того, что Конституция возлагает ответственность за образование на кантоны, многие из них законодательно закрепили в своих нормативных положениях некоторые нарушения, граничащие с сегрегацией.</w:t>
      </w:r>
    </w:p>
    <w:p w:rsidR="00000000" w:rsidRDefault="00000000"/>
    <w:p w:rsidR="00000000" w:rsidRDefault="00000000">
      <w:r>
        <w:t>566.</w:t>
      </w:r>
      <w:r>
        <w:tab/>
        <w:t>Например, в одном из кантонов был принят закон, неправомерно определяющий, что включение в списки студентов возможно лишь в отношении лиц, проживающих в этом кантоне.  Отдельные кантоны установили особые критерии набора, не являющиеся единообразными для всей Боснии и Герцеговины или Федерации Боснии и Герцеговины, что вызывает трудности при переезде студентов в другие кантоны (возможность горизонтального перевода студентов).</w:t>
      </w:r>
    </w:p>
    <w:p w:rsidR="00000000" w:rsidRDefault="00000000"/>
    <w:p w:rsidR="00000000" w:rsidRDefault="00000000">
      <w:r>
        <w:t>567.</w:t>
      </w:r>
      <w:r>
        <w:tab/>
        <w:t>Любое лицо, которое по каким</w:t>
      </w:r>
      <w:r>
        <w:noBreakHyphen/>
        <w:t>либо причинам не завершило начальное образование, может получить такое обязательное образование в назначенных начальных школах, сдав экзамены и оплатив минимальные расходы.</w:t>
      </w:r>
    </w:p>
    <w:p w:rsidR="00000000" w:rsidRDefault="00000000"/>
    <w:p w:rsidR="00000000" w:rsidRDefault="00000000">
      <w:r>
        <w:t>568.</w:t>
      </w:r>
      <w:r>
        <w:tab/>
        <w:t>На основании статьи 17 Рамочного соглашения о начальном и среднем образовании в Боснии и Герцеговине было определено, что среднее образование является доступным для всех в зависимости от успехов, достигнутых в начальной школе, индивидуальных интересов и способностей.</w:t>
      </w:r>
    </w:p>
    <w:p w:rsidR="00000000" w:rsidRDefault="00000000"/>
    <w:p w:rsidR="00000000" w:rsidRDefault="00000000">
      <w:r>
        <w:t>569.</w:t>
      </w:r>
      <w:r>
        <w:tab/>
        <w:t>Основная трудность заключалась (и практически все еще заключается) в отсутствии на национальном уровне законодательства (на кантональном уровне - нормативно-правовых актов), которые гарантировали бы равное право на образование для всех в соответствии с принятыми международными документами и конвенциями.  Поэтому до учебного 2003/04 года под одной крышей существовали 52 школы, разделенные по этническому признаку, и проявлялись другие формы дискриминации в отношении детей-возвращенцев и детей из числа рома, главным образом в плане осуществления права на получение обычного образования хорошего качества (отсутствие школьных зданий или соответствующих учебных пособий в районах возвращения беженцев, противоречия в учебных программах, нетрудоустроенность родителей и т.д., а также ограниченность или отсутствие возможностей получения образования на своем родном языке).</w:t>
      </w:r>
    </w:p>
    <w:p w:rsidR="00000000" w:rsidRDefault="00000000"/>
    <w:p w:rsidR="00000000" w:rsidRDefault="00000000">
      <w:r>
        <w:t>570.</w:t>
      </w:r>
      <w:r>
        <w:tab/>
        <w:t>В ноябре 2002 года все министры образования подписали документ "Реформа образования в Боснии и Герцеговине", глобальная цель которого заключается в предложении образования хорошего качества, одинаково доступного для всех на всех уровнях системы образования.  Была принята общая базовая учебная программа, и две школы, находящиеся под одной крышей, были объединены в административном порядке (эта мера все еще вызывает спорадическое сопротивление).  Общая базовая учебная программа осуществляется с начала учебного 2003/04 года во всех школах Боснии и Герцеговины.</w:t>
      </w:r>
    </w:p>
    <w:p w:rsidR="00000000" w:rsidRDefault="00000000"/>
    <w:p w:rsidR="00000000" w:rsidRDefault="00000000">
      <w:r>
        <w:t>571.</w:t>
      </w:r>
      <w:r>
        <w:tab/>
        <w:t>Одной из ожидаемых трудностей в функционировании системы образования в Районе Брчко было преподавание на родном языке.  Эта проблема была решена путем равного использования в учебном процессе сербского, хорватского и боснийского языков, а также латиницы и кириллицы и внеклассных занятий во всех начальных и средних школах Района Брчко.</w:t>
      </w:r>
    </w:p>
    <w:p w:rsidR="00000000" w:rsidRDefault="00000000"/>
    <w:p w:rsidR="00000000" w:rsidRDefault="00000000">
      <w:r>
        <w:t>572.</w:t>
      </w:r>
      <w:r>
        <w:tab/>
        <w:t>Позитивным фактором является то, что иностранные граждане и апатриды (лица без гражданства) имеют право на получение начального и среднего образования в Районе Брчко в соответствии с положениями Закона об образовании и международных конвенций, межгосударственными соглашениями и договорами, заключенными Боснией и Герцеговиной, а также договорами и соглашениями, заключенными скупщиной Района Брчко.</w:t>
      </w:r>
    </w:p>
    <w:p w:rsidR="00000000" w:rsidRDefault="00000000"/>
    <w:p w:rsidR="00000000" w:rsidRDefault="00000000">
      <w:r>
        <w:t>573.</w:t>
      </w:r>
      <w:r>
        <w:tab/>
        <w:t>Учащийся, посещавший школу за границей, может поступить в начальную или среднюю школу в Районе Брчко после проверки свидетельств об окончании младших классов в той школе, которую он посещал.  Проверка аттестатов учащихся, поступающих в школу в Районе Брчко из какой</w:t>
      </w:r>
      <w:r>
        <w:noBreakHyphen/>
        <w:t>либо другой части Боснии и Герцеговины, не осуществляется.</w:t>
      </w:r>
    </w:p>
    <w:p w:rsidR="00000000" w:rsidRDefault="00000000"/>
    <w:p w:rsidR="00000000" w:rsidRDefault="00000000">
      <w:pPr>
        <w:rPr>
          <w:b/>
          <w:bCs/>
        </w:rPr>
      </w:pPr>
      <w:r>
        <w:rPr>
          <w:b/>
          <w:bCs/>
        </w:rPr>
        <w:t>Начальное образование</w:t>
      </w:r>
    </w:p>
    <w:p w:rsidR="00000000" w:rsidRDefault="00000000">
      <w:pPr>
        <w:rPr>
          <w:b/>
          <w:bCs/>
        </w:rPr>
      </w:pPr>
    </w:p>
    <w:p w:rsidR="00000000" w:rsidRDefault="00000000">
      <w:r>
        <w:t>574.</w:t>
      </w:r>
      <w:r>
        <w:tab/>
        <w:t>Начальное образование в Боснии и Герцеговине в учебном 2002/03 году осуществлялось в целом в 1 864 начальных школах, в которых учились 364 914 человек и работали 20 874 преподавателя, в том числе 13 502 женщины и 7 372 мужчины (более подробные данные можно найти в прилагаемой статистической сводке).</w:t>
      </w:r>
    </w:p>
    <w:p w:rsidR="00000000" w:rsidRDefault="00000000"/>
    <w:p w:rsidR="00000000" w:rsidRDefault="00000000">
      <w:r>
        <w:t>575.</w:t>
      </w:r>
      <w:r>
        <w:tab/>
        <w:t>Начальное образование является обязательным, носит общеобразовательный характер и служит основой для получения дальнейшего образования.  Начальные школы могут быть государственными или частными и как государственные учебные заведения обычно создаются кантонами или муниципалитетами.  Помимо обычных начальных школ существуют специальные начальные школы и учебные заведения, параллельные начальные школы (музыкальные и балетные) и начальные школы для взрослых.  Начальное образование в обычных начальных школах начинается по достижении детьми 7</w:t>
      </w:r>
      <w:r>
        <w:noBreakHyphen/>
        <w:t>летнего возраста и продолжается 8 лет.  Для детей с нарушениями развития начальное образование продолжается с 7</w:t>
      </w:r>
      <w:r>
        <w:noBreakHyphen/>
        <w:t>летнего до 15</w:t>
      </w:r>
      <w:r>
        <w:noBreakHyphen/>
        <w:t>летнего возраста.</w:t>
      </w:r>
    </w:p>
    <w:p w:rsidR="00000000" w:rsidRDefault="00000000"/>
    <w:p w:rsidR="00000000" w:rsidRDefault="00000000">
      <w:r>
        <w:t>576.</w:t>
      </w:r>
      <w:r>
        <w:tab/>
        <w:t>Несмотря на то что мальчикам и девочкам предоставляются равные возможности для школьного обучения между городскими и сельскими районами, существуют некоторые различия в обеспечении их образования.  Так, хотя начальное образование является обязательным, имеются данные, что в слаборазвитых сельских районах прилагаются недостаточные усилия для образования девочек.</w:t>
      </w:r>
    </w:p>
    <w:p w:rsidR="00000000" w:rsidRDefault="00000000"/>
    <w:p w:rsidR="00000000" w:rsidRDefault="00000000">
      <w:r>
        <w:t>577.</w:t>
      </w:r>
      <w:r>
        <w:tab/>
        <w:t>Еще до войны в сельских районах Боснии и Герцеговины (район Бихача, Восточная Босния) было отмечено, что девочки покидают начальные школы, чтобы заниматься сельским и домашним хозяйством.  Одной из причин преждевременного покидания школы является удаленность некоторых сельских населенных пунктов от школ.  Поэтому меры, которые должны быть приняты в рамках соответствующего законодательства, касаются главным образом полного осуществления всех международных рекомендаций в отношении выполнения законов и соблюдения прав человека, в частности Конвенции о правах ребенка.</w:t>
      </w:r>
    </w:p>
    <w:p w:rsidR="00000000" w:rsidRDefault="00000000"/>
    <w:p w:rsidR="00000000" w:rsidRDefault="00000000">
      <w:r>
        <w:t>578.</w:t>
      </w:r>
      <w:r>
        <w:tab/>
        <w:t xml:space="preserve">Духу Европейской конвенции отвечает требование повышения уровня обеспечения и защиты прав ребенка, а также применение принципа соблюдения во всех случаях наилучших интересов ребенка. </w:t>
      </w:r>
    </w:p>
    <w:p w:rsidR="00000000" w:rsidRDefault="00000000"/>
    <w:p w:rsidR="00000000" w:rsidRDefault="00000000">
      <w:r>
        <w:t>579.</w:t>
      </w:r>
      <w:r>
        <w:tab/>
        <w:t>Инспекционные службы, работающие в компетентном министерстве, не получили никаких докладов о нарушении прав женщин, связанных с образованием девочек.</w:t>
      </w:r>
    </w:p>
    <w:p w:rsidR="00000000" w:rsidRDefault="00000000"/>
    <w:p w:rsidR="00000000" w:rsidRDefault="00000000">
      <w:r>
        <w:t>580.</w:t>
      </w:r>
      <w:r>
        <w:tab/>
        <w:t xml:space="preserve">В Федерации Боснии и Герцеговины в начале 2002/03 учебного года в обычные школы записались 243 262 ученика.  В музыкальные и балетные школы (так называемые параллельные школы) записались 4 207 учеников, а в учебные заведения для детей со специальными потребностями записались 958 учеников.  Общее количество обычных начальных школ составляет 1 052, из которых 385 являются центральными и 667 районными школами.  </w:t>
      </w:r>
    </w:p>
    <w:p w:rsidR="00000000" w:rsidRDefault="00000000"/>
    <w:p w:rsidR="00000000" w:rsidRDefault="00000000">
      <w:r>
        <w:t>581.</w:t>
      </w:r>
      <w:r>
        <w:tab/>
        <w:t>В Республике Сербской начальное образование охватывает детей в возрасте 7</w:t>
      </w:r>
      <w:r>
        <w:noBreakHyphen/>
        <w:t>14 лет и является бесплатным и доступным для каждого;  оно организовано в государственных школах и финансируется из бюджета Республики Сербской.  Начальное образование обеспечивается в рамках начальных школ, специальных школ для детей с проблемами развития и отделений для начального образования взрослых (старше 16 лет).</w:t>
      </w:r>
    </w:p>
    <w:p w:rsidR="00000000" w:rsidRDefault="00000000"/>
    <w:p w:rsidR="00000000" w:rsidRDefault="00000000">
      <w:r>
        <w:t>582.</w:t>
      </w:r>
      <w:r>
        <w:tab/>
        <w:t xml:space="preserve">Параллельно с начальным образованием можно получить начальное образование в области искусств - музыки и балета.  Закон о начальных школах предусматривает право взрослых на начальное образование, а также право на дополнительное образование детей, граждан Республики Сербской, проживающих за границей.  В Республике Сербской насчитывается в общей сложности 741 начальная школа, 476 из которых являются четырехлетними и 265 - восьмилетними.  Общее количество классов в этих школах составляет 5 395, из которых в 770 практикуется объединенное обучение (один и тот же класс посещают дети разного возраста).  Наличие 14,27% классов с объединенным обучением указывает на то, что количество учеников одного возраста является недостаточным для организации нормального учебного процесса.  При проведении этого анализа использовались данные Статистического института Республики Сербской за 1999/2000 учебный год.  </w:t>
      </w:r>
    </w:p>
    <w:p w:rsidR="00000000" w:rsidRDefault="00000000"/>
    <w:p w:rsidR="00000000" w:rsidRDefault="00000000">
      <w:r>
        <w:t>583.</w:t>
      </w:r>
      <w:r>
        <w:tab/>
        <w:t xml:space="preserve">Преподавание в 1-4 классах осуществляется учителями, закончившими педагогическое учебное заведение или педагогический факультет.  В старших классах (с 5-го по 8-й) преподавание по отдельным предметам осуществляется учителями, закончившими педагогическое учебное заведение или педагогический факультет.  </w:t>
      </w:r>
    </w:p>
    <w:p w:rsidR="00000000" w:rsidRDefault="00000000"/>
    <w:p w:rsidR="00000000" w:rsidRDefault="00000000">
      <w:r>
        <w:t>584.</w:t>
      </w:r>
      <w:r>
        <w:tab/>
        <w:t>План школьных занятий и учебная программа составляются на сербском языке;  в тех случаях, когда в каком-либо классе как минимум для 20 учащихся сербский язык не является родным, школа организует курсы на их родном языке (два школьных часа еженедельно).  Когда школу посещают учащиеся только одной этнической группы, преподавание осуществляется на их родном языке с обязательным проведением занятий на сербском языке в 3-м - 8-м классах в течение двух школьных часов еженедельно.</w:t>
      </w:r>
    </w:p>
    <w:p w:rsidR="00000000" w:rsidRDefault="00000000"/>
    <w:p w:rsidR="00000000" w:rsidRDefault="00000000">
      <w:r>
        <w:t>585.</w:t>
      </w:r>
      <w:r>
        <w:tab/>
        <w:t>Среднее образование является бесплатным и входит в общую систему образования.  Оно осуществляется в средних школах, художественных школах, профессиональных школах, военных и религиозных школах.  Средние школы являются государственными:  школьные здания и зарплата преподавателей обеспечиваются за счет бюджета Республики Сербской, а текущие материальные затраты оплачиваются местной общиной.  Для учащихся с проблемами развития организуется специальное обучение по программам, скорректированным в соответствии с их способностями.  Специальные начальные и средние школы финансируются из бюджета Республики Сербской.</w:t>
      </w:r>
    </w:p>
    <w:p w:rsidR="00000000" w:rsidRDefault="00000000"/>
    <w:p w:rsidR="00000000" w:rsidRDefault="00000000">
      <w:r>
        <w:t>586.</w:t>
      </w:r>
      <w:r>
        <w:tab/>
        <w:t>Правительство Района Брчко в соответствии с Законом об образовании в начальных и средних школах Района Брчко обеспечивает начальное и среднее образование в качестве обязательного и бесплатного для всех, кто обязан посещать школу, т.е. для детей в возрасте от 6 до 15 лет.</w:t>
      </w:r>
    </w:p>
    <w:p w:rsidR="00000000" w:rsidRDefault="00000000"/>
    <w:p w:rsidR="00000000" w:rsidRDefault="00000000">
      <w:r>
        <w:t>587.</w:t>
      </w:r>
      <w:r>
        <w:tab/>
        <w:t>Деятельность в области начального образования включает воспитание и образование учащихся с нормальным физическим и психическим развитием и учащихся с психическими и/или физическими нарушениями развития, начальное музыкальное образование, дополнительное образование особо одаренных учащихся и начальное образование взрослых (это является также ответом на четвертый вопрос).  Обеспечиваемое начальное образование может быть дневным, параллельным или в рамках школ для детей с нарушенным развитием.  Начальное образование для детей с трудностями в развитии, а также дополнительное образование для особо одаренных учащихся может быть также организовано в специальных классах, созданных для этой цели в начальных школах Района и работающих по специальным скорректированным учебным программам.  В основу этих программ положены принципы современной науки и практики, демократического многонационального общества, а также опыт высокоразвитых и современных систем образования во всем мире.</w:t>
      </w:r>
    </w:p>
    <w:p w:rsidR="00000000" w:rsidRDefault="00000000"/>
    <w:p w:rsidR="00000000" w:rsidRDefault="00000000">
      <w:r>
        <w:t>588.</w:t>
      </w:r>
      <w:r>
        <w:tab/>
        <w:t xml:space="preserve">Особое внимание уделяется детям из числа рома, которые ежегодно получают достаточное количество бесплатных комплектов школьных учебников и материалов для первого класса начальной школы.  Если говорить более конкретно, то в 2003/04 учебном году 30 детей из числа рома посещали шестинедельные подготовительные занятия и все из них получили комплекты учебников для начала школьного обучения.  </w:t>
      </w:r>
    </w:p>
    <w:p w:rsidR="00000000" w:rsidRDefault="00000000"/>
    <w:p w:rsidR="00000000" w:rsidRDefault="00000000">
      <w:r>
        <w:t>589.</w:t>
      </w:r>
      <w:r>
        <w:tab/>
        <w:t>В число средних школ в районе Брчко входят следующие:  общеобразовательные средние школы, средние технические и смежные школы и средние профессиональные школы;  существует возможность создания средней религиозной школы, смешанных средних школ, художественных школ и средней школы для детей с нарушенным развитием.</w:t>
      </w:r>
    </w:p>
    <w:p w:rsidR="00000000" w:rsidRDefault="00000000"/>
    <w:p w:rsidR="00000000" w:rsidRDefault="00000000">
      <w:pPr>
        <w:rPr>
          <w:b/>
          <w:bCs/>
        </w:rPr>
      </w:pPr>
      <w:r>
        <w:rPr>
          <w:b/>
          <w:bCs/>
        </w:rPr>
        <w:t>Статистические данные о начальных и средних школах в Боснии и Герцеговине</w:t>
      </w:r>
    </w:p>
    <w:p w:rsidR="00000000" w:rsidRDefault="00000000">
      <w:pPr>
        <w:rPr>
          <w:b/>
          <w:bCs/>
        </w:rPr>
      </w:pPr>
    </w:p>
    <w:p w:rsidR="00000000" w:rsidRDefault="00000000">
      <w:r>
        <w:t>590.</w:t>
      </w:r>
      <w:r>
        <w:tab/>
        <w:t xml:space="preserve">В приведенной ниже таблице указано количество школ, учащихся и учителей в дневных начальных школах в начале 2002/03 учебного года. </w:t>
      </w:r>
    </w:p>
    <w:p w:rsidR="00000000" w:rsidRDefault="00000000"/>
    <w:p w:rsidR="00000000" w:rsidRDefault="00000000">
      <w:pPr>
        <w:keepNext/>
        <w:jc w:val="center"/>
        <w:rPr>
          <w:b/>
          <w:bCs/>
        </w:rPr>
      </w:pPr>
      <w:r>
        <w:rPr>
          <w:b/>
          <w:bCs/>
        </w:rPr>
        <w:t>Таблица 26</w:t>
      </w:r>
    </w:p>
    <w:p w:rsidR="00000000" w:rsidRDefault="00000000">
      <w:pPr>
        <w:keepNext/>
        <w:jc w:val="center"/>
        <w:rPr>
          <w:b/>
          <w:bCs/>
        </w:rPr>
      </w:pPr>
    </w:p>
    <w:p w:rsidR="00000000" w:rsidRDefault="00000000">
      <w:pPr>
        <w:keepNext/>
        <w:jc w:val="center"/>
        <w:rPr>
          <w:b/>
          <w:bCs/>
        </w:rPr>
      </w:pPr>
      <w:r>
        <w:rPr>
          <w:b/>
          <w:bCs/>
        </w:rPr>
        <w:t>Учащиеся дневных начальных школ</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724"/>
        <w:gridCol w:w="966"/>
        <w:gridCol w:w="1329"/>
        <w:gridCol w:w="1287"/>
        <w:gridCol w:w="2104"/>
      </w:tblGrid>
      <w:tr w:rsidR="00000000">
        <w:tblPrEx>
          <w:tblCellMar>
            <w:top w:w="0" w:type="dxa"/>
            <w:bottom w:w="0" w:type="dxa"/>
          </w:tblCellMar>
        </w:tblPrEx>
        <w:trPr>
          <w:cantSplit/>
        </w:trPr>
        <w:tc>
          <w:tcPr>
            <w:tcW w:w="3724" w:type="dxa"/>
            <w:tcBorders>
              <w:bottom w:val="single" w:sz="4" w:space="0" w:color="auto"/>
            </w:tcBorders>
            <w:vAlign w:val="center"/>
          </w:tcPr>
          <w:p w:rsidR="00000000" w:rsidRDefault="00000000">
            <w:pPr>
              <w:spacing w:line="240" w:lineRule="auto"/>
              <w:jc w:val="center"/>
              <w:rPr>
                <w:sz w:val="22"/>
              </w:rPr>
            </w:pPr>
            <w:r>
              <w:rPr>
                <w:sz w:val="22"/>
              </w:rPr>
              <w:t>Административно-территориальная единица</w:t>
            </w:r>
          </w:p>
        </w:tc>
        <w:tc>
          <w:tcPr>
            <w:tcW w:w="966" w:type="dxa"/>
            <w:tcBorders>
              <w:bottom w:val="single" w:sz="4" w:space="0" w:color="auto"/>
            </w:tcBorders>
            <w:vAlign w:val="center"/>
          </w:tcPr>
          <w:p w:rsidR="00000000" w:rsidRDefault="00000000">
            <w:pPr>
              <w:spacing w:line="240" w:lineRule="auto"/>
              <w:jc w:val="center"/>
              <w:rPr>
                <w:sz w:val="22"/>
              </w:rPr>
            </w:pPr>
            <w:r>
              <w:rPr>
                <w:sz w:val="22"/>
              </w:rPr>
              <w:t>Число школ</w:t>
            </w:r>
          </w:p>
        </w:tc>
        <w:tc>
          <w:tcPr>
            <w:tcW w:w="1329" w:type="dxa"/>
            <w:tcBorders>
              <w:bottom w:val="single" w:sz="4" w:space="0" w:color="auto"/>
            </w:tcBorders>
            <w:vAlign w:val="center"/>
          </w:tcPr>
          <w:p w:rsidR="00000000" w:rsidRDefault="00000000">
            <w:pPr>
              <w:spacing w:line="240" w:lineRule="auto"/>
              <w:jc w:val="center"/>
              <w:rPr>
                <w:sz w:val="22"/>
              </w:rPr>
            </w:pPr>
            <w:r>
              <w:rPr>
                <w:sz w:val="22"/>
              </w:rPr>
              <w:t>Число учащихся</w:t>
            </w:r>
          </w:p>
        </w:tc>
        <w:tc>
          <w:tcPr>
            <w:tcW w:w="1287" w:type="dxa"/>
            <w:tcBorders>
              <w:bottom w:val="single" w:sz="4" w:space="0" w:color="auto"/>
            </w:tcBorders>
            <w:vAlign w:val="center"/>
          </w:tcPr>
          <w:p w:rsidR="00000000" w:rsidRDefault="00000000">
            <w:pPr>
              <w:spacing w:line="240" w:lineRule="auto"/>
              <w:jc w:val="center"/>
              <w:rPr>
                <w:sz w:val="22"/>
              </w:rPr>
            </w:pPr>
            <w:r>
              <w:rPr>
                <w:sz w:val="22"/>
              </w:rPr>
              <w:t>Число учителей</w:t>
            </w:r>
          </w:p>
        </w:tc>
        <w:tc>
          <w:tcPr>
            <w:tcW w:w="2104" w:type="dxa"/>
            <w:tcBorders>
              <w:bottom w:val="single" w:sz="4" w:space="0" w:color="auto"/>
            </w:tcBorders>
            <w:vAlign w:val="center"/>
          </w:tcPr>
          <w:p w:rsidR="00000000" w:rsidRDefault="00000000">
            <w:pPr>
              <w:spacing w:line="240" w:lineRule="auto"/>
              <w:jc w:val="center"/>
              <w:rPr>
                <w:sz w:val="22"/>
              </w:rPr>
            </w:pPr>
            <w:r>
              <w:rPr>
                <w:sz w:val="22"/>
              </w:rPr>
              <w:t>Число учащихся на одного учителя</w:t>
            </w:r>
          </w:p>
        </w:tc>
      </w:tr>
      <w:tr w:rsidR="00000000">
        <w:tblPrEx>
          <w:tblCellMar>
            <w:top w:w="0" w:type="dxa"/>
            <w:bottom w:w="0" w:type="dxa"/>
          </w:tblCellMar>
        </w:tblPrEx>
        <w:trPr>
          <w:cantSplit/>
        </w:trPr>
        <w:tc>
          <w:tcPr>
            <w:tcW w:w="3724" w:type="dxa"/>
            <w:tcBorders>
              <w:bottom w:val="nil"/>
            </w:tcBorders>
            <w:vAlign w:val="bottom"/>
          </w:tcPr>
          <w:p w:rsidR="00000000" w:rsidRDefault="00000000">
            <w:pPr>
              <w:rPr>
                <w:rFonts w:eastAsia="Arial Unicode MS"/>
                <w:sz w:val="22"/>
              </w:rPr>
            </w:pPr>
            <w:r>
              <w:rPr>
                <w:sz w:val="22"/>
              </w:rPr>
              <w:t>Республика Сербская</w:t>
            </w:r>
          </w:p>
        </w:tc>
        <w:tc>
          <w:tcPr>
            <w:tcW w:w="966" w:type="dxa"/>
            <w:tcBorders>
              <w:bottom w:val="nil"/>
            </w:tcBorders>
            <w:vAlign w:val="bottom"/>
          </w:tcPr>
          <w:p w:rsidR="00000000" w:rsidRDefault="00000000">
            <w:pPr>
              <w:jc w:val="right"/>
              <w:rPr>
                <w:rFonts w:eastAsia="Arial Unicode MS"/>
                <w:sz w:val="22"/>
              </w:rPr>
            </w:pPr>
            <w:r>
              <w:rPr>
                <w:sz w:val="22"/>
              </w:rPr>
              <w:t>783</w:t>
            </w:r>
          </w:p>
        </w:tc>
        <w:tc>
          <w:tcPr>
            <w:tcW w:w="1329" w:type="dxa"/>
            <w:tcBorders>
              <w:bottom w:val="nil"/>
            </w:tcBorders>
            <w:vAlign w:val="bottom"/>
          </w:tcPr>
          <w:p w:rsidR="00000000" w:rsidRDefault="00000000">
            <w:pPr>
              <w:jc w:val="right"/>
              <w:rPr>
                <w:rFonts w:eastAsia="Arial Unicode MS"/>
                <w:sz w:val="22"/>
              </w:rPr>
            </w:pPr>
            <w:r>
              <w:rPr>
                <w:sz w:val="22"/>
              </w:rPr>
              <w:t>114 603</w:t>
            </w:r>
          </w:p>
        </w:tc>
        <w:tc>
          <w:tcPr>
            <w:tcW w:w="1287" w:type="dxa"/>
            <w:tcBorders>
              <w:bottom w:val="nil"/>
            </w:tcBorders>
            <w:vAlign w:val="bottom"/>
          </w:tcPr>
          <w:p w:rsidR="00000000" w:rsidRDefault="00000000">
            <w:pPr>
              <w:jc w:val="right"/>
              <w:rPr>
                <w:rFonts w:eastAsia="Arial Unicode MS"/>
                <w:sz w:val="22"/>
              </w:rPr>
            </w:pPr>
            <w:r>
              <w:rPr>
                <w:sz w:val="22"/>
              </w:rPr>
              <w:t>6 977</w:t>
            </w:r>
          </w:p>
        </w:tc>
        <w:tc>
          <w:tcPr>
            <w:tcW w:w="2104" w:type="dxa"/>
            <w:tcBorders>
              <w:bottom w:val="nil"/>
            </w:tcBorders>
            <w:vAlign w:val="bottom"/>
          </w:tcPr>
          <w:p w:rsidR="00000000" w:rsidRDefault="00000000">
            <w:pPr>
              <w:jc w:val="center"/>
              <w:rPr>
                <w:rFonts w:eastAsia="Arial Unicode MS"/>
                <w:sz w:val="22"/>
              </w:rPr>
            </w:pPr>
            <w:r>
              <w:rPr>
                <w:sz w:val="22"/>
              </w:rPr>
              <w:t>16</w:t>
            </w:r>
          </w:p>
        </w:tc>
      </w:tr>
      <w:tr w:rsidR="00000000">
        <w:tblPrEx>
          <w:tblCellMar>
            <w:top w:w="0" w:type="dxa"/>
            <w:bottom w:w="0" w:type="dxa"/>
          </w:tblCellMar>
        </w:tblPrEx>
        <w:trPr>
          <w:cantSplit/>
        </w:trPr>
        <w:tc>
          <w:tcPr>
            <w:tcW w:w="3724" w:type="dxa"/>
            <w:tcBorders>
              <w:top w:val="nil"/>
              <w:bottom w:val="nil"/>
            </w:tcBorders>
            <w:vAlign w:val="bottom"/>
          </w:tcPr>
          <w:p w:rsidR="00000000" w:rsidRDefault="00000000">
            <w:pPr>
              <w:rPr>
                <w:rFonts w:eastAsia="Arial Unicode MS"/>
                <w:sz w:val="22"/>
              </w:rPr>
            </w:pPr>
            <w:r>
              <w:rPr>
                <w:sz w:val="22"/>
              </w:rPr>
              <w:t xml:space="preserve">Федерация Боснии и Герцеговины </w:t>
            </w:r>
          </w:p>
        </w:tc>
        <w:tc>
          <w:tcPr>
            <w:tcW w:w="966" w:type="dxa"/>
            <w:tcBorders>
              <w:top w:val="nil"/>
              <w:bottom w:val="nil"/>
            </w:tcBorders>
            <w:vAlign w:val="bottom"/>
          </w:tcPr>
          <w:p w:rsidR="00000000" w:rsidRDefault="00000000">
            <w:pPr>
              <w:jc w:val="right"/>
              <w:rPr>
                <w:rFonts w:eastAsia="Arial Unicode MS"/>
                <w:sz w:val="22"/>
              </w:rPr>
            </w:pPr>
            <w:r>
              <w:rPr>
                <w:sz w:val="22"/>
              </w:rPr>
              <w:t>1 066</w:t>
            </w:r>
          </w:p>
        </w:tc>
        <w:tc>
          <w:tcPr>
            <w:tcW w:w="1329" w:type="dxa"/>
            <w:tcBorders>
              <w:top w:val="nil"/>
              <w:bottom w:val="nil"/>
            </w:tcBorders>
            <w:vAlign w:val="bottom"/>
          </w:tcPr>
          <w:p w:rsidR="00000000" w:rsidRDefault="00000000">
            <w:pPr>
              <w:jc w:val="right"/>
              <w:rPr>
                <w:rFonts w:eastAsia="Arial Unicode MS"/>
                <w:sz w:val="22"/>
              </w:rPr>
            </w:pPr>
            <w:r>
              <w:rPr>
                <w:sz w:val="22"/>
              </w:rPr>
              <w:t>243 204</w:t>
            </w:r>
          </w:p>
        </w:tc>
        <w:tc>
          <w:tcPr>
            <w:tcW w:w="1287" w:type="dxa"/>
            <w:tcBorders>
              <w:top w:val="nil"/>
              <w:bottom w:val="nil"/>
            </w:tcBorders>
            <w:vAlign w:val="bottom"/>
          </w:tcPr>
          <w:p w:rsidR="00000000" w:rsidRDefault="00000000">
            <w:pPr>
              <w:pStyle w:val="FootnoteText"/>
              <w:spacing w:line="288" w:lineRule="auto"/>
              <w:jc w:val="right"/>
              <w:rPr>
                <w:rFonts w:eastAsia="Arial Unicode MS"/>
                <w:sz w:val="22"/>
              </w:rPr>
            </w:pPr>
            <w:r>
              <w:rPr>
                <w:sz w:val="22"/>
              </w:rPr>
              <w:t>13 515</w:t>
            </w:r>
          </w:p>
        </w:tc>
        <w:tc>
          <w:tcPr>
            <w:tcW w:w="2104" w:type="dxa"/>
            <w:tcBorders>
              <w:top w:val="nil"/>
              <w:bottom w:val="nil"/>
            </w:tcBorders>
            <w:vAlign w:val="bottom"/>
          </w:tcPr>
          <w:p w:rsidR="00000000" w:rsidRDefault="00000000">
            <w:pPr>
              <w:jc w:val="center"/>
              <w:rPr>
                <w:rFonts w:eastAsia="Arial Unicode MS"/>
                <w:sz w:val="22"/>
              </w:rPr>
            </w:pPr>
            <w:r>
              <w:rPr>
                <w:sz w:val="22"/>
              </w:rPr>
              <w:t>18</w:t>
            </w:r>
          </w:p>
        </w:tc>
      </w:tr>
      <w:tr w:rsidR="00000000">
        <w:tblPrEx>
          <w:tblCellMar>
            <w:top w:w="0" w:type="dxa"/>
            <w:bottom w:w="0" w:type="dxa"/>
          </w:tblCellMar>
        </w:tblPrEx>
        <w:trPr>
          <w:cantSplit/>
        </w:trPr>
        <w:tc>
          <w:tcPr>
            <w:tcW w:w="3724" w:type="dxa"/>
            <w:tcBorders>
              <w:top w:val="nil"/>
              <w:bottom w:val="single" w:sz="4" w:space="0" w:color="auto"/>
            </w:tcBorders>
            <w:vAlign w:val="bottom"/>
          </w:tcPr>
          <w:p w:rsidR="00000000" w:rsidRDefault="00000000">
            <w:pPr>
              <w:pStyle w:val="Header"/>
              <w:rPr>
                <w:rFonts w:eastAsia="Arial Unicode MS"/>
                <w:sz w:val="22"/>
              </w:rPr>
            </w:pPr>
            <w:r>
              <w:rPr>
                <w:sz w:val="22"/>
              </w:rPr>
              <w:t xml:space="preserve">Район Брчко </w:t>
            </w:r>
          </w:p>
        </w:tc>
        <w:tc>
          <w:tcPr>
            <w:tcW w:w="966" w:type="dxa"/>
            <w:tcBorders>
              <w:top w:val="nil"/>
              <w:bottom w:val="single" w:sz="4" w:space="0" w:color="auto"/>
            </w:tcBorders>
            <w:vAlign w:val="bottom"/>
          </w:tcPr>
          <w:p w:rsidR="00000000" w:rsidRDefault="00000000">
            <w:pPr>
              <w:jc w:val="right"/>
              <w:rPr>
                <w:rFonts w:eastAsia="Arial Unicode MS"/>
                <w:sz w:val="22"/>
              </w:rPr>
            </w:pPr>
            <w:r>
              <w:rPr>
                <w:sz w:val="22"/>
              </w:rPr>
              <w:t>15</w:t>
            </w:r>
          </w:p>
        </w:tc>
        <w:tc>
          <w:tcPr>
            <w:tcW w:w="1329" w:type="dxa"/>
            <w:tcBorders>
              <w:top w:val="nil"/>
              <w:bottom w:val="single" w:sz="4" w:space="0" w:color="auto"/>
            </w:tcBorders>
            <w:vAlign w:val="bottom"/>
          </w:tcPr>
          <w:p w:rsidR="00000000" w:rsidRDefault="00000000">
            <w:pPr>
              <w:jc w:val="right"/>
              <w:rPr>
                <w:rFonts w:eastAsia="Arial Unicode MS"/>
                <w:sz w:val="22"/>
              </w:rPr>
            </w:pPr>
            <w:r>
              <w:rPr>
                <w:sz w:val="22"/>
              </w:rPr>
              <w:t>7 107</w:t>
            </w:r>
          </w:p>
        </w:tc>
        <w:tc>
          <w:tcPr>
            <w:tcW w:w="1287" w:type="dxa"/>
            <w:tcBorders>
              <w:top w:val="nil"/>
              <w:bottom w:val="single" w:sz="4" w:space="0" w:color="auto"/>
            </w:tcBorders>
            <w:vAlign w:val="bottom"/>
          </w:tcPr>
          <w:p w:rsidR="00000000" w:rsidRDefault="00000000">
            <w:pPr>
              <w:jc w:val="right"/>
              <w:rPr>
                <w:rFonts w:eastAsia="Arial Unicode MS"/>
                <w:sz w:val="22"/>
              </w:rPr>
            </w:pPr>
            <w:r>
              <w:rPr>
                <w:sz w:val="22"/>
              </w:rPr>
              <w:t>382</w:t>
            </w:r>
          </w:p>
        </w:tc>
        <w:tc>
          <w:tcPr>
            <w:tcW w:w="2104" w:type="dxa"/>
            <w:tcBorders>
              <w:top w:val="nil"/>
              <w:bottom w:val="single" w:sz="4" w:space="0" w:color="auto"/>
            </w:tcBorders>
            <w:vAlign w:val="bottom"/>
          </w:tcPr>
          <w:p w:rsidR="00000000" w:rsidRDefault="00000000">
            <w:pPr>
              <w:jc w:val="center"/>
              <w:rPr>
                <w:rFonts w:eastAsia="Arial Unicode MS"/>
                <w:sz w:val="22"/>
              </w:rPr>
            </w:pPr>
            <w:r>
              <w:rPr>
                <w:sz w:val="22"/>
              </w:rPr>
              <w:t>19</w:t>
            </w:r>
          </w:p>
        </w:tc>
      </w:tr>
      <w:tr w:rsidR="00000000">
        <w:tblPrEx>
          <w:tblCellMar>
            <w:top w:w="0" w:type="dxa"/>
            <w:bottom w:w="0" w:type="dxa"/>
          </w:tblCellMar>
        </w:tblPrEx>
        <w:trPr>
          <w:cantSplit/>
        </w:trPr>
        <w:tc>
          <w:tcPr>
            <w:tcW w:w="3724" w:type="dxa"/>
            <w:tcBorders>
              <w:top w:val="single" w:sz="4" w:space="0" w:color="auto"/>
            </w:tcBorders>
            <w:vAlign w:val="bottom"/>
          </w:tcPr>
          <w:p w:rsidR="00000000" w:rsidRDefault="00000000">
            <w:pPr>
              <w:rPr>
                <w:rFonts w:eastAsia="Arial Unicode MS"/>
                <w:sz w:val="22"/>
              </w:rPr>
            </w:pPr>
            <w:r>
              <w:rPr>
                <w:sz w:val="22"/>
              </w:rPr>
              <w:t xml:space="preserve">Босния и Герцеговина </w:t>
            </w:r>
          </w:p>
        </w:tc>
        <w:tc>
          <w:tcPr>
            <w:tcW w:w="966" w:type="dxa"/>
            <w:tcBorders>
              <w:top w:val="single" w:sz="4" w:space="0" w:color="auto"/>
            </w:tcBorders>
            <w:vAlign w:val="bottom"/>
          </w:tcPr>
          <w:p w:rsidR="00000000" w:rsidRDefault="00000000">
            <w:pPr>
              <w:jc w:val="right"/>
              <w:rPr>
                <w:rFonts w:eastAsia="Arial Unicode MS"/>
                <w:sz w:val="22"/>
              </w:rPr>
            </w:pPr>
            <w:r>
              <w:rPr>
                <w:sz w:val="22"/>
              </w:rPr>
              <w:t>1 864</w:t>
            </w:r>
          </w:p>
        </w:tc>
        <w:tc>
          <w:tcPr>
            <w:tcW w:w="1329" w:type="dxa"/>
            <w:tcBorders>
              <w:top w:val="single" w:sz="4" w:space="0" w:color="auto"/>
            </w:tcBorders>
            <w:vAlign w:val="bottom"/>
          </w:tcPr>
          <w:p w:rsidR="00000000" w:rsidRDefault="00000000">
            <w:pPr>
              <w:jc w:val="right"/>
              <w:rPr>
                <w:rFonts w:eastAsia="Arial Unicode MS"/>
                <w:sz w:val="22"/>
              </w:rPr>
            </w:pPr>
            <w:r>
              <w:rPr>
                <w:sz w:val="22"/>
              </w:rPr>
              <w:t>364 914</w:t>
            </w:r>
          </w:p>
        </w:tc>
        <w:tc>
          <w:tcPr>
            <w:tcW w:w="1287" w:type="dxa"/>
            <w:tcBorders>
              <w:top w:val="single" w:sz="4" w:space="0" w:color="auto"/>
            </w:tcBorders>
            <w:vAlign w:val="bottom"/>
          </w:tcPr>
          <w:p w:rsidR="00000000" w:rsidRDefault="00000000">
            <w:pPr>
              <w:jc w:val="right"/>
              <w:rPr>
                <w:rFonts w:eastAsia="Arial Unicode MS"/>
                <w:sz w:val="22"/>
              </w:rPr>
            </w:pPr>
            <w:r>
              <w:rPr>
                <w:sz w:val="22"/>
              </w:rPr>
              <w:t>20 874</w:t>
            </w:r>
          </w:p>
        </w:tc>
        <w:tc>
          <w:tcPr>
            <w:tcW w:w="2104" w:type="dxa"/>
            <w:tcBorders>
              <w:top w:val="single" w:sz="4" w:space="0" w:color="auto"/>
            </w:tcBorders>
            <w:vAlign w:val="bottom"/>
          </w:tcPr>
          <w:p w:rsidR="00000000" w:rsidRDefault="00000000">
            <w:pPr>
              <w:jc w:val="center"/>
              <w:rPr>
                <w:rFonts w:eastAsia="Arial Unicode MS"/>
                <w:sz w:val="22"/>
              </w:rPr>
            </w:pPr>
            <w:r>
              <w:rPr>
                <w:sz w:val="22"/>
              </w:rPr>
              <w:t>17</w:t>
            </w:r>
          </w:p>
        </w:tc>
      </w:tr>
    </w:tbl>
    <w:p w:rsidR="00000000" w:rsidRDefault="00000000"/>
    <w:p w:rsidR="00000000" w:rsidRDefault="00000000">
      <w:pPr>
        <w:rPr>
          <w:b/>
          <w:bCs/>
        </w:rPr>
      </w:pPr>
      <w:r>
        <w:rPr>
          <w:b/>
          <w:bCs/>
        </w:rPr>
        <w:t xml:space="preserve">Средние школы </w:t>
      </w:r>
    </w:p>
    <w:p w:rsidR="00000000" w:rsidRDefault="00000000">
      <w:pPr>
        <w:rPr>
          <w:b/>
          <w:bCs/>
          <w:i/>
        </w:rPr>
      </w:pPr>
    </w:p>
    <w:p w:rsidR="00000000" w:rsidRDefault="00000000">
      <w:pPr>
        <w:rPr>
          <w:b/>
          <w:bCs/>
        </w:rPr>
      </w:pPr>
      <w:r>
        <w:rPr>
          <w:iCs/>
        </w:rPr>
        <w:t>591.</w:t>
      </w:r>
      <w:r>
        <w:rPr>
          <w:iCs/>
        </w:rPr>
        <w:tab/>
        <w:t>В начале 2002</w:t>
      </w:r>
      <w:r>
        <w:t xml:space="preserve">/03 </w:t>
      </w:r>
      <w:r>
        <w:rPr>
          <w:iCs/>
        </w:rPr>
        <w:t>учебного</w:t>
      </w:r>
      <w:r>
        <w:t xml:space="preserve"> года в средние школы Федерации Боснии и Герцеговины записались 115 917 учащихся.  Из этого количества 45</w:t>
      </w:r>
      <w:r>
        <w:rPr>
          <w:lang w:val="en-GB"/>
        </w:rPr>
        <w:t> </w:t>
      </w:r>
      <w:r>
        <w:t>478</w:t>
      </w:r>
      <w:r>
        <w:rPr>
          <w:lang w:val="en-GB"/>
        </w:rPr>
        <w:t> </w:t>
      </w:r>
      <w:r>
        <w:t>учащихся записались в технические или смежные школы, 38</w:t>
      </w:r>
      <w:r>
        <w:rPr>
          <w:lang w:val="en-GB"/>
        </w:rPr>
        <w:t> </w:t>
      </w:r>
      <w:r>
        <w:t>992 - в профессиональные школы, 27</w:t>
      </w:r>
      <w:r>
        <w:rPr>
          <w:lang w:val="en-GB"/>
        </w:rPr>
        <w:t> </w:t>
      </w:r>
      <w:r>
        <w:t>496 - в общеобразовательные школы, 1 437 - в религиозные школы, 1 178 - в педагогические училища, 1 051</w:t>
      </w:r>
      <w:r>
        <w:rPr>
          <w:lang w:val="en-GB"/>
        </w:rPr>
        <w:t> </w:t>
      </w:r>
      <w:r>
        <w:t>- в художественные школы, и 285 учащихся записались в школы для детей с особыми потребностями.</w:t>
      </w:r>
      <w:r>
        <w:rPr>
          <w:b/>
          <w:bCs/>
        </w:rPr>
        <w:t xml:space="preserve"> </w:t>
      </w:r>
    </w:p>
    <w:p w:rsidR="00000000" w:rsidRDefault="00000000">
      <w:pPr>
        <w:rPr>
          <w:b/>
          <w:bCs/>
        </w:rPr>
      </w:pPr>
    </w:p>
    <w:p w:rsidR="00000000" w:rsidRDefault="00000000">
      <w:pPr>
        <w:jc w:val="center"/>
        <w:rPr>
          <w:b/>
          <w:bCs/>
        </w:rPr>
      </w:pPr>
      <w:r>
        <w:rPr>
          <w:noProof/>
          <w:sz w:val="20"/>
          <w:lang w:eastAsia="ru-RU"/>
        </w:rPr>
        <w:pict>
          <v:shape id="_x0000_s1031" type="#_x0000_t75" style="position:absolute;left:0;text-align:left;margin-left:64.95pt;margin-top:26.4pt;width:372.9pt;height:166.2pt;z-index:2;visibility:visible;mso-wrap-edited:f">
            <v:imagedata r:id="rId9" o:title=""/>
            <w10:wrap type="topAndBottom"/>
          </v:shape>
          <o:OLEObject Type="Embed" ProgID="Word.Picture.8" ShapeID="_x0000_s1031" DrawAspect="Content" ObjectID="_1394882390" r:id="rId10"/>
        </w:pict>
      </w:r>
      <w:r>
        <w:rPr>
          <w:b/>
          <w:bCs/>
        </w:rPr>
        <w:t>Диаграмма 1</w:t>
      </w:r>
    </w:p>
    <w:p w:rsidR="00000000" w:rsidRDefault="00000000"/>
    <w:p w:rsidR="00000000" w:rsidRDefault="00000000">
      <w:r>
        <w:t>592.</w:t>
      </w:r>
      <w:r>
        <w:tab/>
        <w:t>В нижеприведенной таблице указано количество учащихся, преподавателей и классов в средних школах в начале 2002/03 учебного года.</w:t>
      </w:r>
    </w:p>
    <w:p w:rsidR="00000000" w:rsidRDefault="00000000"/>
    <w:p w:rsidR="00000000" w:rsidRDefault="00000000">
      <w:pPr>
        <w:pStyle w:val="Heading2"/>
        <w:jc w:val="center"/>
        <w:rPr>
          <w:b/>
          <w:bCs/>
          <w:u w:val="none"/>
        </w:rPr>
      </w:pPr>
      <w:r>
        <w:rPr>
          <w:b/>
          <w:bCs/>
          <w:u w:val="none"/>
        </w:rPr>
        <w:br w:type="page"/>
        <w:t>Таблица 27</w:t>
      </w:r>
    </w:p>
    <w:p w:rsidR="00000000" w:rsidRDefault="00000000">
      <w:pPr>
        <w:pStyle w:val="Heading2"/>
        <w:jc w:val="center"/>
        <w:rPr>
          <w:b/>
          <w:bCs/>
          <w:u w:val="none"/>
        </w:rPr>
      </w:pPr>
    </w:p>
    <w:p w:rsidR="00000000" w:rsidRDefault="00000000">
      <w:pPr>
        <w:pStyle w:val="Heading2"/>
        <w:jc w:val="center"/>
        <w:rPr>
          <w:b/>
          <w:bCs/>
          <w:u w:val="none"/>
        </w:rPr>
      </w:pPr>
      <w:r>
        <w:rPr>
          <w:b/>
          <w:bCs/>
          <w:u w:val="none"/>
        </w:rPr>
        <w:t>Средние школы в Федерации Боснии и Герцеговины в начале 2002/03 учебного года</w:t>
      </w:r>
    </w:p>
    <w:p w:rsidR="00000000" w:rsidRDefault="00000000"/>
    <w:tbl>
      <w:tblPr>
        <w:tblW w:w="9260" w:type="dxa"/>
        <w:jc w:val="center"/>
        <w:tblInd w:w="-498" w:type="dxa"/>
        <w:tblLayout w:type="fixed"/>
        <w:tblCellMar>
          <w:left w:w="57" w:type="dxa"/>
          <w:right w:w="57" w:type="dxa"/>
        </w:tblCellMar>
        <w:tblLook w:val="0000" w:firstRow="0" w:lastRow="0" w:firstColumn="0" w:lastColumn="0" w:noHBand="0" w:noVBand="0"/>
      </w:tblPr>
      <w:tblGrid>
        <w:gridCol w:w="3132"/>
        <w:gridCol w:w="971"/>
        <w:gridCol w:w="712"/>
        <w:gridCol w:w="935"/>
        <w:gridCol w:w="1447"/>
        <w:gridCol w:w="797"/>
        <w:gridCol w:w="1266"/>
      </w:tblGrid>
      <w:tr w:rsidR="00000000">
        <w:trPr>
          <w:trHeight w:val="347"/>
          <w:jc w:val="center"/>
        </w:trPr>
        <w:tc>
          <w:tcPr>
            <w:tcW w:w="3132"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pStyle w:val="Header"/>
              <w:jc w:val="center"/>
              <w:rPr>
                <w:sz w:val="20"/>
                <w:szCs w:val="16"/>
              </w:rPr>
            </w:pPr>
            <w:r>
              <w:rPr>
                <w:sz w:val="20"/>
                <w:szCs w:val="16"/>
              </w:rPr>
              <w:t>Кантон</w:t>
            </w:r>
          </w:p>
        </w:tc>
        <w:tc>
          <w:tcPr>
            <w:tcW w:w="971" w:type="dxa"/>
            <w:tcBorders>
              <w:top w:val="single" w:sz="4" w:space="0" w:color="auto"/>
              <w:left w:val="nil"/>
              <w:bottom w:val="single" w:sz="4" w:space="0" w:color="auto"/>
              <w:right w:val="single" w:sz="4" w:space="0" w:color="auto"/>
            </w:tcBorders>
            <w:shd w:val="clear" w:color="auto" w:fill="FFFFFF"/>
            <w:vAlign w:val="center"/>
          </w:tcPr>
          <w:p w:rsidR="00000000" w:rsidRDefault="00000000">
            <w:pPr>
              <w:spacing w:line="240" w:lineRule="auto"/>
              <w:jc w:val="center"/>
              <w:rPr>
                <w:sz w:val="20"/>
                <w:szCs w:val="16"/>
              </w:rPr>
            </w:pPr>
            <w:r>
              <w:rPr>
                <w:sz w:val="20"/>
                <w:szCs w:val="16"/>
              </w:rPr>
              <w:t>Число учащихся</w:t>
            </w:r>
          </w:p>
        </w:tc>
        <w:tc>
          <w:tcPr>
            <w:tcW w:w="712" w:type="dxa"/>
            <w:tcBorders>
              <w:top w:val="single" w:sz="4" w:space="0" w:color="auto"/>
              <w:left w:val="nil"/>
              <w:bottom w:val="single" w:sz="4" w:space="0" w:color="auto"/>
              <w:right w:val="single" w:sz="4" w:space="0" w:color="auto"/>
            </w:tcBorders>
            <w:shd w:val="clear" w:color="auto" w:fill="FFFFFF"/>
            <w:vAlign w:val="center"/>
          </w:tcPr>
          <w:p w:rsidR="00000000" w:rsidRDefault="00000000">
            <w:pPr>
              <w:spacing w:line="240" w:lineRule="auto"/>
              <w:jc w:val="center"/>
              <w:rPr>
                <w:sz w:val="20"/>
                <w:szCs w:val="16"/>
              </w:rPr>
            </w:pPr>
            <w:r>
              <w:rPr>
                <w:sz w:val="20"/>
                <w:szCs w:val="16"/>
              </w:rPr>
              <w:t>Число школ</w:t>
            </w:r>
          </w:p>
        </w:tc>
        <w:tc>
          <w:tcPr>
            <w:tcW w:w="935" w:type="dxa"/>
            <w:tcBorders>
              <w:top w:val="single" w:sz="4" w:space="0" w:color="auto"/>
              <w:left w:val="nil"/>
              <w:bottom w:val="single" w:sz="4" w:space="0" w:color="auto"/>
              <w:right w:val="single" w:sz="4" w:space="0" w:color="auto"/>
            </w:tcBorders>
            <w:shd w:val="clear" w:color="auto" w:fill="FFFFFF"/>
            <w:vAlign w:val="center"/>
          </w:tcPr>
          <w:p w:rsidR="00000000" w:rsidRDefault="00000000">
            <w:pPr>
              <w:spacing w:line="240" w:lineRule="auto"/>
              <w:jc w:val="center"/>
              <w:rPr>
                <w:sz w:val="20"/>
                <w:szCs w:val="16"/>
              </w:rPr>
            </w:pPr>
            <w:r>
              <w:rPr>
                <w:sz w:val="20"/>
                <w:szCs w:val="16"/>
              </w:rPr>
              <w:t>Число учителей</w:t>
            </w:r>
          </w:p>
        </w:tc>
        <w:tc>
          <w:tcPr>
            <w:tcW w:w="1447" w:type="dxa"/>
            <w:tcBorders>
              <w:top w:val="single" w:sz="4" w:space="0" w:color="auto"/>
              <w:left w:val="nil"/>
              <w:bottom w:val="single" w:sz="4" w:space="0" w:color="auto"/>
              <w:right w:val="single" w:sz="4" w:space="0" w:color="auto"/>
            </w:tcBorders>
            <w:shd w:val="clear" w:color="auto" w:fill="FFFFFF"/>
            <w:vAlign w:val="center"/>
          </w:tcPr>
          <w:p w:rsidR="00000000" w:rsidRDefault="00000000">
            <w:pPr>
              <w:pStyle w:val="Header"/>
              <w:jc w:val="center"/>
              <w:rPr>
                <w:sz w:val="20"/>
                <w:szCs w:val="16"/>
              </w:rPr>
            </w:pPr>
            <w:r>
              <w:rPr>
                <w:sz w:val="20"/>
                <w:szCs w:val="16"/>
              </w:rPr>
              <w:t>Число учащихся на одного учителя</w:t>
            </w:r>
          </w:p>
        </w:tc>
        <w:tc>
          <w:tcPr>
            <w:tcW w:w="797" w:type="dxa"/>
            <w:tcBorders>
              <w:top w:val="single" w:sz="4" w:space="0" w:color="auto"/>
              <w:left w:val="nil"/>
              <w:bottom w:val="single" w:sz="4" w:space="0" w:color="auto"/>
              <w:right w:val="single" w:sz="4" w:space="0" w:color="auto"/>
            </w:tcBorders>
            <w:shd w:val="clear" w:color="auto" w:fill="FFFFFF"/>
            <w:vAlign w:val="center"/>
          </w:tcPr>
          <w:p w:rsidR="00000000" w:rsidRDefault="00000000">
            <w:pPr>
              <w:spacing w:line="240" w:lineRule="auto"/>
              <w:jc w:val="center"/>
              <w:rPr>
                <w:sz w:val="20"/>
                <w:szCs w:val="16"/>
              </w:rPr>
            </w:pPr>
            <w:r>
              <w:rPr>
                <w:sz w:val="20"/>
                <w:szCs w:val="16"/>
              </w:rPr>
              <w:t>Число классов</w:t>
            </w:r>
          </w:p>
        </w:tc>
        <w:tc>
          <w:tcPr>
            <w:tcW w:w="1266" w:type="dxa"/>
            <w:tcBorders>
              <w:top w:val="single" w:sz="4" w:space="0" w:color="auto"/>
              <w:left w:val="nil"/>
              <w:bottom w:val="single" w:sz="4" w:space="0" w:color="auto"/>
              <w:right w:val="single" w:sz="4" w:space="0" w:color="auto"/>
            </w:tcBorders>
            <w:shd w:val="clear" w:color="auto" w:fill="FFFFFF"/>
            <w:vAlign w:val="center"/>
          </w:tcPr>
          <w:p w:rsidR="00000000" w:rsidRDefault="00000000">
            <w:pPr>
              <w:pStyle w:val="Header"/>
              <w:jc w:val="center"/>
              <w:rPr>
                <w:sz w:val="20"/>
                <w:szCs w:val="16"/>
              </w:rPr>
            </w:pPr>
            <w:r>
              <w:rPr>
                <w:sz w:val="20"/>
                <w:szCs w:val="16"/>
              </w:rPr>
              <w:t>Число учащихся на один класс</w:t>
            </w:r>
          </w:p>
        </w:tc>
      </w:tr>
      <w:tr w:rsidR="00000000">
        <w:trPr>
          <w:trHeight w:val="345"/>
          <w:jc w:val="center"/>
        </w:trPr>
        <w:tc>
          <w:tcPr>
            <w:tcW w:w="3132" w:type="dxa"/>
            <w:tcBorders>
              <w:top w:val="single" w:sz="4" w:space="0" w:color="auto"/>
              <w:left w:val="single" w:sz="4" w:space="0" w:color="auto"/>
              <w:bottom w:val="single" w:sz="4" w:space="0" w:color="auto"/>
              <w:right w:val="single" w:sz="4" w:space="0" w:color="auto"/>
            </w:tcBorders>
            <w:shd w:val="clear" w:color="auto" w:fill="FFFFFF"/>
            <w:vAlign w:val="bottom"/>
          </w:tcPr>
          <w:p w:rsidR="00000000" w:rsidRDefault="00000000">
            <w:pPr>
              <w:spacing w:line="240" w:lineRule="auto"/>
              <w:jc w:val="center"/>
              <w:rPr>
                <w:sz w:val="20"/>
                <w:szCs w:val="16"/>
              </w:rPr>
            </w:pPr>
            <w:r>
              <w:rPr>
                <w:sz w:val="20"/>
                <w:szCs w:val="16"/>
              </w:rPr>
              <w:t>1</w:t>
            </w:r>
          </w:p>
        </w:tc>
        <w:tc>
          <w:tcPr>
            <w:tcW w:w="971" w:type="dxa"/>
            <w:tcBorders>
              <w:top w:val="single" w:sz="4" w:space="0" w:color="auto"/>
              <w:left w:val="nil"/>
              <w:bottom w:val="single" w:sz="4" w:space="0" w:color="auto"/>
              <w:right w:val="single" w:sz="4" w:space="0" w:color="auto"/>
            </w:tcBorders>
            <w:shd w:val="clear" w:color="auto" w:fill="FFFFFF"/>
            <w:vAlign w:val="bottom"/>
          </w:tcPr>
          <w:p w:rsidR="00000000" w:rsidRDefault="00000000">
            <w:pPr>
              <w:spacing w:line="240" w:lineRule="auto"/>
              <w:jc w:val="center"/>
              <w:rPr>
                <w:sz w:val="20"/>
                <w:szCs w:val="16"/>
              </w:rPr>
            </w:pPr>
            <w:r>
              <w:rPr>
                <w:sz w:val="20"/>
                <w:szCs w:val="16"/>
              </w:rPr>
              <w:t>2</w:t>
            </w:r>
          </w:p>
        </w:tc>
        <w:tc>
          <w:tcPr>
            <w:tcW w:w="712" w:type="dxa"/>
            <w:tcBorders>
              <w:top w:val="single" w:sz="4" w:space="0" w:color="auto"/>
              <w:left w:val="nil"/>
              <w:bottom w:val="single" w:sz="4" w:space="0" w:color="auto"/>
              <w:right w:val="single" w:sz="4" w:space="0" w:color="auto"/>
            </w:tcBorders>
            <w:shd w:val="clear" w:color="auto" w:fill="FFFFFF"/>
            <w:noWrap/>
            <w:vAlign w:val="bottom"/>
          </w:tcPr>
          <w:p w:rsidR="00000000" w:rsidRDefault="00000000">
            <w:pPr>
              <w:spacing w:line="240" w:lineRule="auto"/>
              <w:jc w:val="center"/>
              <w:rPr>
                <w:sz w:val="20"/>
                <w:szCs w:val="16"/>
              </w:rPr>
            </w:pPr>
            <w:r>
              <w:rPr>
                <w:sz w:val="20"/>
                <w:szCs w:val="16"/>
              </w:rPr>
              <w:t>3</w:t>
            </w:r>
          </w:p>
        </w:tc>
        <w:tc>
          <w:tcPr>
            <w:tcW w:w="935" w:type="dxa"/>
            <w:tcBorders>
              <w:top w:val="single" w:sz="4" w:space="0" w:color="auto"/>
              <w:left w:val="nil"/>
              <w:bottom w:val="single" w:sz="4" w:space="0" w:color="auto"/>
              <w:right w:val="single" w:sz="4" w:space="0" w:color="auto"/>
            </w:tcBorders>
            <w:shd w:val="clear" w:color="auto" w:fill="FFFFFF"/>
            <w:vAlign w:val="bottom"/>
          </w:tcPr>
          <w:p w:rsidR="00000000" w:rsidRDefault="00000000">
            <w:pPr>
              <w:spacing w:line="240" w:lineRule="auto"/>
              <w:jc w:val="center"/>
              <w:rPr>
                <w:sz w:val="20"/>
                <w:szCs w:val="16"/>
              </w:rPr>
            </w:pPr>
            <w:r>
              <w:rPr>
                <w:sz w:val="20"/>
                <w:szCs w:val="16"/>
              </w:rPr>
              <w:t>4</w:t>
            </w:r>
          </w:p>
        </w:tc>
        <w:tc>
          <w:tcPr>
            <w:tcW w:w="1447" w:type="dxa"/>
            <w:tcBorders>
              <w:top w:val="single" w:sz="4" w:space="0" w:color="auto"/>
              <w:left w:val="nil"/>
              <w:bottom w:val="single" w:sz="4" w:space="0" w:color="auto"/>
              <w:right w:val="single" w:sz="4" w:space="0" w:color="auto"/>
            </w:tcBorders>
            <w:shd w:val="clear" w:color="auto" w:fill="FFFFFF"/>
            <w:noWrap/>
            <w:vAlign w:val="bottom"/>
          </w:tcPr>
          <w:p w:rsidR="00000000" w:rsidRDefault="00000000">
            <w:pPr>
              <w:spacing w:line="240" w:lineRule="auto"/>
              <w:jc w:val="center"/>
              <w:rPr>
                <w:sz w:val="20"/>
                <w:szCs w:val="16"/>
              </w:rPr>
            </w:pPr>
            <w:r>
              <w:rPr>
                <w:sz w:val="20"/>
                <w:szCs w:val="16"/>
              </w:rPr>
              <w:t>2:4</w:t>
            </w:r>
          </w:p>
        </w:tc>
        <w:tc>
          <w:tcPr>
            <w:tcW w:w="797" w:type="dxa"/>
            <w:tcBorders>
              <w:top w:val="single" w:sz="4" w:space="0" w:color="auto"/>
              <w:left w:val="nil"/>
              <w:bottom w:val="single" w:sz="4" w:space="0" w:color="auto"/>
              <w:right w:val="single" w:sz="4" w:space="0" w:color="auto"/>
            </w:tcBorders>
            <w:shd w:val="clear" w:color="auto" w:fill="FFFFFF"/>
            <w:noWrap/>
            <w:vAlign w:val="bottom"/>
          </w:tcPr>
          <w:p w:rsidR="00000000" w:rsidRDefault="00000000">
            <w:pPr>
              <w:spacing w:line="240" w:lineRule="auto"/>
              <w:jc w:val="center"/>
              <w:rPr>
                <w:sz w:val="20"/>
                <w:szCs w:val="16"/>
              </w:rPr>
            </w:pPr>
            <w:r>
              <w:rPr>
                <w:sz w:val="20"/>
                <w:szCs w:val="16"/>
              </w:rPr>
              <w:t>5</w:t>
            </w:r>
          </w:p>
        </w:tc>
        <w:tc>
          <w:tcPr>
            <w:tcW w:w="1266" w:type="dxa"/>
            <w:tcBorders>
              <w:top w:val="single" w:sz="4" w:space="0" w:color="auto"/>
              <w:left w:val="nil"/>
              <w:bottom w:val="single" w:sz="4" w:space="0" w:color="auto"/>
              <w:right w:val="single" w:sz="4" w:space="0" w:color="auto"/>
            </w:tcBorders>
            <w:shd w:val="clear" w:color="auto" w:fill="FFFFFF"/>
            <w:noWrap/>
            <w:vAlign w:val="bottom"/>
          </w:tcPr>
          <w:p w:rsidR="00000000" w:rsidRDefault="00000000">
            <w:pPr>
              <w:spacing w:line="240" w:lineRule="auto"/>
              <w:jc w:val="center"/>
              <w:rPr>
                <w:sz w:val="20"/>
                <w:szCs w:val="16"/>
              </w:rPr>
            </w:pPr>
            <w:r>
              <w:rPr>
                <w:sz w:val="20"/>
                <w:szCs w:val="16"/>
              </w:rPr>
              <w:t>2:5</w:t>
            </w:r>
          </w:p>
        </w:tc>
      </w:tr>
      <w:tr w:rsidR="00000000">
        <w:trPr>
          <w:trHeight w:val="315"/>
          <w:jc w:val="center"/>
        </w:trPr>
        <w:tc>
          <w:tcPr>
            <w:tcW w:w="3132" w:type="dxa"/>
            <w:tcBorders>
              <w:top w:val="single" w:sz="4" w:space="0" w:color="auto"/>
              <w:left w:val="single" w:sz="4" w:space="0" w:color="auto"/>
              <w:right w:val="single" w:sz="4" w:space="0" w:color="auto"/>
            </w:tcBorders>
            <w:shd w:val="clear" w:color="auto" w:fill="FFFFFF"/>
            <w:noWrap/>
            <w:vAlign w:val="bottom"/>
          </w:tcPr>
          <w:p w:rsidR="00000000" w:rsidRDefault="00000000">
            <w:pPr>
              <w:tabs>
                <w:tab w:val="left" w:pos="510"/>
              </w:tabs>
              <w:spacing w:line="240" w:lineRule="auto"/>
              <w:rPr>
                <w:sz w:val="20"/>
              </w:rPr>
            </w:pPr>
            <w:r>
              <w:rPr>
                <w:sz w:val="20"/>
              </w:rPr>
              <w:t xml:space="preserve">  1.</w:t>
            </w:r>
            <w:r>
              <w:rPr>
                <w:sz w:val="20"/>
              </w:rPr>
              <w:tab/>
              <w:t>Унско-Санский</w:t>
            </w:r>
          </w:p>
        </w:tc>
        <w:tc>
          <w:tcPr>
            <w:tcW w:w="971" w:type="dxa"/>
            <w:tcBorders>
              <w:top w:val="single" w:sz="4" w:space="0" w:color="auto"/>
              <w:left w:val="nil"/>
              <w:right w:val="single" w:sz="4" w:space="0" w:color="auto"/>
            </w:tcBorders>
            <w:noWrap/>
            <w:vAlign w:val="bottom"/>
          </w:tcPr>
          <w:p w:rsidR="00000000" w:rsidRDefault="00000000">
            <w:pPr>
              <w:spacing w:line="240" w:lineRule="auto"/>
              <w:jc w:val="right"/>
              <w:rPr>
                <w:sz w:val="20"/>
              </w:rPr>
            </w:pPr>
            <w:r>
              <w:rPr>
                <w:sz w:val="20"/>
              </w:rPr>
              <w:t>13 040</w:t>
            </w:r>
          </w:p>
        </w:tc>
        <w:tc>
          <w:tcPr>
            <w:tcW w:w="712" w:type="dxa"/>
            <w:tcBorders>
              <w:top w:val="single" w:sz="4" w:space="0" w:color="auto"/>
              <w:left w:val="nil"/>
              <w:right w:val="single" w:sz="4" w:space="0" w:color="auto"/>
            </w:tcBorders>
            <w:vAlign w:val="bottom"/>
          </w:tcPr>
          <w:p w:rsidR="00000000" w:rsidRDefault="00000000">
            <w:pPr>
              <w:spacing w:line="240" w:lineRule="auto"/>
              <w:jc w:val="right"/>
              <w:rPr>
                <w:sz w:val="20"/>
              </w:rPr>
            </w:pPr>
            <w:r>
              <w:rPr>
                <w:sz w:val="20"/>
              </w:rPr>
              <w:t>22</w:t>
            </w:r>
          </w:p>
        </w:tc>
        <w:tc>
          <w:tcPr>
            <w:tcW w:w="935" w:type="dxa"/>
            <w:tcBorders>
              <w:top w:val="single" w:sz="4" w:space="0" w:color="auto"/>
              <w:left w:val="nil"/>
              <w:right w:val="single" w:sz="4" w:space="0" w:color="auto"/>
            </w:tcBorders>
            <w:noWrap/>
            <w:vAlign w:val="bottom"/>
          </w:tcPr>
          <w:p w:rsidR="00000000" w:rsidRDefault="00000000">
            <w:pPr>
              <w:spacing w:line="240" w:lineRule="auto"/>
              <w:jc w:val="right"/>
              <w:rPr>
                <w:sz w:val="20"/>
              </w:rPr>
            </w:pPr>
            <w:r>
              <w:rPr>
                <w:sz w:val="20"/>
              </w:rPr>
              <w:t>737</w:t>
            </w:r>
          </w:p>
        </w:tc>
        <w:tc>
          <w:tcPr>
            <w:tcW w:w="1447" w:type="dxa"/>
            <w:tcBorders>
              <w:top w:val="single" w:sz="4" w:space="0" w:color="auto"/>
              <w:left w:val="nil"/>
              <w:right w:val="single" w:sz="4" w:space="0" w:color="auto"/>
            </w:tcBorders>
            <w:noWrap/>
            <w:vAlign w:val="bottom"/>
          </w:tcPr>
          <w:p w:rsidR="00000000" w:rsidRDefault="00000000">
            <w:pPr>
              <w:spacing w:line="240" w:lineRule="auto"/>
              <w:jc w:val="center"/>
              <w:rPr>
                <w:sz w:val="20"/>
              </w:rPr>
            </w:pPr>
            <w:r>
              <w:rPr>
                <w:sz w:val="20"/>
              </w:rPr>
              <w:t>18</w:t>
            </w:r>
          </w:p>
        </w:tc>
        <w:tc>
          <w:tcPr>
            <w:tcW w:w="797" w:type="dxa"/>
            <w:tcBorders>
              <w:top w:val="single" w:sz="4" w:space="0" w:color="auto"/>
              <w:left w:val="nil"/>
              <w:right w:val="single" w:sz="4" w:space="0" w:color="auto"/>
            </w:tcBorders>
            <w:noWrap/>
            <w:vAlign w:val="bottom"/>
          </w:tcPr>
          <w:p w:rsidR="00000000" w:rsidRDefault="00000000">
            <w:pPr>
              <w:spacing w:line="240" w:lineRule="auto"/>
              <w:jc w:val="right"/>
              <w:rPr>
                <w:sz w:val="20"/>
              </w:rPr>
            </w:pPr>
            <w:r>
              <w:rPr>
                <w:sz w:val="20"/>
              </w:rPr>
              <w:t>472</w:t>
            </w:r>
          </w:p>
        </w:tc>
        <w:tc>
          <w:tcPr>
            <w:tcW w:w="1266" w:type="dxa"/>
            <w:tcBorders>
              <w:top w:val="single" w:sz="4" w:space="0" w:color="auto"/>
              <w:left w:val="nil"/>
              <w:right w:val="single" w:sz="4" w:space="0" w:color="auto"/>
            </w:tcBorders>
            <w:noWrap/>
            <w:vAlign w:val="bottom"/>
          </w:tcPr>
          <w:p w:rsidR="00000000" w:rsidRDefault="00000000">
            <w:pPr>
              <w:spacing w:line="240" w:lineRule="auto"/>
              <w:jc w:val="center"/>
              <w:rPr>
                <w:sz w:val="20"/>
                <w:szCs w:val="16"/>
              </w:rPr>
            </w:pPr>
            <w:r>
              <w:rPr>
                <w:sz w:val="20"/>
                <w:szCs w:val="16"/>
              </w:rPr>
              <w:t>28</w:t>
            </w:r>
          </w:p>
        </w:tc>
      </w:tr>
      <w:tr w:rsidR="00000000">
        <w:trPr>
          <w:trHeight w:val="315"/>
          <w:jc w:val="center"/>
        </w:trPr>
        <w:tc>
          <w:tcPr>
            <w:tcW w:w="3132" w:type="dxa"/>
            <w:tcBorders>
              <w:left w:val="single" w:sz="4" w:space="0" w:color="auto"/>
              <w:right w:val="single" w:sz="4" w:space="0" w:color="auto"/>
            </w:tcBorders>
            <w:shd w:val="clear" w:color="auto" w:fill="FFFFFF"/>
            <w:noWrap/>
            <w:vAlign w:val="bottom"/>
          </w:tcPr>
          <w:p w:rsidR="00000000" w:rsidRDefault="00000000">
            <w:pPr>
              <w:tabs>
                <w:tab w:val="left" w:pos="510"/>
              </w:tabs>
              <w:spacing w:line="240" w:lineRule="auto"/>
              <w:rPr>
                <w:sz w:val="20"/>
              </w:rPr>
            </w:pPr>
            <w:r>
              <w:rPr>
                <w:sz w:val="20"/>
              </w:rPr>
              <w:t xml:space="preserve">  2.</w:t>
            </w:r>
            <w:r>
              <w:rPr>
                <w:sz w:val="20"/>
              </w:rPr>
              <w:tab/>
              <w:t>Посавский</w:t>
            </w:r>
          </w:p>
        </w:tc>
        <w:tc>
          <w:tcPr>
            <w:tcW w:w="971" w:type="dxa"/>
            <w:tcBorders>
              <w:left w:val="nil"/>
              <w:right w:val="single" w:sz="4" w:space="0" w:color="auto"/>
            </w:tcBorders>
            <w:noWrap/>
            <w:vAlign w:val="bottom"/>
          </w:tcPr>
          <w:p w:rsidR="00000000" w:rsidRDefault="00000000">
            <w:pPr>
              <w:spacing w:line="240" w:lineRule="auto"/>
              <w:jc w:val="right"/>
              <w:rPr>
                <w:sz w:val="20"/>
              </w:rPr>
            </w:pPr>
            <w:r>
              <w:rPr>
                <w:sz w:val="20"/>
              </w:rPr>
              <w:t>1 702</w:t>
            </w:r>
          </w:p>
        </w:tc>
        <w:tc>
          <w:tcPr>
            <w:tcW w:w="712" w:type="dxa"/>
            <w:tcBorders>
              <w:left w:val="nil"/>
              <w:right w:val="single" w:sz="4" w:space="0" w:color="auto"/>
            </w:tcBorders>
            <w:vAlign w:val="bottom"/>
          </w:tcPr>
          <w:p w:rsidR="00000000" w:rsidRDefault="00000000">
            <w:pPr>
              <w:spacing w:line="240" w:lineRule="auto"/>
              <w:jc w:val="right"/>
              <w:rPr>
                <w:sz w:val="20"/>
              </w:rPr>
            </w:pPr>
            <w:r>
              <w:rPr>
                <w:sz w:val="20"/>
              </w:rPr>
              <w:t>2</w:t>
            </w:r>
          </w:p>
        </w:tc>
        <w:tc>
          <w:tcPr>
            <w:tcW w:w="935" w:type="dxa"/>
            <w:tcBorders>
              <w:left w:val="nil"/>
              <w:right w:val="single" w:sz="4" w:space="0" w:color="auto"/>
            </w:tcBorders>
            <w:noWrap/>
            <w:vAlign w:val="bottom"/>
          </w:tcPr>
          <w:p w:rsidR="00000000" w:rsidRDefault="00000000">
            <w:pPr>
              <w:spacing w:line="240" w:lineRule="auto"/>
              <w:jc w:val="right"/>
              <w:rPr>
                <w:sz w:val="20"/>
              </w:rPr>
            </w:pPr>
            <w:r>
              <w:rPr>
                <w:sz w:val="20"/>
              </w:rPr>
              <w:t>125</w:t>
            </w:r>
          </w:p>
        </w:tc>
        <w:tc>
          <w:tcPr>
            <w:tcW w:w="1447" w:type="dxa"/>
            <w:tcBorders>
              <w:left w:val="nil"/>
              <w:right w:val="single" w:sz="4" w:space="0" w:color="auto"/>
            </w:tcBorders>
            <w:noWrap/>
            <w:vAlign w:val="bottom"/>
          </w:tcPr>
          <w:p w:rsidR="00000000" w:rsidRDefault="00000000">
            <w:pPr>
              <w:spacing w:line="240" w:lineRule="auto"/>
              <w:jc w:val="center"/>
              <w:rPr>
                <w:sz w:val="20"/>
              </w:rPr>
            </w:pPr>
            <w:r>
              <w:rPr>
                <w:sz w:val="20"/>
              </w:rPr>
              <w:t>14</w:t>
            </w:r>
          </w:p>
        </w:tc>
        <w:tc>
          <w:tcPr>
            <w:tcW w:w="797" w:type="dxa"/>
            <w:tcBorders>
              <w:left w:val="nil"/>
              <w:right w:val="single" w:sz="4" w:space="0" w:color="auto"/>
            </w:tcBorders>
            <w:noWrap/>
            <w:vAlign w:val="bottom"/>
          </w:tcPr>
          <w:p w:rsidR="00000000" w:rsidRDefault="00000000">
            <w:pPr>
              <w:spacing w:line="240" w:lineRule="auto"/>
              <w:jc w:val="right"/>
              <w:rPr>
                <w:sz w:val="20"/>
              </w:rPr>
            </w:pPr>
            <w:r>
              <w:rPr>
                <w:sz w:val="20"/>
              </w:rPr>
              <w:t>60</w:t>
            </w:r>
          </w:p>
        </w:tc>
        <w:tc>
          <w:tcPr>
            <w:tcW w:w="1266" w:type="dxa"/>
            <w:tcBorders>
              <w:left w:val="nil"/>
              <w:right w:val="single" w:sz="4" w:space="0" w:color="auto"/>
            </w:tcBorders>
            <w:noWrap/>
            <w:vAlign w:val="bottom"/>
          </w:tcPr>
          <w:p w:rsidR="00000000" w:rsidRDefault="00000000">
            <w:pPr>
              <w:spacing w:line="240" w:lineRule="auto"/>
              <w:jc w:val="center"/>
              <w:rPr>
                <w:sz w:val="20"/>
                <w:szCs w:val="16"/>
              </w:rPr>
            </w:pPr>
            <w:r>
              <w:rPr>
                <w:sz w:val="20"/>
                <w:szCs w:val="16"/>
              </w:rPr>
              <w:t>28</w:t>
            </w:r>
          </w:p>
        </w:tc>
      </w:tr>
      <w:tr w:rsidR="00000000">
        <w:trPr>
          <w:trHeight w:val="315"/>
          <w:jc w:val="center"/>
        </w:trPr>
        <w:tc>
          <w:tcPr>
            <w:tcW w:w="3132" w:type="dxa"/>
            <w:tcBorders>
              <w:left w:val="single" w:sz="4" w:space="0" w:color="auto"/>
              <w:right w:val="single" w:sz="4" w:space="0" w:color="auto"/>
            </w:tcBorders>
            <w:shd w:val="clear" w:color="auto" w:fill="FFFFFF"/>
            <w:noWrap/>
            <w:vAlign w:val="bottom"/>
          </w:tcPr>
          <w:p w:rsidR="00000000" w:rsidRDefault="00000000">
            <w:pPr>
              <w:pStyle w:val="Header"/>
              <w:tabs>
                <w:tab w:val="left" w:pos="510"/>
              </w:tabs>
              <w:rPr>
                <w:sz w:val="20"/>
              </w:rPr>
            </w:pPr>
            <w:r>
              <w:rPr>
                <w:sz w:val="20"/>
              </w:rPr>
              <w:t xml:space="preserve">  3.</w:t>
            </w:r>
            <w:r>
              <w:rPr>
                <w:sz w:val="20"/>
              </w:rPr>
              <w:tab/>
              <w:t xml:space="preserve">Тузланский </w:t>
            </w:r>
          </w:p>
        </w:tc>
        <w:tc>
          <w:tcPr>
            <w:tcW w:w="971" w:type="dxa"/>
            <w:tcBorders>
              <w:left w:val="nil"/>
              <w:right w:val="single" w:sz="4" w:space="0" w:color="auto"/>
            </w:tcBorders>
            <w:noWrap/>
            <w:vAlign w:val="bottom"/>
          </w:tcPr>
          <w:p w:rsidR="00000000" w:rsidRDefault="00000000">
            <w:pPr>
              <w:spacing w:line="240" w:lineRule="auto"/>
              <w:jc w:val="right"/>
              <w:rPr>
                <w:sz w:val="20"/>
              </w:rPr>
            </w:pPr>
            <w:r>
              <w:rPr>
                <w:sz w:val="20"/>
              </w:rPr>
              <w:t>26 267</w:t>
            </w:r>
          </w:p>
        </w:tc>
        <w:tc>
          <w:tcPr>
            <w:tcW w:w="712" w:type="dxa"/>
            <w:tcBorders>
              <w:left w:val="nil"/>
              <w:right w:val="single" w:sz="4" w:space="0" w:color="auto"/>
            </w:tcBorders>
            <w:vAlign w:val="bottom"/>
          </w:tcPr>
          <w:p w:rsidR="00000000" w:rsidRDefault="00000000">
            <w:pPr>
              <w:spacing w:line="240" w:lineRule="auto"/>
              <w:jc w:val="right"/>
              <w:rPr>
                <w:sz w:val="20"/>
              </w:rPr>
            </w:pPr>
            <w:r>
              <w:rPr>
                <w:sz w:val="20"/>
              </w:rPr>
              <w:t>33</w:t>
            </w:r>
          </w:p>
        </w:tc>
        <w:tc>
          <w:tcPr>
            <w:tcW w:w="935" w:type="dxa"/>
            <w:tcBorders>
              <w:left w:val="nil"/>
              <w:right w:val="single" w:sz="4" w:space="0" w:color="auto"/>
            </w:tcBorders>
            <w:noWrap/>
            <w:vAlign w:val="bottom"/>
          </w:tcPr>
          <w:p w:rsidR="00000000" w:rsidRDefault="00000000">
            <w:pPr>
              <w:spacing w:line="240" w:lineRule="auto"/>
              <w:jc w:val="right"/>
              <w:rPr>
                <w:sz w:val="20"/>
              </w:rPr>
            </w:pPr>
            <w:r>
              <w:rPr>
                <w:sz w:val="20"/>
              </w:rPr>
              <w:t>1 422</w:t>
            </w:r>
          </w:p>
        </w:tc>
        <w:tc>
          <w:tcPr>
            <w:tcW w:w="1447" w:type="dxa"/>
            <w:tcBorders>
              <w:left w:val="nil"/>
              <w:right w:val="single" w:sz="4" w:space="0" w:color="auto"/>
            </w:tcBorders>
            <w:noWrap/>
            <w:vAlign w:val="bottom"/>
          </w:tcPr>
          <w:p w:rsidR="00000000" w:rsidRDefault="00000000">
            <w:pPr>
              <w:spacing w:line="240" w:lineRule="auto"/>
              <w:jc w:val="center"/>
              <w:rPr>
                <w:sz w:val="20"/>
              </w:rPr>
            </w:pPr>
            <w:r>
              <w:rPr>
                <w:sz w:val="20"/>
              </w:rPr>
              <w:t>18</w:t>
            </w:r>
          </w:p>
        </w:tc>
        <w:tc>
          <w:tcPr>
            <w:tcW w:w="797" w:type="dxa"/>
            <w:tcBorders>
              <w:left w:val="nil"/>
              <w:right w:val="single" w:sz="4" w:space="0" w:color="auto"/>
            </w:tcBorders>
            <w:noWrap/>
            <w:vAlign w:val="bottom"/>
          </w:tcPr>
          <w:p w:rsidR="00000000" w:rsidRDefault="00000000">
            <w:pPr>
              <w:spacing w:line="240" w:lineRule="auto"/>
              <w:jc w:val="right"/>
              <w:rPr>
                <w:sz w:val="20"/>
              </w:rPr>
            </w:pPr>
            <w:r>
              <w:rPr>
                <w:sz w:val="20"/>
              </w:rPr>
              <w:t>853</w:t>
            </w:r>
          </w:p>
        </w:tc>
        <w:tc>
          <w:tcPr>
            <w:tcW w:w="1266" w:type="dxa"/>
            <w:tcBorders>
              <w:left w:val="nil"/>
              <w:right w:val="single" w:sz="4" w:space="0" w:color="auto"/>
            </w:tcBorders>
            <w:noWrap/>
            <w:vAlign w:val="bottom"/>
          </w:tcPr>
          <w:p w:rsidR="00000000" w:rsidRDefault="00000000">
            <w:pPr>
              <w:spacing w:line="240" w:lineRule="auto"/>
              <w:jc w:val="center"/>
              <w:rPr>
                <w:sz w:val="20"/>
                <w:szCs w:val="16"/>
              </w:rPr>
            </w:pPr>
            <w:r>
              <w:rPr>
                <w:sz w:val="20"/>
                <w:szCs w:val="16"/>
              </w:rPr>
              <w:t>31</w:t>
            </w:r>
          </w:p>
        </w:tc>
      </w:tr>
      <w:tr w:rsidR="00000000">
        <w:trPr>
          <w:trHeight w:val="315"/>
          <w:jc w:val="center"/>
        </w:trPr>
        <w:tc>
          <w:tcPr>
            <w:tcW w:w="3132" w:type="dxa"/>
            <w:tcBorders>
              <w:left w:val="single" w:sz="4" w:space="0" w:color="auto"/>
              <w:right w:val="single" w:sz="4" w:space="0" w:color="auto"/>
            </w:tcBorders>
            <w:shd w:val="clear" w:color="auto" w:fill="FFFFFF"/>
            <w:noWrap/>
            <w:vAlign w:val="bottom"/>
          </w:tcPr>
          <w:p w:rsidR="00000000" w:rsidRDefault="00000000">
            <w:pPr>
              <w:tabs>
                <w:tab w:val="left" w:pos="510"/>
              </w:tabs>
              <w:spacing w:line="240" w:lineRule="auto"/>
              <w:rPr>
                <w:sz w:val="20"/>
              </w:rPr>
            </w:pPr>
            <w:r>
              <w:rPr>
                <w:sz w:val="20"/>
              </w:rPr>
              <w:t xml:space="preserve">  4.</w:t>
            </w:r>
            <w:r>
              <w:rPr>
                <w:sz w:val="20"/>
              </w:rPr>
              <w:tab/>
              <w:t>Зеничко-Добойский</w:t>
            </w:r>
          </w:p>
        </w:tc>
        <w:tc>
          <w:tcPr>
            <w:tcW w:w="971" w:type="dxa"/>
            <w:tcBorders>
              <w:left w:val="nil"/>
              <w:right w:val="single" w:sz="4" w:space="0" w:color="auto"/>
            </w:tcBorders>
            <w:noWrap/>
            <w:vAlign w:val="bottom"/>
          </w:tcPr>
          <w:p w:rsidR="00000000" w:rsidRDefault="00000000">
            <w:pPr>
              <w:spacing w:line="240" w:lineRule="auto"/>
              <w:jc w:val="right"/>
              <w:rPr>
                <w:sz w:val="20"/>
              </w:rPr>
            </w:pPr>
            <w:r>
              <w:rPr>
                <w:sz w:val="20"/>
              </w:rPr>
              <w:t>19 984</w:t>
            </w:r>
          </w:p>
        </w:tc>
        <w:tc>
          <w:tcPr>
            <w:tcW w:w="712" w:type="dxa"/>
            <w:tcBorders>
              <w:left w:val="nil"/>
              <w:right w:val="single" w:sz="4" w:space="0" w:color="auto"/>
            </w:tcBorders>
            <w:vAlign w:val="bottom"/>
          </w:tcPr>
          <w:p w:rsidR="00000000" w:rsidRDefault="00000000">
            <w:pPr>
              <w:spacing w:line="240" w:lineRule="auto"/>
              <w:jc w:val="right"/>
              <w:rPr>
                <w:sz w:val="20"/>
              </w:rPr>
            </w:pPr>
            <w:r>
              <w:rPr>
                <w:sz w:val="20"/>
              </w:rPr>
              <w:t>37</w:t>
            </w:r>
          </w:p>
        </w:tc>
        <w:tc>
          <w:tcPr>
            <w:tcW w:w="935" w:type="dxa"/>
            <w:tcBorders>
              <w:left w:val="nil"/>
              <w:right w:val="single" w:sz="4" w:space="0" w:color="auto"/>
            </w:tcBorders>
            <w:noWrap/>
            <w:vAlign w:val="bottom"/>
          </w:tcPr>
          <w:p w:rsidR="00000000" w:rsidRDefault="00000000">
            <w:pPr>
              <w:spacing w:line="240" w:lineRule="auto"/>
              <w:jc w:val="right"/>
              <w:rPr>
                <w:sz w:val="20"/>
              </w:rPr>
            </w:pPr>
            <w:r>
              <w:rPr>
                <w:sz w:val="20"/>
              </w:rPr>
              <w:t>1 415</w:t>
            </w:r>
          </w:p>
        </w:tc>
        <w:tc>
          <w:tcPr>
            <w:tcW w:w="1447" w:type="dxa"/>
            <w:tcBorders>
              <w:left w:val="nil"/>
              <w:right w:val="single" w:sz="4" w:space="0" w:color="auto"/>
            </w:tcBorders>
            <w:noWrap/>
            <w:vAlign w:val="bottom"/>
          </w:tcPr>
          <w:p w:rsidR="00000000" w:rsidRDefault="00000000">
            <w:pPr>
              <w:spacing w:line="240" w:lineRule="auto"/>
              <w:jc w:val="center"/>
              <w:rPr>
                <w:sz w:val="20"/>
              </w:rPr>
            </w:pPr>
            <w:r>
              <w:rPr>
                <w:sz w:val="20"/>
              </w:rPr>
              <w:t>14</w:t>
            </w:r>
          </w:p>
        </w:tc>
        <w:tc>
          <w:tcPr>
            <w:tcW w:w="797" w:type="dxa"/>
            <w:tcBorders>
              <w:left w:val="nil"/>
              <w:right w:val="single" w:sz="4" w:space="0" w:color="auto"/>
            </w:tcBorders>
            <w:noWrap/>
            <w:vAlign w:val="bottom"/>
          </w:tcPr>
          <w:p w:rsidR="00000000" w:rsidRDefault="00000000">
            <w:pPr>
              <w:spacing w:line="240" w:lineRule="auto"/>
              <w:jc w:val="right"/>
              <w:rPr>
                <w:sz w:val="20"/>
              </w:rPr>
            </w:pPr>
            <w:r>
              <w:rPr>
                <w:sz w:val="20"/>
              </w:rPr>
              <w:t>721</w:t>
            </w:r>
          </w:p>
        </w:tc>
        <w:tc>
          <w:tcPr>
            <w:tcW w:w="1266" w:type="dxa"/>
            <w:tcBorders>
              <w:left w:val="nil"/>
              <w:right w:val="single" w:sz="4" w:space="0" w:color="auto"/>
            </w:tcBorders>
            <w:noWrap/>
            <w:vAlign w:val="bottom"/>
          </w:tcPr>
          <w:p w:rsidR="00000000" w:rsidRDefault="00000000">
            <w:pPr>
              <w:spacing w:line="240" w:lineRule="auto"/>
              <w:jc w:val="center"/>
              <w:rPr>
                <w:sz w:val="20"/>
                <w:szCs w:val="16"/>
              </w:rPr>
            </w:pPr>
            <w:r>
              <w:rPr>
                <w:sz w:val="20"/>
                <w:szCs w:val="16"/>
              </w:rPr>
              <w:t>28</w:t>
            </w:r>
          </w:p>
        </w:tc>
      </w:tr>
      <w:tr w:rsidR="00000000">
        <w:trPr>
          <w:trHeight w:val="315"/>
          <w:jc w:val="center"/>
        </w:trPr>
        <w:tc>
          <w:tcPr>
            <w:tcW w:w="3132" w:type="dxa"/>
            <w:tcBorders>
              <w:left w:val="single" w:sz="4" w:space="0" w:color="auto"/>
              <w:right w:val="single" w:sz="4" w:space="0" w:color="auto"/>
            </w:tcBorders>
            <w:shd w:val="clear" w:color="auto" w:fill="FFFFFF"/>
            <w:noWrap/>
            <w:vAlign w:val="bottom"/>
          </w:tcPr>
          <w:p w:rsidR="00000000" w:rsidRDefault="00000000">
            <w:pPr>
              <w:tabs>
                <w:tab w:val="left" w:pos="510"/>
              </w:tabs>
              <w:spacing w:line="240" w:lineRule="auto"/>
              <w:rPr>
                <w:sz w:val="20"/>
              </w:rPr>
            </w:pPr>
            <w:r>
              <w:rPr>
                <w:sz w:val="20"/>
              </w:rPr>
              <w:t xml:space="preserve">  5.</w:t>
            </w:r>
            <w:r>
              <w:rPr>
                <w:sz w:val="20"/>
              </w:rPr>
              <w:tab/>
              <w:t>Босанско-Подриньский</w:t>
            </w:r>
          </w:p>
        </w:tc>
        <w:tc>
          <w:tcPr>
            <w:tcW w:w="971" w:type="dxa"/>
            <w:tcBorders>
              <w:left w:val="nil"/>
              <w:right w:val="nil"/>
            </w:tcBorders>
            <w:noWrap/>
            <w:vAlign w:val="bottom"/>
          </w:tcPr>
          <w:p w:rsidR="00000000" w:rsidRDefault="00000000">
            <w:pPr>
              <w:spacing w:line="240" w:lineRule="auto"/>
              <w:jc w:val="right"/>
              <w:rPr>
                <w:sz w:val="20"/>
              </w:rPr>
            </w:pPr>
            <w:r>
              <w:rPr>
                <w:sz w:val="20"/>
              </w:rPr>
              <w:t>1 498</w:t>
            </w:r>
          </w:p>
        </w:tc>
        <w:tc>
          <w:tcPr>
            <w:tcW w:w="712" w:type="dxa"/>
            <w:tcBorders>
              <w:left w:val="single" w:sz="4" w:space="0" w:color="auto"/>
              <w:right w:val="single" w:sz="4" w:space="0" w:color="auto"/>
            </w:tcBorders>
            <w:vAlign w:val="bottom"/>
          </w:tcPr>
          <w:p w:rsidR="00000000" w:rsidRDefault="00000000">
            <w:pPr>
              <w:spacing w:line="240" w:lineRule="auto"/>
              <w:jc w:val="right"/>
              <w:rPr>
                <w:sz w:val="20"/>
              </w:rPr>
            </w:pPr>
            <w:r>
              <w:rPr>
                <w:sz w:val="20"/>
              </w:rPr>
              <w:t>3</w:t>
            </w:r>
          </w:p>
        </w:tc>
        <w:tc>
          <w:tcPr>
            <w:tcW w:w="935" w:type="dxa"/>
            <w:tcBorders>
              <w:left w:val="nil"/>
              <w:right w:val="single" w:sz="4" w:space="0" w:color="auto"/>
            </w:tcBorders>
            <w:noWrap/>
            <w:vAlign w:val="bottom"/>
          </w:tcPr>
          <w:p w:rsidR="00000000" w:rsidRDefault="00000000">
            <w:pPr>
              <w:spacing w:line="240" w:lineRule="auto"/>
              <w:jc w:val="right"/>
              <w:rPr>
                <w:sz w:val="20"/>
              </w:rPr>
            </w:pPr>
            <w:r>
              <w:rPr>
                <w:sz w:val="20"/>
              </w:rPr>
              <w:t>118</w:t>
            </w:r>
          </w:p>
        </w:tc>
        <w:tc>
          <w:tcPr>
            <w:tcW w:w="1447" w:type="dxa"/>
            <w:tcBorders>
              <w:left w:val="nil"/>
              <w:right w:val="single" w:sz="4" w:space="0" w:color="auto"/>
            </w:tcBorders>
            <w:noWrap/>
            <w:vAlign w:val="bottom"/>
          </w:tcPr>
          <w:p w:rsidR="00000000" w:rsidRDefault="00000000">
            <w:pPr>
              <w:spacing w:line="240" w:lineRule="auto"/>
              <w:jc w:val="center"/>
              <w:rPr>
                <w:sz w:val="20"/>
              </w:rPr>
            </w:pPr>
            <w:r>
              <w:rPr>
                <w:sz w:val="20"/>
              </w:rPr>
              <w:t>13</w:t>
            </w:r>
          </w:p>
        </w:tc>
        <w:tc>
          <w:tcPr>
            <w:tcW w:w="797" w:type="dxa"/>
            <w:tcBorders>
              <w:left w:val="nil"/>
              <w:right w:val="single" w:sz="4" w:space="0" w:color="auto"/>
            </w:tcBorders>
            <w:noWrap/>
            <w:vAlign w:val="bottom"/>
          </w:tcPr>
          <w:p w:rsidR="00000000" w:rsidRDefault="00000000">
            <w:pPr>
              <w:spacing w:line="240" w:lineRule="auto"/>
              <w:jc w:val="right"/>
              <w:rPr>
                <w:sz w:val="20"/>
              </w:rPr>
            </w:pPr>
            <w:r>
              <w:rPr>
                <w:sz w:val="20"/>
              </w:rPr>
              <w:t>57</w:t>
            </w:r>
          </w:p>
        </w:tc>
        <w:tc>
          <w:tcPr>
            <w:tcW w:w="1266" w:type="dxa"/>
            <w:tcBorders>
              <w:left w:val="nil"/>
              <w:right w:val="single" w:sz="4" w:space="0" w:color="auto"/>
            </w:tcBorders>
            <w:noWrap/>
            <w:vAlign w:val="bottom"/>
          </w:tcPr>
          <w:p w:rsidR="00000000" w:rsidRDefault="00000000">
            <w:pPr>
              <w:spacing w:line="240" w:lineRule="auto"/>
              <w:jc w:val="center"/>
              <w:rPr>
                <w:sz w:val="20"/>
                <w:szCs w:val="16"/>
              </w:rPr>
            </w:pPr>
            <w:r>
              <w:rPr>
                <w:sz w:val="20"/>
                <w:szCs w:val="16"/>
              </w:rPr>
              <w:t>26</w:t>
            </w:r>
          </w:p>
        </w:tc>
      </w:tr>
      <w:tr w:rsidR="00000000">
        <w:trPr>
          <w:trHeight w:val="315"/>
          <w:jc w:val="center"/>
        </w:trPr>
        <w:tc>
          <w:tcPr>
            <w:tcW w:w="3132" w:type="dxa"/>
            <w:tcBorders>
              <w:left w:val="single" w:sz="4" w:space="0" w:color="auto"/>
              <w:right w:val="single" w:sz="4" w:space="0" w:color="auto"/>
            </w:tcBorders>
            <w:shd w:val="clear" w:color="auto" w:fill="FFFFFF"/>
            <w:noWrap/>
            <w:vAlign w:val="bottom"/>
          </w:tcPr>
          <w:p w:rsidR="00000000" w:rsidRDefault="00000000">
            <w:pPr>
              <w:pStyle w:val="Header"/>
              <w:tabs>
                <w:tab w:val="left" w:pos="510"/>
              </w:tabs>
              <w:rPr>
                <w:sz w:val="20"/>
              </w:rPr>
            </w:pPr>
            <w:r>
              <w:rPr>
                <w:sz w:val="20"/>
              </w:rPr>
              <w:t xml:space="preserve">  6.</w:t>
            </w:r>
            <w:r>
              <w:rPr>
                <w:sz w:val="20"/>
              </w:rPr>
              <w:tab/>
              <w:t>Среднобосанский</w:t>
            </w:r>
          </w:p>
        </w:tc>
        <w:tc>
          <w:tcPr>
            <w:tcW w:w="971" w:type="dxa"/>
            <w:tcBorders>
              <w:left w:val="nil"/>
              <w:right w:val="single" w:sz="4" w:space="0" w:color="auto"/>
            </w:tcBorders>
            <w:noWrap/>
            <w:vAlign w:val="bottom"/>
          </w:tcPr>
          <w:p w:rsidR="00000000" w:rsidRDefault="00000000">
            <w:pPr>
              <w:spacing w:line="240" w:lineRule="auto"/>
              <w:jc w:val="right"/>
              <w:rPr>
                <w:sz w:val="20"/>
              </w:rPr>
            </w:pPr>
            <w:r>
              <w:rPr>
                <w:sz w:val="20"/>
              </w:rPr>
              <w:t>13 411</w:t>
            </w:r>
          </w:p>
        </w:tc>
        <w:tc>
          <w:tcPr>
            <w:tcW w:w="712" w:type="dxa"/>
            <w:tcBorders>
              <w:left w:val="nil"/>
              <w:right w:val="single" w:sz="4" w:space="0" w:color="auto"/>
            </w:tcBorders>
            <w:vAlign w:val="bottom"/>
          </w:tcPr>
          <w:p w:rsidR="00000000" w:rsidRDefault="00000000">
            <w:pPr>
              <w:spacing w:line="240" w:lineRule="auto"/>
              <w:jc w:val="right"/>
              <w:rPr>
                <w:sz w:val="20"/>
              </w:rPr>
            </w:pPr>
            <w:r>
              <w:rPr>
                <w:sz w:val="20"/>
              </w:rPr>
              <w:t>25</w:t>
            </w:r>
          </w:p>
        </w:tc>
        <w:tc>
          <w:tcPr>
            <w:tcW w:w="935" w:type="dxa"/>
            <w:tcBorders>
              <w:left w:val="nil"/>
              <w:right w:val="single" w:sz="4" w:space="0" w:color="auto"/>
            </w:tcBorders>
            <w:noWrap/>
            <w:vAlign w:val="bottom"/>
          </w:tcPr>
          <w:p w:rsidR="00000000" w:rsidRDefault="00000000">
            <w:pPr>
              <w:spacing w:line="240" w:lineRule="auto"/>
              <w:jc w:val="right"/>
              <w:rPr>
                <w:sz w:val="20"/>
              </w:rPr>
            </w:pPr>
            <w:r>
              <w:rPr>
                <w:sz w:val="20"/>
              </w:rPr>
              <w:t>863</w:t>
            </w:r>
          </w:p>
        </w:tc>
        <w:tc>
          <w:tcPr>
            <w:tcW w:w="1447" w:type="dxa"/>
            <w:tcBorders>
              <w:left w:val="nil"/>
              <w:right w:val="single" w:sz="4" w:space="0" w:color="auto"/>
            </w:tcBorders>
            <w:noWrap/>
            <w:vAlign w:val="bottom"/>
          </w:tcPr>
          <w:p w:rsidR="00000000" w:rsidRDefault="00000000">
            <w:pPr>
              <w:spacing w:line="240" w:lineRule="auto"/>
              <w:jc w:val="center"/>
              <w:rPr>
                <w:sz w:val="20"/>
              </w:rPr>
            </w:pPr>
            <w:r>
              <w:rPr>
                <w:sz w:val="20"/>
              </w:rPr>
              <w:t>16</w:t>
            </w:r>
          </w:p>
        </w:tc>
        <w:tc>
          <w:tcPr>
            <w:tcW w:w="797" w:type="dxa"/>
            <w:tcBorders>
              <w:left w:val="nil"/>
              <w:right w:val="single" w:sz="4" w:space="0" w:color="auto"/>
            </w:tcBorders>
            <w:noWrap/>
            <w:vAlign w:val="bottom"/>
          </w:tcPr>
          <w:p w:rsidR="00000000" w:rsidRDefault="00000000">
            <w:pPr>
              <w:spacing w:line="240" w:lineRule="auto"/>
              <w:jc w:val="right"/>
              <w:rPr>
                <w:sz w:val="20"/>
              </w:rPr>
            </w:pPr>
            <w:r>
              <w:rPr>
                <w:sz w:val="20"/>
              </w:rPr>
              <w:t>464</w:t>
            </w:r>
          </w:p>
        </w:tc>
        <w:tc>
          <w:tcPr>
            <w:tcW w:w="1266" w:type="dxa"/>
            <w:tcBorders>
              <w:left w:val="nil"/>
              <w:right w:val="single" w:sz="4" w:space="0" w:color="auto"/>
            </w:tcBorders>
            <w:noWrap/>
            <w:vAlign w:val="bottom"/>
          </w:tcPr>
          <w:p w:rsidR="00000000" w:rsidRDefault="00000000">
            <w:pPr>
              <w:spacing w:line="240" w:lineRule="auto"/>
              <w:jc w:val="center"/>
              <w:rPr>
                <w:sz w:val="20"/>
                <w:szCs w:val="16"/>
              </w:rPr>
            </w:pPr>
            <w:r>
              <w:rPr>
                <w:sz w:val="20"/>
                <w:szCs w:val="16"/>
              </w:rPr>
              <w:t>29</w:t>
            </w:r>
          </w:p>
        </w:tc>
      </w:tr>
      <w:tr w:rsidR="00000000">
        <w:trPr>
          <w:trHeight w:val="315"/>
          <w:jc w:val="center"/>
        </w:trPr>
        <w:tc>
          <w:tcPr>
            <w:tcW w:w="3132" w:type="dxa"/>
            <w:tcBorders>
              <w:left w:val="single" w:sz="4" w:space="0" w:color="auto"/>
              <w:right w:val="single" w:sz="4" w:space="0" w:color="auto"/>
            </w:tcBorders>
            <w:shd w:val="clear" w:color="auto" w:fill="FFFFFF"/>
            <w:noWrap/>
            <w:vAlign w:val="bottom"/>
          </w:tcPr>
          <w:p w:rsidR="00000000" w:rsidRDefault="00000000">
            <w:pPr>
              <w:tabs>
                <w:tab w:val="left" w:pos="510"/>
              </w:tabs>
              <w:spacing w:line="240" w:lineRule="auto"/>
              <w:rPr>
                <w:sz w:val="20"/>
              </w:rPr>
            </w:pPr>
            <w:r>
              <w:rPr>
                <w:sz w:val="20"/>
              </w:rPr>
              <w:t xml:space="preserve">  7.</w:t>
            </w:r>
            <w:r>
              <w:rPr>
                <w:sz w:val="20"/>
              </w:rPr>
              <w:tab/>
            </w:r>
            <w:proofErr w:type="spellStart"/>
            <w:r>
              <w:rPr>
                <w:sz w:val="20"/>
              </w:rPr>
              <w:t>Герцеговацко-Неретванский</w:t>
            </w:r>
            <w:proofErr w:type="spellEnd"/>
          </w:p>
        </w:tc>
        <w:tc>
          <w:tcPr>
            <w:tcW w:w="971" w:type="dxa"/>
            <w:tcBorders>
              <w:left w:val="nil"/>
              <w:right w:val="single" w:sz="4" w:space="0" w:color="auto"/>
            </w:tcBorders>
            <w:noWrap/>
            <w:vAlign w:val="bottom"/>
          </w:tcPr>
          <w:p w:rsidR="00000000" w:rsidRDefault="00000000">
            <w:pPr>
              <w:spacing w:line="240" w:lineRule="auto"/>
              <w:jc w:val="right"/>
              <w:rPr>
                <w:sz w:val="20"/>
              </w:rPr>
            </w:pPr>
            <w:r>
              <w:rPr>
                <w:sz w:val="20"/>
              </w:rPr>
              <w:t>11 004</w:t>
            </w:r>
          </w:p>
        </w:tc>
        <w:tc>
          <w:tcPr>
            <w:tcW w:w="712" w:type="dxa"/>
            <w:tcBorders>
              <w:left w:val="nil"/>
              <w:right w:val="single" w:sz="4" w:space="0" w:color="auto"/>
            </w:tcBorders>
            <w:vAlign w:val="bottom"/>
          </w:tcPr>
          <w:p w:rsidR="00000000" w:rsidRDefault="00000000">
            <w:pPr>
              <w:spacing w:line="240" w:lineRule="auto"/>
              <w:jc w:val="right"/>
              <w:rPr>
                <w:sz w:val="20"/>
              </w:rPr>
            </w:pPr>
            <w:r>
              <w:rPr>
                <w:sz w:val="20"/>
              </w:rPr>
              <w:t>29</w:t>
            </w:r>
          </w:p>
        </w:tc>
        <w:tc>
          <w:tcPr>
            <w:tcW w:w="935" w:type="dxa"/>
            <w:tcBorders>
              <w:left w:val="nil"/>
              <w:right w:val="single" w:sz="4" w:space="0" w:color="auto"/>
            </w:tcBorders>
            <w:noWrap/>
            <w:vAlign w:val="bottom"/>
          </w:tcPr>
          <w:p w:rsidR="00000000" w:rsidRDefault="00000000">
            <w:pPr>
              <w:spacing w:line="240" w:lineRule="auto"/>
              <w:jc w:val="right"/>
              <w:rPr>
                <w:sz w:val="20"/>
              </w:rPr>
            </w:pPr>
            <w:r>
              <w:rPr>
                <w:sz w:val="20"/>
              </w:rPr>
              <w:t>910</w:t>
            </w:r>
          </w:p>
        </w:tc>
        <w:tc>
          <w:tcPr>
            <w:tcW w:w="1447" w:type="dxa"/>
            <w:tcBorders>
              <w:left w:val="nil"/>
              <w:right w:val="single" w:sz="4" w:space="0" w:color="auto"/>
            </w:tcBorders>
            <w:noWrap/>
            <w:vAlign w:val="bottom"/>
          </w:tcPr>
          <w:p w:rsidR="00000000" w:rsidRDefault="00000000">
            <w:pPr>
              <w:spacing w:line="240" w:lineRule="auto"/>
              <w:jc w:val="center"/>
              <w:rPr>
                <w:sz w:val="20"/>
              </w:rPr>
            </w:pPr>
            <w:r>
              <w:rPr>
                <w:sz w:val="20"/>
              </w:rPr>
              <w:t>12</w:t>
            </w:r>
          </w:p>
        </w:tc>
        <w:tc>
          <w:tcPr>
            <w:tcW w:w="797" w:type="dxa"/>
            <w:tcBorders>
              <w:left w:val="nil"/>
              <w:right w:val="single" w:sz="4" w:space="0" w:color="auto"/>
            </w:tcBorders>
            <w:noWrap/>
            <w:vAlign w:val="bottom"/>
          </w:tcPr>
          <w:p w:rsidR="00000000" w:rsidRDefault="00000000">
            <w:pPr>
              <w:spacing w:line="240" w:lineRule="auto"/>
              <w:jc w:val="right"/>
              <w:rPr>
                <w:sz w:val="20"/>
              </w:rPr>
            </w:pPr>
            <w:r>
              <w:rPr>
                <w:sz w:val="20"/>
              </w:rPr>
              <w:t>417</w:t>
            </w:r>
          </w:p>
        </w:tc>
        <w:tc>
          <w:tcPr>
            <w:tcW w:w="1266" w:type="dxa"/>
            <w:tcBorders>
              <w:left w:val="nil"/>
              <w:right w:val="single" w:sz="4" w:space="0" w:color="auto"/>
            </w:tcBorders>
            <w:noWrap/>
            <w:vAlign w:val="bottom"/>
          </w:tcPr>
          <w:p w:rsidR="00000000" w:rsidRDefault="00000000">
            <w:pPr>
              <w:spacing w:line="240" w:lineRule="auto"/>
              <w:jc w:val="center"/>
              <w:rPr>
                <w:sz w:val="20"/>
                <w:szCs w:val="16"/>
              </w:rPr>
            </w:pPr>
            <w:r>
              <w:rPr>
                <w:sz w:val="20"/>
                <w:szCs w:val="16"/>
              </w:rPr>
              <w:t>26</w:t>
            </w:r>
          </w:p>
        </w:tc>
      </w:tr>
      <w:tr w:rsidR="00000000">
        <w:trPr>
          <w:trHeight w:val="315"/>
          <w:jc w:val="center"/>
        </w:trPr>
        <w:tc>
          <w:tcPr>
            <w:tcW w:w="3132" w:type="dxa"/>
            <w:tcBorders>
              <w:left w:val="single" w:sz="4" w:space="0" w:color="auto"/>
              <w:right w:val="single" w:sz="4" w:space="0" w:color="auto"/>
            </w:tcBorders>
            <w:shd w:val="clear" w:color="auto" w:fill="FFFFFF"/>
            <w:noWrap/>
            <w:vAlign w:val="bottom"/>
          </w:tcPr>
          <w:p w:rsidR="00000000" w:rsidRDefault="00000000">
            <w:pPr>
              <w:tabs>
                <w:tab w:val="left" w:pos="510"/>
              </w:tabs>
              <w:spacing w:line="240" w:lineRule="auto"/>
              <w:rPr>
                <w:sz w:val="20"/>
              </w:rPr>
            </w:pPr>
            <w:r>
              <w:rPr>
                <w:sz w:val="20"/>
              </w:rPr>
              <w:t xml:space="preserve">  8.</w:t>
            </w:r>
            <w:r>
              <w:rPr>
                <w:sz w:val="20"/>
              </w:rPr>
              <w:tab/>
              <w:t>Западно-Герцеговацский</w:t>
            </w:r>
          </w:p>
        </w:tc>
        <w:tc>
          <w:tcPr>
            <w:tcW w:w="971" w:type="dxa"/>
            <w:tcBorders>
              <w:left w:val="nil"/>
              <w:right w:val="single" w:sz="4" w:space="0" w:color="auto"/>
            </w:tcBorders>
            <w:noWrap/>
            <w:vAlign w:val="bottom"/>
          </w:tcPr>
          <w:p w:rsidR="00000000" w:rsidRDefault="00000000">
            <w:pPr>
              <w:spacing w:line="240" w:lineRule="auto"/>
              <w:jc w:val="right"/>
              <w:rPr>
                <w:sz w:val="20"/>
              </w:rPr>
            </w:pPr>
            <w:r>
              <w:rPr>
                <w:sz w:val="20"/>
              </w:rPr>
              <w:t>3 656</w:t>
            </w:r>
          </w:p>
        </w:tc>
        <w:tc>
          <w:tcPr>
            <w:tcW w:w="712" w:type="dxa"/>
            <w:tcBorders>
              <w:left w:val="nil"/>
              <w:right w:val="single" w:sz="4" w:space="0" w:color="auto"/>
            </w:tcBorders>
            <w:vAlign w:val="bottom"/>
          </w:tcPr>
          <w:p w:rsidR="00000000" w:rsidRDefault="00000000">
            <w:pPr>
              <w:spacing w:line="240" w:lineRule="auto"/>
              <w:jc w:val="right"/>
              <w:rPr>
                <w:sz w:val="20"/>
              </w:rPr>
            </w:pPr>
            <w:r>
              <w:rPr>
                <w:sz w:val="20"/>
              </w:rPr>
              <w:t>7</w:t>
            </w:r>
          </w:p>
        </w:tc>
        <w:tc>
          <w:tcPr>
            <w:tcW w:w="935" w:type="dxa"/>
            <w:tcBorders>
              <w:left w:val="nil"/>
              <w:right w:val="single" w:sz="4" w:space="0" w:color="auto"/>
            </w:tcBorders>
            <w:noWrap/>
            <w:vAlign w:val="bottom"/>
          </w:tcPr>
          <w:p w:rsidR="00000000" w:rsidRDefault="00000000">
            <w:pPr>
              <w:spacing w:line="240" w:lineRule="auto"/>
              <w:jc w:val="right"/>
              <w:rPr>
                <w:sz w:val="20"/>
              </w:rPr>
            </w:pPr>
            <w:r>
              <w:rPr>
                <w:sz w:val="20"/>
              </w:rPr>
              <w:t>241</w:t>
            </w:r>
          </w:p>
        </w:tc>
        <w:tc>
          <w:tcPr>
            <w:tcW w:w="1447" w:type="dxa"/>
            <w:tcBorders>
              <w:left w:val="nil"/>
              <w:right w:val="single" w:sz="4" w:space="0" w:color="auto"/>
            </w:tcBorders>
            <w:noWrap/>
            <w:vAlign w:val="bottom"/>
          </w:tcPr>
          <w:p w:rsidR="00000000" w:rsidRDefault="00000000">
            <w:pPr>
              <w:spacing w:line="240" w:lineRule="auto"/>
              <w:jc w:val="center"/>
              <w:rPr>
                <w:sz w:val="20"/>
              </w:rPr>
            </w:pPr>
            <w:r>
              <w:rPr>
                <w:sz w:val="20"/>
              </w:rPr>
              <w:t>15</w:t>
            </w:r>
          </w:p>
        </w:tc>
        <w:tc>
          <w:tcPr>
            <w:tcW w:w="797" w:type="dxa"/>
            <w:tcBorders>
              <w:left w:val="nil"/>
              <w:right w:val="single" w:sz="4" w:space="0" w:color="auto"/>
            </w:tcBorders>
            <w:noWrap/>
            <w:vAlign w:val="bottom"/>
          </w:tcPr>
          <w:p w:rsidR="00000000" w:rsidRDefault="00000000">
            <w:pPr>
              <w:spacing w:line="240" w:lineRule="auto"/>
              <w:jc w:val="right"/>
              <w:rPr>
                <w:sz w:val="20"/>
              </w:rPr>
            </w:pPr>
            <w:r>
              <w:rPr>
                <w:sz w:val="20"/>
              </w:rPr>
              <w:t>134</w:t>
            </w:r>
          </w:p>
        </w:tc>
        <w:tc>
          <w:tcPr>
            <w:tcW w:w="1266" w:type="dxa"/>
            <w:tcBorders>
              <w:left w:val="nil"/>
              <w:right w:val="single" w:sz="4" w:space="0" w:color="auto"/>
            </w:tcBorders>
            <w:noWrap/>
            <w:vAlign w:val="bottom"/>
          </w:tcPr>
          <w:p w:rsidR="00000000" w:rsidRDefault="00000000">
            <w:pPr>
              <w:spacing w:line="240" w:lineRule="auto"/>
              <w:jc w:val="center"/>
              <w:rPr>
                <w:sz w:val="20"/>
                <w:szCs w:val="16"/>
              </w:rPr>
            </w:pPr>
            <w:r>
              <w:rPr>
                <w:sz w:val="20"/>
                <w:szCs w:val="16"/>
              </w:rPr>
              <w:t>27</w:t>
            </w:r>
          </w:p>
        </w:tc>
      </w:tr>
      <w:tr w:rsidR="00000000">
        <w:trPr>
          <w:trHeight w:val="315"/>
          <w:jc w:val="center"/>
        </w:trPr>
        <w:tc>
          <w:tcPr>
            <w:tcW w:w="3132" w:type="dxa"/>
            <w:tcBorders>
              <w:left w:val="single" w:sz="4" w:space="0" w:color="auto"/>
              <w:right w:val="single" w:sz="4" w:space="0" w:color="auto"/>
            </w:tcBorders>
            <w:shd w:val="clear" w:color="auto" w:fill="FFFFFF"/>
            <w:noWrap/>
            <w:vAlign w:val="bottom"/>
          </w:tcPr>
          <w:p w:rsidR="00000000" w:rsidRDefault="00000000">
            <w:pPr>
              <w:tabs>
                <w:tab w:val="left" w:pos="510"/>
              </w:tabs>
              <w:spacing w:line="240" w:lineRule="auto"/>
              <w:rPr>
                <w:sz w:val="20"/>
              </w:rPr>
            </w:pPr>
            <w:r>
              <w:rPr>
                <w:sz w:val="20"/>
              </w:rPr>
              <w:t xml:space="preserve">  9.</w:t>
            </w:r>
            <w:r>
              <w:rPr>
                <w:sz w:val="20"/>
              </w:rPr>
              <w:tab/>
              <w:t>Сараево</w:t>
            </w:r>
          </w:p>
        </w:tc>
        <w:tc>
          <w:tcPr>
            <w:tcW w:w="971" w:type="dxa"/>
            <w:tcBorders>
              <w:left w:val="nil"/>
              <w:right w:val="single" w:sz="4" w:space="0" w:color="auto"/>
            </w:tcBorders>
            <w:noWrap/>
            <w:vAlign w:val="bottom"/>
          </w:tcPr>
          <w:p w:rsidR="00000000" w:rsidRDefault="00000000">
            <w:pPr>
              <w:spacing w:line="240" w:lineRule="auto"/>
              <w:jc w:val="right"/>
              <w:rPr>
                <w:sz w:val="20"/>
              </w:rPr>
            </w:pPr>
            <w:r>
              <w:rPr>
                <w:sz w:val="20"/>
              </w:rPr>
              <w:t>22 626</w:t>
            </w:r>
          </w:p>
        </w:tc>
        <w:tc>
          <w:tcPr>
            <w:tcW w:w="712" w:type="dxa"/>
            <w:tcBorders>
              <w:left w:val="nil"/>
              <w:right w:val="single" w:sz="4" w:space="0" w:color="auto"/>
            </w:tcBorders>
            <w:vAlign w:val="bottom"/>
          </w:tcPr>
          <w:p w:rsidR="00000000" w:rsidRDefault="00000000">
            <w:pPr>
              <w:spacing w:line="240" w:lineRule="auto"/>
              <w:jc w:val="right"/>
              <w:rPr>
                <w:sz w:val="20"/>
              </w:rPr>
            </w:pPr>
            <w:r>
              <w:rPr>
                <w:sz w:val="20"/>
              </w:rPr>
              <w:t>38</w:t>
            </w:r>
          </w:p>
        </w:tc>
        <w:tc>
          <w:tcPr>
            <w:tcW w:w="935" w:type="dxa"/>
            <w:tcBorders>
              <w:left w:val="nil"/>
              <w:right w:val="single" w:sz="4" w:space="0" w:color="auto"/>
            </w:tcBorders>
            <w:noWrap/>
            <w:vAlign w:val="bottom"/>
          </w:tcPr>
          <w:p w:rsidR="00000000" w:rsidRDefault="00000000">
            <w:pPr>
              <w:spacing w:line="240" w:lineRule="auto"/>
              <w:jc w:val="right"/>
              <w:rPr>
                <w:sz w:val="20"/>
              </w:rPr>
            </w:pPr>
            <w:r>
              <w:rPr>
                <w:sz w:val="20"/>
              </w:rPr>
              <w:t>1 631</w:t>
            </w:r>
          </w:p>
        </w:tc>
        <w:tc>
          <w:tcPr>
            <w:tcW w:w="1447" w:type="dxa"/>
            <w:tcBorders>
              <w:left w:val="nil"/>
              <w:right w:val="single" w:sz="4" w:space="0" w:color="auto"/>
            </w:tcBorders>
            <w:noWrap/>
            <w:vAlign w:val="bottom"/>
          </w:tcPr>
          <w:p w:rsidR="00000000" w:rsidRDefault="00000000">
            <w:pPr>
              <w:spacing w:line="240" w:lineRule="auto"/>
              <w:jc w:val="center"/>
              <w:rPr>
                <w:sz w:val="20"/>
              </w:rPr>
            </w:pPr>
            <w:r>
              <w:rPr>
                <w:sz w:val="20"/>
              </w:rPr>
              <w:t>14</w:t>
            </w:r>
          </w:p>
        </w:tc>
        <w:tc>
          <w:tcPr>
            <w:tcW w:w="797" w:type="dxa"/>
            <w:tcBorders>
              <w:left w:val="nil"/>
              <w:right w:val="single" w:sz="4" w:space="0" w:color="auto"/>
            </w:tcBorders>
            <w:noWrap/>
            <w:vAlign w:val="bottom"/>
          </w:tcPr>
          <w:p w:rsidR="00000000" w:rsidRDefault="00000000">
            <w:pPr>
              <w:spacing w:line="240" w:lineRule="auto"/>
              <w:jc w:val="right"/>
              <w:rPr>
                <w:sz w:val="20"/>
              </w:rPr>
            </w:pPr>
            <w:r>
              <w:rPr>
                <w:sz w:val="20"/>
              </w:rPr>
              <w:t>808</w:t>
            </w:r>
          </w:p>
        </w:tc>
        <w:tc>
          <w:tcPr>
            <w:tcW w:w="1266" w:type="dxa"/>
            <w:tcBorders>
              <w:left w:val="nil"/>
              <w:right w:val="single" w:sz="4" w:space="0" w:color="auto"/>
            </w:tcBorders>
            <w:noWrap/>
            <w:vAlign w:val="bottom"/>
          </w:tcPr>
          <w:p w:rsidR="00000000" w:rsidRDefault="00000000">
            <w:pPr>
              <w:spacing w:line="240" w:lineRule="auto"/>
              <w:jc w:val="center"/>
              <w:rPr>
                <w:sz w:val="20"/>
                <w:szCs w:val="16"/>
              </w:rPr>
            </w:pPr>
            <w:r>
              <w:rPr>
                <w:sz w:val="20"/>
                <w:szCs w:val="16"/>
              </w:rPr>
              <w:t>28</w:t>
            </w:r>
          </w:p>
        </w:tc>
      </w:tr>
      <w:tr w:rsidR="00000000">
        <w:trPr>
          <w:trHeight w:val="315"/>
          <w:jc w:val="center"/>
        </w:trPr>
        <w:tc>
          <w:tcPr>
            <w:tcW w:w="3132" w:type="dxa"/>
            <w:tcBorders>
              <w:left w:val="single" w:sz="4" w:space="0" w:color="auto"/>
              <w:bottom w:val="single" w:sz="4" w:space="0" w:color="auto"/>
              <w:right w:val="single" w:sz="4" w:space="0" w:color="auto"/>
            </w:tcBorders>
            <w:shd w:val="clear" w:color="auto" w:fill="FFFFFF"/>
            <w:noWrap/>
            <w:vAlign w:val="bottom"/>
          </w:tcPr>
          <w:p w:rsidR="00000000" w:rsidRDefault="00000000">
            <w:pPr>
              <w:tabs>
                <w:tab w:val="left" w:pos="510"/>
              </w:tabs>
              <w:spacing w:line="240" w:lineRule="auto"/>
              <w:rPr>
                <w:bCs/>
                <w:sz w:val="20"/>
              </w:rPr>
            </w:pPr>
            <w:r>
              <w:rPr>
                <w:bCs/>
                <w:sz w:val="20"/>
              </w:rPr>
              <w:t>10.</w:t>
            </w:r>
            <w:r>
              <w:rPr>
                <w:bCs/>
                <w:sz w:val="20"/>
              </w:rPr>
              <w:tab/>
              <w:t>Герцегбосанский</w:t>
            </w:r>
          </w:p>
        </w:tc>
        <w:tc>
          <w:tcPr>
            <w:tcW w:w="971" w:type="dxa"/>
            <w:tcBorders>
              <w:left w:val="nil"/>
              <w:bottom w:val="single" w:sz="4" w:space="0" w:color="auto"/>
              <w:right w:val="single" w:sz="4" w:space="0" w:color="auto"/>
            </w:tcBorders>
            <w:noWrap/>
            <w:vAlign w:val="bottom"/>
          </w:tcPr>
          <w:p w:rsidR="00000000" w:rsidRDefault="00000000">
            <w:pPr>
              <w:spacing w:line="240" w:lineRule="auto"/>
              <w:jc w:val="right"/>
              <w:rPr>
                <w:sz w:val="20"/>
              </w:rPr>
            </w:pPr>
            <w:r>
              <w:rPr>
                <w:sz w:val="20"/>
              </w:rPr>
              <w:t>2 729</w:t>
            </w:r>
          </w:p>
        </w:tc>
        <w:tc>
          <w:tcPr>
            <w:tcW w:w="712" w:type="dxa"/>
            <w:tcBorders>
              <w:left w:val="nil"/>
              <w:bottom w:val="single" w:sz="4" w:space="0" w:color="auto"/>
              <w:right w:val="single" w:sz="4" w:space="0" w:color="auto"/>
            </w:tcBorders>
            <w:vAlign w:val="bottom"/>
          </w:tcPr>
          <w:p w:rsidR="00000000" w:rsidRDefault="00000000">
            <w:pPr>
              <w:spacing w:line="240" w:lineRule="auto"/>
              <w:jc w:val="right"/>
              <w:rPr>
                <w:sz w:val="20"/>
              </w:rPr>
            </w:pPr>
            <w:r>
              <w:rPr>
                <w:sz w:val="20"/>
              </w:rPr>
              <w:t>8</w:t>
            </w:r>
          </w:p>
        </w:tc>
        <w:tc>
          <w:tcPr>
            <w:tcW w:w="935" w:type="dxa"/>
            <w:tcBorders>
              <w:left w:val="nil"/>
              <w:bottom w:val="single" w:sz="4" w:space="0" w:color="auto"/>
              <w:right w:val="single" w:sz="4" w:space="0" w:color="auto"/>
            </w:tcBorders>
            <w:noWrap/>
            <w:vAlign w:val="bottom"/>
          </w:tcPr>
          <w:p w:rsidR="00000000" w:rsidRDefault="00000000">
            <w:pPr>
              <w:spacing w:line="240" w:lineRule="auto"/>
              <w:jc w:val="right"/>
              <w:rPr>
                <w:sz w:val="20"/>
              </w:rPr>
            </w:pPr>
            <w:r>
              <w:rPr>
                <w:sz w:val="20"/>
              </w:rPr>
              <w:t>213</w:t>
            </w:r>
          </w:p>
        </w:tc>
        <w:tc>
          <w:tcPr>
            <w:tcW w:w="1447" w:type="dxa"/>
            <w:tcBorders>
              <w:left w:val="nil"/>
              <w:bottom w:val="single" w:sz="4" w:space="0" w:color="auto"/>
              <w:right w:val="single" w:sz="4" w:space="0" w:color="auto"/>
            </w:tcBorders>
            <w:noWrap/>
            <w:vAlign w:val="bottom"/>
          </w:tcPr>
          <w:p w:rsidR="00000000" w:rsidRDefault="00000000">
            <w:pPr>
              <w:spacing w:line="240" w:lineRule="auto"/>
              <w:jc w:val="center"/>
              <w:rPr>
                <w:sz w:val="20"/>
              </w:rPr>
            </w:pPr>
            <w:r>
              <w:rPr>
                <w:sz w:val="20"/>
              </w:rPr>
              <w:t>13</w:t>
            </w:r>
          </w:p>
        </w:tc>
        <w:tc>
          <w:tcPr>
            <w:tcW w:w="797" w:type="dxa"/>
            <w:tcBorders>
              <w:left w:val="nil"/>
              <w:bottom w:val="single" w:sz="4" w:space="0" w:color="auto"/>
              <w:right w:val="single" w:sz="4" w:space="0" w:color="auto"/>
            </w:tcBorders>
            <w:noWrap/>
            <w:vAlign w:val="bottom"/>
          </w:tcPr>
          <w:p w:rsidR="00000000" w:rsidRDefault="00000000">
            <w:pPr>
              <w:spacing w:line="240" w:lineRule="auto"/>
              <w:jc w:val="right"/>
              <w:rPr>
                <w:sz w:val="20"/>
              </w:rPr>
            </w:pPr>
            <w:r>
              <w:rPr>
                <w:sz w:val="20"/>
              </w:rPr>
              <w:t>113</w:t>
            </w:r>
          </w:p>
        </w:tc>
        <w:tc>
          <w:tcPr>
            <w:tcW w:w="1266" w:type="dxa"/>
            <w:tcBorders>
              <w:left w:val="nil"/>
              <w:bottom w:val="single" w:sz="4" w:space="0" w:color="auto"/>
              <w:right w:val="single" w:sz="4" w:space="0" w:color="auto"/>
            </w:tcBorders>
            <w:noWrap/>
            <w:vAlign w:val="bottom"/>
          </w:tcPr>
          <w:p w:rsidR="00000000" w:rsidRDefault="00000000">
            <w:pPr>
              <w:spacing w:line="240" w:lineRule="auto"/>
              <w:jc w:val="center"/>
              <w:rPr>
                <w:sz w:val="20"/>
                <w:szCs w:val="16"/>
              </w:rPr>
            </w:pPr>
            <w:r>
              <w:rPr>
                <w:sz w:val="20"/>
                <w:szCs w:val="16"/>
              </w:rPr>
              <w:t>24</w:t>
            </w:r>
          </w:p>
        </w:tc>
      </w:tr>
      <w:tr w:rsidR="00000000">
        <w:trPr>
          <w:trHeight w:val="464"/>
          <w:jc w:val="center"/>
        </w:trPr>
        <w:tc>
          <w:tcPr>
            <w:tcW w:w="3132" w:type="dxa"/>
            <w:tcBorders>
              <w:top w:val="single" w:sz="4" w:space="0" w:color="auto"/>
              <w:left w:val="single" w:sz="4" w:space="0" w:color="auto"/>
              <w:bottom w:val="single" w:sz="4" w:space="0" w:color="auto"/>
              <w:right w:val="single" w:sz="4" w:space="0" w:color="auto"/>
            </w:tcBorders>
            <w:shd w:val="clear" w:color="auto" w:fill="FFFFFF"/>
            <w:noWrap/>
          </w:tcPr>
          <w:p w:rsidR="00000000" w:rsidRDefault="00000000">
            <w:pPr>
              <w:tabs>
                <w:tab w:val="clear" w:pos="567"/>
                <w:tab w:val="left" w:pos="512"/>
              </w:tabs>
              <w:spacing w:line="240" w:lineRule="auto"/>
              <w:ind w:left="510" w:hanging="510"/>
              <w:rPr>
                <w:sz w:val="20"/>
              </w:rPr>
            </w:pPr>
            <w:r>
              <w:rPr>
                <w:sz w:val="20"/>
              </w:rPr>
              <w:tab/>
              <w:t>Федерация Боснии и Герцеговины</w:t>
            </w:r>
          </w:p>
        </w:tc>
        <w:tc>
          <w:tcPr>
            <w:tcW w:w="971" w:type="dxa"/>
            <w:tcBorders>
              <w:top w:val="single" w:sz="4" w:space="0" w:color="auto"/>
              <w:left w:val="nil"/>
              <w:bottom w:val="single" w:sz="4" w:space="0" w:color="auto"/>
              <w:right w:val="single" w:sz="4" w:space="0" w:color="auto"/>
            </w:tcBorders>
            <w:noWrap/>
            <w:vAlign w:val="center"/>
          </w:tcPr>
          <w:p w:rsidR="00000000" w:rsidRDefault="00000000">
            <w:pPr>
              <w:spacing w:line="240" w:lineRule="auto"/>
              <w:jc w:val="right"/>
              <w:rPr>
                <w:bCs/>
                <w:sz w:val="20"/>
              </w:rPr>
            </w:pPr>
            <w:r>
              <w:rPr>
                <w:bCs/>
                <w:sz w:val="20"/>
              </w:rPr>
              <w:t>115 917</w:t>
            </w:r>
          </w:p>
        </w:tc>
        <w:tc>
          <w:tcPr>
            <w:tcW w:w="712" w:type="dxa"/>
            <w:tcBorders>
              <w:top w:val="single" w:sz="4" w:space="0" w:color="auto"/>
              <w:left w:val="nil"/>
              <w:bottom w:val="single" w:sz="4" w:space="0" w:color="auto"/>
              <w:right w:val="single" w:sz="4" w:space="0" w:color="auto"/>
            </w:tcBorders>
            <w:vAlign w:val="center"/>
          </w:tcPr>
          <w:p w:rsidR="00000000" w:rsidRDefault="00000000">
            <w:pPr>
              <w:spacing w:line="240" w:lineRule="auto"/>
              <w:jc w:val="right"/>
              <w:rPr>
                <w:bCs/>
                <w:sz w:val="20"/>
              </w:rPr>
            </w:pPr>
            <w:r>
              <w:rPr>
                <w:bCs/>
                <w:sz w:val="20"/>
              </w:rPr>
              <w:t>204</w:t>
            </w:r>
          </w:p>
        </w:tc>
        <w:tc>
          <w:tcPr>
            <w:tcW w:w="935" w:type="dxa"/>
            <w:tcBorders>
              <w:top w:val="single" w:sz="4" w:space="0" w:color="auto"/>
              <w:left w:val="nil"/>
              <w:bottom w:val="single" w:sz="4" w:space="0" w:color="auto"/>
              <w:right w:val="single" w:sz="4" w:space="0" w:color="auto"/>
            </w:tcBorders>
            <w:noWrap/>
            <w:vAlign w:val="center"/>
          </w:tcPr>
          <w:p w:rsidR="00000000" w:rsidRDefault="00000000">
            <w:pPr>
              <w:spacing w:line="240" w:lineRule="auto"/>
              <w:jc w:val="right"/>
              <w:rPr>
                <w:bCs/>
                <w:sz w:val="20"/>
              </w:rPr>
            </w:pPr>
            <w:r>
              <w:rPr>
                <w:bCs/>
                <w:sz w:val="20"/>
              </w:rPr>
              <w:t>7 675</w:t>
            </w:r>
          </w:p>
        </w:tc>
        <w:tc>
          <w:tcPr>
            <w:tcW w:w="1447" w:type="dxa"/>
            <w:tcBorders>
              <w:top w:val="single" w:sz="4" w:space="0" w:color="auto"/>
              <w:left w:val="nil"/>
              <w:bottom w:val="single" w:sz="4" w:space="0" w:color="auto"/>
              <w:right w:val="single" w:sz="4" w:space="0" w:color="auto"/>
            </w:tcBorders>
            <w:noWrap/>
            <w:vAlign w:val="center"/>
          </w:tcPr>
          <w:p w:rsidR="00000000" w:rsidRDefault="00000000">
            <w:pPr>
              <w:spacing w:line="240" w:lineRule="auto"/>
              <w:jc w:val="right"/>
              <w:rPr>
                <w:bCs/>
                <w:sz w:val="20"/>
              </w:rPr>
            </w:pPr>
            <w:r>
              <w:rPr>
                <w:bCs/>
                <w:sz w:val="20"/>
              </w:rPr>
              <w:t>15</w:t>
            </w:r>
          </w:p>
        </w:tc>
        <w:tc>
          <w:tcPr>
            <w:tcW w:w="797" w:type="dxa"/>
            <w:tcBorders>
              <w:top w:val="single" w:sz="4" w:space="0" w:color="auto"/>
              <w:left w:val="nil"/>
              <w:bottom w:val="single" w:sz="4" w:space="0" w:color="auto"/>
              <w:right w:val="single" w:sz="4" w:space="0" w:color="auto"/>
            </w:tcBorders>
            <w:noWrap/>
            <w:vAlign w:val="center"/>
          </w:tcPr>
          <w:p w:rsidR="00000000" w:rsidRDefault="00000000">
            <w:pPr>
              <w:spacing w:line="240" w:lineRule="auto"/>
              <w:jc w:val="right"/>
              <w:rPr>
                <w:bCs/>
                <w:sz w:val="20"/>
              </w:rPr>
            </w:pPr>
            <w:r>
              <w:rPr>
                <w:bCs/>
                <w:sz w:val="20"/>
              </w:rPr>
              <w:t>4 099</w:t>
            </w:r>
          </w:p>
        </w:tc>
        <w:tc>
          <w:tcPr>
            <w:tcW w:w="1266" w:type="dxa"/>
            <w:tcBorders>
              <w:top w:val="single" w:sz="4" w:space="0" w:color="auto"/>
              <w:left w:val="nil"/>
              <w:bottom w:val="single" w:sz="4" w:space="0" w:color="auto"/>
              <w:right w:val="single" w:sz="4" w:space="0" w:color="auto"/>
            </w:tcBorders>
            <w:noWrap/>
            <w:vAlign w:val="center"/>
          </w:tcPr>
          <w:p w:rsidR="00000000" w:rsidRDefault="00000000">
            <w:pPr>
              <w:spacing w:line="240" w:lineRule="auto"/>
              <w:jc w:val="right"/>
              <w:rPr>
                <w:bCs/>
                <w:sz w:val="20"/>
              </w:rPr>
            </w:pPr>
            <w:r>
              <w:rPr>
                <w:bCs/>
                <w:sz w:val="20"/>
              </w:rPr>
              <w:t>28</w:t>
            </w:r>
          </w:p>
        </w:tc>
      </w:tr>
    </w:tbl>
    <w:p w:rsidR="00000000" w:rsidRDefault="00000000">
      <w:pPr>
        <w:pStyle w:val="Heading3"/>
        <w:jc w:val="center"/>
        <w:rPr>
          <w:b/>
          <w:bCs/>
          <w:i w:val="0"/>
          <w:iCs/>
        </w:rPr>
      </w:pPr>
    </w:p>
    <w:p w:rsidR="00000000" w:rsidRDefault="00000000">
      <w:pPr>
        <w:pStyle w:val="Heading3"/>
        <w:rPr>
          <w:b/>
          <w:bCs/>
          <w:i w:val="0"/>
          <w:iCs/>
        </w:rPr>
      </w:pPr>
      <w:r>
        <w:rPr>
          <w:b/>
          <w:bCs/>
          <w:i w:val="0"/>
          <w:iCs/>
        </w:rPr>
        <w:t>Среднее образование в Республике Сербской</w:t>
      </w:r>
    </w:p>
    <w:p w:rsidR="00000000" w:rsidRDefault="00000000">
      <w:pPr>
        <w:pStyle w:val="Heading3"/>
        <w:jc w:val="center"/>
        <w:rPr>
          <w:b/>
          <w:bCs/>
          <w:i w:val="0"/>
          <w:iCs/>
        </w:rPr>
      </w:pPr>
    </w:p>
    <w:p w:rsidR="00000000" w:rsidRDefault="00000000">
      <w:pPr>
        <w:pStyle w:val="ParaNo"/>
        <w:numPr>
          <w:ilvl w:val="0"/>
          <w:numId w:val="0"/>
        </w:numPr>
        <w:tabs>
          <w:tab w:val="clear" w:pos="737"/>
        </w:tabs>
        <w:spacing w:after="0" w:line="288" w:lineRule="auto"/>
        <w:rPr>
          <w:lang w:val="ru-RU"/>
        </w:rPr>
      </w:pPr>
      <w:r>
        <w:rPr>
          <w:lang w:val="ru-RU"/>
        </w:rPr>
        <w:t>593.</w:t>
      </w:r>
      <w:r>
        <w:rPr>
          <w:lang w:val="ru-RU"/>
        </w:rPr>
        <w:tab/>
        <w:t>Прием в средние школы осуществляется на основании открытого конкурса и записи </w:t>
      </w:r>
      <w:r>
        <w:rPr>
          <w:lang w:val="ru-RU"/>
        </w:rPr>
        <w:noBreakHyphen/>
        <w:t xml:space="preserve">  квалификационный экзамен в июне и дополнительный прием в августе.</w:t>
      </w:r>
    </w:p>
    <w:p w:rsidR="00000000" w:rsidRDefault="00000000">
      <w:pPr>
        <w:pStyle w:val="ParaNo"/>
        <w:numPr>
          <w:ilvl w:val="0"/>
          <w:numId w:val="0"/>
        </w:numPr>
        <w:tabs>
          <w:tab w:val="clear" w:pos="737"/>
        </w:tabs>
        <w:spacing w:after="0" w:line="288" w:lineRule="auto"/>
        <w:rPr>
          <w:lang w:val="ru-RU"/>
        </w:rPr>
      </w:pPr>
    </w:p>
    <w:p w:rsidR="00000000" w:rsidRDefault="00000000">
      <w:r>
        <w:t>594.</w:t>
      </w:r>
      <w:r>
        <w:tab/>
        <w:t>В общеобразовательных средних школах учащиеся получают образование, необходимое для их работы или продолжения образования в течение трех или четырех лет.  Кроме того, в средней профессиональной школе профессиональное образование для работы по специальности обеспечивается в течение одного года или двух лет (простые специальности).  Подготовка к работе по специальности продолжается один год после получения среднего образования.  В художественных школах учащиеся получают образование для работы по специальности или продолжения образования.  Обучение в средних художественных школах продолжается четыре года.</w:t>
      </w:r>
    </w:p>
    <w:p w:rsidR="00000000" w:rsidRDefault="00000000"/>
    <w:p w:rsidR="00000000" w:rsidRDefault="00000000">
      <w:r>
        <w:t>595.</w:t>
      </w:r>
      <w:r>
        <w:tab/>
        <w:t xml:space="preserve">В религиозных школах, обучение в которых продолжается четыре или пять лет, учащиеся получают среднее образование, позволяющее им работать или продолжать свое образование.  </w:t>
      </w:r>
    </w:p>
    <w:p w:rsidR="00000000" w:rsidRDefault="00000000"/>
    <w:p w:rsidR="00000000" w:rsidRDefault="00000000">
      <w:r>
        <w:t>596.</w:t>
      </w:r>
      <w:r>
        <w:tab/>
        <w:t>В военных школах учащиеся получают среднее образование, необходимое для их работы или для продолжения образования.  Прием и обучение осуществляются в соответствии со специальным законом.  Частные средние школы разрешены.  Ответственное министерство санкционирует открытие частных школ.</w:t>
      </w:r>
    </w:p>
    <w:p w:rsidR="00000000" w:rsidRDefault="00000000"/>
    <w:p w:rsidR="00000000" w:rsidRDefault="00000000">
      <w:r>
        <w:t>597.</w:t>
      </w:r>
      <w:r>
        <w:tab/>
        <w:t>Что касается образования девочек и их возможностей в выборе карьеры, то все решения относительно вида образования принимаются на индивидуальном уровне, однако логику известных типичных случаев не следует искать только на индивидуальном уровне.  А. Милич считает, что необходимо исходить из процессов социализации, через которые проходят девочки, начиная от семьи, через начальную и среднюю школу, университет - и до трудоустройства (Милич, 1994:53).  Независимо от конкретной интерпретации весьма разбалансированного соотношения сил на рынке - либо как культурной формы, проявляющейся новым образом, отвечающим новым социальным условиям, либо как процесса ухода из некоторых профессий мужской рабочей силы из-за невысокой заработной платы, низкой престижности или поиска где-либо еще лучших возможностей и заполнения освобождающихся мест женской рабочей силой - проблему для женщин в данном случае представляет несбалансированность, которая ведет к сегментации рынка труда.  Различные авторы-женщины, принадлежащие к феминистской и так называемой гендерной школе, заявляют, что такой ход событий ухудшает социально-экономическое положение женщин.  Однако это - не единственная точка зрения на сегрегацию в отношении профессий.</w:t>
      </w:r>
    </w:p>
    <w:p w:rsidR="00000000" w:rsidRDefault="00000000"/>
    <w:p w:rsidR="00000000" w:rsidRDefault="00000000">
      <w:r>
        <w:t>598.</w:t>
      </w:r>
      <w:r>
        <w:tab/>
        <w:t>Концентрация женщин в некоторых профессиях имеет также другие последствия.  Прежде всего она приводит к росту конкуренции в рамках таких профессий и к ослаблению общей конкурентоспособности женщин на рынке труда в целом.  Положение, в котором будет находиться женская рабочая сила, зависит главным образом от условий в рамках экономической системы.  Результатом существующей взаимосвязи является низкая заработная плата за такой труд.</w:t>
      </w:r>
    </w:p>
    <w:p w:rsidR="00000000" w:rsidRDefault="00000000"/>
    <w:p w:rsidR="00000000" w:rsidRDefault="00000000">
      <w:r>
        <w:t>599.</w:t>
      </w:r>
      <w:r>
        <w:tab/>
        <w:t>По состоянию на конец 1999/2000 учебного года в Республике Сербской насчитывалось 27 специальных начальных школ.  Две из них - четырехклассные и 25 - восьмиклассные начальные школы.  Общее количество учащихся в первых четырех классах специальных начальных школ составляло 208 человек, в том числе 76 девочек;  204 учащихся успешно закончили учебный год, в том числе 75 девочек.  В более старших классах начальных школ в 1999/2000 учебном году насчитывалось 289 учащихся, в том числе 94 девочки;  283 учащихся успешно закончили учебный год, включая 94 девочек, т.е. в отличие от мальчиков все девочки успешно закончили учебный год.</w:t>
      </w:r>
    </w:p>
    <w:p w:rsidR="00000000" w:rsidRDefault="00000000"/>
    <w:p w:rsidR="00000000" w:rsidRDefault="00000000">
      <w:r>
        <w:t>600.</w:t>
      </w:r>
      <w:r>
        <w:tab/>
        <w:t>Общее количество специальных начальных школ в 1999/2000 учебном году составляло 27, 25 из которых были восьмиклассными школами и остальные - четырехклассными.</w:t>
      </w:r>
    </w:p>
    <w:p w:rsidR="00000000" w:rsidRDefault="00000000">
      <w:pPr>
        <w:spacing w:line="240" w:lineRule="auto"/>
      </w:pPr>
    </w:p>
    <w:p w:rsidR="00000000" w:rsidRDefault="00000000">
      <w:pPr>
        <w:spacing w:line="240" w:lineRule="auto"/>
        <w:jc w:val="center"/>
        <w:rPr>
          <w:b/>
          <w:bCs/>
        </w:rPr>
      </w:pPr>
      <w:r>
        <w:rPr>
          <w:b/>
          <w:bCs/>
        </w:rPr>
        <w:t>Таблица 28</w:t>
      </w:r>
    </w:p>
    <w:p w:rsidR="00000000" w:rsidRDefault="00000000">
      <w:pPr>
        <w:spacing w:line="240" w:lineRule="auto"/>
        <w:jc w:val="center"/>
        <w:rPr>
          <w:b/>
          <w:bCs/>
        </w:rPr>
      </w:pPr>
    </w:p>
    <w:p w:rsidR="00000000" w:rsidRDefault="00000000">
      <w:pPr>
        <w:spacing w:line="240" w:lineRule="auto"/>
        <w:jc w:val="center"/>
        <w:rPr>
          <w:b/>
          <w:bCs/>
        </w:rPr>
      </w:pPr>
      <w:r>
        <w:rPr>
          <w:b/>
          <w:bCs/>
        </w:rPr>
        <w:t>Учащиеся специальных начальных школ с разбивкой по полу и результатам учебы в конце 1999/2000 учебного года</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47"/>
        <w:gridCol w:w="1366"/>
        <w:gridCol w:w="1410"/>
        <w:gridCol w:w="1410"/>
        <w:gridCol w:w="1570"/>
        <w:gridCol w:w="1707"/>
      </w:tblGrid>
      <w:tr w:rsidR="00000000">
        <w:tblPrEx>
          <w:tblCellMar>
            <w:top w:w="0" w:type="dxa"/>
            <w:bottom w:w="0" w:type="dxa"/>
          </w:tblCellMar>
        </w:tblPrEx>
        <w:trPr>
          <w:cantSplit/>
        </w:trPr>
        <w:tc>
          <w:tcPr>
            <w:tcW w:w="1947" w:type="dxa"/>
          </w:tcPr>
          <w:p w:rsidR="00000000" w:rsidRDefault="00000000">
            <w:pPr>
              <w:spacing w:line="240" w:lineRule="auto"/>
              <w:jc w:val="center"/>
            </w:pPr>
            <w:r>
              <w:t>Уровень обучения</w:t>
            </w:r>
          </w:p>
        </w:tc>
        <w:tc>
          <w:tcPr>
            <w:tcW w:w="1366" w:type="dxa"/>
          </w:tcPr>
          <w:p w:rsidR="00000000" w:rsidRDefault="00000000">
            <w:pPr>
              <w:spacing w:line="240" w:lineRule="auto"/>
              <w:jc w:val="center"/>
            </w:pPr>
            <w:r>
              <w:t>Общее количество учащихся</w:t>
            </w:r>
          </w:p>
        </w:tc>
        <w:tc>
          <w:tcPr>
            <w:tcW w:w="1410" w:type="dxa"/>
          </w:tcPr>
          <w:p w:rsidR="00000000" w:rsidRDefault="00000000">
            <w:pPr>
              <w:spacing w:line="240" w:lineRule="auto"/>
              <w:jc w:val="center"/>
            </w:pPr>
            <w:r>
              <w:t>Количество учащихся-девочек</w:t>
            </w:r>
          </w:p>
        </w:tc>
        <w:tc>
          <w:tcPr>
            <w:tcW w:w="1410" w:type="dxa"/>
          </w:tcPr>
          <w:p w:rsidR="00000000" w:rsidRDefault="00000000">
            <w:pPr>
              <w:spacing w:line="240" w:lineRule="auto"/>
              <w:jc w:val="center"/>
            </w:pPr>
            <w:r>
              <w:t>Количество учащихся-мальчиков</w:t>
            </w:r>
          </w:p>
        </w:tc>
        <w:tc>
          <w:tcPr>
            <w:tcW w:w="1570" w:type="dxa"/>
          </w:tcPr>
          <w:p w:rsidR="00000000" w:rsidRDefault="00000000">
            <w:pPr>
              <w:spacing w:line="240" w:lineRule="auto"/>
              <w:jc w:val="center"/>
            </w:pPr>
            <w:r>
              <w:t>Количество закончивших учебный год</w:t>
            </w:r>
          </w:p>
        </w:tc>
        <w:tc>
          <w:tcPr>
            <w:tcW w:w="1707" w:type="dxa"/>
          </w:tcPr>
          <w:p w:rsidR="00000000" w:rsidRDefault="00000000">
            <w:pPr>
              <w:spacing w:line="240" w:lineRule="auto"/>
              <w:jc w:val="center"/>
            </w:pPr>
            <w:r>
              <w:t>Количество девочек, закончивших учебный год</w:t>
            </w:r>
          </w:p>
        </w:tc>
      </w:tr>
      <w:tr w:rsidR="00000000">
        <w:tblPrEx>
          <w:tblCellMar>
            <w:top w:w="0" w:type="dxa"/>
            <w:bottom w:w="0" w:type="dxa"/>
          </w:tblCellMar>
        </w:tblPrEx>
        <w:trPr>
          <w:cantSplit/>
        </w:trPr>
        <w:tc>
          <w:tcPr>
            <w:tcW w:w="1947" w:type="dxa"/>
            <w:tcBorders>
              <w:bottom w:val="nil"/>
            </w:tcBorders>
          </w:tcPr>
          <w:p w:rsidR="00000000" w:rsidRDefault="00000000">
            <w:pPr>
              <w:spacing w:line="240" w:lineRule="auto"/>
            </w:pPr>
            <w:r>
              <w:t>I-IV класс</w:t>
            </w:r>
          </w:p>
        </w:tc>
        <w:tc>
          <w:tcPr>
            <w:tcW w:w="1366" w:type="dxa"/>
            <w:tcBorders>
              <w:bottom w:val="nil"/>
            </w:tcBorders>
          </w:tcPr>
          <w:p w:rsidR="00000000" w:rsidRDefault="00000000">
            <w:pPr>
              <w:spacing w:line="240" w:lineRule="auto"/>
              <w:jc w:val="center"/>
            </w:pPr>
            <w:r>
              <w:t>208</w:t>
            </w:r>
          </w:p>
        </w:tc>
        <w:tc>
          <w:tcPr>
            <w:tcW w:w="1410" w:type="dxa"/>
            <w:tcBorders>
              <w:bottom w:val="nil"/>
            </w:tcBorders>
          </w:tcPr>
          <w:p w:rsidR="00000000" w:rsidRDefault="00000000">
            <w:pPr>
              <w:spacing w:line="240" w:lineRule="auto"/>
              <w:jc w:val="center"/>
            </w:pPr>
            <w:r>
              <w:t>76</w:t>
            </w:r>
          </w:p>
        </w:tc>
        <w:tc>
          <w:tcPr>
            <w:tcW w:w="1410" w:type="dxa"/>
            <w:tcBorders>
              <w:bottom w:val="nil"/>
            </w:tcBorders>
          </w:tcPr>
          <w:p w:rsidR="00000000" w:rsidRDefault="00000000">
            <w:pPr>
              <w:spacing w:line="240" w:lineRule="auto"/>
              <w:jc w:val="center"/>
            </w:pPr>
            <w:r>
              <w:t>132</w:t>
            </w:r>
          </w:p>
        </w:tc>
        <w:tc>
          <w:tcPr>
            <w:tcW w:w="1570" w:type="dxa"/>
            <w:tcBorders>
              <w:bottom w:val="nil"/>
            </w:tcBorders>
          </w:tcPr>
          <w:p w:rsidR="00000000" w:rsidRDefault="00000000">
            <w:pPr>
              <w:pStyle w:val="Header"/>
              <w:jc w:val="center"/>
            </w:pPr>
            <w:r>
              <w:t>204</w:t>
            </w:r>
          </w:p>
        </w:tc>
        <w:tc>
          <w:tcPr>
            <w:tcW w:w="1707" w:type="dxa"/>
            <w:tcBorders>
              <w:bottom w:val="nil"/>
            </w:tcBorders>
          </w:tcPr>
          <w:p w:rsidR="00000000" w:rsidRDefault="00000000">
            <w:pPr>
              <w:spacing w:line="240" w:lineRule="auto"/>
              <w:jc w:val="center"/>
            </w:pPr>
            <w:r>
              <w:t>75</w:t>
            </w:r>
          </w:p>
        </w:tc>
      </w:tr>
      <w:tr w:rsidR="00000000">
        <w:tblPrEx>
          <w:tblCellMar>
            <w:top w:w="0" w:type="dxa"/>
            <w:bottom w:w="0" w:type="dxa"/>
          </w:tblCellMar>
        </w:tblPrEx>
        <w:trPr>
          <w:cantSplit/>
        </w:trPr>
        <w:tc>
          <w:tcPr>
            <w:tcW w:w="1947" w:type="dxa"/>
            <w:tcBorders>
              <w:top w:val="nil"/>
            </w:tcBorders>
          </w:tcPr>
          <w:p w:rsidR="00000000" w:rsidRDefault="00000000">
            <w:pPr>
              <w:spacing w:line="240" w:lineRule="auto"/>
            </w:pPr>
            <w:r>
              <w:t>V-VIII класс</w:t>
            </w:r>
          </w:p>
        </w:tc>
        <w:tc>
          <w:tcPr>
            <w:tcW w:w="1366" w:type="dxa"/>
            <w:tcBorders>
              <w:top w:val="nil"/>
            </w:tcBorders>
          </w:tcPr>
          <w:p w:rsidR="00000000" w:rsidRDefault="00000000">
            <w:pPr>
              <w:spacing w:line="240" w:lineRule="auto"/>
              <w:jc w:val="center"/>
            </w:pPr>
            <w:r>
              <w:t>289</w:t>
            </w:r>
          </w:p>
        </w:tc>
        <w:tc>
          <w:tcPr>
            <w:tcW w:w="1410" w:type="dxa"/>
            <w:tcBorders>
              <w:top w:val="nil"/>
            </w:tcBorders>
          </w:tcPr>
          <w:p w:rsidR="00000000" w:rsidRDefault="00000000">
            <w:pPr>
              <w:spacing w:line="240" w:lineRule="auto"/>
              <w:jc w:val="center"/>
            </w:pPr>
            <w:r>
              <w:t>94</w:t>
            </w:r>
          </w:p>
        </w:tc>
        <w:tc>
          <w:tcPr>
            <w:tcW w:w="1410" w:type="dxa"/>
            <w:tcBorders>
              <w:top w:val="nil"/>
            </w:tcBorders>
          </w:tcPr>
          <w:p w:rsidR="00000000" w:rsidRDefault="00000000">
            <w:pPr>
              <w:spacing w:line="240" w:lineRule="auto"/>
              <w:jc w:val="center"/>
            </w:pPr>
            <w:r>
              <w:t>195</w:t>
            </w:r>
          </w:p>
        </w:tc>
        <w:tc>
          <w:tcPr>
            <w:tcW w:w="1570" w:type="dxa"/>
            <w:tcBorders>
              <w:top w:val="nil"/>
            </w:tcBorders>
          </w:tcPr>
          <w:p w:rsidR="00000000" w:rsidRDefault="00000000">
            <w:pPr>
              <w:spacing w:line="240" w:lineRule="auto"/>
              <w:jc w:val="center"/>
            </w:pPr>
            <w:r>
              <w:t>283</w:t>
            </w:r>
          </w:p>
        </w:tc>
        <w:tc>
          <w:tcPr>
            <w:tcW w:w="1707" w:type="dxa"/>
            <w:tcBorders>
              <w:top w:val="nil"/>
            </w:tcBorders>
          </w:tcPr>
          <w:p w:rsidR="00000000" w:rsidRDefault="00000000">
            <w:pPr>
              <w:spacing w:line="240" w:lineRule="auto"/>
              <w:ind w:left="-249" w:firstLine="249"/>
              <w:jc w:val="center"/>
            </w:pPr>
            <w:r>
              <w:t>94</w:t>
            </w:r>
          </w:p>
        </w:tc>
      </w:tr>
    </w:tbl>
    <w:p w:rsidR="00000000" w:rsidRDefault="00000000">
      <w:pPr>
        <w:pStyle w:val="Heading2"/>
        <w:keepNext w:val="0"/>
        <w:spacing w:line="240" w:lineRule="auto"/>
      </w:pPr>
    </w:p>
    <w:p w:rsidR="00000000" w:rsidRDefault="00000000">
      <w:r>
        <w:t>601.</w:t>
      </w:r>
      <w:r>
        <w:tab/>
        <w:t>В специальных начальных школах в общей сложности работают 62 учителя, причем с первого по четвертый класс 100% учителей являются женщинами.  В старших классах, с пятого по восьмой, из 36 учителей 25 являются женщинами.  Эти данные свидетельствуют о том, что женщины работают на наиболее трудных участках в области образования и что среди учителей, выполняющих такие трудные задачи, их гораздо больше, чем мужчин.</w:t>
      </w:r>
    </w:p>
    <w:p w:rsidR="00000000" w:rsidRDefault="00000000"/>
    <w:p w:rsidR="00000000" w:rsidRDefault="00000000">
      <w:pPr>
        <w:pStyle w:val="Heading2"/>
        <w:spacing w:line="240" w:lineRule="auto"/>
        <w:jc w:val="center"/>
        <w:rPr>
          <w:b/>
          <w:bCs/>
          <w:u w:val="none"/>
        </w:rPr>
      </w:pPr>
      <w:r>
        <w:rPr>
          <w:b/>
          <w:bCs/>
          <w:u w:val="none"/>
        </w:rPr>
        <w:t>Таблица 29</w:t>
      </w:r>
    </w:p>
    <w:p w:rsidR="00000000" w:rsidRDefault="00000000">
      <w:pPr>
        <w:pStyle w:val="Heading2"/>
        <w:spacing w:line="240" w:lineRule="auto"/>
        <w:jc w:val="center"/>
        <w:rPr>
          <w:b/>
          <w:bCs/>
          <w:u w:val="none"/>
        </w:rPr>
      </w:pPr>
    </w:p>
    <w:p w:rsidR="00000000" w:rsidRDefault="00000000">
      <w:pPr>
        <w:pStyle w:val="Heading2"/>
        <w:spacing w:line="240" w:lineRule="auto"/>
        <w:jc w:val="center"/>
        <w:rPr>
          <w:b/>
          <w:bCs/>
          <w:u w:val="none"/>
        </w:rPr>
      </w:pPr>
      <w:r>
        <w:rPr>
          <w:b/>
          <w:bCs/>
          <w:u w:val="none"/>
        </w:rPr>
        <w:t>Учителя в специальных начальных школах</w:t>
      </w:r>
    </w:p>
    <w:p w:rsidR="00000000" w:rsidRDefault="00000000">
      <w:pPr>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93"/>
        <w:gridCol w:w="2160"/>
        <w:gridCol w:w="2113"/>
        <w:gridCol w:w="8"/>
        <w:gridCol w:w="2136"/>
      </w:tblGrid>
      <w:tr w:rsidR="00000000">
        <w:tblPrEx>
          <w:tblCellMar>
            <w:top w:w="0" w:type="dxa"/>
            <w:bottom w:w="0" w:type="dxa"/>
          </w:tblCellMar>
        </w:tblPrEx>
        <w:trPr>
          <w:cantSplit/>
        </w:trPr>
        <w:tc>
          <w:tcPr>
            <w:tcW w:w="2993" w:type="dxa"/>
          </w:tcPr>
          <w:p w:rsidR="00000000" w:rsidRDefault="00000000">
            <w:pPr>
              <w:spacing w:line="240" w:lineRule="auto"/>
            </w:pPr>
          </w:p>
        </w:tc>
        <w:tc>
          <w:tcPr>
            <w:tcW w:w="2160" w:type="dxa"/>
          </w:tcPr>
          <w:p w:rsidR="00000000" w:rsidRDefault="00000000">
            <w:pPr>
              <w:spacing w:line="240" w:lineRule="auto"/>
              <w:jc w:val="center"/>
            </w:pPr>
            <w:r>
              <w:t>Общее количество</w:t>
            </w:r>
          </w:p>
        </w:tc>
        <w:tc>
          <w:tcPr>
            <w:tcW w:w="2121" w:type="dxa"/>
            <w:gridSpan w:val="2"/>
          </w:tcPr>
          <w:p w:rsidR="00000000" w:rsidRDefault="00000000">
            <w:pPr>
              <w:spacing w:line="240" w:lineRule="auto"/>
              <w:jc w:val="center"/>
            </w:pPr>
            <w:r>
              <w:t>Женщины</w:t>
            </w:r>
          </w:p>
        </w:tc>
        <w:tc>
          <w:tcPr>
            <w:tcW w:w="2136" w:type="dxa"/>
          </w:tcPr>
          <w:p w:rsidR="00000000" w:rsidRDefault="00000000">
            <w:pPr>
              <w:spacing w:line="240" w:lineRule="auto"/>
              <w:jc w:val="center"/>
            </w:pPr>
            <w:r>
              <w:t>Мужчины</w:t>
            </w:r>
          </w:p>
        </w:tc>
      </w:tr>
      <w:tr w:rsidR="00000000">
        <w:tblPrEx>
          <w:tblCellMar>
            <w:top w:w="0" w:type="dxa"/>
            <w:bottom w:w="0" w:type="dxa"/>
          </w:tblCellMar>
        </w:tblPrEx>
        <w:trPr>
          <w:cantSplit/>
        </w:trPr>
        <w:tc>
          <w:tcPr>
            <w:tcW w:w="2993" w:type="dxa"/>
            <w:tcBorders>
              <w:bottom w:val="nil"/>
            </w:tcBorders>
          </w:tcPr>
          <w:p w:rsidR="00000000" w:rsidRDefault="00000000">
            <w:pPr>
              <w:spacing w:line="240" w:lineRule="auto"/>
            </w:pPr>
            <w:r>
              <w:t>I-IV класс</w:t>
            </w:r>
          </w:p>
        </w:tc>
        <w:tc>
          <w:tcPr>
            <w:tcW w:w="2160" w:type="dxa"/>
            <w:tcBorders>
              <w:bottom w:val="nil"/>
            </w:tcBorders>
          </w:tcPr>
          <w:p w:rsidR="00000000" w:rsidRDefault="00000000">
            <w:pPr>
              <w:spacing w:line="240" w:lineRule="auto"/>
              <w:jc w:val="center"/>
            </w:pPr>
            <w:r>
              <w:t>26</w:t>
            </w:r>
          </w:p>
        </w:tc>
        <w:tc>
          <w:tcPr>
            <w:tcW w:w="2113" w:type="dxa"/>
            <w:tcBorders>
              <w:bottom w:val="nil"/>
            </w:tcBorders>
          </w:tcPr>
          <w:p w:rsidR="00000000" w:rsidRDefault="00000000">
            <w:pPr>
              <w:spacing w:line="240" w:lineRule="auto"/>
              <w:jc w:val="center"/>
            </w:pPr>
            <w:r>
              <w:t>26</w:t>
            </w:r>
          </w:p>
        </w:tc>
        <w:tc>
          <w:tcPr>
            <w:tcW w:w="2144" w:type="dxa"/>
            <w:gridSpan w:val="2"/>
            <w:tcBorders>
              <w:bottom w:val="nil"/>
            </w:tcBorders>
          </w:tcPr>
          <w:p w:rsidR="00000000" w:rsidRDefault="00000000">
            <w:pPr>
              <w:spacing w:line="240" w:lineRule="auto"/>
              <w:jc w:val="center"/>
            </w:pPr>
            <w:r>
              <w:t xml:space="preserve">  0</w:t>
            </w:r>
          </w:p>
        </w:tc>
      </w:tr>
      <w:tr w:rsidR="00000000">
        <w:tblPrEx>
          <w:tblCellMar>
            <w:top w:w="0" w:type="dxa"/>
            <w:bottom w:w="0" w:type="dxa"/>
          </w:tblCellMar>
        </w:tblPrEx>
        <w:trPr>
          <w:cantSplit/>
        </w:trPr>
        <w:tc>
          <w:tcPr>
            <w:tcW w:w="2993" w:type="dxa"/>
            <w:tcBorders>
              <w:top w:val="nil"/>
              <w:bottom w:val="nil"/>
            </w:tcBorders>
          </w:tcPr>
          <w:p w:rsidR="00000000" w:rsidRDefault="00000000">
            <w:pPr>
              <w:spacing w:line="240" w:lineRule="auto"/>
            </w:pPr>
            <w:r>
              <w:t>V-VIII класс</w:t>
            </w:r>
          </w:p>
        </w:tc>
        <w:tc>
          <w:tcPr>
            <w:tcW w:w="2160" w:type="dxa"/>
            <w:tcBorders>
              <w:top w:val="nil"/>
              <w:bottom w:val="nil"/>
            </w:tcBorders>
          </w:tcPr>
          <w:p w:rsidR="00000000" w:rsidRDefault="00000000">
            <w:pPr>
              <w:spacing w:line="240" w:lineRule="auto"/>
              <w:jc w:val="center"/>
            </w:pPr>
            <w:r>
              <w:t>36</w:t>
            </w:r>
          </w:p>
        </w:tc>
        <w:tc>
          <w:tcPr>
            <w:tcW w:w="2113" w:type="dxa"/>
            <w:tcBorders>
              <w:top w:val="nil"/>
              <w:bottom w:val="nil"/>
            </w:tcBorders>
          </w:tcPr>
          <w:p w:rsidR="00000000" w:rsidRDefault="00000000">
            <w:pPr>
              <w:spacing w:line="240" w:lineRule="auto"/>
              <w:jc w:val="center"/>
            </w:pPr>
            <w:r>
              <w:t>25</w:t>
            </w:r>
          </w:p>
        </w:tc>
        <w:tc>
          <w:tcPr>
            <w:tcW w:w="2144" w:type="dxa"/>
            <w:gridSpan w:val="2"/>
            <w:tcBorders>
              <w:top w:val="nil"/>
              <w:bottom w:val="nil"/>
            </w:tcBorders>
          </w:tcPr>
          <w:p w:rsidR="00000000" w:rsidRDefault="00000000">
            <w:pPr>
              <w:spacing w:line="240" w:lineRule="auto"/>
              <w:jc w:val="center"/>
            </w:pPr>
            <w:r>
              <w:t>11</w:t>
            </w:r>
          </w:p>
        </w:tc>
      </w:tr>
      <w:tr w:rsidR="00000000">
        <w:tblPrEx>
          <w:tblCellMar>
            <w:top w:w="0" w:type="dxa"/>
            <w:bottom w:w="0" w:type="dxa"/>
          </w:tblCellMar>
        </w:tblPrEx>
        <w:trPr>
          <w:cantSplit/>
        </w:trPr>
        <w:tc>
          <w:tcPr>
            <w:tcW w:w="2993" w:type="dxa"/>
            <w:tcBorders>
              <w:top w:val="nil"/>
            </w:tcBorders>
          </w:tcPr>
          <w:p w:rsidR="00000000" w:rsidRDefault="00000000">
            <w:pPr>
              <w:spacing w:line="240" w:lineRule="auto"/>
            </w:pPr>
            <w:r>
              <w:t>I-VIII класс</w:t>
            </w:r>
          </w:p>
        </w:tc>
        <w:tc>
          <w:tcPr>
            <w:tcW w:w="2160" w:type="dxa"/>
            <w:tcBorders>
              <w:top w:val="nil"/>
            </w:tcBorders>
          </w:tcPr>
          <w:p w:rsidR="00000000" w:rsidRDefault="00000000">
            <w:pPr>
              <w:spacing w:line="240" w:lineRule="auto"/>
              <w:jc w:val="center"/>
            </w:pPr>
            <w:r>
              <w:t>62</w:t>
            </w:r>
          </w:p>
        </w:tc>
        <w:tc>
          <w:tcPr>
            <w:tcW w:w="2113" w:type="dxa"/>
            <w:tcBorders>
              <w:top w:val="nil"/>
            </w:tcBorders>
          </w:tcPr>
          <w:p w:rsidR="00000000" w:rsidRDefault="00000000">
            <w:pPr>
              <w:spacing w:line="240" w:lineRule="auto"/>
              <w:jc w:val="center"/>
            </w:pPr>
            <w:r>
              <w:t>51</w:t>
            </w:r>
          </w:p>
        </w:tc>
        <w:tc>
          <w:tcPr>
            <w:tcW w:w="2144" w:type="dxa"/>
            <w:gridSpan w:val="2"/>
            <w:tcBorders>
              <w:top w:val="nil"/>
            </w:tcBorders>
          </w:tcPr>
          <w:p w:rsidR="00000000" w:rsidRDefault="00000000">
            <w:pPr>
              <w:spacing w:line="240" w:lineRule="auto"/>
              <w:jc w:val="center"/>
            </w:pPr>
            <w:r>
              <w:t>11</w:t>
            </w:r>
          </w:p>
        </w:tc>
      </w:tr>
    </w:tbl>
    <w:p w:rsidR="00000000" w:rsidRDefault="00000000"/>
    <w:p w:rsidR="00000000" w:rsidRDefault="00000000">
      <w:r>
        <w:tab/>
      </w:r>
      <w:r>
        <w:rPr>
          <w:i/>
          <w:iCs/>
        </w:rPr>
        <w:t>Источник</w:t>
      </w:r>
      <w:r>
        <w:t>:  Министерство науки и культуры РС.</w:t>
      </w:r>
    </w:p>
    <w:p w:rsidR="00000000" w:rsidRDefault="00000000">
      <w:pPr>
        <w:spacing w:line="240" w:lineRule="auto"/>
      </w:pPr>
    </w:p>
    <w:p w:rsidR="00000000" w:rsidRDefault="00000000">
      <w:pPr>
        <w:pStyle w:val="Heading2"/>
        <w:spacing w:line="240" w:lineRule="auto"/>
        <w:jc w:val="center"/>
        <w:rPr>
          <w:b/>
          <w:bCs/>
          <w:u w:val="none"/>
        </w:rPr>
      </w:pPr>
      <w:r>
        <w:rPr>
          <w:b/>
          <w:bCs/>
          <w:u w:val="none"/>
        </w:rPr>
        <w:t>Таблица 30</w:t>
      </w:r>
    </w:p>
    <w:p w:rsidR="00000000" w:rsidRDefault="00000000">
      <w:pPr>
        <w:pStyle w:val="Heading2"/>
        <w:spacing w:line="240" w:lineRule="auto"/>
        <w:jc w:val="center"/>
        <w:rPr>
          <w:b/>
          <w:bCs/>
          <w:u w:val="none"/>
        </w:rPr>
      </w:pPr>
    </w:p>
    <w:p w:rsidR="00000000" w:rsidRDefault="00000000">
      <w:pPr>
        <w:pStyle w:val="Heading2"/>
        <w:spacing w:line="240" w:lineRule="auto"/>
        <w:jc w:val="center"/>
        <w:rPr>
          <w:b/>
          <w:bCs/>
          <w:u w:val="none"/>
        </w:rPr>
      </w:pPr>
      <w:r>
        <w:rPr>
          <w:b/>
          <w:bCs/>
          <w:u w:val="none"/>
        </w:rPr>
        <w:t>Специальные начальные школы:  обзор количества учащихся с разбивкой по классам и полу в начале 2000/01 учебного года</w:t>
      </w:r>
    </w:p>
    <w:p w:rsidR="00000000" w:rsidRDefault="00000000">
      <w:pPr>
        <w:spacing w:line="240"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851"/>
        <w:gridCol w:w="851"/>
        <w:gridCol w:w="851"/>
        <w:gridCol w:w="851"/>
        <w:gridCol w:w="851"/>
        <w:gridCol w:w="851"/>
        <w:gridCol w:w="851"/>
        <w:gridCol w:w="851"/>
        <w:gridCol w:w="988"/>
      </w:tblGrid>
      <w:tr w:rsidR="00000000">
        <w:tblPrEx>
          <w:tblCellMar>
            <w:top w:w="0" w:type="dxa"/>
            <w:bottom w:w="0" w:type="dxa"/>
          </w:tblCellMar>
        </w:tblPrEx>
        <w:trPr>
          <w:cantSplit/>
        </w:trPr>
        <w:tc>
          <w:tcPr>
            <w:tcW w:w="1560" w:type="dxa"/>
            <w:vMerge w:val="restart"/>
          </w:tcPr>
          <w:p w:rsidR="00000000" w:rsidRDefault="00000000">
            <w:pPr>
              <w:spacing w:line="240" w:lineRule="auto"/>
              <w:jc w:val="center"/>
            </w:pPr>
            <w:r>
              <w:t>Пол</w:t>
            </w:r>
          </w:p>
        </w:tc>
        <w:tc>
          <w:tcPr>
            <w:tcW w:w="7796" w:type="dxa"/>
            <w:gridSpan w:val="9"/>
          </w:tcPr>
          <w:p w:rsidR="00000000" w:rsidRDefault="00000000">
            <w:pPr>
              <w:spacing w:line="240" w:lineRule="auto"/>
              <w:jc w:val="center"/>
            </w:pPr>
            <w:r>
              <w:t>Класс</w:t>
            </w:r>
          </w:p>
        </w:tc>
      </w:tr>
      <w:tr w:rsidR="00000000">
        <w:tblPrEx>
          <w:tblCellMar>
            <w:top w:w="0" w:type="dxa"/>
            <w:bottom w:w="0" w:type="dxa"/>
          </w:tblCellMar>
        </w:tblPrEx>
        <w:trPr>
          <w:cantSplit/>
        </w:trPr>
        <w:tc>
          <w:tcPr>
            <w:tcW w:w="1560" w:type="dxa"/>
            <w:vMerge/>
          </w:tcPr>
          <w:p w:rsidR="00000000" w:rsidRDefault="00000000">
            <w:pPr>
              <w:spacing w:line="240" w:lineRule="auto"/>
            </w:pPr>
          </w:p>
        </w:tc>
        <w:tc>
          <w:tcPr>
            <w:tcW w:w="851" w:type="dxa"/>
          </w:tcPr>
          <w:p w:rsidR="00000000" w:rsidRDefault="00000000">
            <w:pPr>
              <w:spacing w:line="240" w:lineRule="auto"/>
              <w:jc w:val="center"/>
            </w:pPr>
            <w:r>
              <w:t>I</w:t>
            </w:r>
          </w:p>
        </w:tc>
        <w:tc>
          <w:tcPr>
            <w:tcW w:w="851" w:type="dxa"/>
          </w:tcPr>
          <w:p w:rsidR="00000000" w:rsidRDefault="00000000">
            <w:pPr>
              <w:spacing w:line="240" w:lineRule="auto"/>
              <w:jc w:val="center"/>
            </w:pPr>
            <w:r>
              <w:t>II</w:t>
            </w:r>
          </w:p>
        </w:tc>
        <w:tc>
          <w:tcPr>
            <w:tcW w:w="851" w:type="dxa"/>
          </w:tcPr>
          <w:p w:rsidR="00000000" w:rsidRDefault="00000000">
            <w:pPr>
              <w:spacing w:line="240" w:lineRule="auto"/>
              <w:jc w:val="center"/>
            </w:pPr>
            <w:r>
              <w:t>III</w:t>
            </w:r>
          </w:p>
        </w:tc>
        <w:tc>
          <w:tcPr>
            <w:tcW w:w="851" w:type="dxa"/>
          </w:tcPr>
          <w:p w:rsidR="00000000" w:rsidRDefault="00000000">
            <w:pPr>
              <w:spacing w:line="240" w:lineRule="auto"/>
              <w:jc w:val="center"/>
            </w:pPr>
            <w:r>
              <w:t>IV</w:t>
            </w:r>
          </w:p>
        </w:tc>
        <w:tc>
          <w:tcPr>
            <w:tcW w:w="851" w:type="dxa"/>
          </w:tcPr>
          <w:p w:rsidR="00000000" w:rsidRDefault="00000000">
            <w:pPr>
              <w:spacing w:line="240" w:lineRule="auto"/>
              <w:jc w:val="center"/>
              <w:rPr>
                <w:lang w:val="fr-FR"/>
              </w:rPr>
            </w:pPr>
            <w:r>
              <w:rPr>
                <w:lang w:val="fr-FR"/>
              </w:rPr>
              <w:t>V</w:t>
            </w:r>
          </w:p>
        </w:tc>
        <w:tc>
          <w:tcPr>
            <w:tcW w:w="851" w:type="dxa"/>
          </w:tcPr>
          <w:p w:rsidR="00000000" w:rsidRDefault="00000000">
            <w:pPr>
              <w:spacing w:line="240" w:lineRule="auto"/>
              <w:jc w:val="center"/>
              <w:rPr>
                <w:lang w:val="fr-FR"/>
              </w:rPr>
            </w:pPr>
            <w:r>
              <w:rPr>
                <w:lang w:val="fr-FR"/>
              </w:rPr>
              <w:t>VI</w:t>
            </w:r>
          </w:p>
        </w:tc>
        <w:tc>
          <w:tcPr>
            <w:tcW w:w="851" w:type="dxa"/>
          </w:tcPr>
          <w:p w:rsidR="00000000" w:rsidRDefault="00000000">
            <w:pPr>
              <w:spacing w:line="240" w:lineRule="auto"/>
              <w:jc w:val="center"/>
              <w:rPr>
                <w:lang w:val="fr-FR"/>
              </w:rPr>
            </w:pPr>
            <w:r>
              <w:rPr>
                <w:lang w:val="fr-FR"/>
              </w:rPr>
              <w:t>VII</w:t>
            </w:r>
          </w:p>
        </w:tc>
        <w:tc>
          <w:tcPr>
            <w:tcW w:w="851" w:type="dxa"/>
          </w:tcPr>
          <w:p w:rsidR="00000000" w:rsidRDefault="00000000">
            <w:pPr>
              <w:spacing w:line="240" w:lineRule="auto"/>
              <w:jc w:val="center"/>
            </w:pPr>
            <w:r>
              <w:t>VIII</w:t>
            </w:r>
          </w:p>
        </w:tc>
        <w:tc>
          <w:tcPr>
            <w:tcW w:w="988" w:type="dxa"/>
          </w:tcPr>
          <w:p w:rsidR="00000000" w:rsidRDefault="00000000">
            <w:pPr>
              <w:spacing w:line="240" w:lineRule="auto"/>
              <w:jc w:val="center"/>
            </w:pPr>
            <w:r>
              <w:t>Всего</w:t>
            </w:r>
          </w:p>
        </w:tc>
      </w:tr>
      <w:tr w:rsidR="00000000">
        <w:tblPrEx>
          <w:tblCellMar>
            <w:top w:w="0" w:type="dxa"/>
            <w:bottom w:w="0" w:type="dxa"/>
          </w:tblCellMar>
        </w:tblPrEx>
        <w:tc>
          <w:tcPr>
            <w:tcW w:w="1560" w:type="dxa"/>
            <w:tcBorders>
              <w:bottom w:val="nil"/>
            </w:tcBorders>
          </w:tcPr>
          <w:p w:rsidR="00000000" w:rsidRDefault="00000000">
            <w:pPr>
              <w:spacing w:line="240" w:lineRule="auto"/>
            </w:pPr>
            <w:r>
              <w:t>Мужской</w:t>
            </w:r>
          </w:p>
        </w:tc>
        <w:tc>
          <w:tcPr>
            <w:tcW w:w="851" w:type="dxa"/>
            <w:tcBorders>
              <w:bottom w:val="nil"/>
            </w:tcBorders>
          </w:tcPr>
          <w:p w:rsidR="00000000" w:rsidRDefault="00000000">
            <w:pPr>
              <w:spacing w:line="240" w:lineRule="auto"/>
              <w:jc w:val="center"/>
            </w:pPr>
            <w:r>
              <w:t>35</w:t>
            </w:r>
          </w:p>
        </w:tc>
        <w:tc>
          <w:tcPr>
            <w:tcW w:w="851" w:type="dxa"/>
            <w:tcBorders>
              <w:bottom w:val="nil"/>
            </w:tcBorders>
          </w:tcPr>
          <w:p w:rsidR="00000000" w:rsidRDefault="00000000">
            <w:pPr>
              <w:spacing w:line="240" w:lineRule="auto"/>
              <w:jc w:val="center"/>
            </w:pPr>
            <w:r>
              <w:t>34</w:t>
            </w:r>
          </w:p>
        </w:tc>
        <w:tc>
          <w:tcPr>
            <w:tcW w:w="851" w:type="dxa"/>
            <w:tcBorders>
              <w:bottom w:val="nil"/>
            </w:tcBorders>
          </w:tcPr>
          <w:p w:rsidR="00000000" w:rsidRDefault="00000000">
            <w:pPr>
              <w:spacing w:line="240" w:lineRule="auto"/>
              <w:jc w:val="center"/>
            </w:pPr>
            <w:r>
              <w:t>45</w:t>
            </w:r>
          </w:p>
        </w:tc>
        <w:tc>
          <w:tcPr>
            <w:tcW w:w="851" w:type="dxa"/>
            <w:tcBorders>
              <w:bottom w:val="nil"/>
            </w:tcBorders>
          </w:tcPr>
          <w:p w:rsidR="00000000" w:rsidRDefault="00000000">
            <w:pPr>
              <w:spacing w:line="240" w:lineRule="auto"/>
              <w:jc w:val="center"/>
            </w:pPr>
            <w:r>
              <w:t>35</w:t>
            </w:r>
          </w:p>
        </w:tc>
        <w:tc>
          <w:tcPr>
            <w:tcW w:w="851" w:type="dxa"/>
            <w:tcBorders>
              <w:bottom w:val="nil"/>
            </w:tcBorders>
          </w:tcPr>
          <w:p w:rsidR="00000000" w:rsidRDefault="00000000">
            <w:pPr>
              <w:spacing w:line="240" w:lineRule="auto"/>
              <w:jc w:val="center"/>
            </w:pPr>
            <w:r>
              <w:t>47</w:t>
            </w:r>
          </w:p>
        </w:tc>
        <w:tc>
          <w:tcPr>
            <w:tcW w:w="851" w:type="dxa"/>
            <w:tcBorders>
              <w:bottom w:val="nil"/>
            </w:tcBorders>
          </w:tcPr>
          <w:p w:rsidR="00000000" w:rsidRDefault="00000000">
            <w:pPr>
              <w:spacing w:line="240" w:lineRule="auto"/>
              <w:jc w:val="center"/>
            </w:pPr>
            <w:r>
              <w:t>51</w:t>
            </w:r>
          </w:p>
        </w:tc>
        <w:tc>
          <w:tcPr>
            <w:tcW w:w="851" w:type="dxa"/>
            <w:tcBorders>
              <w:bottom w:val="nil"/>
            </w:tcBorders>
          </w:tcPr>
          <w:p w:rsidR="00000000" w:rsidRDefault="00000000">
            <w:pPr>
              <w:spacing w:line="240" w:lineRule="auto"/>
              <w:jc w:val="center"/>
            </w:pPr>
            <w:r>
              <w:t>61</w:t>
            </w:r>
          </w:p>
        </w:tc>
        <w:tc>
          <w:tcPr>
            <w:tcW w:w="851" w:type="dxa"/>
            <w:tcBorders>
              <w:bottom w:val="nil"/>
            </w:tcBorders>
          </w:tcPr>
          <w:p w:rsidR="00000000" w:rsidRDefault="00000000">
            <w:pPr>
              <w:spacing w:line="240" w:lineRule="auto"/>
              <w:jc w:val="center"/>
            </w:pPr>
            <w:r>
              <w:t>42</w:t>
            </w:r>
          </w:p>
        </w:tc>
        <w:tc>
          <w:tcPr>
            <w:tcW w:w="988" w:type="dxa"/>
            <w:tcBorders>
              <w:bottom w:val="nil"/>
            </w:tcBorders>
          </w:tcPr>
          <w:p w:rsidR="00000000" w:rsidRDefault="00000000">
            <w:pPr>
              <w:spacing w:line="240" w:lineRule="auto"/>
              <w:jc w:val="center"/>
            </w:pPr>
            <w:r>
              <w:t>350</w:t>
            </w:r>
          </w:p>
        </w:tc>
      </w:tr>
      <w:tr w:rsidR="00000000">
        <w:tblPrEx>
          <w:tblCellMar>
            <w:top w:w="0" w:type="dxa"/>
            <w:bottom w:w="0" w:type="dxa"/>
          </w:tblCellMar>
        </w:tblPrEx>
        <w:tc>
          <w:tcPr>
            <w:tcW w:w="1560" w:type="dxa"/>
            <w:tcBorders>
              <w:top w:val="nil"/>
              <w:left w:val="single" w:sz="4" w:space="0" w:color="auto"/>
              <w:bottom w:val="single" w:sz="4" w:space="0" w:color="auto"/>
            </w:tcBorders>
          </w:tcPr>
          <w:p w:rsidR="00000000" w:rsidRDefault="00000000">
            <w:pPr>
              <w:spacing w:line="240" w:lineRule="auto"/>
            </w:pPr>
            <w:r>
              <w:t>Женский</w:t>
            </w:r>
          </w:p>
        </w:tc>
        <w:tc>
          <w:tcPr>
            <w:tcW w:w="851" w:type="dxa"/>
            <w:tcBorders>
              <w:top w:val="nil"/>
              <w:bottom w:val="single" w:sz="4" w:space="0" w:color="auto"/>
            </w:tcBorders>
          </w:tcPr>
          <w:p w:rsidR="00000000" w:rsidRDefault="00000000">
            <w:pPr>
              <w:spacing w:line="240" w:lineRule="auto"/>
              <w:jc w:val="center"/>
            </w:pPr>
            <w:r>
              <w:t>17</w:t>
            </w:r>
          </w:p>
        </w:tc>
        <w:tc>
          <w:tcPr>
            <w:tcW w:w="851" w:type="dxa"/>
            <w:tcBorders>
              <w:top w:val="nil"/>
              <w:bottom w:val="single" w:sz="4" w:space="0" w:color="auto"/>
            </w:tcBorders>
          </w:tcPr>
          <w:p w:rsidR="00000000" w:rsidRDefault="00000000">
            <w:pPr>
              <w:spacing w:line="240" w:lineRule="auto"/>
              <w:jc w:val="center"/>
            </w:pPr>
            <w:r>
              <w:t>18</w:t>
            </w:r>
          </w:p>
        </w:tc>
        <w:tc>
          <w:tcPr>
            <w:tcW w:w="851" w:type="dxa"/>
            <w:tcBorders>
              <w:top w:val="nil"/>
              <w:bottom w:val="single" w:sz="4" w:space="0" w:color="auto"/>
            </w:tcBorders>
          </w:tcPr>
          <w:p w:rsidR="00000000" w:rsidRDefault="00000000">
            <w:pPr>
              <w:spacing w:line="240" w:lineRule="auto"/>
              <w:jc w:val="center"/>
            </w:pPr>
            <w:r>
              <w:t>22</w:t>
            </w:r>
          </w:p>
        </w:tc>
        <w:tc>
          <w:tcPr>
            <w:tcW w:w="851" w:type="dxa"/>
            <w:tcBorders>
              <w:top w:val="nil"/>
              <w:bottom w:val="single" w:sz="4" w:space="0" w:color="auto"/>
            </w:tcBorders>
          </w:tcPr>
          <w:p w:rsidR="00000000" w:rsidRDefault="00000000">
            <w:pPr>
              <w:spacing w:line="240" w:lineRule="auto"/>
              <w:jc w:val="center"/>
            </w:pPr>
            <w:r>
              <w:t>19</w:t>
            </w:r>
          </w:p>
        </w:tc>
        <w:tc>
          <w:tcPr>
            <w:tcW w:w="851" w:type="dxa"/>
            <w:tcBorders>
              <w:top w:val="nil"/>
              <w:bottom w:val="single" w:sz="4" w:space="0" w:color="auto"/>
            </w:tcBorders>
          </w:tcPr>
          <w:p w:rsidR="00000000" w:rsidRDefault="00000000">
            <w:pPr>
              <w:spacing w:line="240" w:lineRule="auto"/>
              <w:jc w:val="center"/>
            </w:pPr>
            <w:r>
              <w:t>25</w:t>
            </w:r>
          </w:p>
        </w:tc>
        <w:tc>
          <w:tcPr>
            <w:tcW w:w="851" w:type="dxa"/>
            <w:tcBorders>
              <w:top w:val="nil"/>
              <w:bottom w:val="single" w:sz="4" w:space="0" w:color="auto"/>
            </w:tcBorders>
          </w:tcPr>
          <w:p w:rsidR="00000000" w:rsidRDefault="00000000">
            <w:pPr>
              <w:spacing w:line="240" w:lineRule="auto"/>
              <w:jc w:val="center"/>
            </w:pPr>
            <w:r>
              <w:t>24</w:t>
            </w:r>
          </w:p>
        </w:tc>
        <w:tc>
          <w:tcPr>
            <w:tcW w:w="851" w:type="dxa"/>
            <w:tcBorders>
              <w:top w:val="nil"/>
              <w:bottom w:val="single" w:sz="4" w:space="0" w:color="auto"/>
            </w:tcBorders>
          </w:tcPr>
          <w:p w:rsidR="00000000" w:rsidRDefault="00000000">
            <w:pPr>
              <w:spacing w:line="240" w:lineRule="auto"/>
              <w:jc w:val="center"/>
            </w:pPr>
            <w:r>
              <w:t>27</w:t>
            </w:r>
          </w:p>
        </w:tc>
        <w:tc>
          <w:tcPr>
            <w:tcW w:w="851" w:type="dxa"/>
            <w:tcBorders>
              <w:top w:val="nil"/>
              <w:bottom w:val="single" w:sz="4" w:space="0" w:color="auto"/>
            </w:tcBorders>
          </w:tcPr>
          <w:p w:rsidR="00000000" w:rsidRDefault="00000000">
            <w:pPr>
              <w:spacing w:line="240" w:lineRule="auto"/>
              <w:jc w:val="center"/>
            </w:pPr>
            <w:r>
              <w:t>32</w:t>
            </w:r>
          </w:p>
        </w:tc>
        <w:tc>
          <w:tcPr>
            <w:tcW w:w="988" w:type="dxa"/>
            <w:tcBorders>
              <w:top w:val="nil"/>
              <w:bottom w:val="single" w:sz="4" w:space="0" w:color="auto"/>
              <w:right w:val="single" w:sz="4" w:space="0" w:color="auto"/>
            </w:tcBorders>
          </w:tcPr>
          <w:p w:rsidR="00000000" w:rsidRDefault="00000000">
            <w:pPr>
              <w:spacing w:line="240" w:lineRule="auto"/>
              <w:jc w:val="center"/>
            </w:pPr>
            <w:r>
              <w:t>184</w:t>
            </w:r>
          </w:p>
        </w:tc>
      </w:tr>
      <w:tr w:rsidR="00000000">
        <w:tblPrEx>
          <w:tblCellMar>
            <w:top w:w="0" w:type="dxa"/>
            <w:bottom w:w="0" w:type="dxa"/>
          </w:tblCellMar>
        </w:tblPrEx>
        <w:tc>
          <w:tcPr>
            <w:tcW w:w="1560" w:type="dxa"/>
            <w:tcBorders>
              <w:top w:val="single" w:sz="4" w:space="0" w:color="auto"/>
            </w:tcBorders>
          </w:tcPr>
          <w:p w:rsidR="00000000" w:rsidRDefault="00000000">
            <w:pPr>
              <w:spacing w:line="240" w:lineRule="auto"/>
            </w:pPr>
            <w:r>
              <w:tab/>
              <w:t>Всего</w:t>
            </w:r>
          </w:p>
        </w:tc>
        <w:tc>
          <w:tcPr>
            <w:tcW w:w="851" w:type="dxa"/>
            <w:tcBorders>
              <w:top w:val="single" w:sz="4" w:space="0" w:color="auto"/>
            </w:tcBorders>
          </w:tcPr>
          <w:p w:rsidR="00000000" w:rsidRDefault="00000000">
            <w:pPr>
              <w:spacing w:line="240" w:lineRule="auto"/>
              <w:jc w:val="center"/>
            </w:pPr>
            <w:r>
              <w:t>52</w:t>
            </w:r>
          </w:p>
        </w:tc>
        <w:tc>
          <w:tcPr>
            <w:tcW w:w="851" w:type="dxa"/>
            <w:tcBorders>
              <w:top w:val="single" w:sz="4" w:space="0" w:color="auto"/>
            </w:tcBorders>
          </w:tcPr>
          <w:p w:rsidR="00000000" w:rsidRDefault="00000000">
            <w:pPr>
              <w:spacing w:line="240" w:lineRule="auto"/>
              <w:jc w:val="center"/>
            </w:pPr>
            <w:r>
              <w:t>52</w:t>
            </w:r>
          </w:p>
        </w:tc>
        <w:tc>
          <w:tcPr>
            <w:tcW w:w="851" w:type="dxa"/>
            <w:tcBorders>
              <w:top w:val="single" w:sz="4" w:space="0" w:color="auto"/>
            </w:tcBorders>
          </w:tcPr>
          <w:p w:rsidR="00000000" w:rsidRDefault="00000000">
            <w:pPr>
              <w:spacing w:line="240" w:lineRule="auto"/>
              <w:jc w:val="center"/>
            </w:pPr>
            <w:r>
              <w:t>67</w:t>
            </w:r>
          </w:p>
        </w:tc>
        <w:tc>
          <w:tcPr>
            <w:tcW w:w="851" w:type="dxa"/>
            <w:tcBorders>
              <w:top w:val="single" w:sz="4" w:space="0" w:color="auto"/>
            </w:tcBorders>
          </w:tcPr>
          <w:p w:rsidR="00000000" w:rsidRDefault="00000000">
            <w:pPr>
              <w:spacing w:line="240" w:lineRule="auto"/>
              <w:jc w:val="center"/>
            </w:pPr>
            <w:r>
              <w:t>54</w:t>
            </w:r>
          </w:p>
        </w:tc>
        <w:tc>
          <w:tcPr>
            <w:tcW w:w="851" w:type="dxa"/>
            <w:tcBorders>
              <w:top w:val="single" w:sz="4" w:space="0" w:color="auto"/>
            </w:tcBorders>
          </w:tcPr>
          <w:p w:rsidR="00000000" w:rsidRDefault="00000000">
            <w:pPr>
              <w:spacing w:line="240" w:lineRule="auto"/>
              <w:jc w:val="center"/>
            </w:pPr>
            <w:r>
              <w:t>72</w:t>
            </w:r>
          </w:p>
        </w:tc>
        <w:tc>
          <w:tcPr>
            <w:tcW w:w="851" w:type="dxa"/>
            <w:tcBorders>
              <w:top w:val="single" w:sz="4" w:space="0" w:color="auto"/>
            </w:tcBorders>
          </w:tcPr>
          <w:p w:rsidR="00000000" w:rsidRDefault="00000000">
            <w:pPr>
              <w:spacing w:line="240" w:lineRule="auto"/>
              <w:jc w:val="center"/>
            </w:pPr>
            <w:r>
              <w:t>75</w:t>
            </w:r>
          </w:p>
        </w:tc>
        <w:tc>
          <w:tcPr>
            <w:tcW w:w="851" w:type="dxa"/>
            <w:tcBorders>
              <w:top w:val="single" w:sz="4" w:space="0" w:color="auto"/>
            </w:tcBorders>
          </w:tcPr>
          <w:p w:rsidR="00000000" w:rsidRDefault="00000000">
            <w:pPr>
              <w:spacing w:line="240" w:lineRule="auto"/>
              <w:jc w:val="center"/>
            </w:pPr>
            <w:r>
              <w:t>88</w:t>
            </w:r>
          </w:p>
        </w:tc>
        <w:tc>
          <w:tcPr>
            <w:tcW w:w="851" w:type="dxa"/>
            <w:tcBorders>
              <w:top w:val="single" w:sz="4" w:space="0" w:color="auto"/>
            </w:tcBorders>
          </w:tcPr>
          <w:p w:rsidR="00000000" w:rsidRDefault="00000000">
            <w:pPr>
              <w:spacing w:line="240" w:lineRule="auto"/>
              <w:jc w:val="center"/>
            </w:pPr>
            <w:r>
              <w:t>74</w:t>
            </w:r>
          </w:p>
        </w:tc>
        <w:tc>
          <w:tcPr>
            <w:tcW w:w="988" w:type="dxa"/>
            <w:tcBorders>
              <w:top w:val="single" w:sz="4" w:space="0" w:color="auto"/>
            </w:tcBorders>
          </w:tcPr>
          <w:p w:rsidR="00000000" w:rsidRDefault="00000000">
            <w:pPr>
              <w:spacing w:line="240" w:lineRule="auto"/>
              <w:jc w:val="center"/>
            </w:pPr>
            <w:r>
              <w:t>534</w:t>
            </w:r>
          </w:p>
        </w:tc>
      </w:tr>
    </w:tbl>
    <w:p w:rsidR="00000000" w:rsidRDefault="00000000">
      <w:pPr>
        <w:pStyle w:val="Heading2"/>
        <w:jc w:val="center"/>
        <w:rPr>
          <w:b/>
          <w:bCs/>
          <w:u w:val="none"/>
        </w:rPr>
      </w:pPr>
      <w:r>
        <w:rPr>
          <w:b/>
          <w:bCs/>
          <w:u w:val="none"/>
        </w:rPr>
        <w:t>Таблица 31</w:t>
      </w:r>
    </w:p>
    <w:p w:rsidR="00000000" w:rsidRDefault="00000000">
      <w:pPr>
        <w:pStyle w:val="Heading2"/>
        <w:jc w:val="center"/>
        <w:rPr>
          <w:b/>
          <w:bCs/>
          <w:u w:val="none"/>
        </w:rPr>
      </w:pPr>
    </w:p>
    <w:p w:rsidR="00000000" w:rsidRDefault="00000000">
      <w:pPr>
        <w:pStyle w:val="Heading2"/>
        <w:jc w:val="center"/>
        <w:rPr>
          <w:b/>
          <w:bCs/>
          <w:u w:val="none"/>
        </w:rPr>
      </w:pPr>
      <w:r>
        <w:rPr>
          <w:b/>
          <w:bCs/>
          <w:u w:val="none"/>
        </w:rPr>
        <w:t>Обзор учителей в специальных начальных школах с разбивкой по полу в 2000/01 учебном году</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69"/>
        <w:gridCol w:w="2181"/>
        <w:gridCol w:w="2181"/>
        <w:gridCol w:w="2179"/>
      </w:tblGrid>
      <w:tr w:rsidR="00000000">
        <w:tblPrEx>
          <w:tblCellMar>
            <w:top w:w="0" w:type="dxa"/>
            <w:bottom w:w="0" w:type="dxa"/>
          </w:tblCellMar>
        </w:tblPrEx>
        <w:trPr>
          <w:cantSplit/>
        </w:trPr>
        <w:tc>
          <w:tcPr>
            <w:tcW w:w="2869" w:type="dxa"/>
          </w:tcPr>
          <w:p w:rsidR="00000000" w:rsidRDefault="00000000">
            <w:pPr>
              <w:jc w:val="center"/>
            </w:pPr>
            <w:r>
              <w:t>Пол</w:t>
            </w:r>
          </w:p>
        </w:tc>
        <w:tc>
          <w:tcPr>
            <w:tcW w:w="2181" w:type="dxa"/>
          </w:tcPr>
          <w:p w:rsidR="00000000" w:rsidRDefault="00000000">
            <w:pPr>
              <w:jc w:val="center"/>
            </w:pPr>
            <w:r>
              <w:t>I-IV класс</w:t>
            </w:r>
          </w:p>
        </w:tc>
        <w:tc>
          <w:tcPr>
            <w:tcW w:w="2181" w:type="dxa"/>
          </w:tcPr>
          <w:p w:rsidR="00000000" w:rsidRDefault="00000000">
            <w:pPr>
              <w:jc w:val="center"/>
            </w:pPr>
            <w:r>
              <w:t>V-VIII класс</w:t>
            </w:r>
          </w:p>
        </w:tc>
        <w:tc>
          <w:tcPr>
            <w:tcW w:w="2179" w:type="dxa"/>
          </w:tcPr>
          <w:p w:rsidR="00000000" w:rsidRDefault="00000000">
            <w:pPr>
              <w:jc w:val="center"/>
            </w:pPr>
            <w:r>
              <w:t>Всего</w:t>
            </w:r>
          </w:p>
        </w:tc>
      </w:tr>
      <w:tr w:rsidR="00000000">
        <w:tblPrEx>
          <w:tblCellMar>
            <w:top w:w="0" w:type="dxa"/>
            <w:bottom w:w="0" w:type="dxa"/>
          </w:tblCellMar>
        </w:tblPrEx>
        <w:trPr>
          <w:cantSplit/>
        </w:trPr>
        <w:tc>
          <w:tcPr>
            <w:tcW w:w="2869" w:type="dxa"/>
            <w:tcBorders>
              <w:bottom w:val="nil"/>
            </w:tcBorders>
          </w:tcPr>
          <w:p w:rsidR="00000000" w:rsidRDefault="00000000">
            <w:r>
              <w:t>Мужской</w:t>
            </w:r>
          </w:p>
        </w:tc>
        <w:tc>
          <w:tcPr>
            <w:tcW w:w="2181" w:type="dxa"/>
            <w:tcBorders>
              <w:bottom w:val="nil"/>
            </w:tcBorders>
          </w:tcPr>
          <w:p w:rsidR="00000000" w:rsidRDefault="00000000">
            <w:pPr>
              <w:tabs>
                <w:tab w:val="clear" w:pos="1701"/>
              </w:tabs>
              <w:ind w:right="581"/>
              <w:jc w:val="right"/>
            </w:pPr>
            <w:r>
              <w:t>1</w:t>
            </w:r>
          </w:p>
        </w:tc>
        <w:tc>
          <w:tcPr>
            <w:tcW w:w="2181" w:type="dxa"/>
            <w:tcBorders>
              <w:bottom w:val="nil"/>
            </w:tcBorders>
          </w:tcPr>
          <w:p w:rsidR="00000000" w:rsidRDefault="00000000">
            <w:pPr>
              <w:tabs>
                <w:tab w:val="clear" w:pos="1701"/>
              </w:tabs>
              <w:ind w:right="679"/>
              <w:jc w:val="right"/>
            </w:pPr>
            <w:r>
              <w:t>12</w:t>
            </w:r>
          </w:p>
        </w:tc>
        <w:tc>
          <w:tcPr>
            <w:tcW w:w="2179" w:type="dxa"/>
            <w:tcBorders>
              <w:bottom w:val="nil"/>
            </w:tcBorders>
          </w:tcPr>
          <w:p w:rsidR="00000000" w:rsidRDefault="00000000">
            <w:pPr>
              <w:tabs>
                <w:tab w:val="clear" w:pos="1701"/>
              </w:tabs>
              <w:ind w:right="590"/>
              <w:jc w:val="right"/>
            </w:pPr>
            <w:r>
              <w:t>13</w:t>
            </w:r>
          </w:p>
        </w:tc>
      </w:tr>
      <w:tr w:rsidR="00000000">
        <w:tblPrEx>
          <w:tblCellMar>
            <w:top w:w="0" w:type="dxa"/>
            <w:bottom w:w="0" w:type="dxa"/>
          </w:tblCellMar>
        </w:tblPrEx>
        <w:trPr>
          <w:cantSplit/>
        </w:trPr>
        <w:tc>
          <w:tcPr>
            <w:tcW w:w="2869" w:type="dxa"/>
            <w:tcBorders>
              <w:top w:val="nil"/>
              <w:bottom w:val="nil"/>
            </w:tcBorders>
          </w:tcPr>
          <w:p w:rsidR="00000000" w:rsidRDefault="00000000">
            <w:r>
              <w:t xml:space="preserve">  Процентная доля</w:t>
            </w:r>
          </w:p>
        </w:tc>
        <w:tc>
          <w:tcPr>
            <w:tcW w:w="2181" w:type="dxa"/>
            <w:tcBorders>
              <w:top w:val="nil"/>
              <w:bottom w:val="nil"/>
            </w:tcBorders>
          </w:tcPr>
          <w:p w:rsidR="00000000" w:rsidRDefault="00000000">
            <w:pPr>
              <w:tabs>
                <w:tab w:val="clear" w:pos="1701"/>
              </w:tabs>
              <w:ind w:right="581"/>
              <w:jc w:val="right"/>
            </w:pPr>
            <w:r>
              <w:t>3,33</w:t>
            </w:r>
          </w:p>
        </w:tc>
        <w:tc>
          <w:tcPr>
            <w:tcW w:w="2181" w:type="dxa"/>
            <w:tcBorders>
              <w:top w:val="nil"/>
              <w:bottom w:val="nil"/>
            </w:tcBorders>
          </w:tcPr>
          <w:p w:rsidR="00000000" w:rsidRDefault="00000000">
            <w:pPr>
              <w:tabs>
                <w:tab w:val="clear" w:pos="1701"/>
              </w:tabs>
              <w:ind w:right="679"/>
              <w:jc w:val="right"/>
            </w:pPr>
            <w:r>
              <w:t>27,91</w:t>
            </w:r>
          </w:p>
        </w:tc>
        <w:tc>
          <w:tcPr>
            <w:tcW w:w="2179" w:type="dxa"/>
            <w:tcBorders>
              <w:top w:val="nil"/>
              <w:bottom w:val="nil"/>
            </w:tcBorders>
          </w:tcPr>
          <w:p w:rsidR="00000000" w:rsidRDefault="00000000">
            <w:pPr>
              <w:tabs>
                <w:tab w:val="clear" w:pos="1701"/>
              </w:tabs>
              <w:ind w:right="590"/>
              <w:jc w:val="right"/>
            </w:pPr>
            <w:r>
              <w:t>17,81</w:t>
            </w:r>
          </w:p>
        </w:tc>
      </w:tr>
      <w:tr w:rsidR="00000000">
        <w:tblPrEx>
          <w:tblCellMar>
            <w:top w:w="0" w:type="dxa"/>
            <w:bottom w:w="0" w:type="dxa"/>
          </w:tblCellMar>
        </w:tblPrEx>
        <w:trPr>
          <w:cantSplit/>
        </w:trPr>
        <w:tc>
          <w:tcPr>
            <w:tcW w:w="2869" w:type="dxa"/>
            <w:tcBorders>
              <w:top w:val="nil"/>
              <w:bottom w:val="nil"/>
            </w:tcBorders>
          </w:tcPr>
          <w:p w:rsidR="00000000" w:rsidRDefault="00000000">
            <w:r>
              <w:t>Женский</w:t>
            </w:r>
          </w:p>
        </w:tc>
        <w:tc>
          <w:tcPr>
            <w:tcW w:w="2181" w:type="dxa"/>
            <w:tcBorders>
              <w:top w:val="nil"/>
              <w:bottom w:val="nil"/>
            </w:tcBorders>
          </w:tcPr>
          <w:p w:rsidR="00000000" w:rsidRDefault="00000000">
            <w:pPr>
              <w:tabs>
                <w:tab w:val="clear" w:pos="1701"/>
              </w:tabs>
              <w:ind w:right="581"/>
              <w:jc w:val="right"/>
            </w:pPr>
            <w:r>
              <w:t>29</w:t>
            </w:r>
          </w:p>
        </w:tc>
        <w:tc>
          <w:tcPr>
            <w:tcW w:w="2181" w:type="dxa"/>
            <w:tcBorders>
              <w:top w:val="nil"/>
              <w:bottom w:val="nil"/>
            </w:tcBorders>
          </w:tcPr>
          <w:p w:rsidR="00000000" w:rsidRDefault="00000000">
            <w:pPr>
              <w:tabs>
                <w:tab w:val="clear" w:pos="1701"/>
              </w:tabs>
              <w:ind w:right="679"/>
              <w:jc w:val="right"/>
            </w:pPr>
            <w:r>
              <w:t>31</w:t>
            </w:r>
          </w:p>
        </w:tc>
        <w:tc>
          <w:tcPr>
            <w:tcW w:w="2179" w:type="dxa"/>
            <w:tcBorders>
              <w:top w:val="nil"/>
              <w:bottom w:val="nil"/>
            </w:tcBorders>
          </w:tcPr>
          <w:p w:rsidR="00000000" w:rsidRDefault="00000000">
            <w:pPr>
              <w:tabs>
                <w:tab w:val="clear" w:pos="1701"/>
              </w:tabs>
              <w:ind w:right="590"/>
              <w:jc w:val="right"/>
            </w:pPr>
            <w:r>
              <w:t>60</w:t>
            </w:r>
          </w:p>
        </w:tc>
      </w:tr>
      <w:tr w:rsidR="00000000">
        <w:tblPrEx>
          <w:tblCellMar>
            <w:top w:w="0" w:type="dxa"/>
            <w:bottom w:w="0" w:type="dxa"/>
          </w:tblCellMar>
        </w:tblPrEx>
        <w:trPr>
          <w:cantSplit/>
        </w:trPr>
        <w:tc>
          <w:tcPr>
            <w:tcW w:w="2869" w:type="dxa"/>
            <w:tcBorders>
              <w:top w:val="nil"/>
            </w:tcBorders>
          </w:tcPr>
          <w:p w:rsidR="00000000" w:rsidRDefault="00000000">
            <w:r>
              <w:t xml:space="preserve">  Процентная доля</w:t>
            </w:r>
          </w:p>
        </w:tc>
        <w:tc>
          <w:tcPr>
            <w:tcW w:w="2181" w:type="dxa"/>
            <w:tcBorders>
              <w:top w:val="nil"/>
            </w:tcBorders>
          </w:tcPr>
          <w:p w:rsidR="00000000" w:rsidRDefault="00000000">
            <w:pPr>
              <w:tabs>
                <w:tab w:val="clear" w:pos="1701"/>
              </w:tabs>
              <w:ind w:right="581"/>
              <w:jc w:val="right"/>
            </w:pPr>
            <w:r>
              <w:t>96,66</w:t>
            </w:r>
          </w:p>
        </w:tc>
        <w:tc>
          <w:tcPr>
            <w:tcW w:w="2181" w:type="dxa"/>
            <w:tcBorders>
              <w:top w:val="nil"/>
            </w:tcBorders>
          </w:tcPr>
          <w:p w:rsidR="00000000" w:rsidRDefault="00000000">
            <w:pPr>
              <w:tabs>
                <w:tab w:val="clear" w:pos="1701"/>
              </w:tabs>
              <w:ind w:right="679"/>
              <w:jc w:val="right"/>
            </w:pPr>
            <w:r>
              <w:t>72,09</w:t>
            </w:r>
          </w:p>
        </w:tc>
        <w:tc>
          <w:tcPr>
            <w:tcW w:w="2179" w:type="dxa"/>
            <w:tcBorders>
              <w:top w:val="nil"/>
            </w:tcBorders>
          </w:tcPr>
          <w:p w:rsidR="00000000" w:rsidRDefault="00000000">
            <w:pPr>
              <w:tabs>
                <w:tab w:val="clear" w:pos="1701"/>
              </w:tabs>
              <w:ind w:right="590"/>
              <w:jc w:val="right"/>
            </w:pPr>
            <w:r>
              <w:t>82,19</w:t>
            </w:r>
          </w:p>
        </w:tc>
      </w:tr>
      <w:tr w:rsidR="00000000">
        <w:tblPrEx>
          <w:tblCellMar>
            <w:top w:w="0" w:type="dxa"/>
            <w:bottom w:w="0" w:type="dxa"/>
          </w:tblCellMar>
        </w:tblPrEx>
        <w:trPr>
          <w:cantSplit/>
        </w:trPr>
        <w:tc>
          <w:tcPr>
            <w:tcW w:w="2869" w:type="dxa"/>
          </w:tcPr>
          <w:p w:rsidR="00000000" w:rsidRDefault="00000000">
            <w:r>
              <w:tab/>
              <w:t>Всего</w:t>
            </w:r>
          </w:p>
        </w:tc>
        <w:tc>
          <w:tcPr>
            <w:tcW w:w="2181" w:type="dxa"/>
          </w:tcPr>
          <w:p w:rsidR="00000000" w:rsidRDefault="00000000">
            <w:pPr>
              <w:tabs>
                <w:tab w:val="clear" w:pos="1701"/>
              </w:tabs>
              <w:ind w:right="581"/>
              <w:jc w:val="right"/>
            </w:pPr>
            <w:r>
              <w:t>30</w:t>
            </w:r>
          </w:p>
        </w:tc>
        <w:tc>
          <w:tcPr>
            <w:tcW w:w="2181" w:type="dxa"/>
          </w:tcPr>
          <w:p w:rsidR="00000000" w:rsidRDefault="00000000">
            <w:pPr>
              <w:tabs>
                <w:tab w:val="clear" w:pos="1701"/>
              </w:tabs>
              <w:ind w:right="679"/>
              <w:jc w:val="right"/>
            </w:pPr>
            <w:r>
              <w:t>43</w:t>
            </w:r>
          </w:p>
        </w:tc>
        <w:tc>
          <w:tcPr>
            <w:tcW w:w="2179" w:type="dxa"/>
          </w:tcPr>
          <w:p w:rsidR="00000000" w:rsidRDefault="00000000">
            <w:pPr>
              <w:tabs>
                <w:tab w:val="clear" w:pos="1701"/>
              </w:tabs>
              <w:ind w:right="590"/>
              <w:jc w:val="right"/>
            </w:pPr>
            <w:r>
              <w:t>73</w:t>
            </w:r>
          </w:p>
        </w:tc>
      </w:tr>
    </w:tbl>
    <w:p w:rsidR="00000000" w:rsidRDefault="00000000">
      <w:pPr>
        <w:spacing w:line="240" w:lineRule="auto"/>
      </w:pPr>
    </w:p>
    <w:p w:rsidR="00000000" w:rsidRDefault="00000000">
      <w:pPr>
        <w:spacing w:line="240" w:lineRule="auto"/>
      </w:pPr>
    </w:p>
    <w:p w:rsidR="00000000" w:rsidRDefault="00000000">
      <w:r>
        <w:t>602.</w:t>
      </w:r>
      <w:r>
        <w:tab/>
        <w:t>В 198 начальных школах лишь 25 директоров являются женщинами, что составляет около 15% (в той области, где большинство работающих являются женщинами).  В 16 начальных школах Района Брчко три женщины являются директорами и семь завучами, а в четырех средних школах среди женщин один директор, один заместитель директора и два завуча.  Среднее образование в Районе Брчко получают в средних школах, и оно доступно для всех учащихся, закончивших начальную школу.  Среднее образование, как и начальное, является бесплатным, т.е. учащиеся начальных и средних школ в Районе Брчко или их родители и опекуны не должны платить за прием или обучение в школе, и все те, кто живет на расстоянии более четырех километров от школы, пользуются бесплатным транспортом.  Они получают бесплатно официальные документы (ученические книжки и аттестаты).  Организованное для учащихся начальных и средних школ посещение театров и всех других представлений является также бесплатным.</w:t>
      </w:r>
    </w:p>
    <w:p w:rsidR="00000000" w:rsidRDefault="00000000"/>
    <w:p w:rsidR="00000000" w:rsidRDefault="00000000">
      <w:r>
        <w:t>603.</w:t>
      </w:r>
      <w:r>
        <w:tab/>
        <w:t>В Районе Брчко среднее образование учащихся с проблемами развития, а также образование одаренных детей может быть организовано в специальных классах средних школ, которые создаются для удовлетворения таких потребностей и в которых используются специальные скорректированные учебные проблемы для каждой из этих групп учащихся.  Помимо обеспечения общего образования и соответствующей профессиональной подготовки, в средних школах могут быть также предложены различные дополнительные образовательные программы и повышение профессиональной подготовки.</w:t>
      </w:r>
    </w:p>
    <w:p w:rsidR="00000000" w:rsidRDefault="00000000"/>
    <w:p w:rsidR="00000000" w:rsidRDefault="00000000">
      <w:pPr>
        <w:keepNext/>
        <w:jc w:val="center"/>
        <w:rPr>
          <w:b/>
          <w:bCs/>
        </w:rPr>
      </w:pPr>
      <w:r>
        <w:rPr>
          <w:b/>
          <w:bCs/>
        </w:rPr>
        <w:t>Таблица 32</w:t>
      </w:r>
    </w:p>
    <w:p w:rsidR="00000000" w:rsidRDefault="00000000">
      <w:pPr>
        <w:keepNext/>
        <w:jc w:val="center"/>
        <w:rPr>
          <w:b/>
          <w:bCs/>
        </w:rPr>
      </w:pPr>
    </w:p>
    <w:p w:rsidR="00000000" w:rsidRDefault="00000000">
      <w:pPr>
        <w:keepNext/>
        <w:jc w:val="center"/>
        <w:rPr>
          <w:b/>
          <w:bCs/>
        </w:rPr>
      </w:pPr>
      <w:r>
        <w:rPr>
          <w:b/>
          <w:bCs/>
        </w:rPr>
        <w:t>Общий и фактический уровень приема в учебные заведения (в процентах)</w:t>
      </w:r>
      <w:r>
        <w:rPr>
          <w:b/>
          <w:bCs/>
          <w:vertAlign w:val="superscript"/>
        </w:rPr>
        <w:t>а, b</w:t>
      </w:r>
    </w:p>
    <w:p w:rsidR="00000000" w:rsidRDefault="00000000">
      <w:pPr>
        <w:keepNext/>
      </w:pPr>
    </w:p>
    <w:tbl>
      <w:tblPr>
        <w:tblW w:w="9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20"/>
        <w:gridCol w:w="956"/>
        <w:gridCol w:w="1420"/>
        <w:gridCol w:w="8"/>
        <w:gridCol w:w="896"/>
        <w:gridCol w:w="1472"/>
        <w:gridCol w:w="11"/>
        <w:gridCol w:w="910"/>
        <w:gridCol w:w="1456"/>
      </w:tblGrid>
      <w:tr w:rsidR="00000000">
        <w:tblPrEx>
          <w:tblCellMar>
            <w:top w:w="0" w:type="dxa"/>
            <w:bottom w:w="0" w:type="dxa"/>
          </w:tblCellMar>
        </w:tblPrEx>
        <w:trPr>
          <w:cantSplit/>
        </w:trPr>
        <w:tc>
          <w:tcPr>
            <w:tcW w:w="2320" w:type="dxa"/>
            <w:vMerge w:val="restart"/>
            <w:tcMar>
              <w:left w:w="28" w:type="dxa"/>
              <w:right w:w="28" w:type="dxa"/>
            </w:tcMar>
            <w:vAlign w:val="center"/>
          </w:tcPr>
          <w:p w:rsidR="00000000" w:rsidRDefault="00000000">
            <w:pPr>
              <w:spacing w:line="240" w:lineRule="auto"/>
            </w:pPr>
            <w:r>
              <w:t>Образование</w:t>
            </w:r>
          </w:p>
        </w:tc>
        <w:tc>
          <w:tcPr>
            <w:tcW w:w="2384" w:type="dxa"/>
            <w:gridSpan w:val="3"/>
            <w:tcMar>
              <w:left w:w="28" w:type="dxa"/>
              <w:right w:w="28" w:type="dxa"/>
            </w:tcMar>
          </w:tcPr>
          <w:p w:rsidR="00000000" w:rsidRDefault="00000000">
            <w:pPr>
              <w:spacing w:line="240" w:lineRule="auto"/>
              <w:jc w:val="center"/>
            </w:pPr>
            <w:r>
              <w:t>Босния и Герцеговина</w:t>
            </w:r>
          </w:p>
        </w:tc>
        <w:tc>
          <w:tcPr>
            <w:tcW w:w="2379" w:type="dxa"/>
            <w:gridSpan w:val="3"/>
            <w:tcMar>
              <w:left w:w="28" w:type="dxa"/>
              <w:right w:w="28" w:type="dxa"/>
            </w:tcMar>
          </w:tcPr>
          <w:p w:rsidR="00000000" w:rsidRDefault="00000000">
            <w:pPr>
              <w:spacing w:line="240" w:lineRule="auto"/>
              <w:jc w:val="center"/>
            </w:pPr>
            <w:r>
              <w:t>Федерация Боснии и Герцеговины</w:t>
            </w:r>
          </w:p>
        </w:tc>
        <w:tc>
          <w:tcPr>
            <w:tcW w:w="2366" w:type="dxa"/>
            <w:gridSpan w:val="2"/>
            <w:tcMar>
              <w:left w:w="28" w:type="dxa"/>
              <w:right w:w="28" w:type="dxa"/>
            </w:tcMar>
          </w:tcPr>
          <w:p w:rsidR="00000000" w:rsidRDefault="00000000">
            <w:pPr>
              <w:spacing w:line="240" w:lineRule="auto"/>
              <w:jc w:val="center"/>
            </w:pPr>
            <w:r>
              <w:t>Республика Сербская</w:t>
            </w:r>
          </w:p>
        </w:tc>
      </w:tr>
      <w:tr w:rsidR="00000000">
        <w:tblPrEx>
          <w:tblCellMar>
            <w:top w:w="0" w:type="dxa"/>
            <w:bottom w:w="0" w:type="dxa"/>
          </w:tblCellMar>
        </w:tblPrEx>
        <w:trPr>
          <w:cantSplit/>
        </w:trPr>
        <w:tc>
          <w:tcPr>
            <w:tcW w:w="2320" w:type="dxa"/>
            <w:vMerge/>
            <w:tcMar>
              <w:left w:w="28" w:type="dxa"/>
              <w:right w:w="28" w:type="dxa"/>
            </w:tcMar>
          </w:tcPr>
          <w:p w:rsidR="00000000" w:rsidRDefault="00000000">
            <w:pPr>
              <w:spacing w:line="240" w:lineRule="auto"/>
              <w:jc w:val="center"/>
            </w:pPr>
          </w:p>
        </w:tc>
        <w:tc>
          <w:tcPr>
            <w:tcW w:w="956" w:type="dxa"/>
            <w:tcMar>
              <w:left w:w="28" w:type="dxa"/>
              <w:right w:w="28" w:type="dxa"/>
            </w:tcMar>
          </w:tcPr>
          <w:p w:rsidR="00000000" w:rsidRDefault="00000000">
            <w:pPr>
              <w:spacing w:line="240" w:lineRule="auto"/>
              <w:jc w:val="center"/>
            </w:pPr>
            <w:r>
              <w:t>Общий</w:t>
            </w:r>
          </w:p>
        </w:tc>
        <w:tc>
          <w:tcPr>
            <w:tcW w:w="1420" w:type="dxa"/>
            <w:tcMar>
              <w:left w:w="28" w:type="dxa"/>
              <w:right w:w="28" w:type="dxa"/>
            </w:tcMar>
          </w:tcPr>
          <w:p w:rsidR="00000000" w:rsidRDefault="00000000">
            <w:pPr>
              <w:spacing w:line="240" w:lineRule="auto"/>
              <w:jc w:val="center"/>
            </w:pPr>
            <w:r>
              <w:t>Фактический</w:t>
            </w:r>
          </w:p>
        </w:tc>
        <w:tc>
          <w:tcPr>
            <w:tcW w:w="904" w:type="dxa"/>
            <w:gridSpan w:val="2"/>
            <w:tcMar>
              <w:left w:w="28" w:type="dxa"/>
              <w:right w:w="28" w:type="dxa"/>
            </w:tcMar>
          </w:tcPr>
          <w:p w:rsidR="00000000" w:rsidRDefault="00000000">
            <w:pPr>
              <w:spacing w:line="240" w:lineRule="auto"/>
              <w:jc w:val="center"/>
            </w:pPr>
            <w:r>
              <w:t>Общий</w:t>
            </w:r>
          </w:p>
        </w:tc>
        <w:tc>
          <w:tcPr>
            <w:tcW w:w="1472" w:type="dxa"/>
            <w:tcMar>
              <w:left w:w="28" w:type="dxa"/>
              <w:right w:w="28" w:type="dxa"/>
            </w:tcMar>
          </w:tcPr>
          <w:p w:rsidR="00000000" w:rsidRDefault="00000000">
            <w:pPr>
              <w:spacing w:line="240" w:lineRule="auto"/>
              <w:jc w:val="center"/>
            </w:pPr>
            <w:r>
              <w:t>Фактический</w:t>
            </w:r>
          </w:p>
        </w:tc>
        <w:tc>
          <w:tcPr>
            <w:tcW w:w="921" w:type="dxa"/>
            <w:gridSpan w:val="2"/>
            <w:tcMar>
              <w:left w:w="28" w:type="dxa"/>
              <w:right w:w="28" w:type="dxa"/>
            </w:tcMar>
          </w:tcPr>
          <w:p w:rsidR="00000000" w:rsidRDefault="00000000">
            <w:pPr>
              <w:spacing w:line="240" w:lineRule="auto"/>
              <w:jc w:val="center"/>
            </w:pPr>
            <w:r>
              <w:t>Общий</w:t>
            </w:r>
          </w:p>
        </w:tc>
        <w:tc>
          <w:tcPr>
            <w:tcW w:w="1456" w:type="dxa"/>
            <w:tcMar>
              <w:left w:w="28" w:type="dxa"/>
              <w:right w:w="28" w:type="dxa"/>
            </w:tcMar>
          </w:tcPr>
          <w:p w:rsidR="00000000" w:rsidRDefault="00000000">
            <w:pPr>
              <w:spacing w:line="240" w:lineRule="auto"/>
              <w:jc w:val="center"/>
            </w:pPr>
            <w:r>
              <w:t>Фактический</w:t>
            </w:r>
          </w:p>
        </w:tc>
      </w:tr>
      <w:tr w:rsidR="00000000">
        <w:tblPrEx>
          <w:tblCellMar>
            <w:top w:w="0" w:type="dxa"/>
            <w:bottom w:w="0" w:type="dxa"/>
          </w:tblCellMar>
        </w:tblPrEx>
        <w:tc>
          <w:tcPr>
            <w:tcW w:w="2320" w:type="dxa"/>
            <w:tcMar>
              <w:left w:w="28" w:type="dxa"/>
              <w:right w:w="28" w:type="dxa"/>
            </w:tcMar>
          </w:tcPr>
          <w:p w:rsidR="00000000" w:rsidRDefault="00000000">
            <w:pPr>
              <w:spacing w:line="240" w:lineRule="auto"/>
            </w:pPr>
            <w:r>
              <w:t>Начальное</w:t>
            </w:r>
          </w:p>
        </w:tc>
        <w:tc>
          <w:tcPr>
            <w:tcW w:w="956" w:type="dxa"/>
            <w:tcMar>
              <w:left w:w="28" w:type="dxa"/>
              <w:right w:w="28" w:type="dxa"/>
            </w:tcMar>
          </w:tcPr>
          <w:p w:rsidR="00000000" w:rsidRDefault="00000000">
            <w:pPr>
              <w:spacing w:line="240" w:lineRule="auto"/>
              <w:jc w:val="center"/>
            </w:pPr>
            <w:r>
              <w:t>96,35</w:t>
            </w:r>
          </w:p>
        </w:tc>
        <w:tc>
          <w:tcPr>
            <w:tcW w:w="1420" w:type="dxa"/>
            <w:tcMar>
              <w:left w:w="28" w:type="dxa"/>
              <w:right w:w="28" w:type="dxa"/>
            </w:tcMar>
          </w:tcPr>
          <w:p w:rsidR="00000000" w:rsidRDefault="00000000">
            <w:pPr>
              <w:spacing w:line="240" w:lineRule="auto"/>
              <w:jc w:val="center"/>
            </w:pPr>
            <w:r>
              <w:t>92,80</w:t>
            </w:r>
          </w:p>
        </w:tc>
        <w:tc>
          <w:tcPr>
            <w:tcW w:w="904" w:type="dxa"/>
            <w:gridSpan w:val="2"/>
            <w:tcMar>
              <w:left w:w="28" w:type="dxa"/>
              <w:right w:w="28" w:type="dxa"/>
            </w:tcMar>
          </w:tcPr>
          <w:p w:rsidR="00000000" w:rsidRDefault="00000000">
            <w:pPr>
              <w:spacing w:line="240" w:lineRule="auto"/>
              <w:jc w:val="center"/>
            </w:pPr>
            <w:r>
              <w:t>96,00</w:t>
            </w:r>
          </w:p>
        </w:tc>
        <w:tc>
          <w:tcPr>
            <w:tcW w:w="1472" w:type="dxa"/>
            <w:tcMar>
              <w:left w:w="28" w:type="dxa"/>
              <w:right w:w="28" w:type="dxa"/>
            </w:tcMar>
          </w:tcPr>
          <w:p w:rsidR="00000000" w:rsidRDefault="00000000">
            <w:pPr>
              <w:spacing w:line="240" w:lineRule="auto"/>
              <w:jc w:val="center"/>
            </w:pPr>
            <w:r>
              <w:t>92,61</w:t>
            </w:r>
          </w:p>
        </w:tc>
        <w:tc>
          <w:tcPr>
            <w:tcW w:w="921" w:type="dxa"/>
            <w:gridSpan w:val="2"/>
            <w:tcMar>
              <w:left w:w="28" w:type="dxa"/>
              <w:right w:w="28" w:type="dxa"/>
            </w:tcMar>
          </w:tcPr>
          <w:p w:rsidR="00000000" w:rsidRDefault="00000000">
            <w:pPr>
              <w:spacing w:line="240" w:lineRule="auto"/>
              <w:jc w:val="center"/>
            </w:pPr>
            <w:r>
              <w:t>97,04</w:t>
            </w:r>
          </w:p>
        </w:tc>
        <w:tc>
          <w:tcPr>
            <w:tcW w:w="1456" w:type="dxa"/>
            <w:tcMar>
              <w:left w:w="28" w:type="dxa"/>
              <w:right w:w="28" w:type="dxa"/>
            </w:tcMar>
          </w:tcPr>
          <w:p w:rsidR="00000000" w:rsidRDefault="00000000">
            <w:pPr>
              <w:spacing w:line="240" w:lineRule="auto"/>
              <w:jc w:val="center"/>
            </w:pPr>
            <w:r>
              <w:t>93,17</w:t>
            </w:r>
          </w:p>
        </w:tc>
      </w:tr>
      <w:tr w:rsidR="00000000">
        <w:tblPrEx>
          <w:tblCellMar>
            <w:top w:w="0" w:type="dxa"/>
            <w:bottom w:w="0" w:type="dxa"/>
          </w:tblCellMar>
        </w:tblPrEx>
        <w:tc>
          <w:tcPr>
            <w:tcW w:w="2320" w:type="dxa"/>
            <w:tcMar>
              <w:left w:w="28" w:type="dxa"/>
              <w:right w:w="28" w:type="dxa"/>
            </w:tcMar>
          </w:tcPr>
          <w:p w:rsidR="00000000" w:rsidRDefault="00000000">
            <w:pPr>
              <w:spacing w:line="240" w:lineRule="auto"/>
            </w:pPr>
            <w:r>
              <w:t>Среднее</w:t>
            </w:r>
          </w:p>
        </w:tc>
        <w:tc>
          <w:tcPr>
            <w:tcW w:w="956" w:type="dxa"/>
            <w:tcMar>
              <w:left w:w="28" w:type="dxa"/>
              <w:right w:w="28" w:type="dxa"/>
            </w:tcMar>
          </w:tcPr>
          <w:p w:rsidR="00000000" w:rsidRDefault="00000000">
            <w:pPr>
              <w:spacing w:line="240" w:lineRule="auto"/>
              <w:jc w:val="center"/>
            </w:pPr>
            <w:r>
              <w:t>83,77</w:t>
            </w:r>
          </w:p>
        </w:tc>
        <w:tc>
          <w:tcPr>
            <w:tcW w:w="1420" w:type="dxa"/>
            <w:tcMar>
              <w:left w:w="28" w:type="dxa"/>
              <w:right w:w="28" w:type="dxa"/>
            </w:tcMar>
          </w:tcPr>
          <w:p w:rsidR="00000000" w:rsidRDefault="00000000">
            <w:pPr>
              <w:spacing w:line="240" w:lineRule="auto"/>
              <w:jc w:val="center"/>
            </w:pPr>
            <w:r>
              <w:t>72,64</w:t>
            </w:r>
          </w:p>
        </w:tc>
        <w:tc>
          <w:tcPr>
            <w:tcW w:w="904" w:type="dxa"/>
            <w:gridSpan w:val="2"/>
            <w:tcMar>
              <w:left w:w="28" w:type="dxa"/>
              <w:right w:w="28" w:type="dxa"/>
            </w:tcMar>
          </w:tcPr>
          <w:p w:rsidR="00000000" w:rsidRDefault="00000000">
            <w:pPr>
              <w:spacing w:line="240" w:lineRule="auto"/>
              <w:jc w:val="center"/>
            </w:pPr>
            <w:r>
              <w:t>85,52</w:t>
            </w:r>
          </w:p>
        </w:tc>
        <w:tc>
          <w:tcPr>
            <w:tcW w:w="1472" w:type="dxa"/>
            <w:tcMar>
              <w:left w:w="28" w:type="dxa"/>
              <w:right w:w="28" w:type="dxa"/>
            </w:tcMar>
          </w:tcPr>
          <w:p w:rsidR="00000000" w:rsidRDefault="00000000">
            <w:pPr>
              <w:spacing w:line="240" w:lineRule="auto"/>
              <w:jc w:val="center"/>
            </w:pPr>
            <w:r>
              <w:t>73,70</w:t>
            </w:r>
          </w:p>
        </w:tc>
        <w:tc>
          <w:tcPr>
            <w:tcW w:w="921" w:type="dxa"/>
            <w:gridSpan w:val="2"/>
            <w:tcMar>
              <w:left w:w="28" w:type="dxa"/>
              <w:right w:w="28" w:type="dxa"/>
            </w:tcMar>
          </w:tcPr>
          <w:p w:rsidR="00000000" w:rsidRDefault="00000000">
            <w:pPr>
              <w:spacing w:line="240" w:lineRule="auto"/>
              <w:jc w:val="center"/>
            </w:pPr>
            <w:r>
              <w:t>80,39</w:t>
            </w:r>
          </w:p>
        </w:tc>
        <w:tc>
          <w:tcPr>
            <w:tcW w:w="1456" w:type="dxa"/>
            <w:tcMar>
              <w:left w:w="28" w:type="dxa"/>
              <w:right w:w="28" w:type="dxa"/>
            </w:tcMar>
          </w:tcPr>
          <w:p w:rsidR="00000000" w:rsidRDefault="00000000">
            <w:pPr>
              <w:spacing w:line="240" w:lineRule="auto"/>
              <w:jc w:val="center"/>
            </w:pPr>
            <w:r>
              <w:t>70,60</w:t>
            </w:r>
          </w:p>
        </w:tc>
      </w:tr>
      <w:tr w:rsidR="00000000">
        <w:tblPrEx>
          <w:tblCellMar>
            <w:top w:w="0" w:type="dxa"/>
            <w:bottom w:w="0" w:type="dxa"/>
          </w:tblCellMar>
        </w:tblPrEx>
        <w:tc>
          <w:tcPr>
            <w:tcW w:w="2320" w:type="dxa"/>
            <w:tcMar>
              <w:left w:w="28" w:type="dxa"/>
              <w:right w:w="28" w:type="dxa"/>
            </w:tcMar>
          </w:tcPr>
          <w:p w:rsidR="00000000" w:rsidRDefault="00000000">
            <w:pPr>
              <w:spacing w:line="240" w:lineRule="auto"/>
            </w:pPr>
            <w:r>
              <w:t>Высшее</w:t>
            </w:r>
          </w:p>
        </w:tc>
        <w:tc>
          <w:tcPr>
            <w:tcW w:w="956" w:type="dxa"/>
            <w:tcMar>
              <w:left w:w="28" w:type="dxa"/>
              <w:right w:w="28" w:type="dxa"/>
            </w:tcMar>
          </w:tcPr>
          <w:p w:rsidR="00000000" w:rsidRDefault="00000000">
            <w:pPr>
              <w:spacing w:line="240" w:lineRule="auto"/>
              <w:jc w:val="center"/>
            </w:pPr>
            <w:r>
              <w:t>36,61</w:t>
            </w:r>
          </w:p>
        </w:tc>
        <w:tc>
          <w:tcPr>
            <w:tcW w:w="1420" w:type="dxa"/>
            <w:tcMar>
              <w:left w:w="28" w:type="dxa"/>
              <w:right w:w="28" w:type="dxa"/>
            </w:tcMar>
          </w:tcPr>
          <w:p w:rsidR="00000000" w:rsidRDefault="00000000">
            <w:pPr>
              <w:spacing w:line="240" w:lineRule="auto"/>
              <w:jc w:val="center"/>
            </w:pPr>
            <w:r>
              <w:t>24,22</w:t>
            </w:r>
          </w:p>
        </w:tc>
        <w:tc>
          <w:tcPr>
            <w:tcW w:w="904" w:type="dxa"/>
            <w:gridSpan w:val="2"/>
            <w:tcMar>
              <w:left w:w="28" w:type="dxa"/>
              <w:right w:w="28" w:type="dxa"/>
            </w:tcMar>
          </w:tcPr>
          <w:p w:rsidR="00000000" w:rsidRDefault="00000000">
            <w:pPr>
              <w:spacing w:line="240" w:lineRule="auto"/>
              <w:jc w:val="center"/>
            </w:pPr>
            <w:r>
              <w:t>38,67</w:t>
            </w:r>
          </w:p>
        </w:tc>
        <w:tc>
          <w:tcPr>
            <w:tcW w:w="1472" w:type="dxa"/>
            <w:tcMar>
              <w:left w:w="28" w:type="dxa"/>
              <w:right w:w="28" w:type="dxa"/>
            </w:tcMar>
          </w:tcPr>
          <w:p w:rsidR="00000000" w:rsidRDefault="00000000">
            <w:pPr>
              <w:spacing w:line="240" w:lineRule="auto"/>
              <w:jc w:val="center"/>
            </w:pPr>
            <w:r>
              <w:t>25,55</w:t>
            </w:r>
          </w:p>
        </w:tc>
        <w:tc>
          <w:tcPr>
            <w:tcW w:w="921" w:type="dxa"/>
            <w:gridSpan w:val="2"/>
            <w:tcMar>
              <w:left w:w="28" w:type="dxa"/>
              <w:right w:w="28" w:type="dxa"/>
            </w:tcMar>
          </w:tcPr>
          <w:p w:rsidR="00000000" w:rsidRDefault="00000000">
            <w:pPr>
              <w:spacing w:line="240" w:lineRule="auto"/>
              <w:jc w:val="center"/>
            </w:pPr>
            <w:r>
              <w:t>33,27</w:t>
            </w:r>
          </w:p>
        </w:tc>
        <w:tc>
          <w:tcPr>
            <w:tcW w:w="1456" w:type="dxa"/>
            <w:tcMar>
              <w:left w:w="28" w:type="dxa"/>
              <w:right w:w="28" w:type="dxa"/>
            </w:tcMar>
          </w:tcPr>
          <w:p w:rsidR="00000000" w:rsidRDefault="00000000">
            <w:pPr>
              <w:spacing w:line="240" w:lineRule="auto"/>
              <w:jc w:val="center"/>
            </w:pPr>
            <w:r>
              <w:t>22,06</w:t>
            </w:r>
          </w:p>
        </w:tc>
      </w:tr>
    </w:tbl>
    <w:p w:rsidR="00000000" w:rsidRDefault="00000000"/>
    <w:p w:rsidR="00000000" w:rsidRDefault="00000000">
      <w:pPr>
        <w:spacing w:line="240" w:lineRule="auto"/>
        <w:ind w:left="567" w:hanging="567"/>
        <w:rPr>
          <w:sz w:val="22"/>
        </w:rPr>
      </w:pPr>
      <w:r>
        <w:rPr>
          <w:b/>
          <w:bCs/>
          <w:vertAlign w:val="superscript"/>
        </w:rPr>
        <w:t>а</w:t>
      </w:r>
      <w:r>
        <w:tab/>
      </w:r>
      <w:r>
        <w:rPr>
          <w:sz w:val="22"/>
        </w:rPr>
        <w:t>Общие и чистые уровни приема в учебные заведения представлены на основании результатов обследования в рамках ИКОУЖ, обнародованных в публикации Всемирного банка 2003 года, озаглавленной "Оценка нищеты в Боснии и Герцеговине".</w:t>
      </w:r>
    </w:p>
    <w:p w:rsidR="00000000" w:rsidRDefault="00000000">
      <w:pPr>
        <w:spacing w:line="240" w:lineRule="auto"/>
        <w:rPr>
          <w:sz w:val="22"/>
        </w:rPr>
      </w:pPr>
    </w:p>
    <w:p w:rsidR="00000000" w:rsidRDefault="00000000">
      <w:pPr>
        <w:spacing w:line="240" w:lineRule="auto"/>
        <w:rPr>
          <w:sz w:val="22"/>
        </w:rPr>
      </w:pPr>
      <w:r>
        <w:rPr>
          <w:b/>
          <w:bCs/>
          <w:vertAlign w:val="superscript"/>
        </w:rPr>
        <w:t>b</w:t>
      </w:r>
      <w:r>
        <w:rPr>
          <w:sz w:val="22"/>
        </w:rPr>
        <w:tab/>
        <w:t>Этот уровень не охватывает аспирантуру.</w:t>
      </w:r>
    </w:p>
    <w:p w:rsidR="00000000" w:rsidRDefault="00000000">
      <w:pPr>
        <w:spacing w:line="240" w:lineRule="auto"/>
        <w:rPr>
          <w:sz w:val="22"/>
        </w:rPr>
      </w:pPr>
    </w:p>
    <w:p w:rsidR="00000000" w:rsidRDefault="00000000">
      <w:pPr>
        <w:spacing w:line="240" w:lineRule="auto"/>
      </w:pPr>
    </w:p>
    <w:p w:rsidR="00000000" w:rsidRDefault="00000000">
      <w:pPr>
        <w:rPr>
          <w:b/>
          <w:bCs/>
        </w:rPr>
      </w:pPr>
      <w:r>
        <w:rPr>
          <w:b/>
          <w:bCs/>
        </w:rPr>
        <w:t>Высшее образование в Федерации Боснии и Герцеговины</w:t>
      </w:r>
    </w:p>
    <w:p w:rsidR="00000000" w:rsidRDefault="00000000">
      <w:pPr>
        <w:rPr>
          <w:b/>
          <w:bCs/>
        </w:rPr>
      </w:pPr>
    </w:p>
    <w:p w:rsidR="00000000" w:rsidRDefault="00000000">
      <w:r>
        <w:t>604.</w:t>
      </w:r>
      <w:r>
        <w:tab/>
        <w:t>До войны высшее образование в Боснии и Герцеговине было централизованным.  Вопросы создания, управления и организации работы университетов регулировались единым Законом об университетах.  Децентрализация образования в Боснии и Герцеговине поставила высшее образование в весьма сложное положение и привела к возникновению целого ряда новых вопросов и проблем.</w:t>
      </w:r>
    </w:p>
    <w:p w:rsidR="00000000" w:rsidRDefault="00000000"/>
    <w:p w:rsidR="00000000" w:rsidRDefault="00000000">
      <w:r>
        <w:t>605.</w:t>
      </w:r>
      <w:r>
        <w:tab/>
        <w:t>Высшее образование в Боснии и Герцеговине осуществляется на уровне Образования в Республике Сербской и на уровне кантонов в Федерации Боснии и Герцеговины, где на кантональном уровне существует в целом пять университетов, включающих 62 высших учебных заведения.  В число высших учебных заведений входят факультеты, академии и высшие школы.</w:t>
      </w:r>
    </w:p>
    <w:p w:rsidR="00000000" w:rsidRDefault="00000000"/>
    <w:p w:rsidR="00000000" w:rsidRDefault="00000000">
      <w:r>
        <w:t>606.</w:t>
      </w:r>
      <w:r>
        <w:tab/>
        <w:t>В общей численности населения доля студентов в 2002 году составляла около 2,2%.  В большинстве стран с экономикой переходного периода их доля составляет где-то около 2%, в то время как в развитых странах она находится на уровне не менее 3%.  Этот показатель свидетельствует о необходимости преодолеть большую дистанцию для достижения критической массы образованных молодых людей, которые сыграли бы ведущую роль в обеспечении экономического процветания и конкурентоспособности страны.</w:t>
      </w:r>
    </w:p>
    <w:p w:rsidR="00000000" w:rsidRDefault="00000000"/>
    <w:p w:rsidR="00000000" w:rsidRDefault="00000000">
      <w:r>
        <w:t>607.</w:t>
      </w:r>
      <w:r>
        <w:tab/>
        <w:t>Высшее образование получают в высших школах, на факультетах и в академиях искусств.  План приема готовится на основании предложения министерства образования.  Прием осуществляется на основании результатов вступительных экзаменов, а также успехов, достигнутых в средней общеобразовательной или профессиональной школе.  Преподавание в высших школах и на факультетах осуществляется на сербском языке.  С согласия студентов и с санкции министерства образования преподавание может также осуществляться на одном из международных языков.  Основателем высших школ, факультетов или академий искусств является правительство.</w:t>
      </w:r>
    </w:p>
    <w:p w:rsidR="00000000" w:rsidRDefault="00000000"/>
    <w:p w:rsidR="00000000" w:rsidRDefault="00000000">
      <w:r>
        <w:t>608.</w:t>
      </w:r>
      <w:r>
        <w:tab/>
        <w:t>Недавно было открыто несколько частных высших школ и факультетов.  В соответствии с Законом об университетах факультеты и высшие учебные заведения пользуются большой степенью автономии, что находит отражение в принятии учебных программ, подборе преподавателей, а также в определении стратегии развития и в планировании исследовательских проектов и фундаментальных исследований (</w:t>
      </w:r>
      <w:r>
        <w:rPr>
          <w:i/>
          <w:iCs/>
        </w:rPr>
        <w:t>Источник</w:t>
      </w:r>
      <w:r>
        <w:t>:  Экономический/педагогический институт Республики Сербской).</w:t>
      </w:r>
    </w:p>
    <w:p w:rsidR="00000000" w:rsidRDefault="00000000"/>
    <w:p w:rsidR="00000000" w:rsidRDefault="00000000">
      <w:r>
        <w:rPr>
          <w:b/>
          <w:bCs/>
        </w:rPr>
        <w:t>Болонская декларация - достигнутый прогресс и будущая деятельность в Боснии и Герцеговине</w:t>
      </w:r>
    </w:p>
    <w:p w:rsidR="00000000" w:rsidRDefault="00000000"/>
    <w:p w:rsidR="00000000" w:rsidRDefault="00000000">
      <w:r>
        <w:t>609.</w:t>
      </w:r>
      <w:r>
        <w:tab/>
        <w:t>В апреле 2002 года Босния и Герцеговина направила Испании как председателю Болонского процесса письмо о намерениях, в котором официально объявляется о готовности Боснии и Герцеговины принять Болонскую декларацию и взять на себя все вытекающие из нее обязательства.</w:t>
      </w:r>
    </w:p>
    <w:p w:rsidR="00000000" w:rsidRDefault="00000000"/>
    <w:p w:rsidR="00000000" w:rsidRDefault="00000000">
      <w:r>
        <w:t>610.</w:t>
      </w:r>
      <w:r>
        <w:tab/>
        <w:t>Был разработан документ "Реформа образования в Боснии и Герцеговине", который 21 ноября 2002 года был представлен Совету по выполнению Мирного соглашения (СВМС) и принят обоими Образованиями в Боснии и Герцеговине.  Этот документ об осуществлении всеобъемлющих реформ образования содержит четкие руководящие принципы в отношении реформы высшего образования в Боснии и Герцеговине с позиций Болонского процесса.</w:t>
      </w:r>
    </w:p>
    <w:p w:rsidR="00000000" w:rsidRDefault="00000000"/>
    <w:p w:rsidR="00000000" w:rsidRDefault="00000000">
      <w:r>
        <w:t>611.</w:t>
      </w:r>
      <w:r>
        <w:tab/>
        <w:t>Недавно университеты в рамках Координационного совета по высшему образованию Боснии и Герцеговины провели согласование своей деятельности по осуществлению ускоренной реформы.  Этот орган оправдывает свое существование, обеспечивая координацию и содействуя реформам в области высшего образования.</w:t>
      </w:r>
    </w:p>
    <w:p w:rsidR="00000000" w:rsidRDefault="00000000"/>
    <w:p w:rsidR="00000000" w:rsidRDefault="00000000">
      <w:r>
        <w:t>612.</w:t>
      </w:r>
      <w:r>
        <w:tab/>
        <w:t>Все высшие учебные заведения и университеты разработали и большинство из них уже приняли планы организационного развития на 2003-2010 годы, составленные с учетом Болонских процессов.  В связи с разными уровнями развития различных университетов в Боснии и Герцеговине темпы и приоритеты выполнения планов по реформе высшего образования также различаются.  Соответственно, отдельные университеты, проведя оценку научного потенциала и уровня развития, разработали планы динамичного осуществления реформы.</w:t>
      </w:r>
    </w:p>
    <w:p w:rsidR="00000000" w:rsidRDefault="00000000"/>
    <w:p w:rsidR="00000000" w:rsidRDefault="00000000">
      <w:pPr>
        <w:rPr>
          <w:b/>
          <w:bCs/>
        </w:rPr>
      </w:pPr>
      <w:r>
        <w:rPr>
          <w:b/>
          <w:bCs/>
        </w:rPr>
        <w:t>Образование детей с особыми потребностями</w:t>
      </w:r>
    </w:p>
    <w:p w:rsidR="00000000" w:rsidRDefault="00000000">
      <w:pPr>
        <w:rPr>
          <w:b/>
          <w:bCs/>
        </w:rPr>
      </w:pPr>
    </w:p>
    <w:p w:rsidR="00000000" w:rsidRDefault="00000000">
      <w:r>
        <w:t>613.</w:t>
      </w:r>
      <w:r>
        <w:tab/>
        <w:t>В настоящее время осуществление проекта ЮНИСЕФ "Больница - друг детей" находится на этапе попыток обеспечить образование для хронически больных детей, которые долгое время проводят в больнице.  Задача заключается в том, чтобы по мере возможности организовать для этих детей обычный учебный процесс, с тем чтобы они не слишком отставали от других детей, регулярно посещающих школу.</w:t>
      </w:r>
    </w:p>
    <w:p w:rsidR="00000000" w:rsidRDefault="00000000"/>
    <w:p w:rsidR="00000000" w:rsidRDefault="00000000">
      <w:pPr>
        <w:rPr>
          <w:b/>
          <w:bCs/>
        </w:rPr>
      </w:pPr>
      <w:r>
        <w:rPr>
          <w:b/>
          <w:bCs/>
        </w:rPr>
        <w:t>Проблемы в системе образования</w:t>
      </w:r>
    </w:p>
    <w:p w:rsidR="00000000" w:rsidRDefault="00000000">
      <w:pPr>
        <w:rPr>
          <w:b/>
          <w:bCs/>
        </w:rPr>
      </w:pPr>
    </w:p>
    <w:p w:rsidR="00000000" w:rsidRDefault="00000000">
      <w:r>
        <w:t>614.</w:t>
      </w:r>
      <w:r>
        <w:tab/>
        <w:t>Препятствием на пути получения образования в смешанных и многокультурных школах является широко распространенная практика доставки детей в моноэтнические школы вместо посещения ими школ, находящихся поблизости от их дома.  В некоторых частях страны правительство оплачивает перевозку учащихся в другие муниципалитеты или даже в другое Образование, что является дорогостоящей и нежелательной практикой, в результате которой дети тратят на поездки слишком много времени.</w:t>
      </w:r>
    </w:p>
    <w:p w:rsidR="00000000" w:rsidRDefault="00000000"/>
    <w:p w:rsidR="00000000" w:rsidRDefault="00000000">
      <w:r>
        <w:t>615.</w:t>
      </w:r>
      <w:r>
        <w:tab/>
        <w:t>Имеется много примеров, когда дети преодолевают 15 или 20 км по плохим дорогам, чтобы приехать в школы, где они являются этническим большинством, вместо того, чтобы ходить в те школы, которые находятся буквально в нескольких метрах от их дома.  Перевозка детей в моноэтнические школы не только подрывает устойчивое возрождение и восстановление страны, но и приводит к серьезным расходам, которые ложатся излишним бременем на бюджеты кантонов и Образований.</w:t>
      </w:r>
    </w:p>
    <w:p w:rsidR="00000000" w:rsidRDefault="00000000"/>
    <w:p w:rsidR="00000000" w:rsidRDefault="00000000">
      <w:r>
        <w:t>616.</w:t>
      </w:r>
      <w:r>
        <w:tab/>
        <w:t>Наиболее очевидной формой сегрегации, подрывающей реформу образования в Боснии и Герцеговине, является феномен "двух школ под одной крышей".  После 2000 года десятки школьных зданий в кантонах Зеница Добой, Центральная Босния и Герцеговина-Неретва были буквально разделены на две школы.  В июне 2003 года в Федерации Боснии и Герцеговины насчитывалось более 50 случаев так называемых "двух школ под одной крышей".  Разделение существует почти по всем аспектам школьной жизни.  В некоторых случаях школьные звонки раздаются в разное время, учащиеся, принадлежащие к различным этническим группам, не пользуются совместно компьютерным оборудованием, лингвистическими и другими пособиями.  В самых крайних случаях учащиеся боснийцы и хорваты даже не ходят в школу в одно и то же время дня.</w:t>
      </w:r>
    </w:p>
    <w:p w:rsidR="00000000" w:rsidRDefault="00000000"/>
    <w:p w:rsidR="00000000" w:rsidRDefault="00000000">
      <w:r>
        <w:t>617.</w:t>
      </w:r>
      <w:r>
        <w:tab/>
        <w:t>Такая система разделения не только влияет на качество образования в Федерации, но и приводит к неоправданной растрате денег.  Средства, получаемые от налогоплательщиков, идут на выплату зарплат двух школьных директоров, членов двух школьных советов и двух групп административно-технических работников.  Эти деньги можно было бы с большей эффективностью использовать для повышения качества классных занятий и для общего повышения качества образования.</w:t>
      </w:r>
    </w:p>
    <w:p w:rsidR="00000000" w:rsidRDefault="00000000"/>
    <w:p w:rsidR="00000000" w:rsidRDefault="00000000">
      <w:r>
        <w:t>618.</w:t>
      </w:r>
      <w:r>
        <w:tab/>
        <w:t>Школы должны быть объединены, с тем чтобы они отвечали принципам Стратегии реформы образования.  Подписывая этот документ, министры образования Образований и кантонов согласились "положить конец сегрегации и дискриминации в процессе образования" и прекратить растрату денег, дублирование и несогласованность в рамках системы образования в Боснии и Герцеговине.</w:t>
      </w:r>
    </w:p>
    <w:p w:rsidR="00000000" w:rsidRDefault="00000000"/>
    <w:p w:rsidR="00000000" w:rsidRDefault="00000000">
      <w:pPr>
        <w:rPr>
          <w:b/>
          <w:bCs/>
        </w:rPr>
      </w:pPr>
      <w:r>
        <w:rPr>
          <w:b/>
          <w:bCs/>
        </w:rPr>
        <w:t>Децентрализованное образование</w:t>
      </w:r>
    </w:p>
    <w:p w:rsidR="00000000" w:rsidRDefault="00000000">
      <w:pPr>
        <w:rPr>
          <w:b/>
          <w:bCs/>
        </w:rPr>
      </w:pPr>
    </w:p>
    <w:p w:rsidR="00000000" w:rsidRDefault="00000000">
      <w:r>
        <w:t>619.</w:t>
      </w:r>
      <w:r>
        <w:tab/>
        <w:t>Босния и Герцеговина выступает за то, чтобы ее школы были открыты для учащихся из любой социальной и какой-либо другой среды и имеющих любые способности или любое происхождение.  Децентрализованное образование является ключевым фактором в программе реформы образования, обеспечивающим для детей возможность посещать обычные школы, находящиеся рядом с их домом, независимо от их физических, интеллектуальных, социальных, эмоциональных, лингвистических и прочих качеств.  В соответствии с принципами децентрализованного образования дети с особыми потребностями не должны будут больше ходить в специальные школы или помещаться в школы-интернаты.  Они будут ходить в обычные школы вместе с другими детьми.  ОБСЕ также работает над определением принципов в этой области и распространяет в общинах информацию о преимуществах децентрализованного образования.  В этой связи детям с особыми потребностями оказывается помощь в поступлении в обычные школы по всей Боснии и Герцеговине.</w:t>
      </w:r>
    </w:p>
    <w:p w:rsidR="00000000" w:rsidRDefault="00000000"/>
    <w:p w:rsidR="00000000" w:rsidRDefault="00000000">
      <w:r>
        <w:t>620.</w:t>
      </w:r>
      <w:r>
        <w:tab/>
        <w:t>Район Брчко и некоторые кантоны уже ввели в действие правовые положения, включающие принципы децентрализованного образования.  Кроме того, существует целый ряд организаций, которые работают над обеспечением для детей с различными способностями лучшего и более широкого доступа к образованию.  Недавно в университете Сараево были начаты аспирантское исследование, посвященное децентрализованному образованию, а также экспериментальный проект в поддержку приема детей с незначительными психическими отклонениями в первый и второй классы начальной школы.  16 муниципалитетов по всей Боснии и Герцеговине взяли на себя обязательство осуществить подготовку специальных консультантов по вопросам образования, логопедов и учителей начальных школ.</w:t>
      </w:r>
    </w:p>
    <w:p w:rsidR="00000000" w:rsidRDefault="00000000"/>
    <w:p w:rsidR="00000000" w:rsidRDefault="00000000">
      <w:pPr>
        <w:rPr>
          <w:b/>
          <w:bCs/>
        </w:rPr>
      </w:pPr>
      <w:r>
        <w:rPr>
          <w:b/>
          <w:bCs/>
        </w:rPr>
        <w:t>Рома:  право на образование</w:t>
      </w:r>
    </w:p>
    <w:p w:rsidR="00000000" w:rsidRDefault="00000000">
      <w:pPr>
        <w:rPr>
          <w:b/>
          <w:bCs/>
        </w:rPr>
      </w:pPr>
    </w:p>
    <w:p w:rsidR="00000000" w:rsidRDefault="00000000">
      <w:r>
        <w:t>621.</w:t>
      </w:r>
      <w:r>
        <w:tab/>
        <w:t xml:space="preserve">Община рома в Боснии и Герцеговине является жертвой унаследованной дискриминации, которая способствовала распространению нищеты, безработицы, бездомности и отсутствию доступа к образованию.  </w:t>
      </w:r>
    </w:p>
    <w:p w:rsidR="00000000" w:rsidRDefault="00000000"/>
    <w:p w:rsidR="00000000" w:rsidRDefault="00000000">
      <w:r>
        <w:t>622.</w:t>
      </w:r>
      <w:r>
        <w:tab/>
        <w:t xml:space="preserve">В настоящее время дети из числа рома посещают школу лишь эпизодически.  В старших классах начальных и средних школ практически нет детей из числа рома.  Согласно докладу об оценке положения за 2002 год, который был подготовлен ЮНИСЕФ, Советом Европы и ОБСЕ, в кантоне Тузла (где проживает самое большое количество детей из числа рома) около 80% детей из числа рома не посещают школу.  Кроме того, более 60% детей являются безграмотными, и около 80% из них не имеют никакой профессии.  В университете профессиональной подготовки учатся лишь два студента из числа рома.  </w:t>
      </w:r>
    </w:p>
    <w:p w:rsidR="00000000" w:rsidRDefault="00000000"/>
    <w:p w:rsidR="00000000" w:rsidRDefault="00000000">
      <w:r>
        <w:t>623.</w:t>
      </w:r>
      <w:r>
        <w:tab/>
        <w:t>В число многих причин такого уровня участия детей из числа рома в системе образования входят следующие:  нищета, дискриминация, обзывание и приставание в школе, отсутствие доверия к правительству, война и перемещение, традиции и обычаи, язык и т.д.  Компетентные органы в области образования начали принимать позитивные меры по устранению препятствий, которые стоят на пути к обеспечению равного доступа к образованию.  В связи с обязательствами, сформулированными в Документе о стратегии реформы в области образования, была создана группа, которой было поручено особое задание по разработке плана обеспечения образования для всех представителей национальных меньшинств, и в особенности детей из числа рома.  Эта группа работает над вопросами обеспечения равного доступа к образованию, финансирования издания учебников, введения языка рома в школах, а также над вопросами транспорта.</w:t>
      </w:r>
    </w:p>
    <w:p w:rsidR="00000000" w:rsidRDefault="00000000"/>
    <w:p w:rsidR="00000000" w:rsidRDefault="00000000">
      <w:pPr>
        <w:rPr>
          <w:b/>
          <w:bCs/>
        </w:rPr>
      </w:pPr>
      <w:r>
        <w:rPr>
          <w:b/>
          <w:bCs/>
        </w:rPr>
        <w:t>Влияние неправительственной помощи на реализацию права на образование</w:t>
      </w:r>
    </w:p>
    <w:p w:rsidR="00000000" w:rsidRDefault="00000000">
      <w:pPr>
        <w:rPr>
          <w:b/>
          <w:bCs/>
        </w:rPr>
      </w:pPr>
    </w:p>
    <w:p w:rsidR="00000000" w:rsidRDefault="00000000">
      <w:r>
        <w:t>624.</w:t>
      </w:r>
      <w:r>
        <w:tab/>
        <w:t>Существует несколько неправительственных организаций, которые поддерживали проведение "фестивалей обучения на протяжении всей жизни".  Первый фестиваль такого рода был проведен в кантоне Тузла в 2001 году.  Второй и третий фестивали были организованы в Сараево, Тузле, Бане-Луке и Мостаре в 2002 и 2003 годах.</w:t>
      </w:r>
    </w:p>
    <w:p w:rsidR="00000000" w:rsidRDefault="00000000"/>
    <w:p w:rsidR="00000000" w:rsidRDefault="00000000">
      <w:r>
        <w:t>625.</w:t>
      </w:r>
      <w:r>
        <w:tab/>
        <w:t>Сивитас, ПРОНИ, Организация по перспективам мирового развития и Совет Европы - все они активно участвуют в осуществляемых в интересах учащихся проектах в начальных и средних школах, а также в организации постоянного образования преподавательского состава.</w:t>
      </w:r>
    </w:p>
    <w:p w:rsidR="00000000" w:rsidRDefault="00000000"/>
    <w:p w:rsidR="00000000" w:rsidRDefault="00000000">
      <w:pPr>
        <w:rPr>
          <w:b/>
          <w:bCs/>
        </w:rPr>
      </w:pPr>
      <w:r>
        <w:rPr>
          <w:b/>
          <w:bCs/>
        </w:rPr>
        <w:t>Приоритеты и законодательная база</w:t>
      </w:r>
    </w:p>
    <w:p w:rsidR="00000000" w:rsidRDefault="00000000">
      <w:pPr>
        <w:rPr>
          <w:b/>
          <w:bCs/>
        </w:rPr>
      </w:pPr>
    </w:p>
    <w:p w:rsidR="00000000" w:rsidRDefault="00000000">
      <w:r>
        <w:t>626.</w:t>
      </w:r>
      <w:r>
        <w:tab/>
        <w:t>Что касается долгосрочных целей, которые должны быть достигнуты в рамках всеобъемлющей реформы системы образования, то в этой области должны быть предприняты следующие шаги:</w:t>
      </w:r>
    </w:p>
    <w:p w:rsidR="00000000" w:rsidRDefault="00000000"/>
    <w:p w:rsidR="00000000" w:rsidRDefault="00000000">
      <w:pPr>
        <w:numPr>
          <w:ilvl w:val="0"/>
          <w:numId w:val="71"/>
        </w:numPr>
      </w:pPr>
      <w:r>
        <w:t>осуществление уже принятого Рамочного закона о начальном, среднем и высшем образовании;</w:t>
      </w:r>
    </w:p>
    <w:p w:rsidR="00000000" w:rsidRDefault="00000000">
      <w:pPr>
        <w:ind w:left="1134" w:hanging="1134"/>
      </w:pPr>
    </w:p>
    <w:p w:rsidR="00000000" w:rsidRDefault="00000000">
      <w:pPr>
        <w:numPr>
          <w:ilvl w:val="0"/>
          <w:numId w:val="71"/>
        </w:numPr>
      </w:pPr>
      <w:r>
        <w:t>принятие Государственного закона о науке;</w:t>
      </w:r>
    </w:p>
    <w:p w:rsidR="00000000" w:rsidRDefault="00000000">
      <w:pPr>
        <w:ind w:left="1134" w:hanging="1134"/>
      </w:pPr>
    </w:p>
    <w:p w:rsidR="00000000" w:rsidRDefault="00000000">
      <w:pPr>
        <w:numPr>
          <w:ilvl w:val="0"/>
          <w:numId w:val="71"/>
        </w:numPr>
      </w:pPr>
      <w:r>
        <w:t>приведение действующих в Образованиях и кантонах законов об образовании в соответствие с Рамочным законом;</w:t>
      </w:r>
    </w:p>
    <w:p w:rsidR="00000000" w:rsidRDefault="00000000">
      <w:pPr>
        <w:ind w:left="1134" w:hanging="1134"/>
      </w:pPr>
    </w:p>
    <w:p w:rsidR="00000000" w:rsidRDefault="00000000">
      <w:pPr>
        <w:numPr>
          <w:ilvl w:val="0"/>
          <w:numId w:val="71"/>
        </w:numPr>
      </w:pPr>
      <w:r>
        <w:t>завершение принятия других дополнительных законов и подзаконных актов.</w:t>
      </w:r>
    </w:p>
    <w:p w:rsidR="00000000" w:rsidRDefault="00000000">
      <w:pPr>
        <w:ind w:left="1134" w:hanging="1134"/>
      </w:pPr>
    </w:p>
    <w:p w:rsidR="00000000" w:rsidRDefault="00000000">
      <w:pPr>
        <w:ind w:left="1134" w:hanging="1134"/>
        <w:jc w:val="center"/>
        <w:rPr>
          <w:b/>
          <w:bCs/>
        </w:rPr>
      </w:pPr>
      <w:r>
        <w:rPr>
          <w:b/>
          <w:bCs/>
        </w:rPr>
        <w:t>Статья 14</w:t>
      </w:r>
    </w:p>
    <w:p w:rsidR="00000000" w:rsidRDefault="00000000">
      <w:pPr>
        <w:ind w:left="1134" w:hanging="1134"/>
        <w:jc w:val="center"/>
        <w:rPr>
          <w:b/>
          <w:bCs/>
        </w:rPr>
      </w:pPr>
    </w:p>
    <w:p w:rsidR="00000000" w:rsidRDefault="00000000">
      <w:pPr>
        <w:ind w:left="1134" w:hanging="1134"/>
        <w:rPr>
          <w:b/>
          <w:bCs/>
        </w:rPr>
      </w:pPr>
      <w:r>
        <w:rPr>
          <w:b/>
          <w:bCs/>
        </w:rPr>
        <w:t>Обязательное и бесплатное начальное образование</w:t>
      </w:r>
    </w:p>
    <w:p w:rsidR="00000000" w:rsidRDefault="00000000">
      <w:pPr>
        <w:ind w:left="1134" w:hanging="1134"/>
        <w:rPr>
          <w:b/>
          <w:bCs/>
        </w:rPr>
      </w:pPr>
    </w:p>
    <w:p w:rsidR="00000000" w:rsidRDefault="00000000">
      <w:r>
        <w:t>627.</w:t>
      </w:r>
      <w:r>
        <w:tab/>
        <w:t>В Боснии и Герцеговине обязательное начальное школьное образование является бесплатным для всех учащихся дневного обучения, в то время как учащиеся без отрыва от работы, желающие завершить свое образование или изменить свою профессию, должны вносить плату в соответствии с действующим тарифом.</w:t>
      </w:r>
    </w:p>
    <w:p w:rsidR="00000000" w:rsidRDefault="00000000"/>
    <w:p w:rsidR="00000000" w:rsidRDefault="00000000">
      <w:r>
        <w:t>628.</w:t>
      </w:r>
      <w:r>
        <w:tab/>
        <w:t xml:space="preserve">Принятие Рамочного закона о начальном и среднем образовании в Боснии и Герцеговине и эффективное взаимодействие отраслевых министерств обоих Образований и Района Брчко при значительной поддержке со стороны международного сообщества способствовали постепенному устранению некоторых различий и трудностей.  </w:t>
      </w:r>
    </w:p>
    <w:p w:rsidR="00000000" w:rsidRDefault="00000000"/>
    <w:p w:rsidR="00000000" w:rsidRDefault="00000000">
      <w:pPr>
        <w:jc w:val="center"/>
        <w:rPr>
          <w:b/>
          <w:bCs/>
        </w:rPr>
      </w:pPr>
      <w:r>
        <w:rPr>
          <w:b/>
          <w:bCs/>
        </w:rPr>
        <w:t>Статья 15</w:t>
      </w:r>
    </w:p>
    <w:p w:rsidR="00000000" w:rsidRDefault="00000000">
      <w:pPr>
        <w:jc w:val="center"/>
        <w:rPr>
          <w:b/>
          <w:bCs/>
        </w:rPr>
      </w:pPr>
    </w:p>
    <w:p w:rsidR="00000000" w:rsidRDefault="00000000">
      <w:pPr>
        <w:rPr>
          <w:b/>
          <w:bCs/>
        </w:rPr>
      </w:pPr>
      <w:r>
        <w:rPr>
          <w:b/>
          <w:bCs/>
        </w:rPr>
        <w:t>Право на участие в культурной жизни и достижения в области культуры</w:t>
      </w:r>
    </w:p>
    <w:p w:rsidR="00000000" w:rsidRDefault="00000000">
      <w:pPr>
        <w:rPr>
          <w:b/>
          <w:bCs/>
        </w:rPr>
      </w:pPr>
    </w:p>
    <w:p w:rsidR="00000000" w:rsidRDefault="00000000">
      <w:r>
        <w:t>629.</w:t>
      </w:r>
      <w:r>
        <w:tab/>
        <w:t>Согласно Дейтонскому соглашению о мире вопросы культуры в Боснии и Герцеговине находятся под юрисдикцией Образований.  До принятия нового законодательства использовались и в некоторых случаях до сих пор используются старые законы бывшей Социалистической Федеративной Республики Югославии и Социалистической Республики Боснии и Герцеговины.  В Республике Сербской за последние 10 лет было принято несколько законодательных актов, некоторые из которых претерпели так много изменений (например, в отношении библиотечной и издательской деятельности), что было решено принять новые.  То же самое относится к большинству подзаконных актов в этой области.</w:t>
      </w:r>
    </w:p>
    <w:p w:rsidR="00000000" w:rsidRDefault="00000000"/>
    <w:p w:rsidR="00000000" w:rsidRDefault="00000000">
      <w:r>
        <w:t>630.</w:t>
      </w:r>
      <w:r>
        <w:tab/>
        <w:t>В Федерации Боснии и Герцеговины большинство кантонов до настоящего времени не приняли законодательство, несмотря на то, что по Дейтонскому соглашению о мире обязаны были сделать это.</w:t>
      </w:r>
    </w:p>
    <w:p w:rsidR="00000000" w:rsidRDefault="00000000"/>
    <w:p w:rsidR="00000000" w:rsidRDefault="00000000">
      <w:r>
        <w:t>631.</w:t>
      </w:r>
      <w:r>
        <w:tab/>
        <w:t>Кроме того, согласно Конституции Федерации Боснии и Герцеговины, в области культуры кантон может передавать свои обязательства входящим в его состав муниципалитетам, в которых большинство населения по этнической структуре не является населением, составляющим большинство в кантоне в целом.  Кантон может также передавать некоторые свои обязанности на уровень Федерации, если это будет способствовать их более эффективному и рациональному выполнению.  До настоящего времени ни один кантон не воспользовался этой возможностью, т.е. ни разу не было принято решение, согласно которому обязанности в области культуры были бы переданы либо некоторым муниципалитетам, либо Федерации.</w:t>
      </w:r>
    </w:p>
    <w:p w:rsidR="00000000" w:rsidRDefault="00000000"/>
    <w:p w:rsidR="00000000" w:rsidRDefault="00000000">
      <w:r>
        <w:t>632.</w:t>
      </w:r>
      <w:r>
        <w:tab/>
        <w:t xml:space="preserve">В результате в этой области действуют различные нормативно-правовые акты, которые отражают неравную реализацию прав работников культуры.  Наиболее очевидным примером является положение нештатных артистов, которые предпочли жить за счет своей артистической деятельности, т.е. не вступили в трудовые отношения, которые обеспечили бы им права, предусмотренные Законом о трудовых отношениях.  В некоторых кантонах нештатные творческие работники не пользуются социальным обеспечением и услугами системы здравоохранения, тогда как кантон Сараево в январе 2001 года принял Закон о нештатных творческих работниках и полностью определил их статус.  </w:t>
      </w:r>
    </w:p>
    <w:p w:rsidR="00000000" w:rsidRDefault="00000000"/>
    <w:p w:rsidR="00000000" w:rsidRDefault="00000000">
      <w:r>
        <w:t>633.</w:t>
      </w:r>
      <w:r>
        <w:tab/>
        <w:t xml:space="preserve">В целях реализации права каждого человека в Боснии и Герцеговине участвовать в культурной жизни и представлять свою собственную культуру Босния и Герцеговина стала членом Всемирной организации интеллектуальной собственности (ВОИС), подписав 1 марта 1992 года Конвенцию о создании Организации интеллектуальной собственности.  </w:t>
      </w:r>
    </w:p>
    <w:p w:rsidR="00000000" w:rsidRDefault="00000000"/>
    <w:p w:rsidR="00000000" w:rsidRDefault="00000000">
      <w:r>
        <w:t>634.</w:t>
      </w:r>
      <w:r>
        <w:tab/>
        <w:t xml:space="preserve">После подписания Дейтонского соглашения о мире в Боснии и Герцеговине исключительная ответственность за законодательство в области культуры была возложена на Республику Сербскую, которая воспользовалась этой возможностью и приняла соответствующие законы, хотя и не по всем аспектам.  Эта работа имеет чрезвычайно важное значение для судьбы культурных учреждений в Республике Сербской, поскольку существующие учреждения бывшей Республики Боснии и Герцеговины хотят стать "национальными", т.е. государственными учреждениями.  Федерация Боснии и Герцеговины не приняла ни одного законодательного акта в отношении культуры, и поэтому "продолжается осуществление старых законов".  В связи с отсутствием желания и, как представляется, необходимости заниматься законодательной деятельностью в этой области статус Боснии и Герцеговины в европейских и международных культурных ассоциациях является неопределенным.  Республика Сербская считает, что ее учреждения должны быть представлены в этих ассоциациях, однако это часто противоречит практике применения европейского законодательства, когда нормой является существование единого центрального национального учреждения, независимо от сложного государственного устройства какой-либо конкретной страны.  </w:t>
      </w:r>
    </w:p>
    <w:p w:rsidR="00000000" w:rsidRDefault="00000000"/>
    <w:p w:rsidR="00000000" w:rsidRDefault="00000000">
      <w:r>
        <w:t>635.</w:t>
      </w:r>
      <w:r>
        <w:tab/>
        <w:t>В Республике Сербской существуют следующие законы:  Закон о культурных ценностях, Закон о достижениях (</w:t>
      </w:r>
      <w:r>
        <w:rPr>
          <w:lang w:val="en-US"/>
        </w:rPr>
        <w:t>sic</w:t>
      </w:r>
      <w:r>
        <w:t>), Закон о библиотеках, Закон о музеях, Закон об издательской деятельности и Закон о театрах.  Еще должны быть приняты следующие законы:  Закон о статусе творческих работников, Закон об индустрии развлечений и артистах и Закон о кинопроизводстве.</w:t>
      </w:r>
    </w:p>
    <w:p w:rsidR="00000000" w:rsidRDefault="00000000"/>
    <w:p w:rsidR="00000000" w:rsidRDefault="00000000">
      <w:r>
        <w:t>636.</w:t>
      </w:r>
      <w:r>
        <w:tab/>
        <w:t xml:space="preserve">Необходимо, чтобы в Республике Сербской выполнялись так называемые всеобъемлющие законы, т.е. законы на уровне Боснии и Герцеговины, такие, как Закон об авторском праве.  Это один из двух законов, которые должны соблюдаться на европейском уровне.  Другим законом является Закон о средствах массовой информации.  Проблема с авторскими правами заключается не в законе как таковом, а в его уважении и осуществлении.  В Республике Сербской не было принято никаких мер для борьбы с пиратством и обеспечения уважения интеллектуальной собственности.  </w:t>
      </w:r>
    </w:p>
    <w:p w:rsidR="00000000" w:rsidRDefault="00000000"/>
    <w:p w:rsidR="00000000" w:rsidRDefault="00000000">
      <w:r>
        <w:t>637.</w:t>
      </w:r>
      <w:r>
        <w:tab/>
        <w:t xml:space="preserve">Весьма важно, чтобы министерство образования и культуры активно участвовало во всех дискуссиях, связанных с законодательством, которое может также применяться к области культуры, таким, как законодательство, касающееся политики в области комплексного налогообложения.  </w:t>
      </w:r>
    </w:p>
    <w:p w:rsidR="00000000" w:rsidRDefault="00000000"/>
    <w:p w:rsidR="00000000" w:rsidRDefault="00000000">
      <w:r>
        <w:t>638.</w:t>
      </w:r>
      <w:r>
        <w:tab/>
        <w:t xml:space="preserve">Для управления сферой культурного законодательства необходимо сформировать группу юристов, которая должна состоять из существующих юристов из учреждений культуры и юристов министерства.  Эта группа должна рассмотреть действующее законодательство и привести его в соответствие с европейским законодательством, поскольку, вообще говоря, оно является слишком обширным и в значительной степени устаревшим.  </w:t>
      </w:r>
    </w:p>
    <w:p w:rsidR="00000000" w:rsidRDefault="00000000"/>
    <w:p w:rsidR="00000000" w:rsidRDefault="00000000">
      <w:r>
        <w:t>639.</w:t>
      </w:r>
      <w:r>
        <w:tab/>
        <w:t>Статут и законы Района Брчко соответствуют положениям Конституции и законов Боснии и Герцеговины (Конституционность и законность, статья 41 Статута Района Брчко).  За период 2000</w:t>
      </w:r>
      <w:r>
        <w:noBreakHyphen/>
        <w:t xml:space="preserve">2003 годов скупщина Района Брчко приняла в общей сложности 74 закона, однако в области культуры не было принято ни одного закона.  </w:t>
      </w:r>
    </w:p>
    <w:p w:rsidR="00000000" w:rsidRDefault="00000000"/>
    <w:p w:rsidR="00000000" w:rsidRDefault="00000000">
      <w:r>
        <w:t>640.</w:t>
      </w:r>
      <w:r>
        <w:tab/>
        <w:t xml:space="preserve">Подотдел спорта и культуры (отдела здравоохранения, общественной безопасности и других услуг) правительства Района Брчко осуществляет функции и обладает полномочиями в области культуры.  Еще в 2002 году этот подотдел предложил своей группе юристов разработать закон о культурных ценностях в Районе Брчко.  Этот закон до сих пор не разработан, поскольку он не вошел в число первоочередных законов.  </w:t>
      </w:r>
    </w:p>
    <w:p w:rsidR="00000000" w:rsidRDefault="00000000"/>
    <w:p w:rsidR="00000000" w:rsidRDefault="00000000">
      <w:r>
        <w:t>641.</w:t>
      </w:r>
      <w:r>
        <w:tab/>
        <w:t xml:space="preserve">В Районе Брчко не проведен обзор действующего законодательства в области культуры.  Все учреждения культуры в Районе Брчко находятся в ведении подотдела спорта и культуры (Дом культуры, галерея, библиотека) и финансируются из бюджета, утверждаемого скупщиной на основе годового плана и доклада, представляемого подотделом.  </w:t>
      </w:r>
    </w:p>
    <w:p w:rsidR="00000000" w:rsidRDefault="00000000"/>
    <w:p w:rsidR="00000000" w:rsidRDefault="00000000">
      <w:r>
        <w:t>642.</w:t>
      </w:r>
      <w:r>
        <w:tab/>
        <w:t>Неправительственные культурные организации (национальные культурные ассоциации и общества, имеющие культурные программы) также частично финансируются из бюджета подотдела, который выдает субсидии некоммерческим организациям.  При выполнении годового плана подотдела учитывалось то обстоятельство, что все граждане Района Брчко обладают правом участвовать в культурной жизни и что в равной мере должны быть представлены:</w:t>
      </w:r>
    </w:p>
    <w:p w:rsidR="00000000" w:rsidRDefault="00000000"/>
    <w:p w:rsidR="00000000" w:rsidRDefault="00000000">
      <w:pPr>
        <w:numPr>
          <w:ilvl w:val="0"/>
          <w:numId w:val="73"/>
        </w:numPr>
      </w:pPr>
      <w:r>
        <w:t>алфавиты (латиница или кириллица);</w:t>
      </w:r>
    </w:p>
    <w:p w:rsidR="00000000" w:rsidRDefault="00000000">
      <w:pPr>
        <w:ind w:left="1134" w:hanging="567"/>
      </w:pPr>
    </w:p>
    <w:p w:rsidR="00000000" w:rsidRDefault="00000000">
      <w:pPr>
        <w:numPr>
          <w:ilvl w:val="0"/>
          <w:numId w:val="73"/>
        </w:numPr>
      </w:pPr>
      <w:r>
        <w:t>языки (сербский, хорватский, боснийский);</w:t>
      </w:r>
    </w:p>
    <w:p w:rsidR="00000000" w:rsidRDefault="00000000">
      <w:pPr>
        <w:ind w:left="1134" w:hanging="567"/>
      </w:pPr>
    </w:p>
    <w:p w:rsidR="00000000" w:rsidRDefault="00000000">
      <w:pPr>
        <w:numPr>
          <w:ilvl w:val="0"/>
          <w:numId w:val="73"/>
        </w:numPr>
      </w:pPr>
      <w:r>
        <w:t>этническая самобытность (свободное представление своей собственной культуры и традиций своего народа в той мере, в какой сами носители культуры считают это необходимым);</w:t>
      </w:r>
    </w:p>
    <w:p w:rsidR="00000000" w:rsidRDefault="00000000">
      <w:pPr>
        <w:ind w:left="1134" w:hanging="567"/>
      </w:pPr>
    </w:p>
    <w:p w:rsidR="00000000" w:rsidRDefault="00000000">
      <w:pPr>
        <w:numPr>
          <w:ilvl w:val="0"/>
          <w:numId w:val="73"/>
        </w:numPr>
      </w:pPr>
      <w:r>
        <w:t>религиозная идентичность (свободное публичное отправление религиозных обрядов, празднование религиозных праздников и осуществление культурных программ религиозного содержания).</w:t>
      </w:r>
    </w:p>
    <w:p w:rsidR="00000000" w:rsidRDefault="00000000">
      <w:pPr>
        <w:ind w:left="1134" w:hanging="567"/>
      </w:pPr>
    </w:p>
    <w:p w:rsidR="00000000" w:rsidRDefault="00000000">
      <w:r>
        <w:t>Кроме того, все граждане имеют право участвовать в совместных многоэтнических программах.</w:t>
      </w:r>
    </w:p>
    <w:p w:rsidR="00000000" w:rsidRDefault="00000000"/>
    <w:p w:rsidR="00000000" w:rsidRDefault="00000000">
      <w:pPr>
        <w:rPr>
          <w:b/>
          <w:bCs/>
        </w:rPr>
      </w:pPr>
      <w:r>
        <w:rPr>
          <w:b/>
          <w:bCs/>
        </w:rPr>
        <w:t>Финансирование культуры и культурной деятельности</w:t>
      </w:r>
    </w:p>
    <w:p w:rsidR="00000000" w:rsidRDefault="00000000">
      <w:pPr>
        <w:rPr>
          <w:b/>
          <w:bCs/>
        </w:rPr>
      </w:pPr>
    </w:p>
    <w:p w:rsidR="00000000" w:rsidRDefault="00000000">
      <w:r>
        <w:t>643.</w:t>
      </w:r>
      <w:r>
        <w:tab/>
        <w:t>Ежегодно правительства Образований составляют бюджеты на нужды культуры, средства которых распределяются между учреждениями культуры и проектами в области культуры в соответствии с установленными критериями.  Правительство Боснии и Герцеговины приняло решение о принятии программы по расходованию средств, включающей критерии их распределения, предусмотренной бюджетом Федерации Боснии и Герцеговины в отношении бюджетных расходов в 2003 году министерства культуры и спорта Федерации (</w:t>
      </w:r>
      <w:r>
        <w:rPr>
          <w:i/>
          <w:iCs/>
        </w:rPr>
        <w:t>Правительственный бюллетень Федерации Боснии и Герцеговины</w:t>
      </w:r>
      <w:r>
        <w:t>, № 13/03).  Это открыло для учреждений культуры возможность обращаться за средствами на осуществление различных культурных мероприятий, в которых участвует значительное число работников культуры.  При распределении бюджетных средств особое внимание уделяется деятельности национальных культурных обществ, так что членам и сторонникам этих обществ предоставляется возможность сохранять свою культурную самобытность и собственную культуру.</w:t>
      </w:r>
    </w:p>
    <w:p w:rsidR="00000000" w:rsidRDefault="00000000"/>
    <w:p w:rsidR="00000000" w:rsidRDefault="00000000">
      <w:r>
        <w:t>644.</w:t>
      </w:r>
      <w:r>
        <w:tab/>
        <w:t xml:space="preserve">Кроме того, в области культуры созданы фонды, которые поощряют расширение различной культурной деятельности и обеспечивают наличие средств для поддержки развития культуры и участия каждого человека в этом процессе.  Так, правительство Боснии и Герцеговины, исходя из реальных параметров культурного потенциала, инициировало и предоставило начальные средства на деятельность фондов и обеспечило законодательную базу (Закон о фондах, </w:t>
      </w:r>
      <w:r>
        <w:rPr>
          <w:i/>
          <w:iCs/>
        </w:rPr>
        <w:t>Правительственный бюллетень Федерации Боснии и Герцеговины</w:t>
      </w:r>
      <w:r>
        <w:t>, № 16/98) для регистрации Фонда кинематографии в Сараево (</w:t>
      </w:r>
      <w:r>
        <w:rPr>
          <w:i/>
          <w:iCs/>
        </w:rPr>
        <w:t>Правительственный бюллетень Федерации Боснии и Герцеговины</w:t>
      </w:r>
      <w:r>
        <w:t>, № 2/99, 55/02 и 23/03) и Фонда издательской деятельности (</w:t>
      </w:r>
      <w:r>
        <w:rPr>
          <w:i/>
          <w:iCs/>
        </w:rPr>
        <w:t>Правительственный бюллетень Федерации Боснии и Герцеговины</w:t>
      </w:r>
      <w:r>
        <w:t>, № 53/00 и 43/03).</w:t>
      </w:r>
    </w:p>
    <w:p w:rsidR="00000000" w:rsidRDefault="00000000"/>
    <w:p w:rsidR="00000000" w:rsidRDefault="00000000">
      <w:r>
        <w:t>645.</w:t>
      </w:r>
      <w:r>
        <w:tab/>
        <w:t>Фонды являются независимыми организациями, зарегистрированными в качестве таковых в государственном регистре министерства юстиции Федерации.  Фондами управляют независимые советы директоров, в состав которых входят выдающиеся деятели культуры.  Предполагается, что фонды должны поддерживать развитие соответствующих направлений культурной деятельности и в то же время снимать бремя принятия решений с государственных структур.  Закон о фондах был принят на уровне Боснии и Герцеговины (</w:t>
      </w:r>
      <w:r>
        <w:rPr>
          <w:i/>
          <w:iCs/>
        </w:rPr>
        <w:t>Правительственный бюллетень Боснии и Герцеговины</w:t>
      </w:r>
      <w:r>
        <w:t>, № 32/01).</w:t>
      </w:r>
    </w:p>
    <w:p w:rsidR="00000000" w:rsidRDefault="00000000"/>
    <w:p w:rsidR="00000000" w:rsidRDefault="00000000">
      <w:r>
        <w:t>646.</w:t>
      </w:r>
      <w:r>
        <w:tab/>
        <w:t>Каждая страна обеспечивает финансовую поддержку профессиональных ассоциаций творческих работников и через эти ассоциации помогает им решать вопросы, связанные с их статусом, главным образом с размещением их студий или мастерских, социальным и пенсионным страхованием.  Эта область требует срочного урегулирования.  Ни одна страна с экономикой переходного периода не учреждала профессиональные ассоциации своих граждан, не предусмотрев оказание определенной финансовой помощи, и это </w:t>
      </w:r>
      <w:r>
        <w:noBreakHyphen/>
        <w:t xml:space="preserve"> та основа, без которой невозможно существование учреждений культуры.  Кроме того, люди свободных профессий сами по себе являются учреждениями.  Вот почему необходимо дать определение этой области деятельности в специальном законе о правах и обязанностях независимых творческих работников, который прежде всего регламентировал бы стимулы к творческой деятельности и, согласно областям художественного творчества, ее осуществление в рамках профессиональной ассоциации в целях обеспечения общих интересов.</w:t>
      </w:r>
    </w:p>
    <w:p w:rsidR="00000000" w:rsidRDefault="00000000"/>
    <w:p w:rsidR="00000000" w:rsidRDefault="00000000">
      <w:r>
        <w:t>647.</w:t>
      </w:r>
      <w:r>
        <w:tab/>
        <w:t>Как и в случае учреждений культуры, профессиональные институты в довоенный период организовывались республиками или на региональном уровне.  Это предопределило трудный путь создания республиканских ассоциаций профессиональных творческих и связанных с ними работников.  Не игнорируя региональный аспект, который является основой любой авторитетной организации в Республике Сербской, необходимо оживить работу по удовлетворению потребностей нынешних ассоциаций (писателей, художников, актеров, библиотечных работников) в Республике Сербской и создать ассоциацию работников в области музыкальной и исполнительской деятельности, а также ассоциацию литературных переводчиков.</w:t>
      </w:r>
    </w:p>
    <w:p w:rsidR="00000000" w:rsidRDefault="00000000"/>
    <w:p w:rsidR="00000000" w:rsidRDefault="00000000">
      <w:r>
        <w:t>648.</w:t>
      </w:r>
      <w:r>
        <w:tab/>
        <w:t>Фонды на поддержку развития культуры в Районе Брчко являются скромными, недостаточными и несоразмерными по сравнению с другими существующими фондами (например, экономическими и социальными фондами) и с общим бюджетом Района Брчко.  Фонды на развитие культуры в Районе Брчко не получают постоянного притока денежных средств из</w:t>
      </w:r>
      <w:r>
        <w:noBreakHyphen/>
        <w:t xml:space="preserve">за несовершенства системы координации с возможными донорами или спонсорами.  Поэтому, несмотря на то что вышеупомянутые средства подотдела спорта и культуры являются государственными и доступными для всех, кто представляет обоснованный проект, за их счет не представляется возможным финансировать развитие культуры, а можно лишь поддерживать ее нынешний статус. </w:t>
      </w:r>
    </w:p>
    <w:p w:rsidR="00000000" w:rsidRDefault="00000000"/>
    <w:p w:rsidR="00000000" w:rsidRDefault="00000000">
      <w:r>
        <w:t>649.</w:t>
      </w:r>
      <w:r>
        <w:tab/>
        <w:t>Трудности, с которыми сталкиваются пользователи, а также сотрудники фондов, можно преодолеть путем:</w:t>
      </w:r>
    </w:p>
    <w:p w:rsidR="00000000" w:rsidRDefault="00000000"/>
    <w:p w:rsidR="00000000" w:rsidRDefault="00000000">
      <w:pPr>
        <w:numPr>
          <w:ilvl w:val="0"/>
          <w:numId w:val="60"/>
        </w:numPr>
        <w:tabs>
          <w:tab w:val="clear" w:pos="1701"/>
        </w:tabs>
        <w:ind w:left="1122" w:hanging="561"/>
      </w:pPr>
      <w:r>
        <w:t>упрощения нынешней медленной, сложной и неотрегулированной процедуры определения потребностей и являющегося ее результатом неэффективного порядка рассмотрения заявок граждан и организаций;</w:t>
      </w:r>
    </w:p>
    <w:p w:rsidR="00000000" w:rsidRDefault="00000000"/>
    <w:p w:rsidR="00000000" w:rsidRDefault="00000000">
      <w:pPr>
        <w:numPr>
          <w:ilvl w:val="0"/>
          <w:numId w:val="60"/>
        </w:numPr>
        <w:tabs>
          <w:tab w:val="clear" w:pos="1701"/>
        </w:tabs>
        <w:ind w:left="1122" w:hanging="561"/>
      </w:pPr>
      <w:r>
        <w:t>реорганизации текущей работы работников культуры (предоставление учреждениям культуры автономии и более широких полномочий, а также возможности работать по собственным планам и иметь собственные бюджеты);</w:t>
      </w:r>
    </w:p>
    <w:p w:rsidR="00000000" w:rsidRDefault="00000000">
      <w:pPr>
        <w:tabs>
          <w:tab w:val="clear" w:pos="2268"/>
        </w:tabs>
      </w:pPr>
    </w:p>
    <w:p w:rsidR="00000000" w:rsidRDefault="00000000">
      <w:pPr>
        <w:numPr>
          <w:ilvl w:val="0"/>
          <w:numId w:val="60"/>
        </w:numPr>
        <w:tabs>
          <w:tab w:val="clear" w:pos="1701"/>
          <w:tab w:val="left" w:pos="2244"/>
        </w:tabs>
        <w:ind w:left="1122" w:hanging="561"/>
      </w:pPr>
      <w:r>
        <w:t>предоставления экспертных услуг и найма профессиональных консультантов по различным вопросам в области культуры;</w:t>
      </w:r>
    </w:p>
    <w:p w:rsidR="00000000" w:rsidRDefault="00000000">
      <w:pPr>
        <w:tabs>
          <w:tab w:val="clear" w:pos="2268"/>
          <w:tab w:val="left" w:pos="2244"/>
        </w:tabs>
      </w:pPr>
    </w:p>
    <w:p w:rsidR="00000000" w:rsidRDefault="00000000">
      <w:pPr>
        <w:numPr>
          <w:ilvl w:val="0"/>
          <w:numId w:val="60"/>
        </w:numPr>
        <w:tabs>
          <w:tab w:val="clear" w:pos="1701"/>
          <w:tab w:val="left" w:pos="2244"/>
        </w:tabs>
        <w:ind w:left="1122" w:hanging="561"/>
      </w:pPr>
      <w:r>
        <w:t>отделения средств, выделенных на спорт, от средств, выделенных на культуру;</w:t>
      </w:r>
    </w:p>
    <w:p w:rsidR="00000000" w:rsidRDefault="00000000">
      <w:pPr>
        <w:tabs>
          <w:tab w:val="clear" w:pos="2268"/>
          <w:tab w:val="left" w:pos="2244"/>
        </w:tabs>
      </w:pPr>
    </w:p>
    <w:p w:rsidR="00000000" w:rsidRDefault="00000000">
      <w:pPr>
        <w:numPr>
          <w:ilvl w:val="0"/>
          <w:numId w:val="60"/>
        </w:numPr>
        <w:tabs>
          <w:tab w:val="clear" w:pos="1701"/>
        </w:tabs>
        <w:ind w:left="1122" w:hanging="561"/>
      </w:pPr>
      <w:r>
        <w:t>четкого определения в законодательстве культурных ценностей и потребностей для обеспечения их сохранения.</w:t>
      </w:r>
    </w:p>
    <w:p w:rsidR="00000000" w:rsidRDefault="00000000">
      <w:pPr>
        <w:tabs>
          <w:tab w:val="clear" w:pos="2268"/>
        </w:tabs>
      </w:pPr>
    </w:p>
    <w:p w:rsidR="00000000" w:rsidRDefault="00000000">
      <w:pPr>
        <w:rPr>
          <w:b/>
          <w:bCs/>
        </w:rPr>
      </w:pPr>
      <w:r>
        <w:rPr>
          <w:b/>
          <w:bCs/>
        </w:rPr>
        <w:t>Право на интеллектуальную собственность</w:t>
      </w:r>
    </w:p>
    <w:p w:rsidR="00000000" w:rsidRDefault="00000000">
      <w:pPr>
        <w:rPr>
          <w:b/>
          <w:bCs/>
        </w:rPr>
      </w:pPr>
    </w:p>
    <w:p w:rsidR="00000000" w:rsidRDefault="00000000">
      <w:r>
        <w:t>650.</w:t>
      </w:r>
      <w:r>
        <w:tab/>
        <w:t>В Боснии и Герцеговине в области интеллектуальной собственности действуют следующие законы, позволяющие любому гражданину реализовать права на интеллектуальную собственность:</w:t>
      </w:r>
    </w:p>
    <w:p w:rsidR="00000000" w:rsidRDefault="00000000"/>
    <w:p w:rsidR="00000000" w:rsidRDefault="00000000">
      <w:r>
        <w:tab/>
        <w:t>а)</w:t>
      </w:r>
      <w:r>
        <w:tab/>
        <w:t>национальные законы:</w:t>
      </w:r>
    </w:p>
    <w:p w:rsidR="00000000" w:rsidRDefault="00000000"/>
    <w:p w:rsidR="00000000" w:rsidRDefault="00000000">
      <w:pPr>
        <w:numPr>
          <w:ilvl w:val="0"/>
          <w:numId w:val="61"/>
        </w:numPr>
        <w:tabs>
          <w:tab w:val="clear" w:pos="1134"/>
        </w:tabs>
      </w:pPr>
      <w:r>
        <w:t>Закон о промышленной собственности в Боснии и Герцеговине (</w:t>
      </w:r>
      <w:r>
        <w:rPr>
          <w:i/>
          <w:iCs/>
        </w:rPr>
        <w:t xml:space="preserve">Правительственный бюллетень Боснии и Герцеговины, </w:t>
      </w:r>
      <w:r>
        <w:t>№ 03/02);</w:t>
      </w:r>
    </w:p>
    <w:p w:rsidR="00000000" w:rsidRDefault="00000000">
      <w:pPr>
        <w:tabs>
          <w:tab w:val="clear" w:pos="1701"/>
        </w:tabs>
        <w:ind w:left="567"/>
      </w:pPr>
    </w:p>
    <w:p w:rsidR="00000000" w:rsidRDefault="00000000">
      <w:pPr>
        <w:numPr>
          <w:ilvl w:val="0"/>
          <w:numId w:val="61"/>
        </w:numPr>
        <w:tabs>
          <w:tab w:val="clear" w:pos="1134"/>
        </w:tabs>
      </w:pPr>
      <w:r>
        <w:t>Закон об авторском праве и связанных с ним правах в Боснии и Герцеговине (</w:t>
      </w:r>
      <w:r>
        <w:rPr>
          <w:i/>
          <w:iCs/>
        </w:rPr>
        <w:t xml:space="preserve">Правительственный бюллетень Боснии и Герцеговины, </w:t>
      </w:r>
      <w:r>
        <w:t>№ 07/02</w:t>
      </w:r>
      <w:r>
        <w:rPr>
          <w:i/>
          <w:iCs/>
        </w:rPr>
        <w:t>);</w:t>
      </w:r>
    </w:p>
    <w:p w:rsidR="00000000" w:rsidRDefault="00000000">
      <w:pPr>
        <w:tabs>
          <w:tab w:val="clear" w:pos="1701"/>
        </w:tabs>
        <w:ind w:left="567"/>
      </w:pPr>
    </w:p>
    <w:p w:rsidR="00000000" w:rsidRDefault="00000000">
      <w:r>
        <w:tab/>
      </w:r>
      <w:r>
        <w:rPr>
          <w:lang w:val="en-US"/>
        </w:rPr>
        <w:t>b</w:t>
      </w:r>
      <w:r>
        <w:t>)</w:t>
      </w:r>
      <w:r>
        <w:tab/>
        <w:t>международные конвенции и соглашения:</w:t>
      </w:r>
    </w:p>
    <w:p w:rsidR="00000000" w:rsidRDefault="00000000"/>
    <w:p w:rsidR="00000000" w:rsidRDefault="00000000">
      <w:pPr>
        <w:numPr>
          <w:ilvl w:val="0"/>
          <w:numId w:val="61"/>
        </w:numPr>
        <w:tabs>
          <w:tab w:val="clear" w:pos="1134"/>
        </w:tabs>
      </w:pPr>
      <w:r>
        <w:t>Парижская конвенция об охране промышленной собственности (Босния и Герцеговина присоединилась 1 марта 1992 года);</w:t>
      </w:r>
    </w:p>
    <w:p w:rsidR="00000000" w:rsidRDefault="00000000">
      <w:pPr>
        <w:tabs>
          <w:tab w:val="clear" w:pos="2268"/>
        </w:tabs>
        <w:ind w:left="555"/>
      </w:pPr>
    </w:p>
    <w:p w:rsidR="00000000" w:rsidRDefault="00000000">
      <w:pPr>
        <w:numPr>
          <w:ilvl w:val="0"/>
          <w:numId w:val="61"/>
        </w:numPr>
        <w:tabs>
          <w:tab w:val="clear" w:pos="1134"/>
        </w:tabs>
      </w:pPr>
      <w:r>
        <w:t>Мадридское соглашение о международной регистрации знаков (Босния и Герцеговина присоединилась 1 марта 1992 года);</w:t>
      </w:r>
    </w:p>
    <w:p w:rsidR="00000000" w:rsidRDefault="00000000">
      <w:pPr>
        <w:tabs>
          <w:tab w:val="clear" w:pos="2268"/>
        </w:tabs>
        <w:ind w:left="555"/>
      </w:pPr>
    </w:p>
    <w:p w:rsidR="00000000" w:rsidRDefault="00000000">
      <w:pPr>
        <w:numPr>
          <w:ilvl w:val="0"/>
          <w:numId w:val="61"/>
        </w:numPr>
        <w:tabs>
          <w:tab w:val="clear" w:pos="1134"/>
        </w:tabs>
      </w:pPr>
      <w:r>
        <w:t>Ниццкое соглашение о международной классификации товаров и услуг для регистрации знаков (Босния и Герцеговина присоединилась 1 марта 1992 года);</w:t>
      </w:r>
    </w:p>
    <w:p w:rsidR="00000000" w:rsidRDefault="00000000">
      <w:pPr>
        <w:tabs>
          <w:tab w:val="clear" w:pos="2268"/>
        </w:tabs>
        <w:ind w:left="555"/>
      </w:pPr>
    </w:p>
    <w:p w:rsidR="00000000" w:rsidRDefault="00000000">
      <w:pPr>
        <w:numPr>
          <w:ilvl w:val="0"/>
          <w:numId w:val="61"/>
        </w:numPr>
        <w:tabs>
          <w:tab w:val="clear" w:pos="1134"/>
        </w:tabs>
      </w:pPr>
      <w:r>
        <w:t>Локарнское соглашение об учреждении Международной классификации промышленных образцов (Босния и Герцеговина присоединилась 1 марта 1992 года);</w:t>
      </w:r>
    </w:p>
    <w:p w:rsidR="00000000" w:rsidRDefault="00000000">
      <w:pPr>
        <w:tabs>
          <w:tab w:val="clear" w:pos="2268"/>
        </w:tabs>
        <w:ind w:left="555"/>
      </w:pPr>
    </w:p>
    <w:p w:rsidR="00000000" w:rsidRDefault="00000000">
      <w:pPr>
        <w:numPr>
          <w:ilvl w:val="0"/>
          <w:numId w:val="61"/>
        </w:numPr>
        <w:tabs>
          <w:tab w:val="clear" w:pos="1134"/>
        </w:tabs>
      </w:pPr>
      <w:r>
        <w:t>Договор о сотрудничестве в области патентного права (ПЛТ) (Босния и Герцеговина присоединилась 7 сентября 1996 года);</w:t>
      </w:r>
    </w:p>
    <w:p w:rsidR="00000000" w:rsidRDefault="00000000">
      <w:pPr>
        <w:tabs>
          <w:tab w:val="clear" w:pos="2268"/>
        </w:tabs>
        <w:ind w:left="555"/>
      </w:pPr>
    </w:p>
    <w:p w:rsidR="00000000" w:rsidRDefault="00000000">
      <w:pPr>
        <w:numPr>
          <w:ilvl w:val="0"/>
          <w:numId w:val="61"/>
        </w:numPr>
        <w:tabs>
          <w:tab w:val="clear" w:pos="1134"/>
        </w:tabs>
      </w:pPr>
      <w:r>
        <w:t>Бернская конвенция об охране литературных и художественных произведений (Босния и Герцеговина присоединилась 1 марта 1992 года);</w:t>
      </w:r>
    </w:p>
    <w:p w:rsidR="00000000" w:rsidRDefault="00000000">
      <w:pPr>
        <w:tabs>
          <w:tab w:val="clear" w:pos="2268"/>
        </w:tabs>
        <w:ind w:left="555"/>
      </w:pPr>
    </w:p>
    <w:p w:rsidR="00000000" w:rsidRDefault="00000000">
      <w:pPr>
        <w:numPr>
          <w:ilvl w:val="0"/>
          <w:numId w:val="61"/>
        </w:numPr>
        <w:tabs>
          <w:tab w:val="clear" w:pos="1134"/>
        </w:tabs>
      </w:pPr>
      <w:r>
        <w:t>Брюссельская конвенция о распространении несущих программы сигналов, передаваемых через спутники (Босния и Герцеговина присоединилась 6 марта 1992 года).</w:t>
      </w:r>
    </w:p>
    <w:p w:rsidR="00000000" w:rsidRDefault="00000000">
      <w:pPr>
        <w:tabs>
          <w:tab w:val="clear" w:pos="2268"/>
        </w:tabs>
        <w:ind w:left="555"/>
      </w:pPr>
    </w:p>
    <w:p w:rsidR="00000000" w:rsidRDefault="00000000">
      <w:pPr>
        <w:tabs>
          <w:tab w:val="clear" w:pos="2268"/>
        </w:tabs>
      </w:pPr>
      <w:r>
        <w:t>651.</w:t>
      </w:r>
      <w:r>
        <w:tab/>
        <w:t>Для Боснии и Герцеговины законы об интеллектуальной собственности являются новыми законами в новой области, принятыми лишь несколько лет тому назад.  Поэтому они в принципе согласуются с решениями, предусмотренными национальным законодательством и национальными законами других стран Европейского союза в области интеллектуальной собственности.  Законодательство в этой области является надежной основой для защиты моральных и материальных прав авторов и исполнителей во всех сферах интеллектуальной собственности как в Боснии и Герцеговине, так и за границей, поскольку оно гармонизировано с Парижской конвенцией и Соглашением по коммерческим аспектам прав на интеллектуальную собственность (ТРИПС).</w:t>
      </w:r>
    </w:p>
    <w:p w:rsidR="00000000" w:rsidRDefault="00000000">
      <w:pPr>
        <w:tabs>
          <w:tab w:val="clear" w:pos="2268"/>
        </w:tabs>
      </w:pPr>
    </w:p>
    <w:p w:rsidR="00000000" w:rsidRDefault="00000000">
      <w:pPr>
        <w:tabs>
          <w:tab w:val="clear" w:pos="2268"/>
        </w:tabs>
      </w:pPr>
      <w:r>
        <w:t>652.</w:t>
      </w:r>
      <w:r>
        <w:tab/>
        <w:t xml:space="preserve">В Районе Брчко нет ни одного закона в области науки и научно-исследовательской деятельности.  Существующие магистры и доктора наук не получают никакой прибавки к жалованью, связанной с их профессиональной подготовкой, и не имеют никаких преимуществ при поиске работы в Районе Брчко.  Им не к кому обращаться по поводу возможных научно-исследовательских проектов.  Профессиональный рост не стимулируется - после получения работником научной степени он/она не может автоматически получить другую должность.  Магистр искусств и магистр наук, работая в области образования и культуры получают такую же заработную плату, что и другой работник с университетским образованием, и их ученые степени не афишируются, поскольку по условиям открытого конкурса они наняты на должности, предусмотренные действующей классификацией должностей, и не существует никаких дополнительных законодательных положений, регулирующих права специалистов такого уровня.  </w:t>
      </w:r>
    </w:p>
    <w:p w:rsidR="00000000" w:rsidRDefault="00000000">
      <w:pPr>
        <w:tabs>
          <w:tab w:val="clear" w:pos="2268"/>
        </w:tabs>
      </w:pPr>
    </w:p>
    <w:p w:rsidR="00000000" w:rsidRDefault="00000000">
      <w:pPr>
        <w:tabs>
          <w:tab w:val="clear" w:pos="2268"/>
        </w:tabs>
      </w:pPr>
      <w:r>
        <w:t>653.</w:t>
      </w:r>
      <w:r>
        <w:tab/>
        <w:t>Например, зарплата доктора наук на факультете экономики в Районе Брчко (Университет в Бане-Луке) является такой же, что и зарплата уборщиц, работающих в администрации Района Брчко.  Существуют планы создания отдела высшего образования в правительстве Района Брчко, однако этот процесс пока еще не начат.  Имеется распоряжение градоначальника, согласно которому любое лицо может обратиться в правительство за финансовой помощью в размере 5 000 КМ для написания докторской диссертации.  Это свидетельствует о том, что правящим структурам известно о настоятельной необходимости изменить существующее положение.</w:t>
      </w:r>
    </w:p>
    <w:p w:rsidR="00000000" w:rsidRDefault="00000000">
      <w:pPr>
        <w:tabs>
          <w:tab w:val="clear" w:pos="2268"/>
        </w:tabs>
      </w:pPr>
    </w:p>
    <w:p w:rsidR="00000000" w:rsidRDefault="00000000">
      <w:pPr>
        <w:tabs>
          <w:tab w:val="clear" w:pos="2268"/>
        </w:tabs>
      </w:pPr>
      <w:r>
        <w:t>654.</w:t>
      </w:r>
      <w:r>
        <w:tab/>
        <w:t>Участие ученых из Района Брчко в международных курсах является лишь эпизодическим и в большей степени - результатом личной инициативы, личных связей с научными институтами и умения наиболее энергичных представителей находиться в контакте с научными кругами, когда представляется возможность принять соответствующее решение.</w:t>
      </w:r>
    </w:p>
    <w:p w:rsidR="00000000" w:rsidRDefault="00000000">
      <w:pPr>
        <w:tabs>
          <w:tab w:val="clear" w:pos="2268"/>
        </w:tabs>
      </w:pPr>
    </w:p>
    <w:p w:rsidR="00000000" w:rsidRDefault="00000000">
      <w:pPr>
        <w:tabs>
          <w:tab w:val="clear" w:pos="2268"/>
        </w:tabs>
      </w:pPr>
      <w:r>
        <w:t>655.</w:t>
      </w:r>
      <w:r>
        <w:tab/>
        <w:t>Охрана природного наследия человечества может быть также обеспечена путем принятия Закона о культурных ценностях, который, помимо материальных и духовных ценностей, охватывает природные культурные ценности (редкие виды растений и животных и их естественная среда, конкретные этногеографические районы, природные территории, исторические природные памятники и т.д.).  С учетом того что эти ценности не имеют четкого определения, возможно толкование и применение других принятых законов (например, Закона о материально-техническом планировании) в ущерб природному наследию, ценность которого не может быть установлена в должное время.</w:t>
      </w:r>
    </w:p>
    <w:p w:rsidR="00000000" w:rsidRDefault="00000000">
      <w:pPr>
        <w:tabs>
          <w:tab w:val="clear" w:pos="2268"/>
        </w:tabs>
      </w:pPr>
    </w:p>
    <w:p w:rsidR="00000000" w:rsidRDefault="00000000">
      <w:pPr>
        <w:tabs>
          <w:tab w:val="clear" w:pos="2268"/>
        </w:tabs>
      </w:pPr>
      <w:r>
        <w:t>656.</w:t>
      </w:r>
      <w:r>
        <w:tab/>
        <w:t>До создания Района Брчко существовала археологическая и этнологическая коллекция, находящаяся в Культурном центре в Брчко, где собирались эксперты, которые архивировали, обрабатывали, представляли и распространяли информацию как о научных достижениях, так и о наследии людей на этой территории.  Хотя подотдел спорта и культуры запрашивал во всех своих бюджетных предложениях средства на реконструкцию этого небольшого музея, ограничение по</w:t>
      </w:r>
      <w:r>
        <w:noBreakHyphen/>
        <w:t>прежнему сохраняется и не позволяет учредить новые должности, предусмотренные общими парламентскими решениями или рекомендациями куратора.</w:t>
      </w:r>
    </w:p>
    <w:p w:rsidR="00000000" w:rsidRDefault="00000000">
      <w:pPr>
        <w:tabs>
          <w:tab w:val="clear" w:pos="2268"/>
        </w:tabs>
      </w:pPr>
    </w:p>
    <w:p w:rsidR="00000000" w:rsidRDefault="00000000">
      <w:r>
        <w:t>657.</w:t>
      </w:r>
      <w:r>
        <w:tab/>
        <w:t>Работа подобного учреждения расширила бы осуществление действующих на уровне Боснии и Герцеговины и отсутствующих в Районе Брчко законов, таких, как:  Закон об учреждениях культуры, Закон о музеях, Закон об архивах, Закон о компенсации и использовании произведений нештатных авторов, Закон об условиях публикации личных архивов, портретов, фотографий, фильмов и фонограмм, Закон о предоставлении гарантий в отношении иностранных выставок произведений особой культурной или художественной ценности, Закон об авторских правах, Закон об охране и использовании культурного, исторического и национального наследия, Закон о финансировании потребностей и интересов общества в области культуры и Закон о регистрации научного, культурного, образовательного и технического сотрудничества с иностранными государствами.</w:t>
      </w:r>
    </w:p>
    <w:p w:rsidR="00000000" w:rsidRDefault="00000000"/>
    <w:p w:rsidR="00000000" w:rsidRDefault="00000000">
      <w:r>
        <w:t>658.</w:t>
      </w:r>
      <w:r>
        <w:tab/>
        <w:t>Закон о защите прав интеллектуальной собственности, регулируя права интеллектуальной собственности, обеспечивает их владельцам моральные и материальные права.  Эти моральные и материальные права включают право владельца интеллектуальной собственности быть признанным и обозначенным в качестве автора произведения, творения или изобретения и право владельца возражать против любого искажения или изменения произведения, творения или изобретения, которое может нанести ущерб его чести или достоинству.  Моральные права не подлежат передаче и не ограничиваются во времени.</w:t>
      </w:r>
    </w:p>
    <w:p w:rsidR="00000000" w:rsidRDefault="00000000"/>
    <w:p w:rsidR="00000000" w:rsidRDefault="00000000">
      <w:r>
        <w:t>659.</w:t>
      </w:r>
      <w:r>
        <w:tab/>
        <w:t>Материальное право является правом владельца интеллектуальной собственности использовать свое произведение, и это право реализуется путем публикации, копирования, распространения, передачи или каким-либо другим соответствующим образом.  Это право подлежит передаче полностью или частично и ограничивается во времени.  Передача подобного права осуществляется с помощью авторского договора, составленного в письменном виде.</w:t>
      </w:r>
    </w:p>
    <w:p w:rsidR="00000000" w:rsidRDefault="00000000"/>
    <w:p w:rsidR="00000000" w:rsidRDefault="00000000">
      <w:pPr>
        <w:rPr>
          <w:b/>
          <w:bCs/>
        </w:rPr>
      </w:pPr>
      <w:r>
        <w:rPr>
          <w:b/>
          <w:bCs/>
        </w:rPr>
        <w:t>Механизмы осуществления законодательства и регулирования защиты прав интеллектуальной собственности</w:t>
      </w:r>
    </w:p>
    <w:p w:rsidR="00000000" w:rsidRDefault="00000000">
      <w:pPr>
        <w:rPr>
          <w:b/>
          <w:bCs/>
        </w:rPr>
      </w:pPr>
    </w:p>
    <w:p w:rsidR="00000000" w:rsidRDefault="00000000">
      <w:r>
        <w:t>660.</w:t>
      </w:r>
      <w:r>
        <w:tab/>
        <w:t>Управление интеллектуальной собственности Боснии и Герцеговины при Институте стандартов и интеллектуальной собственности занимается оформлением прав интеллектуальной собственности на основании установленных административных процедур.  В связи с Законом об учреждении Института стандартов, мер и интеллектуальной собственности существует план вывода этого управления из Института и создания до конца 2003 года в соответствии с общей практикой других стран отдельного института интеллектуальной собственности Боснии и Герцеговины как независимого государственного административного учреждения.  Механизмами, используемыми для осуществления законодательства в области защиты прав интеллектуальной собственности, являются Суд Боснии и Герцеговины (занимается мерами, принимаемыми таможенной администрацией и службами) и Управление интеллектуальной собственности Боснии и Герцеговины (занимается административными спорами и процедурами, инспекциями, уголовными процессами и штрафными санкциями).</w:t>
      </w:r>
    </w:p>
    <w:p w:rsidR="00000000" w:rsidRDefault="00000000"/>
    <w:p w:rsidR="00000000" w:rsidRDefault="00000000">
      <w:pPr>
        <w:keepNext/>
      </w:pPr>
      <w:r>
        <w:t>661.</w:t>
      </w:r>
      <w:r>
        <w:tab/>
        <w:t>Проблемы, связанные с защитой интеллектуальной собственности в Боснии и Герцеговине:</w:t>
      </w:r>
    </w:p>
    <w:p w:rsidR="00000000" w:rsidRDefault="00000000">
      <w:pPr>
        <w:keepNext/>
      </w:pPr>
    </w:p>
    <w:p w:rsidR="00000000" w:rsidRDefault="00000000">
      <w:pPr>
        <w:numPr>
          <w:ilvl w:val="0"/>
          <w:numId w:val="63"/>
        </w:numPr>
        <w:tabs>
          <w:tab w:val="clear" w:pos="1701"/>
        </w:tabs>
      </w:pPr>
      <w:r>
        <w:t>медленные темпы осуществления законов, принятых в области интеллектуальной собственности (особенно в области авторского права и связанных с ним прав, где происходят массовые нарушения прав и не принимаются надлежащие меры для предотвращения и исправления подобного положения);</w:t>
      </w:r>
    </w:p>
    <w:p w:rsidR="00000000" w:rsidRDefault="00000000">
      <w:pPr>
        <w:tabs>
          <w:tab w:val="clear" w:pos="1134"/>
        </w:tabs>
      </w:pPr>
    </w:p>
    <w:p w:rsidR="00000000" w:rsidRDefault="00000000">
      <w:pPr>
        <w:numPr>
          <w:ilvl w:val="0"/>
          <w:numId w:val="63"/>
        </w:numPr>
        <w:tabs>
          <w:tab w:val="clear" w:pos="1701"/>
        </w:tabs>
      </w:pPr>
      <w:r>
        <w:t>неудовлетворительная координация между механизмами, используемыми для осуществления законов, такими, как Управление интеллектуальной собственности Боснии и Герцеговины, ответственные суды, таможенные администрации, инспекционные службы, отраслевые министерства, такие, как, например, министерство внешней торговли и экономических отношений, министерство иностранных дел и министерство внутренних дел, министерство торговли и туризма, министерство финансов и министерство юстиции, приватизационные органы и органы по созданию малых и средних предприятий;</w:t>
      </w:r>
    </w:p>
    <w:p w:rsidR="00000000" w:rsidRDefault="00000000">
      <w:pPr>
        <w:tabs>
          <w:tab w:val="clear" w:pos="1134"/>
        </w:tabs>
      </w:pPr>
    </w:p>
    <w:p w:rsidR="00000000" w:rsidRDefault="00000000">
      <w:pPr>
        <w:numPr>
          <w:ilvl w:val="0"/>
          <w:numId w:val="63"/>
        </w:numPr>
        <w:tabs>
          <w:tab w:val="clear" w:pos="1701"/>
        </w:tabs>
      </w:pPr>
      <w:r>
        <w:t>недостаточная специализации и низкая эффективность судебной системы, которая является "камнем преткновения" в цепи мер по борьбе с нарушениями прав интеллектуальной собственности и пиратством;</w:t>
      </w:r>
    </w:p>
    <w:p w:rsidR="00000000" w:rsidRDefault="00000000">
      <w:pPr>
        <w:tabs>
          <w:tab w:val="clear" w:pos="1134"/>
        </w:tabs>
      </w:pPr>
    </w:p>
    <w:p w:rsidR="00000000" w:rsidRDefault="00000000">
      <w:pPr>
        <w:numPr>
          <w:ilvl w:val="0"/>
          <w:numId w:val="63"/>
        </w:numPr>
        <w:tabs>
          <w:tab w:val="clear" w:pos="1701"/>
        </w:tabs>
      </w:pPr>
      <w:r>
        <w:t>недостаточная активность ответственных организаций (Управление интеллектуальной собственности Боснии и Герцеговины) в отношении постоянного просвещения населения относительно условий, значения и порядка приобретения прав интеллектуальной собственности;</w:t>
      </w:r>
    </w:p>
    <w:p w:rsidR="00000000" w:rsidRDefault="00000000">
      <w:pPr>
        <w:tabs>
          <w:tab w:val="clear" w:pos="1134"/>
        </w:tabs>
      </w:pPr>
    </w:p>
    <w:p w:rsidR="00000000" w:rsidRDefault="00000000">
      <w:pPr>
        <w:numPr>
          <w:ilvl w:val="0"/>
          <w:numId w:val="63"/>
        </w:numPr>
        <w:tabs>
          <w:tab w:val="clear" w:pos="1701"/>
        </w:tabs>
      </w:pPr>
      <w:r>
        <w:t>неудовлетворительный обмен информацией по вопросам интеллектуальной собственности между внутренней структурой правительства, соответствующими министерствами и неправительственной организацией;</w:t>
      </w:r>
    </w:p>
    <w:p w:rsidR="00000000" w:rsidRDefault="00000000">
      <w:pPr>
        <w:tabs>
          <w:tab w:val="clear" w:pos="1134"/>
        </w:tabs>
      </w:pPr>
    </w:p>
    <w:p w:rsidR="00000000" w:rsidRDefault="00000000">
      <w:pPr>
        <w:numPr>
          <w:ilvl w:val="0"/>
          <w:numId w:val="63"/>
        </w:numPr>
        <w:tabs>
          <w:tab w:val="clear" w:pos="1701"/>
        </w:tabs>
      </w:pPr>
      <w:r>
        <w:t>крайне малое количество имеющих соответствующую специализацию кадров в Управлении интеллектуальной собственности, среди судей и авторитетных свидетелей;</w:t>
      </w:r>
    </w:p>
    <w:p w:rsidR="00000000" w:rsidRDefault="00000000">
      <w:pPr>
        <w:tabs>
          <w:tab w:val="clear" w:pos="1134"/>
        </w:tabs>
      </w:pPr>
    </w:p>
    <w:p w:rsidR="00000000" w:rsidRDefault="00000000">
      <w:pPr>
        <w:numPr>
          <w:ilvl w:val="0"/>
          <w:numId w:val="63"/>
        </w:numPr>
        <w:tabs>
          <w:tab w:val="clear" w:pos="1701"/>
        </w:tabs>
      </w:pPr>
      <w:r>
        <w:t>сложность обеспечения контроля за нарушением прав интеллектуальной собственности в связи со специфической структурной организацией Боснии и Герцеговины как страны.</w:t>
      </w:r>
    </w:p>
    <w:p w:rsidR="00000000" w:rsidRDefault="00000000">
      <w:pPr>
        <w:tabs>
          <w:tab w:val="clear" w:pos="1134"/>
        </w:tabs>
      </w:pPr>
    </w:p>
    <w:p w:rsidR="00000000" w:rsidRDefault="00000000">
      <w:pPr>
        <w:rPr>
          <w:b/>
          <w:bCs/>
        </w:rPr>
      </w:pPr>
      <w:r>
        <w:rPr>
          <w:b/>
          <w:bCs/>
        </w:rPr>
        <w:t>Организация культурной деятельности в Республике Сербской</w:t>
      </w:r>
    </w:p>
    <w:p w:rsidR="00000000" w:rsidRDefault="00000000">
      <w:pPr>
        <w:rPr>
          <w:b/>
          <w:bCs/>
        </w:rPr>
      </w:pPr>
    </w:p>
    <w:p w:rsidR="00000000" w:rsidRDefault="00000000">
      <w:r>
        <w:t>662.</w:t>
      </w:r>
      <w:r>
        <w:tab/>
        <w:t>В Республике Сербской не существует отраслевой ассоциации, которая выполняла бы роль единого органа по организации музыкально-сценической деятельности.  Поэтому необходимо создать такую ассоциацию для содействия активизации деятельности профессионалов и артистов в соответствующей области.  Подтверждая профессиональные критерии и обеспечивая условия для высоких творческих достижений, ассоциация артистов могла бы способствовать созданию собственной профессиональной продукции, что повысило бы авторитет творческих работников Республики Сербской в отстаивании своих позиций в целом.</w:t>
      </w:r>
    </w:p>
    <w:p w:rsidR="00000000" w:rsidRDefault="00000000"/>
    <w:p w:rsidR="00000000" w:rsidRDefault="00000000">
      <w:r>
        <w:t>663.</w:t>
      </w:r>
      <w:r>
        <w:tab/>
        <w:t>Официально учрежденное общество театральных творческих работников не сыграло сколь-либо значительной роли в Республике Сербской;  в рамках общества не было поднято ни одного важного вопроса, касающегося индивидуального статуса творческих работников, постановок и литературного наследия, так что фактически оно существует только на бумаге.  Ожидается, что активизация его деятельности произойдет с появлением нового поколения творческих работников, заканчивающих Академию искусств.</w:t>
      </w:r>
    </w:p>
    <w:p w:rsidR="00000000" w:rsidRDefault="00000000"/>
    <w:p w:rsidR="00000000" w:rsidRDefault="00000000">
      <w:r>
        <w:t>664.</w:t>
      </w:r>
      <w:r>
        <w:tab/>
        <w:t>В Районе Брчко отсутствует систематическое применение законов, обеспечивающих защиту моральных и материальных интересов лиц, связанных с их собственными научными, литературными или художественными произведениями.  Физические и юридические лица не знают о значении, придаваемом понятию интеллектуальной собственности, и до настоящего времени ни внутренними структурами, ни отраслевыми министерствами, ни НПО в этом отношении не было предпринято никаких инициатив.</w:t>
      </w:r>
    </w:p>
    <w:p w:rsidR="00000000" w:rsidRDefault="00000000"/>
    <w:p w:rsidR="00000000" w:rsidRDefault="00000000">
      <w:r>
        <w:t>665.</w:t>
      </w:r>
      <w:r>
        <w:tab/>
        <w:t>В отношении активизации и совершенствования политики в области культуры правительство Района Брчко предприняло следующие меры:  скупщина приняла Закон об ассоциациях и фондах (2002 год), действие которого распространяется также на культурные ассоциации;  оно финансировало восстановление разоренных деревенских клубов и создание новых (например, для рома);  оно финансировало и организовало крупномасштабные культурные проекты, аналогичные Международному поселку художников, Театральному фестивалю Боснии и Герцеговины, Дням духовной музыки, Выставке работ городских и сельских самодеятельных ремесленников;  оно возместило расходы по перерегистрации культурных ассоциаций;  оно оказывает материальную поддержку в приобретении оборудования и участвует в финансировании заграничных поездок представителей сельских культурных ассоциаций;  оно участвует в финансировании выпуска печатной продукции и в производстве рекламных материалов, связанных с культурными мероприятиями;  по запросу оно оказывает поддержку отдельным лицам (художникам, литераторам).  В рамках соответствующих программ правительство поддерживает самостоятельное творчество путем обеспечения консультаций, инструкций и рекомендаций.</w:t>
      </w:r>
    </w:p>
    <w:p w:rsidR="00000000" w:rsidRDefault="00000000"/>
    <w:p w:rsidR="00000000" w:rsidRDefault="00000000">
      <w:r>
        <w:t>666.</w:t>
      </w:r>
      <w:r>
        <w:tab/>
        <w:t>Однако потребности пользователей становятся более сложными, а количество соответствующих специалистов в подотделе спорта и культуры и их компетенция и потенциал продолжают стагнировать.  Для того чтобы подотдел отвечал существующим условиям и требованиям, необходимо провести законодательные и организационные изменения и усовершенствовать его деятельность.</w:t>
      </w:r>
    </w:p>
    <w:p w:rsidR="00000000" w:rsidRDefault="00000000"/>
    <w:p w:rsidR="00000000" w:rsidRDefault="00000000">
      <w:r>
        <w:t>667.</w:t>
      </w:r>
      <w:r>
        <w:tab/>
        <w:t>Ассоциация библиотекарей Республики Сербской была создана 10 октября 1987 года в Вишеграде, где она традиционно проводит свои ежегодные встречи и где находится ее штаб-квартира.  В ассоциации есть президент, вице-президент и администрация.  Основными задачами этой ассоциации являются следующие:</w:t>
      </w:r>
    </w:p>
    <w:p w:rsidR="00000000" w:rsidRDefault="00000000"/>
    <w:p w:rsidR="00000000" w:rsidRDefault="00000000">
      <w:pPr>
        <w:numPr>
          <w:ilvl w:val="0"/>
          <w:numId w:val="64"/>
        </w:numPr>
      </w:pPr>
      <w:r>
        <w:t>работать над повышением статуса библиотечного дела;</w:t>
      </w:r>
    </w:p>
    <w:p w:rsidR="00000000" w:rsidRDefault="00000000">
      <w:pPr>
        <w:tabs>
          <w:tab w:val="clear" w:pos="1134"/>
        </w:tabs>
      </w:pPr>
    </w:p>
    <w:p w:rsidR="00000000" w:rsidRDefault="00000000">
      <w:pPr>
        <w:numPr>
          <w:ilvl w:val="0"/>
          <w:numId w:val="64"/>
        </w:numPr>
      </w:pPr>
      <w:r>
        <w:t>содействовать развитию и оказывать поддержку библиотечному делу;</w:t>
      </w:r>
    </w:p>
    <w:p w:rsidR="00000000" w:rsidRDefault="00000000">
      <w:pPr>
        <w:tabs>
          <w:tab w:val="clear" w:pos="1134"/>
        </w:tabs>
      </w:pPr>
    </w:p>
    <w:p w:rsidR="00000000" w:rsidRDefault="00000000">
      <w:pPr>
        <w:numPr>
          <w:ilvl w:val="0"/>
          <w:numId w:val="64"/>
        </w:numPr>
      </w:pPr>
      <w:r>
        <w:t>рассматривать профессиональные вопросы, представляющие интерес с точки зрения работы библиотек;</w:t>
      </w:r>
    </w:p>
    <w:p w:rsidR="00000000" w:rsidRDefault="00000000">
      <w:pPr>
        <w:tabs>
          <w:tab w:val="clear" w:pos="1134"/>
        </w:tabs>
      </w:pPr>
    </w:p>
    <w:p w:rsidR="00000000" w:rsidRDefault="00000000">
      <w:pPr>
        <w:numPr>
          <w:ilvl w:val="0"/>
          <w:numId w:val="64"/>
        </w:numPr>
      </w:pPr>
      <w:r>
        <w:t>поощрять профессиональную и научную деятельность библиотекарей;</w:t>
      </w:r>
    </w:p>
    <w:p w:rsidR="00000000" w:rsidRDefault="00000000">
      <w:pPr>
        <w:tabs>
          <w:tab w:val="clear" w:pos="1134"/>
        </w:tabs>
      </w:pPr>
    </w:p>
    <w:p w:rsidR="00000000" w:rsidRDefault="00000000">
      <w:pPr>
        <w:numPr>
          <w:ilvl w:val="0"/>
          <w:numId w:val="64"/>
        </w:numPr>
      </w:pPr>
      <w:r>
        <w:t>приобретать знания и обмениваться мнениями по текущим вопросам теории библиотечного дела в стране и за рубежом.</w:t>
      </w:r>
    </w:p>
    <w:p w:rsidR="00000000" w:rsidRDefault="00000000">
      <w:pPr>
        <w:tabs>
          <w:tab w:val="clear" w:pos="1134"/>
        </w:tabs>
      </w:pPr>
    </w:p>
    <w:p w:rsidR="00000000" w:rsidRDefault="00000000">
      <w:r>
        <w:t>668.</w:t>
      </w:r>
      <w:r>
        <w:tab/>
        <w:t>Ассоциация библиотекарей Республики Сербской награждает ежегодными премиями им. Дорде Пеяновича за вклад в развитие библиотечного дела в Республике Сербской как библиотеки, так и отдельных лиц.  Эта ассоциация должна вскоре стать членом Международной библиотечной ассоциации.</w:t>
      </w:r>
    </w:p>
    <w:p w:rsidR="00000000" w:rsidRDefault="00000000"/>
    <w:p w:rsidR="00000000" w:rsidRDefault="00000000">
      <w:r>
        <w:t>669.</w:t>
      </w:r>
      <w:r>
        <w:tab/>
        <w:t xml:space="preserve">26 октября 2000 года в Бане-Луке состоялось учредительное собрание Ассоциации архивариусов Республики Сербской.  Это собрание утвердило устав и программные цели и задачи, избрало совет директоров и президента Ассоциации.  Программные цели Ассоциации изложены в программе деятельности Архива Республики Сербской.  </w:t>
      </w:r>
      <w:r>
        <w:rPr>
          <w:i/>
          <w:iCs/>
        </w:rPr>
        <w:t>Бюллетень</w:t>
      </w:r>
      <w:r>
        <w:t xml:space="preserve"> Ассоциации архивариусов Республики Сербской является профессиональным органом Ассоциации, однако пока еще не выпущено ни одного номера.  </w:t>
      </w:r>
    </w:p>
    <w:p w:rsidR="00000000" w:rsidRDefault="00000000"/>
    <w:p w:rsidR="00000000" w:rsidRDefault="00000000">
      <w:r>
        <w:t>670.</w:t>
      </w:r>
      <w:r>
        <w:tab/>
        <w:t>Культурная деятельность в Федерации Боснии и Герцеговины вносит большой вклад в укрепление ценностей демократического общества, способствуя налаживанию сотрудничества между различными частями гражданского общества и его институтами, а также формированию общественного мнения относительно истинных ценностей в области культуры и искусства и их создателей.  В результате налаживания связей между различными культурными, образовательными и информационными институтами создаются условия для укрепления открытого и демократического общества - общества, узнаваемого по межкультурному диалогу, при котором уважаются различия, новые критерии ценностей и подход к обеспечению образования с помощью мероприятий международного характера.</w:t>
      </w:r>
    </w:p>
    <w:p w:rsidR="00000000" w:rsidRDefault="00000000"/>
    <w:p w:rsidR="00000000" w:rsidRDefault="00000000">
      <w:r>
        <w:t>671.</w:t>
      </w:r>
      <w:r>
        <w:tab/>
        <w:t xml:space="preserve">В Федерации Боснии и Герцеговины существует целый ряд известных фестивалей и мероприятий, которые получили признание творческого сообщества, публики и населения.  Таковыми являются следующие мероприятия международного значения:  Театральный фестиваль </w:t>
      </w:r>
      <w:r>
        <w:rPr>
          <w:lang w:val="en-US"/>
        </w:rPr>
        <w:t>ME</w:t>
      </w:r>
      <w:r>
        <w:t>СС, Фестиваль "Сараевская зима", Сараевский кинофестиваль и проект "Арс Аеви".  Эти фестивали, мероприятия и проекты подтверждают статус артистов и творческих работников из Боснии и Герцеговины в мире, позволяют публике получить новую информацию о достижениях в области искусства, а также способствуют укреплению культуры как одной из основных ценностей любого демократического общества.  Программы осуществляются во всех областях культуры в рамках сотрудничества с учреждениями культуры в стране и за рубежом, а также путем активного участия во многих мероприятиях по совместному производству.  Особая ценность этих программ заключается в том, что они дают молодым артистам возможность заявить о себе и принять активное участие в культурных событиях, наладить контакты и дружеские отношения, а также приобрести новые знания и опыт.</w:t>
      </w:r>
    </w:p>
    <w:p w:rsidR="00000000" w:rsidRDefault="00000000"/>
    <w:p w:rsidR="00000000" w:rsidRDefault="00000000">
      <w:r>
        <w:t>672.</w:t>
      </w:r>
      <w:r>
        <w:tab/>
        <w:t>Международный театральный фестиваль МЕСС является фестивалем с 43</w:t>
      </w:r>
      <w:r>
        <w:noBreakHyphen/>
        <w:t xml:space="preserve">летней традицией.  Концепция фестиваля включает обзор самых последних событий и тенденций в театральном искусстве страны и мира.  Помимо театральных представлений организуются также дополнительные программы, такие, как выставки, концерты, "круглые столы" и т.д., с целью подтверждения значимости фестиваля, как это делается во время большинства престижных международных фестивалей подобного рода.  Например, в 2003 году в фестивале участвовали 14 постановок из 12 стран.  Эти спектакли были поставлены в театрах Сараево и Зеницы и прошли при полном аншлаге.  За фестивалем наблюдали более 200 местных и иностранных журналистов, и приблизительно такое же количество гостей приняли участие в различных фестивальных мероприятиях.  </w:t>
      </w:r>
    </w:p>
    <w:p w:rsidR="00000000" w:rsidRDefault="00000000"/>
    <w:p w:rsidR="00000000" w:rsidRDefault="00000000">
      <w:r>
        <w:t>673.</w:t>
      </w:r>
      <w:r>
        <w:tab/>
        <w:t xml:space="preserve">Международный фестиваль "Сараевская зима" является традиционной встречей отечественных и зарубежных артистов.  В течение 20 лет своего существования этот фестиваль объединяет артистов и гостей всего мира.  Его программы осуществляются во всех крупных городах Боснии и Герцеговины.  За 45 дней фестиваля представляется более 90 программ с участием более 1 400 человек из 30 стран.  Ежегодно за этими программами следят около 35 400 зрителей и гостей и более 120 аккредитованных журналистов из 60 средств массовой информации.  Программа фестиваля включает студийные и театральные представления, музыкальные, литературные, кино-, видео- и телевизионные программы и конференции на различные темы, такие, как "Миф Европы", "Космос как инфраструктура нашего будущего" и т.д.  Некоторые программы посвящены молодежи и проводятся в виде конкурса студенческих работ и других мероприятий.  Молодежные программы этого фестиваля являются составной частью Биеннале молодежи Европы.  </w:t>
      </w:r>
    </w:p>
    <w:p w:rsidR="00000000" w:rsidRDefault="00000000"/>
    <w:p w:rsidR="00000000" w:rsidRDefault="00000000">
      <w:r>
        <w:t>674.</w:t>
      </w:r>
      <w:r>
        <w:tab/>
        <w:t xml:space="preserve">Сараевский кинофестиваль является самым престижным фестивалем в Боснии и Герцеговине.  Благодаря своим программам он завоевал высокую репутацию среди подобного рода фестивалей в Европе.  В его программу входят рекламные ролики, лучшие художественные и документальные фильмы международных кинофестивалей, программы регионального производства, видеопроекты и детские программы, включая самую последнюю нашумевшую продукцию.  В рамках этого фестиваля организуются некоторые дополнительные мероприятия, такие, как практикумы и семинары для кинокритиков, например, по цифровой технологии, документальному кино и т.д.  </w:t>
      </w:r>
    </w:p>
    <w:p w:rsidR="00000000" w:rsidRDefault="00000000"/>
    <w:p w:rsidR="00000000" w:rsidRDefault="00000000">
      <w:r>
        <w:t>675.</w:t>
      </w:r>
      <w:r>
        <w:tab/>
        <w:t xml:space="preserve">На протяжении девяти лет существования Сараевский кинофестиваль ежегодно посещают более 75 000 зрителей.  Кинолюбители имеют возможность посмотреть приблизительно 130 фильмов и видеороликов из Боснии и Герцеговины и около 36 других стран.  Ежегодно за фестивалем наблюдают около 230 гостей и 200 представителей средств массовой информации.  </w:t>
      </w:r>
    </w:p>
    <w:p w:rsidR="00000000" w:rsidRDefault="00000000"/>
    <w:p w:rsidR="00000000" w:rsidRDefault="00000000">
      <w:r>
        <w:t>676.</w:t>
      </w:r>
      <w:r>
        <w:tab/>
        <w:t>Проект "</w:t>
      </w:r>
      <w:r>
        <w:rPr>
          <w:lang w:val="en-US"/>
        </w:rPr>
        <w:t>A</w:t>
      </w:r>
      <w:r>
        <w:t>рс Аеви" является наиболее важным международным проектом в области современного искусства в Европе и в мире.  За 10 лет своего существования этот сараевский проект превратился в особую форму международного сотрудничества творческих и культурных учреждений, администраций городов и регионов, творческих работников и интеллектуалов Европы и остального мира.  Цель этого проекта заключается в сооружении в Сараево комплекса архитектурных городских достопримечательностей, спроектированных большинством известных архитекторов нашего времени, где наиболее известные из живущих художников и музеи современного искусства могли бы создать коллекцию для будущего музея "</w:t>
      </w:r>
      <w:r>
        <w:rPr>
          <w:lang w:val="en-US"/>
        </w:rPr>
        <w:t>A</w:t>
      </w:r>
      <w:r>
        <w:t>рс Аеви" в Сараево.</w:t>
      </w:r>
    </w:p>
    <w:p w:rsidR="00000000" w:rsidRDefault="00000000"/>
    <w:p w:rsidR="00000000" w:rsidRDefault="00000000">
      <w:r>
        <w:t>677.</w:t>
      </w:r>
      <w:r>
        <w:tab/>
        <w:t xml:space="preserve">На данный момент эта коллекция включает более 100 произведений искусства и превращается в единственное в своем роде мероприятие, которое основано на энтузиазме художников, директоров известных европейских музеев, мэров городов и широкого круга интеллектуалов, способствующих утверждению и реализации этой идеи.  В рамках данного проекта проводятся многокультурные семинары, курсы музееведения, выставки и презентации архитектурных проектов, просветительские программы, практикумы и т.д.  </w:t>
      </w:r>
    </w:p>
    <w:p w:rsidR="00000000" w:rsidRDefault="00000000"/>
    <w:p w:rsidR="00000000" w:rsidRDefault="00000000">
      <w:r>
        <w:t>678.</w:t>
      </w:r>
      <w:r>
        <w:tab/>
        <w:t xml:space="preserve">При рассмотрении издательской деятельности в Республике Сербской за основу было взято производство за последние два года, зарегистрированное Агентством </w:t>
      </w:r>
      <w:r>
        <w:rPr>
          <w:lang w:val="en-US"/>
        </w:rPr>
        <w:t>ISBN</w:t>
      </w:r>
      <w:r>
        <w:t xml:space="preserve"> Республики Сербской, Национальной и университетской библиотекой, где по состоянию на 31 декабря 2002 года были зарегистрированы 102 издательства.  Издательством, которое обеспечило самый большой объем производства за это время, был "Институт учебников и учебных пособий" Республики Сербской в Сараево, который издал 141 название.  За ним следуют "Задужбина Петар Кочич", Баня-Лука </w:t>
      </w:r>
      <w:r>
        <w:noBreakHyphen/>
        <w:t xml:space="preserve"> Белград, с 34 названиями, "Графомарк", Лакташи, с 24 названиями и "Глас српски", Баня-Лука, и "Беседа", Баня-Лука, с 20 новыми названиями.  Всего в Республике Сербской была издана 441 книга.  </w:t>
      </w:r>
    </w:p>
    <w:p w:rsidR="00000000" w:rsidRDefault="00000000"/>
    <w:p w:rsidR="00000000" w:rsidRDefault="00000000">
      <w:r>
        <w:t>679.</w:t>
      </w:r>
      <w:r>
        <w:tab/>
        <w:t xml:space="preserve">По состоянию на 30 сентября 2003 года ситуация в Агентстве </w:t>
      </w:r>
      <w:r>
        <w:rPr>
          <w:lang w:val="en-US"/>
        </w:rPr>
        <w:t>ISBN</w:t>
      </w:r>
      <w:r>
        <w:t xml:space="preserve"> была следующей:  </w:t>
      </w:r>
    </w:p>
    <w:p w:rsidR="00000000" w:rsidRDefault="00000000"/>
    <w:p w:rsidR="00000000" w:rsidRDefault="00000000">
      <w:pPr>
        <w:ind w:left="567"/>
      </w:pPr>
      <w:r>
        <w:t>всего зарегистрировано 142 издательства.  Наиболее продуктивным по</w:t>
      </w:r>
      <w:r>
        <w:noBreakHyphen/>
        <w:t>прежнему является "Институт учебников и учебных пособий" с выпущенными в 2003 году 174 названиями;  "Беседа" выпустила 28 и "Глас српски" </w:t>
      </w:r>
      <w:r>
        <w:noBreakHyphen/>
        <w:t xml:space="preserve"> 19 названий.  За ними следуют факультет философии в Бане-Луке с 15 новыми названиями, "Задужбина Петар Кочич" с 11 названиями и "Графомарк" с 10 названиями.  </w:t>
      </w:r>
    </w:p>
    <w:p w:rsidR="00000000" w:rsidRDefault="00000000"/>
    <w:p w:rsidR="00000000" w:rsidRDefault="00000000">
      <w:r>
        <w:t>680.</w:t>
      </w:r>
      <w:r>
        <w:tab/>
        <w:t>До настоящего времени в Республике Сербской издано 463 книги, что является значительным количеством, если к тому же учесть, что до конца этого года будет выпущено около 20 новых книг.  Однако положение в издательской деятельности в Республике Сербской нельзя назвать полностью удовлетворительным.</w:t>
      </w:r>
    </w:p>
    <w:p w:rsidR="00000000" w:rsidRDefault="00000000"/>
    <w:p w:rsidR="00000000" w:rsidRDefault="00000000">
      <w:r>
        <w:t>681.</w:t>
      </w:r>
      <w:r>
        <w:tab/>
        <w:t>"Институт учебников и учебных пособий" можно считать наилучшей организацией, правовой статус, роль и задачи которой определены надлежащим образом и которая решила вопрос финансирования своей издательской деятельности наиболее рациональным образом.  В число принадлежащих государству компаний, участвующих в этой деятельности, входят:  "Глас српски" и "Книжевна задруга" из Баня</w:t>
      </w:r>
      <w:r>
        <w:noBreakHyphen/>
        <w:t xml:space="preserve">Луки, а также "Ослободене", Сербское Сараево.  За счет бюджета финансируется только предприятие "Книжевна задруга", в то время как другие издательства получают скромное финансирование лишь от случая к случаю и в связи с конкретными названиями.  Книгоиздательским делом занимаются также:  "Беседа", "Задужбина Петар Кочич", "Книжевна заедница Васо Пелагич", "Арт-принт", "Градиф", Национальная и университетская библиотека Республики Сербской, Ассоциация людей, страдающих от дистрофии, Ассоциация сербских писателей - отделение в Баня-Луке, "Медиа-Прелом", город Баня-Лука (библиотека "Баштина"), "Слово", "Бина" и некоторые другие более мелкие издательства из </w:t>
      </w:r>
      <w:proofErr w:type="spellStart"/>
      <w:r>
        <w:t>Баня-Луки</w:t>
      </w:r>
      <w:proofErr w:type="spellEnd"/>
      <w:r>
        <w:t>, затем "Графомарк" из Лакташи, "Книжевна заедница Йован Дучич" из Требине, отделение Ассоциации сербских писателей из Сараево, Общество сербской культуры и искусства "Просвета" (штаб-квартиры и муниципальные советы в Тесличе, Биелине, Градишке, Билече, Гацко, Котор-Вароше и в других местах) и университеты в сербском Сараево и Баня-Луке и их отдельные факультеты.  Список издательств этим не исчерпывается, однако перечень тех, кто в полной мере отвечает всем необходимым требованиям и издает лишь ценные с художественной, научной и общественной точки зрения произведения, является гораздо более коротким.</w:t>
      </w:r>
    </w:p>
    <w:p w:rsidR="00000000" w:rsidRDefault="00000000"/>
    <w:p w:rsidR="00000000" w:rsidRDefault="00000000">
      <w:pPr>
        <w:spacing w:line="276" w:lineRule="auto"/>
      </w:pPr>
      <w:r>
        <w:t>682.</w:t>
      </w:r>
      <w:r>
        <w:tab/>
        <w:t>До 1991</w:t>
      </w:r>
      <w:r>
        <w:rPr>
          <w:lang w:val="en-US"/>
        </w:rPr>
        <w:t> </w:t>
      </w:r>
      <w:r>
        <w:t>года в Социалистической Республике Боснии и Герцеговине издавалось много литературных журналов, в число наиболее влиятельных из которых входили:  "Живот", "Израз", "Лица" и "Дале" в Сараево, "Путеви" в Баня-Луке и "Мост" в Мостаре.  Сегодня единственными журналами, издаваемыми в Республике Сербской, которые выходят нерегулярно, обременены долгами и не платят авторских гонораров журналистам и редакторам, являются "Српска вила" в Биелине (выпускается издательством "Просвета"), "Знаценя" в Добое (выпускается издательством "Матична библиотека") и "Духовност серпска" в Тесличе (выпускается издательством "Просвета").  Между тем в Баня-Луке был начат выпуск литературного журнала под названием "Краина" (издается частной компанией "Арт-принт", заслуживающей благодарность за эту инициативу), который по</w:t>
      </w:r>
      <w:r>
        <w:noBreakHyphen/>
        <w:t>прежнему выходит на регулярной основе четыре раза в год.  Самый старый и наиболее влиятельный журнал, "Путеви", который в скором времени должен был праздновать свою пятидесятую годовщину, к сожалению, был закрыт, поскольку государство не выделило средств на его финансирование, а издатель не намерен инвестировать в его выпуск свои собственные средства.</w:t>
      </w:r>
    </w:p>
    <w:p w:rsidR="00000000" w:rsidRDefault="00000000"/>
    <w:p w:rsidR="00000000" w:rsidRDefault="00000000">
      <w:pPr>
        <w:spacing w:line="276" w:lineRule="auto"/>
      </w:pPr>
      <w:r>
        <w:t>683.</w:t>
      </w:r>
      <w:r>
        <w:tab/>
        <w:t>Неудовлетворительное состояние издательской деятельности еще более ухудшилось из</w:t>
      </w:r>
      <w:r>
        <w:noBreakHyphen/>
        <w:t>за нерационального порядка финансирования.  Средства, выделяемые на эти цели, являются менее чем символическими, а отсутствие жестких критериев их распределения делает их еще менее существенными.  Некоторые незначительные суммы выделяются министерством образования на основе конкурса и используются для финансирования издания приблизительно 15 книг и 3 журналов в год (по 2 000 КМ на книги поэтических произведений, романы и сборники очерков, по 1 500 КМ на первые книги молодых авторов и по 3 000 КМ на журналы), которые являются явно недостаточными и покрывают лишь расходы на печатание книги или одного номера журнала, но не авторские гонорары.  Кроме того, время от времени некоторые издательства получают средства на публикацию конкретных книг или на издательские проекты, в то время как участие в финансировании авторов из Республики Сербской, издаваемых в Сербии, является невозможным из</w:t>
      </w:r>
      <w:r>
        <w:noBreakHyphen/>
        <w:t>за отсутствия платежных операций.</w:t>
      </w:r>
    </w:p>
    <w:p w:rsidR="00000000" w:rsidRDefault="00000000"/>
    <w:p w:rsidR="00000000" w:rsidRDefault="00000000">
      <w:pPr>
        <w:spacing w:line="276" w:lineRule="auto"/>
      </w:pPr>
      <w:r>
        <w:t>684.</w:t>
      </w:r>
      <w:r>
        <w:tab/>
        <w:t>В настоящее время наиболее важно, чтобы государство осознало и определило свои национальные интересы в области издательского дела и заняло по отношению к нему конкретную позицию, что прежде всего привело бы к систематическому урегулированию проблемы финансирования издательской деятельности.  При этом необходимо помнить, что издание ценных произведений нашего творческого наследия и современной литературы, как правило, не окупается в финансовом плане и даже в принципе невозможно без тщательно продуманного целевого бюджетного финансирования в этой области, так же, как без помощи со стороны государства не существовали бы музеи, галереи, театры и аналогичные учреждения культуры.</w:t>
      </w:r>
    </w:p>
    <w:p w:rsidR="00000000" w:rsidRDefault="00000000"/>
    <w:p w:rsidR="00000000" w:rsidRDefault="00000000">
      <w:pPr>
        <w:spacing w:line="276" w:lineRule="auto"/>
      </w:pPr>
      <w:r>
        <w:t>685.</w:t>
      </w:r>
      <w:r>
        <w:tab/>
        <w:t>Газеты и радиотелевизионные службы являются областью, в которой до настоящего времени ничего не было сделано, хотя общество выделило крупные средства на их развитие и выживание.  Несмотря на это, средства массовой информации играют важную роль в становлении культуры, и первыми среди них являются "Глас српски", "Ослободене" и РТ Республики Сербской как телевизионное и радиовещательное средство массовой информации.  Их устойчивое развитие находится в интересах Республики Сербской.</w:t>
      </w:r>
    </w:p>
    <w:p w:rsidR="00000000" w:rsidRDefault="00000000"/>
    <w:p w:rsidR="00000000" w:rsidRDefault="00000000">
      <w:pPr>
        <w:spacing w:line="276" w:lineRule="auto"/>
      </w:pPr>
      <w:r>
        <w:t>686.</w:t>
      </w:r>
      <w:r>
        <w:tab/>
        <w:t>Телевизионные компании, имеющие большой опыт в производственной деятельности, вместе с Академией искусств в Баня-Луке изыскивают пути создания филармонического оркестра Республики Сербской, а также сопутствующих ему национального оркестра Республики Сербской и хора Республики Сербской.</w:t>
      </w:r>
    </w:p>
    <w:p w:rsidR="00000000" w:rsidRDefault="00000000"/>
    <w:p w:rsidR="00000000" w:rsidRDefault="00000000">
      <w:pPr>
        <w:spacing w:line="276" w:lineRule="auto"/>
      </w:pPr>
      <w:r>
        <w:t>687.</w:t>
      </w:r>
      <w:r>
        <w:tab/>
        <w:t>Хотя РТРС, помимо всего прочего, является средством массовой информации, его производственная роль имеет особое значение в сохранении и содействии развитию музыкальной самобытности народа.  Не меньшую важность имеет создание нового архива записей современных отечественных композиторов во всех музыкальных жанрах, которое было осуществлено в соответствии с лучшими европейскими стандартами.  Для реализации этой концепции необходимо будет найти пути для обеспечения музыкального производства, где могли бы быть задействованы следующие профессиональные ансамбли:  Детский хор РТРС, Смешанный хор РТРС и определенная часть Филармонического оркестра РТРС.</w:t>
      </w:r>
    </w:p>
    <w:p w:rsidR="00000000" w:rsidRDefault="00000000"/>
    <w:p w:rsidR="00000000" w:rsidRDefault="00000000">
      <w:pPr>
        <w:spacing w:line="276" w:lineRule="auto"/>
      </w:pPr>
      <w:r>
        <w:t>688.</w:t>
      </w:r>
      <w:r>
        <w:tab/>
        <w:t>Программы этих профессиональных групп в значительной мере обогатили бы концерты, предлагаемые производителями радиотелевизионной продукции, входящими в число тех учреждений культуры, которые могут на равных началах участвовать в обмене записями со всеми другими международными и европейскими компаниями такого рода.</w:t>
      </w:r>
    </w:p>
    <w:p w:rsidR="00000000" w:rsidRDefault="00000000"/>
    <w:p w:rsidR="00000000" w:rsidRDefault="00000000"/>
    <w:p w:rsidR="00000000" w:rsidRDefault="00000000">
      <w:pPr>
        <w:jc w:val="center"/>
      </w:pPr>
      <w:r>
        <w:t>--------</w:t>
      </w:r>
    </w:p>
    <w:sectPr w:rsidR="00000000">
      <w:headerReference w:type="even" r:id="rId11"/>
      <w:headerReference w:type="default" r:id="rId12"/>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E/1990/5/Add.65</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spacing w:line="240" w:lineRule="auto"/>
      <w:rPr>
        <w:lang w:val="en-US"/>
      </w:rPr>
    </w:pPr>
    <w:r>
      <w:rPr>
        <w:lang w:val="en-US"/>
      </w:rPr>
      <w:tab/>
    </w:r>
    <w:r>
      <w:rPr>
        <w:lang w:val="en-US"/>
      </w:rPr>
      <w:tab/>
      <w:t>E/1990/5/Add.65</w:t>
    </w:r>
  </w:p>
  <w:p w:rsidR="00000000" w:rsidRDefault="00000000">
    <w:pPr>
      <w:pStyle w:val="Header"/>
      <w:tabs>
        <w:tab w:val="left" w:pos="7088"/>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191</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F6C846"/>
    <w:lvl w:ilvl="0">
      <w:start w:val="1"/>
      <w:numFmt w:val="bullet"/>
      <w:lvlText w:val=""/>
      <w:lvlJc w:val="left"/>
      <w:pPr>
        <w:tabs>
          <w:tab w:val="num" w:pos="360"/>
        </w:tabs>
        <w:ind w:left="360" w:hanging="360"/>
      </w:pPr>
      <w:rPr>
        <w:rFonts w:ascii="Symbol" w:hAnsi="Symbol" w:hint="default"/>
      </w:rPr>
    </w:lvl>
  </w:abstractNum>
  <w:abstractNum w:abstractNumId="1">
    <w:nsid w:val="08793CE2"/>
    <w:multiLevelType w:val="hybridMultilevel"/>
    <w:tmpl w:val="CF3E327C"/>
    <w:lvl w:ilvl="0" w:tplc="CFC40EC4">
      <w:start w:val="1"/>
      <w:numFmt w:val="bullet"/>
      <w:lvlText w:val="–"/>
      <w:lvlJc w:val="left"/>
      <w:pPr>
        <w:tabs>
          <w:tab w:val="num" w:pos="1703"/>
        </w:tabs>
        <w:ind w:left="1703" w:hanging="567"/>
      </w:pPr>
      <w:rPr>
        <w:rFonts w:ascii="Times New Roman" w:hAnsi="Times New Roman" w:cs="Times New Roman" w:hint="default"/>
      </w:rPr>
    </w:lvl>
    <w:lvl w:ilvl="1" w:tplc="04190003">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2">
    <w:nsid w:val="09B473AF"/>
    <w:multiLevelType w:val="hybridMultilevel"/>
    <w:tmpl w:val="C4082024"/>
    <w:lvl w:ilvl="0" w:tplc="BA8861E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DF06670"/>
    <w:multiLevelType w:val="hybridMultilevel"/>
    <w:tmpl w:val="171E4DC6"/>
    <w:lvl w:ilvl="0" w:tplc="66C286BE">
      <w:start w:val="1"/>
      <w:numFmt w:val="bullet"/>
      <w:lvlText w:val="­"/>
      <w:lvlJc w:val="left"/>
      <w:pPr>
        <w:tabs>
          <w:tab w:val="num" w:pos="963"/>
        </w:tabs>
        <w:ind w:left="963" w:hanging="396"/>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F777E18"/>
    <w:multiLevelType w:val="hybridMultilevel"/>
    <w:tmpl w:val="8B0CC27E"/>
    <w:lvl w:ilvl="0" w:tplc="940E6B84">
      <w:start w:val="1"/>
      <w:numFmt w:val="bullet"/>
      <w:lvlText w:val="­"/>
      <w:lvlJc w:val="left"/>
      <w:pPr>
        <w:tabs>
          <w:tab w:val="num" w:pos="927"/>
        </w:tabs>
        <w:ind w:left="907" w:hanging="34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FE31D68"/>
    <w:multiLevelType w:val="hybridMultilevel"/>
    <w:tmpl w:val="CE2C2A7A"/>
    <w:lvl w:ilvl="0" w:tplc="CFC40EC4">
      <w:start w:val="1"/>
      <w:numFmt w:val="bullet"/>
      <w:lvlText w:val="–"/>
      <w:lvlJc w:val="left"/>
      <w:pPr>
        <w:tabs>
          <w:tab w:val="num" w:pos="1703"/>
        </w:tabs>
        <w:ind w:left="1703" w:hanging="567"/>
      </w:pPr>
      <w:rPr>
        <w:rFonts w:ascii="Times New Roman" w:hAnsi="Times New Roman" w:cs="Times New Roman"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6">
    <w:nsid w:val="105A0814"/>
    <w:multiLevelType w:val="hybridMultilevel"/>
    <w:tmpl w:val="4174731A"/>
    <w:lvl w:ilvl="0" w:tplc="CFC40EC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0AF38FF"/>
    <w:multiLevelType w:val="hybridMultilevel"/>
    <w:tmpl w:val="B8148C78"/>
    <w:lvl w:ilvl="0" w:tplc="CFC40EC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328132A"/>
    <w:multiLevelType w:val="hybridMultilevel"/>
    <w:tmpl w:val="DEFC00B4"/>
    <w:lvl w:ilvl="0" w:tplc="CFC40EC4">
      <w:start w:val="1"/>
      <w:numFmt w:val="bullet"/>
      <w:lvlText w:val="–"/>
      <w:lvlJc w:val="left"/>
      <w:pPr>
        <w:tabs>
          <w:tab w:val="num" w:pos="1701"/>
        </w:tabs>
        <w:ind w:left="1701" w:hanging="567"/>
      </w:pPr>
      <w:rPr>
        <w:rFonts w:ascii="Times New Roman" w:hAnsi="Times New Roman" w:cs="Times New Roman" w:hint="default"/>
      </w:rPr>
    </w:lvl>
    <w:lvl w:ilvl="1" w:tplc="04190003">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10">
    <w:nsid w:val="153F394A"/>
    <w:multiLevelType w:val="hybridMultilevel"/>
    <w:tmpl w:val="03067BC4"/>
    <w:lvl w:ilvl="0" w:tplc="F55A3C8A">
      <w:start w:val="1"/>
      <w:numFmt w:val="bullet"/>
      <w:lvlText w:val=""/>
      <w:lvlJc w:val="left"/>
      <w:pPr>
        <w:tabs>
          <w:tab w:val="num" w:pos="1703"/>
        </w:tabs>
        <w:ind w:left="1703" w:hanging="567"/>
      </w:pPr>
      <w:rPr>
        <w:rFonts w:ascii="Symbol" w:hAnsi="Symbol" w:cs="Times New Roman" w:hint="default"/>
      </w:rPr>
    </w:lvl>
    <w:lvl w:ilvl="1" w:tplc="04190003">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11">
    <w:nsid w:val="16100751"/>
    <w:multiLevelType w:val="hybridMultilevel"/>
    <w:tmpl w:val="CC94EA50"/>
    <w:lvl w:ilvl="0" w:tplc="CFC40EC4">
      <w:start w:val="1"/>
      <w:numFmt w:val="bullet"/>
      <w:lvlText w:val="–"/>
      <w:lvlJc w:val="left"/>
      <w:pPr>
        <w:tabs>
          <w:tab w:val="num" w:pos="1701"/>
        </w:tabs>
        <w:ind w:left="1701" w:hanging="567"/>
      </w:pPr>
      <w:rPr>
        <w:rFonts w:ascii="Times New Roman" w:hAnsi="Times New Roman" w:cs="Times New Roman" w:hint="default"/>
      </w:rPr>
    </w:lvl>
    <w:lvl w:ilvl="1" w:tplc="04190003">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2">
    <w:nsid w:val="1627148D"/>
    <w:multiLevelType w:val="hybridMultilevel"/>
    <w:tmpl w:val="47B2F1A0"/>
    <w:lvl w:ilvl="0" w:tplc="CFC40EC4">
      <w:start w:val="1"/>
      <w:numFmt w:val="bullet"/>
      <w:lvlText w:val="–"/>
      <w:lvlJc w:val="left"/>
      <w:pPr>
        <w:tabs>
          <w:tab w:val="num" w:pos="1703"/>
        </w:tabs>
        <w:ind w:left="1703" w:hanging="567"/>
      </w:pPr>
      <w:rPr>
        <w:rFonts w:ascii="Times New Roman" w:hAnsi="Times New Roman" w:cs="Times New Roman"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13">
    <w:nsid w:val="16451763"/>
    <w:multiLevelType w:val="hybridMultilevel"/>
    <w:tmpl w:val="ADE23558"/>
    <w:lvl w:ilvl="0" w:tplc="CFC40EC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9F3316E"/>
    <w:multiLevelType w:val="hybridMultilevel"/>
    <w:tmpl w:val="268C17E8"/>
    <w:lvl w:ilvl="0" w:tplc="CFC40EC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AE87DA0"/>
    <w:multiLevelType w:val="hybridMultilevel"/>
    <w:tmpl w:val="832A4032"/>
    <w:lvl w:ilvl="0" w:tplc="CFC40EC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1B610CB4"/>
    <w:multiLevelType w:val="hybridMultilevel"/>
    <w:tmpl w:val="04A0D2E2"/>
    <w:lvl w:ilvl="0" w:tplc="CFC40EC4">
      <w:start w:val="1"/>
      <w:numFmt w:val="bullet"/>
      <w:lvlText w:val="–"/>
      <w:lvlJc w:val="left"/>
      <w:pPr>
        <w:tabs>
          <w:tab w:val="num" w:pos="1703"/>
        </w:tabs>
        <w:ind w:left="1703" w:hanging="567"/>
      </w:pPr>
      <w:rPr>
        <w:rFonts w:ascii="Times New Roman" w:hAnsi="Times New Roman" w:cs="Times New Roman" w:hint="default"/>
      </w:rPr>
    </w:lvl>
    <w:lvl w:ilvl="1" w:tplc="04190003">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17">
    <w:nsid w:val="1BD151D9"/>
    <w:multiLevelType w:val="hybridMultilevel"/>
    <w:tmpl w:val="6EECD496"/>
    <w:lvl w:ilvl="0" w:tplc="BA8861E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1C46630C"/>
    <w:multiLevelType w:val="hybridMultilevel"/>
    <w:tmpl w:val="706446DE"/>
    <w:lvl w:ilvl="0" w:tplc="F8C2DEB0">
      <w:start w:val="1"/>
      <w:numFmt w:val="bullet"/>
      <w:lvlText w:val="–"/>
      <w:lvlJc w:val="left"/>
      <w:pPr>
        <w:tabs>
          <w:tab w:val="num" w:pos="1140"/>
        </w:tabs>
        <w:ind w:left="1140" w:hanging="567"/>
      </w:pPr>
      <w:rPr>
        <w:rFonts w:ascii="Times New Roman" w:hAnsi="Times New Roman" w:cs="Times New Roman" w:hint="default"/>
      </w:rPr>
    </w:lvl>
    <w:lvl w:ilvl="1" w:tplc="04190003">
      <w:start w:val="1"/>
      <w:numFmt w:val="bullet"/>
      <w:lvlText w:val="o"/>
      <w:lvlJc w:val="left"/>
      <w:pPr>
        <w:tabs>
          <w:tab w:val="num" w:pos="1446"/>
        </w:tabs>
        <w:ind w:left="1446" w:hanging="360"/>
      </w:pPr>
      <w:rPr>
        <w:rFonts w:ascii="Courier New" w:hAnsi="Courier New" w:hint="default"/>
      </w:rPr>
    </w:lvl>
    <w:lvl w:ilvl="2" w:tplc="04190005" w:tentative="1">
      <w:start w:val="1"/>
      <w:numFmt w:val="bullet"/>
      <w:lvlText w:val=""/>
      <w:lvlJc w:val="left"/>
      <w:pPr>
        <w:tabs>
          <w:tab w:val="num" w:pos="2166"/>
        </w:tabs>
        <w:ind w:left="2166" w:hanging="360"/>
      </w:pPr>
      <w:rPr>
        <w:rFonts w:ascii="Wingdings" w:hAnsi="Wingdings" w:hint="default"/>
      </w:rPr>
    </w:lvl>
    <w:lvl w:ilvl="3" w:tplc="04190001" w:tentative="1">
      <w:start w:val="1"/>
      <w:numFmt w:val="bullet"/>
      <w:lvlText w:val=""/>
      <w:lvlJc w:val="left"/>
      <w:pPr>
        <w:tabs>
          <w:tab w:val="num" w:pos="2886"/>
        </w:tabs>
        <w:ind w:left="2886" w:hanging="360"/>
      </w:pPr>
      <w:rPr>
        <w:rFonts w:ascii="Symbol" w:hAnsi="Symbol" w:hint="default"/>
      </w:rPr>
    </w:lvl>
    <w:lvl w:ilvl="4" w:tplc="04190003" w:tentative="1">
      <w:start w:val="1"/>
      <w:numFmt w:val="bullet"/>
      <w:lvlText w:val="o"/>
      <w:lvlJc w:val="left"/>
      <w:pPr>
        <w:tabs>
          <w:tab w:val="num" w:pos="3606"/>
        </w:tabs>
        <w:ind w:left="3606" w:hanging="360"/>
      </w:pPr>
      <w:rPr>
        <w:rFonts w:ascii="Courier New" w:hAnsi="Courier New" w:hint="default"/>
      </w:rPr>
    </w:lvl>
    <w:lvl w:ilvl="5" w:tplc="04190005" w:tentative="1">
      <w:start w:val="1"/>
      <w:numFmt w:val="bullet"/>
      <w:lvlText w:val=""/>
      <w:lvlJc w:val="left"/>
      <w:pPr>
        <w:tabs>
          <w:tab w:val="num" w:pos="4326"/>
        </w:tabs>
        <w:ind w:left="4326" w:hanging="360"/>
      </w:pPr>
      <w:rPr>
        <w:rFonts w:ascii="Wingdings" w:hAnsi="Wingdings" w:hint="default"/>
      </w:rPr>
    </w:lvl>
    <w:lvl w:ilvl="6" w:tplc="04190001" w:tentative="1">
      <w:start w:val="1"/>
      <w:numFmt w:val="bullet"/>
      <w:lvlText w:val=""/>
      <w:lvlJc w:val="left"/>
      <w:pPr>
        <w:tabs>
          <w:tab w:val="num" w:pos="5046"/>
        </w:tabs>
        <w:ind w:left="5046" w:hanging="360"/>
      </w:pPr>
      <w:rPr>
        <w:rFonts w:ascii="Symbol" w:hAnsi="Symbol" w:hint="default"/>
      </w:rPr>
    </w:lvl>
    <w:lvl w:ilvl="7" w:tplc="04190003" w:tentative="1">
      <w:start w:val="1"/>
      <w:numFmt w:val="bullet"/>
      <w:lvlText w:val="o"/>
      <w:lvlJc w:val="left"/>
      <w:pPr>
        <w:tabs>
          <w:tab w:val="num" w:pos="5766"/>
        </w:tabs>
        <w:ind w:left="5766" w:hanging="360"/>
      </w:pPr>
      <w:rPr>
        <w:rFonts w:ascii="Courier New" w:hAnsi="Courier New" w:hint="default"/>
      </w:rPr>
    </w:lvl>
    <w:lvl w:ilvl="8" w:tplc="04190005" w:tentative="1">
      <w:start w:val="1"/>
      <w:numFmt w:val="bullet"/>
      <w:lvlText w:val=""/>
      <w:lvlJc w:val="left"/>
      <w:pPr>
        <w:tabs>
          <w:tab w:val="num" w:pos="6486"/>
        </w:tabs>
        <w:ind w:left="6486" w:hanging="360"/>
      </w:pPr>
      <w:rPr>
        <w:rFonts w:ascii="Wingdings" w:hAnsi="Wingdings" w:hint="default"/>
      </w:rPr>
    </w:lvl>
  </w:abstractNum>
  <w:abstractNum w:abstractNumId="19">
    <w:nsid w:val="1CCA2FBD"/>
    <w:multiLevelType w:val="hybridMultilevel"/>
    <w:tmpl w:val="4CC0EDF8"/>
    <w:lvl w:ilvl="0" w:tplc="CFC40EC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1E071D4F"/>
    <w:multiLevelType w:val="hybridMultilevel"/>
    <w:tmpl w:val="0944EE14"/>
    <w:lvl w:ilvl="0" w:tplc="F55A3C8A">
      <w:start w:val="1"/>
      <w:numFmt w:val="bullet"/>
      <w:lvlText w:val=""/>
      <w:lvlJc w:val="left"/>
      <w:pPr>
        <w:tabs>
          <w:tab w:val="num" w:pos="1703"/>
        </w:tabs>
        <w:ind w:left="1703" w:hanging="567"/>
      </w:pPr>
      <w:rPr>
        <w:rFonts w:ascii="Symbol" w:hAnsi="Symbol" w:cs="Times New Roman"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21">
    <w:nsid w:val="22943982"/>
    <w:multiLevelType w:val="hybridMultilevel"/>
    <w:tmpl w:val="B9CEC798"/>
    <w:lvl w:ilvl="0" w:tplc="F55A3C8A">
      <w:start w:val="1"/>
      <w:numFmt w:val="bullet"/>
      <w:lvlText w:val=""/>
      <w:lvlJc w:val="left"/>
      <w:pPr>
        <w:tabs>
          <w:tab w:val="num" w:pos="1134"/>
        </w:tabs>
        <w:ind w:left="1134" w:hanging="567"/>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2AD20172"/>
    <w:multiLevelType w:val="hybridMultilevel"/>
    <w:tmpl w:val="25B6F946"/>
    <w:lvl w:ilvl="0" w:tplc="CFC40EC4">
      <w:start w:val="1"/>
      <w:numFmt w:val="bullet"/>
      <w:lvlText w:val="–"/>
      <w:lvlJc w:val="left"/>
      <w:pPr>
        <w:tabs>
          <w:tab w:val="num" w:pos="1703"/>
        </w:tabs>
        <w:ind w:left="1703" w:hanging="567"/>
      </w:pPr>
      <w:rPr>
        <w:rFonts w:ascii="Times New Roman" w:hAnsi="Times New Roman" w:cs="Times New Roman" w:hint="default"/>
      </w:rPr>
    </w:lvl>
    <w:lvl w:ilvl="1" w:tplc="FF2AB610">
      <w:numFmt w:val="bullet"/>
      <w:lvlText w:val="-"/>
      <w:lvlJc w:val="left"/>
      <w:pPr>
        <w:tabs>
          <w:tab w:val="num" w:pos="2219"/>
        </w:tabs>
        <w:ind w:left="2219" w:hanging="570"/>
      </w:pPr>
      <w:rPr>
        <w:rFonts w:ascii="Times New Roman" w:eastAsia="Times New Roman" w:hAnsi="Times New Roman" w:cs="Times New Roman"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23">
    <w:nsid w:val="2B9B0B3D"/>
    <w:multiLevelType w:val="hybridMultilevel"/>
    <w:tmpl w:val="9BC42EC0"/>
    <w:lvl w:ilvl="0" w:tplc="356AA30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2F824FCC"/>
    <w:multiLevelType w:val="hybridMultilevel"/>
    <w:tmpl w:val="F23441D6"/>
    <w:lvl w:ilvl="0" w:tplc="CFC40EC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26">
    <w:nsid w:val="30572B3A"/>
    <w:multiLevelType w:val="hybridMultilevel"/>
    <w:tmpl w:val="295E7982"/>
    <w:lvl w:ilvl="0" w:tplc="CFC40EC4">
      <w:start w:val="1"/>
      <w:numFmt w:val="bullet"/>
      <w:lvlText w:val="–"/>
      <w:lvlJc w:val="left"/>
      <w:pPr>
        <w:tabs>
          <w:tab w:val="num" w:pos="1701"/>
        </w:tabs>
        <w:ind w:left="1701" w:hanging="567"/>
      </w:pPr>
      <w:rPr>
        <w:rFonts w:ascii="Times New Roman" w:hAnsi="Times New Roman" w:cs="Times New Roman" w:hint="default"/>
      </w:rPr>
    </w:lvl>
    <w:lvl w:ilvl="1" w:tplc="04190003">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7">
    <w:nsid w:val="312C2932"/>
    <w:multiLevelType w:val="hybridMultilevel"/>
    <w:tmpl w:val="C866957C"/>
    <w:lvl w:ilvl="0" w:tplc="F8C2DEB0">
      <w:start w:val="1"/>
      <w:numFmt w:val="bullet"/>
      <w:lvlText w:val="–"/>
      <w:lvlJc w:val="left"/>
      <w:pPr>
        <w:tabs>
          <w:tab w:val="num" w:pos="1703"/>
        </w:tabs>
        <w:ind w:left="1703" w:hanging="567"/>
      </w:pPr>
      <w:rPr>
        <w:rFonts w:ascii="Times New Roman" w:hAnsi="Times New Roman" w:cs="Times New Roman" w:hint="default"/>
      </w:rPr>
    </w:lvl>
    <w:lvl w:ilvl="1" w:tplc="3C784C5E">
      <w:numFmt w:val="bullet"/>
      <w:lvlText w:val=""/>
      <w:lvlJc w:val="left"/>
      <w:pPr>
        <w:tabs>
          <w:tab w:val="num" w:pos="2216"/>
        </w:tabs>
        <w:ind w:left="2216" w:hanging="567"/>
      </w:pPr>
      <w:rPr>
        <w:rFonts w:ascii="Symbol" w:eastAsia="Times New Roman" w:hAnsi="Symbol" w:cs="Times New Roman" w:hint="default"/>
      </w:rPr>
    </w:lvl>
    <w:lvl w:ilvl="2" w:tplc="DCCAC04E">
      <w:numFmt w:val="bullet"/>
      <w:lvlText w:val="-"/>
      <w:lvlJc w:val="left"/>
      <w:pPr>
        <w:tabs>
          <w:tab w:val="num" w:pos="2729"/>
        </w:tabs>
        <w:ind w:left="2729" w:hanging="360"/>
      </w:pPr>
      <w:rPr>
        <w:rFonts w:ascii="Times New Roman" w:eastAsia="Times New Roman" w:hAnsi="Times New Roman" w:cs="Times New Roman"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28">
    <w:nsid w:val="327C6F1D"/>
    <w:multiLevelType w:val="hybridMultilevel"/>
    <w:tmpl w:val="06AE8C62"/>
    <w:lvl w:ilvl="0" w:tplc="3C784C5E">
      <w:numFmt w:val="bullet"/>
      <w:lvlText w:val=""/>
      <w:lvlJc w:val="left"/>
      <w:pPr>
        <w:tabs>
          <w:tab w:val="num" w:pos="1134"/>
        </w:tabs>
        <w:ind w:left="1134" w:hanging="567"/>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33E16CBC"/>
    <w:multiLevelType w:val="hybridMultilevel"/>
    <w:tmpl w:val="8BE69922"/>
    <w:lvl w:ilvl="0" w:tplc="CFC40EC4">
      <w:start w:val="1"/>
      <w:numFmt w:val="bullet"/>
      <w:lvlText w:val="–"/>
      <w:lvlJc w:val="left"/>
      <w:pPr>
        <w:tabs>
          <w:tab w:val="num" w:pos="1703"/>
        </w:tabs>
        <w:ind w:left="1703" w:hanging="567"/>
      </w:pPr>
      <w:rPr>
        <w:rFonts w:ascii="Times New Roman" w:hAnsi="Times New Roman" w:cs="Times New Roman" w:hint="default"/>
      </w:rPr>
    </w:lvl>
    <w:lvl w:ilvl="1" w:tplc="04190003">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30">
    <w:nsid w:val="35D27965"/>
    <w:multiLevelType w:val="hybridMultilevel"/>
    <w:tmpl w:val="F29618F4"/>
    <w:lvl w:ilvl="0" w:tplc="2F0C2428">
      <w:numFmt w:val="bullet"/>
      <w:lvlText w:val=""/>
      <w:lvlJc w:val="left"/>
      <w:pPr>
        <w:tabs>
          <w:tab w:val="num" w:pos="2276"/>
        </w:tabs>
        <w:ind w:left="2276" w:hanging="567"/>
      </w:pPr>
      <w:rPr>
        <w:rFonts w:ascii="Symbol" w:eastAsia="Times New Roman" w:hAnsi="Symbol" w:cs="Times New Roman" w:hint="default"/>
      </w:rPr>
    </w:lvl>
    <w:lvl w:ilvl="1" w:tplc="04190003" w:tentative="1">
      <w:start w:val="1"/>
      <w:numFmt w:val="bullet"/>
      <w:lvlText w:val="o"/>
      <w:lvlJc w:val="left"/>
      <w:pPr>
        <w:tabs>
          <w:tab w:val="num" w:pos="2582"/>
        </w:tabs>
        <w:ind w:left="2582" w:hanging="360"/>
      </w:pPr>
      <w:rPr>
        <w:rFonts w:ascii="Courier New" w:hAnsi="Courier New" w:hint="default"/>
      </w:rPr>
    </w:lvl>
    <w:lvl w:ilvl="2" w:tplc="04190005" w:tentative="1">
      <w:start w:val="1"/>
      <w:numFmt w:val="bullet"/>
      <w:lvlText w:val=""/>
      <w:lvlJc w:val="left"/>
      <w:pPr>
        <w:tabs>
          <w:tab w:val="num" w:pos="3302"/>
        </w:tabs>
        <w:ind w:left="3302" w:hanging="360"/>
      </w:pPr>
      <w:rPr>
        <w:rFonts w:ascii="Wingdings" w:hAnsi="Wingdings" w:hint="default"/>
      </w:rPr>
    </w:lvl>
    <w:lvl w:ilvl="3" w:tplc="04190001" w:tentative="1">
      <w:start w:val="1"/>
      <w:numFmt w:val="bullet"/>
      <w:lvlText w:val=""/>
      <w:lvlJc w:val="left"/>
      <w:pPr>
        <w:tabs>
          <w:tab w:val="num" w:pos="4022"/>
        </w:tabs>
        <w:ind w:left="4022" w:hanging="360"/>
      </w:pPr>
      <w:rPr>
        <w:rFonts w:ascii="Symbol" w:hAnsi="Symbol" w:hint="default"/>
      </w:rPr>
    </w:lvl>
    <w:lvl w:ilvl="4" w:tplc="04190003" w:tentative="1">
      <w:start w:val="1"/>
      <w:numFmt w:val="bullet"/>
      <w:lvlText w:val="o"/>
      <w:lvlJc w:val="left"/>
      <w:pPr>
        <w:tabs>
          <w:tab w:val="num" w:pos="4742"/>
        </w:tabs>
        <w:ind w:left="4742" w:hanging="360"/>
      </w:pPr>
      <w:rPr>
        <w:rFonts w:ascii="Courier New" w:hAnsi="Courier New" w:hint="default"/>
      </w:rPr>
    </w:lvl>
    <w:lvl w:ilvl="5" w:tplc="04190005" w:tentative="1">
      <w:start w:val="1"/>
      <w:numFmt w:val="bullet"/>
      <w:lvlText w:val=""/>
      <w:lvlJc w:val="left"/>
      <w:pPr>
        <w:tabs>
          <w:tab w:val="num" w:pos="5462"/>
        </w:tabs>
        <w:ind w:left="5462" w:hanging="360"/>
      </w:pPr>
      <w:rPr>
        <w:rFonts w:ascii="Wingdings" w:hAnsi="Wingdings" w:hint="default"/>
      </w:rPr>
    </w:lvl>
    <w:lvl w:ilvl="6" w:tplc="04190001" w:tentative="1">
      <w:start w:val="1"/>
      <w:numFmt w:val="bullet"/>
      <w:lvlText w:val=""/>
      <w:lvlJc w:val="left"/>
      <w:pPr>
        <w:tabs>
          <w:tab w:val="num" w:pos="6182"/>
        </w:tabs>
        <w:ind w:left="6182" w:hanging="360"/>
      </w:pPr>
      <w:rPr>
        <w:rFonts w:ascii="Symbol" w:hAnsi="Symbol" w:hint="default"/>
      </w:rPr>
    </w:lvl>
    <w:lvl w:ilvl="7" w:tplc="04190003" w:tentative="1">
      <w:start w:val="1"/>
      <w:numFmt w:val="bullet"/>
      <w:lvlText w:val="o"/>
      <w:lvlJc w:val="left"/>
      <w:pPr>
        <w:tabs>
          <w:tab w:val="num" w:pos="6902"/>
        </w:tabs>
        <w:ind w:left="6902" w:hanging="360"/>
      </w:pPr>
      <w:rPr>
        <w:rFonts w:ascii="Courier New" w:hAnsi="Courier New" w:hint="default"/>
      </w:rPr>
    </w:lvl>
    <w:lvl w:ilvl="8" w:tplc="04190005" w:tentative="1">
      <w:start w:val="1"/>
      <w:numFmt w:val="bullet"/>
      <w:lvlText w:val=""/>
      <w:lvlJc w:val="left"/>
      <w:pPr>
        <w:tabs>
          <w:tab w:val="num" w:pos="7622"/>
        </w:tabs>
        <w:ind w:left="7622" w:hanging="360"/>
      </w:pPr>
      <w:rPr>
        <w:rFonts w:ascii="Wingdings" w:hAnsi="Wingdings" w:hint="default"/>
      </w:rPr>
    </w:lvl>
  </w:abstractNum>
  <w:abstractNum w:abstractNumId="31">
    <w:nsid w:val="37A31F86"/>
    <w:multiLevelType w:val="hybridMultilevel"/>
    <w:tmpl w:val="0512E3F4"/>
    <w:lvl w:ilvl="0" w:tplc="CFC40EC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3C76360E"/>
    <w:multiLevelType w:val="hybridMultilevel"/>
    <w:tmpl w:val="F9862404"/>
    <w:lvl w:ilvl="0" w:tplc="CFC40EC4">
      <w:start w:val="1"/>
      <w:numFmt w:val="bullet"/>
      <w:lvlText w:val="–"/>
      <w:lvlJc w:val="left"/>
      <w:pPr>
        <w:tabs>
          <w:tab w:val="num" w:pos="1703"/>
        </w:tabs>
        <w:ind w:left="1703" w:hanging="567"/>
      </w:pPr>
      <w:rPr>
        <w:rFonts w:ascii="Times New Roman" w:hAnsi="Times New Roman" w:cs="Times New Roman" w:hint="default"/>
      </w:rPr>
    </w:lvl>
    <w:lvl w:ilvl="1" w:tplc="04190003">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33">
    <w:nsid w:val="3CB061AB"/>
    <w:multiLevelType w:val="singleLevel"/>
    <w:tmpl w:val="8946CBDA"/>
    <w:lvl w:ilvl="0">
      <w:start w:val="1"/>
      <w:numFmt w:val="decimal"/>
      <w:pStyle w:val="ParaNo"/>
      <w:lvlText w:val="%1."/>
      <w:lvlJc w:val="left"/>
      <w:pPr>
        <w:tabs>
          <w:tab w:val="num" w:pos="360"/>
        </w:tabs>
        <w:ind w:left="-1" w:firstLine="1"/>
      </w:pPr>
      <w:rPr>
        <w:rFonts w:hint="default"/>
      </w:rPr>
    </w:lvl>
  </w:abstractNum>
  <w:abstractNum w:abstractNumId="34">
    <w:nsid w:val="3DD85152"/>
    <w:multiLevelType w:val="hybridMultilevel"/>
    <w:tmpl w:val="5F2C8BBE"/>
    <w:lvl w:ilvl="0" w:tplc="66C286BE">
      <w:start w:val="1"/>
      <w:numFmt w:val="bullet"/>
      <w:lvlText w:val="­"/>
      <w:lvlJc w:val="left"/>
      <w:pPr>
        <w:tabs>
          <w:tab w:val="num" w:pos="963"/>
        </w:tabs>
        <w:ind w:left="963" w:hanging="396"/>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40A2515F"/>
    <w:multiLevelType w:val="hybridMultilevel"/>
    <w:tmpl w:val="D8364558"/>
    <w:lvl w:ilvl="0" w:tplc="2F0C2428">
      <w:numFmt w:val="bullet"/>
      <w:lvlText w:val=""/>
      <w:lvlJc w:val="left"/>
      <w:pPr>
        <w:tabs>
          <w:tab w:val="num" w:pos="2276"/>
        </w:tabs>
        <w:ind w:left="2276" w:hanging="567"/>
      </w:pPr>
      <w:rPr>
        <w:rFonts w:ascii="Symbol" w:eastAsia="Times New Roman" w:hAnsi="Symbol" w:cs="Times New Roman" w:hint="default"/>
      </w:rPr>
    </w:lvl>
    <w:lvl w:ilvl="1" w:tplc="04190003" w:tentative="1">
      <w:start w:val="1"/>
      <w:numFmt w:val="bullet"/>
      <w:lvlText w:val="o"/>
      <w:lvlJc w:val="left"/>
      <w:pPr>
        <w:tabs>
          <w:tab w:val="num" w:pos="2582"/>
        </w:tabs>
        <w:ind w:left="2582" w:hanging="360"/>
      </w:pPr>
      <w:rPr>
        <w:rFonts w:ascii="Courier New" w:hAnsi="Courier New" w:hint="default"/>
      </w:rPr>
    </w:lvl>
    <w:lvl w:ilvl="2" w:tplc="04190005" w:tentative="1">
      <w:start w:val="1"/>
      <w:numFmt w:val="bullet"/>
      <w:lvlText w:val=""/>
      <w:lvlJc w:val="left"/>
      <w:pPr>
        <w:tabs>
          <w:tab w:val="num" w:pos="3302"/>
        </w:tabs>
        <w:ind w:left="3302" w:hanging="360"/>
      </w:pPr>
      <w:rPr>
        <w:rFonts w:ascii="Wingdings" w:hAnsi="Wingdings" w:hint="default"/>
      </w:rPr>
    </w:lvl>
    <w:lvl w:ilvl="3" w:tplc="04190001" w:tentative="1">
      <w:start w:val="1"/>
      <w:numFmt w:val="bullet"/>
      <w:lvlText w:val=""/>
      <w:lvlJc w:val="left"/>
      <w:pPr>
        <w:tabs>
          <w:tab w:val="num" w:pos="4022"/>
        </w:tabs>
        <w:ind w:left="4022" w:hanging="360"/>
      </w:pPr>
      <w:rPr>
        <w:rFonts w:ascii="Symbol" w:hAnsi="Symbol" w:hint="default"/>
      </w:rPr>
    </w:lvl>
    <w:lvl w:ilvl="4" w:tplc="04190003" w:tentative="1">
      <w:start w:val="1"/>
      <w:numFmt w:val="bullet"/>
      <w:lvlText w:val="o"/>
      <w:lvlJc w:val="left"/>
      <w:pPr>
        <w:tabs>
          <w:tab w:val="num" w:pos="4742"/>
        </w:tabs>
        <w:ind w:left="4742" w:hanging="360"/>
      </w:pPr>
      <w:rPr>
        <w:rFonts w:ascii="Courier New" w:hAnsi="Courier New" w:hint="default"/>
      </w:rPr>
    </w:lvl>
    <w:lvl w:ilvl="5" w:tplc="04190005" w:tentative="1">
      <w:start w:val="1"/>
      <w:numFmt w:val="bullet"/>
      <w:lvlText w:val=""/>
      <w:lvlJc w:val="left"/>
      <w:pPr>
        <w:tabs>
          <w:tab w:val="num" w:pos="5462"/>
        </w:tabs>
        <w:ind w:left="5462" w:hanging="360"/>
      </w:pPr>
      <w:rPr>
        <w:rFonts w:ascii="Wingdings" w:hAnsi="Wingdings" w:hint="default"/>
      </w:rPr>
    </w:lvl>
    <w:lvl w:ilvl="6" w:tplc="04190001" w:tentative="1">
      <w:start w:val="1"/>
      <w:numFmt w:val="bullet"/>
      <w:lvlText w:val=""/>
      <w:lvlJc w:val="left"/>
      <w:pPr>
        <w:tabs>
          <w:tab w:val="num" w:pos="6182"/>
        </w:tabs>
        <w:ind w:left="6182" w:hanging="360"/>
      </w:pPr>
      <w:rPr>
        <w:rFonts w:ascii="Symbol" w:hAnsi="Symbol" w:hint="default"/>
      </w:rPr>
    </w:lvl>
    <w:lvl w:ilvl="7" w:tplc="04190003" w:tentative="1">
      <w:start w:val="1"/>
      <w:numFmt w:val="bullet"/>
      <w:lvlText w:val="o"/>
      <w:lvlJc w:val="left"/>
      <w:pPr>
        <w:tabs>
          <w:tab w:val="num" w:pos="6902"/>
        </w:tabs>
        <w:ind w:left="6902" w:hanging="360"/>
      </w:pPr>
      <w:rPr>
        <w:rFonts w:ascii="Courier New" w:hAnsi="Courier New" w:hint="default"/>
      </w:rPr>
    </w:lvl>
    <w:lvl w:ilvl="8" w:tplc="04190005" w:tentative="1">
      <w:start w:val="1"/>
      <w:numFmt w:val="bullet"/>
      <w:lvlText w:val=""/>
      <w:lvlJc w:val="left"/>
      <w:pPr>
        <w:tabs>
          <w:tab w:val="num" w:pos="7622"/>
        </w:tabs>
        <w:ind w:left="7622" w:hanging="360"/>
      </w:pPr>
      <w:rPr>
        <w:rFonts w:ascii="Wingdings" w:hAnsi="Wingdings" w:hint="default"/>
      </w:rPr>
    </w:lvl>
  </w:abstractNum>
  <w:abstractNum w:abstractNumId="36">
    <w:nsid w:val="461C7526"/>
    <w:multiLevelType w:val="hybridMultilevel"/>
    <w:tmpl w:val="E0EEC7E0"/>
    <w:lvl w:ilvl="0" w:tplc="F8C2DEB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873"/>
        </w:tabs>
        <w:ind w:left="873" w:hanging="360"/>
      </w:pPr>
      <w:rPr>
        <w:rFonts w:ascii="Courier New" w:hAnsi="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37">
    <w:nsid w:val="466C4FF5"/>
    <w:multiLevelType w:val="hybridMultilevel"/>
    <w:tmpl w:val="76AC1ECA"/>
    <w:lvl w:ilvl="0" w:tplc="66C286BE">
      <w:start w:val="1"/>
      <w:numFmt w:val="bullet"/>
      <w:lvlText w:val="­"/>
      <w:lvlJc w:val="left"/>
      <w:pPr>
        <w:tabs>
          <w:tab w:val="num" w:pos="963"/>
        </w:tabs>
        <w:ind w:left="963" w:hanging="396"/>
      </w:pPr>
      <w:rPr>
        <w:rFonts w:ascii="Times New Roman" w:hAnsi="Times New Roman" w:cs="Times New Roman" w:hint="default"/>
      </w:rPr>
    </w:lvl>
    <w:lvl w:ilvl="1" w:tplc="04190003" w:tentative="1">
      <w:start w:val="1"/>
      <w:numFmt w:val="bullet"/>
      <w:lvlText w:val="o"/>
      <w:lvlJc w:val="left"/>
      <w:pPr>
        <w:tabs>
          <w:tab w:val="num" w:pos="1723"/>
        </w:tabs>
        <w:ind w:left="1723" w:hanging="360"/>
      </w:pPr>
      <w:rPr>
        <w:rFonts w:ascii="Courier New" w:hAnsi="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38">
    <w:nsid w:val="46AB4049"/>
    <w:multiLevelType w:val="hybridMultilevel"/>
    <w:tmpl w:val="E6FA85EA"/>
    <w:lvl w:ilvl="0" w:tplc="66C286BE">
      <w:start w:val="1"/>
      <w:numFmt w:val="bullet"/>
      <w:lvlText w:val="­"/>
      <w:lvlJc w:val="left"/>
      <w:pPr>
        <w:tabs>
          <w:tab w:val="num" w:pos="963"/>
        </w:tabs>
        <w:ind w:left="963" w:hanging="396"/>
      </w:pPr>
      <w:rPr>
        <w:rFonts w:ascii="Times New Roman" w:hAnsi="Times New Roman" w:cs="Times New Roman" w:hint="default"/>
      </w:rPr>
    </w:lvl>
    <w:lvl w:ilvl="1" w:tplc="04190003" w:tentative="1">
      <w:start w:val="1"/>
      <w:numFmt w:val="bullet"/>
      <w:lvlText w:val="o"/>
      <w:lvlJc w:val="left"/>
      <w:pPr>
        <w:tabs>
          <w:tab w:val="num" w:pos="1723"/>
        </w:tabs>
        <w:ind w:left="1723" w:hanging="360"/>
      </w:pPr>
      <w:rPr>
        <w:rFonts w:ascii="Courier New" w:hAnsi="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39">
    <w:nsid w:val="46D408BA"/>
    <w:multiLevelType w:val="hybridMultilevel"/>
    <w:tmpl w:val="15B0430C"/>
    <w:lvl w:ilvl="0" w:tplc="2F0C2428">
      <w:numFmt w:val="bullet"/>
      <w:lvlText w:val=""/>
      <w:lvlJc w:val="left"/>
      <w:pPr>
        <w:tabs>
          <w:tab w:val="num" w:pos="1701"/>
        </w:tabs>
        <w:ind w:left="1701" w:hanging="567"/>
      </w:pPr>
      <w:rPr>
        <w:rFonts w:ascii="Symbol" w:eastAsia="Times New Roman" w:hAnsi="Symbol"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0">
    <w:nsid w:val="46DB0F11"/>
    <w:multiLevelType w:val="hybridMultilevel"/>
    <w:tmpl w:val="8708D30E"/>
    <w:lvl w:ilvl="0" w:tplc="CFC40EC4">
      <w:start w:val="1"/>
      <w:numFmt w:val="bullet"/>
      <w:lvlText w:val="–"/>
      <w:lvlJc w:val="left"/>
      <w:pPr>
        <w:tabs>
          <w:tab w:val="num" w:pos="1703"/>
        </w:tabs>
        <w:ind w:left="1703" w:hanging="567"/>
      </w:pPr>
      <w:rPr>
        <w:rFonts w:ascii="Times New Roman" w:hAnsi="Times New Roman" w:cs="Times New Roman"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41">
    <w:nsid w:val="490F04B7"/>
    <w:multiLevelType w:val="hybridMultilevel"/>
    <w:tmpl w:val="1B76FFA6"/>
    <w:lvl w:ilvl="0" w:tplc="356AA30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4C2E4F13"/>
    <w:multiLevelType w:val="hybridMultilevel"/>
    <w:tmpl w:val="B838D5EC"/>
    <w:lvl w:ilvl="0" w:tplc="CFC40EC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503128E2"/>
    <w:multiLevelType w:val="hybridMultilevel"/>
    <w:tmpl w:val="3D228A8E"/>
    <w:lvl w:ilvl="0" w:tplc="CFC40EC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54E940F7"/>
    <w:multiLevelType w:val="hybridMultilevel"/>
    <w:tmpl w:val="F11ECF8E"/>
    <w:lvl w:ilvl="0" w:tplc="CFC40EC4">
      <w:start w:val="1"/>
      <w:numFmt w:val="bullet"/>
      <w:lvlText w:val="–"/>
      <w:lvlJc w:val="left"/>
      <w:pPr>
        <w:tabs>
          <w:tab w:val="num" w:pos="1703"/>
        </w:tabs>
        <w:ind w:left="1703" w:hanging="567"/>
      </w:pPr>
      <w:rPr>
        <w:rFonts w:ascii="Times New Roman" w:hAnsi="Times New Roman" w:cs="Times New Roman" w:hint="default"/>
      </w:rPr>
    </w:lvl>
    <w:lvl w:ilvl="1" w:tplc="04190003">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45">
    <w:nsid w:val="55253440"/>
    <w:multiLevelType w:val="hybridMultilevel"/>
    <w:tmpl w:val="513E2DA0"/>
    <w:lvl w:ilvl="0" w:tplc="CFC40EC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57C278C4"/>
    <w:multiLevelType w:val="hybridMultilevel"/>
    <w:tmpl w:val="AC523E5C"/>
    <w:lvl w:ilvl="0" w:tplc="F55A3C8A">
      <w:start w:val="1"/>
      <w:numFmt w:val="bullet"/>
      <w:lvlText w:val=""/>
      <w:lvlJc w:val="left"/>
      <w:pPr>
        <w:tabs>
          <w:tab w:val="num" w:pos="1701"/>
        </w:tabs>
        <w:ind w:left="1701" w:hanging="567"/>
      </w:pPr>
      <w:rPr>
        <w:rFonts w:ascii="Symbol" w:hAnsi="Symbol" w:cs="Times New Roman" w:hint="default"/>
      </w:rPr>
    </w:lvl>
    <w:lvl w:ilvl="1" w:tplc="04190003">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7">
    <w:nsid w:val="5A6D3E56"/>
    <w:multiLevelType w:val="hybridMultilevel"/>
    <w:tmpl w:val="44FA92BE"/>
    <w:lvl w:ilvl="0" w:tplc="CFC40EC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5AD61159"/>
    <w:multiLevelType w:val="hybridMultilevel"/>
    <w:tmpl w:val="67E07A54"/>
    <w:lvl w:ilvl="0" w:tplc="66C286BE">
      <w:start w:val="1"/>
      <w:numFmt w:val="bullet"/>
      <w:lvlText w:val="­"/>
      <w:lvlJc w:val="left"/>
      <w:pPr>
        <w:tabs>
          <w:tab w:val="num" w:pos="963"/>
        </w:tabs>
        <w:ind w:left="963" w:hanging="396"/>
      </w:pPr>
      <w:rPr>
        <w:rFonts w:ascii="Times New Roman" w:hAnsi="Times New Roman" w:cs="Times New Roman" w:hint="default"/>
      </w:rPr>
    </w:lvl>
    <w:lvl w:ilvl="1" w:tplc="04190003" w:tentative="1">
      <w:start w:val="1"/>
      <w:numFmt w:val="bullet"/>
      <w:lvlText w:val="o"/>
      <w:lvlJc w:val="left"/>
      <w:pPr>
        <w:tabs>
          <w:tab w:val="num" w:pos="1723"/>
        </w:tabs>
        <w:ind w:left="1723" w:hanging="360"/>
      </w:pPr>
      <w:rPr>
        <w:rFonts w:ascii="Courier New" w:hAnsi="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49">
    <w:nsid w:val="5D5B3A22"/>
    <w:multiLevelType w:val="hybridMultilevel"/>
    <w:tmpl w:val="C7686756"/>
    <w:lvl w:ilvl="0" w:tplc="CFC40EC4">
      <w:start w:val="1"/>
      <w:numFmt w:val="bullet"/>
      <w:lvlText w:val="–"/>
      <w:lvlJc w:val="left"/>
      <w:pPr>
        <w:tabs>
          <w:tab w:val="num" w:pos="1703"/>
        </w:tabs>
        <w:ind w:left="1703" w:hanging="567"/>
      </w:pPr>
      <w:rPr>
        <w:rFonts w:ascii="Times New Roman" w:hAnsi="Times New Roman" w:cs="Times New Roman" w:hint="default"/>
      </w:rPr>
    </w:lvl>
    <w:lvl w:ilvl="1" w:tplc="04190003">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50">
    <w:nsid w:val="5E8571CE"/>
    <w:multiLevelType w:val="hybridMultilevel"/>
    <w:tmpl w:val="6DB8ACE0"/>
    <w:lvl w:ilvl="0" w:tplc="3C784C5E">
      <w:numFmt w:val="bullet"/>
      <w:lvlText w:val=""/>
      <w:lvlJc w:val="left"/>
      <w:pPr>
        <w:tabs>
          <w:tab w:val="num" w:pos="1134"/>
        </w:tabs>
        <w:ind w:left="1134" w:hanging="567"/>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5EF828DC"/>
    <w:multiLevelType w:val="hybridMultilevel"/>
    <w:tmpl w:val="091E2A80"/>
    <w:lvl w:ilvl="0" w:tplc="CFC40EC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5192"/>
        </w:tabs>
        <w:ind w:left="5192" w:hanging="360"/>
      </w:pPr>
      <w:rPr>
        <w:rFonts w:ascii="Courier New" w:hAnsi="Courier New" w:hint="default"/>
      </w:rPr>
    </w:lvl>
    <w:lvl w:ilvl="2" w:tplc="04190005" w:tentative="1">
      <w:start w:val="1"/>
      <w:numFmt w:val="bullet"/>
      <w:lvlText w:val=""/>
      <w:lvlJc w:val="left"/>
      <w:pPr>
        <w:tabs>
          <w:tab w:val="num" w:pos="5912"/>
        </w:tabs>
        <w:ind w:left="5912" w:hanging="360"/>
      </w:pPr>
      <w:rPr>
        <w:rFonts w:ascii="Wingdings" w:hAnsi="Wingdings" w:hint="default"/>
      </w:rPr>
    </w:lvl>
    <w:lvl w:ilvl="3" w:tplc="04190001" w:tentative="1">
      <w:start w:val="1"/>
      <w:numFmt w:val="bullet"/>
      <w:lvlText w:val=""/>
      <w:lvlJc w:val="left"/>
      <w:pPr>
        <w:tabs>
          <w:tab w:val="num" w:pos="6632"/>
        </w:tabs>
        <w:ind w:left="6632" w:hanging="360"/>
      </w:pPr>
      <w:rPr>
        <w:rFonts w:ascii="Symbol" w:hAnsi="Symbol" w:hint="default"/>
      </w:rPr>
    </w:lvl>
    <w:lvl w:ilvl="4" w:tplc="04190003" w:tentative="1">
      <w:start w:val="1"/>
      <w:numFmt w:val="bullet"/>
      <w:lvlText w:val="o"/>
      <w:lvlJc w:val="left"/>
      <w:pPr>
        <w:tabs>
          <w:tab w:val="num" w:pos="7352"/>
        </w:tabs>
        <w:ind w:left="7352" w:hanging="360"/>
      </w:pPr>
      <w:rPr>
        <w:rFonts w:ascii="Courier New" w:hAnsi="Courier New" w:hint="default"/>
      </w:rPr>
    </w:lvl>
    <w:lvl w:ilvl="5" w:tplc="04190005" w:tentative="1">
      <w:start w:val="1"/>
      <w:numFmt w:val="bullet"/>
      <w:lvlText w:val=""/>
      <w:lvlJc w:val="left"/>
      <w:pPr>
        <w:tabs>
          <w:tab w:val="num" w:pos="8072"/>
        </w:tabs>
        <w:ind w:left="8072" w:hanging="360"/>
      </w:pPr>
      <w:rPr>
        <w:rFonts w:ascii="Wingdings" w:hAnsi="Wingdings" w:hint="default"/>
      </w:rPr>
    </w:lvl>
    <w:lvl w:ilvl="6" w:tplc="04190001">
      <w:start w:val="1"/>
      <w:numFmt w:val="bullet"/>
      <w:lvlText w:val=""/>
      <w:lvlJc w:val="left"/>
      <w:pPr>
        <w:tabs>
          <w:tab w:val="num" w:pos="8792"/>
        </w:tabs>
        <w:ind w:left="8792" w:hanging="360"/>
      </w:pPr>
      <w:rPr>
        <w:rFonts w:ascii="Symbol" w:hAnsi="Symbol" w:hint="default"/>
      </w:rPr>
    </w:lvl>
    <w:lvl w:ilvl="7" w:tplc="04190003" w:tentative="1">
      <w:start w:val="1"/>
      <w:numFmt w:val="bullet"/>
      <w:lvlText w:val="o"/>
      <w:lvlJc w:val="left"/>
      <w:pPr>
        <w:tabs>
          <w:tab w:val="num" w:pos="9512"/>
        </w:tabs>
        <w:ind w:left="9512" w:hanging="360"/>
      </w:pPr>
      <w:rPr>
        <w:rFonts w:ascii="Courier New" w:hAnsi="Courier New" w:hint="default"/>
      </w:rPr>
    </w:lvl>
    <w:lvl w:ilvl="8" w:tplc="04190005" w:tentative="1">
      <w:start w:val="1"/>
      <w:numFmt w:val="bullet"/>
      <w:lvlText w:val=""/>
      <w:lvlJc w:val="left"/>
      <w:pPr>
        <w:tabs>
          <w:tab w:val="num" w:pos="10232"/>
        </w:tabs>
        <w:ind w:left="10232" w:hanging="360"/>
      </w:pPr>
      <w:rPr>
        <w:rFonts w:ascii="Wingdings" w:hAnsi="Wingdings" w:hint="default"/>
      </w:rPr>
    </w:lvl>
  </w:abstractNum>
  <w:abstractNum w:abstractNumId="52">
    <w:nsid w:val="5F1C7BC7"/>
    <w:multiLevelType w:val="hybridMultilevel"/>
    <w:tmpl w:val="C6FC3946"/>
    <w:lvl w:ilvl="0" w:tplc="CFC40EC4">
      <w:start w:val="1"/>
      <w:numFmt w:val="bullet"/>
      <w:lvlText w:val="–"/>
      <w:lvlJc w:val="left"/>
      <w:pPr>
        <w:tabs>
          <w:tab w:val="num" w:pos="1703"/>
        </w:tabs>
        <w:ind w:left="1703" w:hanging="567"/>
      </w:pPr>
      <w:rPr>
        <w:rFonts w:ascii="Times New Roman" w:hAnsi="Times New Roman" w:cs="Times New Roman" w:hint="default"/>
      </w:rPr>
    </w:lvl>
    <w:lvl w:ilvl="1" w:tplc="04190003">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53">
    <w:nsid w:val="60043F35"/>
    <w:multiLevelType w:val="hybridMultilevel"/>
    <w:tmpl w:val="408230FC"/>
    <w:lvl w:ilvl="0" w:tplc="BA8861E4">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63186D4C"/>
    <w:multiLevelType w:val="hybridMultilevel"/>
    <w:tmpl w:val="80BE9710"/>
    <w:lvl w:ilvl="0" w:tplc="CFC40EC4">
      <w:start w:val="1"/>
      <w:numFmt w:val="bullet"/>
      <w:lvlText w:val="–"/>
      <w:lvlJc w:val="left"/>
      <w:pPr>
        <w:tabs>
          <w:tab w:val="num" w:pos="1703"/>
        </w:tabs>
        <w:ind w:left="1703" w:hanging="567"/>
      </w:pPr>
      <w:rPr>
        <w:rFonts w:ascii="Times New Roman" w:hAnsi="Times New Roman" w:cs="Times New Roman"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55">
    <w:nsid w:val="63BB5150"/>
    <w:multiLevelType w:val="hybridMultilevel"/>
    <w:tmpl w:val="5F2C8BBE"/>
    <w:lvl w:ilvl="0" w:tplc="F55A3C8A">
      <w:start w:val="1"/>
      <w:numFmt w:val="bullet"/>
      <w:lvlText w:val=""/>
      <w:lvlJc w:val="left"/>
      <w:pPr>
        <w:tabs>
          <w:tab w:val="num" w:pos="1134"/>
        </w:tabs>
        <w:ind w:left="1134" w:hanging="567"/>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6">
    <w:nsid w:val="64363E74"/>
    <w:multiLevelType w:val="hybridMultilevel"/>
    <w:tmpl w:val="3162FC10"/>
    <w:lvl w:ilvl="0" w:tplc="CFC40EC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7">
    <w:nsid w:val="6518161B"/>
    <w:multiLevelType w:val="hybridMultilevel"/>
    <w:tmpl w:val="7FDCAD00"/>
    <w:lvl w:ilvl="0" w:tplc="940E6B84">
      <w:start w:val="1"/>
      <w:numFmt w:val="bullet"/>
      <w:lvlText w:val="­"/>
      <w:lvlJc w:val="left"/>
      <w:pPr>
        <w:tabs>
          <w:tab w:val="num" w:pos="927"/>
        </w:tabs>
        <w:ind w:left="907" w:hanging="34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8">
    <w:nsid w:val="654D034E"/>
    <w:multiLevelType w:val="hybridMultilevel"/>
    <w:tmpl w:val="FBCA31B2"/>
    <w:lvl w:ilvl="0" w:tplc="CFC40EC4">
      <w:start w:val="1"/>
      <w:numFmt w:val="bullet"/>
      <w:lvlText w:val="–"/>
      <w:lvlJc w:val="left"/>
      <w:pPr>
        <w:tabs>
          <w:tab w:val="num" w:pos="1703"/>
        </w:tabs>
        <w:ind w:left="1703" w:hanging="567"/>
      </w:pPr>
      <w:rPr>
        <w:rFonts w:ascii="Times New Roman" w:hAnsi="Times New Roman" w:cs="Times New Roman"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59">
    <w:nsid w:val="65C6242C"/>
    <w:multiLevelType w:val="hybridMultilevel"/>
    <w:tmpl w:val="B34CD796"/>
    <w:lvl w:ilvl="0" w:tplc="CFC40EC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nsid w:val="67D80FFF"/>
    <w:multiLevelType w:val="hybridMultilevel"/>
    <w:tmpl w:val="25B6F946"/>
    <w:lvl w:ilvl="0" w:tplc="CFC40EC4">
      <w:start w:val="1"/>
      <w:numFmt w:val="bullet"/>
      <w:lvlText w:val="–"/>
      <w:lvlJc w:val="left"/>
      <w:pPr>
        <w:tabs>
          <w:tab w:val="num" w:pos="1703"/>
        </w:tabs>
        <w:ind w:left="1703" w:hanging="567"/>
      </w:pPr>
      <w:rPr>
        <w:rFonts w:ascii="Times New Roman" w:hAnsi="Times New Roman" w:cs="Times New Roman" w:hint="default"/>
      </w:rPr>
    </w:lvl>
    <w:lvl w:ilvl="1" w:tplc="FF2AB610">
      <w:numFmt w:val="bullet"/>
      <w:lvlText w:val="-"/>
      <w:lvlJc w:val="left"/>
      <w:pPr>
        <w:tabs>
          <w:tab w:val="num" w:pos="2219"/>
        </w:tabs>
        <w:ind w:left="2219" w:hanging="570"/>
      </w:pPr>
      <w:rPr>
        <w:rFonts w:ascii="Times New Roman" w:eastAsia="Times New Roman" w:hAnsi="Times New Roman" w:cs="Times New Roman"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61">
    <w:nsid w:val="69D90250"/>
    <w:multiLevelType w:val="hybridMultilevel"/>
    <w:tmpl w:val="D76E468C"/>
    <w:lvl w:ilvl="0" w:tplc="2F0C2428">
      <w:numFmt w:val="bullet"/>
      <w:lvlText w:val=""/>
      <w:lvlJc w:val="left"/>
      <w:pPr>
        <w:tabs>
          <w:tab w:val="num" w:pos="1134"/>
        </w:tabs>
        <w:ind w:left="1134" w:hanging="567"/>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2">
    <w:nsid w:val="6F752020"/>
    <w:multiLevelType w:val="hybridMultilevel"/>
    <w:tmpl w:val="491E9816"/>
    <w:lvl w:ilvl="0" w:tplc="CFC40EC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3">
    <w:nsid w:val="73607527"/>
    <w:multiLevelType w:val="hybridMultilevel"/>
    <w:tmpl w:val="78C21874"/>
    <w:lvl w:ilvl="0" w:tplc="CFC40EC4">
      <w:start w:val="1"/>
      <w:numFmt w:val="bullet"/>
      <w:lvlText w:val="–"/>
      <w:lvlJc w:val="left"/>
      <w:pPr>
        <w:tabs>
          <w:tab w:val="num" w:pos="1703"/>
        </w:tabs>
        <w:ind w:left="1703" w:hanging="567"/>
      </w:pPr>
      <w:rPr>
        <w:rFonts w:ascii="Times New Roman" w:hAnsi="Times New Roman" w:cs="Times New Roman" w:hint="default"/>
      </w:rPr>
    </w:lvl>
    <w:lvl w:ilvl="1" w:tplc="04190003">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64">
    <w:nsid w:val="77F25D13"/>
    <w:multiLevelType w:val="hybridMultilevel"/>
    <w:tmpl w:val="FADC6890"/>
    <w:lvl w:ilvl="0" w:tplc="CFC40EC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nsid w:val="78326CCA"/>
    <w:multiLevelType w:val="hybridMultilevel"/>
    <w:tmpl w:val="864E04F2"/>
    <w:lvl w:ilvl="0" w:tplc="3C784C5E">
      <w:numFmt w:val="bullet"/>
      <w:lvlText w:val=""/>
      <w:lvlJc w:val="left"/>
      <w:pPr>
        <w:tabs>
          <w:tab w:val="num" w:pos="1134"/>
        </w:tabs>
        <w:ind w:left="1134" w:hanging="567"/>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6">
    <w:nsid w:val="791E5776"/>
    <w:multiLevelType w:val="hybridMultilevel"/>
    <w:tmpl w:val="565A3FBE"/>
    <w:lvl w:ilvl="0" w:tplc="CFC40EC4">
      <w:start w:val="1"/>
      <w:numFmt w:val="bullet"/>
      <w:lvlText w:val="–"/>
      <w:lvlJc w:val="left"/>
      <w:pPr>
        <w:tabs>
          <w:tab w:val="num" w:pos="1134"/>
        </w:tabs>
        <w:ind w:left="1134" w:hanging="567"/>
      </w:pPr>
      <w:rPr>
        <w:rFonts w:ascii="Times New Roman" w:hAnsi="Times New Roman" w:cs="Times New Roman" w:hint="default"/>
      </w:rPr>
    </w:lvl>
    <w:lvl w:ilvl="1" w:tplc="F8C2DEB0">
      <w:start w:val="1"/>
      <w:numFmt w:val="bullet"/>
      <w:lvlText w:val="–"/>
      <w:lvlJc w:val="left"/>
      <w:pPr>
        <w:tabs>
          <w:tab w:val="num" w:pos="3449"/>
        </w:tabs>
        <w:ind w:left="3449" w:hanging="567"/>
      </w:pPr>
      <w:rPr>
        <w:rFonts w:ascii="Times New Roman" w:hAnsi="Times New Roman" w:cs="Times New Roman" w:hint="default"/>
      </w:rPr>
    </w:lvl>
    <w:lvl w:ilvl="2" w:tplc="3C784C5E">
      <w:numFmt w:val="bullet"/>
      <w:lvlText w:val=""/>
      <w:lvlJc w:val="left"/>
      <w:pPr>
        <w:tabs>
          <w:tab w:val="num" w:pos="4169"/>
        </w:tabs>
        <w:ind w:left="4169" w:hanging="567"/>
      </w:pPr>
      <w:rPr>
        <w:rFonts w:ascii="Symbol" w:eastAsia="Times New Roman" w:hAnsi="Symbol" w:cs="Times New Roman" w:hint="default"/>
      </w:rPr>
    </w:lvl>
    <w:lvl w:ilvl="3" w:tplc="DCCAC04E">
      <w:numFmt w:val="bullet"/>
      <w:lvlText w:val="-"/>
      <w:lvlJc w:val="left"/>
      <w:pPr>
        <w:tabs>
          <w:tab w:val="num" w:pos="4682"/>
        </w:tabs>
        <w:ind w:left="4682" w:hanging="360"/>
      </w:pPr>
      <w:rPr>
        <w:rFonts w:ascii="Times New Roman" w:eastAsia="Times New Roman" w:hAnsi="Times New Roman" w:cs="Times New Roman" w:hint="default"/>
      </w:rPr>
    </w:lvl>
    <w:lvl w:ilvl="4" w:tplc="04190003" w:tentative="1">
      <w:start w:val="1"/>
      <w:numFmt w:val="bullet"/>
      <w:lvlText w:val="o"/>
      <w:lvlJc w:val="left"/>
      <w:pPr>
        <w:tabs>
          <w:tab w:val="num" w:pos="5402"/>
        </w:tabs>
        <w:ind w:left="5402" w:hanging="360"/>
      </w:pPr>
      <w:rPr>
        <w:rFonts w:ascii="Courier New" w:hAnsi="Courier New" w:hint="default"/>
      </w:rPr>
    </w:lvl>
    <w:lvl w:ilvl="5" w:tplc="04190005" w:tentative="1">
      <w:start w:val="1"/>
      <w:numFmt w:val="bullet"/>
      <w:lvlText w:val=""/>
      <w:lvlJc w:val="left"/>
      <w:pPr>
        <w:tabs>
          <w:tab w:val="num" w:pos="6122"/>
        </w:tabs>
        <w:ind w:left="6122" w:hanging="360"/>
      </w:pPr>
      <w:rPr>
        <w:rFonts w:ascii="Wingdings" w:hAnsi="Wingdings" w:hint="default"/>
      </w:rPr>
    </w:lvl>
    <w:lvl w:ilvl="6" w:tplc="04190001" w:tentative="1">
      <w:start w:val="1"/>
      <w:numFmt w:val="bullet"/>
      <w:lvlText w:val=""/>
      <w:lvlJc w:val="left"/>
      <w:pPr>
        <w:tabs>
          <w:tab w:val="num" w:pos="6842"/>
        </w:tabs>
        <w:ind w:left="6842" w:hanging="360"/>
      </w:pPr>
      <w:rPr>
        <w:rFonts w:ascii="Symbol" w:hAnsi="Symbol" w:hint="default"/>
      </w:rPr>
    </w:lvl>
    <w:lvl w:ilvl="7" w:tplc="04190003" w:tentative="1">
      <w:start w:val="1"/>
      <w:numFmt w:val="bullet"/>
      <w:lvlText w:val="o"/>
      <w:lvlJc w:val="left"/>
      <w:pPr>
        <w:tabs>
          <w:tab w:val="num" w:pos="7562"/>
        </w:tabs>
        <w:ind w:left="7562" w:hanging="360"/>
      </w:pPr>
      <w:rPr>
        <w:rFonts w:ascii="Courier New" w:hAnsi="Courier New" w:hint="default"/>
      </w:rPr>
    </w:lvl>
    <w:lvl w:ilvl="8" w:tplc="04190005" w:tentative="1">
      <w:start w:val="1"/>
      <w:numFmt w:val="bullet"/>
      <w:lvlText w:val=""/>
      <w:lvlJc w:val="left"/>
      <w:pPr>
        <w:tabs>
          <w:tab w:val="num" w:pos="8282"/>
        </w:tabs>
        <w:ind w:left="8282" w:hanging="360"/>
      </w:pPr>
      <w:rPr>
        <w:rFonts w:ascii="Wingdings" w:hAnsi="Wingdings" w:hint="default"/>
      </w:rPr>
    </w:lvl>
  </w:abstractNum>
  <w:abstractNum w:abstractNumId="67">
    <w:nsid w:val="79BC7672"/>
    <w:multiLevelType w:val="hybridMultilevel"/>
    <w:tmpl w:val="3266BE10"/>
    <w:lvl w:ilvl="0" w:tplc="66C286BE">
      <w:start w:val="1"/>
      <w:numFmt w:val="bullet"/>
      <w:lvlText w:val="­"/>
      <w:lvlJc w:val="left"/>
      <w:pPr>
        <w:tabs>
          <w:tab w:val="num" w:pos="963"/>
        </w:tabs>
        <w:ind w:left="963" w:hanging="396"/>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8">
    <w:nsid w:val="7A5E4ADD"/>
    <w:multiLevelType w:val="hybridMultilevel"/>
    <w:tmpl w:val="6A6C27B2"/>
    <w:lvl w:ilvl="0" w:tplc="CFC40EC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9">
    <w:nsid w:val="7B7F1AE0"/>
    <w:multiLevelType w:val="hybridMultilevel"/>
    <w:tmpl w:val="7EBEBCE0"/>
    <w:lvl w:ilvl="0" w:tplc="F8C2DEB0">
      <w:start w:val="1"/>
      <w:numFmt w:val="bullet"/>
      <w:lvlText w:val="–"/>
      <w:lvlJc w:val="left"/>
      <w:pPr>
        <w:tabs>
          <w:tab w:val="num" w:pos="1703"/>
        </w:tabs>
        <w:ind w:left="1703" w:hanging="567"/>
      </w:pPr>
      <w:rPr>
        <w:rFonts w:ascii="Times New Roman" w:hAnsi="Times New Roman" w:cs="Times New Roman" w:hint="default"/>
      </w:rPr>
    </w:lvl>
    <w:lvl w:ilvl="1" w:tplc="DCCAC04E">
      <w:numFmt w:val="bullet"/>
      <w:lvlText w:val="-"/>
      <w:lvlJc w:val="left"/>
      <w:pPr>
        <w:tabs>
          <w:tab w:val="num" w:pos="2009"/>
        </w:tabs>
        <w:ind w:left="2009" w:hanging="360"/>
      </w:pPr>
      <w:rPr>
        <w:rFonts w:ascii="Times New Roman" w:eastAsia="Times New Roman" w:hAnsi="Times New Roman" w:cs="Times New Roman"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70">
    <w:nsid w:val="7F3C7AF7"/>
    <w:multiLevelType w:val="hybridMultilevel"/>
    <w:tmpl w:val="57F4B3A2"/>
    <w:lvl w:ilvl="0" w:tplc="CFC40EC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1">
    <w:nsid w:val="7FC45D33"/>
    <w:multiLevelType w:val="hybridMultilevel"/>
    <w:tmpl w:val="730ABF4E"/>
    <w:lvl w:ilvl="0" w:tplc="F8C2DEB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306"/>
        </w:tabs>
        <w:ind w:left="306" w:hanging="360"/>
      </w:pPr>
      <w:rPr>
        <w:rFonts w:ascii="Courier New" w:hAnsi="Courier New" w:hint="default"/>
      </w:rPr>
    </w:lvl>
    <w:lvl w:ilvl="2" w:tplc="04190005" w:tentative="1">
      <w:start w:val="1"/>
      <w:numFmt w:val="bullet"/>
      <w:lvlText w:val=""/>
      <w:lvlJc w:val="left"/>
      <w:pPr>
        <w:tabs>
          <w:tab w:val="num" w:pos="1026"/>
        </w:tabs>
        <w:ind w:left="1026" w:hanging="360"/>
      </w:pPr>
      <w:rPr>
        <w:rFonts w:ascii="Wingdings" w:hAnsi="Wingdings" w:hint="default"/>
      </w:rPr>
    </w:lvl>
    <w:lvl w:ilvl="3" w:tplc="04190001" w:tentative="1">
      <w:start w:val="1"/>
      <w:numFmt w:val="bullet"/>
      <w:lvlText w:val=""/>
      <w:lvlJc w:val="left"/>
      <w:pPr>
        <w:tabs>
          <w:tab w:val="num" w:pos="1746"/>
        </w:tabs>
        <w:ind w:left="1746" w:hanging="360"/>
      </w:pPr>
      <w:rPr>
        <w:rFonts w:ascii="Symbol" w:hAnsi="Symbol" w:hint="default"/>
      </w:rPr>
    </w:lvl>
    <w:lvl w:ilvl="4" w:tplc="04190003" w:tentative="1">
      <w:start w:val="1"/>
      <w:numFmt w:val="bullet"/>
      <w:lvlText w:val="o"/>
      <w:lvlJc w:val="left"/>
      <w:pPr>
        <w:tabs>
          <w:tab w:val="num" w:pos="2466"/>
        </w:tabs>
        <w:ind w:left="2466" w:hanging="360"/>
      </w:pPr>
      <w:rPr>
        <w:rFonts w:ascii="Courier New" w:hAnsi="Courier New" w:hint="default"/>
      </w:rPr>
    </w:lvl>
    <w:lvl w:ilvl="5" w:tplc="04190005" w:tentative="1">
      <w:start w:val="1"/>
      <w:numFmt w:val="bullet"/>
      <w:lvlText w:val=""/>
      <w:lvlJc w:val="left"/>
      <w:pPr>
        <w:tabs>
          <w:tab w:val="num" w:pos="3186"/>
        </w:tabs>
        <w:ind w:left="3186" w:hanging="360"/>
      </w:pPr>
      <w:rPr>
        <w:rFonts w:ascii="Wingdings" w:hAnsi="Wingdings" w:hint="default"/>
      </w:rPr>
    </w:lvl>
    <w:lvl w:ilvl="6" w:tplc="04190001" w:tentative="1">
      <w:start w:val="1"/>
      <w:numFmt w:val="bullet"/>
      <w:lvlText w:val=""/>
      <w:lvlJc w:val="left"/>
      <w:pPr>
        <w:tabs>
          <w:tab w:val="num" w:pos="3906"/>
        </w:tabs>
        <w:ind w:left="3906" w:hanging="360"/>
      </w:pPr>
      <w:rPr>
        <w:rFonts w:ascii="Symbol" w:hAnsi="Symbol" w:hint="default"/>
      </w:rPr>
    </w:lvl>
    <w:lvl w:ilvl="7" w:tplc="04190003" w:tentative="1">
      <w:start w:val="1"/>
      <w:numFmt w:val="bullet"/>
      <w:lvlText w:val="o"/>
      <w:lvlJc w:val="left"/>
      <w:pPr>
        <w:tabs>
          <w:tab w:val="num" w:pos="4626"/>
        </w:tabs>
        <w:ind w:left="4626" w:hanging="360"/>
      </w:pPr>
      <w:rPr>
        <w:rFonts w:ascii="Courier New" w:hAnsi="Courier New" w:hint="default"/>
      </w:rPr>
    </w:lvl>
    <w:lvl w:ilvl="8" w:tplc="04190005" w:tentative="1">
      <w:start w:val="1"/>
      <w:numFmt w:val="bullet"/>
      <w:lvlText w:val=""/>
      <w:lvlJc w:val="left"/>
      <w:pPr>
        <w:tabs>
          <w:tab w:val="num" w:pos="5346"/>
        </w:tabs>
        <w:ind w:left="5346" w:hanging="360"/>
      </w:pPr>
      <w:rPr>
        <w:rFonts w:ascii="Wingdings" w:hAnsi="Wingdings" w:hint="default"/>
      </w:rPr>
    </w:lvl>
  </w:abstractNum>
  <w:num w:numId="1">
    <w:abstractNumId w:val="25"/>
  </w:num>
  <w:num w:numId="2">
    <w:abstractNumId w:val="25"/>
  </w:num>
  <w:num w:numId="3">
    <w:abstractNumId w:val="69"/>
  </w:num>
  <w:num w:numId="4">
    <w:abstractNumId w:val="18"/>
  </w:num>
  <w:num w:numId="5">
    <w:abstractNumId w:val="27"/>
  </w:num>
  <w:num w:numId="6">
    <w:abstractNumId w:val="66"/>
  </w:num>
  <w:num w:numId="7">
    <w:abstractNumId w:val="51"/>
  </w:num>
  <w:num w:numId="8">
    <w:abstractNumId w:val="34"/>
  </w:num>
  <w:num w:numId="9">
    <w:abstractNumId w:val="57"/>
  </w:num>
  <w:num w:numId="10">
    <w:abstractNumId w:val="48"/>
  </w:num>
  <w:num w:numId="11">
    <w:abstractNumId w:val="22"/>
  </w:num>
  <w:num w:numId="12">
    <w:abstractNumId w:val="60"/>
  </w:num>
  <w:num w:numId="13">
    <w:abstractNumId w:val="36"/>
  </w:num>
  <w:num w:numId="14">
    <w:abstractNumId w:val="38"/>
  </w:num>
  <w:num w:numId="15">
    <w:abstractNumId w:val="4"/>
  </w:num>
  <w:num w:numId="16">
    <w:abstractNumId w:val="23"/>
  </w:num>
  <w:num w:numId="17">
    <w:abstractNumId w:val="41"/>
  </w:num>
  <w:num w:numId="18">
    <w:abstractNumId w:val="0"/>
  </w:num>
  <w:num w:numId="19">
    <w:abstractNumId w:val="9"/>
  </w:num>
  <w:num w:numId="20">
    <w:abstractNumId w:val="71"/>
  </w:num>
  <w:num w:numId="21">
    <w:abstractNumId w:val="50"/>
  </w:num>
  <w:num w:numId="22">
    <w:abstractNumId w:val="28"/>
  </w:num>
  <w:num w:numId="23">
    <w:abstractNumId w:val="65"/>
  </w:num>
  <w:num w:numId="24">
    <w:abstractNumId w:val="3"/>
  </w:num>
  <w:num w:numId="25">
    <w:abstractNumId w:val="2"/>
  </w:num>
  <w:num w:numId="26">
    <w:abstractNumId w:val="53"/>
  </w:num>
  <w:num w:numId="27">
    <w:abstractNumId w:val="55"/>
  </w:num>
  <w:num w:numId="28">
    <w:abstractNumId w:val="20"/>
  </w:num>
  <w:num w:numId="29">
    <w:abstractNumId w:val="19"/>
  </w:num>
  <w:num w:numId="30">
    <w:abstractNumId w:val="54"/>
  </w:num>
  <w:num w:numId="31">
    <w:abstractNumId w:val="64"/>
  </w:num>
  <w:num w:numId="32">
    <w:abstractNumId w:val="58"/>
  </w:num>
  <w:num w:numId="33">
    <w:abstractNumId w:val="59"/>
  </w:num>
  <w:num w:numId="34">
    <w:abstractNumId w:val="12"/>
  </w:num>
  <w:num w:numId="35">
    <w:abstractNumId w:val="15"/>
  </w:num>
  <w:num w:numId="36">
    <w:abstractNumId w:val="5"/>
  </w:num>
  <w:num w:numId="37">
    <w:abstractNumId w:val="70"/>
  </w:num>
  <w:num w:numId="38">
    <w:abstractNumId w:val="63"/>
  </w:num>
  <w:num w:numId="39">
    <w:abstractNumId w:val="43"/>
  </w:num>
  <w:num w:numId="40">
    <w:abstractNumId w:val="21"/>
  </w:num>
  <w:num w:numId="41">
    <w:abstractNumId w:val="46"/>
  </w:num>
  <w:num w:numId="42">
    <w:abstractNumId w:val="62"/>
  </w:num>
  <w:num w:numId="43">
    <w:abstractNumId w:val="1"/>
  </w:num>
  <w:num w:numId="44">
    <w:abstractNumId w:val="7"/>
  </w:num>
  <w:num w:numId="45">
    <w:abstractNumId w:val="29"/>
  </w:num>
  <w:num w:numId="46">
    <w:abstractNumId w:val="13"/>
  </w:num>
  <w:num w:numId="47">
    <w:abstractNumId w:val="49"/>
  </w:num>
  <w:num w:numId="48">
    <w:abstractNumId w:val="47"/>
  </w:num>
  <w:num w:numId="49">
    <w:abstractNumId w:val="8"/>
  </w:num>
  <w:num w:numId="50">
    <w:abstractNumId w:val="24"/>
  </w:num>
  <w:num w:numId="51">
    <w:abstractNumId w:val="11"/>
  </w:num>
  <w:num w:numId="52">
    <w:abstractNumId w:val="45"/>
  </w:num>
  <w:num w:numId="53">
    <w:abstractNumId w:val="10"/>
  </w:num>
  <w:num w:numId="54">
    <w:abstractNumId w:val="31"/>
  </w:num>
  <w:num w:numId="55">
    <w:abstractNumId w:val="67"/>
  </w:num>
  <w:num w:numId="56">
    <w:abstractNumId w:val="37"/>
  </w:num>
  <w:num w:numId="57">
    <w:abstractNumId w:val="44"/>
  </w:num>
  <w:num w:numId="58">
    <w:abstractNumId w:val="14"/>
  </w:num>
  <w:num w:numId="59">
    <w:abstractNumId w:val="33"/>
  </w:num>
  <w:num w:numId="60">
    <w:abstractNumId w:val="30"/>
  </w:num>
  <w:num w:numId="61">
    <w:abstractNumId w:val="39"/>
  </w:num>
  <w:num w:numId="62">
    <w:abstractNumId w:val="35"/>
  </w:num>
  <w:num w:numId="63">
    <w:abstractNumId w:val="17"/>
  </w:num>
  <w:num w:numId="64">
    <w:abstractNumId w:val="61"/>
  </w:num>
  <w:num w:numId="65">
    <w:abstractNumId w:val="40"/>
  </w:num>
  <w:num w:numId="66">
    <w:abstractNumId w:val="32"/>
  </w:num>
  <w:num w:numId="67">
    <w:abstractNumId w:val="6"/>
  </w:num>
  <w:num w:numId="68">
    <w:abstractNumId w:val="16"/>
  </w:num>
  <w:num w:numId="69">
    <w:abstractNumId w:val="56"/>
  </w:num>
  <w:num w:numId="70">
    <w:abstractNumId w:val="52"/>
  </w:num>
  <w:num w:numId="71">
    <w:abstractNumId w:val="42"/>
  </w:num>
  <w:num w:numId="72">
    <w:abstractNumId w:val="26"/>
  </w:num>
  <w:num w:numId="73">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customStyle="1" w:styleId="1">
    <w:name w:val="текст 1"/>
    <w:basedOn w:val="Normal"/>
  </w:style>
  <w:style w:type="paragraph" w:customStyle="1" w:styleId="2">
    <w:name w:val="текст 2"/>
    <w:basedOn w:val="Normal"/>
  </w:style>
  <w:style w:type="paragraph" w:styleId="ListBullet">
    <w:name w:val="List Bullet"/>
    <w:basedOn w:val="Normal"/>
    <w:autoRedefine/>
    <w:semiHidden/>
    <w:pPr>
      <w:numPr>
        <w:numId w:val="19"/>
      </w:numPr>
      <w:tabs>
        <w:tab w:val="left" w:pos="1134"/>
        <w:tab w:val="left" w:pos="1701"/>
        <w:tab w:val="left" w:pos="2268"/>
        <w:tab w:val="left" w:pos="6237"/>
      </w:tabs>
    </w:pPr>
  </w:style>
  <w:style w:type="paragraph" w:customStyle="1" w:styleId="10">
    <w:name w:val="Заголовок 10"/>
    <w:basedOn w:val="Title"/>
  </w:style>
  <w:style w:type="paragraph" w:styleId="Title">
    <w:name w:val="Title"/>
    <w:basedOn w:val="Normal"/>
    <w:qFormat/>
    <w:pPr>
      <w:tabs>
        <w:tab w:val="left" w:pos="567"/>
        <w:tab w:val="left" w:pos="1134"/>
        <w:tab w:val="left" w:pos="1701"/>
        <w:tab w:val="left" w:pos="2268"/>
        <w:tab w:val="left" w:pos="6237"/>
      </w:tabs>
      <w:jc w:val="center"/>
    </w:pPr>
    <w:rPr>
      <w:b/>
    </w:rPr>
  </w:style>
  <w:style w:type="paragraph" w:customStyle="1" w:styleId="11">
    <w:name w:val="Заголовок 11"/>
    <w:basedOn w:val="Subtitle"/>
  </w:style>
  <w:style w:type="paragraph" w:styleId="Subtitle">
    <w:name w:val="Subtitle"/>
    <w:basedOn w:val="Normal"/>
    <w:qFormat/>
    <w:pPr>
      <w:tabs>
        <w:tab w:val="left" w:pos="567"/>
        <w:tab w:val="left" w:pos="1134"/>
        <w:tab w:val="left" w:pos="1701"/>
        <w:tab w:val="left" w:pos="2268"/>
        <w:tab w:val="left" w:pos="6237"/>
      </w:tabs>
      <w:jc w:val="center"/>
    </w:pPr>
    <w:rPr>
      <w:u w:val="single"/>
    </w:rPr>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customStyle="1" w:styleId="15">
    <w:name w:val="Заголовок 15"/>
    <w:basedOn w:val="Normal"/>
    <w:pPr>
      <w:tabs>
        <w:tab w:val="left" w:pos="567"/>
        <w:tab w:val="left" w:pos="1134"/>
        <w:tab w:val="left" w:pos="1701"/>
        <w:tab w:val="left" w:pos="2268"/>
        <w:tab w:val="left" w:pos="6237"/>
      </w:tabs>
      <w:jc w:val="center"/>
    </w:pPr>
    <w:rPr>
      <w:i/>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customStyle="1" w:styleId="ParaNo">
    <w:name w:val="ParaNo."/>
    <w:basedOn w:val="Normal"/>
    <w:pPr>
      <w:numPr>
        <w:numId w:val="59"/>
      </w:numPr>
      <w:tabs>
        <w:tab w:val="clear" w:pos="567"/>
        <w:tab w:val="clear" w:pos="1134"/>
        <w:tab w:val="clear" w:pos="1701"/>
        <w:tab w:val="clear" w:pos="2268"/>
        <w:tab w:val="clear" w:pos="6237"/>
        <w:tab w:val="left" w:pos="737"/>
      </w:tabs>
      <w:spacing w:after="240" w:line="240" w:lineRule="auto"/>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9</TotalTime>
  <Pages>1</Pages>
  <Words>62039</Words>
  <Characters>353623</Characters>
  <Application>Microsoft Office Word</Application>
  <DocSecurity>4</DocSecurity>
  <Lines>2946</Lines>
  <Paragraphs>707</Paragraphs>
  <ScaleCrop>false</ScaleCrop>
  <HeadingPairs>
    <vt:vector size="2" baseType="variant">
      <vt:variant>
        <vt:lpstr>Название</vt:lpstr>
      </vt:variant>
      <vt:variant>
        <vt:i4>1</vt:i4>
      </vt:variant>
    </vt:vector>
  </HeadingPairs>
  <TitlesOfParts>
    <vt:vector size="1" baseType="lpstr">
      <vt:lpstr>0540308</vt:lpstr>
    </vt:vector>
  </TitlesOfParts>
  <Company> </Company>
  <LinksUpToDate>false</LinksUpToDate>
  <CharactersWithSpaces>434273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0540308</dc:title>
  <dc:subject/>
  <dc:creator>Аргунова</dc:creator>
  <cp:keywords/>
  <dc:description/>
  <cp:lastModifiedBy>Аргунова</cp:lastModifiedBy>
  <cp:revision>3</cp:revision>
  <cp:lastPrinted>2005-12-28T14:10:00Z</cp:lastPrinted>
  <dcterms:created xsi:type="dcterms:W3CDTF">2005-12-28T14:03:00Z</dcterms:created>
  <dcterms:modified xsi:type="dcterms:W3CDTF">2005-12-28T14:11:00Z</dcterms:modified>
</cp:coreProperties>
</file>