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08D" w:rsidRDefault="008B508D" w:rsidP="008B508D">
      <w:pPr>
        <w:spacing w:line="240" w:lineRule="auto"/>
        <w:jc w:val="left"/>
        <w:rPr>
          <w:szCs w:val="6"/>
        </w:rPr>
        <w:sectPr w:rsidR="008B508D" w:rsidSect="008B508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B508D" w:rsidRDefault="008B508D" w:rsidP="008B508D">
      <w:pPr>
        <w:pStyle w:val="H1"/>
        <w:rPr>
          <w:rtl/>
        </w:rPr>
      </w:pPr>
      <w:r>
        <w:rPr>
          <w:rtl/>
        </w:rPr>
        <w:t>اللجنة المعنية بالقضاء على التمييز ضد المرأة</w:t>
      </w:r>
    </w:p>
    <w:p w:rsidR="008B508D" w:rsidRDefault="008B508D" w:rsidP="00617BDA">
      <w:pPr>
        <w:pStyle w:val="H23"/>
        <w:rPr>
          <w:rtl/>
        </w:rPr>
      </w:pPr>
      <w:r>
        <w:rPr>
          <w:rtl/>
        </w:rPr>
        <w:t xml:space="preserve">الدورة </w:t>
      </w:r>
      <w:r w:rsidR="00617BDA">
        <w:rPr>
          <w:rFonts w:hint="cs"/>
          <w:rtl/>
        </w:rPr>
        <w:t xml:space="preserve">الثالثة والأربعون </w:t>
      </w:r>
    </w:p>
    <w:p w:rsidR="008B508D" w:rsidRPr="008B508D" w:rsidRDefault="008B508D" w:rsidP="008B508D">
      <w:pPr>
        <w:spacing w:line="120" w:lineRule="exact"/>
        <w:rPr>
          <w:rFonts w:hint="cs"/>
          <w:sz w:val="12"/>
          <w:rtl/>
        </w:rPr>
      </w:pPr>
    </w:p>
    <w:p w:rsidR="008B508D" w:rsidRDefault="008B508D" w:rsidP="008B508D">
      <w:pPr>
        <w:pStyle w:val="H23"/>
        <w:rPr>
          <w:rFonts w:hint="cs"/>
          <w:rtl/>
        </w:rPr>
      </w:pPr>
      <w:r>
        <w:rPr>
          <w:rtl/>
        </w:rPr>
        <w:t xml:space="preserve">محضر موجز للجلسة </w:t>
      </w:r>
      <w:r w:rsidR="00617BDA">
        <w:rPr>
          <w:rFonts w:hint="cs"/>
          <w:rtl/>
        </w:rPr>
        <w:t>869</w:t>
      </w:r>
    </w:p>
    <w:p w:rsidR="008B508D" w:rsidRDefault="008B508D" w:rsidP="00106F39">
      <w:pPr>
        <w:pStyle w:val="SingleTxt"/>
        <w:ind w:left="0" w:right="0"/>
        <w:rPr>
          <w:rFonts w:hint="cs"/>
          <w:rtl/>
        </w:rPr>
      </w:pPr>
      <w:r>
        <w:rPr>
          <w:rtl/>
        </w:rPr>
        <w:t xml:space="preserve">المعقودة في </w:t>
      </w:r>
      <w:r w:rsidR="00617BDA">
        <w:rPr>
          <w:rFonts w:hint="cs"/>
          <w:rtl/>
        </w:rPr>
        <w:t>قصر الأمم، جنيف</w:t>
      </w:r>
      <w:r>
        <w:rPr>
          <w:rtl/>
        </w:rPr>
        <w:t xml:space="preserve">، يوم </w:t>
      </w:r>
      <w:r w:rsidR="00617BDA">
        <w:rPr>
          <w:rFonts w:hint="cs"/>
          <w:rtl/>
        </w:rPr>
        <w:t>الثلاثاء</w:t>
      </w:r>
      <w:r>
        <w:rPr>
          <w:rtl/>
        </w:rPr>
        <w:t xml:space="preserve">، </w:t>
      </w:r>
      <w:r w:rsidR="00617BDA">
        <w:rPr>
          <w:rFonts w:hint="cs"/>
          <w:rtl/>
        </w:rPr>
        <w:t>20 كانون الثاني/يناير</w:t>
      </w:r>
      <w:r>
        <w:rPr>
          <w:rtl/>
        </w:rPr>
        <w:t xml:space="preserve"> </w:t>
      </w:r>
      <w:r w:rsidR="00106F39">
        <w:rPr>
          <w:rFonts w:hint="cs"/>
          <w:rtl/>
        </w:rPr>
        <w:t>2009</w:t>
      </w:r>
      <w:r>
        <w:rPr>
          <w:rtl/>
        </w:rPr>
        <w:t xml:space="preserve">، الساعة </w:t>
      </w:r>
      <w:r w:rsidR="00617BDA">
        <w:rPr>
          <w:rFonts w:hint="cs"/>
          <w:rtl/>
        </w:rPr>
        <w:t>35/12</w:t>
      </w:r>
    </w:p>
    <w:p w:rsidR="008B508D" w:rsidRPr="008B508D" w:rsidRDefault="008B508D" w:rsidP="008B508D">
      <w:pPr>
        <w:pStyle w:val="SingleTxt"/>
        <w:spacing w:after="0" w:line="120" w:lineRule="exact"/>
        <w:ind w:left="0" w:right="0"/>
        <w:rPr>
          <w:sz w:val="12"/>
          <w:rtl/>
        </w:rPr>
      </w:pPr>
    </w:p>
    <w:p w:rsidR="008B508D" w:rsidRDefault="008B508D" w:rsidP="00617BD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sidR="00617BDA">
        <w:rPr>
          <w:rFonts w:ascii="Traditional Arabic" w:hAnsi="Traditional Arabic" w:hint="cs"/>
          <w:iCs/>
          <w:rtl/>
        </w:rPr>
        <w:t>ة</w:t>
      </w:r>
      <w:r>
        <w:rPr>
          <w:rFonts w:ascii="Traditional Arabic" w:hAnsi="Traditional Arabic"/>
          <w:iCs/>
          <w:rtl/>
        </w:rPr>
        <w:t xml:space="preserve"> المؤقت</w:t>
      </w:r>
      <w:r w:rsidR="00617BDA">
        <w:rPr>
          <w:rFonts w:ascii="Traditional Arabic" w:hAnsi="Traditional Arabic" w:hint="cs"/>
          <w:iCs/>
          <w:rtl/>
        </w:rPr>
        <w:t>ة</w:t>
      </w:r>
      <w:r>
        <w:rPr>
          <w:rFonts w:ascii="Traditional Arabic" w:hAnsi="Traditional Arabic"/>
          <w:iCs/>
          <w:rtl/>
        </w:rPr>
        <w:t>:</w:t>
      </w:r>
      <w:r>
        <w:rPr>
          <w:rFonts w:ascii="Traditional Arabic" w:hAnsi="Traditional Arabic"/>
          <w:iCs/>
          <w:rtl/>
        </w:rPr>
        <w:tab/>
      </w:r>
      <w:r>
        <w:rPr>
          <w:rFonts w:ascii="Traditional Arabic" w:hAnsi="Traditional Arabic"/>
          <w:rtl/>
        </w:rPr>
        <w:t>السيد</w:t>
      </w:r>
      <w:r w:rsidR="00617BDA">
        <w:rPr>
          <w:rFonts w:ascii="Traditional Arabic" w:hAnsi="Traditional Arabic" w:hint="cs"/>
          <w:rtl/>
        </w:rPr>
        <w:t>ة سيمونوفيتش</w:t>
      </w:r>
    </w:p>
    <w:p w:rsidR="008B508D" w:rsidRDefault="008B508D" w:rsidP="00617BD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spacing w:val="4"/>
          <w:rtl/>
        </w:rPr>
        <w:tab/>
      </w:r>
      <w:r>
        <w:rPr>
          <w:rFonts w:ascii="Traditional Arabic" w:hAnsi="Traditional Arabic"/>
          <w:iCs/>
          <w:spacing w:val="4"/>
          <w:rtl/>
        </w:rPr>
        <w:t>الرئيس</w:t>
      </w:r>
      <w:r w:rsidR="00617BDA">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spacing w:val="4"/>
          <w:rtl/>
        </w:rPr>
        <w:tab/>
        <w:t>السيد</w:t>
      </w:r>
      <w:r w:rsidR="00C94309">
        <w:rPr>
          <w:rFonts w:ascii="Traditional Arabic" w:hAnsi="Traditional Arabic" w:hint="cs"/>
          <w:spacing w:val="4"/>
          <w:rtl/>
        </w:rPr>
        <w:t>ة</w:t>
      </w:r>
      <w:r w:rsidR="00617BDA">
        <w:rPr>
          <w:rFonts w:ascii="Traditional Arabic" w:hAnsi="Traditional Arabic" w:hint="cs"/>
          <w:spacing w:val="4"/>
          <w:rtl/>
        </w:rPr>
        <w:t xml:space="preserve"> جبر</w:t>
      </w:r>
    </w:p>
    <w:p w:rsidR="008B508D" w:rsidRPr="008B508D" w:rsidRDefault="008B508D" w:rsidP="008B508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B508D" w:rsidRPr="008B508D" w:rsidRDefault="008B508D" w:rsidP="008B508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B508D" w:rsidRPr="008B508D" w:rsidRDefault="008B508D" w:rsidP="008B508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B508D" w:rsidRDefault="008B508D" w:rsidP="008B508D">
      <w:pPr>
        <w:pStyle w:val="HCh"/>
        <w:rPr>
          <w:bCs w:val="0"/>
          <w:rtl/>
        </w:rPr>
      </w:pPr>
      <w:r>
        <w:rPr>
          <w:bCs w:val="0"/>
          <w:rtl/>
        </w:rPr>
        <w:t>المحتويات</w:t>
      </w:r>
    </w:p>
    <w:p w:rsidR="008B508D" w:rsidRDefault="008B508D" w:rsidP="008B508D">
      <w:pPr>
        <w:pStyle w:val="HCh"/>
        <w:spacing w:line="240" w:lineRule="auto"/>
        <w:rPr>
          <w:rFonts w:hint="cs"/>
          <w:bCs w:val="0"/>
          <w:szCs w:val="20"/>
          <w:rtl/>
        </w:rPr>
      </w:pPr>
    </w:p>
    <w:p w:rsidR="002F0573" w:rsidRDefault="00C94309" w:rsidP="008B508D">
      <w:pPr>
        <w:pStyle w:val="SingleTxt"/>
        <w:rPr>
          <w:rFonts w:hint="cs"/>
          <w:rtl/>
        </w:rPr>
      </w:pPr>
      <w:r>
        <w:rPr>
          <w:rFonts w:hint="cs"/>
          <w:rtl/>
        </w:rPr>
        <w:t>انتخاب أعضاء المكتب (</w:t>
      </w:r>
      <w:r w:rsidRPr="00C94309">
        <w:rPr>
          <w:rFonts w:hint="cs"/>
          <w:i/>
          <w:iCs/>
          <w:rtl/>
        </w:rPr>
        <w:t>تابع</w:t>
      </w:r>
      <w:r>
        <w:rPr>
          <w:rFonts w:hint="cs"/>
          <w:rtl/>
        </w:rPr>
        <w:t>)</w:t>
      </w:r>
    </w:p>
    <w:p w:rsidR="00C94309" w:rsidRDefault="00C94309" w:rsidP="008B508D">
      <w:pPr>
        <w:pStyle w:val="SingleTxt"/>
        <w:rPr>
          <w:rFonts w:hint="cs"/>
          <w:rtl/>
        </w:rPr>
      </w:pPr>
      <w:r>
        <w:rPr>
          <w:rFonts w:hint="cs"/>
          <w:rtl/>
        </w:rPr>
        <w:t>النظر في التقارير المقدمة من الدول الأطراف بموجب المادة 18 من الاتفاقية</w:t>
      </w:r>
    </w:p>
    <w:p w:rsidR="00C94309" w:rsidRDefault="00C94309" w:rsidP="008B508D">
      <w:pPr>
        <w:pStyle w:val="SingleTxt"/>
        <w:rPr>
          <w:rFonts w:hint="cs"/>
          <w:rtl/>
        </w:rPr>
      </w:pPr>
      <w:r>
        <w:rPr>
          <w:rFonts w:hint="cs"/>
          <w:rtl/>
        </w:rPr>
        <w:t>تنفيذ المادة 21 من الاتفاقية</w:t>
      </w:r>
    </w:p>
    <w:p w:rsidR="00C94309" w:rsidRDefault="00C94309" w:rsidP="008B508D">
      <w:pPr>
        <w:pStyle w:val="SingleTxt"/>
        <w:rPr>
          <w:rFonts w:hint="cs"/>
          <w:rtl/>
        </w:rPr>
      </w:pPr>
      <w:r>
        <w:rPr>
          <w:rFonts w:hint="cs"/>
          <w:rtl/>
        </w:rPr>
        <w:t>طرق ووسائل الإسراع في عمل اللجنة</w:t>
      </w:r>
    </w:p>
    <w:p w:rsidR="00C94309" w:rsidRPr="00C94309" w:rsidRDefault="00C94309" w:rsidP="00C94309">
      <w:pPr>
        <w:pStyle w:val="SingleTxt"/>
        <w:spacing w:after="0" w:line="14" w:lineRule="exact"/>
        <w:rPr>
          <w:sz w:val="2"/>
          <w:rtl/>
        </w:rPr>
        <w:sectPr w:rsidR="00C94309" w:rsidRPr="00C94309" w:rsidSect="008B508D">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94309" w:rsidRDefault="00C94309" w:rsidP="00C94309">
      <w:pPr>
        <w:pStyle w:val="DualTxt"/>
        <w:rPr>
          <w:rFonts w:hint="cs"/>
          <w:rtl/>
        </w:rPr>
      </w:pPr>
      <w:r>
        <w:rPr>
          <w:rFonts w:hint="cs"/>
          <w:rtl/>
        </w:rPr>
        <w:tab/>
      </w:r>
      <w:r w:rsidRPr="00C94309">
        <w:rPr>
          <w:rFonts w:hint="cs"/>
          <w:i/>
          <w:iCs/>
          <w:rtl/>
        </w:rPr>
        <w:t>افتتحت الجلسة الساعة 35/12</w:t>
      </w:r>
      <w:r>
        <w:rPr>
          <w:rFonts w:hint="cs"/>
          <w:rtl/>
        </w:rPr>
        <w:t>.</w:t>
      </w:r>
    </w:p>
    <w:p w:rsidR="00C94309" w:rsidRDefault="00C94309" w:rsidP="00C94309">
      <w:pPr>
        <w:pStyle w:val="DualTxt"/>
        <w:rPr>
          <w:rFonts w:hint="cs"/>
          <w:rtl/>
        </w:rPr>
      </w:pPr>
      <w:r>
        <w:rPr>
          <w:rFonts w:hint="cs"/>
          <w:b/>
          <w:bCs/>
          <w:rtl/>
        </w:rPr>
        <w:t>انتخاب أعضاء المكتب</w:t>
      </w:r>
      <w:r>
        <w:rPr>
          <w:rFonts w:hint="cs"/>
          <w:rtl/>
        </w:rPr>
        <w:t xml:space="preserve"> (</w:t>
      </w:r>
      <w:r w:rsidRPr="00C94309">
        <w:rPr>
          <w:rFonts w:hint="cs"/>
          <w:i/>
          <w:iCs/>
          <w:rtl/>
        </w:rPr>
        <w:t>تابع</w:t>
      </w:r>
      <w:r>
        <w:rPr>
          <w:rFonts w:hint="cs"/>
          <w:rtl/>
        </w:rPr>
        <w:t>)</w:t>
      </w:r>
    </w:p>
    <w:p w:rsidR="00C94309" w:rsidRDefault="00C94309" w:rsidP="00106F39">
      <w:pPr>
        <w:pStyle w:val="DualTxt"/>
        <w:rPr>
          <w:rFonts w:hint="cs"/>
          <w:rtl/>
        </w:rPr>
      </w:pPr>
      <w:r>
        <w:rPr>
          <w:rFonts w:hint="cs"/>
          <w:rtl/>
        </w:rPr>
        <w:t>1 -</w:t>
      </w:r>
      <w:r>
        <w:rPr>
          <w:rFonts w:hint="cs"/>
          <w:rtl/>
        </w:rPr>
        <w:tab/>
      </w:r>
      <w:r w:rsidRPr="00C94309">
        <w:rPr>
          <w:rFonts w:hint="cs"/>
          <w:b/>
          <w:bCs/>
          <w:rtl/>
        </w:rPr>
        <w:t>الرئيسة المؤقتة</w:t>
      </w:r>
      <w:r>
        <w:rPr>
          <w:rFonts w:hint="cs"/>
          <w:rtl/>
        </w:rPr>
        <w:t>: قالت إنه تم الاتفاق على أن ترشح مجموعة الدول الأفريقية الرئيس في هذه المناسبة، وأن ترشح مجموعة دول أمريكا اللاتينية ومنطقة البحر الكاريبي الرئيس في الانتخابات القادمة. وأضافت أن التناوب بعد ذلك سيكون وفقا للتوزيع الجغرافي. وذكرت أنها تعتبر أن هناك توافقا في الآراء على انتخاب السيدة جبر التي رشحتها مجموعة الدول الأفريقية لمنصب الرئيس.</w:t>
      </w:r>
    </w:p>
    <w:p w:rsidR="00C94309" w:rsidRDefault="00C94309" w:rsidP="00C94309">
      <w:pPr>
        <w:pStyle w:val="DualTxt"/>
        <w:rPr>
          <w:rFonts w:hint="cs"/>
          <w:rtl/>
        </w:rPr>
      </w:pPr>
      <w:r>
        <w:rPr>
          <w:rFonts w:hint="cs"/>
          <w:rtl/>
        </w:rPr>
        <w:t>2 -</w:t>
      </w:r>
      <w:r>
        <w:rPr>
          <w:rFonts w:hint="cs"/>
          <w:rtl/>
        </w:rPr>
        <w:tab/>
      </w:r>
      <w:r w:rsidRPr="00106F39">
        <w:rPr>
          <w:rFonts w:hint="cs"/>
          <w:i/>
          <w:iCs/>
          <w:rtl/>
        </w:rPr>
        <w:t>انتخبت السيدة جبر رئيسة بالتزكية.</w:t>
      </w:r>
    </w:p>
    <w:p w:rsidR="00C94309" w:rsidRDefault="00C94309" w:rsidP="00C94309">
      <w:pPr>
        <w:pStyle w:val="DualTxt"/>
        <w:rPr>
          <w:rFonts w:hint="cs"/>
          <w:rtl/>
        </w:rPr>
      </w:pPr>
      <w:r>
        <w:rPr>
          <w:rFonts w:hint="cs"/>
          <w:rtl/>
        </w:rPr>
        <w:t>3 -</w:t>
      </w:r>
      <w:r>
        <w:rPr>
          <w:rFonts w:hint="cs"/>
          <w:rtl/>
        </w:rPr>
        <w:tab/>
      </w:r>
      <w:r w:rsidRPr="00106F39">
        <w:rPr>
          <w:rFonts w:hint="cs"/>
          <w:i/>
          <w:iCs/>
          <w:rtl/>
        </w:rPr>
        <w:t>السيدة جبر تولت الرئاسة.</w:t>
      </w:r>
    </w:p>
    <w:p w:rsidR="00C94309" w:rsidRDefault="00C94309" w:rsidP="00C94309">
      <w:pPr>
        <w:pStyle w:val="DualTxt"/>
        <w:rPr>
          <w:rFonts w:hint="cs"/>
          <w:rtl/>
        </w:rPr>
      </w:pPr>
      <w:r>
        <w:rPr>
          <w:rFonts w:hint="cs"/>
          <w:rtl/>
        </w:rPr>
        <w:t>4 -</w:t>
      </w:r>
      <w:r>
        <w:rPr>
          <w:rFonts w:hint="cs"/>
          <w:rtl/>
        </w:rPr>
        <w:tab/>
      </w:r>
      <w:r>
        <w:rPr>
          <w:rFonts w:hint="cs"/>
          <w:b/>
          <w:bCs/>
          <w:rtl/>
        </w:rPr>
        <w:t>الرئيسة:</w:t>
      </w:r>
      <w:r>
        <w:rPr>
          <w:rFonts w:hint="cs"/>
          <w:rtl/>
        </w:rPr>
        <w:t xml:space="preserve"> شكرت اللجنة على الثقة التي أولتها لها ودعت الأعضاء إلى انتخاب ثلاثة نواب للرئيس ومقرر.</w:t>
      </w:r>
    </w:p>
    <w:p w:rsidR="00C94309" w:rsidRDefault="00C94309" w:rsidP="00C94309">
      <w:pPr>
        <w:pStyle w:val="DualTxt"/>
        <w:rPr>
          <w:rFonts w:hint="cs"/>
          <w:rtl/>
        </w:rPr>
      </w:pPr>
      <w:r>
        <w:rPr>
          <w:rFonts w:hint="cs"/>
          <w:rtl/>
        </w:rPr>
        <w:t>5 -</w:t>
      </w:r>
      <w:r>
        <w:rPr>
          <w:rFonts w:hint="cs"/>
          <w:rtl/>
        </w:rPr>
        <w:tab/>
      </w:r>
      <w:r>
        <w:rPr>
          <w:rFonts w:hint="cs"/>
          <w:b/>
          <w:bCs/>
          <w:rtl/>
        </w:rPr>
        <w:t>السيد فلنت</w:t>
      </w:r>
      <w:r w:rsidR="00106F39">
        <w:rPr>
          <w:rFonts w:hint="cs"/>
          <w:b/>
          <w:bCs/>
          <w:rtl/>
        </w:rPr>
        <w:t>ر</w:t>
      </w:r>
      <w:r>
        <w:rPr>
          <w:rFonts w:hint="cs"/>
          <w:b/>
          <w:bCs/>
          <w:rtl/>
        </w:rPr>
        <w:t>مان</w:t>
      </w:r>
      <w:r w:rsidR="00442088">
        <w:rPr>
          <w:rFonts w:hint="cs"/>
          <w:rtl/>
        </w:rPr>
        <w:t>: متحدثا باسم مجموعة أوروبا الغربية ودول أخرى، رشح السيدة هالبرين - كاداري لمنصب نائبة الرئيسة.</w:t>
      </w:r>
    </w:p>
    <w:p w:rsidR="00442088" w:rsidRDefault="00442088" w:rsidP="00C94309">
      <w:pPr>
        <w:pStyle w:val="DualTxt"/>
        <w:rPr>
          <w:rFonts w:hint="cs"/>
          <w:rtl/>
        </w:rPr>
      </w:pPr>
      <w:r>
        <w:rPr>
          <w:rFonts w:hint="cs"/>
          <w:rtl/>
        </w:rPr>
        <w:t>6 -</w:t>
      </w:r>
      <w:r>
        <w:rPr>
          <w:rFonts w:hint="cs"/>
          <w:rtl/>
        </w:rPr>
        <w:tab/>
      </w:r>
      <w:r w:rsidR="00106F39">
        <w:rPr>
          <w:rFonts w:hint="cs"/>
          <w:b/>
          <w:bCs/>
          <w:rtl/>
        </w:rPr>
        <w:t>السيدة اروتشا دومينغر</w:t>
      </w:r>
      <w:r>
        <w:rPr>
          <w:rFonts w:hint="cs"/>
          <w:rtl/>
        </w:rPr>
        <w:t>: متحدثة باسم مجموعة دول أمريكا اللاتينية ومنطقة البحر الكاريبي رشحت السيدة بيمنتيل لمنصب نائبة الرئيسة.</w:t>
      </w:r>
    </w:p>
    <w:p w:rsidR="00442088" w:rsidRDefault="00442088" w:rsidP="00C94309">
      <w:pPr>
        <w:pStyle w:val="DualTxt"/>
        <w:rPr>
          <w:rFonts w:hint="cs"/>
          <w:rtl/>
        </w:rPr>
      </w:pPr>
      <w:r>
        <w:rPr>
          <w:rFonts w:hint="cs"/>
          <w:rtl/>
        </w:rPr>
        <w:t>7 -</w:t>
      </w:r>
      <w:r>
        <w:rPr>
          <w:rFonts w:hint="cs"/>
          <w:rtl/>
        </w:rPr>
        <w:tab/>
      </w:r>
      <w:r>
        <w:rPr>
          <w:rFonts w:hint="cs"/>
          <w:b/>
          <w:bCs/>
          <w:rtl/>
        </w:rPr>
        <w:t>السيدة باتين</w:t>
      </w:r>
      <w:r>
        <w:rPr>
          <w:rFonts w:hint="cs"/>
          <w:rtl/>
        </w:rPr>
        <w:t>: متحدثة باسم مجموعة الدول الآسيوية، رشحت السيدة زو سياوكياو لمنصب نائبة الرئيسة.</w:t>
      </w:r>
    </w:p>
    <w:p w:rsidR="00442088" w:rsidRDefault="00442088" w:rsidP="00C94309">
      <w:pPr>
        <w:pStyle w:val="DualTxt"/>
        <w:rPr>
          <w:rFonts w:hint="cs"/>
          <w:rtl/>
        </w:rPr>
      </w:pPr>
      <w:r>
        <w:rPr>
          <w:rFonts w:hint="cs"/>
          <w:rtl/>
        </w:rPr>
        <w:t>8 -</w:t>
      </w:r>
      <w:r>
        <w:rPr>
          <w:rFonts w:hint="cs"/>
          <w:rtl/>
        </w:rPr>
        <w:tab/>
      </w:r>
      <w:r w:rsidRPr="00442088">
        <w:rPr>
          <w:rFonts w:hint="cs"/>
          <w:i/>
          <w:iCs/>
          <w:rtl/>
        </w:rPr>
        <w:t>تم انتخاب السيدة هالبرين - كاداري والسيدة بيمنتيل والسيدة زو سياوكياو نائبات للرئيسة بالتزكية.</w:t>
      </w:r>
    </w:p>
    <w:p w:rsidR="00442088" w:rsidRDefault="00442088" w:rsidP="00C94309">
      <w:pPr>
        <w:pStyle w:val="DualTxt"/>
        <w:rPr>
          <w:rFonts w:hint="cs"/>
          <w:rtl/>
        </w:rPr>
      </w:pPr>
      <w:r>
        <w:rPr>
          <w:rFonts w:hint="cs"/>
          <w:rtl/>
        </w:rPr>
        <w:t>9 -</w:t>
      </w:r>
      <w:r>
        <w:rPr>
          <w:rFonts w:hint="cs"/>
          <w:rtl/>
        </w:rPr>
        <w:tab/>
      </w:r>
      <w:r>
        <w:rPr>
          <w:rFonts w:hint="cs"/>
          <w:b/>
          <w:bCs/>
          <w:rtl/>
        </w:rPr>
        <w:t>السيدة سيمونوفيتش</w:t>
      </w:r>
      <w:r>
        <w:rPr>
          <w:rFonts w:hint="cs"/>
          <w:rtl/>
        </w:rPr>
        <w:t>: متحدثة باسم دول أوروبا الشرقية، رشحت السيدة نوبوير لمنصب المقررة.</w:t>
      </w:r>
    </w:p>
    <w:p w:rsidR="00442088" w:rsidRDefault="00442088" w:rsidP="00C94309">
      <w:pPr>
        <w:pStyle w:val="DualTxt"/>
        <w:rPr>
          <w:rFonts w:hint="cs"/>
          <w:rtl/>
        </w:rPr>
      </w:pPr>
      <w:r>
        <w:rPr>
          <w:rFonts w:hint="cs"/>
          <w:rtl/>
        </w:rPr>
        <w:t>10 -</w:t>
      </w:r>
      <w:r>
        <w:rPr>
          <w:rFonts w:hint="cs"/>
          <w:rtl/>
        </w:rPr>
        <w:tab/>
      </w:r>
      <w:r w:rsidRPr="00442088">
        <w:rPr>
          <w:rFonts w:hint="cs"/>
          <w:i/>
          <w:iCs/>
          <w:rtl/>
        </w:rPr>
        <w:t>تم انتخاب السيدة نوبوير مقررة بالتزكية.</w:t>
      </w:r>
    </w:p>
    <w:p w:rsidR="00442088" w:rsidRDefault="00442088" w:rsidP="00C94309">
      <w:pPr>
        <w:pStyle w:val="DualTxt"/>
        <w:rPr>
          <w:rFonts w:hint="cs"/>
          <w:b/>
          <w:bCs/>
          <w:rtl/>
        </w:rPr>
      </w:pPr>
      <w:r>
        <w:rPr>
          <w:rFonts w:hint="cs"/>
          <w:b/>
          <w:bCs/>
          <w:rtl/>
        </w:rPr>
        <w:t>النظر في التقارير المقدمة من الدول الأطراف بموجب المادة 18 من الاتفاقية</w:t>
      </w:r>
    </w:p>
    <w:p w:rsidR="00442088" w:rsidRDefault="00106F39" w:rsidP="00C94309">
      <w:pPr>
        <w:pStyle w:val="DualTxt"/>
        <w:rPr>
          <w:rFonts w:hint="cs"/>
          <w:rtl/>
        </w:rPr>
      </w:pPr>
      <w:r>
        <w:rPr>
          <w:rFonts w:hint="cs"/>
          <w:b/>
          <w:bCs/>
          <w:rtl/>
        </w:rPr>
        <w:t>11</w:t>
      </w:r>
      <w:r w:rsidR="00442088">
        <w:rPr>
          <w:rFonts w:hint="cs"/>
          <w:b/>
          <w:bCs/>
          <w:rtl/>
        </w:rPr>
        <w:t xml:space="preserve"> -</w:t>
      </w:r>
      <w:r w:rsidR="00442088">
        <w:rPr>
          <w:rFonts w:hint="cs"/>
          <w:b/>
          <w:bCs/>
          <w:rtl/>
        </w:rPr>
        <w:tab/>
      </w:r>
      <w:r w:rsidR="00442088" w:rsidRPr="00442088">
        <w:rPr>
          <w:rFonts w:hint="cs"/>
          <w:b/>
          <w:bCs/>
          <w:rtl/>
        </w:rPr>
        <w:t>السيدة نوبوير</w:t>
      </w:r>
      <w:r w:rsidR="00442088">
        <w:rPr>
          <w:rFonts w:hint="cs"/>
          <w:b/>
          <w:bCs/>
          <w:rtl/>
        </w:rPr>
        <w:t xml:space="preserve">: </w:t>
      </w:r>
      <w:r w:rsidR="00442088">
        <w:rPr>
          <w:rFonts w:hint="cs"/>
          <w:rtl/>
        </w:rPr>
        <w:t>تحدثت بصفتها رئيسة للفريق العامل لما قبل الدورة، فقالت إن الفريق قد وضع قوائم بقضايا وأسئلة لتسع دول أطراف، منها 7 دول ستقدم تقاريرها في هذه الدورة، ودولتان في الدورة الرابعة والأربعين. وأضافت أن هيئات الأمم المتحدة والوكالات المتخصصة قد قدمت معلومات تحريرية وشفوية، وأن المجموعة قد تلقت للمرة الأولى تقارير من الأفرقة القطرية للأمم المتحدة في مرحلة ما</w:t>
      </w:r>
      <w:r w:rsidR="00442088">
        <w:rPr>
          <w:rFonts w:hint="eastAsia"/>
          <w:rtl/>
        </w:rPr>
        <w:t> </w:t>
      </w:r>
      <w:r w:rsidR="00442088">
        <w:rPr>
          <w:rFonts w:hint="cs"/>
          <w:rtl/>
        </w:rPr>
        <w:t>قبل الدورة. وأضافت أن المجموعة قد تلقت أيضا معلومات تحريرية من منظمات غير حكومية، كما قدمت إحدى شبكات المنظمات غير الحكومية عرضا شفويا.</w:t>
      </w:r>
    </w:p>
    <w:p w:rsidR="00442088" w:rsidRDefault="00442088" w:rsidP="00562BD0">
      <w:pPr>
        <w:pStyle w:val="DualTxt"/>
        <w:rPr>
          <w:rFonts w:hint="cs"/>
          <w:b/>
          <w:bCs/>
          <w:rtl/>
        </w:rPr>
      </w:pPr>
      <w:r>
        <w:rPr>
          <w:rFonts w:hint="cs"/>
          <w:b/>
          <w:bCs/>
          <w:rtl/>
        </w:rPr>
        <w:t xml:space="preserve">تنفيذ المادة 21 من الاتفاقية </w:t>
      </w:r>
      <w:r w:rsidR="00562BD0">
        <w:rPr>
          <w:b/>
          <w:bCs/>
        </w:rPr>
        <w:t>CEDAW/C/2009/1/3)</w:t>
      </w:r>
      <w:r w:rsidR="00106F39">
        <w:rPr>
          <w:rFonts w:hint="eastAsia"/>
          <w:b/>
          <w:bCs/>
          <w:rtl/>
        </w:rPr>
        <w:t> </w:t>
      </w:r>
      <w:r w:rsidR="00562BD0">
        <w:rPr>
          <w:rFonts w:hint="cs"/>
          <w:b/>
          <w:bCs/>
          <w:rtl/>
        </w:rPr>
        <w:t>و</w:t>
      </w:r>
      <w:r w:rsidR="00562BD0">
        <w:rPr>
          <w:rFonts w:hint="eastAsia"/>
          <w:b/>
          <w:bCs/>
          <w:rtl/>
        </w:rPr>
        <w:t> </w:t>
      </w:r>
      <w:r w:rsidR="00562BD0">
        <w:rPr>
          <w:b/>
          <w:bCs/>
        </w:rPr>
        <w:t>Add.1</w:t>
      </w:r>
      <w:r w:rsidR="00562BD0">
        <w:rPr>
          <w:rFonts w:hint="cs"/>
          <w:b/>
          <w:bCs/>
          <w:rtl/>
        </w:rPr>
        <w:t>)</w:t>
      </w:r>
    </w:p>
    <w:p w:rsidR="00562BD0" w:rsidRDefault="00562BD0" w:rsidP="00562BD0">
      <w:pPr>
        <w:pStyle w:val="DualTxt"/>
        <w:rPr>
          <w:rFonts w:hint="cs"/>
          <w:rtl/>
        </w:rPr>
      </w:pPr>
      <w:r>
        <w:rPr>
          <w:rFonts w:hint="cs"/>
          <w:b/>
          <w:bCs/>
          <w:rtl/>
        </w:rPr>
        <w:t xml:space="preserve">طرق ووسائل الإسراع بعمل اللجنة </w:t>
      </w:r>
      <w:r>
        <w:rPr>
          <w:b/>
          <w:bCs/>
        </w:rPr>
        <w:t>CEDAW/C/2009/IV/4)</w:t>
      </w:r>
      <w:r>
        <w:rPr>
          <w:rFonts w:hint="cs"/>
          <w:b/>
          <w:bCs/>
          <w:rtl/>
        </w:rPr>
        <w:t>)</w:t>
      </w:r>
    </w:p>
    <w:p w:rsidR="00562BD0" w:rsidRDefault="00562BD0" w:rsidP="00106F39">
      <w:pPr>
        <w:pStyle w:val="DualTxt"/>
        <w:rPr>
          <w:rFonts w:hint="cs"/>
          <w:rtl/>
        </w:rPr>
      </w:pPr>
      <w:r>
        <w:rPr>
          <w:rFonts w:hint="cs"/>
          <w:rtl/>
        </w:rPr>
        <w:t>12 -</w:t>
      </w:r>
      <w:r>
        <w:rPr>
          <w:rFonts w:hint="cs"/>
          <w:rtl/>
        </w:rPr>
        <w:tab/>
      </w:r>
      <w:r>
        <w:rPr>
          <w:rFonts w:hint="cs"/>
          <w:b/>
          <w:bCs/>
          <w:rtl/>
        </w:rPr>
        <w:t>السيدة كو</w:t>
      </w:r>
      <w:r w:rsidR="00106F39">
        <w:rPr>
          <w:rFonts w:hint="cs"/>
          <w:b/>
          <w:bCs/>
          <w:rtl/>
        </w:rPr>
        <w:t>ن</w:t>
      </w:r>
      <w:r>
        <w:rPr>
          <w:rFonts w:hint="cs"/>
          <w:b/>
          <w:bCs/>
          <w:rtl/>
        </w:rPr>
        <w:t>ورز</w:t>
      </w:r>
      <w:r>
        <w:rPr>
          <w:rFonts w:hint="cs"/>
          <w:rtl/>
        </w:rPr>
        <w:t xml:space="preserve"> (أمينة اللجنة): قالت إن العمل قد استمر في إعداد مشروع التوصية العامة بشأن المادة 2 من الاتفاقية وأنه تم إعداد ورقة عمل بشأن مشروع التوصية العامة المتعلقة بالنساء المسنات. وأعلنت أن هناك تقريرا جاهزا من منظمة العمل الدولية بشأن تنفي</w:t>
      </w:r>
      <w:r w:rsidR="00106F39">
        <w:rPr>
          <w:rFonts w:hint="cs"/>
          <w:rtl/>
        </w:rPr>
        <w:t>ذ أحكام الاتفاقية</w:t>
      </w:r>
      <w:r w:rsidR="00106F39">
        <w:rPr>
          <w:rFonts w:hint="eastAsia"/>
          <w:rtl/>
        </w:rPr>
        <w:t> </w:t>
      </w:r>
      <w:r>
        <w:rPr>
          <w:rFonts w:hint="cs"/>
          <w:rtl/>
        </w:rPr>
        <w:t>التي تدخل ض</w:t>
      </w:r>
      <w:bookmarkStart w:id="1" w:name="TmpSave"/>
      <w:bookmarkEnd w:id="1"/>
      <w:r>
        <w:rPr>
          <w:rFonts w:hint="cs"/>
          <w:rtl/>
        </w:rPr>
        <w:t xml:space="preserve">من نطاق أنشطتها </w:t>
      </w:r>
      <w:r w:rsidR="000F5B98">
        <w:t>CEDAW/C/2009/I</w:t>
      </w:r>
      <w:r w:rsidR="00106F39">
        <w:t>/3</w:t>
      </w:r>
      <w:r w:rsidR="000F5B98">
        <w:t>/</w:t>
      </w:r>
      <w:r w:rsidR="00106F39">
        <w:t>Add.</w:t>
      </w:r>
      <w:r w:rsidR="000F5B98">
        <w:t>4)</w:t>
      </w:r>
      <w:r w:rsidR="000F5B98">
        <w:rPr>
          <w:rFonts w:hint="cs"/>
          <w:rtl/>
        </w:rPr>
        <w:t>). وأضافت أن بعض الوكالات المتخصصة الأخرى تعيد النظر في مضمون تقاريرها، في ضوء الممارسة المتزايدة لتقديم تقارير مشتركة من أفرقة الأمم المتحدة القطرية.</w:t>
      </w:r>
    </w:p>
    <w:p w:rsidR="000F5B98" w:rsidRDefault="000F5B98" w:rsidP="00255ED8">
      <w:pPr>
        <w:pStyle w:val="DualTxt"/>
        <w:rPr>
          <w:rFonts w:hint="cs"/>
          <w:rtl/>
        </w:rPr>
      </w:pPr>
      <w:r>
        <w:rPr>
          <w:rFonts w:hint="cs"/>
          <w:rtl/>
        </w:rPr>
        <w:t>13 -</w:t>
      </w:r>
      <w:r>
        <w:rPr>
          <w:rFonts w:hint="cs"/>
          <w:rtl/>
        </w:rPr>
        <w:tab/>
        <w:t xml:space="preserve">ومضت تقول إن المذكرة الخاصة بطرق ووسائل الإسراع بعمل اللجنة </w:t>
      </w:r>
      <w:r>
        <w:t>CEDAW/C/2009/IV/4)</w:t>
      </w:r>
      <w:r>
        <w:rPr>
          <w:rFonts w:hint="cs"/>
          <w:rtl/>
        </w:rPr>
        <w:t xml:space="preserve">) تناقش التطورات المتعلقة بهيئات معاهدات حقوق الإنسان، ومجلس حقوق الإنسان، وتحتوي على معلومات عن الاجتماع الثامن المشترك بين اللجان وتوصياته. كما تحتوي المذكرة على معلومات عن الدول الأطراف التي ستنظر تقاريرها في الدورات القادمة وعن نهج الأجهزة الأخرى المنشأة </w:t>
      </w:r>
      <w:r w:rsidR="00255ED8">
        <w:rPr>
          <w:rFonts w:hint="cs"/>
          <w:rtl/>
        </w:rPr>
        <w:t>بموجب معاهدات إزاء تعليقات الدول الأطراف على الملاحظات الختامية. وأضافت أن اللجنة قد تود النظر في كيفية جعل التعليقات على ملاحظاتها الختامية متاحة بشكل عام. واختتمت كلمتها بقولها إن هناك معلومات جديدة عن الدول التي لم تصدق بعد على الاتفاقية أو تنضم إليها، وعن الدول الأطراف التي قدمت تقاريرها دون أن يتم النظر فيها حتى الآن. وأوضحت أنه بعد صدور تلك الوثيقة، ورد تقريران دوريان من أستراليا وفيجي.</w:t>
      </w:r>
    </w:p>
    <w:p w:rsidR="00255ED8" w:rsidRDefault="00255ED8" w:rsidP="00255ED8">
      <w:pPr>
        <w:pStyle w:val="DualTxt"/>
        <w:rPr>
          <w:rFonts w:hint="cs"/>
          <w:rtl/>
        </w:rPr>
      </w:pPr>
      <w:r>
        <w:rPr>
          <w:rFonts w:hint="cs"/>
          <w:rtl/>
        </w:rPr>
        <w:tab/>
      </w:r>
      <w:r w:rsidRPr="00255ED8">
        <w:rPr>
          <w:rFonts w:hint="cs"/>
          <w:i/>
          <w:iCs/>
          <w:rtl/>
        </w:rPr>
        <w:t>رفعت الجلسة الساعة 05/13</w:t>
      </w:r>
      <w:r>
        <w:rPr>
          <w:rFonts w:hint="cs"/>
          <w:rtl/>
        </w:rPr>
        <w:t>.</w:t>
      </w:r>
    </w:p>
    <w:p w:rsidR="00255ED8" w:rsidRPr="00255ED8" w:rsidRDefault="00255ED8" w:rsidP="00255ED8">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255ED8" w:rsidRPr="00255ED8" w:rsidSect="00C9430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6T12:55:00Z" w:initials="Start">
    <w:p w:rsidR="00961DEB" w:rsidRDefault="00961DE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NO&gt;&gt;N0926705A&lt;&lt;ODS JOB NO&gt;&gt;</w:t>
      </w:r>
    </w:p>
    <w:p w:rsidR="00961DEB" w:rsidRDefault="00961DEB">
      <w:pPr>
        <w:pStyle w:val="CommentText"/>
      </w:pPr>
      <w:r>
        <w:t>&lt;&lt;ODS DOC SYMBOL1&gt;&gt;CEDAW/C/SR.869&lt;&lt;ODS DOC SYMBOL1&gt;&gt;</w:t>
      </w:r>
    </w:p>
    <w:p w:rsidR="00961DEB" w:rsidRDefault="00961DE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DEB" w:rsidRDefault="00961DEB" w:rsidP="008B508D">
      <w:r>
        <w:separator/>
      </w:r>
    </w:p>
  </w:endnote>
  <w:endnote w:type="continuationSeparator" w:id="0">
    <w:p w:rsidR="00961DEB" w:rsidRDefault="00961DEB" w:rsidP="008B5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1DEB" w:rsidTr="008B508D">
      <w:tblPrEx>
        <w:tblCellMar>
          <w:top w:w="0" w:type="dxa"/>
          <w:bottom w:w="0" w:type="dxa"/>
        </w:tblCellMar>
      </w:tblPrEx>
      <w:tc>
        <w:tcPr>
          <w:tcW w:w="5033" w:type="dxa"/>
          <w:shd w:val="clear" w:color="auto" w:fill="auto"/>
        </w:tcPr>
        <w:p w:rsidR="00961DEB" w:rsidRPr="008B508D" w:rsidRDefault="00961DEB" w:rsidP="008B508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961DEB" w:rsidRPr="008B508D" w:rsidRDefault="00961DEB" w:rsidP="008B508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09-26705</w:t>
          </w:r>
          <w:r>
            <w:rPr>
              <w:b w:val="0"/>
              <w:w w:val="103"/>
            </w:rPr>
            <w:fldChar w:fldCharType="end"/>
          </w:r>
        </w:p>
      </w:tc>
    </w:tr>
  </w:tbl>
  <w:p w:rsidR="00961DEB" w:rsidRPr="008B508D" w:rsidRDefault="00961DEB" w:rsidP="008B50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1DEB" w:rsidTr="008B508D">
      <w:tblPrEx>
        <w:tblCellMar>
          <w:top w:w="0" w:type="dxa"/>
          <w:bottom w:w="0" w:type="dxa"/>
        </w:tblCellMar>
      </w:tblPrEx>
      <w:tc>
        <w:tcPr>
          <w:tcW w:w="5033" w:type="dxa"/>
          <w:shd w:val="clear" w:color="auto" w:fill="auto"/>
        </w:tcPr>
        <w:p w:rsidR="00961DEB" w:rsidRPr="008B508D" w:rsidRDefault="00961DEB" w:rsidP="008B508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09-26705</w:t>
          </w:r>
          <w:r>
            <w:rPr>
              <w:b w:val="0"/>
              <w:w w:val="103"/>
            </w:rPr>
            <w:fldChar w:fldCharType="end"/>
          </w:r>
        </w:p>
      </w:tc>
      <w:tc>
        <w:tcPr>
          <w:tcW w:w="5033" w:type="dxa"/>
          <w:shd w:val="clear" w:color="auto" w:fill="auto"/>
        </w:tcPr>
        <w:p w:rsidR="00961DEB" w:rsidRPr="008B508D" w:rsidRDefault="00961DEB" w:rsidP="008B508D">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961DEB" w:rsidRPr="008B508D" w:rsidRDefault="00961DEB" w:rsidP="008B50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DEB" w:rsidRDefault="00961DEB" w:rsidP="008B508D">
    <w:pPr>
      <w:pStyle w:val="Footer"/>
      <w:pBdr>
        <w:top w:val="single" w:sz="2" w:space="1" w:color="auto"/>
      </w:pBdr>
      <w:rPr>
        <w:sz w:val="2"/>
      </w:rPr>
    </w:pPr>
  </w:p>
  <w:p w:rsidR="00961DEB" w:rsidRPr="00491A95" w:rsidRDefault="00961DEB" w:rsidP="008B508D">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961DEB" w:rsidRPr="00491A95" w:rsidRDefault="00961DEB" w:rsidP="008B508D">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961DEB" w:rsidRPr="008B508D" w:rsidRDefault="00961DEB" w:rsidP="008B508D">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961DEB">
      <w:tblPrEx>
        <w:tblCellMar>
          <w:top w:w="0" w:type="dxa"/>
          <w:bottom w:w="0" w:type="dxa"/>
        </w:tblCellMar>
      </w:tblPrEx>
      <w:tc>
        <w:tcPr>
          <w:tcW w:w="5033" w:type="dxa"/>
        </w:tcPr>
        <w:p w:rsidR="00961DEB" w:rsidRDefault="00961DEB" w:rsidP="008B508D">
          <w:pPr>
            <w:pStyle w:val="Footer"/>
            <w:spacing w:line="240" w:lineRule="atLeast"/>
            <w:rPr>
              <w:rFonts w:cs="Times New Roman"/>
              <w:b w:val="0"/>
              <w:w w:val="103"/>
              <w:sz w:val="20"/>
            </w:rPr>
          </w:pPr>
          <w:r w:rsidRPr="008B508D">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961DEB" w:rsidRDefault="00961DEB" w:rsidP="008B508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09-26705 (A)</w:t>
          </w:r>
          <w:r>
            <w:rPr>
              <w:rFonts w:cs="Times New Roman"/>
              <w:b w:val="0"/>
              <w:w w:val="103"/>
              <w:sz w:val="20"/>
            </w:rPr>
            <w:fldChar w:fldCharType="end"/>
          </w:r>
        </w:p>
        <w:p w:rsidR="00961DEB" w:rsidRPr="008B508D" w:rsidRDefault="00961DEB" w:rsidP="008B508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*0926705*</w:t>
          </w:r>
          <w:r>
            <w:rPr>
              <w:rFonts w:ascii="Barcode 3 of 9 by request" w:hAnsi="Barcode 3 of 9 by request" w:cs="Times New Roman"/>
              <w:b w:val="0"/>
              <w:sz w:val="24"/>
            </w:rPr>
            <w:fldChar w:fldCharType="end"/>
          </w:r>
        </w:p>
      </w:tc>
    </w:tr>
  </w:tbl>
  <w:p w:rsidR="00961DEB" w:rsidRPr="008B508D" w:rsidRDefault="00961DEB" w:rsidP="008B508D">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DEB" w:rsidRDefault="00961DEB" w:rsidP="008B508D">
      <w:r>
        <w:separator/>
      </w:r>
    </w:p>
  </w:footnote>
  <w:footnote w:type="continuationSeparator" w:id="0">
    <w:p w:rsidR="00961DEB" w:rsidRDefault="00961DEB" w:rsidP="008B50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961DEB" w:rsidTr="008B508D">
      <w:tblPrEx>
        <w:tblCellMar>
          <w:top w:w="0" w:type="dxa"/>
          <w:bottom w:w="0" w:type="dxa"/>
        </w:tblCellMar>
      </w:tblPrEx>
      <w:trPr>
        <w:trHeight w:hRule="exact" w:val="864"/>
        <w:jc w:val="center"/>
      </w:trPr>
      <w:tc>
        <w:tcPr>
          <w:tcW w:w="4925" w:type="dxa"/>
          <w:shd w:val="clear" w:color="auto" w:fill="auto"/>
          <w:vAlign w:val="bottom"/>
        </w:tcPr>
        <w:p w:rsidR="00961DEB" w:rsidRDefault="00961DEB" w:rsidP="008B508D">
          <w:pPr>
            <w:pStyle w:val="Header"/>
            <w:bidi/>
            <w:jc w:val="right"/>
          </w:pPr>
        </w:p>
      </w:tc>
      <w:tc>
        <w:tcPr>
          <w:tcW w:w="4925" w:type="dxa"/>
          <w:shd w:val="clear" w:color="auto" w:fill="auto"/>
          <w:vAlign w:val="bottom"/>
        </w:tcPr>
        <w:p w:rsidR="00961DEB" w:rsidRPr="008B508D" w:rsidRDefault="00961DEB" w:rsidP="008B508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CEDAW/C/SR.869</w:t>
          </w:r>
          <w:r>
            <w:rPr>
              <w:w w:val="103"/>
            </w:rPr>
            <w:fldChar w:fldCharType="end"/>
          </w:r>
        </w:p>
      </w:tc>
    </w:tr>
  </w:tbl>
  <w:p w:rsidR="00961DEB" w:rsidRPr="008B508D" w:rsidRDefault="00961DEB" w:rsidP="008B50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961DEB" w:rsidTr="008B508D">
      <w:tblPrEx>
        <w:tblCellMar>
          <w:top w:w="0" w:type="dxa"/>
          <w:bottom w:w="0" w:type="dxa"/>
        </w:tblCellMar>
      </w:tblPrEx>
      <w:trPr>
        <w:trHeight w:hRule="exact" w:val="864"/>
        <w:jc w:val="center"/>
      </w:trPr>
      <w:tc>
        <w:tcPr>
          <w:tcW w:w="4925" w:type="dxa"/>
          <w:shd w:val="clear" w:color="auto" w:fill="auto"/>
          <w:vAlign w:val="bottom"/>
        </w:tcPr>
        <w:p w:rsidR="00961DEB" w:rsidRPr="008B508D" w:rsidRDefault="00961DEB" w:rsidP="008B508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CEDAW/C/SR.869</w:t>
          </w:r>
          <w:r>
            <w:rPr>
              <w:w w:val="103"/>
            </w:rPr>
            <w:fldChar w:fldCharType="end"/>
          </w:r>
        </w:p>
      </w:tc>
      <w:tc>
        <w:tcPr>
          <w:tcW w:w="4925" w:type="dxa"/>
          <w:shd w:val="clear" w:color="auto" w:fill="auto"/>
          <w:vAlign w:val="bottom"/>
        </w:tcPr>
        <w:p w:rsidR="00961DEB" w:rsidRDefault="00961DEB" w:rsidP="008B508D">
          <w:pPr>
            <w:pStyle w:val="Header"/>
          </w:pPr>
        </w:p>
      </w:tc>
    </w:tr>
  </w:tbl>
  <w:p w:rsidR="00961DEB" w:rsidRPr="008B508D" w:rsidRDefault="00961DEB" w:rsidP="008B50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61DEB" w:rsidTr="008B508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61DEB" w:rsidRDefault="00961DEB" w:rsidP="008B508D">
          <w:pPr>
            <w:pStyle w:val="Header"/>
            <w:spacing w:after="120"/>
          </w:pPr>
        </w:p>
      </w:tc>
      <w:tc>
        <w:tcPr>
          <w:tcW w:w="1786" w:type="dxa"/>
          <w:tcBorders>
            <w:bottom w:val="single" w:sz="4" w:space="0" w:color="auto"/>
          </w:tcBorders>
          <w:shd w:val="clear" w:color="auto" w:fill="auto"/>
          <w:vAlign w:val="bottom"/>
        </w:tcPr>
        <w:p w:rsidR="00961DEB" w:rsidRPr="008B508D" w:rsidRDefault="00961DEB" w:rsidP="008B508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61DEB" w:rsidRDefault="00961DEB" w:rsidP="008B508D">
          <w:pPr>
            <w:pStyle w:val="Header"/>
            <w:spacing w:after="120"/>
          </w:pPr>
        </w:p>
      </w:tc>
      <w:tc>
        <w:tcPr>
          <w:tcW w:w="6523" w:type="dxa"/>
          <w:gridSpan w:val="3"/>
          <w:tcBorders>
            <w:bottom w:val="single" w:sz="4" w:space="0" w:color="auto"/>
          </w:tcBorders>
          <w:shd w:val="clear" w:color="auto" w:fill="auto"/>
          <w:vAlign w:val="bottom"/>
        </w:tcPr>
        <w:p w:rsidR="00961DEB" w:rsidRPr="008B508D" w:rsidRDefault="00961DEB" w:rsidP="008B508D">
          <w:pPr>
            <w:spacing w:line="380" w:lineRule="exact"/>
            <w:jc w:val="right"/>
          </w:pPr>
          <w:r>
            <w:rPr>
              <w:sz w:val="40"/>
            </w:rPr>
            <w:t>CEDAW</w:t>
          </w:r>
          <w:r>
            <w:t>/C/SR.869</w:t>
          </w:r>
        </w:p>
      </w:tc>
    </w:tr>
    <w:tr w:rsidR="00961DEB" w:rsidRPr="008B508D" w:rsidTr="008B508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61DEB" w:rsidRDefault="00961DEB" w:rsidP="008B508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61DEB" w:rsidRPr="008B508D" w:rsidRDefault="00961DEB" w:rsidP="008B508D">
          <w:pPr>
            <w:pStyle w:val="Header"/>
            <w:spacing w:before="109"/>
            <w:jc w:val="right"/>
          </w:pPr>
        </w:p>
      </w:tc>
      <w:tc>
        <w:tcPr>
          <w:tcW w:w="5227" w:type="dxa"/>
          <w:gridSpan w:val="3"/>
          <w:tcBorders>
            <w:top w:val="single" w:sz="4" w:space="0" w:color="auto"/>
            <w:bottom w:val="single" w:sz="12" w:space="0" w:color="auto"/>
          </w:tcBorders>
          <w:shd w:val="clear" w:color="auto" w:fill="auto"/>
        </w:tcPr>
        <w:p w:rsidR="00961DEB" w:rsidRPr="008B508D" w:rsidRDefault="00961DEB" w:rsidP="008B508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61DEB" w:rsidRPr="008B508D" w:rsidRDefault="00961DEB" w:rsidP="008B508D">
          <w:pPr>
            <w:pStyle w:val="Header"/>
            <w:spacing w:before="109"/>
          </w:pPr>
        </w:p>
      </w:tc>
      <w:tc>
        <w:tcPr>
          <w:tcW w:w="3100" w:type="dxa"/>
          <w:gridSpan w:val="2"/>
          <w:tcBorders>
            <w:top w:val="single" w:sz="4" w:space="0" w:color="auto"/>
            <w:bottom w:val="single" w:sz="12" w:space="0" w:color="auto"/>
          </w:tcBorders>
          <w:shd w:val="clear" w:color="auto" w:fill="auto"/>
        </w:tcPr>
        <w:p w:rsidR="00961DEB" w:rsidRDefault="00961DEB" w:rsidP="008B508D">
          <w:pPr>
            <w:bidi w:val="0"/>
            <w:spacing w:before="240" w:line="240" w:lineRule="exact"/>
          </w:pPr>
          <w:r>
            <w:t>Distr.: General</w:t>
          </w:r>
        </w:p>
        <w:p w:rsidR="00961DEB" w:rsidRDefault="00961DEB" w:rsidP="008B508D">
          <w:pPr>
            <w:bidi w:val="0"/>
            <w:spacing w:line="240" w:lineRule="exact"/>
            <w:jc w:val="left"/>
          </w:pPr>
          <w:r>
            <w:t>7 May 2009</w:t>
          </w:r>
        </w:p>
        <w:p w:rsidR="00961DEB" w:rsidRDefault="00961DEB" w:rsidP="008B508D">
          <w:pPr>
            <w:bidi w:val="0"/>
            <w:spacing w:line="240" w:lineRule="exact"/>
            <w:jc w:val="left"/>
          </w:pPr>
          <w:r>
            <w:t>Arabic</w:t>
          </w:r>
        </w:p>
        <w:p w:rsidR="00961DEB" w:rsidRPr="008B508D" w:rsidRDefault="00961DEB" w:rsidP="008B508D">
          <w:pPr>
            <w:bidi w:val="0"/>
            <w:spacing w:line="240" w:lineRule="exact"/>
            <w:jc w:val="left"/>
          </w:pPr>
          <w:r>
            <w:t>Original: English</w:t>
          </w:r>
        </w:p>
      </w:tc>
    </w:tr>
  </w:tbl>
  <w:p w:rsidR="00961DEB" w:rsidRPr="008B508D" w:rsidRDefault="00961DEB" w:rsidP="008B508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705*"/>
    <w:docVar w:name="CreationDt" w:val="06/05/2009 12:551 م"/>
    <w:docVar w:name="DocCategory" w:val="SROthers"/>
    <w:docVar w:name="DocType" w:val="Final"/>
    <w:docVar w:name="FooterJN" w:val="09-26705"/>
    <w:docVar w:name="jobn" w:val="09-26705 (A)"/>
    <w:docVar w:name="jobnDT" w:val="09-26705 (A)   060509"/>
    <w:docVar w:name="jobnDTDT" w:val="09-26705 (A)   060509   060509"/>
    <w:docVar w:name="JobNo" w:val="0926705A"/>
    <w:docVar w:name="OandT" w:val=" "/>
    <w:docVar w:name="sss1" w:val="CEDAW/C/SR.869"/>
    <w:docVar w:name="sss2" w:val="-"/>
    <w:docVar w:name="Symbol1" w:val="CEDAW/C/SR.869"/>
    <w:docVar w:name="Symbol2" w:val="-"/>
  </w:docVars>
  <w:rsids>
    <w:rsidRoot w:val="00FB6763"/>
    <w:rsid w:val="000170D3"/>
    <w:rsid w:val="000311C9"/>
    <w:rsid w:val="00042425"/>
    <w:rsid w:val="0006648F"/>
    <w:rsid w:val="00087310"/>
    <w:rsid w:val="0009732C"/>
    <w:rsid w:val="000C4EED"/>
    <w:rsid w:val="000D2CEC"/>
    <w:rsid w:val="000F5B98"/>
    <w:rsid w:val="00101EE8"/>
    <w:rsid w:val="00106F39"/>
    <w:rsid w:val="00113349"/>
    <w:rsid w:val="001519A9"/>
    <w:rsid w:val="001737F8"/>
    <w:rsid w:val="001775EA"/>
    <w:rsid w:val="0018030C"/>
    <w:rsid w:val="00187870"/>
    <w:rsid w:val="001C2AC4"/>
    <w:rsid w:val="001E5A5A"/>
    <w:rsid w:val="001E5A7A"/>
    <w:rsid w:val="001E5D7A"/>
    <w:rsid w:val="001F6786"/>
    <w:rsid w:val="00224DEA"/>
    <w:rsid w:val="00236A29"/>
    <w:rsid w:val="002416C5"/>
    <w:rsid w:val="0025002E"/>
    <w:rsid w:val="00255ED8"/>
    <w:rsid w:val="00266F59"/>
    <w:rsid w:val="00272B6C"/>
    <w:rsid w:val="0027623A"/>
    <w:rsid w:val="00290F2F"/>
    <w:rsid w:val="002937DA"/>
    <w:rsid w:val="002A09C6"/>
    <w:rsid w:val="002A1F60"/>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42088"/>
    <w:rsid w:val="004527C9"/>
    <w:rsid w:val="00453069"/>
    <w:rsid w:val="00483F5B"/>
    <w:rsid w:val="00490874"/>
    <w:rsid w:val="00494EE2"/>
    <w:rsid w:val="00496E83"/>
    <w:rsid w:val="004A2886"/>
    <w:rsid w:val="004B14A0"/>
    <w:rsid w:val="004D1B0C"/>
    <w:rsid w:val="004F0D2B"/>
    <w:rsid w:val="004F1402"/>
    <w:rsid w:val="004F75CD"/>
    <w:rsid w:val="0050278B"/>
    <w:rsid w:val="0050659B"/>
    <w:rsid w:val="00521CAC"/>
    <w:rsid w:val="00524A2E"/>
    <w:rsid w:val="005279DE"/>
    <w:rsid w:val="00534772"/>
    <w:rsid w:val="00537FCD"/>
    <w:rsid w:val="005452D2"/>
    <w:rsid w:val="00545F76"/>
    <w:rsid w:val="005545BB"/>
    <w:rsid w:val="00556882"/>
    <w:rsid w:val="00561E43"/>
    <w:rsid w:val="00562BD0"/>
    <w:rsid w:val="0057078E"/>
    <w:rsid w:val="005838F5"/>
    <w:rsid w:val="00591B45"/>
    <w:rsid w:val="005A0F73"/>
    <w:rsid w:val="005A2EA3"/>
    <w:rsid w:val="005C2ECE"/>
    <w:rsid w:val="005C7ED8"/>
    <w:rsid w:val="006007BD"/>
    <w:rsid w:val="00616E82"/>
    <w:rsid w:val="00617BDA"/>
    <w:rsid w:val="006218A3"/>
    <w:rsid w:val="006564CE"/>
    <w:rsid w:val="00663F64"/>
    <w:rsid w:val="00692B46"/>
    <w:rsid w:val="00696B7A"/>
    <w:rsid w:val="006A1E4E"/>
    <w:rsid w:val="006B4DB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B508D"/>
    <w:rsid w:val="008D1C04"/>
    <w:rsid w:val="008F04A0"/>
    <w:rsid w:val="008F600A"/>
    <w:rsid w:val="008F64A7"/>
    <w:rsid w:val="0090012B"/>
    <w:rsid w:val="0090351F"/>
    <w:rsid w:val="00961DEB"/>
    <w:rsid w:val="00964FA8"/>
    <w:rsid w:val="00970BAD"/>
    <w:rsid w:val="009768D1"/>
    <w:rsid w:val="009829B7"/>
    <w:rsid w:val="009927C0"/>
    <w:rsid w:val="009961E6"/>
    <w:rsid w:val="009B15AD"/>
    <w:rsid w:val="009B6C65"/>
    <w:rsid w:val="009B752D"/>
    <w:rsid w:val="009C0017"/>
    <w:rsid w:val="009C15F4"/>
    <w:rsid w:val="009D62A3"/>
    <w:rsid w:val="009E2A1F"/>
    <w:rsid w:val="009F5698"/>
    <w:rsid w:val="00A37C4B"/>
    <w:rsid w:val="00A56F63"/>
    <w:rsid w:val="00A66F66"/>
    <w:rsid w:val="00A71AE5"/>
    <w:rsid w:val="00A77F16"/>
    <w:rsid w:val="00A84229"/>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25C8"/>
    <w:rsid w:val="00C25A2D"/>
    <w:rsid w:val="00C260F8"/>
    <w:rsid w:val="00C43FBE"/>
    <w:rsid w:val="00C449C6"/>
    <w:rsid w:val="00C564B0"/>
    <w:rsid w:val="00C6283F"/>
    <w:rsid w:val="00C71487"/>
    <w:rsid w:val="00C814A5"/>
    <w:rsid w:val="00C855F6"/>
    <w:rsid w:val="00C94309"/>
    <w:rsid w:val="00C96573"/>
    <w:rsid w:val="00CD0BB8"/>
    <w:rsid w:val="00CD3849"/>
    <w:rsid w:val="00CF7384"/>
    <w:rsid w:val="00D2343D"/>
    <w:rsid w:val="00D30EAE"/>
    <w:rsid w:val="00D318F1"/>
    <w:rsid w:val="00D40B0E"/>
    <w:rsid w:val="00D44FE0"/>
    <w:rsid w:val="00D66413"/>
    <w:rsid w:val="00DA66B7"/>
    <w:rsid w:val="00DB0865"/>
    <w:rsid w:val="00DC358D"/>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93545"/>
    <w:rsid w:val="00F96FBA"/>
    <w:rsid w:val="00FB4E06"/>
    <w:rsid w:val="00FB6763"/>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B508D"/>
    <w:rPr>
      <w:szCs w:val="20"/>
    </w:rPr>
  </w:style>
  <w:style w:type="paragraph" w:styleId="CommentSubject">
    <w:name w:val="annotation subject"/>
    <w:basedOn w:val="CommentText"/>
    <w:next w:val="CommentText"/>
    <w:semiHidden/>
    <w:rsid w:val="008B50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567</Words>
  <Characters>2926</Characters>
  <Application>Microsoft Office Word</Application>
  <DocSecurity>4</DocSecurity>
  <Lines>91</Lines>
  <Paragraphs>35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Ibrahim.El-Dahchoury</dc:creator>
  <cp:keywords/>
  <dc:description/>
  <cp:lastModifiedBy>Bassam.Adawi</cp:lastModifiedBy>
  <cp:revision>8</cp:revision>
  <cp:lastPrinted>2009-05-06T15:19:00Z</cp:lastPrinted>
  <dcterms:created xsi:type="dcterms:W3CDTF">2009-05-06T15:19:00Z</dcterms:created>
  <dcterms:modified xsi:type="dcterms:W3CDTF">2009-05-06T15:21:00Z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0926705</vt:lpwstr>
  </property>
  <property fmtid="{D5CDD505-2E9C-101B-9397-08002B2CF9AE}" pid="3" name="Symbol1">
    <vt:lpwstr>CEDAW/C/SR.869</vt:lpwstr>
  </property>
  <property fmtid="{D5CDD505-2E9C-101B-9397-08002B2CF9AE}" pid="4" name="Symbol2">
    <vt:lpwstr/>
  </property>
  <property fmtid="{D5CDD505-2E9C-101B-9397-08002B2CF9AE}" pid="5" name="Translator">
    <vt:lpwstr/>
  </property>
  <property fmtid="{D5CDD505-2E9C-101B-9397-08002B2CF9AE}" pid="6" name="Comment">
    <vt:lpwstr>Finalization</vt:lpwstr>
  </property>
  <property fmtid="{D5CDD505-2E9C-101B-9397-08002B2CF9AE}" pid="7" name="DraftPages">
    <vt:lpwstr>2</vt:lpwstr>
  </property>
  <property fmtid="{D5CDD505-2E9C-101B-9397-08002B2CF9AE}" pid="8" name="Operator">
    <vt:lpwstr>بسام</vt:lpwstr>
  </property>
</Properties>
</file>