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EB3FF7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B3FF7" w:rsidP="00EB3FF7">
            <w:pPr>
              <w:jc w:val="right"/>
            </w:pPr>
            <w:r w:rsidRPr="00EB3FF7">
              <w:rPr>
                <w:sz w:val="40"/>
              </w:rPr>
              <w:t>CRC</w:t>
            </w:r>
            <w:r>
              <w:t>/C/BIH/Q/2-4</w:t>
            </w:r>
          </w:p>
        </w:tc>
      </w:tr>
      <w:tr w:rsidR="002D5AAC" w:rsidTr="00EB3FF7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FB2D3D" w:rsidRDefault="004D45DB" w:rsidP="00FB2D3D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EB3FF7" w:rsidRDefault="00EB3FF7" w:rsidP="00DD299D">
            <w:pPr>
              <w:spacing w:before="240"/>
            </w:pPr>
            <w:r>
              <w:t>Distr. general</w:t>
            </w:r>
          </w:p>
          <w:p w:rsidR="00EB3FF7" w:rsidRDefault="00EB3FF7" w:rsidP="00EB3FF7">
            <w:pPr>
              <w:spacing w:line="240" w:lineRule="exact"/>
            </w:pPr>
            <w:r>
              <w:t>8 de marzo de 2012</w:t>
            </w:r>
          </w:p>
          <w:p w:rsidR="00EB3FF7" w:rsidRDefault="00EB3FF7" w:rsidP="00EB3FF7">
            <w:pPr>
              <w:spacing w:line="240" w:lineRule="exact"/>
            </w:pPr>
            <w:r>
              <w:t>Español</w:t>
            </w:r>
          </w:p>
          <w:p w:rsidR="002D5AAC" w:rsidRDefault="00EB3FF7" w:rsidP="00EB3FF7">
            <w:pPr>
              <w:spacing w:line="240" w:lineRule="exact"/>
            </w:pPr>
            <w:r>
              <w:t>Original: inglés</w:t>
            </w:r>
          </w:p>
        </w:tc>
      </w:tr>
    </w:tbl>
    <w:p w:rsidR="00EB3FF7" w:rsidRPr="001114A9" w:rsidRDefault="00EB3FF7" w:rsidP="00EB3FF7">
      <w:pPr>
        <w:spacing w:before="120" w:line="240" w:lineRule="auto"/>
        <w:rPr>
          <w:b/>
          <w:sz w:val="24"/>
          <w:szCs w:val="24"/>
        </w:rPr>
      </w:pPr>
      <w:r w:rsidRPr="001114A9">
        <w:rPr>
          <w:b/>
          <w:sz w:val="24"/>
          <w:szCs w:val="24"/>
        </w:rPr>
        <w:t>Comité de los Derechos del Niño</w:t>
      </w:r>
    </w:p>
    <w:p w:rsidR="00EB3FF7" w:rsidRPr="001114A9" w:rsidRDefault="00EB3FF7" w:rsidP="00EB3FF7">
      <w:pPr>
        <w:spacing w:line="240" w:lineRule="auto"/>
        <w:rPr>
          <w:b/>
        </w:rPr>
      </w:pPr>
      <w:r w:rsidRPr="001114A9">
        <w:rPr>
          <w:b/>
        </w:rPr>
        <w:t xml:space="preserve">61º período de sesiones </w:t>
      </w:r>
    </w:p>
    <w:p w:rsidR="00EB3FF7" w:rsidRPr="001114A9" w:rsidRDefault="00EB3FF7" w:rsidP="00EB3FF7">
      <w:pPr>
        <w:spacing w:after="240" w:line="240" w:lineRule="auto"/>
      </w:pPr>
      <w:r w:rsidRPr="001114A9">
        <w:t>17 de septiembre a 5 de octubre de 2012</w:t>
      </w:r>
    </w:p>
    <w:p w:rsidR="00EB3FF7" w:rsidRPr="001114A9" w:rsidRDefault="00EB3FF7" w:rsidP="00EB3FF7">
      <w:pPr>
        <w:pStyle w:val="HChG"/>
      </w:pPr>
      <w:r w:rsidRPr="001114A9">
        <w:tab/>
      </w:r>
      <w:r w:rsidRPr="001114A9">
        <w:tab/>
        <w:t>Aplicación de la Convención sobre los Derechos del Niño</w:t>
      </w:r>
    </w:p>
    <w:p w:rsidR="00EB3FF7" w:rsidRPr="001114A9" w:rsidRDefault="00EB3FF7" w:rsidP="00EB3FF7">
      <w:pPr>
        <w:pStyle w:val="H1G"/>
      </w:pPr>
      <w:r w:rsidRPr="001114A9">
        <w:tab/>
      </w:r>
      <w:r w:rsidRPr="001114A9">
        <w:tab/>
        <w:t xml:space="preserve">Lista de cuestiones que requieren </w:t>
      </w:r>
      <w:r>
        <w:t>información adicional</w:t>
      </w:r>
      <w:r w:rsidR="00FA60FA">
        <w:t xml:space="preserve"> y</w:t>
      </w:r>
      <w:r w:rsidR="00732FFE">
        <w:br/>
      </w:r>
      <w:r w:rsidRPr="001114A9">
        <w:t>actualizada en relación con el examen de los informes</w:t>
      </w:r>
      <w:r w:rsidR="00FA60FA">
        <w:t xml:space="preserve"> </w:t>
      </w:r>
      <w:r>
        <w:t>segundo</w:t>
      </w:r>
      <w:r w:rsidR="00FA60FA">
        <w:br/>
      </w:r>
      <w:r>
        <w:t>a cuarto combinados de Bosnia y Herzegovina</w:t>
      </w:r>
      <w:r w:rsidR="00FA60FA">
        <w:t xml:space="preserve"> </w:t>
      </w:r>
      <w:r w:rsidRPr="001114A9">
        <w:t>(CRC/C/BIH/2-4)</w:t>
      </w:r>
    </w:p>
    <w:p w:rsidR="00EB3FF7" w:rsidRPr="001114A9" w:rsidRDefault="00EB3FF7" w:rsidP="00EB3FF7">
      <w:pPr>
        <w:pStyle w:val="SingleTxtG"/>
        <w:rPr>
          <w:b/>
        </w:rPr>
      </w:pPr>
      <w:r w:rsidRPr="001114A9">
        <w:rPr>
          <w:b/>
        </w:rPr>
        <w:t>Se pide al Estado parte que presente por escrito información adicional y actualizada, de ser posible antes del 2 de julio de 2012.</w:t>
      </w:r>
    </w:p>
    <w:p w:rsidR="00EB3FF7" w:rsidRPr="001114A9" w:rsidRDefault="00EB3FF7" w:rsidP="00EB3FF7">
      <w:pPr>
        <w:pStyle w:val="SingleTxtG"/>
        <w:rPr>
          <w:i/>
        </w:rPr>
      </w:pPr>
      <w:r w:rsidRPr="001114A9">
        <w:rPr>
          <w:i/>
        </w:rPr>
        <w:t xml:space="preserve">En el diálogo con el Estado parte, el Comité puede abordar todos los aspectos de los derechos del niño contemplados en la Convención. </w:t>
      </w:r>
    </w:p>
    <w:p w:rsidR="00EB3FF7" w:rsidRPr="001114A9" w:rsidRDefault="00EB3FF7" w:rsidP="00EB3FF7">
      <w:pPr>
        <w:pStyle w:val="HChG"/>
      </w:pPr>
      <w:r w:rsidRPr="001114A9">
        <w:tab/>
      </w:r>
      <w:r w:rsidRPr="001114A9">
        <w:tab/>
        <w:t>Parte I</w:t>
      </w:r>
    </w:p>
    <w:p w:rsidR="00EB3FF7" w:rsidRPr="001114A9" w:rsidRDefault="00EB3FF7" w:rsidP="00EB3FF7">
      <w:pPr>
        <w:pStyle w:val="SingleTxtG"/>
        <w:rPr>
          <w:b/>
        </w:rPr>
      </w:pPr>
      <w:r w:rsidRPr="001114A9">
        <w:rPr>
          <w:b/>
        </w:rPr>
        <w:t>En esta sección, se invita al Estado parte a presentar sus respuestas a las siguientes cuestiones (en 30 páginas como máximo).</w:t>
      </w:r>
    </w:p>
    <w:p w:rsidR="00EB3FF7" w:rsidRPr="001114A9" w:rsidRDefault="00EB3FF7" w:rsidP="00EB3FF7">
      <w:pPr>
        <w:pStyle w:val="SingleTxtG"/>
      </w:pPr>
      <w:r w:rsidRPr="001114A9">
        <w:t>1.</w:t>
      </w:r>
      <w:r w:rsidRPr="001114A9">
        <w:tab/>
        <w:t>Sírvanse informar de si el Estado parte posee una estrategia y un s</w:t>
      </w:r>
      <w:r>
        <w:t>istema de coordinación general</w:t>
      </w:r>
      <w:r w:rsidRPr="001114A9">
        <w:t xml:space="preserve"> para la aplicación coherente y homogénea de la Convención. En esa información</w:t>
      </w:r>
      <w:r>
        <w:t>,</w:t>
      </w:r>
      <w:r w:rsidRPr="001114A9">
        <w:t xml:space="preserve"> indiquen concretamente lo siguiente: </w:t>
      </w:r>
    </w:p>
    <w:p w:rsidR="00EB3FF7" w:rsidRPr="001114A9" w:rsidRDefault="00EB3FF7" w:rsidP="00EB3FF7">
      <w:pPr>
        <w:pStyle w:val="SingleTxtG"/>
      </w:pPr>
      <w:r>
        <w:tab/>
      </w:r>
      <w:r w:rsidRPr="001114A9">
        <w:t>a)</w:t>
      </w:r>
      <w:r w:rsidRPr="001114A9">
        <w:tab/>
        <w:t xml:space="preserve">Las medidas para </w:t>
      </w:r>
      <w:r>
        <w:t>efectu</w:t>
      </w:r>
      <w:r w:rsidRPr="001114A9">
        <w:t xml:space="preserve">ar la coordinación en ese contexto a nivel federal y local; </w:t>
      </w:r>
    </w:p>
    <w:p w:rsidR="00EB3FF7" w:rsidRPr="001114A9" w:rsidRDefault="00EB3FF7" w:rsidP="00EB3FF7">
      <w:pPr>
        <w:pStyle w:val="SingleTxtG"/>
      </w:pPr>
      <w:r>
        <w:tab/>
      </w:r>
      <w:r w:rsidRPr="001114A9">
        <w:t>b)</w:t>
      </w:r>
      <w:r w:rsidRPr="001114A9">
        <w:tab/>
        <w:t xml:space="preserve">Los progresos que se hayan realizado en la iniciativa de establecer un Consejo para la Infancia con vistas a aplicar la Convención, mencionada en el informe del Estado parte (CRC/C/BIH/2-4, párrs. 60 a 63); </w:t>
      </w:r>
    </w:p>
    <w:p w:rsidR="00EB3FF7" w:rsidRPr="001114A9" w:rsidRDefault="00EB3FF7" w:rsidP="00EB3FF7">
      <w:pPr>
        <w:pStyle w:val="SingleTxtG"/>
      </w:pPr>
      <w:r>
        <w:tab/>
      </w:r>
      <w:r w:rsidRPr="001114A9">
        <w:t>c)</w:t>
      </w:r>
      <w:r w:rsidRPr="001114A9">
        <w:tab/>
        <w:t>Las medidas, incluidas las de carácter legislativo, encaminadas a proporcionar recursos humanos, técnicos y financieros suficientes para la puesta en práctica de los mecanismos necesarios para la estrategia y el sistema mencionados.</w:t>
      </w:r>
      <w:r w:rsidRPr="001114A9">
        <w:rPr>
          <w:vertAlign w:val="superscript"/>
        </w:rPr>
        <w:t xml:space="preserve"> </w:t>
      </w:r>
    </w:p>
    <w:p w:rsidR="00EB3FF7" w:rsidRPr="001114A9" w:rsidRDefault="00EB3FF7" w:rsidP="00EB3FF7">
      <w:pPr>
        <w:pStyle w:val="SingleTxtG"/>
        <w:rPr>
          <w:bCs/>
        </w:rPr>
      </w:pPr>
      <w:r w:rsidRPr="001114A9">
        <w:rPr>
          <w:bCs/>
        </w:rPr>
        <w:t>2.</w:t>
      </w:r>
      <w:r w:rsidRPr="001114A9">
        <w:rPr>
          <w:bCs/>
        </w:rPr>
        <w:tab/>
        <w:t>Sírvanse proporcionar información sobre las medidas que haya adoptado el Estado parte para establecer un sistema coherente de reunión y análisis exhaustivo de datos desglosados sobre todos los temas de la Convención, que tenga en cuenta, entre otras cosas el sexo, la edad, el origen étnico, la ubicación geográfica y los antecedentes socioeconómicos</w:t>
      </w:r>
      <w:r w:rsidRPr="001114A9">
        <w:t>.</w:t>
      </w:r>
    </w:p>
    <w:p w:rsidR="00EB3FF7" w:rsidRPr="001114A9" w:rsidRDefault="00EB3FF7" w:rsidP="00EB3FF7">
      <w:pPr>
        <w:pStyle w:val="SingleTxtG"/>
        <w:keepNext/>
        <w:keepLines/>
        <w:rPr>
          <w:bCs/>
        </w:rPr>
      </w:pPr>
      <w:r w:rsidRPr="001114A9">
        <w:rPr>
          <w:bCs/>
        </w:rPr>
        <w:t>3.</w:t>
      </w:r>
      <w:r w:rsidRPr="001114A9">
        <w:rPr>
          <w:bCs/>
        </w:rPr>
        <w:tab/>
        <w:t xml:space="preserve">Rogamos que indiquen las medidas adoptadas por el Estado parte para crear conciencia sobre la Convención y sus Protocolos facultativos </w:t>
      </w:r>
      <w:r w:rsidRPr="001114A9">
        <w:t>entre los niños y la población en general, así como para asegurar e impartir capacitación sobre su aplicación a todo</w:t>
      </w:r>
      <w:r>
        <w:t xml:space="preserve"> e</w:t>
      </w:r>
      <w:r w:rsidRPr="001114A9">
        <w:t>l p</w:t>
      </w:r>
      <w:r>
        <w:t>ersonal que trabaja</w:t>
      </w:r>
      <w:r w:rsidRPr="001114A9">
        <w:t xml:space="preserve"> con </w:t>
      </w:r>
      <w:r>
        <w:t xml:space="preserve">los </w:t>
      </w:r>
      <w:r w:rsidRPr="001114A9">
        <w:t>niños</w:t>
      </w:r>
      <w:r>
        <w:t xml:space="preserve"> o a favor de los niños</w:t>
      </w:r>
      <w:r w:rsidRPr="001114A9">
        <w:t xml:space="preserve">, incluidos los </w:t>
      </w:r>
      <w:r>
        <w:t xml:space="preserve">profesionales </w:t>
      </w:r>
      <w:r w:rsidRPr="001114A9">
        <w:t>del sistema de educación, los servicios sanitarios y sociales y l</w:t>
      </w:r>
      <w:r>
        <w:t>os</w:t>
      </w:r>
      <w:r w:rsidRPr="001114A9">
        <w:t xml:space="preserve"> sector</w:t>
      </w:r>
      <w:r>
        <w:t>es</w:t>
      </w:r>
      <w:r w:rsidRPr="001114A9">
        <w:t xml:space="preserve"> de la justicia y de las fuerzas del orden.</w:t>
      </w:r>
    </w:p>
    <w:p w:rsidR="00EB3FF7" w:rsidRPr="001114A9" w:rsidRDefault="00EB3FF7" w:rsidP="00EB3FF7">
      <w:pPr>
        <w:pStyle w:val="SingleTxtG"/>
      </w:pPr>
      <w:r w:rsidRPr="001114A9">
        <w:t>4.</w:t>
      </w:r>
      <w:r w:rsidRPr="001114A9">
        <w:tab/>
        <w:t xml:space="preserve">Sírvanse proporcionar información detallada y actualizada sobre la legislación de </w:t>
      </w:r>
      <w:r>
        <w:t xml:space="preserve">lucha contra la discriminación en </w:t>
      </w:r>
      <w:r w:rsidRPr="001114A9">
        <w:t>el Estado parte, en particular sobre la situación actual d</w:t>
      </w:r>
      <w:r>
        <w:t>e la</w:t>
      </w:r>
      <w:r w:rsidRPr="001114A9">
        <w:t xml:space="preserve"> </w:t>
      </w:r>
      <w:r w:rsidRPr="001114A9">
        <w:rPr>
          <w:lang w:val="es-ES_tradnl"/>
        </w:rPr>
        <w:t xml:space="preserve">Ley de prohibición de la discriminación y la propuesta conexa de que la institución del Mediador para los Derechos Humanos de Bosnia y Herzegovina  supervise la aplicación de dicha ley. </w:t>
      </w:r>
    </w:p>
    <w:p w:rsidR="00EB3FF7" w:rsidRPr="001114A9" w:rsidRDefault="00EB3FF7" w:rsidP="00EB3FF7">
      <w:pPr>
        <w:pStyle w:val="SingleTxtG"/>
      </w:pPr>
      <w:r w:rsidRPr="001114A9">
        <w:t>5.</w:t>
      </w:r>
      <w:r w:rsidRPr="001114A9">
        <w:tab/>
        <w:t xml:space="preserve">Sírvanse proporcionar información detallada sobre las medidas concretas que haya adoptado el Estado parte para prevenir y eliminar la discriminación contra: </w:t>
      </w:r>
    </w:p>
    <w:p w:rsidR="00EB3FF7" w:rsidRPr="001114A9" w:rsidRDefault="00EB3FF7" w:rsidP="00EB3FF7">
      <w:pPr>
        <w:pStyle w:val="SingleTxtG"/>
      </w:pPr>
      <w:r>
        <w:tab/>
        <w:t>a)</w:t>
      </w:r>
      <w:r>
        <w:tab/>
        <w:t>Los niños de minorí</w:t>
      </w:r>
      <w:r w:rsidRPr="001114A9">
        <w:t>as étnicas;</w:t>
      </w:r>
    </w:p>
    <w:p w:rsidR="00EB3FF7" w:rsidRPr="001114A9" w:rsidRDefault="00EB3FF7" w:rsidP="00EB3FF7">
      <w:pPr>
        <w:pStyle w:val="SingleTxtG"/>
      </w:pPr>
      <w:r>
        <w:tab/>
      </w:r>
      <w:r w:rsidRPr="001114A9">
        <w:t>b)</w:t>
      </w:r>
      <w:r w:rsidRPr="001114A9">
        <w:tab/>
        <w:t>Los niños de la calle;</w:t>
      </w:r>
    </w:p>
    <w:p w:rsidR="00EB3FF7" w:rsidRPr="001114A9" w:rsidRDefault="00EB3FF7" w:rsidP="00EB3FF7">
      <w:pPr>
        <w:pStyle w:val="SingleTxtG"/>
      </w:pPr>
      <w:r>
        <w:tab/>
      </w:r>
      <w:r w:rsidRPr="001114A9">
        <w:t>c)</w:t>
      </w:r>
      <w:r w:rsidRPr="001114A9">
        <w:tab/>
        <w:t>Los niños con discapacidad.</w:t>
      </w:r>
    </w:p>
    <w:p w:rsidR="00EB3FF7" w:rsidRPr="001114A9" w:rsidRDefault="00EB3FF7" w:rsidP="00EB3FF7">
      <w:pPr>
        <w:pStyle w:val="SingleTxtG"/>
      </w:pPr>
      <w:r w:rsidRPr="001114A9">
        <w:t>6.</w:t>
      </w:r>
      <w:r w:rsidRPr="001114A9">
        <w:tab/>
        <w:t>Facilítese información actualizada sobre las medidas adoptadas por el Estado parte para mejorar la inscripción de</w:t>
      </w:r>
      <w:r>
        <w:t>l nacimiento</w:t>
      </w:r>
      <w:r w:rsidRPr="001114A9">
        <w:t xml:space="preserve"> de todos los niños</w:t>
      </w:r>
      <w:r>
        <w:t xml:space="preserve"> en el Registro</w:t>
      </w:r>
      <w:r w:rsidRPr="001114A9">
        <w:t>, en particular de:</w:t>
      </w:r>
    </w:p>
    <w:p w:rsidR="00EB3FF7" w:rsidRPr="001114A9" w:rsidRDefault="00EB3FF7" w:rsidP="00EB3FF7">
      <w:pPr>
        <w:pStyle w:val="SingleTxtG"/>
      </w:pPr>
      <w:r>
        <w:tab/>
      </w:r>
      <w:r w:rsidRPr="001114A9">
        <w:t>a)</w:t>
      </w:r>
      <w:r w:rsidRPr="001114A9">
        <w:tab/>
        <w:t>Los niños romaníes y/o de minorías étnicas;</w:t>
      </w:r>
    </w:p>
    <w:p w:rsidR="00EB3FF7" w:rsidRPr="001114A9" w:rsidRDefault="00EB3FF7" w:rsidP="00EB3FF7">
      <w:pPr>
        <w:pStyle w:val="SingleTxtG"/>
      </w:pPr>
      <w:r>
        <w:tab/>
      </w:r>
      <w:r w:rsidRPr="001114A9">
        <w:t>b)</w:t>
      </w:r>
      <w:r w:rsidRPr="001114A9">
        <w:tab/>
        <w:t>Los niños que no nacen en hospitales;</w:t>
      </w:r>
    </w:p>
    <w:p w:rsidR="00EB3FF7" w:rsidRPr="001114A9" w:rsidRDefault="00EB3FF7" w:rsidP="00EB3FF7">
      <w:pPr>
        <w:pStyle w:val="SingleTxtG"/>
      </w:pPr>
      <w:r>
        <w:tab/>
      </w:r>
      <w:r w:rsidRPr="001114A9">
        <w:t>c)</w:t>
      </w:r>
      <w:r w:rsidRPr="001114A9">
        <w:tab/>
        <w:t>Los niños de zonas remotas del Estado parte.</w:t>
      </w:r>
    </w:p>
    <w:p w:rsidR="00EB3FF7" w:rsidRPr="001114A9" w:rsidRDefault="00EB3FF7" w:rsidP="00EB3FF7">
      <w:pPr>
        <w:pStyle w:val="SingleTxtG"/>
      </w:pPr>
      <w:r w:rsidRPr="001114A9">
        <w:t>7.</w:t>
      </w:r>
      <w:r w:rsidRPr="001114A9">
        <w:tab/>
        <w:t>Facilítese información detallada y actualizada sobre las leyes, si las hubiere, que prohíban expresamente los castigos corporales de los niños en todos los ámbitos, incluidos el hogar y los establecimientos de cuidados alternativos.</w:t>
      </w:r>
      <w:r w:rsidRPr="001114A9">
        <w:rPr>
          <w:vertAlign w:val="superscript"/>
        </w:rPr>
        <w:t xml:space="preserve"> </w:t>
      </w:r>
    </w:p>
    <w:p w:rsidR="00EB3FF7" w:rsidRPr="001114A9" w:rsidRDefault="00EB3FF7" w:rsidP="00EB3FF7">
      <w:pPr>
        <w:pStyle w:val="SingleTxtG"/>
      </w:pPr>
      <w:r w:rsidRPr="001114A9">
        <w:t>8.</w:t>
      </w:r>
      <w:r w:rsidRPr="001114A9">
        <w:tab/>
        <w:t>Sírvanse informar en detalle sobre los progresos realizados, si los hubiere, en la adopción de las medidas necesarias, incluidas la promulgación y/o modificación de leyes, para proporcionar a los niños privados de un entorno familiar, siempre que sea posible, formas de acogida en un entorno similar al familiar.</w:t>
      </w:r>
    </w:p>
    <w:p w:rsidR="00EB3FF7" w:rsidRPr="001114A9" w:rsidRDefault="00EB3FF7" w:rsidP="00EB3FF7">
      <w:pPr>
        <w:pStyle w:val="SingleTxtG"/>
      </w:pPr>
      <w:r w:rsidRPr="001114A9">
        <w:t>9.</w:t>
      </w:r>
      <w:r w:rsidRPr="001114A9">
        <w:tab/>
        <w:t xml:space="preserve">Sírvanse proporcionar información detallada sobre las medidas que haya adoptado el Estado parte para armonizar y ajustar a las normas internacionales, incluida la Convención, la legislación, los procesos y los sistemas </w:t>
      </w:r>
      <w:r>
        <w:t xml:space="preserve">de </w:t>
      </w:r>
      <w:r w:rsidRPr="001114A9">
        <w:t>adopción en to</w:t>
      </w:r>
      <w:r>
        <w:t>das sus e</w:t>
      </w:r>
      <w:r w:rsidRPr="001114A9">
        <w:t>ntidades, cantones y municipios.</w:t>
      </w:r>
    </w:p>
    <w:p w:rsidR="00EB3FF7" w:rsidRPr="001114A9" w:rsidRDefault="00EB3FF7" w:rsidP="00EB3FF7">
      <w:pPr>
        <w:pStyle w:val="SingleTxtG"/>
      </w:pPr>
      <w:r w:rsidRPr="001114A9">
        <w:t>10.</w:t>
      </w:r>
      <w:r w:rsidRPr="001114A9">
        <w:tab/>
        <w:t xml:space="preserve">Sírvanse proporcionar información actualizada y detallada sobre los programas y las iniciativas </w:t>
      </w:r>
      <w:r>
        <w:t>políticas</w:t>
      </w:r>
      <w:r w:rsidRPr="001114A9">
        <w:t xml:space="preserve"> del Estado parte para atender concretamente las necesidades de los niños con discapacidad, en particular en relación con el acceso a la salud y la educación.</w:t>
      </w:r>
    </w:p>
    <w:p w:rsidR="00EB3FF7" w:rsidRPr="001114A9" w:rsidRDefault="00EB3FF7" w:rsidP="00EB3FF7">
      <w:pPr>
        <w:pStyle w:val="SingleTxtG"/>
      </w:pPr>
      <w:r w:rsidRPr="001114A9">
        <w:t>11.</w:t>
      </w:r>
      <w:r w:rsidRPr="001114A9">
        <w:tab/>
        <w:t xml:space="preserve">Facilítese información sobre las medidas que haya adoptado el Estado parte para reforzar la capacidad de sus centros de trabajo social, a fin de que los niños y sus familias tengan acceso adecuado y equitativo a los programas de bienestar social en cada </w:t>
      </w:r>
      <w:r>
        <w:t>e</w:t>
      </w:r>
      <w:r w:rsidRPr="001114A9">
        <w:t>ntidad, cantón y municipio.</w:t>
      </w:r>
    </w:p>
    <w:p w:rsidR="00EB3FF7" w:rsidRPr="001114A9" w:rsidRDefault="00EB3FF7" w:rsidP="00EB3FF7">
      <w:pPr>
        <w:pStyle w:val="SingleTxtG"/>
      </w:pPr>
      <w:r w:rsidRPr="001114A9">
        <w:t>12.</w:t>
      </w:r>
      <w:r w:rsidRPr="001114A9">
        <w:tab/>
      </w:r>
      <w:r w:rsidRPr="001114A9">
        <w:rPr>
          <w:bCs/>
        </w:rPr>
        <w:t>Se ruega que informen sobre todas las medidas adoptadas por el Estado parte para que los niños refugiados, solicitantes de</w:t>
      </w:r>
      <w:r>
        <w:rPr>
          <w:bCs/>
        </w:rPr>
        <w:t xml:space="preserve"> asilo y/o desplazados internos</w:t>
      </w:r>
      <w:r w:rsidRPr="001114A9">
        <w:rPr>
          <w:bCs/>
        </w:rPr>
        <w:t>:</w:t>
      </w:r>
    </w:p>
    <w:p w:rsidR="00EB3FF7" w:rsidRPr="001114A9" w:rsidRDefault="00EB3FF7" w:rsidP="00EB3FF7">
      <w:pPr>
        <w:pStyle w:val="SingleTxtG"/>
      </w:pPr>
      <w:r>
        <w:tab/>
      </w:r>
      <w:r w:rsidRPr="001114A9">
        <w:t>a)</w:t>
      </w:r>
      <w:r w:rsidRPr="001114A9">
        <w:tab/>
      </w:r>
      <w:r>
        <w:t xml:space="preserve">Sean </w:t>
      </w:r>
      <w:r w:rsidRPr="001114A9">
        <w:t>inscri</w:t>
      </w:r>
      <w:r>
        <w:t xml:space="preserve">tos al </w:t>
      </w:r>
      <w:r w:rsidRPr="001114A9">
        <w:t>nac</w:t>
      </w:r>
      <w:r>
        <w:t>er en el Registro Civil</w:t>
      </w:r>
      <w:r w:rsidRPr="001114A9">
        <w:t>;</w:t>
      </w:r>
    </w:p>
    <w:p w:rsidR="00EB3FF7" w:rsidRPr="001114A9" w:rsidRDefault="00EB3FF7" w:rsidP="00EB3FF7">
      <w:pPr>
        <w:pStyle w:val="SingleTxtG"/>
        <w:keepNext/>
        <w:keepLines/>
      </w:pPr>
      <w:r>
        <w:tab/>
      </w:r>
      <w:r w:rsidRPr="001114A9">
        <w:t>b)</w:t>
      </w:r>
      <w:r w:rsidRPr="001114A9">
        <w:tab/>
      </w:r>
      <w:r>
        <w:t xml:space="preserve">Tengan </w:t>
      </w:r>
      <w:r w:rsidRPr="001114A9">
        <w:t>acceso a una atención sanitaria adecuada;</w:t>
      </w:r>
    </w:p>
    <w:p w:rsidR="00EB3FF7" w:rsidRPr="001114A9" w:rsidRDefault="00EB3FF7" w:rsidP="00EB3FF7">
      <w:pPr>
        <w:pStyle w:val="SingleTxtG"/>
      </w:pPr>
      <w:r>
        <w:tab/>
      </w:r>
      <w:r w:rsidRPr="001114A9">
        <w:t>c)</w:t>
      </w:r>
      <w:r w:rsidRPr="001114A9">
        <w:tab/>
      </w:r>
      <w:r>
        <w:t xml:space="preserve">Tengan </w:t>
      </w:r>
      <w:r w:rsidRPr="001114A9">
        <w:t>acceso a una educación integrada;</w:t>
      </w:r>
    </w:p>
    <w:p w:rsidR="00EB3FF7" w:rsidRPr="001114A9" w:rsidRDefault="00EB3FF7" w:rsidP="00EB3FF7">
      <w:pPr>
        <w:pStyle w:val="SingleTxtG"/>
        <w:keepNext/>
        <w:keepLines/>
      </w:pPr>
      <w:r>
        <w:tab/>
      </w:r>
      <w:r w:rsidRPr="001114A9">
        <w:t>d)</w:t>
      </w:r>
      <w:r w:rsidRPr="001114A9">
        <w:tab/>
      </w:r>
      <w:r>
        <w:t xml:space="preserve">Tengan </w:t>
      </w:r>
      <w:r w:rsidRPr="001114A9">
        <w:t>un nivel de vida adecuado</w:t>
      </w:r>
      <w:r>
        <w:t xml:space="preserve"> y</w:t>
      </w:r>
      <w:r w:rsidRPr="001114A9">
        <w:t xml:space="preserve">, </w:t>
      </w:r>
      <w:r>
        <w:t xml:space="preserve">en especial, vivienda </w:t>
      </w:r>
      <w:r w:rsidRPr="001114A9">
        <w:t>apropia</w:t>
      </w:r>
      <w:r>
        <w:t>da</w:t>
      </w:r>
      <w:r w:rsidRPr="001114A9">
        <w:t>;</w:t>
      </w:r>
    </w:p>
    <w:p w:rsidR="00EB3FF7" w:rsidRPr="001114A9" w:rsidRDefault="00EB3FF7" w:rsidP="00EB3FF7">
      <w:pPr>
        <w:pStyle w:val="SingleTxtG"/>
      </w:pPr>
      <w:r>
        <w:tab/>
      </w:r>
      <w:r w:rsidRPr="001114A9">
        <w:t>e)</w:t>
      </w:r>
      <w:r w:rsidRPr="001114A9">
        <w:tab/>
      </w:r>
      <w:r w:rsidR="00C01C29" w:rsidRPr="001114A9">
        <w:t xml:space="preserve">Acceso </w:t>
      </w:r>
      <w:r w:rsidRPr="001114A9">
        <w:t>a asesoramiento jurídico, en particular en el contexto de las actualizaciones del proyecto de ley del Estado parte sobre el derecho a asesoramiento jurídico gratuito.</w:t>
      </w:r>
    </w:p>
    <w:p w:rsidR="00EB3FF7" w:rsidRPr="001114A9" w:rsidRDefault="00EB3FF7" w:rsidP="00EB3FF7">
      <w:pPr>
        <w:pStyle w:val="SingleTxtG"/>
      </w:pPr>
      <w:r w:rsidRPr="001114A9">
        <w:t>13.</w:t>
      </w:r>
      <w:r w:rsidRPr="001114A9">
        <w:tab/>
        <w:t xml:space="preserve">Sírvanse proporcionar información actualizada sobre las medidas adoptadas por el Estado parte para prevenir y erradicar el trabajo infantil, incluida la siguiente: </w:t>
      </w:r>
    </w:p>
    <w:p w:rsidR="00EB3FF7" w:rsidRPr="001114A9" w:rsidRDefault="00EB3FF7" w:rsidP="00EB3FF7">
      <w:pPr>
        <w:pStyle w:val="SingleTxtG"/>
      </w:pPr>
      <w:r>
        <w:tab/>
        <w:t>a)</w:t>
      </w:r>
      <w:r>
        <w:tab/>
        <w:t>Evaluación</w:t>
      </w:r>
      <w:r w:rsidRPr="001114A9">
        <w:t xml:space="preserve"> de su i</w:t>
      </w:r>
      <w:r>
        <w:t>ncidencia en cada territorio y e</w:t>
      </w:r>
      <w:r w:rsidRPr="001114A9">
        <w:t>ntidad federal del Estado parte;</w:t>
      </w:r>
    </w:p>
    <w:p w:rsidR="00EB3FF7" w:rsidRPr="001114A9" w:rsidRDefault="00EB3FF7" w:rsidP="00EB3FF7">
      <w:pPr>
        <w:pStyle w:val="SingleTxtG"/>
      </w:pPr>
      <w:r>
        <w:tab/>
      </w:r>
      <w:r w:rsidRPr="001114A9">
        <w:t>b)</w:t>
      </w:r>
      <w:r w:rsidRPr="001114A9">
        <w:tab/>
        <w:t>Medidas para hacer frente a sus causas fundamentales;</w:t>
      </w:r>
    </w:p>
    <w:p w:rsidR="00EB3FF7" w:rsidRPr="001114A9" w:rsidRDefault="00EB3FF7" w:rsidP="00EB3FF7">
      <w:pPr>
        <w:pStyle w:val="SingleTxtG"/>
      </w:pPr>
      <w:r>
        <w:tab/>
      </w:r>
      <w:r w:rsidRPr="001114A9">
        <w:t>c)</w:t>
      </w:r>
      <w:r w:rsidRPr="001114A9">
        <w:tab/>
        <w:t xml:space="preserve">Medidas legislativas para que los culpables de esa forma de explotación sean castigados de </w:t>
      </w:r>
      <w:r>
        <w:t>maner</w:t>
      </w:r>
      <w:r w:rsidRPr="001114A9">
        <w:t>a proporcional a sus actos.</w:t>
      </w:r>
    </w:p>
    <w:p w:rsidR="00EB3FF7" w:rsidRPr="001114A9" w:rsidRDefault="00EB3FF7" w:rsidP="00EB3FF7">
      <w:pPr>
        <w:pStyle w:val="SingleTxtG"/>
      </w:pPr>
      <w:r w:rsidRPr="001114A9">
        <w:t>14.</w:t>
      </w:r>
      <w:r w:rsidRPr="001114A9">
        <w:tab/>
        <w:t xml:space="preserve">Apórtese información detallada y actualizada sobre las medidas que haya adoptado el Estado parte para aprobar una legislación sobre justicia juvenil que esté en consonancia con las normas internacionales y se aplique en cada </w:t>
      </w:r>
      <w:r>
        <w:t>e</w:t>
      </w:r>
      <w:r w:rsidRPr="001114A9">
        <w:t>ntidad, cantón y municipio.</w:t>
      </w:r>
    </w:p>
    <w:p w:rsidR="00EB3FF7" w:rsidRPr="002C49B5" w:rsidRDefault="00EB3FF7" w:rsidP="00EB3FF7">
      <w:pPr>
        <w:pStyle w:val="SingleTxtG"/>
      </w:pPr>
      <w:r w:rsidRPr="001114A9">
        <w:t>15.</w:t>
      </w:r>
      <w:r w:rsidRPr="001114A9">
        <w:tab/>
        <w:t>Sírvanse proporcionar información actualizada sobre las medidas adoptadas por el Estado parte para aplicar las recomendaciones formuladas anteriormente por el Comité con respecto a la aplicación del Protocolo facultativo relativo a la participación de niños en los conflictos armados en relación, entre otras cosas, con las campañas de concienciación sobre las minas</w:t>
      </w:r>
      <w:r w:rsidRPr="001114A9">
        <w:rPr>
          <w:bCs/>
        </w:rPr>
        <w:t xml:space="preserve">, las actividades de desminado, y los programas especiales de rehabilitación para los niños afectados por la explosión de minas y otras consecuencias del conflicto armado </w:t>
      </w:r>
      <w:r w:rsidRPr="001114A9">
        <w:t xml:space="preserve">(CRC/C/OPAC/BIH/CO/1, párr. </w:t>
      </w:r>
      <w:r w:rsidRPr="002C49B5">
        <w:t>20)</w:t>
      </w:r>
      <w:r w:rsidRPr="002C49B5">
        <w:rPr>
          <w:bCs/>
        </w:rPr>
        <w:t xml:space="preserve">. </w:t>
      </w:r>
    </w:p>
    <w:p w:rsidR="00EB3FF7" w:rsidRPr="001114A9" w:rsidRDefault="00EB3FF7" w:rsidP="00EB3FF7">
      <w:pPr>
        <w:pStyle w:val="SingleTxtG"/>
      </w:pPr>
      <w:r w:rsidRPr="001114A9">
        <w:t>16.</w:t>
      </w:r>
      <w:r w:rsidRPr="001114A9">
        <w:tab/>
        <w:t xml:space="preserve">Facilítese información actualizada sobre las medidas adoptadas por el Estado parte para aplicar las recomendaciones anteriores del Comité (CRC/C/OPSC/BIH/CO/1, </w:t>
      </w:r>
      <w:r>
        <w:rPr>
          <w:i/>
        </w:rPr>
        <w:t>inter </w:t>
      </w:r>
      <w:r w:rsidRPr="001114A9">
        <w:rPr>
          <w:i/>
        </w:rPr>
        <w:t>alia</w:t>
      </w:r>
      <w:r w:rsidRPr="001114A9">
        <w:t xml:space="preserve">, párrs. 9, 27 y 31), en particular, las relativas a que su legislación </w:t>
      </w:r>
      <w:r>
        <w:t xml:space="preserve">reprima igualmente </w:t>
      </w:r>
      <w:r w:rsidRPr="001114A9">
        <w:t xml:space="preserve">en los respectivos Códigos Penales del Estado, las </w:t>
      </w:r>
      <w:r w:rsidR="00732FFE" w:rsidRPr="001114A9">
        <w:t xml:space="preserve">entidades y el distrito </w:t>
      </w:r>
      <w:r w:rsidRPr="001114A9">
        <w:t xml:space="preserve">de Brčko todos los delitos abarcados por el Protocolo facultativo relativo a la venta de niños, la prostitución infantil y la utilización de niños en la pornografía, y </w:t>
      </w:r>
      <w:r>
        <w:t>autorice</w:t>
      </w:r>
      <w:r w:rsidRPr="001114A9">
        <w:t xml:space="preserve"> al Estado parte </w:t>
      </w:r>
      <w:r>
        <w:t xml:space="preserve">a </w:t>
      </w:r>
      <w:r w:rsidRPr="001114A9">
        <w:t xml:space="preserve">ejercer </w:t>
      </w:r>
      <w:r>
        <w:t>l</w:t>
      </w:r>
      <w:r w:rsidRPr="001114A9">
        <w:t xml:space="preserve">a </w:t>
      </w:r>
      <w:r>
        <w:t xml:space="preserve">competencia </w:t>
      </w:r>
      <w:r w:rsidRPr="001114A9">
        <w:t xml:space="preserve">extraterritorial sobre los delitos contemplados en el Protocolo facultativo. </w:t>
      </w:r>
    </w:p>
    <w:p w:rsidR="00EB3FF7" w:rsidRPr="001114A9" w:rsidRDefault="00EB3FF7" w:rsidP="00EB3FF7">
      <w:pPr>
        <w:pStyle w:val="HChG"/>
      </w:pPr>
      <w:r w:rsidRPr="001114A9">
        <w:tab/>
      </w:r>
      <w:r w:rsidRPr="001114A9">
        <w:tab/>
        <w:t>Parte II</w:t>
      </w:r>
    </w:p>
    <w:p w:rsidR="00EB3FF7" w:rsidRPr="00871679" w:rsidRDefault="00EB3FF7" w:rsidP="00EB3FF7">
      <w:pPr>
        <w:pStyle w:val="SingleTxtG"/>
        <w:rPr>
          <w:b/>
        </w:rPr>
      </w:pPr>
      <w:r w:rsidRPr="00871679">
        <w:rPr>
          <w:b/>
        </w:rPr>
        <w:t>En esta sección el Comité invita al Estado parte a actualizar brevemente (en tres páginas como máximo) la información proporcionada en su informe en relación con:</w:t>
      </w:r>
    </w:p>
    <w:p w:rsidR="00EB3FF7" w:rsidRPr="001114A9" w:rsidRDefault="00EB3FF7" w:rsidP="00EB3FF7">
      <w:pPr>
        <w:pStyle w:val="SingleTxtG"/>
      </w:pPr>
      <w:r>
        <w:tab/>
      </w:r>
      <w:r w:rsidRPr="001114A9">
        <w:t>a)</w:t>
      </w:r>
      <w:r w:rsidRPr="001114A9">
        <w:tab/>
        <w:t xml:space="preserve">Las políticas, </w:t>
      </w:r>
      <w:r>
        <w:t xml:space="preserve">los </w:t>
      </w:r>
      <w:r w:rsidRPr="001114A9">
        <w:t xml:space="preserve">programas y </w:t>
      </w:r>
      <w:r>
        <w:t xml:space="preserve">los </w:t>
      </w:r>
      <w:r w:rsidRPr="001114A9">
        <w:t>planes iniciados recientemente, y su alcance;</w:t>
      </w:r>
    </w:p>
    <w:p w:rsidR="00EB3FF7" w:rsidRPr="001114A9" w:rsidRDefault="00EB3FF7" w:rsidP="00EB3FF7">
      <w:pPr>
        <w:pStyle w:val="SingleTxtG"/>
      </w:pPr>
      <w:r>
        <w:tab/>
      </w:r>
      <w:r w:rsidRPr="001114A9">
        <w:t>b)</w:t>
      </w:r>
      <w:r w:rsidRPr="001114A9">
        <w:tab/>
        <w:t>Las nuevas instituciones o las reformas institucionales, y sus respectivos mandatos;</w:t>
      </w:r>
    </w:p>
    <w:p w:rsidR="00EB3FF7" w:rsidRPr="001114A9" w:rsidRDefault="00EB3FF7" w:rsidP="00EB3FF7">
      <w:pPr>
        <w:pStyle w:val="SingleTxtG"/>
      </w:pPr>
      <w:r>
        <w:tab/>
      </w:r>
      <w:r w:rsidRPr="001114A9">
        <w:t>c)</w:t>
      </w:r>
      <w:r w:rsidRPr="001114A9">
        <w:tab/>
        <w:t>Los nuevos programas de formación para los profesionales que trabajan con niños;</w:t>
      </w:r>
    </w:p>
    <w:p w:rsidR="00EB3FF7" w:rsidRPr="001114A9" w:rsidRDefault="00EB3FF7" w:rsidP="00EB3FF7">
      <w:pPr>
        <w:pStyle w:val="SingleTxtG"/>
      </w:pPr>
      <w:r>
        <w:tab/>
      </w:r>
      <w:r w:rsidRPr="001114A9">
        <w:t>d)</w:t>
      </w:r>
      <w:r w:rsidRPr="001114A9">
        <w:tab/>
        <w:t>Los proyectos de ley aprobados recientemente y sus reglamentos;</w:t>
      </w:r>
    </w:p>
    <w:p w:rsidR="00EB3FF7" w:rsidRPr="001114A9" w:rsidRDefault="00EB3FF7" w:rsidP="00EB3FF7">
      <w:pPr>
        <w:pStyle w:val="SingleTxtG"/>
      </w:pPr>
      <w:r>
        <w:tab/>
      </w:r>
      <w:r w:rsidRPr="001114A9">
        <w:t>e)</w:t>
      </w:r>
      <w:r w:rsidRPr="001114A9">
        <w:tab/>
        <w:t>Las ratificaciones recientes de instrumentos de derechos humanos.</w:t>
      </w:r>
    </w:p>
    <w:p w:rsidR="00EB3FF7" w:rsidRPr="001114A9" w:rsidRDefault="00EB3FF7" w:rsidP="00EB3FF7">
      <w:pPr>
        <w:pStyle w:val="HChG"/>
      </w:pPr>
      <w:r w:rsidRPr="001114A9">
        <w:tab/>
      </w:r>
      <w:r w:rsidRPr="001114A9">
        <w:tab/>
        <w:t>Parte III</w:t>
      </w:r>
    </w:p>
    <w:p w:rsidR="00EB3FF7" w:rsidRPr="00871679" w:rsidRDefault="00EB3FF7" w:rsidP="00EB3FF7">
      <w:pPr>
        <w:pStyle w:val="SingleTxtG"/>
        <w:keepNext/>
        <w:keepLines/>
        <w:rPr>
          <w:b/>
        </w:rPr>
      </w:pPr>
      <w:r w:rsidRPr="00871679">
        <w:rPr>
          <w:b/>
        </w:rPr>
        <w:t>Datos, estadísticas y demás información de que se disponga</w:t>
      </w:r>
    </w:p>
    <w:p w:rsidR="00EB3FF7" w:rsidRPr="001114A9" w:rsidRDefault="00EB3FF7" w:rsidP="00EB3FF7">
      <w:pPr>
        <w:pStyle w:val="SingleTxtG"/>
        <w:rPr>
          <w:bCs/>
        </w:rPr>
      </w:pPr>
      <w:r w:rsidRPr="001114A9">
        <w:rPr>
          <w:bCs/>
        </w:rPr>
        <w:t>1.</w:t>
      </w:r>
      <w:r w:rsidRPr="001114A9">
        <w:rPr>
          <w:bCs/>
        </w:rPr>
        <w:tab/>
      </w:r>
      <w:r w:rsidRPr="001114A9">
        <w:t>Sírvanse proporciona</w:t>
      </w:r>
      <w:r>
        <w:t xml:space="preserve">r datos, expresados tanto en </w:t>
      </w:r>
      <w:r w:rsidRPr="001114A9">
        <w:t xml:space="preserve">proporción con respecto a otras asignaciones, como en </w:t>
      </w:r>
      <w:r>
        <w:t>cifra</w:t>
      </w:r>
      <w:r w:rsidRPr="001114A9">
        <w:t>s absolutas, sobre el presupuesto anual de gastos en salud, educación y asistencia social, a n</w:t>
      </w:r>
      <w:r w:rsidR="00732FFE">
        <w:t>ivel nacional, regional y local.</w:t>
      </w:r>
    </w:p>
    <w:p w:rsidR="00EB3FF7" w:rsidRPr="001114A9" w:rsidRDefault="00EB3FF7" w:rsidP="00EB3FF7">
      <w:pPr>
        <w:pStyle w:val="SingleTxtG"/>
        <w:rPr>
          <w:bCs/>
        </w:rPr>
      </w:pPr>
      <w:r w:rsidRPr="001114A9">
        <w:rPr>
          <w:bCs/>
        </w:rPr>
        <w:t>2.</w:t>
      </w:r>
      <w:r w:rsidRPr="001114A9">
        <w:rPr>
          <w:bCs/>
        </w:rPr>
        <w:tab/>
      </w:r>
      <w:r w:rsidRPr="001114A9">
        <w:t xml:space="preserve">Sírvanse proporcionar datos sobre </w:t>
      </w:r>
      <w:r>
        <w:t>el número</w:t>
      </w:r>
      <w:r w:rsidRPr="001114A9">
        <w:t xml:space="preserve"> de escuelas monoétnicas y de la modalidad "dos escuelas bajo un mismo techo".</w:t>
      </w:r>
    </w:p>
    <w:p w:rsidR="00EB3FF7" w:rsidRPr="001114A9" w:rsidRDefault="00EB3FF7" w:rsidP="00EB3FF7">
      <w:pPr>
        <w:pStyle w:val="SingleTxtG"/>
        <w:rPr>
          <w:bCs/>
        </w:rPr>
      </w:pPr>
      <w:r w:rsidRPr="001114A9">
        <w:rPr>
          <w:bCs/>
        </w:rPr>
        <w:t>3.</w:t>
      </w:r>
      <w:r w:rsidRPr="001114A9">
        <w:rPr>
          <w:bCs/>
        </w:rPr>
        <w:tab/>
      </w:r>
      <w:r w:rsidRPr="001114A9">
        <w:t xml:space="preserve">Sírvanse proporcionar datos sobre el número y la distribución geográfica de las escuelas en </w:t>
      </w:r>
      <w:r>
        <w:t>cuyo plan de estudios se incluya</w:t>
      </w:r>
      <w:r w:rsidRPr="001114A9">
        <w:t xml:space="preserve">n </w:t>
      </w:r>
      <w:r>
        <w:t>clases de religión obligatorias</w:t>
      </w:r>
      <w:r w:rsidRPr="001114A9">
        <w:t>.</w:t>
      </w:r>
    </w:p>
    <w:p w:rsidR="00EB3FF7" w:rsidRPr="001114A9" w:rsidRDefault="00EB3FF7" w:rsidP="00EB3FF7">
      <w:pPr>
        <w:pStyle w:val="SingleTxtG"/>
        <w:rPr>
          <w:bCs/>
        </w:rPr>
      </w:pPr>
      <w:r w:rsidRPr="001114A9">
        <w:rPr>
          <w:bCs/>
        </w:rPr>
        <w:t>4.</w:t>
      </w:r>
      <w:r w:rsidRPr="001114A9">
        <w:rPr>
          <w:bCs/>
        </w:rPr>
        <w:tab/>
      </w:r>
      <w:r w:rsidRPr="001114A9">
        <w:t>Sírvanse proporcionar datos desglosados por edad, sexo, origen étnico y posición socioeconómica, sobre lo siguiente:</w:t>
      </w:r>
    </w:p>
    <w:p w:rsidR="00EB3FF7" w:rsidRPr="001114A9" w:rsidRDefault="00EB3FF7" w:rsidP="00EB3FF7">
      <w:pPr>
        <w:pStyle w:val="SingleTxtG"/>
        <w:rPr>
          <w:bCs/>
        </w:rPr>
      </w:pPr>
      <w:r>
        <w:rPr>
          <w:bCs/>
        </w:rPr>
        <w:tab/>
      </w:r>
      <w:r w:rsidRPr="001114A9">
        <w:rPr>
          <w:bCs/>
        </w:rPr>
        <w:t>a)</w:t>
      </w:r>
      <w:r w:rsidRPr="001114A9">
        <w:rPr>
          <w:bCs/>
        </w:rPr>
        <w:tab/>
        <w:t>Los c</w:t>
      </w:r>
      <w:r w:rsidRPr="001114A9">
        <w:t>asos de violencia en la familia y la aplicación de medidas de protección en ese contexto</w:t>
      </w:r>
      <w:r w:rsidRPr="001114A9">
        <w:rPr>
          <w:bCs/>
        </w:rPr>
        <w:t>;</w:t>
      </w:r>
    </w:p>
    <w:p w:rsidR="00EB3FF7" w:rsidRPr="001114A9" w:rsidRDefault="00EB3FF7" w:rsidP="00EB3FF7">
      <w:pPr>
        <w:pStyle w:val="SingleTxtG"/>
        <w:rPr>
          <w:bCs/>
        </w:rPr>
      </w:pPr>
      <w:r>
        <w:rPr>
          <w:bCs/>
        </w:rPr>
        <w:tab/>
      </w:r>
      <w:r w:rsidRPr="001114A9">
        <w:rPr>
          <w:bCs/>
        </w:rPr>
        <w:t>b)</w:t>
      </w:r>
      <w:r w:rsidRPr="001114A9">
        <w:rPr>
          <w:bCs/>
        </w:rPr>
        <w:tab/>
        <w:t xml:space="preserve">Los niños que viven en diferentes contextos de cuidado alternativo </w:t>
      </w:r>
      <w:r>
        <w:rPr>
          <w:bCs/>
        </w:rPr>
        <w:t>en régimen de internado</w:t>
      </w:r>
      <w:r w:rsidRPr="001114A9">
        <w:rPr>
          <w:bCs/>
        </w:rPr>
        <w:t xml:space="preserve">, y la modalidad de </w:t>
      </w:r>
      <w:r>
        <w:rPr>
          <w:bCs/>
        </w:rPr>
        <w:t>la atención dispensada</w:t>
      </w:r>
      <w:r w:rsidRPr="001114A9">
        <w:t>;</w:t>
      </w:r>
    </w:p>
    <w:p w:rsidR="00EB3FF7" w:rsidRPr="001114A9" w:rsidRDefault="00EB3FF7" w:rsidP="00EB3FF7">
      <w:pPr>
        <w:pStyle w:val="SingleTxtG"/>
        <w:rPr>
          <w:bCs/>
        </w:rPr>
      </w:pPr>
      <w:r>
        <w:rPr>
          <w:bCs/>
        </w:rPr>
        <w:tab/>
      </w:r>
      <w:r w:rsidRPr="001114A9">
        <w:rPr>
          <w:bCs/>
        </w:rPr>
        <w:t>c)</w:t>
      </w:r>
      <w:r w:rsidRPr="001114A9">
        <w:rPr>
          <w:bCs/>
        </w:rPr>
        <w:tab/>
        <w:t>Los casos de malnutrición y retraso del crecimiento</w:t>
      </w:r>
      <w:r w:rsidRPr="001114A9">
        <w:t>;</w:t>
      </w:r>
    </w:p>
    <w:p w:rsidR="00EB3FF7" w:rsidRPr="001114A9" w:rsidRDefault="00EB3FF7" w:rsidP="00EB3FF7">
      <w:pPr>
        <w:pStyle w:val="SingleTxtG"/>
        <w:rPr>
          <w:bCs/>
        </w:rPr>
      </w:pPr>
      <w:r>
        <w:rPr>
          <w:bCs/>
        </w:rPr>
        <w:tab/>
      </w:r>
      <w:r w:rsidRPr="001114A9">
        <w:rPr>
          <w:bCs/>
        </w:rPr>
        <w:t>d)</w:t>
      </w:r>
      <w:r w:rsidRPr="001114A9">
        <w:rPr>
          <w:bCs/>
        </w:rPr>
        <w:tab/>
        <w:t>El porcentaje de niños con discapacidad que asisten a escuelas donde se ofrece educación integrada o incluyente.</w:t>
      </w:r>
    </w:p>
    <w:p w:rsidR="00EB3FF7" w:rsidRDefault="00EB3FF7" w:rsidP="00EB3FF7">
      <w:pPr>
        <w:pStyle w:val="SingleTxtG"/>
      </w:pPr>
      <w:r w:rsidRPr="001114A9">
        <w:rPr>
          <w:bCs/>
        </w:rPr>
        <w:t>5.</w:t>
      </w:r>
      <w:r w:rsidRPr="001114A9">
        <w:rPr>
          <w:bCs/>
        </w:rPr>
        <w:tab/>
        <w:t>Además, el Estado parte puede citar esferas que afecten a los niños y que considere prioritarias con respecto a la aplicación de la Convención</w:t>
      </w:r>
      <w:r w:rsidRPr="001114A9">
        <w:t xml:space="preserve">. </w:t>
      </w:r>
    </w:p>
    <w:p w:rsidR="00EB3FF7" w:rsidRPr="00F6546E" w:rsidRDefault="00EB3FF7" w:rsidP="00EB3FF7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B3FF7" w:rsidRPr="001114A9" w:rsidRDefault="00EB3FF7" w:rsidP="00EB3FF7">
      <w:pPr>
        <w:spacing w:after="240" w:line="240" w:lineRule="auto"/>
      </w:pPr>
    </w:p>
    <w:p w:rsidR="00381C24" w:rsidRPr="001075E9" w:rsidRDefault="00381C24" w:rsidP="001075E9"/>
    <w:sectPr w:rsidR="00381C24" w:rsidRPr="001075E9" w:rsidSect="00EB3FF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2AD" w:rsidRDefault="005742AD">
      <w:r>
        <w:separator/>
      </w:r>
    </w:p>
  </w:endnote>
  <w:endnote w:type="continuationSeparator" w:id="0">
    <w:p w:rsidR="005742AD" w:rsidRDefault="00574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FF7" w:rsidRPr="00EB3FF7" w:rsidRDefault="00EB3FF7" w:rsidP="00EB3FF7">
    <w:pPr>
      <w:pStyle w:val="Footer"/>
      <w:tabs>
        <w:tab w:val="right" w:pos="9638"/>
      </w:tabs>
    </w:pPr>
    <w:r w:rsidRPr="00EB3FF7">
      <w:rPr>
        <w:b/>
        <w:sz w:val="18"/>
      </w:rPr>
      <w:fldChar w:fldCharType="begin"/>
    </w:r>
    <w:r w:rsidRPr="00EB3FF7">
      <w:rPr>
        <w:b/>
        <w:sz w:val="18"/>
      </w:rPr>
      <w:instrText xml:space="preserve"> PAGE  \* MERGEFORMAT </w:instrText>
    </w:r>
    <w:r w:rsidRPr="00EB3FF7">
      <w:rPr>
        <w:b/>
        <w:sz w:val="18"/>
      </w:rPr>
      <w:fldChar w:fldCharType="separate"/>
    </w:r>
    <w:r w:rsidR="00042EB9">
      <w:rPr>
        <w:b/>
        <w:noProof/>
        <w:sz w:val="18"/>
      </w:rPr>
      <w:t>2</w:t>
    </w:r>
    <w:r w:rsidRPr="00EB3FF7">
      <w:rPr>
        <w:b/>
        <w:sz w:val="18"/>
      </w:rPr>
      <w:fldChar w:fldCharType="end"/>
    </w:r>
    <w:r>
      <w:rPr>
        <w:b/>
        <w:sz w:val="18"/>
      </w:rPr>
      <w:tab/>
    </w:r>
    <w:r>
      <w:t>GE.12-41271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FF7" w:rsidRPr="00EB3FF7" w:rsidRDefault="00EB3FF7" w:rsidP="00EB3FF7">
    <w:pPr>
      <w:pStyle w:val="Footer"/>
      <w:tabs>
        <w:tab w:val="right" w:pos="9638"/>
      </w:tabs>
      <w:rPr>
        <w:b/>
        <w:sz w:val="18"/>
      </w:rPr>
    </w:pPr>
    <w:r>
      <w:t>GE.12-41271</w:t>
    </w:r>
    <w:r>
      <w:tab/>
    </w:r>
    <w:r w:rsidRPr="00EB3FF7">
      <w:rPr>
        <w:b/>
        <w:sz w:val="18"/>
      </w:rPr>
      <w:fldChar w:fldCharType="begin"/>
    </w:r>
    <w:r w:rsidRPr="00EB3FF7">
      <w:rPr>
        <w:b/>
        <w:sz w:val="18"/>
      </w:rPr>
      <w:instrText xml:space="preserve"> PAGE  \* MERGEFORMAT </w:instrText>
    </w:r>
    <w:r w:rsidRPr="00EB3FF7">
      <w:rPr>
        <w:b/>
        <w:sz w:val="18"/>
      </w:rPr>
      <w:fldChar w:fldCharType="separate"/>
    </w:r>
    <w:r w:rsidR="00042EB9">
      <w:rPr>
        <w:b/>
        <w:noProof/>
        <w:sz w:val="18"/>
      </w:rPr>
      <w:t>3</w:t>
    </w:r>
    <w:r w:rsidRPr="00EB3FF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D9E" w:rsidRPr="00EB3FF7" w:rsidRDefault="00EB3FF7">
    <w:pPr>
      <w:pStyle w:val="Footer"/>
      <w:rPr>
        <w:sz w:val="20"/>
      </w:rPr>
    </w:pPr>
    <w:r>
      <w:rPr>
        <w:sz w:val="20"/>
      </w:rPr>
      <w:t>GE.</w:t>
    </w:r>
    <w:r w:rsidR="001C7D9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>12-41271  (S)    230312    270312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2AD" w:rsidRPr="001075E9" w:rsidRDefault="005742A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742AD" w:rsidRDefault="005742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FF7" w:rsidRPr="00EB3FF7" w:rsidRDefault="00EB3FF7">
    <w:pPr>
      <w:pStyle w:val="Header"/>
    </w:pPr>
    <w:r>
      <w:t>CRC/C/BIH/Q/2-4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FF7" w:rsidRPr="00EB3FF7" w:rsidRDefault="00EB3FF7" w:rsidP="00EB3FF7">
    <w:pPr>
      <w:pStyle w:val="Header"/>
      <w:jc w:val="right"/>
    </w:pPr>
    <w:r>
      <w:t>CRC/C/BIH/Q/2-4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7D9E"/>
    <w:rsid w:val="00002131"/>
    <w:rsid w:val="00033EE1"/>
    <w:rsid w:val="00042EB9"/>
    <w:rsid w:val="000B57E7"/>
    <w:rsid w:val="000F09DF"/>
    <w:rsid w:val="000F61B2"/>
    <w:rsid w:val="001075E9"/>
    <w:rsid w:val="001256EA"/>
    <w:rsid w:val="00161852"/>
    <w:rsid w:val="00180183"/>
    <w:rsid w:val="0018649F"/>
    <w:rsid w:val="00191CF1"/>
    <w:rsid w:val="00196389"/>
    <w:rsid w:val="001B5FFA"/>
    <w:rsid w:val="001C7A89"/>
    <w:rsid w:val="001C7D9E"/>
    <w:rsid w:val="00220F72"/>
    <w:rsid w:val="00240004"/>
    <w:rsid w:val="0027618B"/>
    <w:rsid w:val="002A2EFC"/>
    <w:rsid w:val="002C0E18"/>
    <w:rsid w:val="002D5AAC"/>
    <w:rsid w:val="00301299"/>
    <w:rsid w:val="00322004"/>
    <w:rsid w:val="003402C2"/>
    <w:rsid w:val="00381C24"/>
    <w:rsid w:val="003958D0"/>
    <w:rsid w:val="003B00E5"/>
    <w:rsid w:val="003E5953"/>
    <w:rsid w:val="00414A16"/>
    <w:rsid w:val="00427F10"/>
    <w:rsid w:val="00454E07"/>
    <w:rsid w:val="004D45DB"/>
    <w:rsid w:val="004E09A1"/>
    <w:rsid w:val="0050108D"/>
    <w:rsid w:val="00536DF4"/>
    <w:rsid w:val="00572E19"/>
    <w:rsid w:val="005742AD"/>
    <w:rsid w:val="005C43E4"/>
    <w:rsid w:val="005D7179"/>
    <w:rsid w:val="005F0B42"/>
    <w:rsid w:val="005F2AD1"/>
    <w:rsid w:val="00680363"/>
    <w:rsid w:val="006B3A76"/>
    <w:rsid w:val="006F35EE"/>
    <w:rsid w:val="006F7B0F"/>
    <w:rsid w:val="007021FF"/>
    <w:rsid w:val="00702415"/>
    <w:rsid w:val="00732FFE"/>
    <w:rsid w:val="00757357"/>
    <w:rsid w:val="007A059A"/>
    <w:rsid w:val="007E16A7"/>
    <w:rsid w:val="007F4281"/>
    <w:rsid w:val="008136D8"/>
    <w:rsid w:val="0083413B"/>
    <w:rsid w:val="00834B71"/>
    <w:rsid w:val="0086445C"/>
    <w:rsid w:val="008A08D7"/>
    <w:rsid w:val="008C2B1A"/>
    <w:rsid w:val="008E1429"/>
    <w:rsid w:val="00906890"/>
    <w:rsid w:val="00951972"/>
    <w:rsid w:val="009C646E"/>
    <w:rsid w:val="00A43957"/>
    <w:rsid w:val="00A810F6"/>
    <w:rsid w:val="00A917B3"/>
    <w:rsid w:val="00A97C80"/>
    <w:rsid w:val="00AB4B51"/>
    <w:rsid w:val="00B10CC7"/>
    <w:rsid w:val="00B62458"/>
    <w:rsid w:val="00B8687E"/>
    <w:rsid w:val="00BD33EE"/>
    <w:rsid w:val="00C01C29"/>
    <w:rsid w:val="00C27236"/>
    <w:rsid w:val="00C60F0C"/>
    <w:rsid w:val="00C67843"/>
    <w:rsid w:val="00C805C9"/>
    <w:rsid w:val="00CA1679"/>
    <w:rsid w:val="00D15EAE"/>
    <w:rsid w:val="00D318C7"/>
    <w:rsid w:val="00D33D63"/>
    <w:rsid w:val="00D90138"/>
    <w:rsid w:val="00DD299D"/>
    <w:rsid w:val="00DF63E3"/>
    <w:rsid w:val="00E23796"/>
    <w:rsid w:val="00E73F76"/>
    <w:rsid w:val="00EB3FF7"/>
    <w:rsid w:val="00EF1360"/>
    <w:rsid w:val="00EF3220"/>
    <w:rsid w:val="00F23FB6"/>
    <w:rsid w:val="00F80811"/>
    <w:rsid w:val="00F93261"/>
    <w:rsid w:val="00F94155"/>
    <w:rsid w:val="00FA60FA"/>
    <w:rsid w:val="00FB2D3D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2B1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8C2B1A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8C2B1A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8C2B1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C2B1A"/>
  </w:style>
  <w:style w:type="character" w:styleId="FootnoteReference">
    <w:name w:val="footnote reference"/>
    <w:aliases w:val="4_G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8C2B1A"/>
    <w:pPr>
      <w:numPr>
        <w:numId w:val="3"/>
      </w:numPr>
    </w:pPr>
  </w:style>
  <w:style w:type="numbering" w:styleId="1ai">
    <w:name w:val="Outline List 1"/>
    <w:basedOn w:val="NoList"/>
    <w:semiHidden/>
    <w:rsid w:val="008C2B1A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8C2B1A"/>
  </w:style>
  <w:style w:type="numbering" w:styleId="ArticleSection">
    <w:name w:val="Outline List 3"/>
    <w:basedOn w:val="NoList"/>
    <w:semiHidden/>
    <w:rsid w:val="008C2B1A"/>
    <w:pPr>
      <w:numPr>
        <w:numId w:val="5"/>
      </w:numPr>
    </w:pPr>
  </w:style>
  <w:style w:type="paragraph" w:styleId="Closing">
    <w:name w:val="Closing"/>
    <w:basedOn w:val="Normal"/>
    <w:semiHidden/>
    <w:rsid w:val="008C2B1A"/>
    <w:pPr>
      <w:ind w:left="4252"/>
    </w:pPr>
  </w:style>
  <w:style w:type="character" w:styleId="HTMLCite">
    <w:name w:val="HTML Cite"/>
    <w:semiHidden/>
    <w:rsid w:val="008C2B1A"/>
    <w:rPr>
      <w:i/>
      <w:iCs/>
    </w:rPr>
  </w:style>
  <w:style w:type="character" w:styleId="HTMLCode">
    <w:name w:val="HTML Code"/>
    <w:semiHidden/>
    <w:rsid w:val="008C2B1A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8C2B1A"/>
    <w:pPr>
      <w:spacing w:after="120"/>
      <w:ind w:left="283"/>
    </w:pPr>
  </w:style>
  <w:style w:type="paragraph" w:styleId="ListContinue2">
    <w:name w:val="List Continue 2"/>
    <w:basedOn w:val="Normal"/>
    <w:semiHidden/>
    <w:rsid w:val="008C2B1A"/>
    <w:pPr>
      <w:spacing w:after="120"/>
      <w:ind w:left="566"/>
    </w:pPr>
  </w:style>
  <w:style w:type="paragraph" w:styleId="ListContinue3">
    <w:name w:val="List Continue 3"/>
    <w:basedOn w:val="Normal"/>
    <w:semiHidden/>
    <w:rsid w:val="008C2B1A"/>
    <w:pPr>
      <w:spacing w:after="120"/>
      <w:ind w:left="849"/>
    </w:pPr>
  </w:style>
  <w:style w:type="paragraph" w:styleId="ListContinue4">
    <w:name w:val="List Continue 4"/>
    <w:basedOn w:val="Normal"/>
    <w:semiHidden/>
    <w:rsid w:val="008C2B1A"/>
    <w:pPr>
      <w:spacing w:after="120"/>
      <w:ind w:left="1132"/>
    </w:pPr>
  </w:style>
  <w:style w:type="paragraph" w:styleId="ListContinue5">
    <w:name w:val="List Continue 5"/>
    <w:basedOn w:val="Normal"/>
    <w:semiHidden/>
    <w:rsid w:val="008C2B1A"/>
    <w:pPr>
      <w:spacing w:after="120"/>
      <w:ind w:left="1415"/>
    </w:pPr>
  </w:style>
  <w:style w:type="character" w:styleId="HTMLDefinition">
    <w:name w:val="HTML Definition"/>
    <w:semiHidden/>
    <w:rsid w:val="008C2B1A"/>
    <w:rPr>
      <w:i/>
      <w:iCs/>
    </w:rPr>
  </w:style>
  <w:style w:type="paragraph" w:styleId="HTMLAddress">
    <w:name w:val="HTML Address"/>
    <w:basedOn w:val="Normal"/>
    <w:semiHidden/>
    <w:rsid w:val="008C2B1A"/>
    <w:rPr>
      <w:i/>
      <w:iCs/>
    </w:rPr>
  </w:style>
  <w:style w:type="paragraph" w:styleId="EnvelopeAddress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8C2B1A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8C2B1A"/>
  </w:style>
  <w:style w:type="character" w:styleId="Emphasis">
    <w:name w:val="Emphasis"/>
    <w:qFormat/>
    <w:rsid w:val="008C2B1A"/>
    <w:rPr>
      <w:i/>
      <w:iCs/>
    </w:rPr>
  </w:style>
  <w:style w:type="paragraph" w:styleId="Date">
    <w:name w:val="Date"/>
    <w:basedOn w:val="Normal"/>
    <w:next w:val="Normal"/>
    <w:semiHidden/>
    <w:rsid w:val="008C2B1A"/>
  </w:style>
  <w:style w:type="paragraph" w:styleId="Signature">
    <w:name w:val="Signature"/>
    <w:basedOn w:val="Normal"/>
    <w:semiHidden/>
    <w:rsid w:val="008C2B1A"/>
    <w:pPr>
      <w:ind w:left="4252"/>
    </w:pPr>
  </w:style>
  <w:style w:type="paragraph" w:styleId="E-mailSignature">
    <w:name w:val="E-mail Signature"/>
    <w:basedOn w:val="Normal"/>
    <w:semiHidden/>
    <w:rsid w:val="008C2B1A"/>
  </w:style>
  <w:style w:type="character" w:styleId="Hyperlink">
    <w:name w:val="Hyperlink"/>
    <w:semiHidden/>
    <w:rsid w:val="008C2B1A"/>
    <w:rPr>
      <w:color w:val="0000FF"/>
      <w:u w:val="single"/>
    </w:rPr>
  </w:style>
  <w:style w:type="character" w:styleId="FollowedHyperlink">
    <w:name w:val="FollowedHyperlink"/>
    <w:semiHidden/>
    <w:rsid w:val="008C2B1A"/>
    <w:rPr>
      <w:color w:val="800080"/>
      <w:u w:val="single"/>
    </w:rPr>
  </w:style>
  <w:style w:type="paragraph" w:styleId="HTMLPreformatted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">
    <w:name w:val="List"/>
    <w:basedOn w:val="Normal"/>
    <w:semiHidden/>
    <w:rsid w:val="008C2B1A"/>
    <w:pPr>
      <w:ind w:left="283" w:hanging="283"/>
    </w:pPr>
  </w:style>
  <w:style w:type="paragraph" w:styleId="List2">
    <w:name w:val="List 2"/>
    <w:basedOn w:val="Normal"/>
    <w:semiHidden/>
    <w:rsid w:val="008C2B1A"/>
    <w:pPr>
      <w:ind w:left="566" w:hanging="283"/>
    </w:pPr>
  </w:style>
  <w:style w:type="paragraph" w:styleId="List3">
    <w:name w:val="List 3"/>
    <w:basedOn w:val="Normal"/>
    <w:semiHidden/>
    <w:rsid w:val="008C2B1A"/>
    <w:pPr>
      <w:ind w:left="849" w:hanging="283"/>
    </w:pPr>
  </w:style>
  <w:style w:type="paragraph" w:styleId="List4">
    <w:name w:val="List 4"/>
    <w:basedOn w:val="Normal"/>
    <w:semiHidden/>
    <w:rsid w:val="008C2B1A"/>
    <w:pPr>
      <w:ind w:left="1132" w:hanging="283"/>
    </w:pPr>
  </w:style>
  <w:style w:type="paragraph" w:styleId="List5">
    <w:name w:val="List 5"/>
    <w:basedOn w:val="Normal"/>
    <w:semiHidden/>
    <w:rsid w:val="008C2B1A"/>
    <w:pPr>
      <w:ind w:left="1415" w:hanging="283"/>
    </w:pPr>
  </w:style>
  <w:style w:type="paragraph" w:styleId="ListNumber">
    <w:name w:val="List Number"/>
    <w:basedOn w:val="Normal"/>
    <w:semiHidden/>
    <w:rsid w:val="008C2B1A"/>
    <w:pPr>
      <w:numPr>
        <w:numId w:val="6"/>
      </w:numPr>
    </w:pPr>
  </w:style>
  <w:style w:type="paragraph" w:styleId="ListNumber2">
    <w:name w:val="List Number 2"/>
    <w:basedOn w:val="Normal"/>
    <w:semiHidden/>
    <w:rsid w:val="008C2B1A"/>
    <w:pPr>
      <w:numPr>
        <w:numId w:val="7"/>
      </w:numPr>
    </w:pPr>
  </w:style>
  <w:style w:type="paragraph" w:styleId="ListNumber3">
    <w:name w:val="List Number 3"/>
    <w:basedOn w:val="Normal"/>
    <w:semiHidden/>
    <w:rsid w:val="008C2B1A"/>
    <w:pPr>
      <w:numPr>
        <w:numId w:val="8"/>
      </w:numPr>
    </w:pPr>
  </w:style>
  <w:style w:type="paragraph" w:styleId="ListNumber4">
    <w:name w:val="List Number 4"/>
    <w:basedOn w:val="Normal"/>
    <w:semiHidden/>
    <w:rsid w:val="008C2B1A"/>
    <w:pPr>
      <w:numPr>
        <w:numId w:val="9"/>
      </w:numPr>
    </w:pPr>
  </w:style>
  <w:style w:type="paragraph" w:styleId="ListNumber5">
    <w:name w:val="List Number 5"/>
    <w:basedOn w:val="Normal"/>
    <w:semiHidden/>
    <w:rsid w:val="008C2B1A"/>
    <w:pPr>
      <w:numPr>
        <w:numId w:val="10"/>
      </w:numPr>
    </w:pPr>
  </w:style>
  <w:style w:type="paragraph" w:styleId="ListBullet">
    <w:name w:val="List Bullet"/>
    <w:basedOn w:val="Normal"/>
    <w:semiHidden/>
    <w:rsid w:val="008C2B1A"/>
    <w:pPr>
      <w:numPr>
        <w:numId w:val="11"/>
      </w:numPr>
    </w:pPr>
  </w:style>
  <w:style w:type="paragraph" w:styleId="ListBullet2">
    <w:name w:val="List Bullet 2"/>
    <w:basedOn w:val="Normal"/>
    <w:semiHidden/>
    <w:rsid w:val="008C2B1A"/>
    <w:pPr>
      <w:numPr>
        <w:numId w:val="12"/>
      </w:numPr>
    </w:pPr>
  </w:style>
  <w:style w:type="paragraph" w:styleId="ListBullet3">
    <w:name w:val="List Bullet 3"/>
    <w:basedOn w:val="Normal"/>
    <w:semiHidden/>
    <w:rsid w:val="008C2B1A"/>
    <w:pPr>
      <w:numPr>
        <w:numId w:val="13"/>
      </w:numPr>
    </w:pPr>
  </w:style>
  <w:style w:type="paragraph" w:styleId="ListBullet4">
    <w:name w:val="List Bullet 4"/>
    <w:basedOn w:val="Normal"/>
    <w:semiHidden/>
    <w:rsid w:val="008C2B1A"/>
    <w:pPr>
      <w:numPr>
        <w:numId w:val="14"/>
      </w:numPr>
    </w:pPr>
  </w:style>
  <w:style w:type="paragraph" w:styleId="ListBullet5">
    <w:name w:val="List Bullet 5"/>
    <w:basedOn w:val="Normal"/>
    <w:semiHidden/>
    <w:rsid w:val="008C2B1A"/>
    <w:pPr>
      <w:numPr>
        <w:numId w:val="15"/>
      </w:numPr>
    </w:pPr>
  </w:style>
  <w:style w:type="character" w:styleId="HTMLTypewriter">
    <w:name w:val="HTML Typewriter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LineNumber">
    <w:name w:val="line number"/>
    <w:basedOn w:val="DefaultParagraphFont"/>
    <w:semiHidden/>
    <w:rsid w:val="008C2B1A"/>
  </w:style>
  <w:style w:type="character" w:styleId="PageNumber">
    <w:name w:val="page number"/>
    <w:aliases w:val="7_G"/>
    <w:rsid w:val="008C2B1A"/>
    <w:rPr>
      <w:b/>
      <w:sz w:val="18"/>
    </w:rPr>
  </w:style>
  <w:style w:type="character" w:styleId="EndnoteReference">
    <w:name w:val="endnote reference"/>
    <w:aliases w:val="1_G"/>
    <w:basedOn w:val="FootnoteReference"/>
    <w:rsid w:val="008C2B1A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8C2B1A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8C2B1A"/>
  </w:style>
  <w:style w:type="paragraph" w:styleId="BodyTextIndent2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8C2B1A"/>
    <w:pPr>
      <w:spacing w:after="120"/>
      <w:ind w:left="283"/>
    </w:pPr>
  </w:style>
  <w:style w:type="paragraph" w:styleId="NormalIndent">
    <w:name w:val="Normal Indent"/>
    <w:basedOn w:val="Normal"/>
    <w:semiHidden/>
    <w:rsid w:val="008C2B1A"/>
    <w:pPr>
      <w:ind w:left="567"/>
    </w:pPr>
  </w:style>
  <w:style w:type="paragraph" w:styleId="Subtitle">
    <w:name w:val="Subtitle"/>
    <w:basedOn w:val="Normal"/>
    <w:qFormat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C2B1A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C2B1A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C2B1A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C2B1A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C2B1A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C2B1A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C2B1A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8C2B1A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C2B1A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C2B1A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8C2B1A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8C2B1A"/>
    <w:pPr>
      <w:spacing w:after="120"/>
      <w:ind w:left="1440" w:right="1440"/>
    </w:pPr>
  </w:style>
  <w:style w:type="character" w:styleId="Strong">
    <w:name w:val="Strong"/>
    <w:qFormat/>
    <w:rsid w:val="008C2B1A"/>
    <w:rPr>
      <w:b/>
      <w:bCs/>
    </w:rPr>
  </w:style>
  <w:style w:type="paragraph" w:styleId="BodyText">
    <w:name w:val="Body Text"/>
    <w:basedOn w:val="Normal"/>
    <w:semiHidden/>
    <w:rsid w:val="008C2B1A"/>
    <w:pPr>
      <w:spacing w:after="120"/>
    </w:pPr>
  </w:style>
  <w:style w:type="paragraph" w:styleId="BodyText2">
    <w:name w:val="Body Text 2"/>
    <w:basedOn w:val="Normal"/>
    <w:semiHidden/>
    <w:rsid w:val="008C2B1A"/>
    <w:pPr>
      <w:spacing w:after="120" w:line="480" w:lineRule="auto"/>
    </w:pPr>
  </w:style>
  <w:style w:type="paragraph" w:styleId="BodyText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C2B1A"/>
    <w:pPr>
      <w:ind w:firstLine="210"/>
    </w:pPr>
  </w:style>
  <w:style w:type="paragraph" w:styleId="BodyTextFirstIndent2">
    <w:name w:val="Body Text First Indent 2"/>
    <w:basedOn w:val="BodyTextIndent"/>
    <w:semiHidden/>
    <w:rsid w:val="008C2B1A"/>
    <w:pPr>
      <w:ind w:firstLine="210"/>
    </w:pPr>
  </w:style>
  <w:style w:type="paragraph" w:styleId="EndnoteText">
    <w:name w:val="endnote text"/>
    <w:aliases w:val="2_G"/>
    <w:basedOn w:val="FootnoteText"/>
    <w:rsid w:val="008C2B1A"/>
  </w:style>
  <w:style w:type="paragraph" w:styleId="PlainText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itle">
    <w:name w:val="Title"/>
    <w:basedOn w:val="Normal"/>
    <w:qFormat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8C2B1A"/>
    <w:rPr>
      <w:i/>
      <w:iCs/>
    </w:rPr>
  </w:style>
  <w:style w:type="paragraph" w:customStyle="1" w:styleId="Bullet1G">
    <w:name w:val="_Bullet 1_G"/>
    <w:basedOn w:val="Normal"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8C2B1A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4</Pages>
  <Words>1400</Words>
  <Characters>7706</Characters>
  <Application>Microsoft Office Word</Application>
  <DocSecurity>4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CRC/C/BIH/Q/2-4 - 12-41271</vt:lpstr>
    </vt:vector>
  </TitlesOfParts>
  <Company/>
  <LinksUpToDate>false</LinksUpToDate>
  <CharactersWithSpaces>9088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CRC/C/BIH/Q/2-4 - 12-41271</dc:title>
  <dc:subject>FINAL</dc:subject>
  <dc:creator>Ricardo SAENZ</dc:creator>
  <cp:keywords/>
  <dc:description/>
  <cp:lastModifiedBy>Maruchi Zeballos</cp:lastModifiedBy>
  <cp:revision>2</cp:revision>
  <cp:lastPrinted>2012-03-27T12:48:00Z</cp:lastPrinted>
  <dcterms:created xsi:type="dcterms:W3CDTF">2012-03-27T12:52:00Z</dcterms:created>
  <dcterms:modified xsi:type="dcterms:W3CDTF">2012-03-27T12:52:00Z</dcterms:modified>
</cp:coreProperties>
</file>