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619C" w:rsidRDefault="007C619C" w:rsidP="007C619C">
      <w:pPr>
        <w:spacing w:line="60" w:lineRule="exact"/>
        <w:rPr>
          <w:sz w:val="6"/>
        </w:rPr>
        <w:sectPr w:rsidR="007C619C" w:rsidSect="007C619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1"/>
      </w:r>
    </w:p>
    <w:p w:rsidR="007C619C" w:rsidRDefault="007C619C" w:rsidP="007C619C">
      <w:pPr>
        <w:spacing w:line="60" w:lineRule="exact"/>
        <w:rPr>
          <w:sz w:val="6"/>
        </w:rPr>
      </w:pPr>
    </w:p>
    <w:p w:rsidR="009A1058" w:rsidRPr="009A1058" w:rsidRDefault="009A1058" w:rsidP="009A1058">
      <w:pPr>
        <w:pStyle w:val="SingleTxt"/>
        <w:spacing w:after="60"/>
        <w:ind w:left="0"/>
        <w:rPr>
          <w:rFonts w:ascii="SimHei" w:eastAsia="SimHei" w:hint="eastAsia"/>
          <w:color w:val="FF0000"/>
          <w:sz w:val="24"/>
          <w:szCs w:val="24"/>
        </w:rPr>
      </w:pPr>
      <w:r w:rsidRPr="009A1058">
        <w:rPr>
          <w:rFonts w:ascii="SimHei" w:eastAsia="SimHei" w:hint="eastAsia"/>
          <w:color w:val="FF0000"/>
          <w:sz w:val="24"/>
          <w:szCs w:val="24"/>
        </w:rPr>
        <w:t>消除对妇女歧视委员会</w:t>
      </w:r>
    </w:p>
    <w:p w:rsidR="009A1058" w:rsidRPr="009A1058" w:rsidRDefault="009A1058" w:rsidP="009A1058">
      <w:pPr>
        <w:pStyle w:val="SingleTxt"/>
        <w:spacing w:after="60"/>
        <w:ind w:left="0"/>
        <w:rPr>
          <w:rFonts w:ascii="SimHei" w:eastAsia="SimHei" w:hint="eastAsia"/>
          <w:color w:val="FF0000"/>
        </w:rPr>
      </w:pPr>
      <w:r w:rsidRPr="009A1058">
        <w:rPr>
          <w:rFonts w:ascii="SimHei" w:eastAsia="SimHei" w:hint="eastAsia"/>
          <w:color w:val="FF0000"/>
        </w:rPr>
        <w:t>第四十四届会议</w:t>
      </w:r>
    </w:p>
    <w:p w:rsidR="009A1058" w:rsidRDefault="009A1058" w:rsidP="009A1058">
      <w:pPr>
        <w:pStyle w:val="SingleTxt"/>
        <w:spacing w:after="360"/>
        <w:ind w:left="0"/>
        <w:rPr>
          <w:rFonts w:hint="eastAsia"/>
        </w:rPr>
      </w:pPr>
      <w:r>
        <w:rPr>
          <w:rFonts w:hint="eastAsia"/>
        </w:rPr>
        <w:t>2009年7月20日至8月7日</w:t>
      </w:r>
    </w:p>
    <w:p w:rsidR="009A1058" w:rsidRDefault="009A1058" w:rsidP="009A105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Pr>
          <w:rFonts w:hint="eastAsia"/>
        </w:rPr>
        <w:tab/>
      </w:r>
      <w:r>
        <w:rPr>
          <w:rFonts w:hint="eastAsia"/>
        </w:rPr>
        <w:tab/>
        <w:t>消除对妇女歧视委员会的结论意见：阿塞拜疆</w:t>
      </w:r>
    </w:p>
    <w:p w:rsidR="009A1058" w:rsidRDefault="009A1058" w:rsidP="009A105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Pr>
          <w:rFonts w:hint="eastAsia"/>
        </w:rPr>
        <w:tab/>
      </w:r>
      <w:r>
        <w:rPr>
          <w:rFonts w:hint="eastAsia"/>
        </w:rPr>
        <w:tab/>
        <w:t>阿塞拜疆</w:t>
      </w:r>
    </w:p>
    <w:p w:rsidR="009A1058" w:rsidRDefault="009A1058" w:rsidP="009A1058">
      <w:pPr>
        <w:pStyle w:val="SingleTxt"/>
        <w:spacing w:after="160"/>
        <w:rPr>
          <w:rFonts w:hint="eastAsia"/>
        </w:rPr>
      </w:pPr>
      <w:r>
        <w:rPr>
          <w:rFonts w:hint="eastAsia"/>
        </w:rPr>
        <w:t>1.</w:t>
      </w:r>
      <w:r>
        <w:rPr>
          <w:rFonts w:hint="eastAsia"/>
        </w:rPr>
        <w:tab/>
        <w:t>2009年7月24日，委员会第892次和第893次会议审议了阿塞拜疆第4次定期报告(CEDAW/C/AZE/4)。委员会的议题和问题清单载于CEDAW/C/AZE/Q/4，阿塞拜疆政府的答复载于CEDAW/C/AZE/Q/4/Add.1。</w:t>
      </w:r>
    </w:p>
    <w:p w:rsidR="009A1058" w:rsidRPr="009A1058" w:rsidRDefault="009A1058" w:rsidP="009A1058">
      <w:pPr>
        <w:pStyle w:val="SingleTxt"/>
        <w:rPr>
          <w:rFonts w:ascii="SimHei" w:eastAsia="SimHei" w:hint="eastAsia"/>
          <w:color w:val="FF0000"/>
        </w:rPr>
      </w:pPr>
      <w:r w:rsidRPr="009A1058">
        <w:rPr>
          <w:rFonts w:ascii="SimHei" w:eastAsia="SimHei" w:hint="eastAsia"/>
          <w:color w:val="FF0000"/>
        </w:rPr>
        <w:t>导言</w:t>
      </w:r>
    </w:p>
    <w:p w:rsidR="009A1058" w:rsidRDefault="009A1058" w:rsidP="009A1058">
      <w:pPr>
        <w:pStyle w:val="SingleTxt"/>
        <w:rPr>
          <w:rFonts w:hint="eastAsia"/>
        </w:rPr>
      </w:pPr>
      <w:r>
        <w:rPr>
          <w:rFonts w:hint="eastAsia"/>
        </w:rPr>
        <w:t>2.</w:t>
      </w:r>
      <w:r>
        <w:rPr>
          <w:rFonts w:hint="eastAsia"/>
        </w:rPr>
        <w:tab/>
        <w:t>委员会感谢缔约国遵循委员会原报告编写导则并考虑到委员会以往的结论意见提交第4次定期报告。委员会赞赏缔约国对会前工作组提出的议题和问题清单的书面答复以及对委员会提出的问题作出的口头说明和答复。委员会还赞赏地注意到，家庭、妇女和儿童事务国家委员会编写并向委员会成员分发了关于两性平等的说明材料。</w:t>
      </w:r>
    </w:p>
    <w:p w:rsidR="009A1058" w:rsidRDefault="009A1058" w:rsidP="009A1058">
      <w:pPr>
        <w:pStyle w:val="SingleTxt"/>
        <w:spacing w:after="160"/>
        <w:rPr>
          <w:rFonts w:hint="eastAsia"/>
        </w:rPr>
      </w:pPr>
      <w:r>
        <w:rPr>
          <w:rFonts w:hint="eastAsia"/>
        </w:rPr>
        <w:t>3.</w:t>
      </w:r>
      <w:r>
        <w:rPr>
          <w:rFonts w:hint="eastAsia"/>
        </w:rPr>
        <w:tab/>
        <w:t>委员会赞赏缔约国派遣家庭、妇女和儿童事务国家委员会主任率领的高级代表团出席会议，成员包括2名副部长、政府各部委成员和专家。委员会赞赏代表团与委员会成员进行的建设性对话。</w:t>
      </w:r>
    </w:p>
    <w:p w:rsidR="009A1058" w:rsidRPr="009A1058" w:rsidRDefault="009A1058" w:rsidP="009A1058">
      <w:pPr>
        <w:pStyle w:val="SingleTxt"/>
        <w:rPr>
          <w:rFonts w:ascii="SimHei" w:eastAsia="SimHei" w:hint="eastAsia"/>
          <w:color w:val="FF0000"/>
        </w:rPr>
      </w:pPr>
      <w:r w:rsidRPr="009A1058">
        <w:rPr>
          <w:rFonts w:ascii="SimHei" w:eastAsia="SimHei" w:hint="eastAsia"/>
          <w:color w:val="FF0000"/>
        </w:rPr>
        <w:t>积极方面</w:t>
      </w:r>
    </w:p>
    <w:p w:rsidR="009A1058" w:rsidRDefault="009A1058" w:rsidP="009A1058">
      <w:pPr>
        <w:pStyle w:val="SingleTxt"/>
        <w:rPr>
          <w:rFonts w:hint="eastAsia"/>
        </w:rPr>
      </w:pPr>
      <w:r>
        <w:rPr>
          <w:rFonts w:hint="eastAsia"/>
        </w:rPr>
        <w:t>4.</w:t>
      </w:r>
      <w:r>
        <w:rPr>
          <w:rFonts w:hint="eastAsia"/>
        </w:rPr>
        <w:tab/>
        <w:t>委员会欢迎缔约国于2008年5月接受关于《公约》第20条第1款有关委员会会议时间的修正案。</w:t>
      </w:r>
    </w:p>
    <w:p w:rsidR="009A1058" w:rsidRDefault="009A1058" w:rsidP="009A1058">
      <w:pPr>
        <w:pStyle w:val="SingleTxt"/>
        <w:rPr>
          <w:rFonts w:hint="eastAsia"/>
        </w:rPr>
      </w:pPr>
      <w:r>
        <w:rPr>
          <w:rFonts w:hint="eastAsia"/>
        </w:rPr>
        <w:t>5.</w:t>
      </w:r>
      <w:r>
        <w:rPr>
          <w:rFonts w:hint="eastAsia"/>
        </w:rPr>
        <w:tab/>
        <w:t>委员会赞赏缔约国于2009年1月加入《残疾人权利公约》及其《任择议定书》。</w:t>
      </w:r>
    </w:p>
    <w:p w:rsidR="009A1058" w:rsidRDefault="009A1058" w:rsidP="009A1058">
      <w:pPr>
        <w:pStyle w:val="SingleTxt"/>
        <w:rPr>
          <w:rFonts w:hint="eastAsia"/>
        </w:rPr>
      </w:pPr>
      <w:r>
        <w:rPr>
          <w:rFonts w:hint="eastAsia"/>
        </w:rPr>
        <w:t>6.</w:t>
      </w:r>
      <w:r>
        <w:rPr>
          <w:rFonts w:hint="eastAsia"/>
        </w:rPr>
        <w:tab/>
        <w:t>委员会欣见缔约国制定家庭和妇女问题国家行动计划(2009-2012年)。</w:t>
      </w:r>
    </w:p>
    <w:p w:rsidR="009A1058" w:rsidRDefault="009A1058" w:rsidP="009A1058">
      <w:pPr>
        <w:pStyle w:val="SingleTxt"/>
        <w:spacing w:after="120"/>
        <w:rPr>
          <w:rFonts w:hint="eastAsia"/>
        </w:rPr>
      </w:pPr>
      <w:r>
        <w:rPr>
          <w:rFonts w:hint="eastAsia"/>
        </w:rPr>
        <w:t>7.</w:t>
      </w:r>
      <w:r>
        <w:rPr>
          <w:rFonts w:hint="eastAsia"/>
        </w:rPr>
        <w:tab/>
        <w:t>委员会欣见缔约国自审议第二次和第三次合并定期报告后制定了以下国家计划和方案，以打击包括家庭暴力在内的暴力侵害妇女行为和贩运人口活动：</w:t>
      </w:r>
    </w:p>
    <w:p w:rsidR="009A1058" w:rsidRDefault="009A1058" w:rsidP="009A1058">
      <w:pPr>
        <w:pStyle w:val="SingleTxt"/>
        <w:spacing w:after="120"/>
        <w:rPr>
          <w:rFonts w:hint="eastAsia"/>
        </w:rPr>
      </w:pPr>
      <w:r>
        <w:rPr>
          <w:rFonts w:hint="eastAsia"/>
        </w:rPr>
        <w:tab/>
        <w:t>(a)</w:t>
      </w:r>
      <w:r>
        <w:rPr>
          <w:rFonts w:hint="eastAsia"/>
        </w:rPr>
        <w:tab/>
      </w:r>
      <w:r w:rsidRPr="009A1058">
        <w:rPr>
          <w:rFonts w:hint="eastAsia"/>
          <w:spacing w:val="-4"/>
        </w:rPr>
        <w:t>“阿塞拜疆共和国关于在民主社会打击家庭暴力行为的方案”(2007年)；</w:t>
      </w:r>
    </w:p>
    <w:p w:rsidR="009A1058" w:rsidRDefault="009A1058" w:rsidP="009A1058">
      <w:pPr>
        <w:pStyle w:val="SingleTxt"/>
        <w:spacing w:after="120"/>
        <w:rPr>
          <w:rFonts w:hint="eastAsia"/>
        </w:rPr>
      </w:pPr>
      <w:r>
        <w:rPr>
          <w:rFonts w:hint="eastAsia"/>
        </w:rPr>
        <w:tab/>
        <w:t>(b)</w:t>
      </w:r>
      <w:r>
        <w:rPr>
          <w:rFonts w:hint="eastAsia"/>
        </w:rPr>
        <w:tab/>
        <w:t>与联合国人口基金(人口基金)合作开展的处理家庭暴力和早婚问题的“二十一世纪无暴力侵害妇女行为”项目(2008-2009年)；</w:t>
      </w:r>
    </w:p>
    <w:p w:rsidR="009A1058" w:rsidRDefault="009A1058" w:rsidP="009A1058">
      <w:pPr>
        <w:pStyle w:val="SingleTxt"/>
        <w:spacing w:after="120"/>
        <w:rPr>
          <w:rFonts w:hint="eastAsia"/>
        </w:rPr>
      </w:pPr>
      <w:r>
        <w:rPr>
          <w:rFonts w:hint="eastAsia"/>
        </w:rPr>
        <w:tab/>
        <w:t>(c)</w:t>
      </w:r>
      <w:r>
        <w:rPr>
          <w:rFonts w:hint="eastAsia"/>
        </w:rPr>
        <w:tab/>
        <w:t>“打击南高加索基于性别的暴力行为”联合国区域项目(2008年)；</w:t>
      </w:r>
    </w:p>
    <w:p w:rsidR="009A1058" w:rsidRDefault="009A1058" w:rsidP="009A1058">
      <w:pPr>
        <w:pStyle w:val="SingleTxt"/>
        <w:spacing w:after="120"/>
        <w:rPr>
          <w:rFonts w:hint="eastAsia"/>
        </w:rPr>
      </w:pPr>
      <w:r>
        <w:rPr>
          <w:rFonts w:hint="eastAsia"/>
        </w:rPr>
        <w:tab/>
        <w:t>(d)</w:t>
      </w:r>
      <w:r>
        <w:rPr>
          <w:rFonts w:hint="eastAsia"/>
        </w:rPr>
        <w:tab/>
        <w:t>消除境内流离失所者和难民中性暴力行为项目(2008年)；</w:t>
      </w:r>
    </w:p>
    <w:p w:rsidR="009A1058" w:rsidRDefault="009A1058" w:rsidP="009A1058">
      <w:pPr>
        <w:pStyle w:val="SingleTxt"/>
        <w:spacing w:after="120"/>
        <w:rPr>
          <w:rFonts w:hint="eastAsia"/>
        </w:rPr>
      </w:pPr>
      <w:r>
        <w:rPr>
          <w:rFonts w:hint="eastAsia"/>
        </w:rPr>
        <w:tab/>
        <w:t>(e)</w:t>
      </w:r>
      <w:r>
        <w:rPr>
          <w:rFonts w:hint="eastAsia"/>
        </w:rPr>
        <w:tab/>
        <w:t>提高对暴力侵害妇女行为的认识运动(2008-2009年)；</w:t>
      </w:r>
    </w:p>
    <w:p w:rsidR="009A1058" w:rsidRDefault="009A1058" w:rsidP="009A1058">
      <w:pPr>
        <w:pStyle w:val="SingleTxt"/>
        <w:spacing w:after="120"/>
        <w:rPr>
          <w:rFonts w:hint="eastAsia"/>
        </w:rPr>
      </w:pPr>
      <w:r>
        <w:rPr>
          <w:rFonts w:hint="eastAsia"/>
        </w:rPr>
        <w:tab/>
        <w:t>(f)</w:t>
      </w:r>
      <w:r>
        <w:rPr>
          <w:rFonts w:hint="eastAsia"/>
        </w:rPr>
        <w:tab/>
        <w:t>提高对“打击暴力行为和贩运人口活动”的认识运动(2007-2009年)；</w:t>
      </w:r>
    </w:p>
    <w:p w:rsidR="009A1058" w:rsidRDefault="009A1058" w:rsidP="009A1058">
      <w:pPr>
        <w:pStyle w:val="SingleTxt"/>
        <w:spacing w:after="120"/>
        <w:rPr>
          <w:rFonts w:hint="eastAsia"/>
        </w:rPr>
      </w:pPr>
      <w:r>
        <w:rPr>
          <w:rFonts w:hint="eastAsia"/>
        </w:rPr>
        <w:tab/>
        <w:t>(g)</w:t>
      </w:r>
      <w:r>
        <w:rPr>
          <w:rFonts w:hint="eastAsia"/>
        </w:rPr>
        <w:tab/>
        <w:t>“暴力侵害妇女行为普遍性、根源和后果”调查(2008年)。</w:t>
      </w:r>
    </w:p>
    <w:p w:rsidR="009A1058" w:rsidRDefault="009A1058" w:rsidP="009A1058">
      <w:pPr>
        <w:pStyle w:val="SingleTxt"/>
        <w:spacing w:after="120"/>
        <w:rPr>
          <w:rFonts w:hint="eastAsia"/>
        </w:rPr>
      </w:pPr>
      <w:r>
        <w:rPr>
          <w:rFonts w:hint="eastAsia"/>
        </w:rPr>
        <w:t>8.</w:t>
      </w:r>
      <w:r>
        <w:rPr>
          <w:rFonts w:hint="eastAsia"/>
        </w:rPr>
        <w:tab/>
        <w:t>委员会欣见缔约国颁发《关于司法体系改革的总统令》，使妇女求助司法的途径得到相当大的改进。</w:t>
      </w:r>
    </w:p>
    <w:p w:rsidR="009A1058" w:rsidRDefault="009A1058" w:rsidP="009A1058">
      <w:pPr>
        <w:pStyle w:val="SingleTxt"/>
        <w:spacing w:after="120"/>
        <w:rPr>
          <w:rFonts w:hint="eastAsia"/>
        </w:rPr>
      </w:pPr>
      <w:r>
        <w:rPr>
          <w:rFonts w:hint="eastAsia"/>
        </w:rPr>
        <w:t>9.</w:t>
      </w:r>
      <w:r>
        <w:rPr>
          <w:rFonts w:hint="eastAsia"/>
        </w:rPr>
        <w:tab/>
        <w:t>委员会赞赏地注意到，“国家扶贫和可持续发展方案”第二阶段(2008-2015年)充分纳入了两性平等内容。</w:t>
      </w:r>
    </w:p>
    <w:p w:rsidR="009A1058" w:rsidRDefault="009A1058" w:rsidP="009A1058">
      <w:pPr>
        <w:pStyle w:val="SingleTxt"/>
        <w:spacing w:after="120"/>
        <w:rPr>
          <w:rFonts w:hint="eastAsia"/>
        </w:rPr>
      </w:pPr>
      <w:r>
        <w:rPr>
          <w:rFonts w:hint="eastAsia"/>
        </w:rPr>
        <w:t>10.</w:t>
      </w:r>
      <w:r>
        <w:rPr>
          <w:rFonts w:hint="eastAsia"/>
        </w:rPr>
        <w:tab/>
        <w:t>委员会欣见缔约国制定平等权利行动政策，以解决妇女失业问题，特别是需要社会保护的妇女的失业问题，委员会尤其注意到缔约国实施了以下述妇女为对象的配额制度：抚养幼儿的母亲、单亲母亲和多子女母亲以及需照顾残疾儿童的母亲。</w:t>
      </w:r>
    </w:p>
    <w:p w:rsidR="009A1058" w:rsidRPr="009A1058" w:rsidRDefault="009A1058" w:rsidP="009A1058">
      <w:pPr>
        <w:pStyle w:val="SingleTxt"/>
        <w:spacing w:after="120"/>
        <w:rPr>
          <w:rFonts w:ascii="SimHei" w:eastAsia="SimHei" w:hint="eastAsia"/>
          <w:color w:val="FF0000"/>
        </w:rPr>
      </w:pPr>
      <w:r w:rsidRPr="009A1058">
        <w:rPr>
          <w:rFonts w:ascii="SimHei" w:eastAsia="SimHei" w:hint="eastAsia"/>
          <w:color w:val="FF0000"/>
        </w:rPr>
        <w:t>主要关切领域和建议</w:t>
      </w:r>
    </w:p>
    <w:p w:rsidR="009A1058" w:rsidRDefault="009A1058" w:rsidP="009A1058">
      <w:pPr>
        <w:pStyle w:val="SingleTxt"/>
        <w:spacing w:after="120"/>
        <w:rPr>
          <w:rFonts w:hint="eastAsia"/>
        </w:rPr>
      </w:pPr>
      <w:r>
        <w:rPr>
          <w:rFonts w:hint="eastAsia"/>
        </w:rPr>
        <w:t>11.</w:t>
      </w:r>
      <w:r>
        <w:rPr>
          <w:rFonts w:hint="eastAsia"/>
        </w:rPr>
        <w:tab/>
      </w:r>
      <w:r w:rsidRPr="009A1058">
        <w:rPr>
          <w:rFonts w:ascii="SimHei" w:eastAsia="SimHei" w:hint="eastAsia"/>
          <w:color w:val="FF0000"/>
        </w:rPr>
        <w:t>委员会提请注意，缔约国有义务系统地、持续地执行《公约》各项规定，同时认为，从现在到提交下一次定期报告期间，缔约国必须优先注意本结论意见提出的各项关切和建议。因此，委员会吁请缔约国将执行活动的重点放在这些领域上，并在下一次定期报告中汇报所采取的行动和取得的成果。委员会还吁请缔约国将本结论意见发交各相关部委和议会，以确保这些意见得到充分执行</w:t>
      </w:r>
      <w:r>
        <w:rPr>
          <w:rFonts w:hint="eastAsia"/>
        </w:rPr>
        <w:t>。</w:t>
      </w:r>
    </w:p>
    <w:p w:rsidR="009A1058" w:rsidRPr="009A1058" w:rsidRDefault="009A1058" w:rsidP="009A1058">
      <w:pPr>
        <w:pStyle w:val="SingleTxt"/>
        <w:spacing w:after="120"/>
        <w:rPr>
          <w:rFonts w:ascii="SimHei" w:eastAsia="SimHei" w:hint="eastAsia"/>
          <w:color w:val="FF0000"/>
        </w:rPr>
      </w:pPr>
      <w:r w:rsidRPr="009A1058">
        <w:rPr>
          <w:rFonts w:ascii="SimHei" w:eastAsia="SimHei" w:hint="eastAsia"/>
          <w:color w:val="FF0000"/>
        </w:rPr>
        <w:t>议会</w:t>
      </w:r>
    </w:p>
    <w:p w:rsidR="009A1058" w:rsidRDefault="009A1058" w:rsidP="009A1058">
      <w:pPr>
        <w:pStyle w:val="SingleTxt"/>
        <w:rPr>
          <w:rFonts w:hint="eastAsia"/>
        </w:rPr>
      </w:pPr>
      <w:r>
        <w:rPr>
          <w:rFonts w:hint="eastAsia"/>
        </w:rPr>
        <w:t>12.</w:t>
      </w:r>
      <w:r>
        <w:rPr>
          <w:rFonts w:hint="eastAsia"/>
        </w:rPr>
        <w:tab/>
      </w:r>
      <w:r w:rsidRPr="009A1058">
        <w:rPr>
          <w:rFonts w:ascii="SimHei" w:eastAsia="SimHei" w:hint="eastAsia"/>
          <w:color w:val="FF0000"/>
        </w:rPr>
        <w:t>委员会重申，政府对全面执行《公约》规定的缔约国义务负有首要责任，尤其要为此承担问责责任。委员会强调《公约》对政府各部门都具有约束力，并邀请缔约国鼓励其国家议会酌情根据其程序，就执行本结论意见和《公约》规定的政府下一个报告过程采取必要措施</w:t>
      </w:r>
      <w:r>
        <w:rPr>
          <w:rFonts w:hint="eastAsia"/>
        </w:rPr>
        <w:t>。</w:t>
      </w:r>
    </w:p>
    <w:p w:rsidR="009A1058" w:rsidRPr="009A1058" w:rsidRDefault="009A1058" w:rsidP="009A1058">
      <w:pPr>
        <w:pStyle w:val="SingleTxt"/>
        <w:spacing w:after="120"/>
        <w:rPr>
          <w:rFonts w:ascii="SimHei" w:eastAsia="SimHei" w:hint="eastAsia"/>
          <w:color w:val="FF0000"/>
        </w:rPr>
      </w:pPr>
      <w:r w:rsidRPr="009A1058">
        <w:rPr>
          <w:rFonts w:ascii="SimHei" w:eastAsia="SimHei" w:hint="eastAsia"/>
          <w:color w:val="FF0000"/>
        </w:rPr>
        <w:t>对《公约》及其《任择议定书》的宣传</w:t>
      </w:r>
    </w:p>
    <w:p w:rsidR="009A1058" w:rsidRDefault="009A1058" w:rsidP="009A1058">
      <w:pPr>
        <w:pStyle w:val="SingleTxt"/>
        <w:rPr>
          <w:rFonts w:hint="eastAsia"/>
        </w:rPr>
      </w:pPr>
      <w:r>
        <w:rPr>
          <w:rFonts w:hint="eastAsia"/>
        </w:rPr>
        <w:t>13.</w:t>
      </w:r>
      <w:r>
        <w:rPr>
          <w:rFonts w:hint="eastAsia"/>
        </w:rPr>
        <w:tab/>
        <w:t>委员会赞赏缔约国持续进行努力，为司法人员举办关于《公约》及其《任择议定书》的培训方案。但委员会注意到，政府各部门，包括执法人员和妇女自己，对《公约》及其《任择议定书》所载规定以及对委员会的一般性建议和根据来文和投诉程序通过的意见了解可能不够。</w:t>
      </w:r>
    </w:p>
    <w:p w:rsidR="009A1058" w:rsidRPr="009A1058" w:rsidRDefault="009A1058" w:rsidP="009A1058">
      <w:pPr>
        <w:pStyle w:val="SingleTxt"/>
        <w:rPr>
          <w:rFonts w:ascii="SimHei" w:eastAsia="SimHei" w:hint="eastAsia"/>
          <w:color w:val="FF0000"/>
        </w:rPr>
      </w:pPr>
      <w:r>
        <w:rPr>
          <w:rFonts w:hint="eastAsia"/>
        </w:rPr>
        <w:t>14.</w:t>
      </w:r>
      <w:r>
        <w:rPr>
          <w:rFonts w:hint="eastAsia"/>
        </w:rPr>
        <w:tab/>
      </w:r>
      <w:r w:rsidRPr="009A1058">
        <w:rPr>
          <w:rFonts w:ascii="SimHei" w:eastAsia="SimHei" w:hint="eastAsia"/>
          <w:color w:val="FF0000"/>
        </w:rPr>
        <w:t>委员会鼓励缔约国继续开展关于《公约》及其《任择议定书》的培训方案，尤其是为法律专业人员、警察和包括政府官员在内的其他执法人员以及各政治党派人士开展这些培训方案，促进对《公约》和两性平等以及对委员会一般性建议、根据来文和投诉程序通过的意见的了解和认识。委员会还建议缔约国设计并开展以妇女为对象、特别是以农村妇女为对象的提高认识活动，让她们进一步了解《公约》及《任择议定书》赋予她们的权利，从而提高她们行使权利的能力。</w:t>
      </w:r>
    </w:p>
    <w:p w:rsidR="009A1058" w:rsidRDefault="009A1058" w:rsidP="009A1058">
      <w:pPr>
        <w:pStyle w:val="SingleTxt"/>
        <w:rPr>
          <w:rFonts w:hint="eastAsia"/>
        </w:rPr>
      </w:pPr>
      <w:r w:rsidRPr="009A1058">
        <w:rPr>
          <w:rFonts w:ascii="SimHei" w:eastAsia="SimHei" w:hint="eastAsia"/>
          <w:color w:val="FF0000"/>
        </w:rPr>
        <w:t>歧视性法律</w:t>
      </w:r>
    </w:p>
    <w:p w:rsidR="009A1058" w:rsidRDefault="009A1058" w:rsidP="009A1058">
      <w:pPr>
        <w:pStyle w:val="SingleTxt"/>
        <w:rPr>
          <w:rFonts w:hint="eastAsia"/>
        </w:rPr>
      </w:pPr>
      <w:r>
        <w:rPr>
          <w:rFonts w:hint="eastAsia"/>
        </w:rPr>
        <w:t>15.</w:t>
      </w:r>
      <w:r>
        <w:rPr>
          <w:rFonts w:hint="eastAsia"/>
        </w:rPr>
        <w:tab/>
        <w:t>委员会赞赏地注意到缔约国代表团团长提供的下述信息：议会将在2009年第三季会议上审议《家庭法典》修正案，以便将男女最低结婚年龄都定为18岁，实现男女平等。但是，委员会对男女最低结婚年龄差别仍然感到关切，现行规定将妇女最低结婚年龄定为17岁。</w:t>
      </w:r>
    </w:p>
    <w:p w:rsidR="009A1058" w:rsidRPr="009A1058" w:rsidRDefault="009A1058" w:rsidP="009A1058">
      <w:pPr>
        <w:pStyle w:val="SingleTxt"/>
        <w:spacing w:after="160"/>
        <w:rPr>
          <w:rFonts w:ascii="SimHei" w:eastAsia="SimHei" w:hint="eastAsia"/>
          <w:color w:val="FF0000"/>
        </w:rPr>
      </w:pPr>
      <w:r>
        <w:rPr>
          <w:rFonts w:hint="eastAsia"/>
        </w:rPr>
        <w:t>16.</w:t>
      </w:r>
      <w:r>
        <w:rPr>
          <w:rFonts w:hint="eastAsia"/>
        </w:rPr>
        <w:tab/>
      </w:r>
      <w:r w:rsidRPr="009A1058">
        <w:rPr>
          <w:rFonts w:ascii="SimHei" w:eastAsia="SimHei" w:hint="eastAsia"/>
          <w:color w:val="FF0000"/>
        </w:rPr>
        <w:t>委员会敦促缔约国按照《公约》第16条的规定和委员会第21号一般性建议，尽早通过《家庭法典》修正案，使男女最低结婚年龄相同，都定为18岁。</w:t>
      </w:r>
    </w:p>
    <w:p w:rsidR="009A1058" w:rsidRDefault="009A1058" w:rsidP="009A1058">
      <w:pPr>
        <w:pStyle w:val="SingleTxt"/>
        <w:rPr>
          <w:rFonts w:hint="eastAsia"/>
        </w:rPr>
      </w:pPr>
      <w:r w:rsidRPr="009A1058">
        <w:rPr>
          <w:rFonts w:ascii="SimHei" w:eastAsia="SimHei" w:hint="eastAsia"/>
          <w:color w:val="FF0000"/>
        </w:rPr>
        <w:t>暂行特别措施</w:t>
      </w:r>
    </w:p>
    <w:p w:rsidR="009A1058" w:rsidRPr="009A1058" w:rsidRDefault="009A1058" w:rsidP="009A1058">
      <w:pPr>
        <w:pStyle w:val="SingleTxt"/>
        <w:rPr>
          <w:rFonts w:hint="eastAsia"/>
          <w:spacing w:val="2"/>
        </w:rPr>
      </w:pPr>
      <w:r>
        <w:rPr>
          <w:rFonts w:hint="eastAsia"/>
        </w:rPr>
        <w:t>17.</w:t>
      </w:r>
      <w:r>
        <w:rPr>
          <w:rFonts w:hint="eastAsia"/>
        </w:rPr>
        <w:tab/>
      </w:r>
      <w:r w:rsidRPr="009A1058">
        <w:rPr>
          <w:rFonts w:hint="eastAsia"/>
          <w:spacing w:val="2"/>
        </w:rPr>
        <w:t>委员会注意到缔约国提出了历史原因，解释该国利用《公约》第4条第1款和委员会第25号一般性建议所述暂行特别措施不足的问题，委员会欣见缔约国改变这方面的立场，在《两性平等法》中列入了关于实施暂行特别措施的具体条款。然而，委员会感到关切的是，缔约国利用暂行特别措施不足反映的是，在《公约》所涉各领域加速实现男女事实平等、特别是在妇女参政和担任决策职务方面，缔约国的总政策存在问题。委员会还注意到，缔约国未明确认识《公约》第4条第1款所述和委员会第25号一般性建议进一步阐述的暂行特别措施概念。</w:t>
      </w:r>
    </w:p>
    <w:p w:rsidR="009A1058" w:rsidRPr="009A1058" w:rsidRDefault="009A1058" w:rsidP="009A1058">
      <w:pPr>
        <w:pStyle w:val="SingleTxt"/>
        <w:spacing w:after="160"/>
        <w:rPr>
          <w:rFonts w:ascii="SimHei" w:eastAsia="SimHei" w:hint="eastAsia"/>
          <w:color w:val="FF0000"/>
        </w:rPr>
      </w:pPr>
      <w:r>
        <w:rPr>
          <w:rFonts w:hint="eastAsia"/>
        </w:rPr>
        <w:t>18.</w:t>
      </w:r>
      <w:r>
        <w:rPr>
          <w:rFonts w:hint="eastAsia"/>
        </w:rPr>
        <w:tab/>
      </w:r>
      <w:r w:rsidRPr="009A1058">
        <w:rPr>
          <w:rFonts w:ascii="SimHei" w:eastAsia="SimHei" w:hint="eastAsia"/>
          <w:color w:val="FF0000"/>
        </w:rPr>
        <w:t>委员会鼓励缔约国开展各种方案，让所有相关官员熟悉《公约》第4条第1款所述和委员会第25号一般性建议阐述的暂行特别措施概念。委员会建议缔约国在妇女任职人数不足或处于劣势的各领域采取各种形式的暂行特别措施，酌情增拨资源，加速提高妇女地位。委员会还建议缔约国扩大其暂行特别措施的实施范围，鼓励公营和私营部门都实施这些措施。</w:t>
      </w:r>
    </w:p>
    <w:p w:rsidR="009A1058" w:rsidRPr="009A1058" w:rsidRDefault="009A1058" w:rsidP="009A1058">
      <w:pPr>
        <w:pStyle w:val="SingleTxt"/>
        <w:rPr>
          <w:rFonts w:ascii="SimHei" w:eastAsia="SimHei" w:hint="eastAsia"/>
          <w:color w:val="FF0000"/>
        </w:rPr>
      </w:pPr>
      <w:r w:rsidRPr="009A1058">
        <w:rPr>
          <w:rFonts w:ascii="SimHei" w:eastAsia="SimHei" w:hint="eastAsia"/>
          <w:color w:val="FF0000"/>
        </w:rPr>
        <w:t>陈规定型观念、文化习俗</w:t>
      </w:r>
    </w:p>
    <w:p w:rsidR="009A1058" w:rsidRDefault="009A1058" w:rsidP="009A1058">
      <w:pPr>
        <w:pStyle w:val="SingleTxt"/>
        <w:rPr>
          <w:rFonts w:hint="eastAsia"/>
        </w:rPr>
      </w:pPr>
      <w:r>
        <w:rPr>
          <w:rFonts w:hint="eastAsia"/>
        </w:rPr>
        <w:t>19.</w:t>
      </w:r>
      <w:r>
        <w:rPr>
          <w:rFonts w:hint="eastAsia"/>
        </w:rPr>
        <w:tab/>
        <w:t>委员会重申其对下述情形的关切：使妇女处于从属地位的男权思想根深蒂固，关于妇女在家庭和社会中的角色和责任的定型观念盛行，这些问题严重阻碍执行《公约》，是妇女在政治生活、劳工市场、教育和其他领域处于不利地位的根源。</w:t>
      </w:r>
    </w:p>
    <w:p w:rsidR="009A1058" w:rsidRPr="009A1058" w:rsidRDefault="009A1058" w:rsidP="009A1058">
      <w:pPr>
        <w:pStyle w:val="SingleTxt"/>
        <w:rPr>
          <w:rFonts w:ascii="SimHei" w:eastAsia="SimHei" w:hint="eastAsia"/>
          <w:color w:val="FF0000"/>
        </w:rPr>
      </w:pPr>
      <w:r>
        <w:rPr>
          <w:rFonts w:hint="eastAsia"/>
        </w:rPr>
        <w:t>20.</w:t>
      </w:r>
      <w:r>
        <w:rPr>
          <w:rFonts w:hint="eastAsia"/>
        </w:rPr>
        <w:tab/>
      </w:r>
      <w:r w:rsidRPr="009A1058">
        <w:rPr>
          <w:rFonts w:ascii="SimHei" w:eastAsia="SimHei" w:hint="eastAsia"/>
          <w:color w:val="FF0000"/>
          <w:spacing w:val="-2"/>
        </w:rPr>
        <w:t>委员会吁请缔约国加紧努力，尤其是在农村地区加紧努力，促进改变导致妇女处于从属地位和形成男女角色定型观念的普遍接受的习俗。采取的这些措施应该包括提高认识和教育宣传活动，除其他外，应根据《公约》第2(f)和第5(a)条规定的义务，将社区领袖、父母、教师、官员和男女少年作为教育宣传的对象。委员会还建议缔约国继续鼓励大众媒体促进对男子和妇女角色和责任看法的文化变革，包括宣传没有定型观念成见和正面的妇女形象，宣传两性平等对整个社会的意义。</w:t>
      </w:r>
    </w:p>
    <w:p w:rsidR="009A1058" w:rsidRPr="009A1058" w:rsidRDefault="009A1058" w:rsidP="009A1058">
      <w:pPr>
        <w:pStyle w:val="SingleTxt"/>
        <w:spacing w:after="120"/>
        <w:rPr>
          <w:rFonts w:ascii="SimHei" w:eastAsia="SimHei" w:hint="eastAsia"/>
          <w:color w:val="FF0000"/>
        </w:rPr>
      </w:pPr>
      <w:r w:rsidRPr="009A1058">
        <w:rPr>
          <w:rFonts w:ascii="SimHei" w:eastAsia="SimHei" w:hint="eastAsia"/>
          <w:color w:val="FF0000"/>
        </w:rPr>
        <w:t>暴力侵害妇女行为</w:t>
      </w:r>
    </w:p>
    <w:p w:rsidR="009A1058" w:rsidRDefault="009A1058" w:rsidP="009A1058">
      <w:pPr>
        <w:pStyle w:val="SingleTxt"/>
        <w:rPr>
          <w:rFonts w:hint="eastAsia"/>
        </w:rPr>
      </w:pPr>
      <w:r>
        <w:rPr>
          <w:rFonts w:hint="eastAsia"/>
        </w:rPr>
        <w:t>21.</w:t>
      </w:r>
      <w:r>
        <w:rPr>
          <w:rFonts w:hint="eastAsia"/>
        </w:rPr>
        <w:tab/>
        <w:t>委员会赞赏缔约国采取各种措施，以提高对暴力侵害妇女行为的认识，打击并铲除这种行为，委员会注意到该国代表团团长提供的信息，即：议会将在2009年第三季会议上审议关于家庭暴力的法律草案。委员会仍然感到关切的是，制定这项法律的进程漫长，阿塞拜疆暴力侵害妇女和女孩的现象、包括家庭暴力和其他形式的性虐待很普遍。委员会感到关切的是，沉默和有罪不罚文化有时似乎使这种暴力行为在社会上合理化，并且在社会上被接受。委员会还感到关切的是，没有足够的庇护所和转诊及康复中心综合网络为暴力行为受害者服务。委员会仍然感到关切的是，《刑法》关于强奸的定义依据的是使用武力，而不是未经同意。缔约国未提供关于暴力侵害妇女行为案件的定罪和惩罚信息，未提供各种形式暴力侵害妇女行为发生率的统计数字，委员会对此感到遗憾。</w:t>
      </w:r>
    </w:p>
    <w:p w:rsidR="009A1058" w:rsidRPr="009A1058" w:rsidRDefault="009A1058" w:rsidP="009A1058">
      <w:pPr>
        <w:pStyle w:val="SingleTxt"/>
        <w:rPr>
          <w:rFonts w:ascii="SimHei" w:eastAsia="SimHei" w:hint="eastAsia"/>
          <w:color w:val="FF0000"/>
        </w:rPr>
      </w:pPr>
      <w:r>
        <w:rPr>
          <w:rFonts w:hint="eastAsia"/>
        </w:rPr>
        <w:t>22.</w:t>
      </w:r>
      <w:r>
        <w:rPr>
          <w:rFonts w:hint="eastAsia"/>
        </w:rPr>
        <w:tab/>
      </w:r>
      <w:r w:rsidRPr="009A1058">
        <w:rPr>
          <w:rFonts w:ascii="SimHei" w:eastAsia="SimHei" w:hint="eastAsia"/>
          <w:color w:val="FF0000"/>
        </w:rPr>
        <w:t>委员会敦促缔约国加速通过关于家庭暴力的法律草案，确保该法案包括关于家庭内性暴力的条款。委员会请缔约国继续努力打击暴力侵害妇女和女孩行为，特别是打击家庭暴力行为。委员会建议缔约国通过媒体以及通过开展教育方案，开展大众宣传活动，打击一切形式的暴力侵害妇女行为。委员会吁请缔约国确保受到暴力行为伤害的妇女和女孩能够立即获得矫正和保护，包括获得保护令，并在所有地区提供足够的适当庇护所。委员会建议缔约国继续向所有暴力行为受害者提供法律援助，途径包括设立法律援助所，尤其是在农村地区设立法律援助所。委员会还要求对司法人员和官员、尤其是对执法人员、保健人员和社区发展官员进行培训，确保他们对一切形式的暴力侵害妇女和女孩行为保持敏感性，并能够向受害者提供对性别问题有敏感认识的适当支助。委员会吁请缔约国修正其《刑法》。委员会重申其先前的建议，即：缔约国应对一切形式暴力侵害妇女行为、包括家庭暴力行为的普遍性、根源和后果进行研究，以便以此为基础，采取全面和有针对性的行动。</w:t>
      </w:r>
    </w:p>
    <w:p w:rsidR="009A1058" w:rsidRPr="009A1058" w:rsidRDefault="009A1058" w:rsidP="009A1058">
      <w:pPr>
        <w:pStyle w:val="SingleTxt"/>
        <w:spacing w:after="120"/>
        <w:rPr>
          <w:rFonts w:ascii="SimHei" w:eastAsia="SimHei" w:hint="eastAsia"/>
          <w:color w:val="FF0000"/>
        </w:rPr>
      </w:pPr>
      <w:r w:rsidRPr="009A1058">
        <w:rPr>
          <w:rFonts w:ascii="SimHei" w:eastAsia="SimHei" w:hint="eastAsia"/>
          <w:color w:val="FF0000"/>
        </w:rPr>
        <w:t>贩运</w:t>
      </w:r>
    </w:p>
    <w:p w:rsidR="009A1058" w:rsidRDefault="009A1058" w:rsidP="009A1058">
      <w:pPr>
        <w:pStyle w:val="SingleTxt"/>
        <w:rPr>
          <w:rFonts w:hint="eastAsia"/>
        </w:rPr>
      </w:pPr>
      <w:r>
        <w:rPr>
          <w:rFonts w:hint="eastAsia"/>
        </w:rPr>
        <w:t>23.</w:t>
      </w:r>
      <w:r>
        <w:rPr>
          <w:rFonts w:hint="eastAsia"/>
        </w:rPr>
        <w:tab/>
        <w:t>委员会欣见缔约国采取打击贩运人口活动的广泛措施，包括2008年颁布的要求所有执法人员将贩运案件提交反贩运机构的法令，但委员会关切的是，特别是在该国现有冲突背景下，这种现象仍在增加，而且没有足够的措施来解决贩运问题的主要根源。此外，委员会仍然关切的是，受害者缺乏庇护所，这些妇女往往面临耻辱，可能妨碍其重新融入社会。</w:t>
      </w:r>
    </w:p>
    <w:p w:rsidR="009A1058" w:rsidRPr="009A1058" w:rsidRDefault="009A1058" w:rsidP="00FD210F">
      <w:pPr>
        <w:pStyle w:val="SingleTxt"/>
        <w:spacing w:after="160"/>
        <w:rPr>
          <w:rFonts w:ascii="SimHei" w:eastAsia="SimHei" w:hint="eastAsia"/>
          <w:color w:val="FF0000"/>
        </w:rPr>
      </w:pPr>
      <w:r>
        <w:rPr>
          <w:rFonts w:hint="eastAsia"/>
        </w:rPr>
        <w:t>24.</w:t>
      </w:r>
      <w:r>
        <w:rPr>
          <w:rFonts w:hint="eastAsia"/>
        </w:rPr>
        <w:tab/>
      </w:r>
      <w:r w:rsidRPr="009A1058">
        <w:rPr>
          <w:rFonts w:ascii="SimHei" w:eastAsia="SimHei" w:hint="eastAsia"/>
          <w:color w:val="FF0000"/>
        </w:rPr>
        <w:t>委员会呼吁缔约国继续努力，确保充分执行关于贩运的立法，充分实施打击贩运人口的行动计划和其他措施，并对其影响进行定期监测和评价。委员会敦促缔约国系统地调查、起诉和惩处人口贩子。此外，委员会建议缔约国继续努力，通过包括增建庇护所在内的措施，确保贩运活动受害者能够康复和重新融入社会。根据其先前的建议，委员会呼吁缔约国解决贩运人口活动的根源，从而消除妇女易受人口贩子剥削的脆弱性。</w:t>
      </w:r>
    </w:p>
    <w:p w:rsidR="009A1058" w:rsidRDefault="009A1058" w:rsidP="009A1058">
      <w:pPr>
        <w:pStyle w:val="SingleTxt"/>
        <w:rPr>
          <w:rFonts w:hint="eastAsia"/>
        </w:rPr>
      </w:pPr>
      <w:r w:rsidRPr="009A1058">
        <w:rPr>
          <w:rFonts w:ascii="SimHei" w:eastAsia="SimHei" w:hint="eastAsia"/>
          <w:color w:val="FF0000"/>
        </w:rPr>
        <w:t>利用妇女卖淫营利</w:t>
      </w:r>
    </w:p>
    <w:p w:rsidR="009A1058" w:rsidRDefault="009A1058" w:rsidP="009A1058">
      <w:pPr>
        <w:pStyle w:val="SingleTxt"/>
        <w:rPr>
          <w:rFonts w:hint="eastAsia"/>
        </w:rPr>
      </w:pPr>
      <w:r>
        <w:rPr>
          <w:rFonts w:hint="eastAsia"/>
        </w:rPr>
        <w:t>25.</w:t>
      </w:r>
      <w:r>
        <w:rPr>
          <w:rFonts w:hint="eastAsia"/>
        </w:rPr>
        <w:tab/>
      </w:r>
      <w:r w:rsidRPr="00FD210F">
        <w:rPr>
          <w:rFonts w:hint="eastAsia"/>
          <w:spacing w:val="2"/>
        </w:rPr>
        <w:t>委员会感到遗憾的是，关于利用妇女卖淫营利范围的数据，包括有关解决导致卖淫的社会和经济因素的努力以及支持妇女从良的措施方面的数据较为有限。</w:t>
      </w:r>
    </w:p>
    <w:p w:rsidR="009A1058" w:rsidRPr="00FD210F" w:rsidRDefault="009A1058" w:rsidP="00FD210F">
      <w:pPr>
        <w:pStyle w:val="SingleTxt"/>
        <w:spacing w:after="160"/>
        <w:rPr>
          <w:rFonts w:ascii="SimHei" w:eastAsia="SimHei" w:hint="eastAsia"/>
          <w:color w:val="FF0000"/>
        </w:rPr>
      </w:pPr>
      <w:r>
        <w:rPr>
          <w:rFonts w:hint="eastAsia"/>
        </w:rPr>
        <w:t>26.</w:t>
      </w:r>
      <w:r>
        <w:rPr>
          <w:rFonts w:hint="eastAsia"/>
        </w:rPr>
        <w:tab/>
      </w:r>
      <w:r w:rsidRPr="00FD210F">
        <w:rPr>
          <w:rFonts w:ascii="SimHei" w:eastAsia="SimHei" w:hint="eastAsia"/>
          <w:color w:val="FF0000"/>
        </w:rPr>
        <w:t>委员会敦促缔约国对利用妇女卖淫营利开展研究，以便以此为基础，采取全面和有针对性的行动。委员会要求缔约国加强各种措施，解决促使妇女和女孩从事卖淫活动的各种因素，为从事卖淫的妇女和女孩建立康复和重新融入社会的服务，并为希望从良的妇女提供支助。</w:t>
      </w:r>
    </w:p>
    <w:p w:rsidR="009A1058" w:rsidRDefault="009A1058" w:rsidP="009A1058">
      <w:pPr>
        <w:pStyle w:val="SingleTxt"/>
        <w:rPr>
          <w:rFonts w:hint="eastAsia"/>
        </w:rPr>
      </w:pPr>
      <w:r w:rsidRPr="00FD210F">
        <w:rPr>
          <w:rFonts w:ascii="SimHei" w:eastAsia="SimHei" w:hint="eastAsia"/>
          <w:color w:val="FF0000"/>
        </w:rPr>
        <w:t>政治参与和参与公共生活</w:t>
      </w:r>
    </w:p>
    <w:p w:rsidR="009A1058" w:rsidRPr="00FD210F" w:rsidRDefault="009A1058" w:rsidP="009A1058">
      <w:pPr>
        <w:pStyle w:val="SingleTxt"/>
        <w:rPr>
          <w:rFonts w:hint="eastAsia"/>
          <w:spacing w:val="2"/>
        </w:rPr>
      </w:pPr>
      <w:r>
        <w:rPr>
          <w:rFonts w:hint="eastAsia"/>
        </w:rPr>
        <w:t>27.</w:t>
      </w:r>
      <w:r>
        <w:rPr>
          <w:rFonts w:hint="eastAsia"/>
        </w:rPr>
        <w:tab/>
        <w:t>委员会注意到缔约国组织了旨在提高妇女参与政治情况的会议和研讨会，但委员会关切的是，这些会议和研讨会可能不足以使即将举行的2009年市镇选举</w:t>
      </w:r>
      <w:r w:rsidRPr="00FD210F">
        <w:rPr>
          <w:rFonts w:hint="eastAsia"/>
          <w:spacing w:val="2"/>
        </w:rPr>
        <w:t>和2010年国民议会选举的妇女候选人比例发生重大变化。委员会仍感关切的是，妇女很少参与政治和公共生活，特别是她们在包括议会、政府、外交部门、区域和地方市政当局以及较高级别的司法机构等决策机构中的任职人数严重不足。委员会感到遗憾的是，没有实施提高妇女参与政治和公共生活情形的暂行特别措施。</w:t>
      </w:r>
    </w:p>
    <w:p w:rsidR="009A1058" w:rsidRPr="00FD210F" w:rsidRDefault="009A1058" w:rsidP="00FD210F">
      <w:pPr>
        <w:pStyle w:val="SingleTxt"/>
        <w:spacing w:after="160"/>
        <w:rPr>
          <w:rFonts w:ascii="SimHei" w:eastAsia="SimHei" w:hint="eastAsia"/>
          <w:color w:val="FF0000"/>
        </w:rPr>
      </w:pPr>
      <w:r>
        <w:rPr>
          <w:rFonts w:hint="eastAsia"/>
        </w:rPr>
        <w:t>28.</w:t>
      </w:r>
      <w:r>
        <w:rPr>
          <w:rFonts w:hint="eastAsia"/>
        </w:rPr>
        <w:tab/>
      </w:r>
      <w:r w:rsidRPr="00FD210F">
        <w:rPr>
          <w:rFonts w:ascii="SimHei" w:eastAsia="SimHei" w:hint="eastAsia"/>
          <w:color w:val="FF0000"/>
        </w:rPr>
        <w:t>委员会呼吁缔约国通过在全国、特别是农村地区开展提高对妇女参与公共生活和政治生活重要性认识的运动，解决妇女参与政治和公共生活热情低和任职人数不足的根本原因。委员会鼓励缔约国考虑根据《公约》第4条第1款和委员会第25号和第23号一般性建议采取暂行特别措施。委员会还呼吁缔约国建立适用暂行特别措施的基准或提高其配额。</w:t>
      </w:r>
    </w:p>
    <w:p w:rsidR="009A1058" w:rsidRPr="00FD210F" w:rsidRDefault="009A1058" w:rsidP="009A1058">
      <w:pPr>
        <w:pStyle w:val="SingleTxt"/>
        <w:rPr>
          <w:rFonts w:ascii="SimHei" w:eastAsia="SimHei" w:hint="eastAsia"/>
          <w:color w:val="FF0000"/>
        </w:rPr>
      </w:pPr>
      <w:r w:rsidRPr="00FD210F">
        <w:rPr>
          <w:rFonts w:ascii="SimHei" w:eastAsia="SimHei" w:hint="eastAsia"/>
          <w:color w:val="FF0000"/>
        </w:rPr>
        <w:t>教育</w:t>
      </w:r>
    </w:p>
    <w:p w:rsidR="009A1058" w:rsidRDefault="009A1058" w:rsidP="009A1058">
      <w:pPr>
        <w:pStyle w:val="SingleTxt"/>
        <w:rPr>
          <w:rFonts w:hint="eastAsia"/>
        </w:rPr>
      </w:pPr>
      <w:r>
        <w:rPr>
          <w:rFonts w:hint="eastAsia"/>
        </w:rPr>
        <w:t>29.</w:t>
      </w:r>
      <w:r>
        <w:rPr>
          <w:rFonts w:hint="eastAsia"/>
        </w:rPr>
        <w:tab/>
        <w:t>委员会注意到妇女和女孩接受教育机会方面的明显改善，但委员会感到遗憾的是，妇女的教育水平和经济机会之间缺乏相关性。委员会关切地注意到，妇女仍然集中于传统的女性教育科目，她们在教育领域决策层任职的人数和在学术界担任教授、高级讲师和研究人员的人数不足。</w:t>
      </w:r>
    </w:p>
    <w:p w:rsidR="009A1058" w:rsidRPr="00FD210F" w:rsidRDefault="009A1058" w:rsidP="009A1058">
      <w:pPr>
        <w:pStyle w:val="SingleTxt"/>
        <w:rPr>
          <w:rFonts w:ascii="SimHei" w:eastAsia="SimHei" w:hint="eastAsia"/>
          <w:color w:val="FF0000"/>
        </w:rPr>
      </w:pPr>
      <w:r>
        <w:rPr>
          <w:rFonts w:hint="eastAsia"/>
        </w:rPr>
        <w:t>30.</w:t>
      </w:r>
      <w:r>
        <w:rPr>
          <w:rFonts w:hint="eastAsia"/>
        </w:rPr>
        <w:tab/>
      </w:r>
      <w:r w:rsidRPr="00FD210F">
        <w:rPr>
          <w:rFonts w:ascii="SimHei" w:eastAsia="SimHei" w:hint="eastAsia"/>
          <w:color w:val="FF0000"/>
        </w:rPr>
        <w:t>委员会建议缔约国在其教育政策中纳入各种措施，鼓励女孩和妇女寻求非传统领域教育和培训，这可能使她们在蓬勃发展的经济领域获得就业机会。委员会建议缔约国考虑根据《公约》4条第1款采取暂行特别措施，以加速增加妇女担任各级教育决策职务的人数，并增加从事博士研究和在最高学术机构担任研究专家职务(包括在非传统领域)的妇女人数。</w:t>
      </w:r>
    </w:p>
    <w:p w:rsidR="009A1058" w:rsidRPr="00FD210F" w:rsidRDefault="009A1058" w:rsidP="00FD210F">
      <w:pPr>
        <w:pStyle w:val="SingleTxt"/>
        <w:spacing w:line="324" w:lineRule="exact"/>
        <w:rPr>
          <w:rFonts w:ascii="SimHei" w:eastAsia="SimHei" w:hint="eastAsia"/>
          <w:color w:val="FF0000"/>
        </w:rPr>
      </w:pPr>
      <w:r w:rsidRPr="00FD210F">
        <w:rPr>
          <w:rFonts w:ascii="SimHei" w:eastAsia="SimHei" w:hint="eastAsia"/>
          <w:color w:val="FF0000"/>
        </w:rPr>
        <w:t>就业</w:t>
      </w:r>
    </w:p>
    <w:p w:rsidR="009A1058" w:rsidRDefault="009A1058" w:rsidP="00FD210F">
      <w:pPr>
        <w:pStyle w:val="SingleTxt"/>
        <w:spacing w:line="324" w:lineRule="exact"/>
        <w:rPr>
          <w:rFonts w:hint="eastAsia"/>
        </w:rPr>
      </w:pPr>
      <w:r>
        <w:rPr>
          <w:rFonts w:hint="eastAsia"/>
        </w:rPr>
        <w:t>31.</w:t>
      </w:r>
      <w:r>
        <w:rPr>
          <w:rFonts w:hint="eastAsia"/>
        </w:rPr>
        <w:tab/>
      </w:r>
      <w:r w:rsidRPr="00FD210F">
        <w:rPr>
          <w:rFonts w:hint="eastAsia"/>
          <w:spacing w:val="2"/>
        </w:rPr>
        <w:t>委员会欣见缔约国在就业战略中引入促进劳动力市场两性平等的措施。但委员会仍然关切的是，劳动力市场中的纵向和横向性别隔离持续存在、妇女失业率较高、妇女集中在收入较低的部门，如保健、教育和非正规经济部门。委员会欢迎就业战略第二阶段(2008-2015年)设想给予妇女灵活工作形式，但委员会关切的是，现有措施还不足以使妇女能够兼顾家庭和职业责任。委员会特别关切的是，工资差距依然存在，而且在某些行业差距还很大，《劳工法典》和2006年《两性平等法案》中的规定未遵守《公约》第11条(d)项规定的同工同酬原则。</w:t>
      </w:r>
    </w:p>
    <w:p w:rsidR="009A1058" w:rsidRPr="00FD210F" w:rsidRDefault="009A1058" w:rsidP="00FD210F">
      <w:pPr>
        <w:pStyle w:val="SingleTxt"/>
        <w:spacing w:line="324" w:lineRule="exact"/>
        <w:rPr>
          <w:rFonts w:ascii="SimHei" w:eastAsia="SimHei" w:hint="eastAsia"/>
          <w:color w:val="FF0000"/>
        </w:rPr>
      </w:pPr>
      <w:r>
        <w:rPr>
          <w:rFonts w:hint="eastAsia"/>
        </w:rPr>
        <w:t>32.</w:t>
      </w:r>
      <w:r>
        <w:rPr>
          <w:rFonts w:hint="eastAsia"/>
        </w:rPr>
        <w:tab/>
      </w:r>
      <w:r w:rsidRPr="00FD210F">
        <w:rPr>
          <w:rFonts w:ascii="SimHei" w:eastAsia="SimHei" w:hint="eastAsia"/>
          <w:color w:val="FF0000"/>
        </w:rPr>
        <w:t>委员会敦促缔约国加强努力，消除职业隔离，确保妇女和男子在劳动力市场享有平等机会。委员会呼吁缔约国继续采取暂行特别措施，以确保妇女在劳动力市场所有各级享有事实上的平等机会。委员会还建议制定和实施协调家庭和职业责任的措施，包括提供负担得起的托儿服务，并促进妇女和男子之间平等地分担家务和家庭工作。委员会还建议缔约国毫不拖延地使《劳工法典》和《两性平等法案》符合《公约》第11条的规定，并按照委员会第13号一般性建议和国际劳工组织《同酬公约》(第100号公约)充分执行同酬原则(同值工作同等报酬)。委员会建议建立监测机制，确保执行同值工作同等报酬原则。</w:t>
      </w:r>
    </w:p>
    <w:p w:rsidR="009A1058" w:rsidRPr="00FD210F" w:rsidRDefault="009A1058" w:rsidP="00FD210F">
      <w:pPr>
        <w:pStyle w:val="SingleTxt"/>
        <w:spacing w:line="324" w:lineRule="exact"/>
        <w:rPr>
          <w:rFonts w:ascii="SimHei" w:eastAsia="SimHei" w:hint="eastAsia"/>
          <w:color w:val="FF0000"/>
        </w:rPr>
      </w:pPr>
      <w:r w:rsidRPr="00FD210F">
        <w:rPr>
          <w:rFonts w:ascii="SimHei" w:eastAsia="SimHei" w:hint="eastAsia"/>
          <w:color w:val="FF0000"/>
        </w:rPr>
        <w:t>妇女卫生保健</w:t>
      </w:r>
    </w:p>
    <w:p w:rsidR="009A1058" w:rsidRPr="00FD210F" w:rsidRDefault="009A1058" w:rsidP="00FD210F">
      <w:pPr>
        <w:pStyle w:val="SingleTxt"/>
        <w:spacing w:line="324" w:lineRule="exact"/>
        <w:rPr>
          <w:rFonts w:hint="eastAsia"/>
          <w:spacing w:val="-2"/>
        </w:rPr>
      </w:pPr>
      <w:r>
        <w:rPr>
          <w:rFonts w:hint="eastAsia"/>
        </w:rPr>
        <w:t>33.</w:t>
      </w:r>
      <w:r>
        <w:rPr>
          <w:rFonts w:hint="eastAsia"/>
        </w:rPr>
        <w:tab/>
        <w:t>委员会注意到缔约国为改善妇女生育保健所作的各种努力，包括制定了《全国生殖和性健康战略》(2008-2015年)以及《保护母亲和儿童健康国家计划》(2006-2010年)，但委员会仍关切的是，妇女，特别是那些生活在农村和边远地</w:t>
      </w:r>
      <w:r w:rsidRPr="00FD210F">
        <w:rPr>
          <w:rFonts w:hint="eastAsia"/>
        </w:rPr>
        <w:t>区的妇女以及境内流离失所和难民妇女缺乏获得充分的一般保健服务及生殖保健服务的机会。特别是，缔约国产妇死亡率很高而且不断上升，委员会对此感到严重关切。委员会感到震惊的是，自国际社会在2004年停止供应后，避孕药具的使用骤降；且由此引起堕胎率升高，而堕胎似乎是缔约国内最普遍的计划生育方法。</w:t>
      </w:r>
    </w:p>
    <w:p w:rsidR="009A1058" w:rsidRPr="00FD210F" w:rsidRDefault="009A1058" w:rsidP="00FD210F">
      <w:pPr>
        <w:pStyle w:val="SingleTxt"/>
        <w:spacing w:line="326" w:lineRule="exact"/>
        <w:rPr>
          <w:rFonts w:ascii="SimHei" w:eastAsia="SimHei" w:hint="eastAsia"/>
          <w:color w:val="FF0000"/>
        </w:rPr>
      </w:pPr>
      <w:r>
        <w:rPr>
          <w:rFonts w:hint="eastAsia"/>
        </w:rPr>
        <w:t>34.</w:t>
      </w:r>
      <w:r>
        <w:rPr>
          <w:rFonts w:hint="eastAsia"/>
        </w:rPr>
        <w:tab/>
      </w:r>
      <w:r w:rsidRPr="00FD210F">
        <w:rPr>
          <w:rFonts w:ascii="SimHei" w:eastAsia="SimHei" w:hint="eastAsia"/>
          <w:color w:val="FF0000"/>
        </w:rPr>
        <w:t>委员会建议缔约国继续采取一切适当措施，改善妇女获得一般保健、特别是生殖保健服务的机会。委员会要求缔约国优先考虑通过建立由合格医务人员运作的适当产科分娩服务以及向所有妇女提供充分的产前保健，降低产妇死亡率。委员会建议，对男孩和女孩进行广泛和有针对性的计划生育和生殖健康教育，并特别注意预防性病和艾滋病毒/艾滋病的教育。委员会还建议缔约国履行其承诺，将各种避孕药具纳入卫生部基本药品清单。</w:t>
      </w:r>
    </w:p>
    <w:p w:rsidR="009A1058" w:rsidRPr="00FD210F" w:rsidRDefault="009A1058" w:rsidP="00FD210F">
      <w:pPr>
        <w:pStyle w:val="SingleTxt"/>
        <w:spacing w:line="330" w:lineRule="exact"/>
        <w:rPr>
          <w:rFonts w:ascii="SimHei" w:eastAsia="SimHei" w:hint="eastAsia"/>
          <w:color w:val="FF0000"/>
        </w:rPr>
      </w:pPr>
      <w:r w:rsidRPr="00FD210F">
        <w:rPr>
          <w:rFonts w:ascii="SimHei" w:eastAsia="SimHei" w:hint="eastAsia"/>
          <w:color w:val="FF0000"/>
        </w:rPr>
        <w:t>弱势妇女群体</w:t>
      </w:r>
    </w:p>
    <w:p w:rsidR="009A1058" w:rsidRDefault="009A1058" w:rsidP="00FD210F">
      <w:pPr>
        <w:pStyle w:val="SingleTxt"/>
        <w:spacing w:line="328" w:lineRule="exact"/>
        <w:rPr>
          <w:rFonts w:hint="eastAsia"/>
        </w:rPr>
      </w:pPr>
      <w:r>
        <w:rPr>
          <w:rFonts w:hint="eastAsia"/>
        </w:rPr>
        <w:t>35.</w:t>
      </w:r>
      <w:r>
        <w:rPr>
          <w:rFonts w:hint="eastAsia"/>
        </w:rPr>
        <w:tab/>
        <w:t>委员会欢迎缔约国为改善弱势妇女群体状况所采取的所有措施，但委员会对农村地区女孩和妇女在获得适当求助司法途径、卫生保健、教育、信贷和社区服务方面的状况仍然感到关切。</w:t>
      </w:r>
    </w:p>
    <w:p w:rsidR="009A1058" w:rsidRPr="00FD210F" w:rsidRDefault="009A1058" w:rsidP="00FD210F">
      <w:pPr>
        <w:pStyle w:val="SingleTxt"/>
        <w:spacing w:line="330" w:lineRule="exact"/>
        <w:rPr>
          <w:rFonts w:hint="eastAsia"/>
          <w:spacing w:val="2"/>
        </w:rPr>
      </w:pPr>
      <w:r>
        <w:rPr>
          <w:rFonts w:hint="eastAsia"/>
        </w:rPr>
        <w:t>36.</w:t>
      </w:r>
      <w:r>
        <w:rPr>
          <w:rFonts w:hint="eastAsia"/>
        </w:rPr>
        <w:tab/>
      </w:r>
      <w:r w:rsidRPr="00FD210F">
        <w:rPr>
          <w:rFonts w:ascii="SimHei" w:eastAsia="SimHei" w:hint="eastAsia"/>
          <w:color w:val="FF0000"/>
          <w:spacing w:val="2"/>
        </w:rPr>
        <w:t>委员会建议缔约国继续努力，通过国家发展计划和政策，促进两性平等。委员会还建议缔约国通过针对社区和宗教领袖、教师、父母、男孩和女孩的提高认识运动，改变现有的性别角色定型观念。委员会还鼓励缔约国通过培训，提高农村妇女对地方、区域和国家各级决策的参与。委员会要求缔约国在下次报告中列入按性别分类的数据和资料，说明农村各年龄组的妇女在土地保有权、创收活动、卫生和教育方面的实际状况以及缔约国在这方面采取的具体措施，包括取得的成果。</w:t>
      </w:r>
    </w:p>
    <w:p w:rsidR="009A1058" w:rsidRDefault="009A1058" w:rsidP="00FD210F">
      <w:pPr>
        <w:pStyle w:val="SingleTxt"/>
        <w:spacing w:line="330" w:lineRule="exact"/>
        <w:rPr>
          <w:rFonts w:hint="eastAsia"/>
        </w:rPr>
      </w:pPr>
      <w:r>
        <w:rPr>
          <w:rFonts w:hint="eastAsia"/>
        </w:rPr>
        <w:t>37.</w:t>
      </w:r>
      <w:r>
        <w:rPr>
          <w:rFonts w:hint="eastAsia"/>
        </w:rPr>
        <w:tab/>
        <w:t>委员会欣见制定了旨在改善难民和境内流离失所者生活条件和增加其就业机会的国家方案，欣见2007年打击家庭暴力方案纳入了以难民和境内流离失所者为对象的广泛措施。委员会还欢迎缔约国提供资料，介绍境内流离失所者贫困率下降、生活条件改善和失业率下降等情况，难民和境内流离失所妇女获得了就业，被安置到设备齐全的新定居点。委员会仍然关注的是，难民和境内流离失所妇女和女孩在获得教育、就业、卫生，包括心理和社会支持、以及住房方面仍然处于弱势和边缘化的状况，在农村地区尤为如此。还令委员会关切的是，在规划和实施解决境内流离失所妇女需要的政策和方案过程中，这些妇女参与的程度有限，对其谘商程度也有限。</w:t>
      </w:r>
    </w:p>
    <w:p w:rsidR="009A1058" w:rsidRPr="00FD210F" w:rsidRDefault="009A1058" w:rsidP="00FD210F">
      <w:pPr>
        <w:pStyle w:val="SingleTxt"/>
        <w:spacing w:line="330" w:lineRule="exact"/>
        <w:rPr>
          <w:rFonts w:ascii="SimHei" w:eastAsia="SimHei" w:hint="eastAsia"/>
          <w:color w:val="FF0000"/>
        </w:rPr>
      </w:pPr>
      <w:r>
        <w:rPr>
          <w:rFonts w:hint="eastAsia"/>
        </w:rPr>
        <w:t>38.</w:t>
      </w:r>
      <w:r>
        <w:rPr>
          <w:rFonts w:hint="eastAsia"/>
        </w:rPr>
        <w:tab/>
      </w:r>
      <w:r w:rsidRPr="00FD210F">
        <w:rPr>
          <w:rFonts w:ascii="SimHei" w:eastAsia="SimHei" w:hint="eastAsia"/>
          <w:color w:val="FF0000"/>
        </w:rPr>
        <w:t>委员会重申其先前的建议，即缔约国继续根据具体的时间表，为难民妇女和女孩以及境内流离失所的妇女和女孩采取定向措施，以增加她们得到教育、就业、保健和住房的机会，并监测其执行情况。委员会建议缔约国充分执行负责境内流离失所者人权事务的秘书长代表所提出的建议，即要求缔约国确保在城镇集体中心恢复工作的下一阶段中及时谘商境内流离失所者，要特别注意将妇女的充分参与作为一种赋予权能的手段。委员会要求缔约国在其下次定期报告中列入在改善这些妇女和女孩群体的状况方面所取得的成果。</w:t>
      </w:r>
    </w:p>
    <w:p w:rsidR="009A1058" w:rsidRPr="00FD210F" w:rsidRDefault="009A1058" w:rsidP="00FD210F">
      <w:pPr>
        <w:pStyle w:val="SingleTxt"/>
        <w:spacing w:line="330" w:lineRule="exact"/>
        <w:rPr>
          <w:rFonts w:ascii="SimHei" w:eastAsia="SimHei" w:hint="eastAsia"/>
          <w:color w:val="FF0000"/>
        </w:rPr>
      </w:pPr>
      <w:r w:rsidRPr="00FD210F">
        <w:rPr>
          <w:rFonts w:ascii="SimHei" w:eastAsia="SimHei" w:hint="eastAsia"/>
          <w:color w:val="FF0000"/>
        </w:rPr>
        <w:t>家庭关系</w:t>
      </w:r>
    </w:p>
    <w:p w:rsidR="009A1058" w:rsidRDefault="009A1058" w:rsidP="00FD210F">
      <w:pPr>
        <w:pStyle w:val="SingleTxt"/>
        <w:spacing w:line="328" w:lineRule="exact"/>
        <w:rPr>
          <w:rFonts w:hint="eastAsia"/>
        </w:rPr>
      </w:pPr>
      <w:r>
        <w:rPr>
          <w:rFonts w:hint="eastAsia"/>
        </w:rPr>
        <w:t>39.</w:t>
      </w:r>
      <w:r>
        <w:rPr>
          <w:rFonts w:hint="eastAsia"/>
        </w:rPr>
        <w:tab/>
        <w:t>早婚和未注册宗教婚姻现象在缔约国仍在持续，而且缔约国没有这方面的统计数据，这令委员会关切。</w:t>
      </w:r>
    </w:p>
    <w:p w:rsidR="009A1058" w:rsidRPr="00FD210F" w:rsidRDefault="009A1058" w:rsidP="00FD210F">
      <w:pPr>
        <w:pStyle w:val="SingleTxt"/>
        <w:spacing w:line="328" w:lineRule="exact"/>
        <w:rPr>
          <w:rFonts w:ascii="SimHei" w:eastAsia="SimHei" w:hint="eastAsia"/>
          <w:color w:val="FF0000"/>
        </w:rPr>
      </w:pPr>
      <w:r>
        <w:rPr>
          <w:rFonts w:hint="eastAsia"/>
        </w:rPr>
        <w:t>40.</w:t>
      </w:r>
      <w:r>
        <w:rPr>
          <w:rFonts w:hint="eastAsia"/>
        </w:rPr>
        <w:tab/>
      </w:r>
      <w:r w:rsidRPr="00FD210F">
        <w:rPr>
          <w:rFonts w:ascii="SimHei" w:eastAsia="SimHei" w:hint="eastAsia"/>
          <w:color w:val="FF0000"/>
        </w:rPr>
        <w:t>委员会敦促缔约国继续开展提高认识运动并与宗教当局合作，以便防止早婚并确保所有婚姻均得到适当注册。委员会重申其先前的建议，即缔约国在其下次报告中列入有关资料，说明在阿塞拜疆未满18岁女孩结婚以及宗教婚姻或传统婚姻的情况，包括其流行程度和随着时间推移而出现的趋势及其法律地位。</w:t>
      </w:r>
    </w:p>
    <w:p w:rsidR="009A1058" w:rsidRPr="00FD210F" w:rsidRDefault="009A1058" w:rsidP="00FD210F">
      <w:pPr>
        <w:pStyle w:val="SingleTxt"/>
        <w:tabs>
          <w:tab w:val="clear" w:pos="3850"/>
        </w:tabs>
        <w:spacing w:after="120"/>
        <w:rPr>
          <w:rFonts w:ascii="SimHei" w:eastAsia="SimHei" w:hint="eastAsia"/>
          <w:color w:val="FF0000"/>
        </w:rPr>
      </w:pPr>
      <w:r w:rsidRPr="00FD210F">
        <w:rPr>
          <w:rFonts w:ascii="SimHei" w:eastAsia="SimHei" w:hint="eastAsia"/>
          <w:color w:val="FF0000"/>
        </w:rPr>
        <w:t>数据收集和分析</w:t>
      </w:r>
    </w:p>
    <w:p w:rsidR="009A1058" w:rsidRDefault="009A1058" w:rsidP="009A1058">
      <w:pPr>
        <w:pStyle w:val="SingleTxt"/>
        <w:rPr>
          <w:rFonts w:hint="eastAsia"/>
        </w:rPr>
      </w:pPr>
      <w:r>
        <w:rPr>
          <w:rFonts w:hint="eastAsia"/>
        </w:rPr>
        <w:t>41.</w:t>
      </w:r>
      <w:r>
        <w:rPr>
          <w:rFonts w:hint="eastAsia"/>
        </w:rPr>
        <w:tab/>
        <w:t>委员会确认，缔约国在人口基金协助下作出了各种努力，以改善暴力侵害妇女行为领域的数据收集工作，但对报告中关于《公约》所述所有领域妇女状况的统计资料不足表示遗憾。</w:t>
      </w:r>
    </w:p>
    <w:p w:rsidR="009A1058" w:rsidRPr="00FD210F" w:rsidRDefault="009A1058" w:rsidP="009A1058">
      <w:pPr>
        <w:pStyle w:val="SingleTxt"/>
        <w:rPr>
          <w:rFonts w:ascii="SimHei" w:eastAsia="SimHei" w:hint="eastAsia"/>
          <w:color w:val="FF0000"/>
        </w:rPr>
      </w:pPr>
      <w:r>
        <w:rPr>
          <w:rFonts w:hint="eastAsia"/>
        </w:rPr>
        <w:t>42.</w:t>
      </w:r>
      <w:r>
        <w:rPr>
          <w:rFonts w:hint="eastAsia"/>
        </w:rPr>
        <w:tab/>
      </w:r>
      <w:r w:rsidRPr="00FD210F">
        <w:rPr>
          <w:rFonts w:ascii="SimHei" w:eastAsia="SimHei" w:hint="eastAsia"/>
          <w:color w:val="FF0000"/>
        </w:rPr>
        <w:t>委员会吁请缔约国加强数据收集制度，途径包括使用可计量指标，评估妇女状况的趋势以及在实现妇女事实上平等方面取得的进展。委员会邀请缔约国在必要时寻求国际援助，以发展此类数据收集和分析工作。委员会还请缔约国在下一次报告中纳入按性别和城乡分列的统计数据和分析，指明政策和方案措施的影响以及取得的成果。</w:t>
      </w:r>
    </w:p>
    <w:p w:rsidR="009A1058" w:rsidRDefault="009A1058" w:rsidP="00FD210F">
      <w:pPr>
        <w:pStyle w:val="SingleTxt"/>
        <w:tabs>
          <w:tab w:val="clear" w:pos="3850"/>
        </w:tabs>
        <w:spacing w:after="120"/>
        <w:rPr>
          <w:rFonts w:hint="eastAsia"/>
        </w:rPr>
      </w:pPr>
      <w:r w:rsidRPr="00FD210F">
        <w:rPr>
          <w:rFonts w:ascii="SimHei" w:eastAsia="SimHei" w:hint="eastAsia"/>
          <w:color w:val="FF0000"/>
        </w:rPr>
        <w:t>下一次报告的编写</w:t>
      </w:r>
    </w:p>
    <w:p w:rsidR="009A1058" w:rsidRPr="00FD210F" w:rsidRDefault="009A1058" w:rsidP="009A1058">
      <w:pPr>
        <w:pStyle w:val="SingleTxt"/>
        <w:rPr>
          <w:rFonts w:ascii="SimHei" w:eastAsia="SimHei" w:hint="eastAsia"/>
          <w:color w:val="FF0000"/>
        </w:rPr>
      </w:pPr>
      <w:r>
        <w:rPr>
          <w:rFonts w:hint="eastAsia"/>
        </w:rPr>
        <w:t>43.</w:t>
      </w:r>
      <w:r>
        <w:rPr>
          <w:rFonts w:hint="eastAsia"/>
        </w:rPr>
        <w:tab/>
      </w:r>
      <w:r w:rsidRPr="00FD210F">
        <w:rPr>
          <w:rFonts w:ascii="SimHei" w:eastAsia="SimHei" w:hint="eastAsia"/>
          <w:color w:val="FF0000"/>
        </w:rPr>
        <w:t>委员会鼓励缔约国就执行《公约》的有关事项，不断与非政府组织进行定期协商和协作。委员会还建议缔约国就有关促进保证两性平等的所有议题，包括就对委员会结论意见采取的后续行动和编写今后报告的工作，与广大妇女非政府组织进行不间断和有系统的协商。</w:t>
      </w:r>
    </w:p>
    <w:p w:rsidR="009A1058" w:rsidRPr="00FD210F" w:rsidRDefault="009A1058" w:rsidP="00FD210F">
      <w:pPr>
        <w:pStyle w:val="SingleTxt"/>
        <w:tabs>
          <w:tab w:val="clear" w:pos="3850"/>
        </w:tabs>
        <w:spacing w:after="120"/>
        <w:rPr>
          <w:rFonts w:ascii="SimHei" w:eastAsia="SimHei" w:hint="eastAsia"/>
          <w:color w:val="FF0000"/>
        </w:rPr>
      </w:pPr>
      <w:r w:rsidRPr="00FD210F">
        <w:rPr>
          <w:rFonts w:ascii="SimHei" w:eastAsia="SimHei" w:hint="eastAsia"/>
          <w:color w:val="FF0000"/>
        </w:rPr>
        <w:t>《北京宣言和行动纲要》</w:t>
      </w:r>
    </w:p>
    <w:p w:rsidR="009A1058" w:rsidRDefault="009A1058" w:rsidP="00FD210F">
      <w:pPr>
        <w:pStyle w:val="SingleTxt"/>
        <w:tabs>
          <w:tab w:val="clear" w:pos="3850"/>
        </w:tabs>
        <w:rPr>
          <w:rFonts w:hint="eastAsia"/>
        </w:rPr>
      </w:pPr>
      <w:r>
        <w:rPr>
          <w:rFonts w:hint="eastAsia"/>
        </w:rPr>
        <w:t>44.</w:t>
      </w:r>
      <w:r>
        <w:rPr>
          <w:rFonts w:hint="eastAsia"/>
        </w:rPr>
        <w:tab/>
        <w:t>委员会敦促缔约国在履行《公约》规定的义务时，充分利用强化《公约》各项规定的1995年北京第四次妇女问题世界会议《北京宣言和行动纲要》，并请缔约国在下一次定期报告中列入有关资料。</w:t>
      </w:r>
    </w:p>
    <w:p w:rsidR="009A1058" w:rsidRPr="00FD210F" w:rsidRDefault="009A1058" w:rsidP="00FD210F">
      <w:pPr>
        <w:pStyle w:val="SingleTxt"/>
        <w:tabs>
          <w:tab w:val="clear" w:pos="3850"/>
        </w:tabs>
        <w:spacing w:after="120"/>
        <w:rPr>
          <w:rFonts w:ascii="SimHei" w:eastAsia="SimHei" w:hint="eastAsia"/>
          <w:color w:val="FF0000"/>
        </w:rPr>
      </w:pPr>
      <w:r w:rsidRPr="00FD210F">
        <w:rPr>
          <w:rFonts w:ascii="SimHei" w:eastAsia="SimHei" w:hint="eastAsia"/>
          <w:color w:val="FF0000"/>
        </w:rPr>
        <w:t>千年发展目标</w:t>
      </w:r>
    </w:p>
    <w:p w:rsidR="009A1058" w:rsidRDefault="009A1058" w:rsidP="009A1058">
      <w:pPr>
        <w:pStyle w:val="SingleTxt"/>
        <w:rPr>
          <w:rFonts w:hint="eastAsia"/>
        </w:rPr>
      </w:pPr>
      <w:r>
        <w:rPr>
          <w:rFonts w:hint="eastAsia"/>
        </w:rPr>
        <w:t>45.</w:t>
      </w:r>
      <w:r>
        <w:rPr>
          <w:rFonts w:hint="eastAsia"/>
        </w:rPr>
        <w:tab/>
        <w:t>委员会强调，充分和有效地执行《公约》对实现千年发展目标不可或缺。委员会要求在实现千年发展目标的一切工作中纳入性别观点，明确体现《公约》各项规定，并请缔约国在下一次定期报告中提供有关资料。</w:t>
      </w:r>
    </w:p>
    <w:p w:rsidR="009A1058" w:rsidRPr="00FD210F" w:rsidRDefault="009A1058" w:rsidP="00FD210F">
      <w:pPr>
        <w:pStyle w:val="SingleTxt"/>
        <w:tabs>
          <w:tab w:val="clear" w:pos="3850"/>
        </w:tabs>
        <w:spacing w:after="120"/>
        <w:rPr>
          <w:rFonts w:ascii="SimHei" w:eastAsia="SimHei" w:hint="eastAsia"/>
          <w:color w:val="FF0000"/>
        </w:rPr>
      </w:pPr>
      <w:r w:rsidRPr="00FD210F">
        <w:rPr>
          <w:rFonts w:ascii="SimHei" w:eastAsia="SimHei" w:hint="eastAsia"/>
          <w:color w:val="FF0000"/>
        </w:rPr>
        <w:t>其他条约的批准</w:t>
      </w:r>
    </w:p>
    <w:p w:rsidR="009A1058" w:rsidRDefault="009A1058" w:rsidP="009A1058">
      <w:pPr>
        <w:pStyle w:val="SingleTxt"/>
        <w:rPr>
          <w:rFonts w:hint="eastAsia"/>
        </w:rPr>
      </w:pPr>
      <w:r>
        <w:rPr>
          <w:rFonts w:hint="eastAsia"/>
        </w:rPr>
        <w:t>46.</w:t>
      </w:r>
      <w:r>
        <w:rPr>
          <w:rFonts w:hint="eastAsia"/>
        </w:rPr>
        <w:tab/>
        <w:t>委员会指出，各国参加九项主要国际人权文书，</w:t>
      </w:r>
      <w:r>
        <w:rPr>
          <w:rStyle w:val="FootnoteReference"/>
        </w:rPr>
        <w:footnoteReference w:id="1"/>
      </w:r>
      <w:r>
        <w:rPr>
          <w:rFonts w:hint="eastAsia"/>
        </w:rPr>
        <w:t xml:space="preserve"> 有助于促进妇女在生活各个方面享受人权和基本自由。因此，委员会鼓励缔约国批准它尚未成为缔约国的条约，即《保护所有人免遭强迫失踪国际公约》。</w:t>
      </w:r>
    </w:p>
    <w:p w:rsidR="009A1058" w:rsidRPr="00FD210F" w:rsidRDefault="009A1058" w:rsidP="00FD210F">
      <w:pPr>
        <w:pStyle w:val="SingleTxt"/>
        <w:tabs>
          <w:tab w:val="clear" w:pos="3850"/>
        </w:tabs>
        <w:spacing w:after="120"/>
        <w:rPr>
          <w:rFonts w:ascii="SimHei" w:eastAsia="SimHei" w:hint="eastAsia"/>
          <w:color w:val="FF0000"/>
        </w:rPr>
      </w:pPr>
      <w:r w:rsidRPr="00FD210F">
        <w:rPr>
          <w:rFonts w:ascii="SimHei" w:eastAsia="SimHei" w:hint="eastAsia"/>
          <w:color w:val="FF0000"/>
        </w:rPr>
        <w:t>结论意见的传播</w:t>
      </w:r>
    </w:p>
    <w:p w:rsidR="009A1058" w:rsidRDefault="009A1058" w:rsidP="009A1058">
      <w:pPr>
        <w:pStyle w:val="SingleTxt"/>
        <w:rPr>
          <w:rFonts w:hint="eastAsia"/>
        </w:rPr>
      </w:pPr>
      <w:r>
        <w:rPr>
          <w:rFonts w:hint="eastAsia"/>
        </w:rPr>
        <w:t>47.</w:t>
      </w:r>
      <w:r>
        <w:rPr>
          <w:rFonts w:hint="eastAsia"/>
        </w:rPr>
        <w:tab/>
        <w:t>委员会请缔约国在国内广泛传播本结论意见，使人民，包括政府官员、政界人士、议员及妇女和人权组织，了解为确保妇女在法律和事实上平等而采取的步骤以及在这方面应进一步采取的步骤。委员会请缔约国继续广泛宣传《公约》及其任择议定书、委员会各项一般性建议、《北京宣言和行动纲要》以及题为“2000年妇女：二十一世纪两性平等、发展与和平”的大会第二十三届特别会议成果，特别是向妇女和人权组织开展宣传。</w:t>
      </w:r>
    </w:p>
    <w:p w:rsidR="009A1058" w:rsidRPr="00FD210F" w:rsidRDefault="009A1058" w:rsidP="009A1058">
      <w:pPr>
        <w:pStyle w:val="SingleTxt"/>
        <w:rPr>
          <w:rFonts w:ascii="SimHei" w:eastAsia="SimHei" w:hint="eastAsia"/>
          <w:color w:val="FF0000"/>
        </w:rPr>
      </w:pPr>
      <w:r w:rsidRPr="00FD210F">
        <w:rPr>
          <w:rFonts w:ascii="SimHei" w:eastAsia="SimHei" w:hint="eastAsia"/>
          <w:color w:val="FF0000"/>
        </w:rPr>
        <w:t>结论意见的后续行动</w:t>
      </w:r>
    </w:p>
    <w:p w:rsidR="009A1058" w:rsidRDefault="009A1058" w:rsidP="009A1058">
      <w:pPr>
        <w:pStyle w:val="SingleTxt"/>
        <w:rPr>
          <w:rFonts w:hint="eastAsia"/>
        </w:rPr>
      </w:pPr>
      <w:r>
        <w:rPr>
          <w:rFonts w:hint="eastAsia"/>
        </w:rPr>
        <w:t>48.</w:t>
      </w:r>
      <w:r>
        <w:rPr>
          <w:rFonts w:hint="eastAsia"/>
        </w:rPr>
        <w:tab/>
        <w:t>委员会请缔约国在一年之内提供书面资料，说明为执行上文第16段和第22段所载建议而采取的步骤。</w:t>
      </w:r>
    </w:p>
    <w:p w:rsidR="009A1058" w:rsidRPr="00FD210F" w:rsidRDefault="009A1058" w:rsidP="009A1058">
      <w:pPr>
        <w:pStyle w:val="SingleTxt"/>
        <w:rPr>
          <w:rFonts w:ascii="SimHei" w:eastAsia="SimHei" w:hint="eastAsia"/>
          <w:color w:val="FF0000"/>
        </w:rPr>
      </w:pPr>
      <w:r w:rsidRPr="00FD210F">
        <w:rPr>
          <w:rFonts w:ascii="SimHei" w:eastAsia="SimHei" w:hint="eastAsia"/>
          <w:color w:val="FF0000"/>
        </w:rPr>
        <w:t>技术援助</w:t>
      </w:r>
    </w:p>
    <w:p w:rsidR="009A1058" w:rsidRPr="00FD210F" w:rsidRDefault="009A1058" w:rsidP="009A1058">
      <w:pPr>
        <w:pStyle w:val="SingleTxt"/>
        <w:rPr>
          <w:rFonts w:ascii="SimHei" w:eastAsia="SimHei" w:hint="eastAsia"/>
          <w:color w:val="FF0000"/>
        </w:rPr>
      </w:pPr>
      <w:r>
        <w:rPr>
          <w:rFonts w:hint="eastAsia"/>
        </w:rPr>
        <w:t>49.</w:t>
      </w:r>
      <w:r>
        <w:rPr>
          <w:rFonts w:hint="eastAsia"/>
        </w:rPr>
        <w:tab/>
      </w:r>
      <w:r w:rsidRPr="00FD210F">
        <w:rPr>
          <w:rFonts w:ascii="SimHei" w:eastAsia="SimHei" w:hint="eastAsia"/>
          <w:color w:val="FF0000"/>
        </w:rPr>
        <w:t>委员会建议缔约国利用技术援助，制订和执行一项综合方案，以执行上述各项建议和整个《公约》。委员会还吁请缔约国进一步加强与联合国开发计划署、联合国妇女发展基金、联合国儿童基金会、联合国人口基金、世界卫生组织、联合国人权事务高级专员办事处以及经济和社会事务部统计司和提高妇女地位司等联合国系统专门机构和方案的合作。</w:t>
      </w:r>
    </w:p>
    <w:p w:rsidR="009A1058" w:rsidRDefault="009A1058" w:rsidP="009A1058">
      <w:pPr>
        <w:pStyle w:val="SingleTxt"/>
        <w:rPr>
          <w:rFonts w:hint="eastAsia"/>
        </w:rPr>
      </w:pPr>
      <w:r w:rsidRPr="00FD210F">
        <w:rPr>
          <w:rFonts w:ascii="SimHei" w:eastAsia="SimHei" w:hint="eastAsia"/>
          <w:color w:val="FF0000"/>
        </w:rPr>
        <w:t>下一次报告的日期</w:t>
      </w:r>
    </w:p>
    <w:p w:rsidR="00EA31C3" w:rsidRDefault="009A1058" w:rsidP="009A1058">
      <w:pPr>
        <w:pStyle w:val="SingleTxt"/>
        <w:rPr>
          <w:rFonts w:hint="eastAsia"/>
        </w:rPr>
      </w:pPr>
      <w:r>
        <w:rPr>
          <w:rFonts w:hint="eastAsia"/>
        </w:rPr>
        <w:t>50.</w:t>
      </w:r>
      <w:r>
        <w:rPr>
          <w:rFonts w:hint="eastAsia"/>
        </w:rPr>
        <w:tab/>
        <w:t>委员会请缔约国在根据《公约》第18条提交的下一次定期报告中答复本结论意见所提出的各项关切。委员会请缔约国最迟于2013年8月9日提交其第五次定期报告。</w:t>
      </w:r>
    </w:p>
    <w:p w:rsidR="009A1058" w:rsidRDefault="009A1058" w:rsidP="009A1058">
      <w:pPr>
        <w:pStyle w:val="SingleTxt"/>
        <w:rPr>
          <w:rFonts w:hint="eastAsia"/>
        </w:rPr>
      </w:pPr>
    </w:p>
    <w:p w:rsidR="009A1058" w:rsidRDefault="00FD210F" w:rsidP="00FD210F">
      <w:pPr>
        <w:pStyle w:val="SingleTxt"/>
        <w:jc w:val="center"/>
      </w:pPr>
      <w:r>
        <w:t>––––––––––––––</w:t>
      </w:r>
    </w:p>
    <w:p w:rsidR="00FD210F" w:rsidRDefault="00FD210F" w:rsidP="009A1058">
      <w:pPr>
        <w:pStyle w:val="SingleTxt"/>
        <w:rPr>
          <w:rFonts w:hint="eastAsia"/>
        </w:rPr>
      </w:pPr>
    </w:p>
    <w:p w:rsidR="00FD210F" w:rsidRPr="007C619C" w:rsidRDefault="00FD210F" w:rsidP="009A1058">
      <w:pPr>
        <w:pStyle w:val="SingleTxt"/>
        <w:rPr>
          <w:rFonts w:hint="eastAsia"/>
        </w:rPr>
      </w:pPr>
    </w:p>
    <w:sectPr w:rsidR="00FD210F" w:rsidRPr="007C619C" w:rsidSect="007C619C">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9-08-28T12:09:00Z" w:initials="Start">
    <w:p w:rsidR="00094EC5" w:rsidRDefault="00094EC5">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NO&gt;&gt;N0946125C&lt;&lt;ODS JOB NO&gt;&gt;</w:t>
      </w:r>
    </w:p>
    <w:p w:rsidR="00094EC5" w:rsidRDefault="00094EC5">
      <w:pPr>
        <w:pStyle w:val="CommentText"/>
      </w:pPr>
      <w:r>
        <w:t>&lt;&lt;ODS DOC SYMBOL1&gt;&gt;CEDAW/C/AZE/CO/4&lt;&lt;ODS DOC SYMBOL1&gt;&gt;</w:t>
      </w:r>
    </w:p>
    <w:p w:rsidR="00094EC5" w:rsidRDefault="00094EC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4EC5" w:rsidRDefault="00094EC5">
      <w:r>
        <w:separator/>
      </w:r>
    </w:p>
  </w:endnote>
  <w:endnote w:type="continuationSeparator" w:id="0">
    <w:p w:rsidR="00094EC5" w:rsidRDefault="00094E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94EC5" w:rsidTr="007C619C">
      <w:tblPrEx>
        <w:tblCellMar>
          <w:top w:w="0" w:type="dxa"/>
          <w:bottom w:w="0" w:type="dxa"/>
        </w:tblCellMar>
      </w:tblPrEx>
      <w:tc>
        <w:tcPr>
          <w:tcW w:w="5033" w:type="dxa"/>
          <w:shd w:val="clear" w:color="auto" w:fill="auto"/>
        </w:tcPr>
        <w:p w:rsidR="00094EC5" w:rsidRPr="007C619C" w:rsidRDefault="00094EC5" w:rsidP="007C619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09-46125 (C)</w:t>
          </w:r>
          <w:r>
            <w:rPr>
              <w:b w:val="0"/>
              <w:w w:val="103"/>
              <w:sz w:val="14"/>
            </w:rPr>
            <w:fldChar w:fldCharType="end"/>
          </w:r>
        </w:p>
      </w:tc>
      <w:tc>
        <w:tcPr>
          <w:tcW w:w="5033" w:type="dxa"/>
          <w:shd w:val="clear" w:color="auto" w:fill="auto"/>
        </w:tcPr>
        <w:p w:rsidR="00094EC5" w:rsidRPr="007C619C" w:rsidRDefault="00094EC5" w:rsidP="007C619C">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Pr>
              <w:w w:val="103"/>
              <w:sz w:val="17"/>
            </w:rPr>
            <w:t>2</w:t>
          </w:r>
          <w:r>
            <w:rPr>
              <w:w w:val="103"/>
              <w:sz w:val="17"/>
            </w:rPr>
            <w:fldChar w:fldCharType="end"/>
          </w:r>
        </w:p>
      </w:tc>
    </w:tr>
  </w:tbl>
  <w:p w:rsidR="00094EC5" w:rsidRPr="007C619C" w:rsidRDefault="00094EC5" w:rsidP="007C619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94EC5" w:rsidTr="007C619C">
      <w:tblPrEx>
        <w:tblCellMar>
          <w:top w:w="0" w:type="dxa"/>
          <w:bottom w:w="0" w:type="dxa"/>
        </w:tblCellMar>
      </w:tblPrEx>
      <w:tc>
        <w:tcPr>
          <w:tcW w:w="5033" w:type="dxa"/>
          <w:shd w:val="clear" w:color="auto" w:fill="auto"/>
        </w:tcPr>
        <w:p w:rsidR="00094EC5" w:rsidRPr="007C619C" w:rsidRDefault="00094EC5" w:rsidP="007C619C">
          <w:pPr>
            <w:pStyle w:val="Footer"/>
            <w:jc w:val="right"/>
          </w:pPr>
          <w:r>
            <w:fldChar w:fldCharType="begin"/>
          </w:r>
          <w:r>
            <w:instrText xml:space="preserve"> PAGE  \* MERGEFORMAT </w:instrText>
          </w:r>
          <w:r>
            <w:fldChar w:fldCharType="separate"/>
          </w:r>
          <w:r>
            <w:t>9</w:t>
          </w:r>
          <w:r>
            <w:fldChar w:fldCharType="end"/>
          </w:r>
        </w:p>
      </w:tc>
      <w:tc>
        <w:tcPr>
          <w:tcW w:w="5033" w:type="dxa"/>
          <w:shd w:val="clear" w:color="auto" w:fill="auto"/>
        </w:tcPr>
        <w:p w:rsidR="00094EC5" w:rsidRPr="007C619C" w:rsidRDefault="00094EC5" w:rsidP="007C619C">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09-46125 (C)</w:t>
          </w:r>
          <w:r>
            <w:rPr>
              <w:b w:val="0"/>
              <w:w w:val="103"/>
              <w:sz w:val="14"/>
            </w:rPr>
            <w:fldChar w:fldCharType="end"/>
          </w:r>
        </w:p>
      </w:tc>
    </w:tr>
  </w:tbl>
  <w:p w:rsidR="00094EC5" w:rsidRPr="007C619C" w:rsidRDefault="00094EC5" w:rsidP="007C619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94EC5">
      <w:tblPrEx>
        <w:tblCellMar>
          <w:top w:w="0" w:type="dxa"/>
          <w:bottom w:w="0" w:type="dxa"/>
        </w:tblCellMar>
      </w:tblPrEx>
      <w:tc>
        <w:tcPr>
          <w:tcW w:w="5033" w:type="dxa"/>
        </w:tcPr>
        <w:p w:rsidR="00094EC5" w:rsidRDefault="00094EC5" w:rsidP="007C619C">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09-46125 (C)</w:t>
          </w:r>
          <w:r>
            <w:rPr>
              <w:b w:val="0"/>
              <w:sz w:val="21"/>
            </w:rPr>
            <w:fldChar w:fldCharType="end"/>
          </w:r>
          <w:r>
            <w:rPr>
              <w:b w:val="0"/>
              <w:sz w:val="21"/>
            </w:rPr>
            <w:t xml:space="preserve">    280809    </w:t>
          </w:r>
          <w:r>
            <w:rPr>
              <w:rFonts w:hint="eastAsia"/>
              <w:b w:val="0"/>
              <w:sz w:val="21"/>
            </w:rPr>
            <w:t>2808</w:t>
          </w:r>
          <w:bookmarkStart w:id="0" w:name="TmpSave"/>
          <w:bookmarkEnd w:id="0"/>
          <w:r>
            <w:rPr>
              <w:b w:val="0"/>
              <w:sz w:val="21"/>
            </w:rPr>
            <w:t>09</w:t>
          </w:r>
        </w:p>
        <w:p w:rsidR="00094EC5" w:rsidRPr="007C619C" w:rsidRDefault="00094EC5" w:rsidP="007C619C">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*0946125*</w:t>
          </w:r>
          <w:r>
            <w:rPr>
              <w:rFonts w:ascii="Barcode 3 of 9 by request" w:hAnsi="Barcode 3 of 9 by request" w:hint="eastAsia"/>
              <w:sz w:val="24"/>
            </w:rPr>
            <w:fldChar w:fldCharType="end"/>
          </w:r>
        </w:p>
      </w:tc>
      <w:tc>
        <w:tcPr>
          <w:tcW w:w="5033" w:type="dxa"/>
        </w:tcPr>
        <w:p w:rsidR="00094EC5" w:rsidRDefault="00094EC5" w:rsidP="007C619C">
          <w:pPr>
            <w:pStyle w:val="Footer"/>
            <w:jc w:val="right"/>
            <w:rPr>
              <w:b w:val="0"/>
              <w:sz w:val="21"/>
            </w:rPr>
          </w:pPr>
          <w:r w:rsidRPr="007C619C">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094EC5" w:rsidRPr="007C619C" w:rsidRDefault="00094EC5" w:rsidP="007C619C">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4EC5" w:rsidRPr="009A1058" w:rsidRDefault="00094EC5" w:rsidP="009A1058">
      <w:pPr>
        <w:pStyle w:val="Footer"/>
        <w:spacing w:after="80"/>
        <w:ind w:left="792"/>
        <w:rPr>
          <w:sz w:val="16"/>
        </w:rPr>
      </w:pPr>
      <w:r w:rsidRPr="009A1058">
        <w:rPr>
          <w:sz w:val="16"/>
        </w:rPr>
        <w:t>__________________</w:t>
      </w:r>
    </w:p>
  </w:footnote>
  <w:footnote w:type="continuationSeparator" w:id="0">
    <w:p w:rsidR="00094EC5" w:rsidRPr="009A1058" w:rsidRDefault="00094EC5" w:rsidP="009A1058">
      <w:pPr>
        <w:pStyle w:val="Footer"/>
        <w:spacing w:after="80"/>
        <w:ind w:left="792"/>
        <w:rPr>
          <w:sz w:val="16"/>
        </w:rPr>
      </w:pPr>
      <w:r w:rsidRPr="009A1058">
        <w:rPr>
          <w:sz w:val="16"/>
        </w:rPr>
        <w:t>__________________</w:t>
      </w:r>
    </w:p>
  </w:footnote>
  <w:footnote w:id="1">
    <w:p w:rsidR="00094EC5" w:rsidRPr="009A1058" w:rsidRDefault="00094EC5" w:rsidP="009A105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9A1058">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94EC5" w:rsidTr="007C619C">
      <w:tblPrEx>
        <w:tblCellMar>
          <w:top w:w="0" w:type="dxa"/>
          <w:bottom w:w="0" w:type="dxa"/>
        </w:tblCellMar>
      </w:tblPrEx>
      <w:trPr>
        <w:trHeight w:hRule="exact" w:val="864"/>
      </w:trPr>
      <w:tc>
        <w:tcPr>
          <w:tcW w:w="4838" w:type="dxa"/>
          <w:shd w:val="clear" w:color="auto" w:fill="auto"/>
          <w:vAlign w:val="bottom"/>
        </w:tcPr>
        <w:p w:rsidR="00094EC5" w:rsidRPr="007C619C" w:rsidRDefault="00094EC5" w:rsidP="007C619C">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CEDAW/C/AZE/CO/4</w:t>
          </w:r>
          <w:r>
            <w:rPr>
              <w:b/>
              <w:sz w:val="17"/>
            </w:rPr>
            <w:fldChar w:fldCharType="end"/>
          </w:r>
        </w:p>
      </w:tc>
      <w:tc>
        <w:tcPr>
          <w:tcW w:w="5033" w:type="dxa"/>
          <w:shd w:val="clear" w:color="auto" w:fill="auto"/>
          <w:vAlign w:val="bottom"/>
        </w:tcPr>
        <w:p w:rsidR="00094EC5" w:rsidRDefault="00094EC5" w:rsidP="007C619C">
          <w:pPr>
            <w:pStyle w:val="Header"/>
          </w:pPr>
        </w:p>
      </w:tc>
    </w:tr>
  </w:tbl>
  <w:p w:rsidR="00094EC5" w:rsidRPr="007C619C" w:rsidRDefault="00094EC5" w:rsidP="007C619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94EC5" w:rsidTr="007C619C">
      <w:tblPrEx>
        <w:tblCellMar>
          <w:top w:w="0" w:type="dxa"/>
          <w:bottom w:w="0" w:type="dxa"/>
        </w:tblCellMar>
      </w:tblPrEx>
      <w:trPr>
        <w:trHeight w:hRule="exact" w:val="864"/>
      </w:trPr>
      <w:tc>
        <w:tcPr>
          <w:tcW w:w="4838" w:type="dxa"/>
          <w:shd w:val="clear" w:color="auto" w:fill="auto"/>
          <w:vAlign w:val="bottom"/>
        </w:tcPr>
        <w:p w:rsidR="00094EC5" w:rsidRDefault="00094EC5" w:rsidP="007C619C">
          <w:pPr>
            <w:pStyle w:val="Header"/>
          </w:pPr>
        </w:p>
      </w:tc>
      <w:tc>
        <w:tcPr>
          <w:tcW w:w="5033" w:type="dxa"/>
          <w:shd w:val="clear" w:color="auto" w:fill="auto"/>
          <w:vAlign w:val="bottom"/>
        </w:tcPr>
        <w:p w:rsidR="00094EC5" w:rsidRPr="007C619C" w:rsidRDefault="00094EC5" w:rsidP="007C619C">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CEDAW/C/AZE/CO/4</w:t>
          </w:r>
          <w:r>
            <w:rPr>
              <w:b/>
              <w:sz w:val="17"/>
            </w:rPr>
            <w:fldChar w:fldCharType="end"/>
          </w:r>
        </w:p>
      </w:tc>
    </w:tr>
  </w:tbl>
  <w:p w:rsidR="00094EC5" w:rsidRPr="007C619C" w:rsidRDefault="00094EC5" w:rsidP="007C619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94EC5" w:rsidTr="007C619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94EC5" w:rsidRDefault="00094EC5" w:rsidP="007C619C">
          <w:pPr>
            <w:pStyle w:val="Header"/>
            <w:spacing w:after="120"/>
          </w:pPr>
        </w:p>
      </w:tc>
      <w:tc>
        <w:tcPr>
          <w:tcW w:w="1872" w:type="dxa"/>
          <w:tcBorders>
            <w:bottom w:val="single" w:sz="4" w:space="0" w:color="auto"/>
          </w:tcBorders>
          <w:shd w:val="clear" w:color="auto" w:fill="auto"/>
          <w:vAlign w:val="bottom"/>
        </w:tcPr>
        <w:p w:rsidR="00094EC5" w:rsidRPr="007C619C" w:rsidRDefault="00094EC5" w:rsidP="007C619C">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094EC5" w:rsidRDefault="00094EC5" w:rsidP="007C619C">
          <w:pPr>
            <w:pStyle w:val="Header"/>
            <w:spacing w:after="120"/>
          </w:pPr>
        </w:p>
      </w:tc>
      <w:tc>
        <w:tcPr>
          <w:tcW w:w="6523" w:type="dxa"/>
          <w:gridSpan w:val="3"/>
          <w:tcBorders>
            <w:bottom w:val="single" w:sz="4" w:space="0" w:color="auto"/>
          </w:tcBorders>
          <w:shd w:val="clear" w:color="auto" w:fill="auto"/>
          <w:vAlign w:val="bottom"/>
        </w:tcPr>
        <w:p w:rsidR="00094EC5" w:rsidRPr="007C619C" w:rsidRDefault="00094EC5" w:rsidP="007C619C">
          <w:pPr>
            <w:spacing w:after="80" w:line="240" w:lineRule="auto"/>
            <w:jc w:val="right"/>
            <w:rPr>
              <w:rFonts w:ascii="Times New Roman"/>
              <w:position w:val="-4"/>
            </w:rPr>
          </w:pPr>
          <w:r>
            <w:rPr>
              <w:rFonts w:ascii="Times New Roman"/>
              <w:position w:val="-4"/>
              <w:sz w:val="40"/>
            </w:rPr>
            <w:t>CEDAW</w:t>
          </w:r>
          <w:r>
            <w:rPr>
              <w:rFonts w:ascii="Times New Roman"/>
              <w:position w:val="-4"/>
            </w:rPr>
            <w:t>/C/AZE/CO/4</w:t>
          </w:r>
        </w:p>
      </w:tc>
    </w:tr>
    <w:tr w:rsidR="00094EC5" w:rsidRPr="007C619C" w:rsidTr="007C619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94EC5" w:rsidRDefault="00094EC5" w:rsidP="007C619C">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94EC5" w:rsidRPr="007C619C" w:rsidRDefault="00094EC5" w:rsidP="007C619C">
          <w:pPr>
            <w:pStyle w:val="Header"/>
            <w:spacing w:before="109"/>
            <w:ind w:left="-72"/>
          </w:pPr>
        </w:p>
      </w:tc>
      <w:tc>
        <w:tcPr>
          <w:tcW w:w="5227" w:type="dxa"/>
          <w:gridSpan w:val="3"/>
          <w:tcBorders>
            <w:top w:val="single" w:sz="4" w:space="0" w:color="auto"/>
            <w:bottom w:val="single" w:sz="12" w:space="0" w:color="auto"/>
          </w:tcBorders>
          <w:shd w:val="clear" w:color="auto" w:fill="auto"/>
        </w:tcPr>
        <w:p w:rsidR="00094EC5" w:rsidRPr="007C619C" w:rsidRDefault="00094EC5" w:rsidP="007C619C">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094EC5" w:rsidRPr="007C619C" w:rsidRDefault="00094EC5" w:rsidP="007C619C">
          <w:pPr>
            <w:pStyle w:val="Header"/>
            <w:spacing w:before="109"/>
          </w:pPr>
        </w:p>
      </w:tc>
      <w:tc>
        <w:tcPr>
          <w:tcW w:w="3180" w:type="dxa"/>
          <w:gridSpan w:val="2"/>
          <w:tcBorders>
            <w:top w:val="single" w:sz="4" w:space="0" w:color="auto"/>
            <w:bottom w:val="single" w:sz="12" w:space="0" w:color="auto"/>
          </w:tcBorders>
          <w:shd w:val="clear" w:color="auto" w:fill="auto"/>
        </w:tcPr>
        <w:p w:rsidR="00094EC5" w:rsidRDefault="00094EC5" w:rsidP="007C619C">
          <w:pPr>
            <w:spacing w:before="240" w:line="240" w:lineRule="exact"/>
            <w:rPr>
              <w:rFonts w:ascii="Times New Roman"/>
            </w:rPr>
          </w:pPr>
          <w:r>
            <w:rPr>
              <w:rFonts w:ascii="Times New Roman"/>
            </w:rPr>
            <w:t>Distr.: General</w:t>
          </w:r>
        </w:p>
        <w:p w:rsidR="00094EC5" w:rsidRDefault="00094EC5" w:rsidP="007C619C">
          <w:pPr>
            <w:spacing w:line="240" w:lineRule="exact"/>
            <w:rPr>
              <w:rFonts w:ascii="Times New Roman"/>
            </w:rPr>
          </w:pPr>
          <w:r>
            <w:rPr>
              <w:rFonts w:ascii="Times New Roman"/>
            </w:rPr>
            <w:t>7 August 2009</w:t>
          </w:r>
        </w:p>
        <w:p w:rsidR="00094EC5" w:rsidRDefault="00094EC5" w:rsidP="007C619C">
          <w:pPr>
            <w:spacing w:line="240" w:lineRule="exact"/>
            <w:rPr>
              <w:rFonts w:ascii="Times New Roman"/>
            </w:rPr>
          </w:pPr>
          <w:r>
            <w:rPr>
              <w:rFonts w:ascii="Times New Roman"/>
            </w:rPr>
            <w:t>Chinese</w:t>
          </w:r>
        </w:p>
        <w:p w:rsidR="00094EC5" w:rsidRPr="007C619C" w:rsidRDefault="00094EC5" w:rsidP="007C619C">
          <w:pPr>
            <w:spacing w:line="240" w:lineRule="exact"/>
            <w:rPr>
              <w:rFonts w:ascii="Times New Roman"/>
            </w:rPr>
          </w:pPr>
          <w:r>
            <w:rPr>
              <w:rFonts w:ascii="Times New Roman"/>
            </w:rPr>
            <w:t>Original: English</w:t>
          </w:r>
        </w:p>
      </w:tc>
    </w:tr>
  </w:tbl>
  <w:p w:rsidR="00094EC5" w:rsidRPr="007C619C" w:rsidRDefault="00094EC5" w:rsidP="007C619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125*"/>
    <w:docVar w:name="CreationDt" w:val="28/08/2009 11:17:58"/>
    <w:docVar w:name="DocCategory" w:val="Doc"/>
    <w:docVar w:name="DocType" w:val="Final"/>
    <w:docVar w:name="FooterJN" w:val="09-46125 (C)"/>
    <w:docVar w:name="jobn" w:val="09-46125 (C)"/>
    <w:docVar w:name="jobnDT" w:val="09-46125 (C)   280809"/>
    <w:docVar w:name="jobnDTDT" w:val="09-46125 (C)   280809   280809"/>
    <w:docVar w:name="JobNo" w:val="0946125C"/>
    <w:docVar w:name="OandT" w:val="sheng"/>
    <w:docVar w:name="sss1" w:val="CEDAW/C/AZE/CO/4"/>
    <w:docVar w:name="sss2" w:val="-"/>
    <w:docVar w:name="Symbol1" w:val="CEDAW/C/AZE/CO/4"/>
    <w:docVar w:name="Symbol2" w:val="-"/>
  </w:docVars>
  <w:rsids>
    <w:rsidRoot w:val="007130B5"/>
    <w:rsid w:val="0000347C"/>
    <w:rsid w:val="000125BC"/>
    <w:rsid w:val="00021A2B"/>
    <w:rsid w:val="00037B39"/>
    <w:rsid w:val="00044CA4"/>
    <w:rsid w:val="00045EFE"/>
    <w:rsid w:val="0007337D"/>
    <w:rsid w:val="000758DF"/>
    <w:rsid w:val="00076EB8"/>
    <w:rsid w:val="00094EC5"/>
    <w:rsid w:val="00095C67"/>
    <w:rsid w:val="000A31F9"/>
    <w:rsid w:val="000C1786"/>
    <w:rsid w:val="000E240F"/>
    <w:rsid w:val="000E49A4"/>
    <w:rsid w:val="000F1058"/>
    <w:rsid w:val="001113F8"/>
    <w:rsid w:val="001212F9"/>
    <w:rsid w:val="00121328"/>
    <w:rsid w:val="0012708E"/>
    <w:rsid w:val="00135621"/>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4C71"/>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649EE"/>
    <w:rsid w:val="00371BC6"/>
    <w:rsid w:val="00373A15"/>
    <w:rsid w:val="00383ACA"/>
    <w:rsid w:val="00394A02"/>
    <w:rsid w:val="003C7B20"/>
    <w:rsid w:val="003E4565"/>
    <w:rsid w:val="003E748F"/>
    <w:rsid w:val="003E7612"/>
    <w:rsid w:val="00414423"/>
    <w:rsid w:val="004411AD"/>
    <w:rsid w:val="004424EF"/>
    <w:rsid w:val="00453BB0"/>
    <w:rsid w:val="00460162"/>
    <w:rsid w:val="004620A8"/>
    <w:rsid w:val="00466BB5"/>
    <w:rsid w:val="004700CF"/>
    <w:rsid w:val="00487444"/>
    <w:rsid w:val="004A06D1"/>
    <w:rsid w:val="004A11FC"/>
    <w:rsid w:val="004A283E"/>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8302A"/>
    <w:rsid w:val="00590FD1"/>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91524"/>
    <w:rsid w:val="006A654B"/>
    <w:rsid w:val="006E2924"/>
    <w:rsid w:val="006E7A26"/>
    <w:rsid w:val="006F2B3D"/>
    <w:rsid w:val="007052CC"/>
    <w:rsid w:val="007130B5"/>
    <w:rsid w:val="007319E0"/>
    <w:rsid w:val="00737B00"/>
    <w:rsid w:val="0075155C"/>
    <w:rsid w:val="00753A05"/>
    <w:rsid w:val="00757193"/>
    <w:rsid w:val="00761190"/>
    <w:rsid w:val="00776537"/>
    <w:rsid w:val="00783A25"/>
    <w:rsid w:val="007877F4"/>
    <w:rsid w:val="007C619C"/>
    <w:rsid w:val="007E1B5E"/>
    <w:rsid w:val="007E6253"/>
    <w:rsid w:val="007F2278"/>
    <w:rsid w:val="00805783"/>
    <w:rsid w:val="00806F57"/>
    <w:rsid w:val="00806F90"/>
    <w:rsid w:val="008246FC"/>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C04"/>
    <w:rsid w:val="009A1058"/>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0956"/>
    <w:rsid w:val="00A95404"/>
    <w:rsid w:val="00A968C5"/>
    <w:rsid w:val="00AA3C28"/>
    <w:rsid w:val="00AA759D"/>
    <w:rsid w:val="00AB2786"/>
    <w:rsid w:val="00AD4308"/>
    <w:rsid w:val="00AF2A33"/>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62EF9"/>
    <w:rsid w:val="00C76854"/>
    <w:rsid w:val="00C92AE0"/>
    <w:rsid w:val="00CB2B1E"/>
    <w:rsid w:val="00CB7B73"/>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A51B2"/>
    <w:rsid w:val="00DB0932"/>
    <w:rsid w:val="00DC2506"/>
    <w:rsid w:val="00DC49FA"/>
    <w:rsid w:val="00DD3D6B"/>
    <w:rsid w:val="00DD4467"/>
    <w:rsid w:val="00DD471E"/>
    <w:rsid w:val="00DD61C8"/>
    <w:rsid w:val="00DD772B"/>
    <w:rsid w:val="00E050BA"/>
    <w:rsid w:val="00E25442"/>
    <w:rsid w:val="00E25A1F"/>
    <w:rsid w:val="00E32567"/>
    <w:rsid w:val="00E37EEB"/>
    <w:rsid w:val="00E710FB"/>
    <w:rsid w:val="00E806D9"/>
    <w:rsid w:val="00E82CA2"/>
    <w:rsid w:val="00E94E5A"/>
    <w:rsid w:val="00E95594"/>
    <w:rsid w:val="00EA31C3"/>
    <w:rsid w:val="00EB2C2C"/>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C1CE4"/>
    <w:rsid w:val="00FD210F"/>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53</TotalTime>
  <Pages>9</Pages>
  <Words>1204</Words>
  <Characters>6867</Characters>
  <Application>Microsoft Office Word</Application>
  <DocSecurity>4</DocSecurity>
  <Lines>57</Lines>
  <Paragraphs>16</Paragraphs>
  <ScaleCrop>false</ScaleCrop>
  <Company>United Nations</Company>
  <LinksUpToDate>false</LinksUpToDate>
  <CharactersWithSpaces>8055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13</cp:revision>
  <cp:lastPrinted>2009-08-28T11:09:00Z</cp:lastPrinted>
  <dcterms:created xsi:type="dcterms:W3CDTF">2009-08-28T10:17:00Z</dcterms:created>
  <dcterms:modified xsi:type="dcterms:W3CDTF">2009-08-28T12:36:00Z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0946125</vt:lpwstr>
  </property>
  <property fmtid="{D5CDD505-2E9C-101B-9397-08002B2CF9AE}" pid="3" name="Symbol1">
    <vt:lpwstr>CEDAW/C/AZE/CO/4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sheng</vt:lpwstr>
  </property>
</Properties>
</file>