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25C79F19" w14:textId="77777777" w:rsidTr="003A3D90">
        <w:trPr>
          <w:trHeight w:hRule="exact" w:val="851"/>
        </w:trPr>
        <w:tc>
          <w:tcPr>
            <w:tcW w:w="142" w:type="dxa"/>
            <w:tcBorders>
              <w:bottom w:val="single" w:sz="4" w:space="0" w:color="auto"/>
            </w:tcBorders>
          </w:tcPr>
          <w:p w14:paraId="492AE69B" w14:textId="77777777" w:rsidR="002D5AAC" w:rsidRDefault="002D5AAC" w:rsidP="00D75D7F">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0DDD9B08" w14:textId="77777777" w:rsidR="002D5AAC" w:rsidRPr="00BD33EE" w:rsidRDefault="00DF71B9" w:rsidP="003A3D9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099149C4" w14:textId="3A40A8DA" w:rsidR="002D5AAC" w:rsidRDefault="00D75D7F" w:rsidP="00D75D7F">
            <w:pPr>
              <w:jc w:val="right"/>
            </w:pPr>
            <w:r w:rsidRPr="00D75D7F">
              <w:rPr>
                <w:sz w:val="40"/>
              </w:rPr>
              <w:t>HRI</w:t>
            </w:r>
            <w:r>
              <w:t>/CORE/AZE/2023</w:t>
            </w:r>
          </w:p>
        </w:tc>
      </w:tr>
      <w:tr w:rsidR="002D5AAC" w:rsidRPr="00D75D7F" w14:paraId="73416F48" w14:textId="77777777" w:rsidTr="003A3D90">
        <w:trPr>
          <w:trHeight w:hRule="exact" w:val="2835"/>
        </w:trPr>
        <w:tc>
          <w:tcPr>
            <w:tcW w:w="1280" w:type="dxa"/>
            <w:gridSpan w:val="2"/>
            <w:tcBorders>
              <w:top w:val="single" w:sz="4" w:space="0" w:color="auto"/>
              <w:bottom w:val="single" w:sz="12" w:space="0" w:color="auto"/>
            </w:tcBorders>
          </w:tcPr>
          <w:p w14:paraId="762F5314" w14:textId="77777777" w:rsidR="002D5AAC" w:rsidRDefault="007B5263" w:rsidP="003A3D90">
            <w:pPr>
              <w:spacing w:before="120"/>
              <w:jc w:val="center"/>
            </w:pPr>
            <w:r>
              <w:rPr>
                <w:noProof/>
                <w:lang w:val="fr-CH" w:eastAsia="fr-CH"/>
              </w:rPr>
              <w:drawing>
                <wp:inline distT="0" distB="0" distL="0" distR="0" wp14:anchorId="16004759" wp14:editId="23BDE3B8">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0930DAB" w14:textId="77777777" w:rsidR="002D5AAC" w:rsidRPr="00943923" w:rsidRDefault="007B5263" w:rsidP="003A3D90">
            <w:pPr>
              <w:spacing w:before="120" w:line="460" w:lineRule="exact"/>
              <w:rPr>
                <w:b/>
                <w:sz w:val="34"/>
                <w:szCs w:val="34"/>
              </w:rPr>
            </w:pPr>
            <w:r w:rsidRPr="005709C6">
              <w:rPr>
                <w:b/>
                <w:spacing w:val="-4"/>
                <w:sz w:val="40"/>
                <w:szCs w:val="40"/>
              </w:rPr>
              <w:t>Международные договоры</w:t>
            </w:r>
            <w:r w:rsidRPr="005709C6">
              <w:rPr>
                <w:b/>
                <w:spacing w:val="-4"/>
                <w:sz w:val="40"/>
                <w:szCs w:val="40"/>
              </w:rPr>
              <w:br/>
              <w:t>по правам человека</w:t>
            </w:r>
          </w:p>
        </w:tc>
        <w:tc>
          <w:tcPr>
            <w:tcW w:w="2819" w:type="dxa"/>
            <w:tcBorders>
              <w:top w:val="single" w:sz="4" w:space="0" w:color="auto"/>
              <w:bottom w:val="single" w:sz="12" w:space="0" w:color="auto"/>
            </w:tcBorders>
          </w:tcPr>
          <w:p w14:paraId="48CFEC2C" w14:textId="0B60267B" w:rsidR="002D5AAC" w:rsidRPr="00D75D7F" w:rsidRDefault="00D75D7F" w:rsidP="003A3D90">
            <w:pPr>
              <w:spacing w:before="240"/>
              <w:rPr>
                <w:lang w:val="en-US"/>
              </w:rPr>
            </w:pPr>
            <w:r w:rsidRPr="00D75D7F">
              <w:rPr>
                <w:lang w:val="en-US"/>
              </w:rPr>
              <w:t xml:space="preserve">Distr.: </w:t>
            </w:r>
            <w:r w:rsidRPr="00D75D7F">
              <w:rPr>
                <w:rFonts w:eastAsia="Times New Roman" w:cs="Times New Roman"/>
                <w:szCs w:val="20"/>
                <w:lang w:val="en-GB"/>
              </w:rPr>
              <w:t>General</w:t>
            </w:r>
          </w:p>
          <w:p w14:paraId="14596B02" w14:textId="217F1549" w:rsidR="00D75D7F" w:rsidRPr="00D75D7F" w:rsidRDefault="00D75D7F" w:rsidP="00D75D7F">
            <w:pPr>
              <w:spacing w:line="240" w:lineRule="exact"/>
              <w:rPr>
                <w:lang w:val="en-US"/>
              </w:rPr>
            </w:pPr>
            <w:r w:rsidRPr="00D75D7F">
              <w:rPr>
                <w:rFonts w:eastAsia="Times New Roman" w:cs="Times New Roman"/>
                <w:szCs w:val="20"/>
                <w:lang w:val="en-GB"/>
              </w:rPr>
              <w:t>17 November 2023</w:t>
            </w:r>
          </w:p>
          <w:p w14:paraId="13C9170E" w14:textId="77777777" w:rsidR="00D75D7F" w:rsidRPr="00D75D7F" w:rsidRDefault="00D75D7F" w:rsidP="00D75D7F">
            <w:pPr>
              <w:spacing w:line="240" w:lineRule="exact"/>
              <w:rPr>
                <w:lang w:val="en-US"/>
              </w:rPr>
            </w:pPr>
            <w:r w:rsidRPr="00D75D7F">
              <w:rPr>
                <w:lang w:val="en-US"/>
              </w:rPr>
              <w:t>Russian</w:t>
            </w:r>
          </w:p>
          <w:p w14:paraId="74802612" w14:textId="7BBCEC74" w:rsidR="00D75D7F" w:rsidRPr="00D75D7F" w:rsidRDefault="00D75D7F" w:rsidP="00D75D7F">
            <w:pPr>
              <w:spacing w:line="240" w:lineRule="exact"/>
              <w:rPr>
                <w:lang w:val="en-US"/>
              </w:rPr>
            </w:pPr>
            <w:r w:rsidRPr="00D75D7F">
              <w:rPr>
                <w:lang w:val="en-US"/>
              </w:rPr>
              <w:t xml:space="preserve">Original: </w:t>
            </w:r>
            <w:r w:rsidRPr="00D75D7F">
              <w:rPr>
                <w:rFonts w:eastAsia="Times New Roman" w:cs="Times New Roman"/>
                <w:szCs w:val="20"/>
                <w:lang w:val="en-GB"/>
              </w:rPr>
              <w:t>English</w:t>
            </w:r>
          </w:p>
        </w:tc>
      </w:tr>
    </w:tbl>
    <w:p w14:paraId="7E6A82A7" w14:textId="72CEAEA6" w:rsidR="00D75D7F" w:rsidRPr="00D75D7F" w:rsidRDefault="00D75D7F" w:rsidP="00D75D7F">
      <w:pPr>
        <w:pStyle w:val="HMG"/>
        <w:spacing w:before="360"/>
      </w:pPr>
      <w:r w:rsidRPr="00D75D7F">
        <w:rPr>
          <w:lang w:val="en-GB"/>
        </w:rPr>
        <w:tab/>
      </w:r>
      <w:r>
        <w:rPr>
          <w:lang w:val="en-GB"/>
        </w:rPr>
        <w:tab/>
      </w:r>
      <w:r>
        <w:rPr>
          <w:lang w:val="en-GB"/>
        </w:rPr>
        <w:tab/>
      </w:r>
      <w:r w:rsidRPr="00D75D7F">
        <w:t>Общий базовый документ, являющийся составной частью докладов государств-участников</w:t>
      </w:r>
    </w:p>
    <w:p w14:paraId="572332C8" w14:textId="77777777" w:rsidR="00D75D7F" w:rsidRPr="00D75D7F" w:rsidRDefault="00D75D7F" w:rsidP="00D75D7F">
      <w:pPr>
        <w:pStyle w:val="HMG"/>
      </w:pPr>
      <w:r w:rsidRPr="00D75D7F">
        <w:tab/>
      </w:r>
      <w:r w:rsidRPr="00D75D7F">
        <w:tab/>
        <w:t>Азербайджан</w:t>
      </w:r>
      <w:r w:rsidRPr="00004632">
        <w:rPr>
          <w:b w:val="0"/>
          <w:position w:val="8"/>
          <w:sz w:val="20"/>
        </w:rPr>
        <w:footnoteReference w:customMarkFollows="1" w:id="1"/>
        <w:t>*</w:t>
      </w:r>
    </w:p>
    <w:p w14:paraId="7C601512" w14:textId="77777777" w:rsidR="00D75D7F" w:rsidRPr="00D75D7F" w:rsidRDefault="00D75D7F" w:rsidP="00D75D7F">
      <w:pPr>
        <w:pStyle w:val="SingleTxtG"/>
        <w:jc w:val="right"/>
        <w:rPr>
          <w:rFonts w:eastAsia="SimSun"/>
          <w:lang w:eastAsia="zh-CN"/>
        </w:rPr>
      </w:pPr>
      <w:r w:rsidRPr="00D75D7F">
        <w:rPr>
          <w:rFonts w:eastAsia="SimSun"/>
          <w:lang w:eastAsia="zh-CN"/>
        </w:rPr>
        <w:t>[Дата получения: 10 октября 2023 года]</w:t>
      </w:r>
    </w:p>
    <w:p w14:paraId="02943BE1" w14:textId="77777777" w:rsidR="00D75D7F" w:rsidRPr="00D75D7F" w:rsidRDefault="00D75D7F" w:rsidP="00D75D7F">
      <w:pPr>
        <w:pStyle w:val="HChG"/>
        <w:pageBreakBefore/>
      </w:pPr>
      <w:r w:rsidRPr="00D75D7F">
        <w:lastRenderedPageBreak/>
        <w:tab/>
      </w:r>
      <w:r w:rsidRPr="00D75D7F">
        <w:rPr>
          <w:rFonts w:eastAsia="Calibri"/>
          <w:lang w:val="en-GB"/>
        </w:rPr>
        <w:t>I</w:t>
      </w:r>
      <w:r w:rsidRPr="00D75D7F">
        <w:rPr>
          <w:rFonts w:eastAsia="Calibri"/>
        </w:rPr>
        <w:t>.</w:t>
      </w:r>
      <w:r w:rsidRPr="00D75D7F">
        <w:rPr>
          <w:rFonts w:eastAsia="Calibri"/>
        </w:rPr>
        <w:tab/>
      </w:r>
      <w:r w:rsidRPr="00D75D7F">
        <w:t>Общая информация о представляющем доклад государстве</w:t>
      </w:r>
    </w:p>
    <w:p w14:paraId="0BC9E45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w:t>
      </w:r>
      <w:r w:rsidRPr="00D75D7F">
        <w:rPr>
          <w:rFonts w:eastAsia="SimSun" w:cs="Times New Roman"/>
          <w:szCs w:val="20"/>
          <w:lang w:eastAsia="zh-CN"/>
        </w:rPr>
        <w:tab/>
        <w:t>Азербайджанская Республика расположена на стыке Азии и Европы. Занимая юго-восточную часть Южного Кавказа, она граничит на севере с Российской Федерацией, на юге — с Исламской Республикой Иран, на западе — с Турцией, Грузией и Арменией, на востоке по Каспийскому морю — с Казахстаном и Туркменистаном. В состав Азербайджанской Республики входит Нахичеванская Автономная Республика.</w:t>
      </w:r>
    </w:p>
    <w:p w14:paraId="5B495032" w14:textId="20FB36CD" w:rsidR="00D75D7F" w:rsidRPr="00D75D7F" w:rsidRDefault="00D75D7F" w:rsidP="00D75D7F">
      <w:pPr>
        <w:pStyle w:val="Bullet1G"/>
      </w:pPr>
      <w:r w:rsidRPr="00D75D7F">
        <w:t>Официальное название: Азербайджанская Республика (Азербайджан</w:t>
      </w:r>
      <w:r w:rsidRPr="00D75D7F">
        <w:t xml:space="preserve"> </w:t>
      </w:r>
      <w:r w:rsidRPr="00D75D7F">
        <w:t>Республикасы).</w:t>
      </w:r>
    </w:p>
    <w:p w14:paraId="26966B4B" w14:textId="3223E973" w:rsidR="00D75D7F" w:rsidRPr="00D75D7F" w:rsidRDefault="00D75D7F" w:rsidP="00D75D7F">
      <w:pPr>
        <w:pStyle w:val="Bullet1G"/>
      </w:pPr>
      <w:r w:rsidRPr="00D75D7F">
        <w:t>Форма правления: демократическая, правовая, светская, унитарная республика с однопалатным парламентом (</w:t>
      </w:r>
      <w:r w:rsidRPr="00D75D7F">
        <w:rPr>
          <w:lang w:val="en-GB"/>
        </w:rPr>
        <w:t>Milli</w:t>
      </w:r>
      <w:r w:rsidRPr="00D75D7F">
        <w:t xml:space="preserve"> </w:t>
      </w:r>
      <w:r w:rsidRPr="00D75D7F">
        <w:rPr>
          <w:lang w:val="en-GB"/>
        </w:rPr>
        <w:t>M</w:t>
      </w:r>
      <w:r w:rsidRPr="00D75D7F">
        <w:t>ə</w:t>
      </w:r>
      <w:r w:rsidRPr="00D75D7F">
        <w:rPr>
          <w:lang w:val="en-GB"/>
        </w:rPr>
        <w:t>clis</w:t>
      </w:r>
      <w:r w:rsidRPr="00D75D7F">
        <w:t xml:space="preserve"> (далее </w:t>
      </w:r>
      <w:r w:rsidRPr="00B76E19">
        <w:t>‒‒</w:t>
      </w:r>
      <w:r w:rsidRPr="00D75D7F">
        <w:t xml:space="preserve"> </w:t>
      </w:r>
      <w:r w:rsidRPr="00D75D7F">
        <w:rPr>
          <w:iCs/>
        </w:rPr>
        <w:t>Милли Меджлис</w:t>
      </w:r>
      <w:r w:rsidRPr="00D75D7F">
        <w:t>)), состоящим из 125 депутатов.</w:t>
      </w:r>
    </w:p>
    <w:p w14:paraId="739EDE54" w14:textId="2C0F6792" w:rsidR="00D75D7F" w:rsidRPr="00D75D7F" w:rsidRDefault="00D75D7F" w:rsidP="00D75D7F">
      <w:pPr>
        <w:pStyle w:val="Bullet1G"/>
      </w:pPr>
      <w:r w:rsidRPr="00D75D7F">
        <w:t>Глава государства: президент.</w:t>
      </w:r>
    </w:p>
    <w:p w14:paraId="30C444A9" w14:textId="66051252" w:rsidR="00D75D7F" w:rsidRPr="00D75D7F" w:rsidRDefault="00D75D7F" w:rsidP="00D75D7F">
      <w:pPr>
        <w:pStyle w:val="Bullet1G"/>
      </w:pPr>
      <w:r w:rsidRPr="00D75D7F">
        <w:t>Столица: Баку (</w:t>
      </w:r>
      <w:r w:rsidRPr="00D75D7F">
        <w:rPr>
          <w:lang w:val="en-GB"/>
        </w:rPr>
        <w:t>Bak</w:t>
      </w:r>
      <w:r w:rsidRPr="00D75D7F">
        <w:t>ı).</w:t>
      </w:r>
    </w:p>
    <w:p w14:paraId="748AE2E1" w14:textId="6B9CBC29" w:rsidR="00D75D7F" w:rsidRPr="00D75D7F" w:rsidRDefault="00D75D7F" w:rsidP="00D75D7F">
      <w:pPr>
        <w:pStyle w:val="Bullet1G"/>
      </w:pPr>
      <w:r w:rsidRPr="00D75D7F">
        <w:t>Денежная единица: манат.</w:t>
      </w:r>
    </w:p>
    <w:p w14:paraId="0F2EC9A0" w14:textId="76EB7211" w:rsidR="00D75D7F" w:rsidRPr="00D75D7F" w:rsidRDefault="00D75D7F" w:rsidP="00D75D7F">
      <w:pPr>
        <w:pStyle w:val="Bullet1G"/>
      </w:pPr>
      <w:r w:rsidRPr="00D75D7F">
        <w:t>Общая площадь территории страны: 86 600 кв. км.</w:t>
      </w:r>
    </w:p>
    <w:p w14:paraId="10F9CA95" w14:textId="7823313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w:t>
      </w:r>
      <w:r w:rsidRPr="00D75D7F">
        <w:rPr>
          <w:rFonts w:eastAsia="SimSun" w:cs="Times New Roman"/>
          <w:szCs w:val="20"/>
          <w:lang w:eastAsia="zh-CN"/>
        </w:rPr>
        <w:tab/>
      </w:r>
      <w:r w:rsidRPr="00D75D7F">
        <w:rPr>
          <w:rFonts w:eastAsia="SimSun" w:cs="Times New Roman"/>
          <w:spacing w:val="-4"/>
          <w:szCs w:val="20"/>
          <w:lang w:eastAsia="zh-CN"/>
        </w:rPr>
        <w:t xml:space="preserve">Азербайджанская Республика </w:t>
      </w:r>
      <w:r w:rsidRPr="007D5475">
        <w:rPr>
          <w:rFonts w:eastAsia="SimSun" w:cs="Times New Roman"/>
          <w:spacing w:val="-4"/>
          <w:szCs w:val="20"/>
          <w:lang w:eastAsia="zh-CN"/>
        </w:rPr>
        <w:t>‒‒</w:t>
      </w:r>
      <w:r w:rsidRPr="00D75D7F">
        <w:rPr>
          <w:rFonts w:eastAsia="SimSun" w:cs="Times New Roman"/>
          <w:spacing w:val="-4"/>
          <w:szCs w:val="20"/>
          <w:lang w:eastAsia="zh-CN"/>
        </w:rPr>
        <w:t xml:space="preserve"> многонациональное и многоконфессиональное</w:t>
      </w:r>
      <w:r w:rsidRPr="00D75D7F">
        <w:rPr>
          <w:rFonts w:eastAsia="SimSun" w:cs="Times New Roman"/>
          <w:szCs w:val="20"/>
          <w:lang w:eastAsia="zh-CN"/>
        </w:rPr>
        <w:t xml:space="preserve"> государство, в котором представители всех этнических групп и религий веками живут в мире, согласии и дружбе, и эта традиция поддерживается государственной политикой.</w:t>
      </w:r>
    </w:p>
    <w:p w14:paraId="59DD663B" w14:textId="17534B7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w:t>
      </w:r>
      <w:r w:rsidRPr="00D75D7F">
        <w:rPr>
          <w:rFonts w:eastAsia="SimSun" w:cs="Times New Roman"/>
          <w:szCs w:val="20"/>
          <w:lang w:eastAsia="zh-CN"/>
        </w:rPr>
        <w:tab/>
        <w:t xml:space="preserve">По приблизительным подсчетам 96 % населения Азербайджана составляют мусульмане и 4 % </w:t>
      </w:r>
      <w:r w:rsidRPr="00D75D7F">
        <w:rPr>
          <w:rFonts w:eastAsia="SimSun" w:cs="Times New Roman"/>
          <w:szCs w:val="20"/>
          <w:lang w:val="en-GB" w:eastAsia="zh-CN"/>
        </w:rPr>
        <w:t>⸺</w:t>
      </w:r>
      <w:r w:rsidRPr="00D75D7F">
        <w:rPr>
          <w:rFonts w:eastAsia="SimSun" w:cs="Times New Roman"/>
          <w:szCs w:val="20"/>
          <w:lang w:eastAsia="zh-CN"/>
        </w:rPr>
        <w:t xml:space="preserve"> представители других религий (иудаизм, христианство, бехаизм и сознание Кришны). По данным на 1 января 2023 года в стране функционируют</w:t>
      </w:r>
      <w:r>
        <w:rPr>
          <w:rFonts w:eastAsia="SimSun" w:cs="Times New Roman"/>
          <w:szCs w:val="20"/>
          <w:lang w:eastAsia="zh-CN"/>
        </w:rPr>
        <w:br/>
      </w:r>
      <w:r w:rsidRPr="00D75D7F">
        <w:rPr>
          <w:rFonts w:eastAsia="SimSun" w:cs="Times New Roman"/>
          <w:szCs w:val="20"/>
          <w:lang w:eastAsia="zh-CN"/>
        </w:rPr>
        <w:t>993 религиозные общины, прошедшие государственную регистрацию. Из них</w:t>
      </w:r>
      <w:r>
        <w:rPr>
          <w:rFonts w:eastAsia="SimSun" w:cs="Times New Roman"/>
          <w:szCs w:val="20"/>
          <w:lang w:eastAsia="zh-CN"/>
        </w:rPr>
        <w:br/>
      </w:r>
      <w:r w:rsidRPr="00D75D7F">
        <w:rPr>
          <w:rFonts w:eastAsia="SimSun" w:cs="Times New Roman"/>
          <w:szCs w:val="20"/>
          <w:lang w:eastAsia="zh-CN"/>
        </w:rPr>
        <w:t xml:space="preserve">956 являются мусульманскими религиозными общинами, а 37 </w:t>
      </w:r>
      <w:r w:rsidRPr="00D75D7F">
        <w:rPr>
          <w:rFonts w:eastAsia="SimSun" w:cs="Times New Roman"/>
          <w:szCs w:val="20"/>
          <w:lang w:val="en-GB" w:eastAsia="zh-CN"/>
        </w:rPr>
        <w:t>⸺</w:t>
      </w:r>
      <w:r w:rsidRPr="00D75D7F">
        <w:rPr>
          <w:rFonts w:eastAsia="SimSun" w:cs="Times New Roman"/>
          <w:szCs w:val="20"/>
          <w:lang w:eastAsia="zh-CN"/>
        </w:rPr>
        <w:t xml:space="preserve"> немусульманскими (26 </w:t>
      </w:r>
      <w:r w:rsidRPr="00D75D7F">
        <w:rPr>
          <w:rFonts w:eastAsia="SimSun" w:cs="Times New Roman"/>
          <w:szCs w:val="20"/>
          <w:lang w:val="en-GB" w:eastAsia="zh-CN"/>
        </w:rPr>
        <w:t>⸺</w:t>
      </w:r>
      <w:r w:rsidRPr="00D75D7F">
        <w:rPr>
          <w:rFonts w:eastAsia="SimSun" w:cs="Times New Roman"/>
          <w:szCs w:val="20"/>
          <w:lang w:eastAsia="zh-CN"/>
        </w:rPr>
        <w:t xml:space="preserve"> христианскими, 8 </w:t>
      </w:r>
      <w:r w:rsidRPr="00D75D7F">
        <w:rPr>
          <w:rFonts w:eastAsia="SimSun" w:cs="Times New Roman"/>
          <w:szCs w:val="20"/>
          <w:lang w:val="en-GB" w:eastAsia="zh-CN"/>
        </w:rPr>
        <w:t>⸺</w:t>
      </w:r>
      <w:r w:rsidRPr="00D75D7F">
        <w:rPr>
          <w:rFonts w:eastAsia="SimSun" w:cs="Times New Roman"/>
          <w:szCs w:val="20"/>
          <w:lang w:eastAsia="zh-CN"/>
        </w:rPr>
        <w:t xml:space="preserve"> еврейскими, 1 </w:t>
      </w:r>
      <w:r w:rsidRPr="00D75D7F">
        <w:rPr>
          <w:rFonts w:eastAsia="SimSun" w:cs="Times New Roman"/>
          <w:szCs w:val="20"/>
          <w:lang w:val="en-GB" w:eastAsia="zh-CN"/>
        </w:rPr>
        <w:t>⸺</w:t>
      </w:r>
      <w:r w:rsidRPr="00D75D7F">
        <w:rPr>
          <w:rFonts w:eastAsia="SimSun" w:cs="Times New Roman"/>
          <w:szCs w:val="20"/>
          <w:lang w:eastAsia="zh-CN"/>
        </w:rPr>
        <w:t xml:space="preserve"> общинами сознания Кришны</w:t>
      </w:r>
      <w:r>
        <w:rPr>
          <w:rFonts w:eastAsia="SimSun" w:cs="Times New Roman"/>
          <w:szCs w:val="20"/>
          <w:lang w:eastAsia="zh-CN"/>
        </w:rPr>
        <w:br/>
      </w:r>
      <w:r w:rsidRPr="00D75D7F">
        <w:rPr>
          <w:rFonts w:eastAsia="SimSun" w:cs="Times New Roman"/>
          <w:szCs w:val="20"/>
          <w:lang w:eastAsia="zh-CN"/>
        </w:rPr>
        <w:t xml:space="preserve">и 2 </w:t>
      </w:r>
      <w:r w:rsidRPr="00D75D7F">
        <w:rPr>
          <w:rFonts w:eastAsia="SimSun" w:cs="Times New Roman"/>
          <w:szCs w:val="20"/>
          <w:lang w:val="en-GB" w:eastAsia="zh-CN"/>
        </w:rPr>
        <w:t>⸺</w:t>
      </w:r>
      <w:r w:rsidRPr="00D75D7F">
        <w:rPr>
          <w:rFonts w:eastAsia="SimSun" w:cs="Times New Roman"/>
          <w:szCs w:val="20"/>
          <w:lang w:eastAsia="zh-CN"/>
        </w:rPr>
        <w:t xml:space="preserve"> бехаистскими общинами). В соответствии со статьей 8 Закона «О свободе вероисповедания» религиозные исламские общины в Азербайджанской Республике подчиняются в религиозных вопросах Управлению мусульман Кавказа, а другие религиозные общины имеют право подчинения или изменения своего подчинения религиозным центрам или учреждениям, действующим в Азербайджанской Республике и за ее пределами. В настоящее время в Республике действуют</w:t>
      </w:r>
      <w:r>
        <w:rPr>
          <w:rFonts w:eastAsia="SimSun" w:cs="Times New Roman"/>
          <w:szCs w:val="20"/>
          <w:lang w:eastAsia="zh-CN"/>
        </w:rPr>
        <w:br/>
      </w:r>
      <w:r w:rsidRPr="00D75D7F">
        <w:rPr>
          <w:rFonts w:eastAsia="SimSun" w:cs="Times New Roman"/>
          <w:szCs w:val="20"/>
          <w:lang w:eastAsia="zh-CN"/>
        </w:rPr>
        <w:t>2253 мечети, 16 церквей и 7 синагог.</w:t>
      </w:r>
    </w:p>
    <w:p w14:paraId="1DA7D6CD" w14:textId="77777777" w:rsidR="00D75D7F" w:rsidRPr="00D75D7F" w:rsidRDefault="00D75D7F" w:rsidP="00D75D7F">
      <w:pPr>
        <w:pStyle w:val="H1G"/>
      </w:pPr>
      <w:r w:rsidRPr="00D75D7F">
        <w:rPr>
          <w:rFonts w:eastAsia="Calibri"/>
        </w:rPr>
        <w:tab/>
      </w:r>
      <w:r w:rsidRPr="00D75D7F">
        <w:rPr>
          <w:rFonts w:eastAsia="Calibri"/>
          <w:lang w:val="en-GB"/>
        </w:rPr>
        <w:t>A</w:t>
      </w:r>
      <w:r w:rsidRPr="00D75D7F">
        <w:rPr>
          <w:rFonts w:eastAsia="Calibri"/>
        </w:rPr>
        <w:t>.</w:t>
      </w:r>
      <w:r w:rsidRPr="00D75D7F">
        <w:rPr>
          <w:rFonts w:eastAsia="Calibri"/>
        </w:rPr>
        <w:tab/>
      </w:r>
      <w:r w:rsidRPr="00D75D7F">
        <w:t>Население, экономика, социальная сфера и культура государства</w:t>
      </w:r>
    </w:p>
    <w:p w14:paraId="4AE8497E" w14:textId="77777777" w:rsidR="00D75D7F" w:rsidRPr="00D75D7F" w:rsidRDefault="00D75D7F" w:rsidP="00D75D7F">
      <w:pPr>
        <w:pStyle w:val="H23G"/>
      </w:pPr>
      <w:r w:rsidRPr="00D75D7F">
        <w:tab/>
      </w:r>
      <w:r w:rsidRPr="00D75D7F">
        <w:tab/>
        <w:t>Историческая справка</w:t>
      </w:r>
    </w:p>
    <w:p w14:paraId="4C584A81" w14:textId="7A08847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w:t>
      </w:r>
      <w:r w:rsidRPr="00D75D7F">
        <w:rPr>
          <w:rFonts w:eastAsia="SimSun" w:cs="Times New Roman"/>
          <w:szCs w:val="20"/>
          <w:lang w:eastAsia="zh-CN"/>
        </w:rPr>
        <w:tab/>
        <w:t>Азербайджан — один из древнейших очагов мировой цивилизации.</w:t>
      </w:r>
      <w:r>
        <w:rPr>
          <w:rFonts w:eastAsia="SimSun" w:cs="Times New Roman"/>
          <w:szCs w:val="20"/>
          <w:lang w:eastAsia="zh-CN"/>
        </w:rPr>
        <w:br/>
      </w:r>
      <w:r w:rsidRPr="00D75D7F">
        <w:rPr>
          <w:rFonts w:eastAsia="SimSun" w:cs="Times New Roman"/>
          <w:szCs w:val="20"/>
          <w:lang w:eastAsia="zh-CN"/>
        </w:rPr>
        <w:t xml:space="preserve">Его исторические границы охватывают восточную часть Южного Кавказа и северо-запад Ирана. Результаты археологических раскопок, проводившихся на территории Азербайджана, свидетельствуют о том, что более чем полтора миллиона лет назад здесь обитал человек. Изучение Гуручайской археологической культуры — самой древней на территории бывшего Советского Союза и аналогичной Олдувайской в Африке, подтверждает, что территория Азербайджана входила в зону прародины человечества. В 1968 году в Азыхской пещере, расположенной на левом берегу реки Гуручай, в среднеашельском слое был обнаружен фрагмент нижней челюсти древнего человека </w:t>
      </w:r>
      <w:r w:rsidRPr="00D75D7F">
        <w:rPr>
          <w:rFonts w:eastAsia="SimSun" w:cs="Times New Roman"/>
          <w:szCs w:val="20"/>
          <w:lang w:val="en-GB" w:eastAsia="zh-CN"/>
        </w:rPr>
        <w:t>⸺</w:t>
      </w:r>
      <w:r w:rsidRPr="00D75D7F">
        <w:rPr>
          <w:rFonts w:eastAsia="SimSun" w:cs="Times New Roman"/>
          <w:szCs w:val="20"/>
          <w:lang w:eastAsia="zh-CN"/>
        </w:rPr>
        <w:t xml:space="preserve"> азыхантропа, обитавшего здесь 350</w:t>
      </w:r>
      <w:r w:rsidR="00004632">
        <w:rPr>
          <w:rFonts w:eastAsia="SimSun" w:cs="Times New Roman"/>
          <w:szCs w:val="20"/>
          <w:lang w:eastAsia="zh-CN"/>
        </w:rPr>
        <w:t> </w:t>
      </w:r>
      <w:r w:rsidRPr="00D75D7F">
        <w:rPr>
          <w:rFonts w:eastAsia="SimSun" w:cs="Times New Roman"/>
          <w:szCs w:val="20"/>
          <w:lang w:eastAsia="zh-CN"/>
        </w:rPr>
        <w:t>000</w:t>
      </w:r>
      <w:r w:rsidR="00004632" w:rsidRPr="00004632">
        <w:rPr>
          <w:rFonts w:eastAsia="SimSun" w:cs="Times New Roman"/>
          <w:szCs w:val="20"/>
          <w:lang w:eastAsia="zh-CN"/>
        </w:rPr>
        <w:t>‒</w:t>
      </w:r>
      <w:r w:rsidRPr="00D75D7F">
        <w:rPr>
          <w:rFonts w:eastAsia="SimSun" w:cs="Times New Roman"/>
          <w:szCs w:val="20"/>
          <w:lang w:eastAsia="zh-CN"/>
        </w:rPr>
        <w:t>400 000 лет тому назад.</w:t>
      </w:r>
      <w:r w:rsidR="00004632">
        <w:rPr>
          <w:rFonts w:eastAsia="SimSun" w:cs="Times New Roman"/>
          <w:szCs w:val="20"/>
          <w:lang w:eastAsia="zh-CN"/>
        </w:rPr>
        <w:br/>
      </w:r>
      <w:r w:rsidRPr="00D75D7F">
        <w:rPr>
          <w:rFonts w:eastAsia="SimSun" w:cs="Times New Roman"/>
          <w:szCs w:val="20"/>
          <w:lang w:eastAsia="zh-CN"/>
        </w:rPr>
        <w:t xml:space="preserve">Комплекс наскальных изображений, созданных 12 000 лет назад обитателями Гобустана (в 60 км от города Баку), является выдающимся памятником мезолитической и последующих эпох, своеобразной картинной галереей. С распадом </w:t>
      </w:r>
      <w:r w:rsidRPr="00D75D7F">
        <w:rPr>
          <w:rFonts w:eastAsia="SimSun" w:cs="Times New Roman"/>
          <w:szCs w:val="20"/>
          <w:lang w:eastAsia="zh-CN"/>
        </w:rPr>
        <w:lastRenderedPageBreak/>
        <w:t>Кура-</w:t>
      </w:r>
      <w:r w:rsidRPr="00D75D7F">
        <w:rPr>
          <w:rFonts w:eastAsia="SimSun" w:cs="Times New Roman"/>
          <w:szCs w:val="20"/>
          <w:lang w:val="en-GB" w:eastAsia="zh-CN"/>
        </w:rPr>
        <w:t>A</w:t>
      </w:r>
      <w:r w:rsidRPr="00D75D7F">
        <w:rPr>
          <w:rFonts w:eastAsia="SimSun" w:cs="Times New Roman"/>
          <w:szCs w:val="20"/>
          <w:lang w:eastAsia="zh-CN"/>
        </w:rPr>
        <w:t>разской культуры начинается новый этап в истории ее носителей, в том числе и древних предков азербайджанцев.</w:t>
      </w:r>
    </w:p>
    <w:p w14:paraId="722F07A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w:t>
      </w:r>
      <w:r w:rsidRPr="00D75D7F">
        <w:rPr>
          <w:rFonts w:eastAsia="SimSun" w:cs="Times New Roman"/>
          <w:szCs w:val="20"/>
          <w:lang w:eastAsia="zh-CN"/>
        </w:rPr>
        <w:tab/>
        <w:t>Известный норвежский исследователь Тур Хейердал, совершивший специальные поездки в страну в 1979−1994 годах для изучения этих наскальных рисунков, считает, что берега Каспийского моря были колыбелью цивилизации, которая затем распространялась по воде на юг и на север.</w:t>
      </w:r>
    </w:p>
    <w:p w14:paraId="1144CAB7" w14:textId="4E44EA9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w:t>
      </w:r>
      <w:r w:rsidRPr="00D75D7F">
        <w:rPr>
          <w:rFonts w:eastAsia="SimSun" w:cs="Times New Roman"/>
          <w:szCs w:val="20"/>
          <w:lang w:eastAsia="zh-CN"/>
        </w:rPr>
        <w:tab/>
        <w:t xml:space="preserve">В конце </w:t>
      </w:r>
      <w:r w:rsidRPr="00D75D7F">
        <w:rPr>
          <w:rFonts w:eastAsia="SimSun" w:cs="Times New Roman"/>
          <w:szCs w:val="20"/>
          <w:lang w:val="en-GB" w:eastAsia="zh-CN"/>
        </w:rPr>
        <w:t>IV</w:t>
      </w:r>
      <w:r w:rsidRPr="00D75D7F">
        <w:rPr>
          <w:rFonts w:eastAsia="SimSun" w:cs="Times New Roman"/>
          <w:szCs w:val="20"/>
          <w:lang w:eastAsia="zh-CN"/>
        </w:rPr>
        <w:t xml:space="preserve"> тысячелетия до н. э. и в первые годы </w:t>
      </w:r>
      <w:r w:rsidRPr="00D75D7F">
        <w:rPr>
          <w:rFonts w:eastAsia="SimSun" w:cs="Times New Roman"/>
          <w:szCs w:val="20"/>
          <w:lang w:val="en-GB" w:eastAsia="zh-CN"/>
        </w:rPr>
        <w:t>III</w:t>
      </w:r>
      <w:r w:rsidRPr="00D75D7F">
        <w:rPr>
          <w:rFonts w:eastAsia="SimSun" w:cs="Times New Roman"/>
          <w:szCs w:val="20"/>
          <w:lang w:eastAsia="zh-CN"/>
        </w:rPr>
        <w:t xml:space="preserve"> тысячелетия до н. э. появляются признаки первых классовых обществ с атрибутами ранней городской цивилизации и ранних государственных институтов.</w:t>
      </w:r>
    </w:p>
    <w:p w14:paraId="17218182" w14:textId="44E81B1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w:t>
      </w:r>
      <w:r w:rsidRPr="00D75D7F">
        <w:rPr>
          <w:rFonts w:eastAsia="SimSun" w:cs="Times New Roman"/>
          <w:szCs w:val="20"/>
          <w:lang w:eastAsia="zh-CN"/>
        </w:rPr>
        <w:tab/>
        <w:t xml:space="preserve">В период с середины </w:t>
      </w:r>
      <w:r w:rsidRPr="00D75D7F">
        <w:rPr>
          <w:rFonts w:eastAsia="SimSun" w:cs="Times New Roman"/>
          <w:szCs w:val="20"/>
          <w:lang w:val="en-GB" w:eastAsia="zh-CN"/>
        </w:rPr>
        <w:t>IX</w:t>
      </w:r>
      <w:r w:rsidRPr="00D75D7F">
        <w:rPr>
          <w:rFonts w:eastAsia="SimSun" w:cs="Times New Roman"/>
          <w:szCs w:val="20"/>
          <w:lang w:eastAsia="zh-CN"/>
        </w:rPr>
        <w:t xml:space="preserve"> по </w:t>
      </w:r>
      <w:r w:rsidRPr="00D75D7F">
        <w:rPr>
          <w:rFonts w:eastAsia="SimSun" w:cs="Times New Roman"/>
          <w:szCs w:val="20"/>
          <w:lang w:val="en-GB" w:eastAsia="zh-CN"/>
        </w:rPr>
        <w:t>VII</w:t>
      </w:r>
      <w:r w:rsidRPr="00D75D7F">
        <w:rPr>
          <w:rFonts w:eastAsia="SimSun" w:cs="Times New Roman"/>
          <w:szCs w:val="20"/>
          <w:lang w:eastAsia="zh-CN"/>
        </w:rPr>
        <w:t xml:space="preserve"> век до н. э. районе озера Урмия господствовало другое древнее Азербайджанское государство Манна. В конце </w:t>
      </w:r>
      <w:r w:rsidRPr="00D75D7F">
        <w:rPr>
          <w:rFonts w:eastAsia="SimSun" w:cs="Times New Roman"/>
          <w:szCs w:val="20"/>
          <w:lang w:val="en-GB" w:eastAsia="zh-CN"/>
        </w:rPr>
        <w:t>VII</w:t>
      </w:r>
      <w:r w:rsidRPr="00D75D7F">
        <w:rPr>
          <w:rFonts w:eastAsia="SimSun" w:cs="Times New Roman"/>
          <w:szCs w:val="20"/>
          <w:lang w:eastAsia="zh-CN"/>
        </w:rPr>
        <w:t xml:space="preserve"> — начале </w:t>
      </w:r>
      <w:r w:rsidRPr="00D75D7F">
        <w:rPr>
          <w:rFonts w:eastAsia="SimSun" w:cs="Times New Roman"/>
          <w:szCs w:val="20"/>
          <w:lang w:val="en-GB" w:eastAsia="zh-CN"/>
        </w:rPr>
        <w:t>VI</w:t>
      </w:r>
      <w:r w:rsidRPr="00D75D7F">
        <w:rPr>
          <w:rFonts w:eastAsia="SimSun" w:cs="Times New Roman"/>
          <w:szCs w:val="20"/>
          <w:lang w:eastAsia="zh-CN"/>
        </w:rPr>
        <w:t xml:space="preserve"> века до н. э., одержав победу над Ассирией, государство Мидия подчинила себе царства Манна и Урарту и скифов.</w:t>
      </w:r>
    </w:p>
    <w:p w14:paraId="7B72267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w:t>
      </w:r>
      <w:r w:rsidRPr="00D75D7F">
        <w:rPr>
          <w:rFonts w:eastAsia="SimSun" w:cs="Times New Roman"/>
          <w:szCs w:val="20"/>
          <w:lang w:eastAsia="zh-CN"/>
        </w:rPr>
        <w:tab/>
        <w:t xml:space="preserve">В связи с падением Мидийского государства в середине </w:t>
      </w:r>
      <w:r w:rsidRPr="00D75D7F">
        <w:rPr>
          <w:rFonts w:eastAsia="SimSun" w:cs="Times New Roman"/>
          <w:szCs w:val="20"/>
          <w:lang w:val="en-GB" w:eastAsia="zh-CN"/>
        </w:rPr>
        <w:t>VI</w:t>
      </w:r>
      <w:r w:rsidRPr="00D75D7F">
        <w:rPr>
          <w:rFonts w:eastAsia="SimSun" w:cs="Times New Roman"/>
          <w:szCs w:val="20"/>
          <w:lang w:eastAsia="zh-CN"/>
        </w:rPr>
        <w:t xml:space="preserve"> века до н. э. (550 год до н. э.) территория исторического Азербайджана была занята новообразовавшимся Персидским Ахеменидским государством. В начале 20-х годов </w:t>
      </w:r>
      <w:r w:rsidRPr="00D75D7F">
        <w:rPr>
          <w:rFonts w:eastAsia="SimSun" w:cs="Times New Roman"/>
          <w:szCs w:val="20"/>
          <w:lang w:val="en-GB" w:eastAsia="zh-CN"/>
        </w:rPr>
        <w:t>IV</w:t>
      </w:r>
      <w:r w:rsidRPr="00D75D7F">
        <w:rPr>
          <w:rFonts w:eastAsia="SimSun" w:cs="Times New Roman"/>
          <w:szCs w:val="20"/>
          <w:lang w:eastAsia="zh-CN"/>
        </w:rPr>
        <w:t xml:space="preserve"> века до н. э. образовалось новое независимое государство, первоначально официально называемое Атропатской Мидией, а чуть позднее Атропатеной (Атрапатакан, Адурбадаган и отсюда Азербайджан). Появившаяся на исторической арене через два с половиной столетия после упадка Манны, Атропатена стала первым государством востока, добившимся политической независимости от греко-македонских завоевателей.</w:t>
      </w:r>
    </w:p>
    <w:p w14:paraId="6539FBE4" w14:textId="4416A92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w:t>
      </w:r>
      <w:r w:rsidRPr="00D75D7F">
        <w:rPr>
          <w:rFonts w:eastAsia="SimSun" w:cs="Times New Roman"/>
          <w:szCs w:val="20"/>
          <w:lang w:eastAsia="zh-CN"/>
        </w:rPr>
        <w:tab/>
        <w:t xml:space="preserve">В конце </w:t>
      </w:r>
      <w:r w:rsidRPr="00D75D7F">
        <w:rPr>
          <w:rFonts w:eastAsia="SimSun" w:cs="Times New Roman"/>
          <w:szCs w:val="20"/>
          <w:lang w:val="en-GB" w:eastAsia="zh-CN"/>
        </w:rPr>
        <w:t>IV</w:t>
      </w:r>
      <w:r w:rsidRPr="00D75D7F">
        <w:rPr>
          <w:rFonts w:eastAsia="SimSun" w:cs="Times New Roman"/>
          <w:szCs w:val="20"/>
          <w:lang w:eastAsia="zh-CN"/>
        </w:rPr>
        <w:t xml:space="preserve"> </w:t>
      </w:r>
      <w:r w:rsidR="00A675B2" w:rsidRPr="00A675B2">
        <w:rPr>
          <w:rFonts w:eastAsia="SimSun" w:cs="Times New Roman"/>
          <w:szCs w:val="20"/>
          <w:lang w:eastAsia="zh-CN"/>
        </w:rPr>
        <w:t>‒‒</w:t>
      </w:r>
      <w:r w:rsidRPr="00D75D7F">
        <w:rPr>
          <w:rFonts w:eastAsia="SimSun" w:cs="Times New Roman"/>
          <w:szCs w:val="20"/>
          <w:lang w:eastAsia="zh-CN"/>
        </w:rPr>
        <w:t xml:space="preserve"> начале </w:t>
      </w:r>
      <w:r w:rsidRPr="00D75D7F">
        <w:rPr>
          <w:rFonts w:eastAsia="SimSun" w:cs="Times New Roman"/>
          <w:szCs w:val="20"/>
          <w:lang w:val="en-GB" w:eastAsia="zh-CN"/>
        </w:rPr>
        <w:t>III</w:t>
      </w:r>
      <w:r w:rsidRPr="00D75D7F">
        <w:rPr>
          <w:rFonts w:eastAsia="SimSun" w:cs="Times New Roman"/>
          <w:szCs w:val="20"/>
          <w:lang w:eastAsia="zh-CN"/>
        </w:rPr>
        <w:t xml:space="preserve"> тысячелетия до н. э. на севере Азербайджана было создано древнее государство Кавказская Албания, южной границей которого была река Араз. Уже во второй половине </w:t>
      </w:r>
      <w:r w:rsidRPr="00D75D7F">
        <w:rPr>
          <w:rFonts w:eastAsia="SimSun" w:cs="Times New Roman"/>
          <w:szCs w:val="20"/>
          <w:lang w:val="en-GB" w:eastAsia="zh-CN"/>
        </w:rPr>
        <w:t>III</w:t>
      </w:r>
      <w:r w:rsidRPr="00D75D7F">
        <w:rPr>
          <w:rFonts w:eastAsia="SimSun" w:cs="Times New Roman"/>
          <w:szCs w:val="20"/>
          <w:lang w:eastAsia="zh-CN"/>
        </w:rPr>
        <w:t xml:space="preserve"> века до н. э. в Кавказской Албании для укр</w:t>
      </w:r>
      <w:r w:rsidRPr="00D75D7F">
        <w:rPr>
          <w:rFonts w:eastAsia="SimSun" w:cs="Times New Roman"/>
          <w:szCs w:val="20"/>
          <w:lang w:val="en-GB" w:eastAsia="zh-CN"/>
        </w:rPr>
        <w:t>e</w:t>
      </w:r>
      <w:r w:rsidRPr="00D75D7F">
        <w:rPr>
          <w:rFonts w:eastAsia="SimSun" w:cs="Times New Roman"/>
          <w:szCs w:val="20"/>
          <w:lang w:eastAsia="zh-CN"/>
        </w:rPr>
        <w:t xml:space="preserve">пления внутреннего рынка начали выпускать монеты, служившие важным атрибутом государственности. </w:t>
      </w:r>
    </w:p>
    <w:p w14:paraId="7C814C3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w:t>
      </w:r>
      <w:r w:rsidRPr="00D75D7F">
        <w:rPr>
          <w:rFonts w:eastAsia="SimSun" w:cs="Times New Roman"/>
          <w:szCs w:val="20"/>
          <w:lang w:eastAsia="zh-CN"/>
        </w:rPr>
        <w:tab/>
        <w:t>Народ Кавказской Албании включал в себя ряд разных национальностей, большинство из которых говорили на тюркских языках. Христианство было принято в Кавказской Албании с 313 года.</w:t>
      </w:r>
    </w:p>
    <w:p w14:paraId="0756CE61" w14:textId="2EA7D5C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w:t>
      </w:r>
      <w:r w:rsidRPr="00D75D7F">
        <w:rPr>
          <w:rFonts w:eastAsia="SimSun" w:cs="Times New Roman"/>
          <w:szCs w:val="20"/>
          <w:lang w:eastAsia="zh-CN"/>
        </w:rPr>
        <w:tab/>
        <w:t xml:space="preserve">В начале </w:t>
      </w:r>
      <w:r w:rsidRPr="00D75D7F">
        <w:rPr>
          <w:rFonts w:eastAsia="SimSun" w:cs="Times New Roman"/>
          <w:szCs w:val="20"/>
          <w:lang w:val="en-GB" w:eastAsia="zh-CN"/>
        </w:rPr>
        <w:t>I</w:t>
      </w:r>
      <w:r w:rsidRPr="00D75D7F">
        <w:rPr>
          <w:rFonts w:eastAsia="SimSun" w:cs="Times New Roman"/>
          <w:szCs w:val="20"/>
          <w:lang w:eastAsia="zh-CN"/>
        </w:rPr>
        <w:t xml:space="preserve"> века н. э. Аршакиды, сменившие в Атропатене правящую династию, взяли в руки правление также в Кавказской Албании, свергнув местную династию Арраншахидов.</w:t>
      </w:r>
    </w:p>
    <w:p w14:paraId="2838096D" w14:textId="51B4E6A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w:t>
      </w:r>
      <w:r w:rsidRPr="00D75D7F">
        <w:rPr>
          <w:rFonts w:eastAsia="SimSun" w:cs="Times New Roman"/>
          <w:szCs w:val="20"/>
          <w:lang w:eastAsia="zh-CN"/>
        </w:rPr>
        <w:tab/>
        <w:t xml:space="preserve">При Джаваншире (642−681 годы) </w:t>
      </w:r>
      <w:r w:rsidRPr="00D75D7F">
        <w:rPr>
          <w:rFonts w:eastAsia="SimSun" w:cs="Times New Roman"/>
          <w:szCs w:val="20"/>
          <w:lang w:val="en-GB" w:eastAsia="zh-CN"/>
        </w:rPr>
        <w:t>⸺</w:t>
      </w:r>
      <w:r w:rsidRPr="00D75D7F">
        <w:rPr>
          <w:rFonts w:eastAsia="SimSun" w:cs="Times New Roman"/>
          <w:szCs w:val="20"/>
          <w:lang w:eastAsia="zh-CN"/>
        </w:rPr>
        <w:t xml:space="preserve"> самом выдающемся представителе этой династии, несмотря на начавшиеся с 643 года арабские завоевания и полную аннексию южной части Азербайджана </w:t>
      </w:r>
      <w:r w:rsidRPr="00D75D7F">
        <w:rPr>
          <w:rFonts w:eastAsia="SimSun" w:cs="Times New Roman"/>
          <w:szCs w:val="20"/>
          <w:lang w:val="en-GB" w:eastAsia="zh-CN"/>
        </w:rPr>
        <w:t>⸺</w:t>
      </w:r>
      <w:r w:rsidRPr="00D75D7F">
        <w:rPr>
          <w:rFonts w:eastAsia="SimSun" w:cs="Times New Roman"/>
          <w:szCs w:val="20"/>
          <w:lang w:eastAsia="zh-CN"/>
        </w:rPr>
        <w:t xml:space="preserve"> Адурбадагана со стороны арабов, Кавказская Албания еще на некоторые время смогла сохранить относительную независимость.</w:t>
      </w:r>
      <w:r w:rsidR="00A675B2">
        <w:rPr>
          <w:rFonts w:eastAsia="SimSun" w:cs="Times New Roman"/>
          <w:szCs w:val="20"/>
          <w:lang w:eastAsia="zh-CN"/>
        </w:rPr>
        <w:br/>
      </w:r>
      <w:r w:rsidRPr="00D75D7F">
        <w:rPr>
          <w:rFonts w:eastAsia="SimSun" w:cs="Times New Roman"/>
          <w:szCs w:val="20"/>
          <w:lang w:eastAsia="zh-CN"/>
        </w:rPr>
        <w:t>Но в результате тройной агрессии (хазарской, арабской и византийской) территория всего Азербайджана была завоевана, и в 705 году, потеряв даже вассалитет, Кавказская Албания вошла в состав Арабского Халифата.</w:t>
      </w:r>
    </w:p>
    <w:p w14:paraId="08CE583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w:t>
      </w:r>
      <w:r w:rsidRPr="00D75D7F">
        <w:rPr>
          <w:rFonts w:eastAsia="SimSun" w:cs="Times New Roman"/>
          <w:szCs w:val="20"/>
          <w:lang w:eastAsia="zh-CN"/>
        </w:rPr>
        <w:tab/>
        <w:t xml:space="preserve">В </w:t>
      </w:r>
      <w:r w:rsidRPr="00D75D7F">
        <w:rPr>
          <w:rFonts w:eastAsia="SimSun" w:cs="Times New Roman"/>
          <w:szCs w:val="20"/>
          <w:lang w:val="en-GB" w:eastAsia="zh-CN"/>
        </w:rPr>
        <w:t>IX</w:t>
      </w:r>
      <w:r w:rsidRPr="00D75D7F">
        <w:rPr>
          <w:rFonts w:eastAsia="SimSun" w:cs="Times New Roman"/>
          <w:szCs w:val="20"/>
          <w:lang w:eastAsia="zh-CN"/>
        </w:rPr>
        <w:t xml:space="preserve"> веке на территории Азербайджана возникло несколько новых государств, самым могущественным из которых было государство Ширван со столицей в Шемахе. Это государство, просуществовавшее до </w:t>
      </w:r>
      <w:r w:rsidRPr="00D75D7F">
        <w:rPr>
          <w:rFonts w:eastAsia="SimSun" w:cs="Times New Roman"/>
          <w:szCs w:val="20"/>
          <w:lang w:val="en-GB" w:eastAsia="zh-CN"/>
        </w:rPr>
        <w:t>XVI</w:t>
      </w:r>
      <w:r w:rsidRPr="00D75D7F">
        <w:rPr>
          <w:rFonts w:eastAsia="SimSun" w:cs="Times New Roman"/>
          <w:szCs w:val="20"/>
          <w:lang w:eastAsia="zh-CN"/>
        </w:rPr>
        <w:t xml:space="preserve"> века, сыграло большую роль в истории средневекового Азербайджана.</w:t>
      </w:r>
    </w:p>
    <w:p w14:paraId="6F1A0F1D" w14:textId="24020C7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w:t>
      </w:r>
      <w:r w:rsidRPr="00D75D7F">
        <w:rPr>
          <w:rFonts w:eastAsia="SimSun" w:cs="Times New Roman"/>
          <w:szCs w:val="20"/>
          <w:lang w:eastAsia="zh-CN"/>
        </w:rPr>
        <w:tab/>
        <w:t>В городах Ширвана была сложная социальная структура, характерная для феодального общества. После землетрясения 1192 года столица была временно перенесена в Баку.</w:t>
      </w:r>
    </w:p>
    <w:p w14:paraId="55C2B80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w:t>
      </w:r>
      <w:r w:rsidRPr="00D75D7F">
        <w:rPr>
          <w:rFonts w:eastAsia="SimSun" w:cs="Times New Roman"/>
          <w:szCs w:val="20"/>
          <w:lang w:eastAsia="zh-CN"/>
        </w:rPr>
        <w:tab/>
        <w:t xml:space="preserve">В </w:t>
      </w:r>
      <w:r w:rsidRPr="00D75D7F">
        <w:rPr>
          <w:rFonts w:eastAsia="SimSun" w:cs="Times New Roman"/>
          <w:szCs w:val="20"/>
          <w:lang w:val="en-GB" w:eastAsia="zh-CN"/>
        </w:rPr>
        <w:t>VIII</w:t>
      </w:r>
      <w:r w:rsidRPr="00D75D7F">
        <w:rPr>
          <w:rFonts w:eastAsia="SimSun" w:cs="Times New Roman"/>
          <w:szCs w:val="20"/>
          <w:lang w:eastAsia="zh-CN"/>
        </w:rPr>
        <w:t xml:space="preserve"> веке </w:t>
      </w:r>
      <w:r w:rsidRPr="00D75D7F">
        <w:rPr>
          <w:rFonts w:eastAsia="SimSun" w:cs="Times New Roman"/>
          <w:szCs w:val="20"/>
          <w:lang w:val="en-GB" w:eastAsia="zh-CN"/>
        </w:rPr>
        <w:t>⸺</w:t>
      </w:r>
      <w:r w:rsidRPr="00D75D7F">
        <w:rPr>
          <w:rFonts w:eastAsia="SimSun" w:cs="Times New Roman"/>
          <w:szCs w:val="20"/>
          <w:lang w:eastAsia="zh-CN"/>
        </w:rPr>
        <w:t xml:space="preserve"> начале </w:t>
      </w:r>
      <w:r w:rsidRPr="00D75D7F">
        <w:rPr>
          <w:rFonts w:eastAsia="SimSun" w:cs="Times New Roman"/>
          <w:szCs w:val="20"/>
          <w:lang w:val="en-GB" w:eastAsia="zh-CN"/>
        </w:rPr>
        <w:t>IX</w:t>
      </w:r>
      <w:r w:rsidRPr="00D75D7F">
        <w:rPr>
          <w:rFonts w:eastAsia="SimSun" w:cs="Times New Roman"/>
          <w:szCs w:val="20"/>
          <w:lang w:eastAsia="zh-CN"/>
        </w:rPr>
        <w:t xml:space="preserve"> века на северо-западе территории возникло другое Азербайджанское государство </w:t>
      </w:r>
      <w:r w:rsidRPr="00D75D7F">
        <w:rPr>
          <w:rFonts w:eastAsia="SimSun" w:cs="Times New Roman"/>
          <w:szCs w:val="20"/>
          <w:lang w:val="en-GB" w:eastAsia="zh-CN"/>
        </w:rPr>
        <w:t>⸺</w:t>
      </w:r>
      <w:r w:rsidRPr="00D75D7F">
        <w:rPr>
          <w:rFonts w:eastAsia="SimSun" w:cs="Times New Roman"/>
          <w:szCs w:val="20"/>
          <w:lang w:eastAsia="zh-CN"/>
        </w:rPr>
        <w:t xml:space="preserve"> Шекинское владение.</w:t>
      </w:r>
    </w:p>
    <w:p w14:paraId="2A1AE55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w:t>
      </w:r>
      <w:r w:rsidRPr="00D75D7F">
        <w:rPr>
          <w:rFonts w:eastAsia="SimSun" w:cs="Times New Roman"/>
          <w:szCs w:val="20"/>
          <w:lang w:eastAsia="zh-CN"/>
        </w:rPr>
        <w:tab/>
        <w:t xml:space="preserve">В период с </w:t>
      </w:r>
      <w:r w:rsidRPr="00D75D7F">
        <w:rPr>
          <w:rFonts w:eastAsia="SimSun" w:cs="Times New Roman"/>
          <w:szCs w:val="20"/>
          <w:lang w:val="en-GB" w:eastAsia="zh-CN"/>
        </w:rPr>
        <w:t>IX</w:t>
      </w:r>
      <w:r w:rsidRPr="00D75D7F">
        <w:rPr>
          <w:rFonts w:eastAsia="SimSun" w:cs="Times New Roman"/>
          <w:szCs w:val="20"/>
          <w:lang w:eastAsia="zh-CN"/>
        </w:rPr>
        <w:t xml:space="preserve"> по </w:t>
      </w:r>
      <w:r w:rsidRPr="00D75D7F">
        <w:rPr>
          <w:rFonts w:eastAsia="SimSun" w:cs="Times New Roman"/>
          <w:szCs w:val="20"/>
          <w:lang w:val="en-GB" w:eastAsia="zh-CN"/>
        </w:rPr>
        <w:t>XI</w:t>
      </w:r>
      <w:r w:rsidRPr="00D75D7F">
        <w:rPr>
          <w:rFonts w:eastAsia="SimSun" w:cs="Times New Roman"/>
          <w:szCs w:val="20"/>
          <w:lang w:eastAsia="zh-CN"/>
        </w:rPr>
        <w:t xml:space="preserve"> век на территории Азербайджана возникли независимые государства Саджидов, Саларидов, Раввадидов.</w:t>
      </w:r>
    </w:p>
    <w:p w14:paraId="64DD440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w:t>
      </w:r>
      <w:r w:rsidRPr="00D75D7F">
        <w:rPr>
          <w:rFonts w:eastAsia="SimSun" w:cs="Times New Roman"/>
          <w:szCs w:val="20"/>
          <w:lang w:eastAsia="zh-CN"/>
        </w:rPr>
        <w:tab/>
        <w:t xml:space="preserve">В конце </w:t>
      </w:r>
      <w:r w:rsidRPr="00D75D7F">
        <w:rPr>
          <w:rFonts w:eastAsia="SimSun" w:cs="Times New Roman"/>
          <w:szCs w:val="20"/>
          <w:lang w:val="en-GB" w:eastAsia="zh-CN"/>
        </w:rPr>
        <w:t>XI</w:t>
      </w:r>
      <w:r w:rsidRPr="00D75D7F">
        <w:rPr>
          <w:rFonts w:eastAsia="SimSun" w:cs="Times New Roman"/>
          <w:szCs w:val="20"/>
          <w:lang w:eastAsia="zh-CN"/>
        </w:rPr>
        <w:t xml:space="preserve"> века в Азербайджане управление перешло к Сельджукам. В период 1136−1225 годов в Азербайджане господствовали Атабеки-Илдегизиды.</w:t>
      </w:r>
    </w:p>
    <w:p w14:paraId="178778F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18.</w:t>
      </w:r>
      <w:r w:rsidRPr="00D75D7F">
        <w:rPr>
          <w:rFonts w:eastAsia="SimSun" w:cs="Times New Roman"/>
          <w:szCs w:val="20"/>
          <w:lang w:eastAsia="zh-CN"/>
        </w:rPr>
        <w:tab/>
        <w:t>Этот период считается периодом расцвета культуры Азербайджана, который подарил миру множество выдающихся философов, архитекторов, поэтов и ученых. Творчество Низами Гянджеви (1141−1209 годы), поэта и философа Азербайджана, является сокровищницей мирового культурного наследия.</w:t>
      </w:r>
    </w:p>
    <w:p w14:paraId="43386CF4" w14:textId="6213AEB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w:t>
      </w:r>
      <w:r w:rsidRPr="00D75D7F">
        <w:rPr>
          <w:rFonts w:eastAsia="SimSun" w:cs="Times New Roman"/>
          <w:szCs w:val="20"/>
          <w:lang w:eastAsia="zh-CN"/>
        </w:rPr>
        <w:tab/>
        <w:t>В 20−30-х годах Х</w:t>
      </w:r>
      <w:r w:rsidRPr="00D75D7F">
        <w:rPr>
          <w:rFonts w:eastAsia="SimSun" w:cs="Times New Roman"/>
          <w:szCs w:val="20"/>
          <w:lang w:val="en-GB" w:eastAsia="zh-CN"/>
        </w:rPr>
        <w:t>III</w:t>
      </w:r>
      <w:r w:rsidRPr="00D75D7F">
        <w:rPr>
          <w:rFonts w:eastAsia="SimSun" w:cs="Times New Roman"/>
          <w:szCs w:val="20"/>
          <w:lang w:eastAsia="zh-CN"/>
        </w:rPr>
        <w:t xml:space="preserve"> века из-за разрушительных походов монголов в Азербайджане прекратили свое существование многие местные династии.</w:t>
      </w:r>
      <w:r w:rsidR="00A675B2">
        <w:rPr>
          <w:rFonts w:eastAsia="SimSun" w:cs="Times New Roman"/>
          <w:szCs w:val="20"/>
          <w:lang w:eastAsia="zh-CN"/>
        </w:rPr>
        <w:br/>
      </w:r>
      <w:r w:rsidRPr="00D75D7F">
        <w:rPr>
          <w:rFonts w:eastAsia="SimSun" w:cs="Times New Roman"/>
          <w:szCs w:val="20"/>
          <w:lang w:eastAsia="zh-CN"/>
        </w:rPr>
        <w:t>В 1239−1256 годах эти области управлялись наместниками Монгольской империи.</w:t>
      </w:r>
      <w:r w:rsidR="00A675B2">
        <w:rPr>
          <w:rFonts w:eastAsia="SimSun" w:cs="Times New Roman"/>
          <w:szCs w:val="20"/>
          <w:lang w:eastAsia="zh-CN"/>
        </w:rPr>
        <w:br/>
      </w:r>
      <w:r w:rsidRPr="00D75D7F">
        <w:rPr>
          <w:rFonts w:eastAsia="SimSun" w:cs="Times New Roman"/>
          <w:szCs w:val="20"/>
          <w:lang w:eastAsia="zh-CN"/>
        </w:rPr>
        <w:t xml:space="preserve">В 1258 году Азербайджан вошел в состав пятого монгольского улуса </w:t>
      </w:r>
      <w:r w:rsidRPr="00D75D7F">
        <w:rPr>
          <w:rFonts w:eastAsia="SimSun" w:cs="Times New Roman"/>
          <w:szCs w:val="20"/>
          <w:lang w:val="en-GB" w:eastAsia="zh-CN"/>
        </w:rPr>
        <w:t>⸺</w:t>
      </w:r>
      <w:r w:rsidRPr="00D75D7F">
        <w:rPr>
          <w:rFonts w:eastAsia="SimSun" w:cs="Times New Roman"/>
          <w:szCs w:val="20"/>
          <w:lang w:eastAsia="zh-CN"/>
        </w:rPr>
        <w:t xml:space="preserve"> Хулагуидского государства, рубежи которого охватывали территорию от Египта до Амударьи</w:t>
      </w:r>
      <w:r w:rsidR="00A675B2">
        <w:rPr>
          <w:rFonts w:eastAsia="SimSun" w:cs="Times New Roman"/>
          <w:szCs w:val="20"/>
          <w:lang w:eastAsia="zh-CN"/>
        </w:rPr>
        <w:br/>
      </w:r>
      <w:r w:rsidRPr="00D75D7F">
        <w:rPr>
          <w:rFonts w:eastAsia="SimSun" w:cs="Times New Roman"/>
          <w:szCs w:val="20"/>
          <w:lang w:eastAsia="zh-CN"/>
        </w:rPr>
        <w:t>и от Дербента до Ормузского пролива. После падения Хулагуидского</w:t>
      </w:r>
      <w:r w:rsidR="00A675B2">
        <w:rPr>
          <w:rFonts w:eastAsia="SimSun" w:cs="Times New Roman"/>
          <w:szCs w:val="20"/>
          <w:lang w:eastAsia="zh-CN"/>
        </w:rPr>
        <w:br/>
      </w:r>
      <w:r w:rsidRPr="00D75D7F">
        <w:rPr>
          <w:rFonts w:eastAsia="SimSun" w:cs="Times New Roman"/>
          <w:szCs w:val="20"/>
          <w:lang w:eastAsia="zh-CN"/>
        </w:rPr>
        <w:t>государства (1357 год) в 1359 году Азербайджан вошел в состав Джалаиридского государства.</w:t>
      </w:r>
    </w:p>
    <w:p w14:paraId="66B8A295" w14:textId="4EC8BEC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w:t>
      </w:r>
      <w:r w:rsidRPr="00D75D7F">
        <w:rPr>
          <w:rFonts w:eastAsia="SimSun" w:cs="Times New Roman"/>
          <w:szCs w:val="20"/>
          <w:lang w:eastAsia="zh-CN"/>
        </w:rPr>
        <w:tab/>
        <w:t>В конце Х</w:t>
      </w:r>
      <w:r w:rsidRPr="00D75D7F">
        <w:rPr>
          <w:rFonts w:eastAsia="SimSun" w:cs="Times New Roman"/>
          <w:szCs w:val="20"/>
          <w:lang w:val="en-GB" w:eastAsia="zh-CN"/>
        </w:rPr>
        <w:t>IV</w:t>
      </w:r>
      <w:r w:rsidRPr="00D75D7F">
        <w:rPr>
          <w:rFonts w:eastAsia="SimSun" w:cs="Times New Roman"/>
          <w:szCs w:val="20"/>
          <w:lang w:eastAsia="zh-CN"/>
        </w:rPr>
        <w:t xml:space="preserve"> века войска среднеазиатского правителя эмира Тимура и хана Золотой Орды Тохтамыша попеременно совершали походы на Азербайджан.</w:t>
      </w:r>
      <w:r w:rsidR="00A675B2">
        <w:rPr>
          <w:rFonts w:eastAsia="SimSun" w:cs="Times New Roman"/>
          <w:szCs w:val="20"/>
          <w:lang w:eastAsia="zh-CN"/>
        </w:rPr>
        <w:br/>
      </w:r>
      <w:r w:rsidRPr="00D75D7F">
        <w:rPr>
          <w:rFonts w:eastAsia="SimSun" w:cs="Times New Roman"/>
          <w:szCs w:val="20"/>
          <w:lang w:eastAsia="zh-CN"/>
        </w:rPr>
        <w:t>Все попытки Джалаиридов с 1386 по 1405 год (до смерти эмира Тимура) восстановить в Азербайджане свою политическую власть не увенчались успехом.</w:t>
      </w:r>
    </w:p>
    <w:p w14:paraId="5442151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w:t>
      </w:r>
      <w:r w:rsidRPr="00D75D7F">
        <w:rPr>
          <w:rFonts w:eastAsia="SimSun" w:cs="Times New Roman"/>
          <w:szCs w:val="20"/>
          <w:lang w:eastAsia="zh-CN"/>
        </w:rPr>
        <w:tab/>
        <w:t xml:space="preserve">Объединительная политика Ширваншаха Ибрагима </w:t>
      </w:r>
      <w:r w:rsidRPr="00D75D7F">
        <w:rPr>
          <w:rFonts w:eastAsia="SimSun" w:cs="Times New Roman"/>
          <w:szCs w:val="20"/>
          <w:lang w:val="en-GB" w:eastAsia="zh-CN"/>
        </w:rPr>
        <w:t>I</w:t>
      </w:r>
      <w:r w:rsidRPr="00D75D7F">
        <w:rPr>
          <w:rFonts w:eastAsia="SimSun" w:cs="Times New Roman"/>
          <w:szCs w:val="20"/>
          <w:lang w:eastAsia="zh-CN"/>
        </w:rPr>
        <w:t xml:space="preserve"> (1382−1417 годы) стала важным событием в истории государственности Азербайджана. Но победа Гарагоюнлу над Тимуридами и Джалаиридами, а также внутренние распри местных феодалов помешали реализации объединительной политики Ибрагима </w:t>
      </w:r>
      <w:r w:rsidRPr="00D75D7F">
        <w:rPr>
          <w:rFonts w:eastAsia="SimSun" w:cs="Times New Roman"/>
          <w:szCs w:val="20"/>
          <w:lang w:val="en-GB" w:eastAsia="zh-CN"/>
        </w:rPr>
        <w:t>I</w:t>
      </w:r>
      <w:r w:rsidRPr="00D75D7F">
        <w:rPr>
          <w:rFonts w:eastAsia="SimSun" w:cs="Times New Roman"/>
          <w:szCs w:val="20"/>
          <w:lang w:eastAsia="zh-CN"/>
        </w:rPr>
        <w:t>.</w:t>
      </w:r>
    </w:p>
    <w:p w14:paraId="062F9023" w14:textId="3FEA69E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w:t>
      </w:r>
      <w:r w:rsidRPr="00D75D7F">
        <w:rPr>
          <w:rFonts w:eastAsia="SimSun" w:cs="Times New Roman"/>
          <w:szCs w:val="20"/>
          <w:lang w:eastAsia="zh-CN"/>
        </w:rPr>
        <w:tab/>
        <w:t>В 1410 году при правлении Гара Юсуфа было образовано государство Гарагоюнлу. Во время правления сына Гара Юсуфа Джаханшаха (1435−1467 годы) государство Гарагоюнлу переживало период своего расцвета. В 1468 году при правлении Узун Гасана было образовано государство Аггоюнлу.</w:t>
      </w:r>
    </w:p>
    <w:p w14:paraId="69B9497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w:t>
      </w:r>
      <w:r w:rsidRPr="00D75D7F">
        <w:rPr>
          <w:rFonts w:eastAsia="SimSun" w:cs="Times New Roman"/>
          <w:szCs w:val="20"/>
          <w:lang w:eastAsia="zh-CN"/>
        </w:rPr>
        <w:tab/>
        <w:t>В 1501 году в Азербайджане создается Сефевидское государство, которое было названо так в честь правящей азербайджанской династии, ведшей свое происхождение от шейха Сефиаддина (1252−1334 годы).</w:t>
      </w:r>
    </w:p>
    <w:p w14:paraId="0443F6E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w:t>
      </w:r>
      <w:r w:rsidRPr="00D75D7F">
        <w:rPr>
          <w:rFonts w:eastAsia="SimSun" w:cs="Times New Roman"/>
          <w:szCs w:val="20"/>
          <w:lang w:eastAsia="zh-CN"/>
        </w:rPr>
        <w:tab/>
        <w:t xml:space="preserve">В период правления этой династии все земли Азербайджана впервые в истории были объединены в одно азербайджанское государство. Территория государства Сефевидов простиралась от реки Амударьи до Евфрата и от Дербента до берегов Персидского залива. Азербайджанский язык был официальным языком Сефевидского государства. В конце </w:t>
      </w:r>
      <w:r w:rsidRPr="00D75D7F">
        <w:rPr>
          <w:rFonts w:eastAsia="SimSun" w:cs="Times New Roman"/>
          <w:szCs w:val="20"/>
          <w:lang w:val="en-GB" w:eastAsia="zh-CN"/>
        </w:rPr>
        <w:t>XVI</w:t>
      </w:r>
      <w:r w:rsidRPr="00D75D7F">
        <w:rPr>
          <w:rFonts w:eastAsia="SimSun" w:cs="Times New Roman"/>
          <w:szCs w:val="20"/>
          <w:lang w:eastAsia="zh-CN"/>
        </w:rPr>
        <w:t xml:space="preserve"> века столица Сефевидского государства была переведена в Исфахан. Исследователи считают Сефевидский период новым этапом ренессанса азербайджанской культуры.</w:t>
      </w:r>
    </w:p>
    <w:p w14:paraId="3E64D1B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w:t>
      </w:r>
      <w:r w:rsidRPr="00D75D7F">
        <w:rPr>
          <w:rFonts w:eastAsia="SimSun" w:cs="Times New Roman"/>
          <w:szCs w:val="20"/>
          <w:lang w:eastAsia="zh-CN"/>
        </w:rPr>
        <w:tab/>
        <w:t>В конце Х</w:t>
      </w:r>
      <w:r w:rsidRPr="00D75D7F">
        <w:rPr>
          <w:rFonts w:eastAsia="SimSun" w:cs="Times New Roman"/>
          <w:szCs w:val="20"/>
          <w:lang w:val="en-GB" w:eastAsia="zh-CN"/>
        </w:rPr>
        <w:t>VII</w:t>
      </w:r>
      <w:r w:rsidRPr="00D75D7F">
        <w:rPr>
          <w:rFonts w:eastAsia="SimSun" w:cs="Times New Roman"/>
          <w:szCs w:val="20"/>
          <w:lang w:eastAsia="zh-CN"/>
        </w:rPr>
        <w:t xml:space="preserve"> </w:t>
      </w:r>
      <w:r w:rsidRPr="00D75D7F">
        <w:rPr>
          <w:rFonts w:eastAsia="SimSun" w:cs="Times New Roman"/>
          <w:szCs w:val="20"/>
          <w:lang w:val="en-GB" w:eastAsia="zh-CN"/>
        </w:rPr>
        <w:t>⸺</w:t>
      </w:r>
      <w:r w:rsidRPr="00D75D7F">
        <w:rPr>
          <w:rFonts w:eastAsia="SimSun" w:cs="Times New Roman"/>
          <w:szCs w:val="20"/>
          <w:lang w:eastAsia="zh-CN"/>
        </w:rPr>
        <w:t xml:space="preserve"> начале Х</w:t>
      </w:r>
      <w:r w:rsidRPr="00D75D7F">
        <w:rPr>
          <w:rFonts w:eastAsia="SimSun" w:cs="Times New Roman"/>
          <w:szCs w:val="20"/>
          <w:lang w:val="en-GB" w:eastAsia="zh-CN"/>
        </w:rPr>
        <w:t>VIII</w:t>
      </w:r>
      <w:r w:rsidRPr="00D75D7F">
        <w:rPr>
          <w:rFonts w:eastAsia="SimSun" w:cs="Times New Roman"/>
          <w:szCs w:val="20"/>
          <w:lang w:eastAsia="zh-CN"/>
        </w:rPr>
        <w:t xml:space="preserve"> века политико-экономический кризис, охвативший Сефевидское государство, ослабил Азербайджан. В 1736 году талантливый полководец сефевидской армии Надир Гулу хан объявил себя шахом, положив конец правлению династии Сефевидов. В результате завоевательных войн Надир-шах создал империю, в состав которой входил и Азербайджан. Упразднив азербайджанские беглярбекства (Ширванское, Карабахское, Тебризское и Чухурсаадское), Надир-шах образовал провинцию под названием Азербайджан, включавшую в себя Иреван и Дербент.</w:t>
      </w:r>
    </w:p>
    <w:p w14:paraId="3CCF323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w:t>
      </w:r>
      <w:r w:rsidRPr="00D75D7F">
        <w:rPr>
          <w:rFonts w:eastAsia="SimSun" w:cs="Times New Roman"/>
          <w:szCs w:val="20"/>
          <w:lang w:eastAsia="zh-CN"/>
        </w:rPr>
        <w:tab/>
        <w:t>После смерти Надира в 1747 году его государство распалось. На территории Азербайджана стали образовываться независимые государства-ханства: Нахичеванское, Иреванское, Гянджинское, Карабахское, Шамахинское, Шекинское, Дербентское, Губинское, Бакинское, Джавадское и Ленкоранское. На юге были образованы Тебризское, Урмийское, Ардебильское, Хойское, Гарадагское, Марагинское, Макинское и Сарабское ханства. Были созданы султанаты Газах, Борчалы, Габала, Ареш, Шамшадил и Илису. На северо-востоке расположился Джаро-Белаканский джамаат. В горных частях Карабахского ханства существовали меликства Варанда, Хачин, Гюлистан, Дизак и Чилеберд.</w:t>
      </w:r>
    </w:p>
    <w:p w14:paraId="73C6AA7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w:t>
      </w:r>
      <w:r w:rsidRPr="00D75D7F">
        <w:rPr>
          <w:rFonts w:eastAsia="SimSun" w:cs="Times New Roman"/>
          <w:szCs w:val="20"/>
          <w:lang w:eastAsia="zh-CN"/>
        </w:rPr>
        <w:tab/>
        <w:t>14 мая 1805 года с азербайджанским ханом Ибрагимом Халилом был подписан Кюрекчайский договор, согласно которому независимое азербайджанское ханство Карабаха перешло под покровительство России, — тем самым была подтверждена вассальная зависимость Карабахского ханства от Российской империи.</w:t>
      </w:r>
    </w:p>
    <w:p w14:paraId="2787924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28.</w:t>
      </w:r>
      <w:r w:rsidRPr="00D75D7F">
        <w:rPr>
          <w:rFonts w:eastAsia="SimSun" w:cs="Times New Roman"/>
          <w:szCs w:val="20"/>
          <w:lang w:eastAsia="zh-CN"/>
        </w:rPr>
        <w:tab/>
        <w:t>В течение 1805−1806 годов Шекинское, Ширванское, Дербентское, Бакинское и Губинское ханства также были подчинены Россией. 13 октября 1813 года был подписан Гюлистанский договор, положивший конец русско-иранской войне, начавшейся в 1804 году. Согласно этому договору, территория азербайджанских ханств, расположенных севернее реки Араз (кроме Иреванского и Нахичеванского), были включены в состав Российской империи. Позже ханства были упразднены и превратились в одноименные провинции. По Туркменчайскому договору 1828 года, заключенному между Россией и Гаджарским Ираном, российские войска покинули оккупированные ими территории Южного Азербайджана, передав их в распоряжение Иранского государства. Нахичеванское и Иреванское ханства перешли в состав России. С завоеванием Россией Северного Азербайджана азербайджанские ханства окончательно лишились независимости. Единый народ был разделен. Северная часть Азербайджана стала колонией России.</w:t>
      </w:r>
    </w:p>
    <w:p w14:paraId="17041E17" w14:textId="23CC012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w:t>
      </w:r>
      <w:r w:rsidRPr="00D75D7F">
        <w:rPr>
          <w:rFonts w:eastAsia="SimSun" w:cs="Times New Roman"/>
          <w:szCs w:val="20"/>
          <w:lang w:eastAsia="zh-CN"/>
        </w:rPr>
        <w:tab/>
        <w:t>Со свержением царизма и его колониальной системы в феврале 1917 года меняется политическая ситуация и в Азербайджане. Выступавшие против независимости Азербайджана большевистско-дашнакские боевые отряды под руководством Степана Шаумяна начали массовое уничтожение азербайджанцев в Баку, Шамахе, Губе, Ленкорани, Иреване, Зангезуре, Нахичевани и других регионах Азербайджана.</w:t>
      </w:r>
    </w:p>
    <w:p w14:paraId="14031FD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w:t>
      </w:r>
      <w:r w:rsidRPr="00D75D7F">
        <w:rPr>
          <w:rFonts w:eastAsia="SimSun" w:cs="Times New Roman"/>
          <w:szCs w:val="20"/>
          <w:lang w:eastAsia="zh-CN"/>
        </w:rPr>
        <w:tab/>
        <w:t>28 мая 1918 года на заседании Азербайджанского временного национального совета было принято постановление о создании независимой Азербайджанской Демократической Республики.</w:t>
      </w:r>
    </w:p>
    <w:p w14:paraId="56E9398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w:t>
      </w:r>
      <w:r w:rsidRPr="00D75D7F">
        <w:rPr>
          <w:rFonts w:eastAsia="SimSun" w:cs="Times New Roman"/>
          <w:szCs w:val="20"/>
          <w:lang w:eastAsia="zh-CN"/>
        </w:rPr>
        <w:tab/>
        <w:t>29 мая 1918 года по вынужденному обстоятельству Национальный совет Азербайджанской Демократической Республики принял решение об уступке города Иреван и близлежащих территорий общей площадью 9 км</w:t>
      </w:r>
      <w:r w:rsidRPr="00D75D7F">
        <w:rPr>
          <w:rFonts w:eastAsia="SimSun" w:cs="Times New Roman"/>
          <w:szCs w:val="20"/>
          <w:vertAlign w:val="superscript"/>
          <w:lang w:eastAsia="zh-CN"/>
        </w:rPr>
        <w:t>2</w:t>
      </w:r>
      <w:r w:rsidRPr="00D75D7F">
        <w:rPr>
          <w:rFonts w:eastAsia="SimSun" w:cs="Times New Roman"/>
          <w:szCs w:val="20"/>
          <w:lang w:eastAsia="zh-CN"/>
        </w:rPr>
        <w:t xml:space="preserve"> армянам, где была создана так называемая первая Армянская Республика.</w:t>
      </w:r>
    </w:p>
    <w:p w14:paraId="4C5088E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w:t>
      </w:r>
      <w:r w:rsidRPr="00D75D7F">
        <w:rPr>
          <w:rFonts w:eastAsia="SimSun" w:cs="Times New Roman"/>
          <w:szCs w:val="20"/>
          <w:lang w:eastAsia="zh-CN"/>
        </w:rPr>
        <w:tab/>
        <w:t>В период 1918–1920 годов Азербайджанская Демократическая Республика установила дипломатические отношения с рядом государств. С некоторыми из них были подписаны соглашения о принципах взаимоотношений, и 16 государств создали свои представительства в городе Баку.</w:t>
      </w:r>
    </w:p>
    <w:p w14:paraId="48A184E6" w14:textId="16B79E9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w:t>
      </w:r>
      <w:r w:rsidRPr="00D75D7F">
        <w:rPr>
          <w:rFonts w:eastAsia="SimSun" w:cs="Times New Roman"/>
          <w:szCs w:val="20"/>
          <w:lang w:eastAsia="zh-CN"/>
        </w:rPr>
        <w:tab/>
        <w:t>28 декабря 1918 года с целью добиться приема в Лигу Наций правительство Азербайджана направило свою делегацию на Парижскую мирную конференцию.</w:t>
      </w:r>
      <w:r w:rsidR="00FA3F35">
        <w:rPr>
          <w:rFonts w:eastAsia="SimSun" w:cs="Times New Roman"/>
          <w:szCs w:val="20"/>
          <w:lang w:eastAsia="zh-CN"/>
        </w:rPr>
        <w:br/>
      </w:r>
      <w:r w:rsidRPr="00D75D7F">
        <w:rPr>
          <w:rFonts w:eastAsia="SimSun" w:cs="Times New Roman"/>
          <w:szCs w:val="20"/>
          <w:lang w:eastAsia="zh-CN"/>
        </w:rPr>
        <w:t>В результате усилий азербайджанской делегации и перед растущей угрозой оккупации Закавказья Советской Россией Верховный совет союзных держав на Парижской мирной конференции 12 января 1920 года признал де-факто независимость Азербайджанской Демократической Республики.</w:t>
      </w:r>
    </w:p>
    <w:p w14:paraId="77744A1C" w14:textId="61D11F9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34.</w:t>
      </w:r>
      <w:r w:rsidRPr="00D75D7F">
        <w:rPr>
          <w:rFonts w:eastAsia="SimSun" w:cs="Times New Roman"/>
          <w:szCs w:val="20"/>
          <w:lang w:eastAsia="zh-CN"/>
        </w:rPr>
        <w:tab/>
        <w:t>Политическое решение большевистского правительства Российской Социалистической Федеративной Республики не признавать Азербайджанскую Демократическую Республику, развертывание одиннадцатой Красной армии на границах Азербайджанской Республики весной 1920 года, агрессия, проводимая Дашнакским правительством Армении против Азербайджана в Карабахе и Зангезуре, террористические нападения армян и большевиков на мирное азербайджанское население внутри Азербайджана и социально-экономический кризис, охвативший страну, явились теми факторами, которые привели к ослаблению Азербайджанской Демократической Республики и ее оккупации Советской армией 27−28 апреля</w:t>
      </w:r>
      <w:r w:rsidR="00B9784D">
        <w:rPr>
          <w:rFonts w:eastAsia="SimSun" w:cs="Times New Roman"/>
          <w:szCs w:val="20"/>
          <w:lang w:eastAsia="zh-CN"/>
        </w:rPr>
        <w:br/>
      </w:r>
      <w:r w:rsidRPr="00D75D7F">
        <w:rPr>
          <w:rFonts w:eastAsia="SimSun" w:cs="Times New Roman"/>
          <w:szCs w:val="20"/>
          <w:lang w:eastAsia="zh-CN"/>
        </w:rPr>
        <w:t>1920 года.</w:t>
      </w:r>
    </w:p>
    <w:p w14:paraId="434C1D3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35.</w:t>
      </w:r>
      <w:r w:rsidRPr="00D75D7F">
        <w:rPr>
          <w:rFonts w:eastAsia="SimSun" w:cs="Times New Roman"/>
          <w:szCs w:val="20"/>
          <w:lang w:eastAsia="zh-CN"/>
        </w:rPr>
        <w:tab/>
        <w:t>28 апреля 1920 года было объявлено о создании на территории Азербайджанской Демократической Республики Азербайджанской Советской Социалистической Республики (Азербайджанской ССР). Созывом первого съезда советов Азербайджанской ССР 6 марта 1921 года завершилась советизация Северного Азербайджана. 19 мая того же года была принята первая Конституция Азербайджанской ССР.</w:t>
      </w:r>
    </w:p>
    <w:p w14:paraId="5A09A95C" w14:textId="56F81B9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36.</w:t>
      </w:r>
      <w:r w:rsidRPr="00D75D7F">
        <w:rPr>
          <w:rFonts w:eastAsia="SimSun" w:cs="Times New Roman"/>
          <w:szCs w:val="20"/>
          <w:lang w:eastAsia="zh-CN"/>
        </w:rPr>
        <w:tab/>
        <w:t>Азербайджанский народ принял активное участие во Второй мировой войне.</w:t>
      </w:r>
      <w:r w:rsidR="00B9784D">
        <w:rPr>
          <w:rFonts w:eastAsia="SimSun" w:cs="Times New Roman"/>
          <w:szCs w:val="20"/>
          <w:lang w:eastAsia="zh-CN"/>
        </w:rPr>
        <w:br/>
      </w:r>
      <w:r w:rsidRPr="00D75D7F">
        <w:rPr>
          <w:rFonts w:eastAsia="SimSun" w:cs="Times New Roman"/>
          <w:szCs w:val="20"/>
          <w:lang w:eastAsia="zh-CN"/>
        </w:rPr>
        <w:t xml:space="preserve">В 1941−1945 годах более 600 000 мужчин и женщин Республики отправились на фронт. Азербайджанские дивизии прошли боевой путь от Кавказа до Берлина. Около </w:t>
      </w:r>
      <w:r w:rsidRPr="00D75D7F">
        <w:rPr>
          <w:rFonts w:eastAsia="SimSun" w:cs="Times New Roman"/>
          <w:szCs w:val="20"/>
          <w:lang w:eastAsia="zh-CN"/>
        </w:rPr>
        <w:lastRenderedPageBreak/>
        <w:t>130 азербайджанцев были удостоены звания Героя Советского Союза</w:t>
      </w:r>
      <w:r w:rsidR="00B9784D">
        <w:rPr>
          <w:rFonts w:eastAsia="SimSun" w:cs="Times New Roman"/>
          <w:szCs w:val="20"/>
          <w:lang w:eastAsia="zh-CN"/>
        </w:rPr>
        <w:br/>
      </w:r>
      <w:r w:rsidRPr="00D75D7F">
        <w:rPr>
          <w:rFonts w:eastAsia="SimSun" w:cs="Times New Roman"/>
          <w:szCs w:val="20"/>
          <w:lang w:eastAsia="zh-CN"/>
        </w:rPr>
        <w:t>и еще 30 азербайджанцев были награждены орденом «Славы» трех степеней. Более 170 000 солдат и офицеров-азербайджанцев были награждены орденами и медалями Союза Советских Социалистических Республик (СССР). В годы войны азербайджанские нефтяники поставляли на фронт около 80</w:t>
      </w:r>
      <w:r w:rsidR="00B9784D">
        <w:rPr>
          <w:rFonts w:eastAsia="SimSun" w:cs="Times New Roman"/>
          <w:szCs w:val="20"/>
          <w:lang w:eastAsia="zh-CN"/>
        </w:rPr>
        <w:t> </w:t>
      </w:r>
      <w:r w:rsidRPr="00D75D7F">
        <w:rPr>
          <w:rFonts w:eastAsia="SimSun" w:cs="Times New Roman"/>
          <w:szCs w:val="20"/>
          <w:lang w:eastAsia="zh-CN"/>
        </w:rPr>
        <w:t>% нефти и нефтепродуктов, производимых в тот период в СССР.</w:t>
      </w:r>
    </w:p>
    <w:p w14:paraId="3FB31B3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37.</w:t>
      </w:r>
      <w:r w:rsidRPr="00D75D7F">
        <w:rPr>
          <w:rFonts w:eastAsia="SimSun" w:cs="Times New Roman"/>
          <w:szCs w:val="20"/>
          <w:lang w:eastAsia="zh-CN"/>
        </w:rPr>
        <w:tab/>
        <w:t>Государственный суверенитет и экономическая независимость Азербайджана, его систематически расширяющиеся внешнеэкономические связи и постепенная глубокая интеграция в мировую экономику, базирующаяся на ее народнохозяйственном потенциале, были заложены в 1970−1985 годы. Именно в эти годы в Азербайджане возникли такие новые прогрессивные отрасли промышленности, как электронное машиностроение, радиопромышленность и производство машин и оборудования для легкой и пищевой промышленности. В целом в эксплуатацию были введены 213 крупных промышленных предприятий. Во многих отраслях производства Азербайджан занимал ведущие позиции в СССР.</w:t>
      </w:r>
    </w:p>
    <w:p w14:paraId="5528034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38.</w:t>
      </w:r>
      <w:r w:rsidRPr="00D75D7F">
        <w:rPr>
          <w:rFonts w:eastAsia="SimSun" w:cs="Times New Roman"/>
          <w:szCs w:val="20"/>
          <w:lang w:eastAsia="zh-CN"/>
        </w:rPr>
        <w:tab/>
        <w:t>В Азербайджанской ССР было введено обязательное среднее образование, создана развитая сеть учебных заведений, в том числе высших учебных заведений, сформирована Академия наук, обеспечены защита прав женщин и их активное участие в социально-экономической жизни, открыты десятки театров, развивалось киноискусство, началось издание тысяч газет и журналов.</w:t>
      </w:r>
    </w:p>
    <w:p w14:paraId="7B1326D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39.</w:t>
      </w:r>
      <w:r w:rsidRPr="00D75D7F">
        <w:rPr>
          <w:rFonts w:eastAsia="SimSun" w:cs="Times New Roman"/>
          <w:szCs w:val="20"/>
          <w:lang w:eastAsia="zh-CN"/>
        </w:rPr>
        <w:tab/>
        <w:t>18 октября 1991 года Азербайджан восстановил свою независимость, приняв Конституционный акт «О государственной независимости Азербайджанской Республики».</w:t>
      </w:r>
    </w:p>
    <w:p w14:paraId="28C5003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40.</w:t>
      </w:r>
      <w:r w:rsidRPr="00D75D7F">
        <w:rPr>
          <w:rFonts w:eastAsia="SimSun" w:cs="Times New Roman"/>
          <w:szCs w:val="20"/>
          <w:lang w:eastAsia="zh-CN"/>
        </w:rPr>
        <w:tab/>
        <w:t>В мае 1992 года Милли Меджлис утвердил Государственный гимн Азербайджанской Республики, а через некоторое время — Государственный флаг и Государственный герб с изображением восьмиконечной звезды с языками пламени в центре.</w:t>
      </w:r>
    </w:p>
    <w:p w14:paraId="28A5DAD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41.</w:t>
      </w:r>
      <w:r w:rsidRPr="00D75D7F">
        <w:rPr>
          <w:rFonts w:eastAsia="SimSun" w:cs="Times New Roman"/>
          <w:szCs w:val="20"/>
          <w:lang w:eastAsia="zh-CN"/>
        </w:rPr>
        <w:tab/>
        <w:t>В июне 1993 года по настоятельному требованию народа в стране произошла смена власти и начался второй период истории независимой государственности. Страну необходимо было спасти от ожидающих ее бедствий, посягательств внутренних и внешних антиазербайджанских сил, гражданской войны, последовательной оккупации наших земель и, наконец, от уничтожения государственной независимости и расчленения Азербайджана.</w:t>
      </w:r>
    </w:p>
    <w:p w14:paraId="7DC8CE3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42.</w:t>
      </w:r>
      <w:r w:rsidRPr="00D75D7F">
        <w:rPr>
          <w:rFonts w:eastAsia="SimSun" w:cs="Times New Roman"/>
          <w:szCs w:val="20"/>
          <w:lang w:eastAsia="zh-CN"/>
        </w:rPr>
        <w:tab/>
        <w:t>Возвращение Гейдара Алиева к власти в Азербайджане в 1993 году стало той точкой опоры, с которой, по сути, и началось возрождение азербайджанской государственности и азербайджанского народа. Встав у руля молодого государства, он укрепил его независимость, сделал ее необратимой, начал полномасштабные реформы и вывел Азербайджан на передовые позиции на мировой арене.</w:t>
      </w:r>
    </w:p>
    <w:p w14:paraId="1B9C97C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43.</w:t>
      </w:r>
      <w:r w:rsidRPr="00D75D7F">
        <w:rPr>
          <w:rFonts w:eastAsia="SimSun" w:cs="Times New Roman"/>
          <w:szCs w:val="20"/>
          <w:lang w:eastAsia="zh-CN"/>
        </w:rPr>
        <w:tab/>
        <w:t xml:space="preserve">Нормализация внутренней обстановки, укрепление общественно-политической стабильности и ликвидация напряженности, возникшей в регионе между Азербайджаном и соседними государствами, </w:t>
      </w:r>
      <w:r w:rsidRPr="00D75D7F">
        <w:rPr>
          <w:rFonts w:eastAsia="SimSun" w:cs="Times New Roman"/>
          <w:szCs w:val="20"/>
          <w:lang w:val="en-GB" w:eastAsia="zh-CN"/>
        </w:rPr>
        <w:t>⸺</w:t>
      </w:r>
      <w:r w:rsidRPr="00D75D7F">
        <w:rPr>
          <w:rFonts w:eastAsia="SimSun" w:cs="Times New Roman"/>
          <w:szCs w:val="20"/>
          <w:lang w:eastAsia="zh-CN"/>
        </w:rPr>
        <w:t xml:space="preserve"> все это обусловливало существование Азербайджана как независимого государства и его последующее развитие.</w:t>
      </w:r>
    </w:p>
    <w:p w14:paraId="6176BDB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44.</w:t>
      </w:r>
      <w:r w:rsidRPr="00D75D7F">
        <w:rPr>
          <w:rFonts w:eastAsia="SimSun" w:cs="Times New Roman"/>
          <w:szCs w:val="20"/>
          <w:lang w:eastAsia="zh-CN"/>
        </w:rPr>
        <w:tab/>
        <w:t xml:space="preserve">В сентябре 1994 года с учетом сложившегося в Азербайджане относительного спокойствия и в результате возросшего доверия и интереса к этой стране со стороны международного сообщества был подписан первый нефтяной контракт </w:t>
      </w:r>
      <w:r w:rsidRPr="00D75D7F">
        <w:rPr>
          <w:rFonts w:eastAsia="SimSun" w:cs="Times New Roman"/>
          <w:szCs w:val="20"/>
          <w:lang w:val="en-GB" w:eastAsia="zh-CN"/>
        </w:rPr>
        <w:t>⸺</w:t>
      </w:r>
      <w:r w:rsidRPr="00D75D7F">
        <w:rPr>
          <w:rFonts w:eastAsia="SimSun" w:cs="Times New Roman"/>
          <w:szCs w:val="20"/>
          <w:lang w:eastAsia="zh-CN"/>
        </w:rPr>
        <w:t xml:space="preserve"> «Контракт века».</w:t>
      </w:r>
    </w:p>
    <w:p w14:paraId="235950A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45.</w:t>
      </w:r>
      <w:r w:rsidRPr="00D75D7F">
        <w:rPr>
          <w:rFonts w:eastAsia="SimSun" w:cs="Times New Roman"/>
          <w:szCs w:val="20"/>
          <w:lang w:eastAsia="zh-CN"/>
        </w:rPr>
        <w:tab/>
        <w:t>Провозгласив свою государственную независимость, Азербайджан заявил, что будет идти по пути строительства демократического, светского, правового государства. В 1995 году процесс создания в Азербайджане необходимых институтов независимого государства и государственное строительство получили широкий размах. Правовую основу этого составила принятая по итогам всеобщего референдума 12 ноября 1995 года Конституция Азербайджана.</w:t>
      </w:r>
    </w:p>
    <w:p w14:paraId="3477E67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46.</w:t>
      </w:r>
      <w:r w:rsidRPr="00D75D7F">
        <w:rPr>
          <w:rFonts w:eastAsia="SimSun" w:cs="Times New Roman"/>
          <w:szCs w:val="20"/>
          <w:lang w:eastAsia="zh-CN"/>
        </w:rPr>
        <w:tab/>
        <w:t xml:space="preserve">В последующий период государственность в стране крепла и твердо утверждались демократические принципы. Успешно и быстрыми темпами </w:t>
      </w:r>
      <w:r w:rsidRPr="00D75D7F">
        <w:rPr>
          <w:rFonts w:eastAsia="SimSun" w:cs="Times New Roman"/>
          <w:szCs w:val="20"/>
          <w:lang w:eastAsia="zh-CN"/>
        </w:rPr>
        <w:lastRenderedPageBreak/>
        <w:t>осуществляется процесс строительства демократического, правового и светского государства.</w:t>
      </w:r>
    </w:p>
    <w:p w14:paraId="76D14E3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47.</w:t>
      </w:r>
      <w:r w:rsidRPr="00D75D7F">
        <w:rPr>
          <w:rFonts w:eastAsia="SimSun" w:cs="Times New Roman"/>
          <w:szCs w:val="20"/>
          <w:lang w:eastAsia="zh-CN"/>
        </w:rPr>
        <w:tab/>
        <w:t>Богатейший интеллектуальный потенциал и бесценные сырьевые ресурсы страны, ее уникальное географическое положение на пути из Европы в Азию позволяют ей занять достойное место в международном сообществе.</w:t>
      </w:r>
    </w:p>
    <w:p w14:paraId="56B2EF98" w14:textId="77777777" w:rsidR="00D75D7F" w:rsidRPr="00D75D7F" w:rsidRDefault="00D75D7F" w:rsidP="00B9784D">
      <w:pPr>
        <w:pStyle w:val="H23G"/>
      </w:pPr>
      <w:r w:rsidRPr="00D75D7F">
        <w:tab/>
      </w:r>
      <w:r w:rsidRPr="00D75D7F">
        <w:tab/>
        <w:t>Вооруженная агрессия Республики Армения против Азербайджанской Республики</w:t>
      </w:r>
    </w:p>
    <w:p w14:paraId="299E830C" w14:textId="13CE196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48.</w:t>
      </w:r>
      <w:r w:rsidRPr="00D75D7F">
        <w:rPr>
          <w:rFonts w:eastAsia="SimSun" w:cs="Times New Roman"/>
          <w:szCs w:val="20"/>
          <w:lang w:eastAsia="zh-CN"/>
        </w:rPr>
        <w:tab/>
        <w:t>Конфликт между Арменией и Азербайджаном начался в конце 1987 года,</w:t>
      </w:r>
      <w:r w:rsidR="00B9784D">
        <w:rPr>
          <w:rFonts w:eastAsia="SimSun" w:cs="Times New Roman"/>
          <w:szCs w:val="20"/>
          <w:lang w:eastAsia="zh-CN"/>
        </w:rPr>
        <w:br/>
      </w:r>
      <w:r w:rsidRPr="00D75D7F">
        <w:rPr>
          <w:rFonts w:eastAsia="SimSun" w:cs="Times New Roman"/>
          <w:szCs w:val="20"/>
          <w:lang w:eastAsia="zh-CN"/>
        </w:rPr>
        <w:t>в период существования Союза Советских Социалистических Республик (СССР)</w:t>
      </w:r>
      <w:r w:rsidR="00B9784D">
        <w:rPr>
          <w:rFonts w:eastAsia="SimSun" w:cs="Times New Roman"/>
          <w:szCs w:val="20"/>
          <w:lang w:eastAsia="zh-CN"/>
        </w:rPr>
        <w:br/>
      </w:r>
      <w:r w:rsidRPr="00D75D7F">
        <w:rPr>
          <w:rFonts w:eastAsia="SimSun" w:cs="Times New Roman"/>
          <w:szCs w:val="20"/>
          <w:lang w:eastAsia="zh-CN"/>
        </w:rPr>
        <w:t xml:space="preserve"> с незаконных и необоснованных притязаний Армении на территории Карабахского региона Азербайджана, что, по сути, являлось частью давно вынашивавшегося плана аннексии исконных азербайджанских земель. Выдвижение территориальных притязаний сопровождалось систематическим применением насилия против азербайджанцев и их изгнанием как из Карабахского региона Азербайджана, так и из самой Армении.</w:t>
      </w:r>
    </w:p>
    <w:p w14:paraId="41161B42" w14:textId="7CFDF73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49.</w:t>
      </w:r>
      <w:r w:rsidRPr="00D75D7F">
        <w:rPr>
          <w:rFonts w:eastAsia="SimSun" w:cs="Times New Roman"/>
          <w:szCs w:val="20"/>
          <w:lang w:eastAsia="zh-CN"/>
        </w:rPr>
        <w:tab/>
        <w:t>Уже в ноябре 1987 года в Гафанском и Мегринском районах Армении начались тщательно спланированные нападения на мирное азербайджанское население.</w:t>
      </w:r>
      <w:r w:rsidR="00B9784D">
        <w:rPr>
          <w:rFonts w:eastAsia="SimSun" w:cs="Times New Roman"/>
          <w:szCs w:val="20"/>
          <w:lang w:eastAsia="zh-CN"/>
        </w:rPr>
        <w:br/>
      </w:r>
      <w:r w:rsidRPr="00D75D7F">
        <w:rPr>
          <w:rFonts w:eastAsia="SimSun" w:cs="Times New Roman"/>
          <w:szCs w:val="20"/>
          <w:lang w:eastAsia="zh-CN"/>
        </w:rPr>
        <w:t>В результате политики этнической чистки, осуществлявшейся в планомерном порядке Арменией в 1988−1992 годах, более 250</w:t>
      </w:r>
      <w:r w:rsidR="00B9784D">
        <w:rPr>
          <w:rFonts w:eastAsia="SimSun" w:cs="Times New Roman"/>
          <w:szCs w:val="20"/>
          <w:lang w:eastAsia="zh-CN"/>
        </w:rPr>
        <w:t> </w:t>
      </w:r>
      <w:r w:rsidRPr="00D75D7F">
        <w:rPr>
          <w:rFonts w:eastAsia="SimSun" w:cs="Times New Roman"/>
          <w:szCs w:val="20"/>
          <w:lang w:eastAsia="zh-CN"/>
        </w:rPr>
        <w:t>000 азербайджанцев, проживавших в Армении, были насильно изгнаны со своих исторических земель, при этом 216 человек были зверски убиты и 1154 получили ранения.</w:t>
      </w:r>
    </w:p>
    <w:p w14:paraId="082079CA" w14:textId="04A40DC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50.</w:t>
      </w:r>
      <w:r w:rsidRPr="00D75D7F">
        <w:rPr>
          <w:rFonts w:eastAsia="SimSun" w:cs="Times New Roman"/>
          <w:szCs w:val="20"/>
          <w:lang w:eastAsia="zh-CN"/>
        </w:rPr>
        <w:tab/>
        <w:t>Период с конца 1987 по начало 1988 года был также отмечен нападениями на азербайджанцев на территории Азербайджана, в частности в городе Ханкенди.</w:t>
      </w:r>
      <w:r w:rsidR="00A551FF">
        <w:rPr>
          <w:rFonts w:eastAsia="SimSun" w:cs="Times New Roman"/>
          <w:szCs w:val="20"/>
          <w:lang w:eastAsia="zh-CN"/>
        </w:rPr>
        <w:br/>
      </w:r>
      <w:r w:rsidRPr="00D75D7F">
        <w:rPr>
          <w:rFonts w:eastAsia="SimSun" w:cs="Times New Roman"/>
          <w:szCs w:val="20"/>
          <w:lang w:eastAsia="zh-CN"/>
        </w:rPr>
        <w:t>22 февраля 1988 года в Азербайджане на дороге Ханкенди-Агдам армянскими экстремистами были убиты двое молодых азербайджанцев.</w:t>
      </w:r>
    </w:p>
    <w:p w14:paraId="60ECE072" w14:textId="06785F5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51.</w:t>
      </w:r>
      <w:r w:rsidRPr="00D75D7F">
        <w:rPr>
          <w:rFonts w:eastAsia="SimSun" w:cs="Times New Roman"/>
          <w:szCs w:val="20"/>
          <w:lang w:eastAsia="zh-CN"/>
        </w:rPr>
        <w:tab/>
        <w:t>В конце 1991 — начале 1992 года Армения развязала полномасштабную войну против Азербайджана. В результате армянской агрессии было оккупировано около</w:t>
      </w:r>
      <w:r w:rsidR="00A551FF">
        <w:rPr>
          <w:rFonts w:eastAsia="SimSun" w:cs="Times New Roman"/>
          <w:szCs w:val="20"/>
          <w:lang w:eastAsia="zh-CN"/>
        </w:rPr>
        <w:br/>
      </w:r>
      <w:r w:rsidRPr="00D75D7F">
        <w:rPr>
          <w:rFonts w:eastAsia="SimSun" w:cs="Times New Roman"/>
          <w:szCs w:val="20"/>
          <w:lang w:eastAsia="zh-CN"/>
        </w:rPr>
        <w:t xml:space="preserve">20 </w:t>
      </w:r>
      <w:r w:rsidR="00A551FF">
        <w:rPr>
          <w:rFonts w:eastAsia="SimSun" w:cs="Times New Roman"/>
          <w:szCs w:val="20"/>
          <w:lang w:eastAsia="zh-CN"/>
        </w:rPr>
        <w:t>%</w:t>
      </w:r>
      <w:r w:rsidRPr="00D75D7F">
        <w:rPr>
          <w:rFonts w:eastAsia="SimSun" w:cs="Times New Roman"/>
          <w:szCs w:val="20"/>
          <w:lang w:eastAsia="zh-CN"/>
        </w:rPr>
        <w:t xml:space="preserve"> территории Азербайджана, в ходе агрессии были совершены серьезные нарушения международного гуманитарного права, включая военные преступления, преступления против человечности и акты геноцида, что привело к гибели десятков тысяч людей, этнической чистке всех захваченных районов, где проживало более</w:t>
      </w:r>
      <w:r w:rsidR="00A551FF">
        <w:rPr>
          <w:rFonts w:eastAsia="SimSun" w:cs="Times New Roman"/>
          <w:szCs w:val="20"/>
          <w:lang w:eastAsia="zh-CN"/>
        </w:rPr>
        <w:br/>
      </w:r>
      <w:r w:rsidRPr="00D75D7F">
        <w:rPr>
          <w:rFonts w:eastAsia="SimSun" w:cs="Times New Roman"/>
          <w:szCs w:val="20"/>
          <w:lang w:eastAsia="zh-CN"/>
        </w:rPr>
        <w:t>700 000 азербайджанцев, и к разрушению и разграблению сотен городов, поселков и сел Азербайджана, а также его культурного и религиозного наследия.</w:t>
      </w:r>
    </w:p>
    <w:p w14:paraId="7A6B59BD" w14:textId="0A9A0EC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52.</w:t>
      </w:r>
      <w:r w:rsidRPr="00D75D7F">
        <w:rPr>
          <w:rFonts w:eastAsia="SimSun" w:cs="Times New Roman"/>
          <w:szCs w:val="20"/>
          <w:lang w:eastAsia="zh-CN"/>
        </w:rPr>
        <w:tab/>
        <w:t>Геноцид азербайджанцев в городе Ходжалы в феврале 1992 года, где были убиты с особой жестокостью 613 мирных жителей, в том числе 106 женщин,</w:t>
      </w:r>
      <w:r w:rsidR="00A551FF">
        <w:rPr>
          <w:rFonts w:eastAsia="SimSun" w:cs="Times New Roman"/>
          <w:szCs w:val="20"/>
          <w:lang w:eastAsia="zh-CN"/>
        </w:rPr>
        <w:br/>
      </w:r>
      <w:r w:rsidRPr="00D75D7F">
        <w:rPr>
          <w:rFonts w:eastAsia="SimSun" w:cs="Times New Roman"/>
          <w:szCs w:val="20"/>
          <w:lang w:eastAsia="zh-CN"/>
        </w:rPr>
        <w:t>63 ребенка и 70 пожилых людей, явился наиболее трагичным эпизодом войны, развязанной Арменией против Азербайджана. Преступления, совершенные в Ходжалы, представляли собой не единичные или случайные акты. Они были составной частью широкомасштабной, систематической и тщательно спланированной политики и практики Армении, проводившихся в отношении азербайджанского гражданского населения как до, так и после трагедии в Ходжалы. В этом контексте следует также упомянуть кровавые расправы над азербайджанским гражданским населением в поселке Кяркиджахан, в селах Гушчулар, Малыбейли, Гарадаглы, Баллыгая, Агдабан, Башлыбель, Баганис-Айрум и в других населенных пунктах Азербайджана.</w:t>
      </w:r>
    </w:p>
    <w:p w14:paraId="035EB02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53.</w:t>
      </w:r>
      <w:r w:rsidRPr="00D75D7F">
        <w:rPr>
          <w:rFonts w:eastAsia="SimSun" w:cs="Times New Roman"/>
          <w:szCs w:val="20"/>
          <w:lang w:eastAsia="zh-CN"/>
        </w:rPr>
        <w:tab/>
        <w:t>В ходе агрессии против Азербайджана армянская сторона широко применяла внесудебные казни и массовые расстрелы, наказания, пытки и другие виды жестокого и бесчеловечного обращения в отношении азербайджанских мирных граждан, заложников и военнопленных.</w:t>
      </w:r>
    </w:p>
    <w:p w14:paraId="6299ACC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54.</w:t>
      </w:r>
      <w:r w:rsidRPr="00D75D7F">
        <w:rPr>
          <w:rFonts w:eastAsia="SimSun" w:cs="Times New Roman"/>
          <w:szCs w:val="20"/>
          <w:lang w:eastAsia="zh-CN"/>
        </w:rPr>
        <w:tab/>
        <w:t>В результате вооруженной агрессии Армении против Азербайджана в начале 1990-х годов 3890 граждан все еще считаются без вести пропавшими.</w:t>
      </w:r>
    </w:p>
    <w:p w14:paraId="3C852C0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55.</w:t>
      </w:r>
      <w:r w:rsidRPr="00D75D7F">
        <w:rPr>
          <w:rFonts w:eastAsia="SimSun" w:cs="Times New Roman"/>
          <w:szCs w:val="20"/>
          <w:lang w:eastAsia="zh-CN"/>
        </w:rPr>
        <w:tab/>
        <w:t>В период 1992–1995 годов Совет Безопасности Организации Объединенных Наций активно занимался вопросом вооруженного конфликта между Арменией и Азербайджаном.</w:t>
      </w:r>
    </w:p>
    <w:p w14:paraId="5BF5C53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56.</w:t>
      </w:r>
      <w:r w:rsidRPr="00D75D7F">
        <w:rPr>
          <w:rFonts w:eastAsia="SimSun" w:cs="Times New Roman"/>
          <w:szCs w:val="20"/>
          <w:lang w:eastAsia="zh-CN"/>
        </w:rPr>
        <w:tab/>
        <w:t xml:space="preserve">В 1993 году в ответ на продолжающиеся акты агрессии Совет Безопасности принял четыре резолюции </w:t>
      </w:r>
      <w:r w:rsidRPr="00D75D7F">
        <w:rPr>
          <w:rFonts w:eastAsia="SimSun" w:cs="Times New Roman"/>
          <w:szCs w:val="20"/>
          <w:lang w:val="en-GB" w:eastAsia="zh-CN"/>
        </w:rPr>
        <w:t>⸺</w:t>
      </w:r>
      <w:r w:rsidRPr="00D75D7F">
        <w:rPr>
          <w:rFonts w:eastAsia="SimSun" w:cs="Times New Roman"/>
          <w:szCs w:val="20"/>
          <w:lang w:eastAsia="zh-CN"/>
        </w:rPr>
        <w:t xml:space="preserve"> 822 (1993), 853 (1993), 874 (1993) и 884 (1993), в которых он осудил применение силы против Азербайджана, оккупацию его территорий, нападения на гражданское население и обстрелы населенных районов, а также подтвердил уважение суверенитета и территориальной целостности Азербайджана, нерушимость его международных границ и недопустимость применения силы для приобретения территории. В ответ на территориальные притязания и силовые действия Совет Безопасности также подтвердил, что Карабахский регион является неотъемлемой частью Азербайджана, и потребовал немедленного, полного и безоговорочного вывода оккупационных сил со всех оккупированных территорий Азербайджана. Аналогичные положения содержатся в многочисленных решениях и документах, принятых и другими международными организациями.</w:t>
      </w:r>
    </w:p>
    <w:p w14:paraId="7E9B477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57.</w:t>
      </w:r>
      <w:r w:rsidRPr="00D75D7F">
        <w:rPr>
          <w:rFonts w:eastAsia="SimSun" w:cs="Times New Roman"/>
          <w:szCs w:val="20"/>
          <w:lang w:eastAsia="zh-CN"/>
        </w:rPr>
        <w:tab/>
        <w:t>Однако основные требования Совета Безопасности не были выполнены Арменией, а посреднические усилия, предпринимавшиеся в рамках Организации по безопасности и сотрудничеству в Европе (ОБСЕ), не принесли никаких результатов из-за деструктивной позиции, занятой Арменией, а также бездействия сопредседателей Минской группы ОБСЕ, которые поощряли такое поведение.</w:t>
      </w:r>
    </w:p>
    <w:p w14:paraId="261259F5" w14:textId="0D00A3F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58.</w:t>
      </w:r>
      <w:r w:rsidRPr="00D75D7F">
        <w:rPr>
          <w:rFonts w:eastAsia="SimSun" w:cs="Times New Roman"/>
          <w:szCs w:val="20"/>
          <w:lang w:eastAsia="zh-CN"/>
        </w:rPr>
        <w:tab/>
        <w:t>Применив военную силу для оккупации территорий Азербайджана, Армения никогда не вела переговоры добросовестно и направляла все свои усилия на закрепление результатов оккупации с целью аннексии захваченных территорий.</w:t>
      </w:r>
      <w:r w:rsidR="00A551FF">
        <w:rPr>
          <w:rFonts w:eastAsia="SimSun" w:cs="Times New Roman"/>
          <w:szCs w:val="20"/>
          <w:lang w:eastAsia="zh-CN"/>
        </w:rPr>
        <w:br/>
      </w:r>
      <w:r w:rsidRPr="00D75D7F">
        <w:rPr>
          <w:rFonts w:eastAsia="SimSun" w:cs="Times New Roman"/>
          <w:szCs w:val="20"/>
          <w:lang w:eastAsia="zh-CN"/>
        </w:rPr>
        <w:t xml:space="preserve">В качестве средства своей аннексионистской политики Армения осуществляла переселения на оккупированные территории из Армении и из-за рубежа, а также интенсивно эксплуатировала природные ресурсы и другие богатства этих территорий. Армения также систематически уничтожала или присваивала культурное наследие азербайджанского народа на этих территориях, организовывала или проводила незаконные археологические раскопки и изменяла географические названия и топонимы. Своими действиями Армения преследовала главную цель </w:t>
      </w:r>
      <w:r w:rsidRPr="00D75D7F">
        <w:rPr>
          <w:rFonts w:eastAsia="SimSun" w:cs="Times New Roman"/>
          <w:szCs w:val="20"/>
          <w:lang w:val="en-GB" w:eastAsia="zh-CN"/>
        </w:rPr>
        <w:t>⸺</w:t>
      </w:r>
      <w:r w:rsidRPr="00D75D7F">
        <w:rPr>
          <w:rFonts w:eastAsia="SimSun" w:cs="Times New Roman"/>
          <w:szCs w:val="20"/>
          <w:lang w:eastAsia="zh-CN"/>
        </w:rPr>
        <w:t xml:space="preserve"> стереть на оккупированных территориях следы всего, что свидетельствовало бы о культурной и исторической принадлежности этих территорий азербайджанскому народу. Все это представляло собой явное и грубое нарушение международного права, включая международное гуманитарное право, и в корне противоречило целям политического урегулирования конфликта.</w:t>
      </w:r>
    </w:p>
    <w:p w14:paraId="2911D3D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59.</w:t>
      </w:r>
      <w:r w:rsidRPr="00D75D7F">
        <w:rPr>
          <w:rFonts w:eastAsia="SimSun" w:cs="Times New Roman"/>
          <w:szCs w:val="20"/>
          <w:lang w:eastAsia="zh-CN"/>
        </w:rPr>
        <w:tab/>
        <w:t>Стремясь завуалировать свою роль и снять с себя ответственность в качестве агрессора, Армения установила и поддерживала на захваченных территориях Азербайджана сформированный по этническому признаку марионеточный режим, что являлось грубым и неприкрытым нарушением международного права и резолюций Совета Безопасности. Кроме того, руководство Армении прославляло военных преступников и осужденных террористов как «национальных героев» и открыто пропагандировало нацистские идеи так называемой этнической несовместимости.</w:t>
      </w:r>
    </w:p>
    <w:p w14:paraId="2BF9802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60.</w:t>
      </w:r>
      <w:r w:rsidRPr="00D75D7F">
        <w:rPr>
          <w:rFonts w:eastAsia="SimSun" w:cs="Times New Roman"/>
          <w:szCs w:val="20"/>
          <w:lang w:eastAsia="zh-CN"/>
        </w:rPr>
        <w:tab/>
        <w:t xml:space="preserve">16 июня 2015 года Большая палата Европейского суда по правам человека приняла решение по делу </w:t>
      </w:r>
      <w:r w:rsidRPr="00D75D7F">
        <w:rPr>
          <w:rFonts w:eastAsia="SimSun" w:cs="Times New Roman"/>
          <w:i/>
          <w:iCs/>
          <w:szCs w:val="20"/>
          <w:lang w:eastAsia="zh-CN"/>
        </w:rPr>
        <w:t>Эльхана Чирагова и других против Армении</w:t>
      </w:r>
      <w:r w:rsidRPr="00D75D7F">
        <w:rPr>
          <w:rFonts w:eastAsia="SimSun" w:cs="Times New Roman"/>
          <w:szCs w:val="20"/>
          <w:lang w:eastAsia="zh-CN"/>
        </w:rPr>
        <w:t>. Данное дело от 6 апреля 2005 года основано на иске, возбужденном против Армении шестью гражданами Азербайджана, не имеющими возможности вернуться в свои дома и лишенными своего имущества в Лачинском районе Азербайджана, откуда они были изгнаны в 1992 году в результате агрессии Армении против Азербайджана. В своем решении Суд постановил, что существует продолжающееся нарушение права собственности, права на уважение частной и семейной жизни и права на эффективное средство правовой защиты. Суд подтвердил права внутренне перемещенных лиц на собственность и возвращение в свои дома. Суд пришел к выводу о том, что Армения посредством своего военного присутствия и предоставления военного имущества и специалистов активно участвует в конфликте с самого его начала и несет ответственность за нарушения прав азербайджанских перемещенных лиц.</w:t>
      </w:r>
    </w:p>
    <w:p w14:paraId="1DB735B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61.</w:t>
      </w:r>
      <w:r w:rsidRPr="00D75D7F">
        <w:rPr>
          <w:rFonts w:eastAsia="SimSun" w:cs="Times New Roman"/>
          <w:szCs w:val="20"/>
          <w:lang w:eastAsia="zh-CN"/>
        </w:rPr>
        <w:tab/>
        <w:t>Незаконная деятельность на оккупированных территориях сопровождалась провокациями в политической и военной плоскостях.</w:t>
      </w:r>
    </w:p>
    <w:p w14:paraId="1894482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62.</w:t>
      </w:r>
      <w:r w:rsidRPr="00D75D7F">
        <w:rPr>
          <w:rFonts w:eastAsia="SimSun" w:cs="Times New Roman"/>
          <w:szCs w:val="20"/>
          <w:lang w:eastAsia="zh-CN"/>
        </w:rPr>
        <w:tab/>
        <w:t xml:space="preserve">Вооруженные провокации приводили к жертвам среди не только военнослужащих, но и мирных жителей. Так, к примеру, в апреле 2016 года Армения, </w:t>
      </w:r>
      <w:r w:rsidRPr="00D75D7F">
        <w:rPr>
          <w:rFonts w:eastAsia="SimSun" w:cs="Times New Roman"/>
          <w:szCs w:val="20"/>
          <w:lang w:eastAsia="zh-CN"/>
        </w:rPr>
        <w:lastRenderedPageBreak/>
        <w:t>спровоцировав широкомасштабные боевые действия вдоль линии фронта на территории Азербайджана, совершила убийства 6 мирных граждан Азербайджана и нанесла серьезные повреждения гражданской инфраструктуре и частной и государственной собственности, включая жилые дома, школы и детские сады. 4 июля 2017 года в результате целенаправленной и преднамеренной атаки со стороны вооруженных сил Армении в селе Алханлы Физулинского района Азербайджана были убиты двухлетняя девочка и ее бабушка и одна женщина получила ранения.</w:t>
      </w:r>
    </w:p>
    <w:p w14:paraId="0BA0F37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63.</w:t>
      </w:r>
      <w:r w:rsidRPr="00D75D7F">
        <w:rPr>
          <w:rFonts w:eastAsia="SimSun" w:cs="Times New Roman"/>
          <w:szCs w:val="20"/>
          <w:lang w:eastAsia="zh-CN"/>
        </w:rPr>
        <w:tab/>
        <w:t xml:space="preserve">Армянское руководство систематически подрывало процесс мирного урегулирования, заявляя, что «Карабах </w:t>
      </w:r>
      <w:r w:rsidRPr="00D75D7F">
        <w:rPr>
          <w:rFonts w:eastAsia="SimSun" w:cs="Times New Roman"/>
          <w:szCs w:val="20"/>
          <w:lang w:val="en-GB" w:eastAsia="zh-CN"/>
        </w:rPr>
        <w:t>⸺</w:t>
      </w:r>
      <w:r w:rsidRPr="00D75D7F">
        <w:rPr>
          <w:rFonts w:eastAsia="SimSun" w:cs="Times New Roman"/>
          <w:szCs w:val="20"/>
          <w:lang w:eastAsia="zh-CN"/>
        </w:rPr>
        <w:t xml:space="preserve"> это Армения, и точка» и «Азербайджану не будет возвращено ни пяди земли», требуя изменить формат переговоров и выдвигая другие абсурдные условия. Оно осуществляло массовые закупки вооружения, проводило незаконные военные учения на оккупированных территориях Азербайджана и призывало к «новой войне за новые территории». Кроме того, в июле 2020 года была совершена атака на позиции Азербайджанской армии на государственной границе между Арменией и Азербайджаном, в результате чего погибли и были ранены десятки военнослужащих, а также был убит один мирный житель Азербайджана. В августе 2020 года Армения отправила диверсионно-разведывательную группу в Геранбойский район Азербайджана, которая была обезврежена. Все это свидетельствовало о подготовке новой фазы военной агрессии Армении против Азербайджана.</w:t>
      </w:r>
    </w:p>
    <w:p w14:paraId="38A9A46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64.</w:t>
      </w:r>
      <w:r w:rsidRPr="00D75D7F">
        <w:rPr>
          <w:rFonts w:eastAsia="SimSun" w:cs="Times New Roman"/>
          <w:szCs w:val="20"/>
          <w:lang w:eastAsia="zh-CN"/>
        </w:rPr>
        <w:tab/>
        <w:t>27 сентября 2020 года Армения совершила очередной акт агрессии, подвергнув позиции вооруженных сил Азербайджана вдоль линии фронта и прилегающие населенные пункты Азербайджана интенсивному обстрелу из артиллерийских установок, минометов и другого крупнокалиберного оружия. Последовавшие за этим боевые действия продолжались 44 дня.</w:t>
      </w:r>
    </w:p>
    <w:p w14:paraId="5F15D54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65.</w:t>
      </w:r>
      <w:r w:rsidRPr="00D75D7F">
        <w:rPr>
          <w:rFonts w:eastAsia="SimSun" w:cs="Times New Roman"/>
          <w:szCs w:val="20"/>
          <w:lang w:eastAsia="zh-CN"/>
        </w:rPr>
        <w:tab/>
        <w:t>По аналогии с варварскими методами ведения войны, применявшимися ею в начале 1990-х годов, Армения при непосредственном участии наемников и иностранных боевиков-террористов вновь мобилизовала свои силы для атак на гражданское население и причинения преднамеренного максимального ущерба азербайджанским городам, поселкам и селам. Вооруженные силы Армении неоднократно применяли в своих нападениях на густонаселенные районы кассетные боеприпасы, привлекали к боевым действиям детей-солдат, подвергали намеренному обстрелу медицинские учреждения и санитарные автомобили и использовали в военных целях помещения детских садов и школ. Кроме того, отмечались многочисленные случаи внесудебных казней азербайджанских военнопленных и жестокого обращения с ними, а также глумления над телами погибших со стороны армянских военнослужащих.</w:t>
      </w:r>
    </w:p>
    <w:p w14:paraId="63A3929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66.</w:t>
      </w:r>
      <w:r w:rsidRPr="00D75D7F">
        <w:rPr>
          <w:rFonts w:eastAsia="SimSun" w:cs="Times New Roman"/>
          <w:szCs w:val="20"/>
          <w:lang w:eastAsia="zh-CN"/>
        </w:rPr>
        <w:tab/>
        <w:t xml:space="preserve">Гянджа </w:t>
      </w:r>
      <w:r w:rsidRPr="00D75D7F">
        <w:rPr>
          <w:rFonts w:eastAsia="SimSun" w:cs="Times New Roman"/>
          <w:szCs w:val="20"/>
          <w:lang w:val="en-GB" w:eastAsia="zh-CN"/>
        </w:rPr>
        <w:t>⸺</w:t>
      </w:r>
      <w:r w:rsidRPr="00D75D7F">
        <w:rPr>
          <w:rFonts w:eastAsia="SimSun" w:cs="Times New Roman"/>
          <w:szCs w:val="20"/>
          <w:lang w:eastAsia="zh-CN"/>
        </w:rPr>
        <w:t xml:space="preserve"> второй по величине город Азербайджана, расположенный вне зоны конфликта, попадал под целенаправленный ракетный удар вооруженных сил Армении трижды. В результате двух ударов, нанесенных с территории Армении 11 и 17 октября с применением баллистических ракет «Скад», погибли 25 гражданских лиц и получили ранения более 84 мирных жителей.</w:t>
      </w:r>
    </w:p>
    <w:p w14:paraId="153B21C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67.</w:t>
      </w:r>
      <w:r w:rsidRPr="00D75D7F">
        <w:rPr>
          <w:rFonts w:eastAsia="SimSun" w:cs="Times New Roman"/>
          <w:szCs w:val="20"/>
          <w:lang w:eastAsia="zh-CN"/>
        </w:rPr>
        <w:tab/>
        <w:t>28 октября массированному обстрелу с применением реактивных систем залпового огня «Смерч» подвергся центр города Барда, также расположенного вне зоны конфликта, в результате чего 21 мирный житель погиб и более 70 человек получили ранения.</w:t>
      </w:r>
    </w:p>
    <w:p w14:paraId="188C1D0C" w14:textId="4D3677B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68.</w:t>
      </w:r>
      <w:r w:rsidRPr="00D75D7F">
        <w:rPr>
          <w:rFonts w:eastAsia="SimSun" w:cs="Times New Roman"/>
          <w:szCs w:val="20"/>
          <w:lang w:eastAsia="zh-CN"/>
        </w:rPr>
        <w:tab/>
        <w:t>В общей сложности в результате прямых и неизбирательных нападений, совершенных вооруженными силами Армении в период с 27 сентября по 9 ноября</w:t>
      </w:r>
      <w:r w:rsidR="00A551FF">
        <w:rPr>
          <w:rFonts w:eastAsia="SimSun" w:cs="Times New Roman"/>
          <w:szCs w:val="20"/>
          <w:lang w:eastAsia="zh-CN"/>
        </w:rPr>
        <w:br/>
      </w:r>
      <w:r w:rsidRPr="00D75D7F">
        <w:rPr>
          <w:rFonts w:eastAsia="SimSun" w:cs="Times New Roman"/>
          <w:szCs w:val="20"/>
          <w:lang w:eastAsia="zh-CN"/>
        </w:rPr>
        <w:t>2020 года, был убит 101 азербайджанский мирный житель, включая 12 детей.</w:t>
      </w:r>
      <w:r w:rsidR="00A551FF">
        <w:rPr>
          <w:rFonts w:eastAsia="SimSun" w:cs="Times New Roman"/>
          <w:szCs w:val="20"/>
          <w:lang w:eastAsia="zh-CN"/>
        </w:rPr>
        <w:br/>
      </w:r>
      <w:r w:rsidRPr="00D75D7F">
        <w:rPr>
          <w:rFonts w:eastAsia="SimSun" w:cs="Times New Roman"/>
          <w:szCs w:val="20"/>
          <w:lang w:eastAsia="zh-CN"/>
        </w:rPr>
        <w:t>423 гражданских лица получили ранения. Почти 84 000 человек были вынуждены покинуть свои дома</w:t>
      </w:r>
      <w:r w:rsidR="00A551FF">
        <w:rPr>
          <w:rFonts w:eastAsia="SimSun" w:cs="Times New Roman"/>
          <w:szCs w:val="20"/>
          <w:lang w:eastAsia="zh-CN"/>
        </w:rPr>
        <w:t>,</w:t>
      </w:r>
      <w:r w:rsidRPr="00D75D7F">
        <w:rPr>
          <w:rFonts w:eastAsia="SimSun" w:cs="Times New Roman"/>
          <w:szCs w:val="20"/>
          <w:lang w:eastAsia="zh-CN"/>
        </w:rPr>
        <w:t xml:space="preserve"> и более 4300 частных домов и многоквартирных зданий, а также 548 других гражданских объектов были либо разрушены, либо серьезно повреждены. Пострадали также больницы, другие медицинские учреждения, школы, детские сады, места религиозного поклонения и кладбища.</w:t>
      </w:r>
    </w:p>
    <w:p w14:paraId="524326F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69.</w:t>
      </w:r>
      <w:r w:rsidRPr="00D75D7F">
        <w:rPr>
          <w:rFonts w:eastAsia="SimSun" w:cs="Times New Roman"/>
          <w:szCs w:val="20"/>
          <w:lang w:eastAsia="zh-CN"/>
        </w:rPr>
        <w:tab/>
        <w:t xml:space="preserve">С целью отражения вооруженной агрессии Армении и обеспечения безопасности своего гражданского населения Азербайджан в порядке осуществления </w:t>
      </w:r>
      <w:r w:rsidRPr="00D75D7F">
        <w:rPr>
          <w:rFonts w:eastAsia="SimSun" w:cs="Times New Roman"/>
          <w:szCs w:val="20"/>
          <w:lang w:eastAsia="zh-CN"/>
        </w:rPr>
        <w:lastRenderedPageBreak/>
        <w:t>своего неотъемлемого права на самооборону в соответствии с Уставом Организации Объединенных Наций провел контрнаступательную операцию. Азербайджанская сторона действовала исключительно на своей суверенной земле в рамках международно признанных границ. В результате контрнаступательной операции вооруженных сил Азербайджана были освобождены более 300 городов, поселков и сел Азербайджана, находившихся долгие годы под оккупацией вооруженных сил Армении, а Армения была принуждена к миру.</w:t>
      </w:r>
    </w:p>
    <w:p w14:paraId="753A576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70.</w:t>
      </w:r>
      <w:r w:rsidRPr="00D75D7F">
        <w:rPr>
          <w:rFonts w:eastAsia="SimSun" w:cs="Times New Roman"/>
          <w:szCs w:val="20"/>
          <w:lang w:eastAsia="zh-CN"/>
        </w:rPr>
        <w:tab/>
        <w:t>Заявление Президента Азербайджанской Республики, Премьер-министра Республики Армения и Президента Российской Федерации, подписанное 10 ноября 2020 года, положило конец длившемуся почти три десятилетия конфликту между Арменией и Азербайджаном. Армения обязалась вывести свои войска с территории Азербайджана и прекратить все военные действия. Заявление также включало в себя ряд элементов, связанных с поддержанием мира, таких как открытие всех коммуникаций в регионе, беспрепятственное сообщение между основной частью Азербайджана и его Нахичеванской Автономной Республикой и возвращение внутренне перемещенных лиц. После подписания Трехстороннего заявления Азербайджан приступил к осуществлению процесса постконфликтного восстановления, реконструкции и реинтеграции внутри страны, а также постконфликтной нормализации отношений с Арменией на межгосударственном уровне.</w:t>
      </w:r>
    </w:p>
    <w:p w14:paraId="5A38C2F1" w14:textId="12D6ABC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71.</w:t>
      </w:r>
      <w:r w:rsidRPr="00D75D7F">
        <w:rPr>
          <w:rFonts w:eastAsia="SimSun" w:cs="Times New Roman"/>
          <w:szCs w:val="20"/>
          <w:lang w:eastAsia="zh-CN"/>
        </w:rPr>
        <w:tab/>
        <w:t>Прекращение оккупации ознаменовало собой торжество справедливости и международного права, включая Устав Организации Объединенных Наций,</w:t>
      </w:r>
      <w:r w:rsidR="00A551FF">
        <w:rPr>
          <w:rFonts w:eastAsia="SimSun" w:cs="Times New Roman"/>
          <w:szCs w:val="20"/>
          <w:lang w:eastAsia="zh-CN"/>
        </w:rPr>
        <w:br/>
      </w:r>
      <w:r w:rsidRPr="00D75D7F">
        <w:rPr>
          <w:rFonts w:eastAsia="SimSun" w:cs="Times New Roman"/>
          <w:szCs w:val="20"/>
          <w:lang w:eastAsia="zh-CN"/>
        </w:rPr>
        <w:t>и в очередной раз убедительно доказало необходимость строгого соблюдения государствами своих международных обязательств.</w:t>
      </w:r>
    </w:p>
    <w:p w14:paraId="4E9B895E" w14:textId="390B861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72.</w:t>
      </w:r>
      <w:r w:rsidRPr="00D75D7F">
        <w:rPr>
          <w:rFonts w:eastAsia="SimSun" w:cs="Times New Roman"/>
          <w:szCs w:val="20"/>
          <w:lang w:eastAsia="zh-CN"/>
        </w:rPr>
        <w:tab/>
        <w:t>В постконфликтный период при посещении освобожденных территорий в очередной раз было зафиксировано, что в течени</w:t>
      </w:r>
      <w:r w:rsidR="00A551FF">
        <w:rPr>
          <w:rFonts w:eastAsia="SimSun" w:cs="Times New Roman"/>
          <w:szCs w:val="20"/>
          <w:lang w:eastAsia="zh-CN"/>
        </w:rPr>
        <w:t>е</w:t>
      </w:r>
      <w:r w:rsidRPr="00D75D7F">
        <w:rPr>
          <w:rFonts w:eastAsia="SimSun" w:cs="Times New Roman"/>
          <w:szCs w:val="20"/>
          <w:lang w:eastAsia="zh-CN"/>
        </w:rPr>
        <w:t xml:space="preserve"> долгих лет оккупации Армения систематически и методично проводила здесь политику «выжженной земли». Масштабы разрушений, вандализма, грабежей и мародерства, документально подтвержденных после их освобождения, являются беспрецедентными. На всех находившихся под оккупацией территориях Азербайджана (за исключением мест, заселенных Арменией незаконными поселенцами) практически все элементы гражданской инфраструктуры, частные дома, культурные и религиозные объекты, существовавшие там до оккупации, были разграблены и разрушены до основания. Почти все мечети и исламские религиозные святыни на этих территориях были разрушены, серьезно повреждены и осквернены. Азербайджанские кладбища также были уничтожены или же подверглись актам вандализма.</w:t>
      </w:r>
    </w:p>
    <w:p w14:paraId="3FF1B19E" w14:textId="6B9A499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73.</w:t>
      </w:r>
      <w:r w:rsidRPr="00D75D7F">
        <w:rPr>
          <w:rFonts w:eastAsia="SimSun" w:cs="Times New Roman"/>
          <w:szCs w:val="20"/>
          <w:lang w:eastAsia="zh-CN"/>
        </w:rPr>
        <w:tab/>
        <w:t>На сегодняшний день на освобожденных от армянской оккупации территориях Азербайджана из числа исторических и религиозных памятников выявлено</w:t>
      </w:r>
      <w:r w:rsidR="00A551FF">
        <w:rPr>
          <w:rFonts w:eastAsia="SimSun" w:cs="Times New Roman"/>
          <w:szCs w:val="20"/>
          <w:lang w:eastAsia="zh-CN"/>
        </w:rPr>
        <w:br/>
      </w:r>
      <w:r w:rsidRPr="00D75D7F">
        <w:rPr>
          <w:rFonts w:eastAsia="SimSun" w:cs="Times New Roman"/>
          <w:szCs w:val="20"/>
          <w:lang w:eastAsia="zh-CN"/>
        </w:rPr>
        <w:t>67 мечетей, 139 храмов и 192 святилища. 65 из 67 мечетей (18 в Шуше, 5 — Агдаме, 19 — Физули, 6 — Зангелане, 5 — Джебраиле, 8 — Губадлы, 3 — Лачине,</w:t>
      </w:r>
      <w:r w:rsidR="00A551FF">
        <w:rPr>
          <w:rFonts w:eastAsia="SimSun" w:cs="Times New Roman"/>
          <w:szCs w:val="20"/>
          <w:lang w:eastAsia="zh-CN"/>
        </w:rPr>
        <w:br/>
      </w:r>
      <w:r w:rsidRPr="00D75D7F">
        <w:rPr>
          <w:rFonts w:eastAsia="SimSun" w:cs="Times New Roman"/>
          <w:szCs w:val="20"/>
          <w:lang w:eastAsia="zh-CN"/>
        </w:rPr>
        <w:t>2 — Кельбаджаре, 1 — Ходжавенде) были полностью разрушены, а 2 мечети были частично разрушены и пришли в негодность.</w:t>
      </w:r>
    </w:p>
    <w:p w14:paraId="3637C56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74.</w:t>
      </w:r>
      <w:r w:rsidRPr="00D75D7F">
        <w:rPr>
          <w:rFonts w:eastAsia="SimSun" w:cs="Times New Roman"/>
          <w:szCs w:val="20"/>
          <w:lang w:eastAsia="zh-CN"/>
        </w:rPr>
        <w:tab/>
        <w:t>Армянская сторона, покидавшая территории Азербайджана, которые возвращались под его контроль согласно условиям Заявления от 10 ноября 2020 года, сжигала дома, школы и другие объекты гражданской инфраструктуры, вывозила культурные ценности, включая археологические артефакты, обрезала провода и валила столбы линий электропередачи, разрушала гидроэлектростанции, вырубала деревья и поджигала леса, тем самым нанося серьезный экологический ущерб.</w:t>
      </w:r>
    </w:p>
    <w:p w14:paraId="149CD37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75.</w:t>
      </w:r>
      <w:r w:rsidRPr="00D75D7F">
        <w:rPr>
          <w:rFonts w:eastAsia="SimSun" w:cs="Times New Roman"/>
          <w:szCs w:val="20"/>
          <w:lang w:eastAsia="zh-CN"/>
        </w:rPr>
        <w:tab/>
        <w:t>Армения несет ответственность за многочисленные военные преступления, совершенные ее вооруженными силами, агентами и должностными лицами, а также наемниками и террористами, находившимися под ее контролем на территориях Азербайджана с начала конфликта.</w:t>
      </w:r>
    </w:p>
    <w:p w14:paraId="5F68536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76.</w:t>
      </w:r>
      <w:r w:rsidRPr="00D75D7F">
        <w:rPr>
          <w:rFonts w:eastAsia="SimSun" w:cs="Times New Roman"/>
          <w:szCs w:val="20"/>
          <w:lang w:eastAsia="zh-CN"/>
        </w:rPr>
        <w:tab/>
        <w:t xml:space="preserve">Кроме того, бо́льшая часть освобожденных от оккупации территорий, включая даже кладбища и исторические объекты, была ранее подвержена массовому минированию вооруженными силами Армении (по предварительным оценкам, было установлено более 1,5 млн мин). Следует особо отметить тот факт, что вооруженные </w:t>
      </w:r>
      <w:r w:rsidRPr="00D75D7F">
        <w:rPr>
          <w:rFonts w:eastAsia="SimSun" w:cs="Times New Roman"/>
          <w:szCs w:val="20"/>
          <w:lang w:eastAsia="zh-CN"/>
        </w:rPr>
        <w:lastRenderedPageBreak/>
        <w:t>силы Армении проводили интенсивное минирование территории Агдамского, Кельбаджарского и Лачинского районов даже после подписания Трехстороннего заявления, что является грубым нарушением положений данного документа, предусматривающего, среди прочего, прекращение всех военных действий. До сих пор армянская сторона отказывается передать Азербайджану все карты минных полей, что является нарушением международного гуманитарного права, в результате чего на освобожденных территориях от взрыва мин продолжают погибать военнослужащие и гражданские лица. Таким образом, создаются серьезные препятствия для реабилитации и восстановления этих территорий, а также для возвращения в места своего проживания сотен тысяч азербайджанских внутренне перемещенных лиц.</w:t>
      </w:r>
    </w:p>
    <w:p w14:paraId="405500A5" w14:textId="5ACA998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77.</w:t>
      </w:r>
      <w:r w:rsidRPr="00D75D7F">
        <w:rPr>
          <w:rFonts w:eastAsia="SimSun" w:cs="Times New Roman"/>
          <w:szCs w:val="20"/>
          <w:lang w:eastAsia="zh-CN"/>
        </w:rPr>
        <w:tab/>
        <w:t xml:space="preserve">Точность карт, которые Армения была вынуждена передать Азербайджану под давлением международного сообщества, оказалась минимальной. Особенно примечательно, что точными являются примерно 25 % предоставленных Арменией карт минных полей. Отказ от выполнения своих обязательств по предоставлению точных карт всех минных полей в соответствии с обычным международным гуманитарным правом в очередной раз раскрывает суть агрессивной и неконструктивной политики Армении в отношении Азербайджана в постконфликтный период. </w:t>
      </w:r>
      <w:r w:rsidRPr="00D75D7F">
        <w:rPr>
          <w:rFonts w:eastAsia="SimSun" w:cs="Times New Roman"/>
          <w:szCs w:val="20"/>
          <w:lang w:val="en-US" w:eastAsia="zh-CN"/>
        </w:rPr>
        <w:t>C</w:t>
      </w:r>
      <w:r w:rsidRPr="00D75D7F">
        <w:rPr>
          <w:rFonts w:eastAsia="SimSun" w:cs="Times New Roman"/>
          <w:szCs w:val="20"/>
          <w:lang w:eastAsia="zh-CN"/>
        </w:rPr>
        <w:t xml:space="preserve"> начала военной агрессии Армении в 1990-х годах жертвами мин стали в общей сложности более </w:t>
      </w:r>
      <w:r w:rsidR="00C6206D">
        <w:rPr>
          <w:rFonts w:eastAsia="SimSun" w:cs="Times New Roman"/>
          <w:szCs w:val="20"/>
          <w:lang w:eastAsia="zh-CN"/>
        </w:rPr>
        <w:t>3000</w:t>
      </w:r>
      <w:r w:rsidRPr="00D75D7F">
        <w:rPr>
          <w:rFonts w:eastAsia="SimSun" w:cs="Times New Roman"/>
          <w:szCs w:val="20"/>
          <w:lang w:eastAsia="zh-CN"/>
        </w:rPr>
        <w:t xml:space="preserve"> человек. Среди них более</w:t>
      </w:r>
      <w:r w:rsidR="00C6206D">
        <w:rPr>
          <w:rFonts w:eastAsia="SimSun" w:cs="Times New Roman"/>
          <w:szCs w:val="20"/>
          <w:lang w:eastAsia="zh-CN"/>
        </w:rPr>
        <w:br/>
        <w:t>300</w:t>
      </w:r>
      <w:r w:rsidRPr="00D75D7F">
        <w:rPr>
          <w:rFonts w:eastAsia="SimSun" w:cs="Times New Roman"/>
          <w:szCs w:val="20"/>
          <w:lang w:eastAsia="zh-CN"/>
        </w:rPr>
        <w:t xml:space="preserve"> человек пострадали от разрыва мин в постконфликтный период после подписания Трехстороннего заявления от 10 ноября 2020 года. Более половины этих инцидентов произошли в местах, по которым Армения не предоставила данные о минных полях. Это еще раз подтверждает истинные намерения Армении — помешать процессу возвращения азербайджанских внутренне перемещенных лиц, нанести как можно больший ущерб и затруднить постконфликтное восстановление освобожденных территорий Азербайджана.</w:t>
      </w:r>
    </w:p>
    <w:p w14:paraId="18068C71" w14:textId="2971F9C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78.</w:t>
      </w:r>
      <w:r w:rsidRPr="00D75D7F">
        <w:rPr>
          <w:rFonts w:eastAsia="SimSun" w:cs="Times New Roman"/>
          <w:szCs w:val="20"/>
          <w:lang w:eastAsia="zh-CN"/>
        </w:rPr>
        <w:tab/>
        <w:t>Только за период с августа 2022 года по настоящее время на территории Азербайджана было обнаружено 3166 противопехотных мин, произведенных в Армении в 2021 году. Эти мины представляют собой острую гуманитарную угрозу для людей, надеющихся на скорейшее возвращение в свои дома и восстановление нормальной, мирной жизни.</w:t>
      </w:r>
    </w:p>
    <w:p w14:paraId="4E467E00" w14:textId="5C29AA1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79.</w:t>
      </w:r>
      <w:r w:rsidRPr="00D75D7F">
        <w:rPr>
          <w:rFonts w:eastAsia="SimSun" w:cs="Times New Roman"/>
          <w:szCs w:val="20"/>
          <w:lang w:eastAsia="zh-CN"/>
        </w:rPr>
        <w:tab/>
        <w:t>Учитывая, что неизбирательное минирование Арменией некогда оккупированных территорий Азербайджана препятствует возвращению перемещенных лиц в освобожденные районы, а также реконструкции, восстановлению и социально-экономической реинтеграции этих районов, правительство Азербайджана считает деятельность по разминированию одним из национальных приоритетов.</w:t>
      </w:r>
      <w:r w:rsidR="00C6206D">
        <w:rPr>
          <w:rFonts w:eastAsia="SimSun" w:cs="Times New Roman"/>
          <w:szCs w:val="20"/>
          <w:lang w:eastAsia="zh-CN"/>
        </w:rPr>
        <w:br/>
      </w:r>
      <w:r w:rsidRPr="00D75D7F">
        <w:rPr>
          <w:rFonts w:eastAsia="SimSun" w:cs="Times New Roman"/>
          <w:szCs w:val="20"/>
          <w:lang w:eastAsia="zh-CN"/>
        </w:rPr>
        <w:t>В связи с этим Азербайджан объявил национальную цель в области устойчивого развития (ЦУР) по гуманитарному разминированию для продвижения к миру, свободному от мин. Национальная ЦУР подразумевает разминирование территорий, освобожденных от армянской оккупации, обеспечение мира и безопасности, создание безопасных поселений на освобожденных территориях и реинтеграцию населения,</w:t>
      </w:r>
      <w:r w:rsidR="00C6206D">
        <w:rPr>
          <w:rFonts w:eastAsia="SimSun" w:cs="Times New Roman"/>
          <w:szCs w:val="20"/>
          <w:lang w:eastAsia="zh-CN"/>
        </w:rPr>
        <w:br/>
      </w:r>
      <w:r w:rsidRPr="00D75D7F">
        <w:rPr>
          <w:rFonts w:eastAsia="SimSun" w:cs="Times New Roman"/>
          <w:szCs w:val="20"/>
          <w:lang w:eastAsia="zh-CN"/>
        </w:rPr>
        <w:t>а также усиление медико-социальной реабилитации и социальной защиты населения, пострадавшего от мин и взрывчатых веществ. С учетом мирового характера и масштабов этой проблемы Азербайджан готов предпринять смелые действия по продвижению глобальной противоминной деятельности, признавая, что эта деятельность является одним из необходимых условий устойчивого развития, прогресса в достижении уже согласованных ЦУР, а также ускорения мирных процессов и поддержания мира. В этой связи Азербайджан также активно выступает за принятие противоминной деятельности в качестве новой, 18-й глобальной ЦУР.</w:t>
      </w:r>
    </w:p>
    <w:p w14:paraId="015CB3A0" w14:textId="369A3C8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80.</w:t>
      </w:r>
      <w:r w:rsidRPr="00D75D7F">
        <w:rPr>
          <w:rFonts w:eastAsia="SimSun" w:cs="Times New Roman"/>
          <w:szCs w:val="20"/>
          <w:lang w:eastAsia="zh-CN"/>
        </w:rPr>
        <w:tab/>
        <w:t>После окончания 44-дневной Отечественной войны Азербайджан приступил к ликвидации последствий прошлого конфликта в двух различных направлениях.</w:t>
      </w:r>
      <w:r w:rsidR="00C6206D">
        <w:rPr>
          <w:rFonts w:eastAsia="SimSun" w:cs="Times New Roman"/>
          <w:szCs w:val="20"/>
          <w:lang w:eastAsia="zh-CN"/>
        </w:rPr>
        <w:br/>
      </w:r>
      <w:r w:rsidRPr="00D75D7F">
        <w:rPr>
          <w:rFonts w:eastAsia="SimSun" w:cs="Times New Roman"/>
          <w:szCs w:val="20"/>
          <w:lang w:eastAsia="zh-CN"/>
        </w:rPr>
        <w:t>На внутригосударственном уровне основным приоритетом является постконфликтное восстановление, реконструкция и реинтеграция, включающая в себя реинтеграцию этнических армян, проживающих на пострадавших от конфликта территориях Азербайджана, в качестве равноправных граждан Азербайджанской Республики.</w:t>
      </w:r>
      <w:r w:rsidR="00C6206D">
        <w:rPr>
          <w:rFonts w:eastAsia="SimSun" w:cs="Times New Roman"/>
          <w:szCs w:val="20"/>
          <w:lang w:eastAsia="zh-CN"/>
        </w:rPr>
        <w:br/>
      </w:r>
      <w:r w:rsidRPr="00D75D7F">
        <w:rPr>
          <w:rFonts w:eastAsia="SimSun" w:cs="Times New Roman"/>
          <w:szCs w:val="20"/>
          <w:lang w:eastAsia="zh-CN"/>
        </w:rPr>
        <w:t xml:space="preserve">В этой связи Распоряжением Президента Азербайджанской Республики от 16 ноября 2022 года была утверждена первая Государственная программа по великому </w:t>
      </w:r>
      <w:r w:rsidRPr="00D75D7F">
        <w:rPr>
          <w:rFonts w:eastAsia="SimSun" w:cs="Times New Roman"/>
          <w:szCs w:val="20"/>
          <w:lang w:eastAsia="zh-CN"/>
        </w:rPr>
        <w:lastRenderedPageBreak/>
        <w:t>возвращению на освобожденные от оккупации территории Азербайджанской Республики на 2022–2026 годы.</w:t>
      </w:r>
    </w:p>
    <w:p w14:paraId="5C63AAA2" w14:textId="06757B4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81.</w:t>
      </w:r>
      <w:r w:rsidRPr="00D75D7F">
        <w:rPr>
          <w:rFonts w:eastAsia="SimSun" w:cs="Times New Roman"/>
          <w:szCs w:val="20"/>
          <w:lang w:eastAsia="zh-CN"/>
        </w:rPr>
        <w:tab/>
        <w:t>Азербайджанская сторона примет все необходимые меры для обеспечения интеграции граждан армянского происхождения в свою политическую, социальную и экономическую структуру. Это исключительно внутренний процесс, который должен регулироваться Конституцией Азербайджана и соответствующими международными документами в области прав человека, стороной которых является Азербайджан.</w:t>
      </w:r>
      <w:r w:rsidR="00C6206D">
        <w:rPr>
          <w:rFonts w:eastAsia="SimSun" w:cs="Times New Roman"/>
          <w:szCs w:val="20"/>
          <w:lang w:eastAsia="zh-CN"/>
        </w:rPr>
        <w:br/>
      </w:r>
      <w:r w:rsidRPr="00D75D7F">
        <w:rPr>
          <w:rFonts w:eastAsia="SimSun" w:cs="Times New Roman"/>
          <w:szCs w:val="20"/>
          <w:lang w:eastAsia="zh-CN"/>
        </w:rPr>
        <w:t>В этой связи было назначено лицо, ответственное за контакты с армянскими жителями Карабахского района Азербайджанской Республики, а также предприняты и продолжают предприниматься соответствующие шаги по развитию диалога между центральным правительством и местными жителями армянского происхождения.</w:t>
      </w:r>
    </w:p>
    <w:p w14:paraId="7695FAD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82.</w:t>
      </w:r>
      <w:r w:rsidRPr="00D75D7F">
        <w:rPr>
          <w:rFonts w:eastAsia="SimSun" w:cs="Times New Roman"/>
          <w:szCs w:val="20"/>
          <w:lang w:eastAsia="zh-CN"/>
        </w:rPr>
        <w:tab/>
        <w:t>На освобожденных от оккупации территориях продолжаются масштабные восстановительные работы, на осуществление которых правительство Азербайджана в 2021–2022 годах потратило 4 млрд долл. В 2023 году на эти цели планируется направить не менее 2,8 млрд долл. Новые города и села строятся с использованием современных принципов градостроительства и концепций «умного города» и «умного села». Введены в эксплуатацию два международных аэропорта в Физули и Зангелане. Продолжаются работы по строительству международного аэропорта в Лачинском районе, которые будут завершены к концу 2024 — началу 2025 года. В рамках первой Государственной программы по великому возвращению на освобожденные от оккупации территории Азербайджанской Республики 128 семей уже вернулись в освобожденные от оккупации села Агалы Зангеланского района и Талыш Тертерского района, а 221 семья переселилась в город Лачин. С учетом масштабов разрушений, причиненных десятилетиями оккупации, международная помощь Азербайджану в этом вопросе будет способствовать обеспечению неотъемлемого права азербайджанских внутренне перемещенных лиц на скорейшее возвращение на свои земли в безопасных и достойных условиях.</w:t>
      </w:r>
    </w:p>
    <w:p w14:paraId="72C413C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83.</w:t>
      </w:r>
      <w:r w:rsidRPr="00D75D7F">
        <w:rPr>
          <w:rFonts w:eastAsia="SimSun" w:cs="Times New Roman"/>
          <w:szCs w:val="20"/>
          <w:lang w:eastAsia="zh-CN"/>
        </w:rPr>
        <w:tab/>
        <w:t>На межгосударственном уровне идет процесс нормализации отношений между Азербайджаном и Арменией. Успешное продолжение этого процесса в конструктивном ключе на базе норм и принципов международного права, изложенных в пяти основных принципах, которые Азербайджан представил Армении для подписания мирного соглашения, является основой для установления устойчивого мира в регионе. Этими принципами являются: взаимное признание уважения суверенитета, территориальной целостности, нерушимости международно признанных границ и политической независимости друг друга; взаимное подтверждение отсутствия территориальных претензий друг к другу и принятие юридически связывающих обязательств не выдвигать таких претензий в будущем; обязательство воздерживаться в своих межгосударственных отношениях от подрыва безопасности друг друга, от угрозы силой или ее применения как против политической независимости и территориальной целостности, так и любым другим образом, несовместимым с целями Устава ООН; делимитация и демаркация государственной границы и установление дипломатических отношений; разблокирование транспортных и других коммуникаций, строительство других коммуникаций в случае необходимости, а также налаживание сотрудничества в других областях, представляющих взаимный интерес.</w:t>
      </w:r>
    </w:p>
    <w:p w14:paraId="673833ED" w14:textId="27EA2F7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84.</w:t>
      </w:r>
      <w:r w:rsidRPr="00D75D7F">
        <w:rPr>
          <w:rFonts w:eastAsia="SimSun" w:cs="Times New Roman"/>
          <w:szCs w:val="20"/>
          <w:lang w:eastAsia="zh-CN"/>
        </w:rPr>
        <w:tab/>
        <w:t>Подписание мирного соглашения, основанного на вышеуказанных принципах, создаст условия для мирного сосуществования азербайджанского и армянского народов. Азербайджан представил Армении проект мирного соглашения,</w:t>
      </w:r>
      <w:r w:rsidR="00C6206D">
        <w:rPr>
          <w:rFonts w:eastAsia="SimSun" w:cs="Times New Roman"/>
          <w:szCs w:val="20"/>
          <w:lang w:eastAsia="zh-CN"/>
        </w:rPr>
        <w:br/>
      </w:r>
      <w:r w:rsidRPr="00D75D7F">
        <w:rPr>
          <w:rFonts w:eastAsia="SimSun" w:cs="Times New Roman"/>
          <w:szCs w:val="20"/>
          <w:lang w:eastAsia="zh-CN"/>
        </w:rPr>
        <w:t>и переговорный процесс в этом направлении продолжается. Наилучшим способом продвижения этого процесса является проведение прямых двусторонних переговоров по различным аспектам межгосударственных отношений между двумя странами.</w:t>
      </w:r>
      <w:r w:rsidR="00C6206D">
        <w:rPr>
          <w:rFonts w:eastAsia="SimSun" w:cs="Times New Roman"/>
          <w:szCs w:val="20"/>
          <w:lang w:eastAsia="zh-CN"/>
        </w:rPr>
        <w:br/>
      </w:r>
      <w:r w:rsidRPr="00D75D7F">
        <w:rPr>
          <w:rFonts w:eastAsia="SimSun" w:cs="Times New Roman"/>
          <w:szCs w:val="20"/>
          <w:lang w:eastAsia="zh-CN"/>
        </w:rPr>
        <w:t>Он включает в себя три направления — подписание мирного договора, делимитация границ и открытие региональных коммуникаций.</w:t>
      </w:r>
    </w:p>
    <w:p w14:paraId="722CFB9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85.</w:t>
      </w:r>
      <w:r w:rsidRPr="00D75D7F">
        <w:rPr>
          <w:rFonts w:eastAsia="SimSun" w:cs="Times New Roman"/>
          <w:szCs w:val="20"/>
          <w:lang w:eastAsia="zh-CN"/>
        </w:rPr>
        <w:tab/>
        <w:t xml:space="preserve">Однако Армения не выполняет свои обязательства, закрепленные как в Трехстороннем заявлении от 10 ноября 2020 года, так и в рамках процесса нормализации отношений. Армения до сих пор полностью не вывела свои вооруженные силы и незаконные военные формирования с суверенных территорий </w:t>
      </w:r>
      <w:r w:rsidRPr="00D75D7F">
        <w:rPr>
          <w:rFonts w:eastAsia="SimSun" w:cs="Times New Roman"/>
          <w:szCs w:val="20"/>
          <w:lang w:eastAsia="zh-CN"/>
        </w:rPr>
        <w:lastRenderedPageBreak/>
        <w:t>Азербайджана в соответствии с пунктом 4 Трехстороннего заявления, что является основной причиной возникновения периодической напряженности в регионе. Армения продолжает прибегать к военным провокациям с целью обострения ситуации и уклонения от выполнения своих обязательств.</w:t>
      </w:r>
    </w:p>
    <w:p w14:paraId="42BBB5CE" w14:textId="55611D6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86.</w:t>
      </w:r>
      <w:r w:rsidRPr="00D75D7F">
        <w:rPr>
          <w:rFonts w:eastAsia="SimSun" w:cs="Times New Roman"/>
          <w:szCs w:val="20"/>
          <w:lang w:eastAsia="zh-CN"/>
        </w:rPr>
        <w:tab/>
        <w:t>Особую озабоченность вызывает неправомерное использование армянской стороной Лачинской дороги в незаконных военных целях, в том числе для ротации состава своих незаконных вооруженных формирований, передачи и установки новых противопехотных мин, а также для транспортировки незаконно добытых природных ресурсов с территории Азербайджана и нелегального проезда граждан третьих стран на территорию Азербайджана в злонамеренных целях. Лачинская дорога, как и другие районы временного размещения миротворческого контингента является частью суверенной территории Азербайджана, и ее использование предусмотрено исключительно в гуманитарных целях в соответствии с Трехсторонним заявлением от 10 ноября 2020 года. Данное Заявление не предусматривает никакой экстерриториальности в отношении Лачинской дороги. Принимая во внимание широко распространенные злоупотребления со стороны Армении, Азербайджан постоянно подчеркивает необходимость обеспечения порядка и прозрачности движения по этой дороге. Кроме того, поскольку протесты группы азербайджанских активистов гражданского общества, проходившие вдоль этой дороги с 12 декабря</w:t>
      </w:r>
      <w:r w:rsidR="00C6206D">
        <w:rPr>
          <w:rFonts w:eastAsia="SimSun" w:cs="Times New Roman"/>
          <w:szCs w:val="20"/>
          <w:lang w:eastAsia="zh-CN"/>
        </w:rPr>
        <w:br/>
      </w:r>
      <w:r w:rsidRPr="00D75D7F">
        <w:rPr>
          <w:rFonts w:eastAsia="SimSun" w:cs="Times New Roman"/>
          <w:szCs w:val="20"/>
          <w:lang w:eastAsia="zh-CN"/>
        </w:rPr>
        <w:t>2022 года по 28 апреля 2023 года, значительно снизили вероятность злонамеренного использования дороги, Армения стала искать альтернативные маршруты и активно использовать объездные грунтовые дороги для снабжения своих воинских частей, незаконно размещенных на суверенной территории Азербайджана.</w:t>
      </w:r>
    </w:p>
    <w:p w14:paraId="363A684B" w14:textId="1128794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87.</w:t>
      </w:r>
      <w:r w:rsidRPr="00D75D7F">
        <w:rPr>
          <w:rFonts w:eastAsia="SimSun" w:cs="Times New Roman"/>
          <w:szCs w:val="20"/>
          <w:lang w:eastAsia="zh-CN"/>
        </w:rPr>
        <w:tab/>
        <w:t>Учитывая ухудшение ситуации с безопасностью на Лачинской дороге в связи с ее систематическим и широкомасштабным использованием в незаконных целях,</w:t>
      </w:r>
      <w:r w:rsidR="00C6206D">
        <w:rPr>
          <w:rFonts w:eastAsia="SimSun" w:cs="Times New Roman"/>
          <w:szCs w:val="20"/>
          <w:lang w:eastAsia="zh-CN"/>
        </w:rPr>
        <w:br/>
      </w:r>
      <w:r w:rsidRPr="00D75D7F">
        <w:rPr>
          <w:rFonts w:eastAsia="SimSun" w:cs="Times New Roman"/>
          <w:szCs w:val="20"/>
          <w:lang w:eastAsia="zh-CN"/>
        </w:rPr>
        <w:t>23 апреля 2023 года правительство Азербайджана приняло решение о создании контрольно-пропускного пункта на государственной границе между Азербайджаном и Арменией. Таким образом, прозрачность движения по дороге, верховенство закона и безопасность были обеспечены путем создания механизма пограничного контроля в начальной точке Лачинской дороги, а именно на международной границе между Азербайджаном и Арменией. Этот шаг полностью соответствует суверенному праву Азербайджанской Республики контролировать свои границы, обеспечивая при этом использование Лачинской дороги исключительно в гуманитарных и гражданских целях, как это предусмотрено в Трехстороннем заявлении от 10 ноября 2020 года.</w:t>
      </w:r>
    </w:p>
    <w:p w14:paraId="79BFD18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88.</w:t>
      </w:r>
      <w:r w:rsidRPr="00D75D7F">
        <w:rPr>
          <w:rFonts w:eastAsia="SimSun" w:cs="Times New Roman"/>
          <w:szCs w:val="20"/>
          <w:lang w:eastAsia="zh-CN"/>
        </w:rPr>
        <w:tab/>
        <w:t>Создание контрольно-пропускного пункта не влияет на практическое функционирование Лачинской дороги в соответствии с ее назначением.</w:t>
      </w:r>
    </w:p>
    <w:p w14:paraId="4ED5D81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89.</w:t>
      </w:r>
      <w:r w:rsidRPr="00D75D7F">
        <w:rPr>
          <w:rFonts w:eastAsia="SimSun" w:cs="Times New Roman"/>
          <w:szCs w:val="20"/>
          <w:lang w:eastAsia="zh-CN"/>
        </w:rPr>
        <w:tab/>
        <w:t>В этой связи в постконфликтный период для укрепления прочного мира и стабильности в регионе необходимо обеспечить строгое соблюдение норм и принципов международного права, таких как уважение суверенитета и территориальной целостности, решительный отказ от военных и иных провокаций, подрывающих процесс постконфликтной нормализации, и политическая воля к выполнению взятых на себя обязательств.</w:t>
      </w:r>
    </w:p>
    <w:p w14:paraId="7CCF1502" w14:textId="01F85904" w:rsidR="00D75D7F" w:rsidRPr="00D75D7F" w:rsidRDefault="00D75D7F" w:rsidP="00C6206D">
      <w:pPr>
        <w:pStyle w:val="H1G"/>
      </w:pPr>
      <w:r w:rsidRPr="00D75D7F">
        <w:rPr>
          <w:rFonts w:eastAsia="Calibri"/>
        </w:rPr>
        <w:tab/>
      </w:r>
      <w:r w:rsidRPr="00D75D7F">
        <w:rPr>
          <w:rFonts w:eastAsia="Calibri"/>
          <w:lang w:val="en-GB"/>
        </w:rPr>
        <w:t>B</w:t>
      </w:r>
      <w:r w:rsidRPr="00D75D7F">
        <w:rPr>
          <w:rFonts w:eastAsia="Calibri"/>
        </w:rPr>
        <w:t>.</w:t>
      </w:r>
      <w:r w:rsidRPr="00D75D7F">
        <w:rPr>
          <w:rFonts w:eastAsia="Calibri"/>
        </w:rPr>
        <w:tab/>
      </w:r>
      <w:r w:rsidRPr="00D75D7F">
        <w:t>Конституционная, политическая и правовая структура государства</w:t>
      </w:r>
    </w:p>
    <w:p w14:paraId="2F65F23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90.</w:t>
      </w:r>
      <w:r w:rsidRPr="00D75D7F">
        <w:rPr>
          <w:rFonts w:eastAsia="SimSun" w:cs="Times New Roman"/>
          <w:szCs w:val="20"/>
          <w:lang w:eastAsia="zh-CN"/>
        </w:rPr>
        <w:tab/>
        <w:t>Конституционная, политическая и правовая структура государства представлены в Конституции Азербайджанской Республики от 12 ноября 1995 года. Государственная власть в Республике организуется на основе принципа разделения властей: законодательную власть осуществляет Милли Меджлис Азербайджанской Республики, исполнительную власть — Президент Азербайджанской Республики и судебную власть — суды Азербайджанской Республики.</w:t>
      </w:r>
    </w:p>
    <w:p w14:paraId="75096DC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91.</w:t>
      </w:r>
      <w:r w:rsidRPr="00D75D7F">
        <w:rPr>
          <w:rFonts w:eastAsia="SimSun" w:cs="Times New Roman"/>
          <w:szCs w:val="20"/>
          <w:lang w:eastAsia="zh-CN"/>
        </w:rPr>
        <w:tab/>
        <w:t>В Конституции указывается, что никто, кроме избранных народом полномочных представителей, не вправе представлять народ, говорить от имени народа и выступать с обращениями от имени народа.</w:t>
      </w:r>
    </w:p>
    <w:p w14:paraId="05C4A68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92.</w:t>
      </w:r>
      <w:r w:rsidRPr="00D75D7F">
        <w:rPr>
          <w:rFonts w:eastAsia="SimSun" w:cs="Times New Roman"/>
          <w:szCs w:val="20"/>
          <w:lang w:eastAsia="zh-CN"/>
        </w:rPr>
        <w:tab/>
        <w:t>Народ Азербайджана осуществляет свое суверенное право непосредственно путем всенародного голосования — референдума и через своих представителей, избранных на основе всеобщего, равного и прямого избирательного права путем свободного, тайного и личного голосования.</w:t>
      </w:r>
    </w:p>
    <w:p w14:paraId="6434ACF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93.</w:t>
      </w:r>
      <w:r w:rsidRPr="00D75D7F">
        <w:rPr>
          <w:rFonts w:eastAsia="SimSun" w:cs="Times New Roman"/>
          <w:szCs w:val="20"/>
          <w:lang w:eastAsia="zh-CN"/>
        </w:rPr>
        <w:tab/>
        <w:t xml:space="preserve">Правила организации и проведения выборов депутатов Милли Меджлиса Азербайджанской Республики, Президента Азербайджанской Республики и муниципалитетов, а также всеобщего голосования </w:t>
      </w:r>
      <w:r w:rsidRPr="00D75D7F">
        <w:rPr>
          <w:rFonts w:eastAsia="SimSun" w:cs="Times New Roman"/>
          <w:szCs w:val="20"/>
          <w:lang w:val="en-GB" w:eastAsia="zh-CN"/>
        </w:rPr>
        <w:t>⸺</w:t>
      </w:r>
      <w:r w:rsidRPr="00D75D7F">
        <w:rPr>
          <w:rFonts w:eastAsia="SimSun" w:cs="Times New Roman"/>
          <w:szCs w:val="20"/>
          <w:lang w:eastAsia="zh-CN"/>
        </w:rPr>
        <w:t xml:space="preserve"> референдума определяются Избирательным кодексом Азербайджанской Республики.</w:t>
      </w:r>
    </w:p>
    <w:p w14:paraId="53DC03C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94.</w:t>
      </w:r>
      <w:r w:rsidRPr="00D75D7F">
        <w:rPr>
          <w:rFonts w:eastAsia="SimSun" w:cs="Times New Roman"/>
          <w:szCs w:val="20"/>
          <w:lang w:eastAsia="zh-CN"/>
        </w:rPr>
        <w:tab/>
        <w:t>Депутаты Милли Меджлиса избираются на основе мажоритарной избирательной системы и всеобщих, равных и прямых выборов при свободном, тайном и личном голосовании. Срок полномочий каждого созыва законодательного органа составляет пять лет. Милли Меджлис каждый год собирается на две очередные сессии — весеннюю и осеннюю. Внеочередные сессии созываются Председателем Милли Меджлиса по требованию Президента или 42 депутатов.</w:t>
      </w:r>
    </w:p>
    <w:p w14:paraId="3A89BBC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95.</w:t>
      </w:r>
      <w:r w:rsidRPr="00D75D7F">
        <w:rPr>
          <w:rFonts w:eastAsia="SimSun" w:cs="Times New Roman"/>
          <w:szCs w:val="20"/>
          <w:lang w:eastAsia="zh-CN"/>
        </w:rPr>
        <w:tab/>
        <w:t>Законодательный орган Республики устанавливает порядок своей работы и формирует любые соответствующие органы, в том числе выбирает своего Председателя и его заместителей, организует комитеты и комиссии и создает Счетную палату. Милли Меджлис принимает конституционные законы, нормативно-правовые акты и постановления по вопросам, относящимся к его ведению.</w:t>
      </w:r>
    </w:p>
    <w:p w14:paraId="50F60DB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96.</w:t>
      </w:r>
      <w:r w:rsidRPr="00D75D7F">
        <w:rPr>
          <w:rFonts w:eastAsia="SimSun" w:cs="Times New Roman"/>
          <w:szCs w:val="20"/>
          <w:lang w:eastAsia="zh-CN"/>
        </w:rPr>
        <w:tab/>
        <w:t>Президент избирается на семилетний срок на основе всеобщих, равных и прямых выборов при свободном, тайном и личном голосовании большинством более половины голосов избирателей, принявших участие в голосовании.</w:t>
      </w:r>
    </w:p>
    <w:p w14:paraId="0A78534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97.</w:t>
      </w:r>
      <w:r w:rsidRPr="00D75D7F">
        <w:rPr>
          <w:rFonts w:eastAsia="SimSun" w:cs="Times New Roman"/>
          <w:szCs w:val="20"/>
          <w:lang w:eastAsia="zh-CN"/>
        </w:rPr>
        <w:tab/>
        <w:t>Президентом Азербайджанской Республики может быть избран любой гражданин Республики, постоянно проживающий на территории страны свыше 10 лет, обладающий правом голосовать и баллотироваться на выборах, в том числе ранее не судимый за тяжкое преступление, не имеющий обязательств перед другими государствами, с высшим образованием и без двойного гражданства. Президент обладает правом неприкосновенности и его честь и достоинство охраняются законом.</w:t>
      </w:r>
    </w:p>
    <w:p w14:paraId="451FE76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98.</w:t>
      </w:r>
      <w:r w:rsidRPr="00D75D7F">
        <w:rPr>
          <w:rFonts w:eastAsia="SimSun" w:cs="Times New Roman"/>
          <w:szCs w:val="20"/>
          <w:lang w:eastAsia="zh-CN"/>
        </w:rPr>
        <w:tab/>
        <w:t>В соответствии с изменениями, внесенными в Конституцию Азербайджанской Республики на основании референдума, проведенного 26 сентября 2016 года, Президент может делегировать право заключения межгосударственных и межправительственных международных договоров вице-президенту, членам Кабинета министров или установленным Президентом иным лицам.</w:t>
      </w:r>
    </w:p>
    <w:p w14:paraId="73FCD94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99.</w:t>
      </w:r>
      <w:r w:rsidRPr="00D75D7F">
        <w:rPr>
          <w:rFonts w:eastAsia="SimSun" w:cs="Times New Roman"/>
          <w:szCs w:val="20"/>
          <w:lang w:eastAsia="zh-CN"/>
        </w:rPr>
        <w:tab/>
        <w:t>В соответствии с последними изменениями, внесенными в Конституцию, Президент назначает на должность и освобождает от должности первого вице-президента и вице-президентов. На должность вице-президента назначается гражданин Азербайджанской Республики, обладающий избирательным правом, с высшим образованием, не имеющий обязательств перед другими государствами. Вице-президент обладает правом неприкосновенности в течение срока его/ее полномочий.</w:t>
      </w:r>
    </w:p>
    <w:p w14:paraId="4628F6A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100.</w:t>
      </w:r>
      <w:r w:rsidRPr="00D75D7F">
        <w:rPr>
          <w:rFonts w:eastAsia="SimSun" w:cs="Times New Roman"/>
          <w:szCs w:val="20"/>
          <w:lang w:eastAsia="zh-CN"/>
        </w:rPr>
        <w:tab/>
        <w:t>С целью организации осуществления исполнительных полномочий Президент создает Кабинет министров, который является высшим органом исполнительной власти в стране и подотчетен Президенту Азербайджанской Республики. В состав Кабинета министров входят премьер-министр, его заместители, министры и другие руководители центральных органов исполнительной власти. Премьер-министр назначается Президентом с согласия Милли Меджлиса и обладает правом личной неприкосновенности в течение срока его/ее полномочий.</w:t>
      </w:r>
    </w:p>
    <w:p w14:paraId="2C8B276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101.</w:t>
      </w:r>
      <w:r w:rsidRPr="00D75D7F">
        <w:rPr>
          <w:rFonts w:eastAsia="SimSun" w:cs="Times New Roman"/>
          <w:szCs w:val="20"/>
          <w:lang w:eastAsia="zh-CN"/>
        </w:rPr>
        <w:tab/>
        <w:t>Исполнительную власть на местах осуществляют главы местной исполнительной власти, которые назначаются на эту должность и освобождаются от нее Президентом.</w:t>
      </w:r>
    </w:p>
    <w:p w14:paraId="71747AB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102.</w:t>
      </w:r>
      <w:r w:rsidRPr="00D75D7F">
        <w:rPr>
          <w:rFonts w:eastAsia="SimSun" w:cs="Times New Roman"/>
          <w:szCs w:val="20"/>
          <w:lang w:eastAsia="zh-CN"/>
        </w:rPr>
        <w:tab/>
        <w:t xml:space="preserve">В соответствии со статьей 125 Конституции Азербайджанской Республики судебную власть в Азербайджанской Республике осуществляют посредством отправления правосудия только суды. Судебную власть осуществляют Конституционный суд, Верховный суд, апелляционные суды, общие и </w:t>
      </w:r>
      <w:r w:rsidRPr="00D75D7F">
        <w:rPr>
          <w:rFonts w:eastAsia="SimSun" w:cs="Times New Roman"/>
          <w:szCs w:val="20"/>
          <w:lang w:eastAsia="zh-CN"/>
        </w:rPr>
        <w:lastRenderedPageBreak/>
        <w:t>специализированные суды Азербайджанской Республики. Судоустройство и порядок судопроизводства определяются Законом Азербайджанской Республики «О судах и судьях» от 10 июня 1997 года.</w:t>
      </w:r>
    </w:p>
    <w:p w14:paraId="1C95349F" w14:textId="10EC151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103.</w:t>
      </w:r>
      <w:r w:rsidRPr="00D75D7F">
        <w:rPr>
          <w:rFonts w:eastAsia="SimSun" w:cs="Times New Roman"/>
          <w:szCs w:val="20"/>
          <w:lang w:eastAsia="zh-CN"/>
        </w:rPr>
        <w:tab/>
        <w:t>Судебная власть осуществляется посредством конституционного, гражданского и уголовного судопроизводства и других форм, предусмотренных законом.</w:t>
      </w:r>
      <w:r w:rsidR="008F6FAE">
        <w:rPr>
          <w:rFonts w:eastAsia="SimSun" w:cs="Times New Roman"/>
          <w:szCs w:val="20"/>
          <w:lang w:eastAsia="zh-CN"/>
        </w:rPr>
        <w:br/>
      </w:r>
      <w:r w:rsidRPr="00D75D7F">
        <w:rPr>
          <w:rFonts w:eastAsia="SimSun" w:cs="Times New Roman"/>
          <w:szCs w:val="20"/>
          <w:lang w:eastAsia="zh-CN"/>
        </w:rPr>
        <w:t>В уголовном судопроизводстве участвуют Генеральная прокуратура Азербайджанской Республики и защита (адвокаты). Судоустройство и порядок судопроизводства определяются законом.</w:t>
      </w:r>
    </w:p>
    <w:p w14:paraId="231085C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104.</w:t>
      </w:r>
      <w:r w:rsidRPr="00D75D7F">
        <w:rPr>
          <w:rFonts w:eastAsia="SimSun" w:cs="Times New Roman"/>
          <w:szCs w:val="20"/>
          <w:lang w:eastAsia="zh-CN"/>
        </w:rPr>
        <w:tab/>
        <w:t>Судьями могут быть граждане Азербайджанской Республики, обладающие избирательным правом, имеющие высшее юридическое образование и стаж работы по юридической профессии не менее пяти лет, они независимы и неприкосновенны. Суды выносят решения от имени государства, исполнение которых обязательно.</w:t>
      </w:r>
    </w:p>
    <w:p w14:paraId="4BE8670D" w14:textId="789E8F4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105.</w:t>
      </w:r>
      <w:r w:rsidRPr="00D75D7F">
        <w:rPr>
          <w:rFonts w:eastAsia="SimSun" w:cs="Times New Roman"/>
          <w:szCs w:val="20"/>
          <w:lang w:eastAsia="zh-CN"/>
        </w:rPr>
        <w:tab/>
        <w:t>Граждане Азербайджанской Республики имеют право избирать и быть избранными в государственные органы, а также участвовать в референдумах. Конституция ограничивает право лиц, недееспособность которых признана на основании судебного решения, на участие в выборах и референдумах. Наряду с этим право быть избранным может в законодательном порядке ограничиваться в отношении военнослужащих, судей, государственных служащих, религиозных деятелей, лиц, лишенных свободы по вступившему в законную силу приговору суда, и других лиц, указанных в Конституции и законе.</w:t>
      </w:r>
    </w:p>
    <w:p w14:paraId="2DC6361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106.</w:t>
      </w:r>
      <w:r w:rsidRPr="00D75D7F">
        <w:rPr>
          <w:rFonts w:eastAsia="SimSun" w:cs="Times New Roman"/>
          <w:szCs w:val="20"/>
          <w:lang w:eastAsia="zh-CN"/>
        </w:rPr>
        <w:tab/>
        <w:t>Участие граждан в выборах и референдумах является свободным и добровольным. Никто не вправе оказывать воздействие на гражданина с целью принудить его к участию или неучастию в выборах или референдумах, и никто не может воспрепятствовать его свободному волеизъявлению. Граждане участвуют в выборах и референдумах на равных основаниях.</w:t>
      </w:r>
    </w:p>
    <w:p w14:paraId="2814E39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107.</w:t>
      </w:r>
      <w:r w:rsidRPr="00D75D7F">
        <w:rPr>
          <w:rFonts w:eastAsia="SimSun" w:cs="Times New Roman"/>
          <w:szCs w:val="20"/>
          <w:lang w:eastAsia="zh-CN"/>
        </w:rPr>
        <w:tab/>
        <w:t>Избирательное законодательство Азербайджанской Республики обеспечивает избирательные права представителей всех народов и этнических групп, являющихся гражданами Азербайджанской Республики.</w:t>
      </w:r>
    </w:p>
    <w:p w14:paraId="446B372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108.</w:t>
      </w:r>
      <w:r w:rsidRPr="00D75D7F">
        <w:rPr>
          <w:rFonts w:eastAsia="SimSun" w:cs="Times New Roman"/>
          <w:szCs w:val="20"/>
          <w:lang w:eastAsia="zh-CN"/>
        </w:rPr>
        <w:tab/>
        <w:t>Согласно Избирательному кодексу Азербайджанской Республики, выборы и референдумы организовываются и проводятся избирательными комиссиями. Избирательные комиссии несут ответственность за подготовку и проведение выборов, определение и утверждение результатов голосования и итогов выборов и реализацию и защиту избирательных прав граждан; они также контролируют соблюдение этих прав.</w:t>
      </w:r>
    </w:p>
    <w:p w14:paraId="602E8D5B" w14:textId="77777777" w:rsidR="00D75D7F" w:rsidRPr="00D75D7F" w:rsidRDefault="00D75D7F" w:rsidP="00D75D7F">
      <w:pPr>
        <w:tabs>
          <w:tab w:val="left" w:pos="1701"/>
          <w:tab w:val="left" w:pos="2268"/>
        </w:tabs>
        <w:spacing w:after="240"/>
        <w:ind w:left="1134" w:right="1134"/>
        <w:jc w:val="both"/>
        <w:rPr>
          <w:rFonts w:eastAsia="SimSun" w:cs="Times New Roman"/>
          <w:szCs w:val="20"/>
          <w:lang w:eastAsia="zh-CN"/>
        </w:rPr>
      </w:pPr>
      <w:r w:rsidRPr="00D75D7F">
        <w:rPr>
          <w:rFonts w:eastAsia="SimSun" w:cs="Times New Roman"/>
          <w:szCs w:val="20"/>
          <w:lang w:eastAsia="zh-CN"/>
        </w:rPr>
        <w:t>109.</w:t>
      </w:r>
      <w:r w:rsidRPr="00D75D7F">
        <w:rPr>
          <w:rFonts w:eastAsia="SimSun" w:cs="Times New Roman"/>
          <w:szCs w:val="20"/>
          <w:lang w:eastAsia="zh-CN"/>
        </w:rPr>
        <w:tab/>
        <w:t>Ниже указываются партии, представленные в Милли Меджлисе в результате выборов, проведенных в 2020 году: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536"/>
        <w:gridCol w:w="2834"/>
      </w:tblGrid>
      <w:tr w:rsidR="00D75D7F" w:rsidRPr="00D75D7F" w14:paraId="3184725F" w14:textId="77777777" w:rsidTr="00125B22">
        <w:trPr>
          <w:tblHeader/>
        </w:trPr>
        <w:tc>
          <w:tcPr>
            <w:tcW w:w="4536" w:type="dxa"/>
            <w:tcBorders>
              <w:top w:val="single" w:sz="4" w:space="0" w:color="auto"/>
              <w:bottom w:val="single" w:sz="12" w:space="0" w:color="auto"/>
            </w:tcBorders>
            <w:shd w:val="clear" w:color="auto" w:fill="auto"/>
            <w:vAlign w:val="bottom"/>
          </w:tcPr>
          <w:p w14:paraId="74F1C7E1" w14:textId="77777777" w:rsidR="00D75D7F" w:rsidRPr="00D75D7F" w:rsidRDefault="00D75D7F" w:rsidP="00D75D7F">
            <w:pPr>
              <w:suppressAutoHyphens w:val="0"/>
              <w:spacing w:before="80" w:after="80" w:line="200" w:lineRule="exact"/>
              <w:ind w:right="113"/>
              <w:rPr>
                <w:rFonts w:eastAsia="Times New Roman" w:cs="Times New Roman"/>
                <w:i/>
                <w:sz w:val="16"/>
                <w:szCs w:val="20"/>
              </w:rPr>
            </w:pPr>
            <w:r w:rsidRPr="00D75D7F">
              <w:rPr>
                <w:rFonts w:eastAsia="Times New Roman" w:cs="Times New Roman"/>
                <w:i/>
                <w:sz w:val="16"/>
                <w:szCs w:val="20"/>
              </w:rPr>
              <w:t>Политические партии</w:t>
            </w:r>
          </w:p>
        </w:tc>
        <w:tc>
          <w:tcPr>
            <w:tcW w:w="2834" w:type="dxa"/>
            <w:tcBorders>
              <w:top w:val="single" w:sz="4" w:space="0" w:color="auto"/>
              <w:bottom w:val="single" w:sz="12" w:space="0" w:color="auto"/>
            </w:tcBorders>
            <w:shd w:val="clear" w:color="auto" w:fill="auto"/>
            <w:vAlign w:val="bottom"/>
          </w:tcPr>
          <w:p w14:paraId="7A8DEB2F" w14:textId="77777777" w:rsidR="00D75D7F" w:rsidRPr="00D75D7F" w:rsidRDefault="00D75D7F" w:rsidP="00D75D7F">
            <w:pPr>
              <w:suppressAutoHyphens w:val="0"/>
              <w:spacing w:before="80" w:after="80" w:line="200" w:lineRule="exact"/>
              <w:ind w:right="113"/>
              <w:jc w:val="right"/>
              <w:rPr>
                <w:rFonts w:eastAsia="Times New Roman" w:cs="Times New Roman"/>
                <w:i/>
                <w:sz w:val="16"/>
                <w:szCs w:val="20"/>
              </w:rPr>
            </w:pPr>
            <w:r w:rsidRPr="00D75D7F">
              <w:rPr>
                <w:rFonts w:eastAsia="Times New Roman" w:cs="Times New Roman"/>
                <w:i/>
                <w:sz w:val="16"/>
                <w:szCs w:val="20"/>
              </w:rPr>
              <w:t>Число депутатов</w:t>
            </w:r>
          </w:p>
        </w:tc>
      </w:tr>
      <w:tr w:rsidR="00D75D7F" w:rsidRPr="00D75D7F" w14:paraId="7FC806C6" w14:textId="77777777" w:rsidTr="00125B22">
        <w:tc>
          <w:tcPr>
            <w:tcW w:w="4536" w:type="dxa"/>
            <w:tcBorders>
              <w:top w:val="single" w:sz="12" w:space="0" w:color="auto"/>
            </w:tcBorders>
            <w:shd w:val="clear" w:color="auto" w:fill="auto"/>
          </w:tcPr>
          <w:p w14:paraId="41246993" w14:textId="77777777" w:rsidR="00D75D7F" w:rsidRPr="00D75D7F" w:rsidRDefault="00D75D7F" w:rsidP="0076346B">
            <w:pPr>
              <w:suppressAutoHyphens w:val="0"/>
              <w:spacing w:before="120" w:after="40" w:line="220" w:lineRule="exact"/>
              <w:ind w:right="113"/>
              <w:rPr>
                <w:rFonts w:eastAsia="Times New Roman" w:cs="Times New Roman"/>
                <w:sz w:val="18"/>
                <w:szCs w:val="18"/>
                <w:lang w:val="en-GB"/>
              </w:rPr>
            </w:pPr>
            <w:r w:rsidRPr="00D75D7F">
              <w:rPr>
                <w:rFonts w:eastAsia="Times New Roman" w:cs="Times New Roman"/>
                <w:sz w:val="18"/>
                <w:szCs w:val="18"/>
                <w:lang w:val="en-GB"/>
              </w:rPr>
              <w:t>Партия «Новый Азербайджан» (Yeni Azərbaycan Partiyası)</w:t>
            </w:r>
          </w:p>
        </w:tc>
        <w:tc>
          <w:tcPr>
            <w:tcW w:w="2834" w:type="dxa"/>
            <w:tcBorders>
              <w:top w:val="single" w:sz="12" w:space="0" w:color="auto"/>
            </w:tcBorders>
            <w:shd w:val="clear" w:color="auto" w:fill="auto"/>
            <w:vAlign w:val="bottom"/>
          </w:tcPr>
          <w:p w14:paraId="2CF2F5AF" w14:textId="77777777" w:rsidR="00D75D7F" w:rsidRPr="00D75D7F" w:rsidRDefault="00D75D7F" w:rsidP="0076346B">
            <w:pPr>
              <w:suppressAutoHyphens w:val="0"/>
              <w:spacing w:before="12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69</w:t>
            </w:r>
          </w:p>
        </w:tc>
      </w:tr>
      <w:tr w:rsidR="00D75D7F" w:rsidRPr="00D75D7F" w14:paraId="18256CC5" w14:textId="77777777" w:rsidTr="00125B22">
        <w:tc>
          <w:tcPr>
            <w:tcW w:w="4536" w:type="dxa"/>
            <w:shd w:val="clear" w:color="auto" w:fill="auto"/>
          </w:tcPr>
          <w:p w14:paraId="37B8CFB8" w14:textId="77777777"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Беспартийные депутаты</w:t>
            </w:r>
            <w:r w:rsidRPr="00D75D7F">
              <w:rPr>
                <w:rFonts w:eastAsia="Times New Roman" w:cs="Times New Roman"/>
                <w:sz w:val="18"/>
                <w:szCs w:val="18"/>
                <w:lang w:val="en-GB"/>
              </w:rPr>
              <w:t xml:space="preserve"> (Bitərəflər)</w:t>
            </w:r>
          </w:p>
        </w:tc>
        <w:tc>
          <w:tcPr>
            <w:tcW w:w="2834" w:type="dxa"/>
            <w:shd w:val="clear" w:color="auto" w:fill="auto"/>
            <w:vAlign w:val="bottom"/>
          </w:tcPr>
          <w:p w14:paraId="48058E00"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37</w:t>
            </w:r>
          </w:p>
        </w:tc>
      </w:tr>
      <w:tr w:rsidR="00D75D7F" w:rsidRPr="00D75D7F" w14:paraId="49448A7C" w14:textId="77777777" w:rsidTr="00125B22">
        <w:tc>
          <w:tcPr>
            <w:tcW w:w="4536" w:type="dxa"/>
            <w:shd w:val="clear" w:color="auto" w:fill="auto"/>
          </w:tcPr>
          <w:p w14:paraId="6ECA8214" w14:textId="42413911" w:rsidR="00D75D7F" w:rsidRPr="00D75D7F" w:rsidRDefault="00D75D7F" w:rsidP="00D75D7F">
            <w:pPr>
              <w:suppressAutoHyphens w:val="0"/>
              <w:spacing w:before="40" w:after="40" w:line="220" w:lineRule="exact"/>
              <w:ind w:right="113"/>
              <w:rPr>
                <w:rFonts w:eastAsia="Times New Roman" w:cs="Times New Roman"/>
                <w:sz w:val="18"/>
                <w:szCs w:val="18"/>
              </w:rPr>
            </w:pPr>
            <w:r w:rsidRPr="00D75D7F">
              <w:rPr>
                <w:rFonts w:eastAsia="Times New Roman" w:cs="Times New Roman"/>
                <w:sz w:val="18"/>
                <w:szCs w:val="18"/>
              </w:rPr>
              <w:t>Партия гражданской солидарности (</w:t>
            </w:r>
            <w:r w:rsidRPr="00D75D7F">
              <w:rPr>
                <w:rFonts w:eastAsia="Times New Roman" w:cs="Times New Roman"/>
                <w:sz w:val="18"/>
                <w:szCs w:val="18"/>
                <w:lang w:val="en-GB"/>
              </w:rPr>
              <w:t>V</w:t>
            </w:r>
            <w:r w:rsidRPr="00D75D7F">
              <w:rPr>
                <w:rFonts w:eastAsia="Times New Roman" w:cs="Times New Roman"/>
                <w:sz w:val="18"/>
                <w:szCs w:val="18"/>
              </w:rPr>
              <w:t>ə</w:t>
            </w:r>
            <w:r w:rsidRPr="00D75D7F">
              <w:rPr>
                <w:rFonts w:eastAsia="Times New Roman" w:cs="Times New Roman"/>
                <w:sz w:val="18"/>
                <w:szCs w:val="18"/>
                <w:lang w:val="en-GB"/>
              </w:rPr>
              <w:t>t</w:t>
            </w:r>
            <w:r w:rsidRPr="00D75D7F">
              <w:rPr>
                <w:rFonts w:eastAsia="Times New Roman" w:cs="Times New Roman"/>
                <w:sz w:val="18"/>
                <w:szCs w:val="18"/>
              </w:rPr>
              <w:t>ə</w:t>
            </w:r>
            <w:r w:rsidRPr="00D75D7F">
              <w:rPr>
                <w:rFonts w:eastAsia="Times New Roman" w:cs="Times New Roman"/>
                <w:sz w:val="18"/>
                <w:szCs w:val="18"/>
                <w:lang w:val="en-GB"/>
              </w:rPr>
              <w:t>nda</w:t>
            </w:r>
            <w:r w:rsidRPr="00D75D7F">
              <w:rPr>
                <w:rFonts w:eastAsia="Times New Roman" w:cs="Times New Roman"/>
                <w:sz w:val="18"/>
                <w:szCs w:val="18"/>
              </w:rPr>
              <w:t xml:space="preserve">ş </w:t>
            </w:r>
            <w:r w:rsidRPr="00D75D7F">
              <w:rPr>
                <w:rFonts w:eastAsia="Times New Roman" w:cs="Times New Roman"/>
                <w:sz w:val="18"/>
                <w:szCs w:val="18"/>
                <w:lang w:val="en-GB"/>
              </w:rPr>
              <w:t>H</w:t>
            </w:r>
            <w:r w:rsidRPr="00D75D7F">
              <w:rPr>
                <w:rFonts w:eastAsia="Times New Roman" w:cs="Times New Roman"/>
                <w:sz w:val="18"/>
                <w:szCs w:val="18"/>
              </w:rPr>
              <w:t>ə</w:t>
            </w:r>
            <w:r w:rsidRPr="00D75D7F">
              <w:rPr>
                <w:rFonts w:eastAsia="Times New Roman" w:cs="Times New Roman"/>
                <w:sz w:val="18"/>
                <w:szCs w:val="18"/>
                <w:lang w:val="en-GB"/>
              </w:rPr>
              <w:t>mr</w:t>
            </w:r>
            <w:r w:rsidRPr="00D75D7F">
              <w:rPr>
                <w:rFonts w:eastAsia="Times New Roman" w:cs="Times New Roman"/>
                <w:sz w:val="18"/>
                <w:szCs w:val="18"/>
              </w:rPr>
              <w:t>ə</w:t>
            </w:r>
            <w:r w:rsidRPr="00D75D7F">
              <w:rPr>
                <w:rFonts w:eastAsia="Times New Roman" w:cs="Times New Roman"/>
                <w:sz w:val="18"/>
                <w:szCs w:val="18"/>
                <w:lang w:val="en-GB"/>
              </w:rPr>
              <w:t>yliyi</w:t>
            </w:r>
            <w:r w:rsidRPr="00D75D7F">
              <w:rPr>
                <w:rFonts w:eastAsia="Times New Roman" w:cs="Times New Roman"/>
                <w:sz w:val="18"/>
                <w:szCs w:val="18"/>
              </w:rPr>
              <w:t xml:space="preserve"> </w:t>
            </w:r>
            <w:r w:rsidRPr="00D75D7F">
              <w:rPr>
                <w:rFonts w:eastAsia="Times New Roman" w:cs="Times New Roman"/>
                <w:sz w:val="18"/>
                <w:szCs w:val="18"/>
                <w:lang w:val="en-GB"/>
              </w:rPr>
              <w:t>Partiyas</w:t>
            </w:r>
            <w:r w:rsidRPr="00D75D7F">
              <w:rPr>
                <w:rFonts w:eastAsia="Times New Roman" w:cs="Times New Roman"/>
                <w:sz w:val="18"/>
                <w:szCs w:val="18"/>
              </w:rPr>
              <w:t>ı)</w:t>
            </w:r>
          </w:p>
        </w:tc>
        <w:tc>
          <w:tcPr>
            <w:tcW w:w="2834" w:type="dxa"/>
            <w:shd w:val="clear" w:color="auto" w:fill="auto"/>
            <w:vAlign w:val="bottom"/>
          </w:tcPr>
          <w:p w14:paraId="69ED222A"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3</w:t>
            </w:r>
          </w:p>
        </w:tc>
      </w:tr>
      <w:tr w:rsidR="00D75D7F" w:rsidRPr="00D75D7F" w14:paraId="2AB9DDE9" w14:textId="77777777" w:rsidTr="00125B22">
        <w:tc>
          <w:tcPr>
            <w:tcW w:w="4536" w:type="dxa"/>
            <w:shd w:val="clear" w:color="auto" w:fill="auto"/>
          </w:tcPr>
          <w:p w14:paraId="6581A018" w14:textId="77777777"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Партия</w:t>
            </w:r>
            <w:r w:rsidRPr="00D75D7F">
              <w:rPr>
                <w:rFonts w:eastAsia="Times New Roman" w:cs="Times New Roman"/>
                <w:sz w:val="18"/>
                <w:szCs w:val="18"/>
                <w:lang w:val="en-GB"/>
              </w:rPr>
              <w:t xml:space="preserve"> «</w:t>
            </w:r>
            <w:r w:rsidRPr="00D75D7F">
              <w:rPr>
                <w:rFonts w:eastAsia="Times New Roman" w:cs="Times New Roman"/>
                <w:sz w:val="18"/>
                <w:szCs w:val="18"/>
              </w:rPr>
              <w:t>Родина</w:t>
            </w:r>
            <w:r w:rsidRPr="00D75D7F">
              <w:rPr>
                <w:rFonts w:eastAsia="Times New Roman" w:cs="Times New Roman"/>
                <w:sz w:val="18"/>
                <w:szCs w:val="18"/>
                <w:lang w:val="en-GB"/>
              </w:rPr>
              <w:t>» (Ana Vətən Partiyası)</w:t>
            </w:r>
          </w:p>
        </w:tc>
        <w:tc>
          <w:tcPr>
            <w:tcW w:w="2834" w:type="dxa"/>
            <w:shd w:val="clear" w:color="auto" w:fill="auto"/>
            <w:vAlign w:val="bottom"/>
          </w:tcPr>
          <w:p w14:paraId="38E7ABE2"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0316D92B" w14:textId="77777777" w:rsidTr="00125B22">
        <w:tc>
          <w:tcPr>
            <w:tcW w:w="4536" w:type="dxa"/>
            <w:shd w:val="clear" w:color="auto" w:fill="auto"/>
          </w:tcPr>
          <w:p w14:paraId="37830132" w14:textId="29885894"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Партия</w:t>
            </w:r>
            <w:r w:rsidRPr="00D75D7F">
              <w:rPr>
                <w:rFonts w:eastAsia="Times New Roman" w:cs="Times New Roman"/>
                <w:sz w:val="18"/>
                <w:szCs w:val="18"/>
                <w:lang w:val="en-GB"/>
              </w:rPr>
              <w:t xml:space="preserve"> </w:t>
            </w:r>
            <w:r w:rsidRPr="00D75D7F">
              <w:rPr>
                <w:rFonts w:eastAsia="Times New Roman" w:cs="Times New Roman"/>
                <w:sz w:val="18"/>
                <w:szCs w:val="18"/>
              </w:rPr>
              <w:t>демократического</w:t>
            </w:r>
            <w:r w:rsidRPr="00D75D7F">
              <w:rPr>
                <w:rFonts w:eastAsia="Times New Roman" w:cs="Times New Roman"/>
                <w:sz w:val="18"/>
                <w:szCs w:val="18"/>
                <w:lang w:val="en-GB"/>
              </w:rPr>
              <w:t xml:space="preserve"> </w:t>
            </w:r>
            <w:r w:rsidRPr="00D75D7F">
              <w:rPr>
                <w:rFonts w:eastAsia="Times New Roman" w:cs="Times New Roman"/>
                <w:sz w:val="18"/>
                <w:szCs w:val="18"/>
              </w:rPr>
              <w:t>просвещения</w:t>
            </w:r>
            <w:r w:rsidRPr="00D75D7F">
              <w:rPr>
                <w:rFonts w:eastAsia="Times New Roman" w:cs="Times New Roman"/>
                <w:sz w:val="18"/>
                <w:szCs w:val="18"/>
                <w:lang w:val="en-GB"/>
              </w:rPr>
              <w:t xml:space="preserve"> </w:t>
            </w:r>
            <w:r w:rsidRPr="00D75D7F">
              <w:rPr>
                <w:rFonts w:eastAsia="Times New Roman" w:cs="Times New Roman"/>
                <w:sz w:val="18"/>
                <w:szCs w:val="18"/>
              </w:rPr>
              <w:t>Азербайджана</w:t>
            </w:r>
            <w:r w:rsidRPr="00D75D7F">
              <w:rPr>
                <w:rFonts w:eastAsia="Times New Roman" w:cs="Times New Roman"/>
                <w:sz w:val="18"/>
                <w:szCs w:val="18"/>
                <w:lang w:val="en-GB"/>
              </w:rPr>
              <w:t> (Azərbaycan Demokratik Maarifçilik Partiyası)</w:t>
            </w:r>
          </w:p>
        </w:tc>
        <w:tc>
          <w:tcPr>
            <w:tcW w:w="2834" w:type="dxa"/>
            <w:shd w:val="clear" w:color="auto" w:fill="auto"/>
            <w:vAlign w:val="bottom"/>
          </w:tcPr>
          <w:p w14:paraId="37D1B4EE"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445BBB26" w14:textId="77777777" w:rsidTr="00125B22">
        <w:tc>
          <w:tcPr>
            <w:tcW w:w="4536" w:type="dxa"/>
            <w:shd w:val="clear" w:color="auto" w:fill="auto"/>
          </w:tcPr>
          <w:p w14:paraId="1E95FDC5" w14:textId="77777777"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Партия единства</w:t>
            </w:r>
            <w:r w:rsidRPr="00D75D7F">
              <w:rPr>
                <w:rFonts w:eastAsia="Times New Roman" w:cs="Times New Roman"/>
                <w:sz w:val="18"/>
                <w:szCs w:val="18"/>
                <w:lang w:val="en-GB"/>
              </w:rPr>
              <w:t xml:space="preserve"> (Vəhdət Partiyası)</w:t>
            </w:r>
          </w:p>
        </w:tc>
        <w:tc>
          <w:tcPr>
            <w:tcW w:w="2834" w:type="dxa"/>
            <w:shd w:val="clear" w:color="auto" w:fill="auto"/>
            <w:vAlign w:val="bottom"/>
          </w:tcPr>
          <w:p w14:paraId="7B353C6A"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663A40B4" w14:textId="77777777" w:rsidTr="0076346B">
        <w:tc>
          <w:tcPr>
            <w:tcW w:w="4536" w:type="dxa"/>
            <w:tcBorders>
              <w:bottom w:val="nil"/>
            </w:tcBorders>
            <w:shd w:val="clear" w:color="auto" w:fill="auto"/>
          </w:tcPr>
          <w:p w14:paraId="0E277866" w14:textId="77777777"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Партия</w:t>
            </w:r>
            <w:r w:rsidRPr="00D75D7F">
              <w:rPr>
                <w:rFonts w:eastAsia="Times New Roman" w:cs="Times New Roman"/>
                <w:sz w:val="18"/>
                <w:szCs w:val="18"/>
                <w:lang w:val="en-GB"/>
              </w:rPr>
              <w:t xml:space="preserve"> </w:t>
            </w:r>
            <w:r w:rsidRPr="00D75D7F">
              <w:rPr>
                <w:rFonts w:eastAsia="Times New Roman" w:cs="Times New Roman"/>
                <w:sz w:val="18"/>
                <w:szCs w:val="18"/>
              </w:rPr>
              <w:t>демократических</w:t>
            </w:r>
            <w:r w:rsidRPr="00D75D7F">
              <w:rPr>
                <w:rFonts w:eastAsia="Times New Roman" w:cs="Times New Roman"/>
                <w:sz w:val="18"/>
                <w:szCs w:val="18"/>
                <w:lang w:val="en-GB"/>
              </w:rPr>
              <w:t xml:space="preserve"> </w:t>
            </w:r>
            <w:r w:rsidRPr="00D75D7F">
              <w:rPr>
                <w:rFonts w:eastAsia="Times New Roman" w:cs="Times New Roman"/>
                <w:sz w:val="18"/>
                <w:szCs w:val="18"/>
              </w:rPr>
              <w:t>реформ</w:t>
            </w:r>
            <w:r w:rsidRPr="00D75D7F">
              <w:rPr>
                <w:rFonts w:eastAsia="Times New Roman" w:cs="Times New Roman"/>
                <w:sz w:val="18"/>
                <w:szCs w:val="18"/>
                <w:lang w:val="en-GB"/>
              </w:rPr>
              <w:t xml:space="preserve"> </w:t>
            </w:r>
            <w:r w:rsidRPr="00D75D7F">
              <w:rPr>
                <w:rFonts w:eastAsia="Times New Roman" w:cs="Times New Roman"/>
                <w:sz w:val="18"/>
                <w:szCs w:val="18"/>
              </w:rPr>
              <w:t>Азербайджана</w:t>
            </w:r>
            <w:r w:rsidRPr="00D75D7F">
              <w:rPr>
                <w:rFonts w:ascii="Arial" w:eastAsia="Times New Roman" w:hAnsi="Arial" w:cs="Arial"/>
                <w:color w:val="202122"/>
                <w:sz w:val="18"/>
                <w:szCs w:val="18"/>
                <w:lang w:val="en-GB"/>
              </w:rPr>
              <w:t> </w:t>
            </w:r>
            <w:r w:rsidRPr="00D75D7F">
              <w:rPr>
                <w:rFonts w:eastAsia="Times New Roman" w:cs="Times New Roman"/>
                <w:sz w:val="18"/>
                <w:szCs w:val="18"/>
                <w:lang w:val="en-GB"/>
              </w:rPr>
              <w:t>(Azərbaycan Demokratik İslahatlar Partiyası)</w:t>
            </w:r>
          </w:p>
        </w:tc>
        <w:tc>
          <w:tcPr>
            <w:tcW w:w="2834" w:type="dxa"/>
            <w:tcBorders>
              <w:bottom w:val="nil"/>
            </w:tcBorders>
            <w:shd w:val="clear" w:color="auto" w:fill="auto"/>
            <w:vAlign w:val="bottom"/>
          </w:tcPr>
          <w:p w14:paraId="1B42A17F"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3B23D491" w14:textId="77777777" w:rsidTr="0076346B">
        <w:tc>
          <w:tcPr>
            <w:tcW w:w="4536" w:type="dxa"/>
            <w:tcBorders>
              <w:top w:val="nil"/>
              <w:bottom w:val="nil"/>
            </w:tcBorders>
            <w:shd w:val="clear" w:color="auto" w:fill="auto"/>
          </w:tcPr>
          <w:p w14:paraId="63D122BD" w14:textId="77777777" w:rsidR="00D75D7F" w:rsidRPr="00D75D7F" w:rsidRDefault="00D75D7F" w:rsidP="00D75D7F">
            <w:pPr>
              <w:suppressAutoHyphens w:val="0"/>
              <w:spacing w:before="40" w:after="40" w:line="220" w:lineRule="exact"/>
              <w:ind w:right="113"/>
              <w:rPr>
                <w:rFonts w:eastAsia="Times New Roman" w:cs="Times New Roman"/>
                <w:sz w:val="18"/>
                <w:szCs w:val="18"/>
              </w:rPr>
            </w:pPr>
            <w:r w:rsidRPr="00D75D7F">
              <w:rPr>
                <w:rFonts w:eastAsia="Times New Roman" w:cs="Times New Roman"/>
                <w:sz w:val="18"/>
                <w:szCs w:val="18"/>
              </w:rPr>
              <w:t>Партия «Великое учреждение» (</w:t>
            </w:r>
            <w:r w:rsidRPr="00D75D7F">
              <w:rPr>
                <w:rFonts w:eastAsia="Times New Roman" w:cs="Times New Roman"/>
                <w:sz w:val="18"/>
                <w:szCs w:val="18"/>
                <w:lang w:val="en-GB"/>
              </w:rPr>
              <w:t>B</w:t>
            </w:r>
            <w:r w:rsidRPr="00D75D7F">
              <w:rPr>
                <w:rFonts w:eastAsia="Times New Roman" w:cs="Times New Roman"/>
                <w:sz w:val="18"/>
                <w:szCs w:val="18"/>
              </w:rPr>
              <w:t>ö</w:t>
            </w:r>
            <w:r w:rsidRPr="00D75D7F">
              <w:rPr>
                <w:rFonts w:eastAsia="Times New Roman" w:cs="Times New Roman"/>
                <w:sz w:val="18"/>
                <w:szCs w:val="18"/>
                <w:lang w:val="en-GB"/>
              </w:rPr>
              <w:t>y</w:t>
            </w:r>
            <w:r w:rsidRPr="00D75D7F">
              <w:rPr>
                <w:rFonts w:eastAsia="Times New Roman" w:cs="Times New Roman"/>
                <w:sz w:val="18"/>
                <w:szCs w:val="18"/>
              </w:rPr>
              <w:t>ü</w:t>
            </w:r>
            <w:r w:rsidRPr="00D75D7F">
              <w:rPr>
                <w:rFonts w:eastAsia="Times New Roman" w:cs="Times New Roman"/>
                <w:sz w:val="18"/>
                <w:szCs w:val="18"/>
                <w:lang w:val="en-GB"/>
              </w:rPr>
              <w:t>k</w:t>
            </w:r>
            <w:r w:rsidRPr="00D75D7F">
              <w:rPr>
                <w:rFonts w:eastAsia="Times New Roman" w:cs="Times New Roman"/>
                <w:sz w:val="18"/>
                <w:szCs w:val="18"/>
              </w:rPr>
              <w:t xml:space="preserve"> </w:t>
            </w:r>
            <w:r w:rsidRPr="00D75D7F">
              <w:rPr>
                <w:rFonts w:eastAsia="Times New Roman" w:cs="Times New Roman"/>
                <w:sz w:val="18"/>
                <w:szCs w:val="18"/>
                <w:lang w:val="en-GB"/>
              </w:rPr>
              <w:t>Qurulu</w:t>
            </w:r>
            <w:r w:rsidRPr="00D75D7F">
              <w:rPr>
                <w:rFonts w:eastAsia="Times New Roman" w:cs="Times New Roman"/>
                <w:sz w:val="18"/>
                <w:szCs w:val="18"/>
              </w:rPr>
              <w:t xml:space="preserve">ş </w:t>
            </w:r>
            <w:r w:rsidRPr="00D75D7F">
              <w:rPr>
                <w:rFonts w:eastAsia="Times New Roman" w:cs="Times New Roman"/>
                <w:sz w:val="18"/>
                <w:szCs w:val="18"/>
                <w:lang w:val="en-GB"/>
              </w:rPr>
              <w:t>Partiyas</w:t>
            </w:r>
            <w:r w:rsidRPr="00D75D7F">
              <w:rPr>
                <w:rFonts w:eastAsia="Times New Roman" w:cs="Times New Roman"/>
                <w:sz w:val="18"/>
                <w:szCs w:val="18"/>
              </w:rPr>
              <w:t>ı)</w:t>
            </w:r>
          </w:p>
        </w:tc>
        <w:tc>
          <w:tcPr>
            <w:tcW w:w="2834" w:type="dxa"/>
            <w:tcBorders>
              <w:top w:val="nil"/>
              <w:bottom w:val="nil"/>
            </w:tcBorders>
            <w:shd w:val="clear" w:color="auto" w:fill="auto"/>
            <w:vAlign w:val="bottom"/>
          </w:tcPr>
          <w:p w14:paraId="692E9555"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67D43042" w14:textId="77777777" w:rsidTr="0076346B">
        <w:tc>
          <w:tcPr>
            <w:tcW w:w="4536" w:type="dxa"/>
            <w:tcBorders>
              <w:top w:val="nil"/>
              <w:bottom w:val="nil"/>
            </w:tcBorders>
            <w:shd w:val="clear" w:color="auto" w:fill="auto"/>
          </w:tcPr>
          <w:p w14:paraId="689E8DB9" w14:textId="77777777" w:rsidR="00D75D7F" w:rsidRPr="00D75D7F" w:rsidRDefault="00D75D7F" w:rsidP="0076346B">
            <w:pPr>
              <w:suppressAutoHyphens w:val="0"/>
              <w:spacing w:before="120" w:after="40" w:line="220" w:lineRule="exact"/>
              <w:ind w:right="113"/>
              <w:rPr>
                <w:rFonts w:eastAsia="Times New Roman" w:cs="Times New Roman"/>
                <w:sz w:val="18"/>
                <w:szCs w:val="18"/>
              </w:rPr>
            </w:pPr>
            <w:r w:rsidRPr="00D75D7F">
              <w:rPr>
                <w:rFonts w:eastAsia="Times New Roman" w:cs="Times New Roman"/>
                <w:sz w:val="18"/>
                <w:szCs w:val="18"/>
              </w:rPr>
              <w:lastRenderedPageBreak/>
              <w:t>Партия гражданского единства (</w:t>
            </w:r>
            <w:r w:rsidRPr="00D75D7F">
              <w:rPr>
                <w:rFonts w:eastAsia="Times New Roman" w:cs="Times New Roman"/>
                <w:sz w:val="18"/>
                <w:szCs w:val="18"/>
                <w:lang w:val="en-GB"/>
              </w:rPr>
              <w:t>V</w:t>
            </w:r>
            <w:r w:rsidRPr="00D75D7F">
              <w:rPr>
                <w:rFonts w:eastAsia="Times New Roman" w:cs="Times New Roman"/>
                <w:sz w:val="18"/>
                <w:szCs w:val="18"/>
              </w:rPr>
              <w:t>ə</w:t>
            </w:r>
            <w:r w:rsidRPr="00D75D7F">
              <w:rPr>
                <w:rFonts w:eastAsia="Times New Roman" w:cs="Times New Roman"/>
                <w:sz w:val="18"/>
                <w:szCs w:val="18"/>
                <w:lang w:val="en-GB"/>
              </w:rPr>
              <w:t>t</w:t>
            </w:r>
            <w:r w:rsidRPr="00D75D7F">
              <w:rPr>
                <w:rFonts w:eastAsia="Times New Roman" w:cs="Times New Roman"/>
                <w:sz w:val="18"/>
                <w:szCs w:val="18"/>
              </w:rPr>
              <w:t>ə</w:t>
            </w:r>
            <w:r w:rsidRPr="00D75D7F">
              <w:rPr>
                <w:rFonts w:eastAsia="Times New Roman" w:cs="Times New Roman"/>
                <w:sz w:val="18"/>
                <w:szCs w:val="18"/>
                <w:lang w:val="en-GB"/>
              </w:rPr>
              <w:t>nda</w:t>
            </w:r>
            <w:r w:rsidRPr="00D75D7F">
              <w:rPr>
                <w:rFonts w:eastAsia="Times New Roman" w:cs="Times New Roman"/>
                <w:sz w:val="18"/>
                <w:szCs w:val="18"/>
              </w:rPr>
              <w:t xml:space="preserve">ş </w:t>
            </w:r>
            <w:r w:rsidRPr="00D75D7F">
              <w:rPr>
                <w:rFonts w:eastAsia="Times New Roman" w:cs="Times New Roman"/>
                <w:sz w:val="18"/>
                <w:szCs w:val="18"/>
                <w:lang w:val="en-GB"/>
              </w:rPr>
              <w:t>H</w:t>
            </w:r>
            <w:r w:rsidRPr="00D75D7F">
              <w:rPr>
                <w:rFonts w:eastAsia="Times New Roman" w:cs="Times New Roman"/>
                <w:sz w:val="18"/>
                <w:szCs w:val="18"/>
              </w:rPr>
              <w:t>ə</w:t>
            </w:r>
            <w:r w:rsidRPr="00D75D7F">
              <w:rPr>
                <w:rFonts w:eastAsia="Times New Roman" w:cs="Times New Roman"/>
                <w:sz w:val="18"/>
                <w:szCs w:val="18"/>
                <w:lang w:val="en-GB"/>
              </w:rPr>
              <w:t>mr</w:t>
            </w:r>
            <w:r w:rsidRPr="00D75D7F">
              <w:rPr>
                <w:rFonts w:eastAsia="Times New Roman" w:cs="Times New Roman"/>
                <w:sz w:val="18"/>
                <w:szCs w:val="18"/>
              </w:rPr>
              <w:t>ə</w:t>
            </w:r>
            <w:r w:rsidRPr="00D75D7F">
              <w:rPr>
                <w:rFonts w:eastAsia="Times New Roman" w:cs="Times New Roman"/>
                <w:sz w:val="18"/>
                <w:szCs w:val="18"/>
                <w:lang w:val="en-GB"/>
              </w:rPr>
              <w:t>yliyi</w:t>
            </w:r>
            <w:r w:rsidRPr="00D75D7F">
              <w:rPr>
                <w:rFonts w:eastAsia="Times New Roman" w:cs="Times New Roman"/>
                <w:sz w:val="18"/>
                <w:szCs w:val="18"/>
              </w:rPr>
              <w:t xml:space="preserve"> </w:t>
            </w:r>
            <w:r w:rsidRPr="00D75D7F">
              <w:rPr>
                <w:rFonts w:eastAsia="Times New Roman" w:cs="Times New Roman"/>
                <w:sz w:val="18"/>
                <w:szCs w:val="18"/>
                <w:lang w:val="en-GB"/>
              </w:rPr>
              <w:t>Partiyas</w:t>
            </w:r>
            <w:r w:rsidRPr="00D75D7F">
              <w:rPr>
                <w:rFonts w:eastAsia="Times New Roman" w:cs="Times New Roman"/>
                <w:sz w:val="18"/>
                <w:szCs w:val="18"/>
              </w:rPr>
              <w:t>ı)</w:t>
            </w:r>
          </w:p>
        </w:tc>
        <w:tc>
          <w:tcPr>
            <w:tcW w:w="2834" w:type="dxa"/>
            <w:tcBorders>
              <w:top w:val="nil"/>
              <w:bottom w:val="nil"/>
            </w:tcBorders>
            <w:shd w:val="clear" w:color="auto" w:fill="auto"/>
            <w:vAlign w:val="bottom"/>
          </w:tcPr>
          <w:p w14:paraId="25AFE440" w14:textId="77777777" w:rsidR="00D75D7F" w:rsidRPr="00D75D7F" w:rsidRDefault="00D75D7F" w:rsidP="0076346B">
            <w:pPr>
              <w:suppressAutoHyphens w:val="0"/>
              <w:spacing w:before="12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246274AF" w14:textId="77777777" w:rsidTr="0076346B">
        <w:tc>
          <w:tcPr>
            <w:tcW w:w="4536" w:type="dxa"/>
            <w:tcBorders>
              <w:top w:val="nil"/>
              <w:bottom w:val="nil"/>
            </w:tcBorders>
            <w:shd w:val="clear" w:color="auto" w:fill="auto"/>
          </w:tcPr>
          <w:p w14:paraId="524C38FB" w14:textId="77777777" w:rsidR="00D75D7F" w:rsidRPr="00D75D7F" w:rsidRDefault="00D75D7F" w:rsidP="00D75D7F">
            <w:pPr>
              <w:suppressAutoHyphens w:val="0"/>
              <w:spacing w:before="40" w:after="40" w:line="220" w:lineRule="exact"/>
              <w:ind w:right="113"/>
              <w:rPr>
                <w:rFonts w:eastAsia="Times New Roman" w:cs="Times New Roman"/>
                <w:sz w:val="18"/>
                <w:szCs w:val="18"/>
                <w:lang w:val="en-GB"/>
              </w:rPr>
            </w:pPr>
            <w:r w:rsidRPr="00D75D7F">
              <w:rPr>
                <w:rFonts w:eastAsia="Times New Roman" w:cs="Times New Roman"/>
                <w:sz w:val="18"/>
                <w:szCs w:val="18"/>
              </w:rPr>
              <w:t>Партия</w:t>
            </w:r>
            <w:r w:rsidRPr="00D75D7F">
              <w:rPr>
                <w:rFonts w:eastAsia="Times New Roman" w:cs="Times New Roman"/>
                <w:sz w:val="18"/>
                <w:szCs w:val="18"/>
                <w:lang w:val="en-GB"/>
              </w:rPr>
              <w:t xml:space="preserve"> </w:t>
            </w:r>
            <w:r w:rsidRPr="00D75D7F">
              <w:rPr>
                <w:rFonts w:eastAsia="Times New Roman" w:cs="Times New Roman"/>
                <w:sz w:val="18"/>
                <w:szCs w:val="18"/>
              </w:rPr>
              <w:t>Народного</w:t>
            </w:r>
            <w:r w:rsidRPr="00D75D7F">
              <w:rPr>
                <w:rFonts w:eastAsia="Times New Roman" w:cs="Times New Roman"/>
                <w:sz w:val="18"/>
                <w:szCs w:val="18"/>
                <w:lang w:val="en-GB"/>
              </w:rPr>
              <w:t xml:space="preserve"> </w:t>
            </w:r>
            <w:r w:rsidRPr="00D75D7F">
              <w:rPr>
                <w:rFonts w:eastAsia="Times New Roman" w:cs="Times New Roman"/>
                <w:sz w:val="18"/>
                <w:szCs w:val="18"/>
              </w:rPr>
              <w:t>фронта</w:t>
            </w:r>
            <w:r w:rsidRPr="00D75D7F">
              <w:rPr>
                <w:rFonts w:eastAsia="Times New Roman" w:cs="Times New Roman"/>
                <w:sz w:val="18"/>
                <w:szCs w:val="18"/>
                <w:lang w:val="en-GB"/>
              </w:rPr>
              <w:t xml:space="preserve"> </w:t>
            </w:r>
            <w:r w:rsidRPr="00D75D7F">
              <w:rPr>
                <w:rFonts w:eastAsia="Times New Roman" w:cs="Times New Roman"/>
                <w:sz w:val="18"/>
                <w:szCs w:val="18"/>
              </w:rPr>
              <w:t>объединенного</w:t>
            </w:r>
            <w:r w:rsidRPr="00D75D7F">
              <w:rPr>
                <w:rFonts w:eastAsia="Times New Roman" w:cs="Times New Roman"/>
                <w:sz w:val="18"/>
                <w:szCs w:val="18"/>
                <w:lang w:val="en-GB"/>
              </w:rPr>
              <w:t xml:space="preserve"> </w:t>
            </w:r>
            <w:r w:rsidRPr="00D75D7F">
              <w:rPr>
                <w:rFonts w:eastAsia="Times New Roman" w:cs="Times New Roman"/>
                <w:sz w:val="18"/>
                <w:szCs w:val="18"/>
              </w:rPr>
              <w:t>Азербайджана</w:t>
            </w:r>
            <w:r w:rsidRPr="00D75D7F">
              <w:rPr>
                <w:rFonts w:eastAsia="Times New Roman" w:cs="Times New Roman"/>
                <w:sz w:val="18"/>
                <w:szCs w:val="18"/>
                <w:lang w:val="en-GB"/>
              </w:rPr>
              <w:t xml:space="preserve"> (Bütov Azərbaycan Xalq Cəbhəsi Partiyası)</w:t>
            </w:r>
          </w:p>
        </w:tc>
        <w:tc>
          <w:tcPr>
            <w:tcW w:w="2834" w:type="dxa"/>
            <w:tcBorders>
              <w:top w:val="nil"/>
              <w:bottom w:val="nil"/>
            </w:tcBorders>
            <w:shd w:val="clear" w:color="auto" w:fill="auto"/>
            <w:vAlign w:val="bottom"/>
          </w:tcPr>
          <w:p w14:paraId="5132C954" w14:textId="77777777" w:rsidR="00D75D7F" w:rsidRPr="00D75D7F" w:rsidRDefault="00D75D7F" w:rsidP="00D75D7F">
            <w:pPr>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581ACC8D" w14:textId="77777777" w:rsidTr="00125B22">
        <w:tc>
          <w:tcPr>
            <w:tcW w:w="4536" w:type="dxa"/>
            <w:tcBorders>
              <w:top w:val="nil"/>
              <w:bottom w:val="nil"/>
            </w:tcBorders>
            <w:shd w:val="clear" w:color="auto" w:fill="auto"/>
          </w:tcPr>
          <w:p w14:paraId="702316E4" w14:textId="77777777" w:rsidR="00D75D7F" w:rsidRPr="00D75D7F" w:rsidRDefault="00D75D7F" w:rsidP="00D75D7F">
            <w:pPr>
              <w:keepNext/>
              <w:suppressAutoHyphens w:val="0"/>
              <w:spacing w:before="40" w:after="40" w:line="220" w:lineRule="exact"/>
              <w:ind w:right="113"/>
              <w:rPr>
                <w:rFonts w:eastAsia="Times New Roman" w:cs="Times New Roman"/>
                <w:sz w:val="18"/>
                <w:szCs w:val="18"/>
              </w:rPr>
            </w:pPr>
            <w:r w:rsidRPr="00D75D7F">
              <w:rPr>
                <w:rFonts w:eastAsia="Times New Roman" w:cs="Times New Roman"/>
                <w:sz w:val="18"/>
                <w:szCs w:val="18"/>
              </w:rPr>
              <w:t>Партия Национального фронта (М</w:t>
            </w:r>
            <w:r w:rsidRPr="00D75D7F">
              <w:rPr>
                <w:rFonts w:eastAsia="Times New Roman" w:cs="Times New Roman"/>
                <w:sz w:val="18"/>
                <w:szCs w:val="18"/>
                <w:lang w:val="fr-CH"/>
              </w:rPr>
              <w:t>illi</w:t>
            </w:r>
            <w:r w:rsidRPr="00D75D7F">
              <w:rPr>
                <w:rFonts w:eastAsia="Times New Roman" w:cs="Times New Roman"/>
                <w:sz w:val="18"/>
                <w:szCs w:val="18"/>
              </w:rPr>
              <w:t xml:space="preserve"> </w:t>
            </w:r>
            <w:r w:rsidRPr="00D75D7F">
              <w:rPr>
                <w:rFonts w:eastAsia="Times New Roman" w:cs="Times New Roman"/>
                <w:sz w:val="18"/>
                <w:szCs w:val="18"/>
                <w:lang w:val="fr-CH"/>
              </w:rPr>
              <w:t>C</w:t>
            </w:r>
            <w:r w:rsidRPr="00D75D7F">
              <w:rPr>
                <w:rFonts w:eastAsia="Times New Roman" w:cs="Times New Roman"/>
                <w:sz w:val="18"/>
                <w:szCs w:val="18"/>
              </w:rPr>
              <w:t>ə</w:t>
            </w:r>
            <w:r w:rsidRPr="00D75D7F">
              <w:rPr>
                <w:rFonts w:eastAsia="Times New Roman" w:cs="Times New Roman"/>
                <w:sz w:val="18"/>
                <w:szCs w:val="18"/>
                <w:lang w:val="fr-CH"/>
              </w:rPr>
              <w:t>bh</w:t>
            </w:r>
            <w:r w:rsidRPr="00D75D7F">
              <w:rPr>
                <w:rFonts w:eastAsia="Times New Roman" w:cs="Times New Roman"/>
                <w:sz w:val="18"/>
                <w:szCs w:val="18"/>
              </w:rPr>
              <w:t xml:space="preserve">ə </w:t>
            </w:r>
            <w:r w:rsidRPr="00D75D7F">
              <w:rPr>
                <w:rFonts w:eastAsia="Times New Roman" w:cs="Times New Roman"/>
                <w:sz w:val="18"/>
                <w:szCs w:val="18"/>
                <w:lang w:val="fr-CH"/>
              </w:rPr>
              <w:t>Partiyas</w:t>
            </w:r>
            <w:r w:rsidRPr="00D75D7F">
              <w:rPr>
                <w:rFonts w:eastAsia="Times New Roman" w:cs="Times New Roman"/>
                <w:sz w:val="18"/>
                <w:szCs w:val="18"/>
              </w:rPr>
              <w:t>ı)</w:t>
            </w:r>
          </w:p>
        </w:tc>
        <w:tc>
          <w:tcPr>
            <w:tcW w:w="2834" w:type="dxa"/>
            <w:tcBorders>
              <w:top w:val="nil"/>
              <w:bottom w:val="nil"/>
            </w:tcBorders>
            <w:shd w:val="clear" w:color="auto" w:fill="auto"/>
            <w:vAlign w:val="bottom"/>
          </w:tcPr>
          <w:p w14:paraId="0D32274F" w14:textId="77777777" w:rsidR="00D75D7F" w:rsidRPr="00D75D7F" w:rsidRDefault="00D75D7F" w:rsidP="00D75D7F">
            <w:pPr>
              <w:keepNext/>
              <w:suppressAutoHyphens w:val="0"/>
              <w:spacing w:before="40" w:after="4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r w:rsidR="00D75D7F" w:rsidRPr="00D75D7F" w14:paraId="6156ACBE" w14:textId="77777777" w:rsidTr="00125B22">
        <w:tc>
          <w:tcPr>
            <w:tcW w:w="4536" w:type="dxa"/>
            <w:tcBorders>
              <w:top w:val="nil"/>
            </w:tcBorders>
            <w:shd w:val="clear" w:color="auto" w:fill="auto"/>
          </w:tcPr>
          <w:p w14:paraId="172628AC" w14:textId="77777777" w:rsidR="00D75D7F" w:rsidRPr="00D75D7F" w:rsidRDefault="00D75D7F" w:rsidP="00004632">
            <w:pPr>
              <w:keepNext/>
              <w:suppressAutoHyphens w:val="0"/>
              <w:spacing w:before="40" w:after="120" w:line="220" w:lineRule="exact"/>
              <w:ind w:right="113"/>
              <w:rPr>
                <w:rFonts w:eastAsia="Times New Roman" w:cs="Times New Roman"/>
                <w:sz w:val="18"/>
                <w:szCs w:val="18"/>
              </w:rPr>
            </w:pPr>
            <w:r w:rsidRPr="00D75D7F">
              <w:rPr>
                <w:rFonts w:eastAsia="Times New Roman" w:cs="Times New Roman"/>
                <w:sz w:val="18"/>
                <w:szCs w:val="18"/>
              </w:rPr>
              <w:t>Партия «Республиканская альтернатива» (РЕАЛ) (</w:t>
            </w:r>
            <w:r w:rsidRPr="00D75D7F">
              <w:rPr>
                <w:rFonts w:eastAsia="Times New Roman" w:cs="Times New Roman"/>
                <w:sz w:val="18"/>
                <w:szCs w:val="18"/>
                <w:lang w:val="en-GB"/>
              </w:rPr>
              <w:t>Respublika</w:t>
            </w:r>
            <w:r w:rsidRPr="00D75D7F">
              <w:rPr>
                <w:rFonts w:eastAsia="Times New Roman" w:cs="Times New Roman"/>
                <w:sz w:val="18"/>
                <w:szCs w:val="18"/>
              </w:rPr>
              <w:t xml:space="preserve">çı </w:t>
            </w:r>
            <w:r w:rsidRPr="00D75D7F">
              <w:rPr>
                <w:rFonts w:eastAsia="Times New Roman" w:cs="Times New Roman"/>
                <w:sz w:val="18"/>
                <w:szCs w:val="18"/>
                <w:lang w:val="en-GB"/>
              </w:rPr>
              <w:t>Alternativ</w:t>
            </w:r>
            <w:r w:rsidRPr="00D75D7F">
              <w:rPr>
                <w:rFonts w:eastAsia="Times New Roman" w:cs="Times New Roman"/>
                <w:sz w:val="18"/>
                <w:szCs w:val="18"/>
              </w:rPr>
              <w:t xml:space="preserve"> (</w:t>
            </w:r>
            <w:r w:rsidRPr="00D75D7F">
              <w:rPr>
                <w:rFonts w:eastAsia="Times New Roman" w:cs="Times New Roman"/>
                <w:sz w:val="18"/>
                <w:szCs w:val="18"/>
                <w:lang w:val="en-GB"/>
              </w:rPr>
              <w:t>REAL</w:t>
            </w:r>
            <w:r w:rsidRPr="00D75D7F">
              <w:rPr>
                <w:rFonts w:eastAsia="Times New Roman" w:cs="Times New Roman"/>
                <w:sz w:val="18"/>
                <w:szCs w:val="18"/>
              </w:rPr>
              <w:t xml:space="preserve">) </w:t>
            </w:r>
            <w:r w:rsidRPr="00D75D7F">
              <w:rPr>
                <w:rFonts w:eastAsia="Times New Roman" w:cs="Times New Roman"/>
                <w:sz w:val="18"/>
                <w:szCs w:val="18"/>
                <w:lang w:val="en-GB"/>
              </w:rPr>
              <w:t>Partiyas</w:t>
            </w:r>
            <w:r w:rsidRPr="00D75D7F">
              <w:rPr>
                <w:rFonts w:eastAsia="Times New Roman" w:cs="Times New Roman"/>
                <w:sz w:val="18"/>
                <w:szCs w:val="18"/>
              </w:rPr>
              <w:t>ı)</w:t>
            </w:r>
          </w:p>
        </w:tc>
        <w:tc>
          <w:tcPr>
            <w:tcW w:w="2834" w:type="dxa"/>
            <w:tcBorders>
              <w:top w:val="nil"/>
            </w:tcBorders>
            <w:shd w:val="clear" w:color="auto" w:fill="auto"/>
            <w:vAlign w:val="bottom"/>
          </w:tcPr>
          <w:p w14:paraId="2DF31418" w14:textId="77777777" w:rsidR="00D75D7F" w:rsidRPr="00D75D7F" w:rsidRDefault="00D75D7F" w:rsidP="00004632">
            <w:pPr>
              <w:suppressAutoHyphens w:val="0"/>
              <w:spacing w:before="40" w:after="120" w:line="220" w:lineRule="exact"/>
              <w:ind w:right="113"/>
              <w:jc w:val="right"/>
              <w:rPr>
                <w:rFonts w:eastAsia="Times New Roman" w:cs="Times New Roman"/>
                <w:sz w:val="18"/>
                <w:szCs w:val="18"/>
                <w:lang w:val="en-GB"/>
              </w:rPr>
            </w:pPr>
            <w:r w:rsidRPr="00D75D7F">
              <w:rPr>
                <w:rFonts w:eastAsia="Times New Roman" w:cs="Times New Roman"/>
                <w:sz w:val="18"/>
                <w:szCs w:val="18"/>
                <w:lang w:val="en-GB"/>
              </w:rPr>
              <w:t>1</w:t>
            </w:r>
          </w:p>
        </w:tc>
      </w:tr>
    </w:tbl>
    <w:p w14:paraId="552DCE90" w14:textId="261D4D2A" w:rsidR="00D75D7F" w:rsidRPr="00D75D7F" w:rsidRDefault="00D75D7F" w:rsidP="00D75D7F">
      <w:pPr>
        <w:tabs>
          <w:tab w:val="left" w:pos="1701"/>
          <w:tab w:val="left" w:pos="2268"/>
        </w:tabs>
        <w:spacing w:before="240" w:after="120"/>
        <w:ind w:left="1134" w:right="1134"/>
        <w:jc w:val="both"/>
        <w:rPr>
          <w:rFonts w:eastAsia="SimSun" w:cs="Times New Roman"/>
          <w:szCs w:val="20"/>
          <w:lang w:eastAsia="zh-CN"/>
        </w:rPr>
      </w:pPr>
      <w:r w:rsidRPr="00D75D7F">
        <w:rPr>
          <w:rFonts w:eastAsia="SimSun" w:cs="Times New Roman"/>
          <w:szCs w:val="20"/>
          <w:lang w:eastAsia="zh-CN"/>
        </w:rPr>
        <w:t>110.</w:t>
      </w:r>
      <w:r w:rsidRPr="00D75D7F">
        <w:rPr>
          <w:rFonts w:eastAsia="SimSun" w:cs="Times New Roman"/>
          <w:szCs w:val="20"/>
          <w:lang w:eastAsia="zh-CN"/>
        </w:rPr>
        <w:tab/>
        <w:t>В Азербайджанской Республике существует единая избирательная система.</w:t>
      </w:r>
      <w:r w:rsidR="0076346B">
        <w:rPr>
          <w:rFonts w:eastAsia="SimSun" w:cs="Times New Roman"/>
          <w:szCs w:val="20"/>
          <w:lang w:eastAsia="zh-CN"/>
        </w:rPr>
        <w:br/>
      </w:r>
      <w:r w:rsidRPr="00D75D7F">
        <w:rPr>
          <w:rFonts w:eastAsia="SimSun" w:cs="Times New Roman"/>
          <w:szCs w:val="20"/>
          <w:lang w:eastAsia="zh-CN"/>
        </w:rPr>
        <w:t>Все выборы и референдумы, проводимые в Республике, организуются согласно избирательному законодательству участковыми и окружными избирательными комиссиями, входящими в данную систему, а руководит их деятельностью Центральная избирательная комиссия.</w:t>
      </w:r>
    </w:p>
    <w:p w14:paraId="595A467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111.</w:t>
      </w:r>
      <w:r w:rsidRPr="00D75D7F">
        <w:rPr>
          <w:rFonts w:eastAsia="SimSun" w:cs="Times New Roman"/>
          <w:szCs w:val="20"/>
          <w:lang w:eastAsia="zh-CN"/>
        </w:rPr>
        <w:tab/>
        <w:t xml:space="preserve">Согласно Избирательному кодексу Азербайджанской Республики, срок полномочий избирательных комиссий составляет пять лет. На данный момент в стране осуществляют деятельность 125 окружных и более 5400 участковых избирательных комиссий. Избирательное законодательство устанавливает, что Центральная избирательная комиссия состоит из 18 членов, окружные комиссии — 9 членов и участковые </w:t>
      </w:r>
      <w:r w:rsidRPr="00D75D7F">
        <w:rPr>
          <w:rFonts w:eastAsia="SimSun" w:cs="Times New Roman"/>
          <w:szCs w:val="20"/>
          <w:lang w:val="en-GB" w:eastAsia="zh-CN"/>
        </w:rPr>
        <w:t>⸺</w:t>
      </w:r>
      <w:r w:rsidRPr="00D75D7F">
        <w:rPr>
          <w:rFonts w:eastAsia="SimSun" w:cs="Times New Roman"/>
          <w:szCs w:val="20"/>
          <w:lang w:eastAsia="zh-CN"/>
        </w:rPr>
        <w:t xml:space="preserve"> 6 членов.</w:t>
      </w:r>
    </w:p>
    <w:p w14:paraId="774E79D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112.</w:t>
      </w:r>
      <w:r w:rsidRPr="00D75D7F">
        <w:rPr>
          <w:rFonts w:eastAsia="SimSun" w:cs="Times New Roman"/>
          <w:szCs w:val="20"/>
          <w:lang w:eastAsia="zh-CN"/>
        </w:rPr>
        <w:tab/>
      </w:r>
      <w:r w:rsidRPr="00D75D7F">
        <w:rPr>
          <w:rFonts w:eastAsia="SimSun" w:cs="Times New Roman"/>
          <w:szCs w:val="20"/>
          <w:lang w:val="en-GB" w:eastAsia="zh-CN"/>
        </w:rPr>
        <w:t>C</w:t>
      </w:r>
      <w:r w:rsidRPr="00D75D7F">
        <w:rPr>
          <w:rFonts w:eastAsia="SimSun" w:cs="Times New Roman"/>
          <w:szCs w:val="20"/>
          <w:lang w:eastAsia="zh-CN"/>
        </w:rPr>
        <w:t>оздание, функционирование, правила реорганизации и ликвидации неправительственных организаций (НПО) как юридических лиц и их деятельность, управление ими и их отношения с органами государственной власти регламентируются Законом Азербайджанской Республики «О неправительственных организациях (общественных объединениях и фондах)» от 13 июня 2000 года.</w:t>
      </w:r>
    </w:p>
    <w:p w14:paraId="18A4AD1C" w14:textId="47E5133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113.</w:t>
      </w:r>
      <w:r w:rsidRPr="00D75D7F">
        <w:rPr>
          <w:rFonts w:eastAsia="SimSun" w:cs="Times New Roman"/>
          <w:szCs w:val="20"/>
          <w:lang w:eastAsia="zh-CN"/>
        </w:rPr>
        <w:tab/>
        <w:t>Государственная регистрация НПО осуществляется соответствующим органом исполнительной власти (Министерством юстиции Азербайджанской Республики)</w:t>
      </w:r>
      <w:r w:rsidR="0076346B">
        <w:rPr>
          <w:rFonts w:eastAsia="SimSun" w:cs="Times New Roman"/>
          <w:szCs w:val="20"/>
          <w:lang w:eastAsia="zh-CN"/>
        </w:rPr>
        <w:br/>
      </w:r>
      <w:r w:rsidRPr="00D75D7F">
        <w:rPr>
          <w:rFonts w:eastAsia="SimSun" w:cs="Times New Roman"/>
          <w:szCs w:val="20"/>
          <w:lang w:eastAsia="zh-CN"/>
        </w:rPr>
        <w:t>в соответствии с Законом Азербайджанской Республики «О государственной регистрации и государственном реестре юридических лиц». НПО получают статус юридического лица только после прохождения официальной регистрации. Закон не содержит ограничений на деятельность НПО без государственной регистрации.</w:t>
      </w:r>
    </w:p>
    <w:p w14:paraId="0091BEA7" w14:textId="77777777" w:rsidR="00D75D7F" w:rsidRPr="00D75D7F" w:rsidRDefault="00D75D7F" w:rsidP="00D75D7F">
      <w:pPr>
        <w:tabs>
          <w:tab w:val="left" w:pos="1701"/>
          <w:tab w:val="left" w:pos="2268"/>
        </w:tabs>
        <w:spacing w:after="240"/>
        <w:ind w:left="1134" w:right="1134"/>
        <w:jc w:val="both"/>
        <w:rPr>
          <w:rFonts w:eastAsia="SimSun" w:cs="Times New Roman"/>
          <w:szCs w:val="20"/>
          <w:lang w:eastAsia="zh-CN"/>
        </w:rPr>
      </w:pPr>
      <w:r w:rsidRPr="00D75D7F">
        <w:rPr>
          <w:rFonts w:eastAsia="SimSun" w:cs="Times New Roman"/>
          <w:szCs w:val="20"/>
          <w:lang w:eastAsia="zh-CN"/>
        </w:rPr>
        <w:t>114.</w:t>
      </w:r>
      <w:r w:rsidRPr="00D75D7F">
        <w:rPr>
          <w:rFonts w:eastAsia="SimSun" w:cs="Times New Roman"/>
          <w:szCs w:val="20"/>
          <w:lang w:eastAsia="zh-CN"/>
        </w:rPr>
        <w:tab/>
        <w:t>По состоянию на 1 января 2021 года в Азербайджане были зарегистрированы следующие организации:</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05"/>
        <w:gridCol w:w="4065"/>
      </w:tblGrid>
      <w:tr w:rsidR="00D75D7F" w:rsidRPr="00D75D7F" w14:paraId="20C9B075" w14:textId="77777777" w:rsidTr="00125B22">
        <w:trPr>
          <w:tblHeader/>
        </w:trPr>
        <w:tc>
          <w:tcPr>
            <w:tcW w:w="3305" w:type="dxa"/>
            <w:tcBorders>
              <w:top w:val="single" w:sz="4" w:space="0" w:color="auto"/>
              <w:bottom w:val="single" w:sz="12" w:space="0" w:color="auto"/>
            </w:tcBorders>
            <w:shd w:val="clear" w:color="auto" w:fill="auto"/>
            <w:vAlign w:val="bottom"/>
          </w:tcPr>
          <w:p w14:paraId="724BB7F9" w14:textId="77777777" w:rsidR="00D75D7F" w:rsidRPr="00D75D7F" w:rsidRDefault="00D75D7F" w:rsidP="00D75D7F">
            <w:pPr>
              <w:suppressAutoHyphens w:val="0"/>
              <w:spacing w:before="80" w:after="80" w:line="200" w:lineRule="exact"/>
              <w:ind w:right="113"/>
              <w:jc w:val="both"/>
              <w:rPr>
                <w:rFonts w:eastAsia="SimSun" w:cs="Times New Roman"/>
                <w:i/>
                <w:sz w:val="16"/>
                <w:szCs w:val="20"/>
                <w:highlight w:val="yellow"/>
                <w:lang w:val="en-GB" w:eastAsia="zh-CN"/>
              </w:rPr>
            </w:pPr>
            <w:r w:rsidRPr="00D75D7F">
              <w:rPr>
                <w:rFonts w:eastAsia="SimSun" w:cs="Times New Roman"/>
                <w:i/>
                <w:sz w:val="16"/>
                <w:szCs w:val="20"/>
                <w:lang w:val="en-GB" w:eastAsia="zh-CN"/>
              </w:rPr>
              <w:t>Название</w:t>
            </w:r>
            <w:r w:rsidRPr="00D75D7F">
              <w:rPr>
                <w:rFonts w:eastAsia="SimSun" w:cs="Times New Roman"/>
                <w:i/>
                <w:sz w:val="16"/>
                <w:szCs w:val="20"/>
                <w:lang w:eastAsia="zh-CN"/>
              </w:rPr>
              <w:t xml:space="preserve"> </w:t>
            </w:r>
            <w:r w:rsidRPr="00D75D7F">
              <w:rPr>
                <w:rFonts w:eastAsia="SimSun" w:cs="Times New Roman"/>
                <w:i/>
                <w:sz w:val="16"/>
                <w:szCs w:val="20"/>
                <w:lang w:val="en-GB" w:eastAsia="zh-CN"/>
              </w:rPr>
              <w:t>организационно-правовой формы</w:t>
            </w:r>
          </w:p>
        </w:tc>
        <w:tc>
          <w:tcPr>
            <w:tcW w:w="4065" w:type="dxa"/>
            <w:tcBorders>
              <w:top w:val="single" w:sz="4" w:space="0" w:color="auto"/>
              <w:bottom w:val="single" w:sz="12" w:space="0" w:color="auto"/>
            </w:tcBorders>
            <w:shd w:val="clear" w:color="auto" w:fill="auto"/>
            <w:vAlign w:val="bottom"/>
          </w:tcPr>
          <w:p w14:paraId="5DDDCB36" w14:textId="77777777" w:rsidR="00D75D7F" w:rsidRPr="00D75D7F" w:rsidRDefault="00D75D7F" w:rsidP="00D75D7F">
            <w:pPr>
              <w:suppressAutoHyphens w:val="0"/>
              <w:spacing w:before="80" w:after="80" w:line="200" w:lineRule="exact"/>
              <w:ind w:right="113"/>
              <w:jc w:val="right"/>
              <w:rPr>
                <w:rFonts w:eastAsia="SimSun" w:cs="Times New Roman"/>
                <w:i/>
                <w:sz w:val="16"/>
                <w:szCs w:val="20"/>
                <w:lang w:val="en-US" w:eastAsia="zh-CN"/>
              </w:rPr>
            </w:pPr>
            <w:r w:rsidRPr="00D75D7F">
              <w:rPr>
                <w:rFonts w:eastAsia="SimSun" w:cs="Times New Roman"/>
                <w:i/>
                <w:sz w:val="16"/>
                <w:szCs w:val="20"/>
                <w:lang w:val="en-GB" w:eastAsia="zh-CN"/>
              </w:rPr>
              <w:t>Число организаций</w:t>
            </w:r>
          </w:p>
        </w:tc>
      </w:tr>
      <w:tr w:rsidR="00D75D7F" w:rsidRPr="00D75D7F" w14:paraId="786815F5" w14:textId="77777777" w:rsidTr="00125B22">
        <w:tc>
          <w:tcPr>
            <w:tcW w:w="3305" w:type="dxa"/>
            <w:shd w:val="clear" w:color="auto" w:fill="auto"/>
          </w:tcPr>
          <w:p w14:paraId="74834A2C" w14:textId="77777777" w:rsidR="00D75D7F" w:rsidRPr="00D75D7F" w:rsidRDefault="00D75D7F" w:rsidP="0076346B">
            <w:pPr>
              <w:suppressAutoHyphens w:val="0"/>
              <w:spacing w:before="120" w:after="40" w:line="220" w:lineRule="exact"/>
              <w:ind w:right="113"/>
              <w:rPr>
                <w:rFonts w:eastAsia="SimSun" w:cs="Times New Roman"/>
                <w:sz w:val="18"/>
                <w:szCs w:val="20"/>
                <w:lang w:eastAsia="zh-CN"/>
              </w:rPr>
            </w:pPr>
            <w:r w:rsidRPr="00D75D7F">
              <w:rPr>
                <w:rFonts w:eastAsia="SimSun" w:cs="Times New Roman"/>
                <w:sz w:val="18"/>
                <w:szCs w:val="20"/>
                <w:lang w:eastAsia="zh-CN"/>
              </w:rPr>
              <w:t>Некоммерческие организации</w:t>
            </w:r>
          </w:p>
        </w:tc>
        <w:tc>
          <w:tcPr>
            <w:tcW w:w="4065" w:type="dxa"/>
            <w:shd w:val="clear" w:color="auto" w:fill="auto"/>
            <w:vAlign w:val="bottom"/>
          </w:tcPr>
          <w:p w14:paraId="6BC179BC" w14:textId="77777777" w:rsidR="00D75D7F" w:rsidRPr="00D75D7F" w:rsidRDefault="00D75D7F" w:rsidP="0076346B">
            <w:pPr>
              <w:suppressAutoHyphens w:val="0"/>
              <w:spacing w:before="120" w:after="40" w:line="220" w:lineRule="exact"/>
              <w:ind w:right="113"/>
              <w:jc w:val="right"/>
              <w:rPr>
                <w:rFonts w:eastAsia="SimSun" w:cs="Times New Roman"/>
                <w:sz w:val="18"/>
                <w:szCs w:val="20"/>
                <w:lang w:val="en-GB" w:eastAsia="zh-CN"/>
              </w:rPr>
            </w:pPr>
            <w:r w:rsidRPr="00D75D7F">
              <w:rPr>
                <w:rFonts w:eastAsia="SimSun" w:cs="Times New Roman"/>
                <w:sz w:val="18"/>
                <w:szCs w:val="20"/>
                <w:lang w:val="en-GB" w:eastAsia="ru-RU"/>
              </w:rPr>
              <w:t>5 028</w:t>
            </w:r>
          </w:p>
        </w:tc>
      </w:tr>
      <w:tr w:rsidR="00D75D7F" w:rsidRPr="00D75D7F" w14:paraId="1942EDA3" w14:textId="77777777" w:rsidTr="00125B22">
        <w:tc>
          <w:tcPr>
            <w:tcW w:w="3305" w:type="dxa"/>
            <w:shd w:val="clear" w:color="auto" w:fill="auto"/>
          </w:tcPr>
          <w:p w14:paraId="4C1F512A" w14:textId="77777777" w:rsidR="00D75D7F" w:rsidRPr="00D75D7F" w:rsidRDefault="00D75D7F" w:rsidP="00D75D7F">
            <w:pPr>
              <w:suppressAutoHyphens w:val="0"/>
              <w:spacing w:before="40" w:after="40" w:line="220" w:lineRule="exact"/>
              <w:ind w:right="113"/>
              <w:rPr>
                <w:rFonts w:eastAsia="SimSun" w:cs="Times New Roman"/>
                <w:sz w:val="18"/>
                <w:szCs w:val="20"/>
                <w:lang w:eastAsia="zh-CN"/>
              </w:rPr>
            </w:pPr>
            <w:r w:rsidRPr="00D75D7F">
              <w:rPr>
                <w:rFonts w:eastAsia="SimSun" w:cs="Times New Roman"/>
                <w:sz w:val="18"/>
                <w:szCs w:val="20"/>
                <w:lang w:eastAsia="zh-CN"/>
              </w:rPr>
              <w:t>Общественные организации</w:t>
            </w:r>
          </w:p>
        </w:tc>
        <w:tc>
          <w:tcPr>
            <w:tcW w:w="4065" w:type="dxa"/>
            <w:shd w:val="clear" w:color="auto" w:fill="auto"/>
            <w:vAlign w:val="bottom"/>
          </w:tcPr>
          <w:p w14:paraId="68798728" w14:textId="77777777" w:rsidR="00D75D7F" w:rsidRPr="00D75D7F" w:rsidRDefault="00D75D7F" w:rsidP="00D75D7F">
            <w:pPr>
              <w:suppressAutoHyphens w:val="0"/>
              <w:spacing w:before="40" w:after="40" w:line="220" w:lineRule="exact"/>
              <w:ind w:right="113"/>
              <w:jc w:val="right"/>
              <w:rPr>
                <w:rFonts w:eastAsia="SimSun" w:cs="Times New Roman"/>
                <w:sz w:val="18"/>
                <w:szCs w:val="20"/>
                <w:lang w:val="en-GB" w:eastAsia="zh-CN"/>
              </w:rPr>
            </w:pPr>
            <w:r w:rsidRPr="00D75D7F">
              <w:rPr>
                <w:rFonts w:eastAsia="SimSun" w:cs="Times New Roman"/>
                <w:sz w:val="18"/>
                <w:szCs w:val="20"/>
                <w:lang w:val="en-GB" w:eastAsia="ru-RU"/>
              </w:rPr>
              <w:t>3 680</w:t>
            </w:r>
          </w:p>
        </w:tc>
      </w:tr>
      <w:tr w:rsidR="00D75D7F" w:rsidRPr="00D75D7F" w14:paraId="3541D03C" w14:textId="77777777" w:rsidTr="00125B22">
        <w:tc>
          <w:tcPr>
            <w:tcW w:w="3305" w:type="dxa"/>
            <w:shd w:val="clear" w:color="auto" w:fill="auto"/>
          </w:tcPr>
          <w:p w14:paraId="37A35377" w14:textId="77777777" w:rsidR="00D75D7F" w:rsidRPr="00D75D7F" w:rsidRDefault="00D75D7F" w:rsidP="0076346B">
            <w:pPr>
              <w:suppressAutoHyphens w:val="0"/>
              <w:spacing w:before="40" w:after="120" w:line="220" w:lineRule="exact"/>
              <w:ind w:right="113"/>
              <w:rPr>
                <w:rFonts w:eastAsia="SimSun" w:cs="Times New Roman"/>
                <w:sz w:val="18"/>
                <w:szCs w:val="20"/>
                <w:lang w:eastAsia="zh-CN"/>
              </w:rPr>
            </w:pPr>
            <w:r w:rsidRPr="00D75D7F">
              <w:rPr>
                <w:rFonts w:eastAsia="SimSun" w:cs="Times New Roman"/>
                <w:sz w:val="18"/>
                <w:szCs w:val="20"/>
                <w:lang w:eastAsia="zh-CN"/>
              </w:rPr>
              <w:t>Фонды</w:t>
            </w:r>
          </w:p>
        </w:tc>
        <w:tc>
          <w:tcPr>
            <w:tcW w:w="4065" w:type="dxa"/>
            <w:shd w:val="clear" w:color="auto" w:fill="auto"/>
            <w:vAlign w:val="bottom"/>
          </w:tcPr>
          <w:p w14:paraId="0FC5E07D" w14:textId="77777777" w:rsidR="00D75D7F" w:rsidRPr="00D75D7F" w:rsidRDefault="00D75D7F" w:rsidP="0076346B">
            <w:pPr>
              <w:suppressAutoHyphens w:val="0"/>
              <w:spacing w:before="40" w:after="120" w:line="220" w:lineRule="exact"/>
              <w:ind w:right="113"/>
              <w:jc w:val="right"/>
              <w:rPr>
                <w:rFonts w:eastAsia="SimSun" w:cs="Times New Roman"/>
                <w:sz w:val="18"/>
                <w:szCs w:val="20"/>
                <w:lang w:val="en-GB" w:eastAsia="zh-CN"/>
              </w:rPr>
            </w:pPr>
            <w:r w:rsidRPr="00D75D7F">
              <w:rPr>
                <w:rFonts w:eastAsia="SimSun" w:cs="Times New Roman"/>
                <w:sz w:val="18"/>
                <w:szCs w:val="20"/>
                <w:lang w:val="en-GB" w:eastAsia="ru-RU"/>
              </w:rPr>
              <w:t>213</w:t>
            </w:r>
          </w:p>
        </w:tc>
      </w:tr>
    </w:tbl>
    <w:p w14:paraId="38DE69CF" w14:textId="77777777" w:rsidR="00D75D7F" w:rsidRPr="00D75D7F" w:rsidRDefault="00D75D7F" w:rsidP="00D75D7F">
      <w:pPr>
        <w:tabs>
          <w:tab w:val="left" w:pos="1701"/>
          <w:tab w:val="left" w:pos="2268"/>
        </w:tabs>
        <w:spacing w:before="240" w:after="120"/>
        <w:ind w:left="1134" w:right="1134"/>
        <w:jc w:val="both"/>
        <w:rPr>
          <w:rFonts w:eastAsia="SimSun" w:cs="Times New Roman"/>
          <w:szCs w:val="20"/>
          <w:lang w:eastAsia="zh-CN"/>
        </w:rPr>
      </w:pPr>
      <w:r w:rsidRPr="00D75D7F">
        <w:rPr>
          <w:rFonts w:eastAsia="SimSun" w:cs="Times New Roman"/>
          <w:szCs w:val="20"/>
          <w:lang w:eastAsia="zh-CN"/>
        </w:rPr>
        <w:t>115.</w:t>
      </w:r>
      <w:r w:rsidRPr="00D75D7F">
        <w:rPr>
          <w:rFonts w:eastAsia="SimSun" w:cs="Times New Roman"/>
          <w:szCs w:val="20"/>
          <w:lang w:eastAsia="zh-CN"/>
        </w:rPr>
        <w:tab/>
        <w:t>На основании Указа Президента Азербайджанской Республики «О мерах по улучшению предоставления электронных услуг НПО» от 20 ноября 2013 года Министерством юстиции была создана электронная информационная система «Персональное электронное окно». Эта система является платформой по обмену информацией между НПО и между НПО и государственными органами, а также по оказанию электронных услуг.</w:t>
      </w:r>
    </w:p>
    <w:p w14:paraId="478E062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116.</w:t>
      </w:r>
      <w:r w:rsidRPr="00D75D7F">
        <w:rPr>
          <w:rFonts w:eastAsia="SimSun" w:cs="Times New Roman"/>
          <w:szCs w:val="20"/>
          <w:lang w:eastAsia="zh-CN"/>
        </w:rPr>
        <w:tab/>
        <w:t>Указом Президента от 27 июля 2007 года была утверждена Концепция государственной поддержки НПО Азербайджанской Республики. В Концепции указаны основные принципы и формы государственной поддержки НПО, основные средства обеспечения этой поддержки и условия государственного финансирования программ, проектов и мероприятий, направленных на решение существенных проблем, имеющих значение для государства и общества.</w:t>
      </w:r>
    </w:p>
    <w:p w14:paraId="2E8E41AF" w14:textId="4C334DB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117.</w:t>
      </w:r>
      <w:r w:rsidRPr="00D75D7F">
        <w:rPr>
          <w:rFonts w:eastAsia="SimSun" w:cs="Times New Roman"/>
          <w:szCs w:val="20"/>
          <w:lang w:eastAsia="zh-CN"/>
        </w:rPr>
        <w:tab/>
        <w:t>Правительство продолжает принимать последовательные меры по развитию гражданского общества в стране. В соответствии с Указом Президента от 19 апреля 2021 года «О совершенствовании управления в области государственной поддержки НПО в Азербайджанской Республике и отмене Указа от 13 декабря 2007 года</w:t>
      </w:r>
      <w:r w:rsidR="0076346B">
        <w:rPr>
          <w:rFonts w:eastAsia="SimSun" w:cs="Times New Roman"/>
          <w:szCs w:val="20"/>
          <w:lang w:eastAsia="zh-CN"/>
        </w:rPr>
        <w:br/>
        <w:t>«</w:t>
      </w:r>
      <w:r w:rsidRPr="00D75D7F">
        <w:rPr>
          <w:rFonts w:eastAsia="SimSun" w:cs="Times New Roman"/>
          <w:szCs w:val="20"/>
          <w:lang w:eastAsia="zh-CN"/>
        </w:rPr>
        <w:t>О создании Совета государственной поддержки НПО при Президенте Азербайджанской Республики» на базе Совета государственной поддержки НПО при Президенте Азербайджанской Республики было создано публичное юридическое лицо «Агентство государственной поддержки неправительственных организаций», которое стало преемником Совета, и был принят его устав.</w:t>
      </w:r>
    </w:p>
    <w:p w14:paraId="227AAFA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118.</w:t>
      </w:r>
      <w:r w:rsidRPr="00D75D7F">
        <w:rPr>
          <w:rFonts w:eastAsia="SimSun" w:cs="Times New Roman"/>
          <w:szCs w:val="20"/>
          <w:lang w:eastAsia="zh-CN"/>
        </w:rPr>
        <w:tab/>
        <w:t>В соответствии со своим уставом Агентство занимается развитием НПО, совершенствованием и продвижением механизмов вовлечения НПО в государственно-частные партнерства, а также инициатив НПО по актуальным для государства и общества вопросам, оценкой тематики программ и проектов, выдачей заключений по ним и поощрением международного сотрудничества между НПО.</w:t>
      </w:r>
    </w:p>
    <w:p w14:paraId="57B1E579" w14:textId="4637840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119.</w:t>
      </w:r>
      <w:r w:rsidRPr="00D75D7F">
        <w:rPr>
          <w:rFonts w:eastAsia="SimSun" w:cs="Times New Roman"/>
          <w:szCs w:val="20"/>
          <w:lang w:eastAsia="zh-CN"/>
        </w:rPr>
        <w:tab/>
        <w:t>В Азербайджане успешно действуют такие фонды, как Азербайджанский фонд развития науки, осуществляющий целевое финансирование в форме выделения грантов для фундаментальных, прикладных и экспериментальных исследований и других видов научной деятельности в сфере естественных, технических, гуманитарных и общественных дисциплин; Фонд развития образования, финансирующий программы и проекты, направленные на совершенствование системы образования в Азербайджанской Республике; Фонд образовательных студенческих кредитов, организующий выдачу таких кредитов; Фонд молодежи, организующий реализацию проектов и грантовое финансирование в области молодежной политики.</w:t>
      </w:r>
    </w:p>
    <w:p w14:paraId="5EBD2F3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120.</w:t>
      </w:r>
      <w:r w:rsidRPr="00D75D7F">
        <w:rPr>
          <w:rFonts w:eastAsia="SimSun" w:cs="Times New Roman"/>
          <w:szCs w:val="20"/>
          <w:lang w:eastAsia="zh-CN"/>
        </w:rPr>
        <w:tab/>
        <w:t>В соответствии с Законом Азербайджанской Республики «О судах и судьях» от 10 июня 1997 года правосудие в Азербайджанской Республике осуществляют нижеследующие суды, входящие в состав судебной системы Азербайджанской Республики:</w:t>
      </w:r>
    </w:p>
    <w:p w14:paraId="1AC85BA5" w14:textId="5AD09A18" w:rsidR="00D75D7F" w:rsidRPr="00D75D7F" w:rsidRDefault="00D75D7F" w:rsidP="0076346B">
      <w:pPr>
        <w:pStyle w:val="Bullet1G"/>
      </w:pPr>
      <w:r w:rsidRPr="00D75D7F">
        <w:t>районные (городские) суды;</w:t>
      </w:r>
    </w:p>
    <w:p w14:paraId="1370918D" w14:textId="0FB4623D" w:rsidR="00D75D7F" w:rsidRPr="00D75D7F" w:rsidRDefault="00D75D7F" w:rsidP="0076346B">
      <w:pPr>
        <w:pStyle w:val="Bullet1G"/>
      </w:pPr>
      <w:r w:rsidRPr="00D75D7F">
        <w:t>суды по тяжким преступлениям;</w:t>
      </w:r>
    </w:p>
    <w:p w14:paraId="608C8212" w14:textId="162977A2" w:rsidR="00D75D7F" w:rsidRPr="00D75D7F" w:rsidRDefault="00D75D7F" w:rsidP="0076346B">
      <w:pPr>
        <w:pStyle w:val="Bullet1G"/>
      </w:pPr>
      <w:r w:rsidRPr="00D75D7F">
        <w:t>военные суды;</w:t>
      </w:r>
    </w:p>
    <w:p w14:paraId="0966E10E" w14:textId="4FDF418A" w:rsidR="00D75D7F" w:rsidRPr="00D75D7F" w:rsidRDefault="00D75D7F" w:rsidP="0076346B">
      <w:pPr>
        <w:pStyle w:val="Bullet1G"/>
      </w:pPr>
      <w:r w:rsidRPr="00D75D7F">
        <w:t>административные суды;</w:t>
      </w:r>
    </w:p>
    <w:p w14:paraId="4AD49ADF" w14:textId="42E2341C" w:rsidR="00D75D7F" w:rsidRPr="00D75D7F" w:rsidRDefault="00D75D7F" w:rsidP="0076346B">
      <w:pPr>
        <w:pStyle w:val="Bullet1G"/>
      </w:pPr>
      <w:r w:rsidRPr="00D75D7F">
        <w:t>хозяйственные суды;</w:t>
      </w:r>
    </w:p>
    <w:p w14:paraId="59462D1C" w14:textId="7AF5DC00" w:rsidR="00D75D7F" w:rsidRPr="00D75D7F" w:rsidRDefault="00D75D7F" w:rsidP="0076346B">
      <w:pPr>
        <w:pStyle w:val="Bullet1G"/>
      </w:pPr>
      <w:r w:rsidRPr="00D75D7F">
        <w:t>Верховный суд Нахичеванской Автономной Республики;</w:t>
      </w:r>
    </w:p>
    <w:p w14:paraId="743D6BAD" w14:textId="4505F74B" w:rsidR="00D75D7F" w:rsidRPr="00D75D7F" w:rsidRDefault="00D75D7F" w:rsidP="0076346B">
      <w:pPr>
        <w:pStyle w:val="Bullet1G"/>
      </w:pPr>
      <w:r w:rsidRPr="00D75D7F">
        <w:t>апелляционные суды;</w:t>
      </w:r>
    </w:p>
    <w:p w14:paraId="7358CA40" w14:textId="10ECC580" w:rsidR="00D75D7F" w:rsidRPr="00D75D7F" w:rsidRDefault="00D75D7F" w:rsidP="0076346B">
      <w:pPr>
        <w:pStyle w:val="Bullet1G"/>
      </w:pPr>
      <w:r w:rsidRPr="00D75D7F">
        <w:t>Верховный суд Азербайджанской Республики.</w:t>
      </w:r>
    </w:p>
    <w:p w14:paraId="3053E393" w14:textId="302BE7C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121.</w:t>
      </w:r>
      <w:r w:rsidRPr="00D75D7F">
        <w:rPr>
          <w:rFonts w:eastAsia="SimSun" w:cs="Times New Roman"/>
          <w:szCs w:val="20"/>
          <w:lang w:eastAsia="zh-CN"/>
        </w:rPr>
        <w:tab/>
        <w:t>Указ Президента «Об углублении реформ в судебно-правовой системе»</w:t>
      </w:r>
      <w:r w:rsidR="0076346B">
        <w:rPr>
          <w:rFonts w:eastAsia="SimSun" w:cs="Times New Roman"/>
          <w:szCs w:val="20"/>
          <w:lang w:eastAsia="zh-CN"/>
        </w:rPr>
        <w:br/>
      </w:r>
      <w:r w:rsidRPr="00D75D7F">
        <w:rPr>
          <w:rFonts w:eastAsia="SimSun" w:cs="Times New Roman"/>
          <w:szCs w:val="20"/>
          <w:lang w:eastAsia="zh-CN"/>
        </w:rPr>
        <w:t>от 3 апреля 2019 года заложил основу для комплексных реформ судебной системы и выступает в роли стратегической дорожной карты. Указ содержит положения об увеличении количества судей, усилении социальной защиты судей, расширении масштабов применения информационных технологий для усовершенствования работы судов, электронном исполнении судебных решений, создании новых специализированных судов (для надежной защиты прав предпринимателей) и других концептуально важных вопросах.</w:t>
      </w:r>
    </w:p>
    <w:p w14:paraId="1D4E4EA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122.</w:t>
      </w:r>
      <w:r w:rsidRPr="00D75D7F">
        <w:rPr>
          <w:rFonts w:eastAsia="SimSun" w:cs="Times New Roman"/>
          <w:szCs w:val="20"/>
          <w:lang w:eastAsia="zh-CN"/>
        </w:rPr>
        <w:tab/>
        <w:t>В связи с данным Указом в целях развития мер по гуманизации законодательства и декриминализации преступлений, а также дальнейшего повышения доступности и прозрачности правосудия в Уголовный, Уголовно-процессуальный, Административный кодексы и Кодекс об исполнении наказаний было внесено до 400 изменений.</w:t>
      </w:r>
    </w:p>
    <w:p w14:paraId="602C24B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123.</w:t>
      </w:r>
      <w:r w:rsidRPr="00D75D7F">
        <w:rPr>
          <w:rFonts w:eastAsia="SimSun" w:cs="Times New Roman"/>
          <w:szCs w:val="20"/>
          <w:lang w:eastAsia="zh-CN"/>
        </w:rPr>
        <w:tab/>
        <w:t xml:space="preserve">Для обеспечения устойчивости реформ в сфере отправления правосудия и усовершенствования деятельности органов юстиции и судов Распоряжением главы государства от 18 декабря 2018 года была утверждена Государственная программа по развитию юстиции на 2019−2023 годы. В этой программе основными направлениями </w:t>
      </w:r>
      <w:r w:rsidRPr="00D75D7F">
        <w:rPr>
          <w:rFonts w:eastAsia="SimSun" w:cs="Times New Roman"/>
          <w:szCs w:val="20"/>
          <w:lang w:eastAsia="zh-CN"/>
        </w:rPr>
        <w:lastRenderedPageBreak/>
        <w:t>работы по развитию юстиции определены прозрачность и обеспечение прав и свобод человека в рамках деятельности органов юстиции, а также укрепление сотрудничества с институтами гражданского общества.</w:t>
      </w:r>
    </w:p>
    <w:p w14:paraId="188AA98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124.</w:t>
      </w:r>
      <w:r w:rsidRPr="00D75D7F">
        <w:rPr>
          <w:rFonts w:eastAsia="SimSun" w:cs="Times New Roman"/>
          <w:szCs w:val="20"/>
          <w:lang w:eastAsia="zh-CN"/>
        </w:rPr>
        <w:tab/>
        <w:t>В установленном законом порядке в судебной системе Азербайджанской Республики могут быть также созданы и другие суды. Количество судей, действующих в рамках судебной системы Азербайджанской Республики, устанавливается в соответствии с статьей 109 (пункт 32) Конституции Азербайджанской Республики.</w:t>
      </w:r>
    </w:p>
    <w:p w14:paraId="1A974AD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125.</w:t>
      </w:r>
      <w:r w:rsidRPr="00D75D7F">
        <w:rPr>
          <w:rFonts w:eastAsia="SimSun" w:cs="Times New Roman"/>
          <w:szCs w:val="20"/>
          <w:lang w:eastAsia="zh-CN"/>
        </w:rPr>
        <w:tab/>
        <w:t>Верховный суд является высшим судебным органом по гражданским, уголовным и другим делам, отнесенным к производству общих и специализированных судов; он отправляет правосудие в кассационном порядке и дает разъяснения по вопросам судебной практики. Апелляционные суды являются судами второй инстанции по делам, отнесенным к их компетенции.</w:t>
      </w:r>
    </w:p>
    <w:p w14:paraId="391F9C16" w14:textId="77777777" w:rsidR="00D75D7F" w:rsidRPr="00D75D7F" w:rsidRDefault="00D75D7F" w:rsidP="00977880">
      <w:pPr>
        <w:pStyle w:val="HChG"/>
      </w:pPr>
      <w:r w:rsidRPr="00D75D7F">
        <w:rPr>
          <w:rFonts w:eastAsia="Calibri"/>
        </w:rPr>
        <w:tab/>
      </w:r>
      <w:r w:rsidRPr="00D75D7F">
        <w:rPr>
          <w:rFonts w:eastAsia="Calibri"/>
          <w:lang w:val="en-GB"/>
        </w:rPr>
        <w:t>II</w:t>
      </w:r>
      <w:r w:rsidRPr="00D75D7F">
        <w:rPr>
          <w:rFonts w:eastAsia="Calibri"/>
        </w:rPr>
        <w:t>.</w:t>
      </w:r>
      <w:r w:rsidRPr="00D75D7F">
        <w:rPr>
          <w:rFonts w:eastAsia="Calibri"/>
        </w:rPr>
        <w:tab/>
      </w:r>
      <w:r w:rsidRPr="00D75D7F">
        <w:t xml:space="preserve">Общие рамки защиты и поощрения прав человека </w:t>
      </w:r>
    </w:p>
    <w:p w14:paraId="0CB3BA62" w14:textId="77777777" w:rsidR="00D75D7F" w:rsidRPr="00D75D7F" w:rsidRDefault="00D75D7F" w:rsidP="00977880">
      <w:pPr>
        <w:pStyle w:val="H1G"/>
      </w:pPr>
      <w:r w:rsidRPr="00D75D7F">
        <w:rPr>
          <w:rFonts w:eastAsia="Calibri"/>
        </w:rPr>
        <w:tab/>
      </w:r>
      <w:r w:rsidRPr="00D75D7F">
        <w:rPr>
          <w:rFonts w:eastAsia="Calibri"/>
          <w:lang w:val="en-GB"/>
        </w:rPr>
        <w:t>A</w:t>
      </w:r>
      <w:r w:rsidRPr="00D75D7F">
        <w:rPr>
          <w:rFonts w:eastAsia="Calibri"/>
        </w:rPr>
        <w:t>.</w:t>
      </w:r>
      <w:r w:rsidRPr="00D75D7F">
        <w:rPr>
          <w:rFonts w:eastAsia="Calibri"/>
        </w:rPr>
        <w:tab/>
      </w:r>
      <w:r w:rsidRPr="00D75D7F">
        <w:t>Принятие международных норм в области прав человека</w:t>
      </w:r>
    </w:p>
    <w:p w14:paraId="6601F28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126.</w:t>
      </w:r>
      <w:r w:rsidRPr="00D75D7F">
        <w:rPr>
          <w:rFonts w:eastAsia="SimSun" w:cs="Times New Roman"/>
          <w:szCs w:val="20"/>
          <w:lang w:eastAsia="zh-CN"/>
        </w:rPr>
        <w:tab/>
        <w:t>Азербайджанская Республика стала участником всех основных многосторонних договоров в области прав человека и регулярно представляет доклады об их осуществлении в соответствующие комитеты.</w:t>
      </w:r>
    </w:p>
    <w:p w14:paraId="73C21655" w14:textId="1AFEE1A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127.</w:t>
      </w:r>
      <w:r w:rsidRPr="00D75D7F">
        <w:rPr>
          <w:rFonts w:eastAsia="SimSun" w:cs="Times New Roman"/>
          <w:szCs w:val="20"/>
          <w:lang w:eastAsia="zh-CN"/>
        </w:rPr>
        <w:tab/>
        <w:t>16 февраля 2023 года Азербайджан одобрил (ратифицировал) Протокол № 16</w:t>
      </w:r>
      <w:r w:rsidR="00FB1965">
        <w:rPr>
          <w:rFonts w:eastAsia="SimSun" w:cs="Times New Roman"/>
          <w:szCs w:val="20"/>
          <w:lang w:eastAsia="zh-CN"/>
        </w:rPr>
        <w:br/>
      </w:r>
      <w:r w:rsidRPr="00D75D7F">
        <w:rPr>
          <w:rFonts w:eastAsia="SimSun" w:cs="Times New Roman"/>
          <w:szCs w:val="20"/>
          <w:lang w:eastAsia="zh-CN"/>
        </w:rPr>
        <w:t>к Конвенции о защите прав человека и основных свобод, на основании которого высшие суды и трибуналы Высокой Договаривающейся Стороны (в данном случае Верховный и Конституционный суды Азербайджанской Республики) могут обращаться в Европейский суд по правам человека с просьбой дать консультативные заключения по принципиальным вопросам, касающимся интерпретации или применения прав и свобод, определенных в Конвенции о защите прав человека и основных свобод или протоколах к ней.</w:t>
      </w:r>
    </w:p>
    <w:p w14:paraId="77DFAD4B" w14:textId="3C9907A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128.</w:t>
      </w:r>
      <w:r w:rsidRPr="00D75D7F">
        <w:rPr>
          <w:rFonts w:eastAsia="SimSun" w:cs="Times New Roman"/>
          <w:szCs w:val="20"/>
          <w:lang w:eastAsia="zh-CN"/>
        </w:rPr>
        <w:tab/>
        <w:t>8 марта 2023 года Азербайджан подписал Протокол № 13 к Конвенции о защите прав человека и основных свобод относительно отмены смертной казни при любых обстоятельствах.</w:t>
      </w:r>
    </w:p>
    <w:p w14:paraId="5B07FE2C" w14:textId="55C8876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129.</w:t>
      </w:r>
      <w:r w:rsidRPr="00D75D7F">
        <w:rPr>
          <w:rFonts w:eastAsia="SimSun" w:cs="Times New Roman"/>
          <w:szCs w:val="20"/>
          <w:lang w:eastAsia="zh-CN"/>
        </w:rPr>
        <w:tab/>
        <w:t xml:space="preserve">В рамках национальной правовой системы в судах и других административных органах допускаются ссылки на положения международных договоров. Согласно статье 12 (пункт </w:t>
      </w:r>
      <w:r w:rsidRPr="00D75D7F">
        <w:rPr>
          <w:rFonts w:eastAsia="SimSun" w:cs="Times New Roman"/>
          <w:szCs w:val="20"/>
          <w:lang w:val="en-US" w:eastAsia="zh-CN"/>
        </w:rPr>
        <w:t>II</w:t>
      </w:r>
      <w:r w:rsidRPr="00D75D7F">
        <w:rPr>
          <w:rFonts w:eastAsia="SimSun" w:cs="Times New Roman"/>
          <w:szCs w:val="20"/>
          <w:lang w:eastAsia="zh-CN"/>
        </w:rPr>
        <w:t>) Конституции Азербайджанской Республики «права и свободы человека и гражданина, перечисленные в настоящей Конституции, применяются в соответствии с международными договорами, участницей которых является Азербайджанская Республика».</w:t>
      </w:r>
    </w:p>
    <w:p w14:paraId="5CAEB56D" w14:textId="5FD638D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130.</w:t>
      </w:r>
      <w:r w:rsidRPr="00D75D7F">
        <w:rPr>
          <w:rFonts w:eastAsia="SimSun" w:cs="Times New Roman"/>
          <w:szCs w:val="20"/>
          <w:lang w:eastAsia="zh-CN"/>
        </w:rPr>
        <w:tab/>
        <w:t xml:space="preserve">Согласно статье 148 (пункт </w:t>
      </w:r>
      <w:r w:rsidRPr="00D75D7F">
        <w:rPr>
          <w:rFonts w:eastAsia="SimSun" w:cs="Times New Roman"/>
          <w:szCs w:val="20"/>
          <w:lang w:val="en-GB" w:eastAsia="zh-CN"/>
        </w:rPr>
        <w:t>II</w:t>
      </w:r>
      <w:r w:rsidRPr="00D75D7F">
        <w:rPr>
          <w:rFonts w:eastAsia="SimSun" w:cs="Times New Roman"/>
          <w:szCs w:val="20"/>
          <w:lang w:eastAsia="zh-CN"/>
        </w:rPr>
        <w:t>) Конституции «международные договоры, участницей которых является Азербайджанская Республика, — неотъемлемая составная часть системы законодательства Азербайджанской Республики».</w:t>
      </w:r>
    </w:p>
    <w:p w14:paraId="3572EF77" w14:textId="33CF32D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131.</w:t>
      </w:r>
      <w:r w:rsidRPr="00D75D7F">
        <w:rPr>
          <w:rFonts w:eastAsia="SimSun" w:cs="Times New Roman"/>
          <w:szCs w:val="20"/>
          <w:lang w:eastAsia="zh-CN"/>
        </w:rPr>
        <w:tab/>
        <w:t>В статье 151 Конституции Азербайджанской Республики предусматривается, что «при возникновении противоречия между нормативными правовыми актами, входящими в систему законодательства Азербайджанской Республики (исключая Конституцию Азербайджанской Республики и принятые путем референдума акты),</w:t>
      </w:r>
      <w:r w:rsidR="00FB1965">
        <w:rPr>
          <w:rFonts w:eastAsia="SimSun" w:cs="Times New Roman"/>
          <w:szCs w:val="20"/>
          <w:lang w:eastAsia="zh-CN"/>
        </w:rPr>
        <w:br/>
      </w:r>
      <w:r w:rsidRPr="00D75D7F">
        <w:rPr>
          <w:rFonts w:eastAsia="SimSun" w:cs="Times New Roman"/>
          <w:szCs w:val="20"/>
          <w:lang w:eastAsia="zh-CN"/>
        </w:rPr>
        <w:t>и межгосударственными договорами, участницей которых является Азербайджанская Республика, применяются международные договоры».</w:t>
      </w:r>
    </w:p>
    <w:p w14:paraId="15596C0B" w14:textId="77777777" w:rsidR="00D75D7F" w:rsidRPr="00D75D7F" w:rsidRDefault="00D75D7F" w:rsidP="00FB1965">
      <w:pPr>
        <w:pStyle w:val="H1G"/>
      </w:pPr>
      <w:r w:rsidRPr="00D75D7F">
        <w:rPr>
          <w:rFonts w:eastAsia="Calibri"/>
        </w:rPr>
        <w:tab/>
      </w:r>
      <w:r w:rsidRPr="00D75D7F">
        <w:rPr>
          <w:rFonts w:eastAsia="Calibri"/>
          <w:lang w:val="en-GB"/>
        </w:rPr>
        <w:t>B</w:t>
      </w:r>
      <w:r w:rsidRPr="00D75D7F">
        <w:rPr>
          <w:rFonts w:eastAsia="Calibri"/>
        </w:rPr>
        <w:t>.</w:t>
      </w:r>
      <w:r w:rsidRPr="00D75D7F">
        <w:rPr>
          <w:rFonts w:eastAsia="Calibri"/>
        </w:rPr>
        <w:tab/>
      </w:r>
      <w:r w:rsidRPr="00D75D7F">
        <w:t>Правовые рамки защиты прав человека на национальном уровне</w:t>
      </w:r>
    </w:p>
    <w:p w14:paraId="2292A43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132.</w:t>
      </w:r>
      <w:r w:rsidRPr="00D75D7F">
        <w:rPr>
          <w:rFonts w:eastAsia="SimSun" w:cs="Times New Roman"/>
          <w:szCs w:val="20"/>
          <w:lang w:eastAsia="zh-CN"/>
        </w:rPr>
        <w:tab/>
        <w:t xml:space="preserve">Глава </w:t>
      </w:r>
      <w:r w:rsidRPr="00D75D7F">
        <w:rPr>
          <w:rFonts w:eastAsia="SimSun" w:cs="Times New Roman"/>
          <w:szCs w:val="20"/>
          <w:lang w:val="en-GB" w:eastAsia="zh-CN"/>
        </w:rPr>
        <w:t>III</w:t>
      </w:r>
      <w:r w:rsidRPr="00D75D7F">
        <w:rPr>
          <w:rFonts w:eastAsia="SimSun" w:cs="Times New Roman"/>
          <w:szCs w:val="20"/>
          <w:lang w:eastAsia="zh-CN"/>
        </w:rPr>
        <w:t xml:space="preserve"> Конституции Азербайджанской Республики посвящена основным правам и свободам человека и гражданина.</w:t>
      </w:r>
    </w:p>
    <w:p w14:paraId="6EB35B2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133.</w:t>
      </w:r>
      <w:r w:rsidRPr="00D75D7F">
        <w:rPr>
          <w:rFonts w:eastAsia="SimSun" w:cs="Times New Roman"/>
          <w:szCs w:val="20"/>
          <w:lang w:eastAsia="zh-CN"/>
        </w:rPr>
        <w:tab/>
        <w:t>Конституция предоставляет права и свободы каждому с момента рождения и также гарантирует право на равенство, право на защиту прав и свобод человека и гражданина, право на жизнь и свободу, право собственности, право на интеллектуальную собственность, право на безопасное проживание, право на личную неприкосновенность, право на неприкосновенность жилища, право на заключение брака, право на труд, забастовку и отдых, право на социальное обеспечение, право жить в здоровой окружающей среде, право на культуру, право на охрану здоровья, право на образование, право на жилище, право на национальную принадлежность, право пользования родным языком, право на защиту чести и достоинства, свободу мысли и слова, свободу совести, свободу собраний, свободу информации, свободу творчества, право на гражданство и гарантию права на гражданства, право на участие в политической жизни общества и государства, право на участие в управлении государством, избирательное право, право на обращение, право на объединение, право на свободу предпринимательства, право на получение юридической помощи, презумпцию невиновности и многие другие права и свободы.</w:t>
      </w:r>
    </w:p>
    <w:p w14:paraId="71BCBA5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134.</w:t>
      </w:r>
      <w:r w:rsidRPr="00D75D7F">
        <w:rPr>
          <w:rFonts w:eastAsia="SimSun" w:cs="Times New Roman"/>
          <w:szCs w:val="20"/>
          <w:lang w:eastAsia="zh-CN"/>
        </w:rPr>
        <w:tab/>
        <w:t>В соответствии со статьей 60 Конституции Азербайджанской Республики каждому гарантируются защита его прав и свобод в административном порядке и суде. Каждый обладает правом на непредвзятый подход к своему делу и рассмотрение данного дела в разумный срок в административном производстве и судебном процессе. Каждый обладает правом быть выслушанным в административном производстве и судебном процессе. Каждый может обжаловать в административном порядке и в суде действия и бездействие государственных органов, политических партий, юридических лиц, муниципалитетов и должностных лиц.</w:t>
      </w:r>
    </w:p>
    <w:p w14:paraId="7045670E" w14:textId="6BA7FE4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135.</w:t>
      </w:r>
      <w:r w:rsidRPr="00D75D7F">
        <w:rPr>
          <w:rFonts w:eastAsia="SimSun" w:cs="Times New Roman"/>
          <w:szCs w:val="20"/>
          <w:lang w:eastAsia="zh-CN"/>
        </w:rPr>
        <w:tab/>
        <w:t>Согласно статье 26 Конституции Азербайджанской Республики</w:t>
      </w:r>
      <w:r w:rsidR="00FB1965">
        <w:rPr>
          <w:rFonts w:eastAsia="SimSun" w:cs="Times New Roman"/>
          <w:szCs w:val="20"/>
          <w:lang w:eastAsia="zh-CN"/>
        </w:rPr>
        <w:t>,</w:t>
      </w:r>
      <w:r w:rsidRPr="00D75D7F">
        <w:rPr>
          <w:rFonts w:eastAsia="SimSun" w:cs="Times New Roman"/>
          <w:szCs w:val="20"/>
          <w:lang w:eastAsia="zh-CN"/>
        </w:rPr>
        <w:t xml:space="preserve"> каждый вправе защищать не запрещенными законом способами и средствами свои права и свободы. В соответствии со статьей 68 Конституции Азербайджанской Республики каждый имеет право на достойное обращение в отношении себя со стороны государственных органов, исключающее произвол. Права лица, пострадавшего от преступления, а также от злоупотребления властью, охраняются законом. Пострадавшее лицо имеет право участвовать в осуществлении правосудия и требовать возмещения причиненного ему ущерба. Каждый имеет право на возмещение государством вреда, причиненного незаконными действиями или бездействием государственных органов либо их должностных лиц. Государство вместе с государственными служащими несут гражданскую ответственность за ущерб, причиненный правам и свободам человека в результате противозаконных действий и бездействия государственных служащих, и нарушение их гарантии.</w:t>
      </w:r>
    </w:p>
    <w:p w14:paraId="318F80FE" w14:textId="05C336A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136.</w:t>
      </w:r>
      <w:r w:rsidRPr="00D75D7F">
        <w:rPr>
          <w:rFonts w:eastAsia="SimSun" w:cs="Times New Roman"/>
          <w:szCs w:val="20"/>
          <w:lang w:eastAsia="zh-CN"/>
        </w:rPr>
        <w:tab/>
        <w:t>Должность Уполномоченного по правам человека (Омбудсмена) Азербайджанской Республики закреплена в Конституции Азербайджанской Республики и поддерживаемых Азербайджанской Республикой международных договорах; она была учреждена для обеспечения восстановления прав и свобод человека, нарушенных государственными органами, органами местного самоуправления или должностными лицами Азербайджанской Республики,</w:t>
      </w:r>
      <w:r w:rsidR="00FB1965">
        <w:rPr>
          <w:rFonts w:eastAsia="SimSun" w:cs="Times New Roman"/>
          <w:szCs w:val="20"/>
          <w:lang w:eastAsia="zh-CN"/>
        </w:rPr>
        <w:br/>
      </w:r>
      <w:r w:rsidRPr="00D75D7F">
        <w:rPr>
          <w:rFonts w:eastAsia="SimSun" w:cs="Times New Roman"/>
          <w:szCs w:val="20"/>
          <w:lang w:eastAsia="zh-CN"/>
        </w:rPr>
        <w:t>и для предотвращения нарушения прав человека в соответствии с Конституционным законом Азербайджанской Республики «Об Уполномоченном по правам</w:t>
      </w:r>
      <w:r w:rsidR="00FB1965">
        <w:rPr>
          <w:rFonts w:eastAsia="SimSun" w:cs="Times New Roman"/>
          <w:szCs w:val="20"/>
          <w:lang w:eastAsia="zh-CN"/>
        </w:rPr>
        <w:br/>
      </w:r>
      <w:r w:rsidRPr="00D75D7F">
        <w:rPr>
          <w:rFonts w:eastAsia="SimSun" w:cs="Times New Roman"/>
          <w:szCs w:val="20"/>
          <w:lang w:eastAsia="zh-CN"/>
        </w:rPr>
        <w:t>человека (Омбудсмене) Азербайджанской Республики».</w:t>
      </w:r>
    </w:p>
    <w:p w14:paraId="69546251" w14:textId="42748F3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137.</w:t>
      </w:r>
      <w:r w:rsidRPr="00D75D7F">
        <w:rPr>
          <w:rFonts w:eastAsia="SimSun" w:cs="Times New Roman"/>
          <w:szCs w:val="20"/>
          <w:lang w:eastAsia="zh-CN"/>
        </w:rPr>
        <w:tab/>
        <w:t xml:space="preserve">Не позднее чем через </w:t>
      </w:r>
      <w:r w:rsidR="00FB1965">
        <w:rPr>
          <w:rFonts w:eastAsia="SimSun" w:cs="Times New Roman"/>
          <w:szCs w:val="20"/>
          <w:lang w:eastAsia="zh-CN"/>
        </w:rPr>
        <w:t>два</w:t>
      </w:r>
      <w:r w:rsidRPr="00D75D7F">
        <w:rPr>
          <w:rFonts w:eastAsia="SimSun" w:cs="Times New Roman"/>
          <w:szCs w:val="20"/>
          <w:lang w:eastAsia="zh-CN"/>
        </w:rPr>
        <w:t xml:space="preserve"> месяца после окончания каждого года Уполномоченный по правам человека представляет Президенту Азербайджанской Республики ежегодный доклад о защите прав человека в стране и направляет этот доклад в Милли Меджлис Азербайджанской Республики. В ежегодном докладе указываются государственные органы и органы местного самоуправления или должностные лица, нарушившие права человека и не выполнившие требования Уполномоченного и мер, принимавшихся в этой связи. Доклад представляется в Кабинет министров Азербайджанской Республики, Конституционный суд Азербайджанской Республики, Верховный суд Азербайджанской Республики и Генеральному прокурору Азербайджанской Республики.</w:t>
      </w:r>
    </w:p>
    <w:p w14:paraId="654CB9A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138.</w:t>
      </w:r>
      <w:r w:rsidRPr="00D75D7F">
        <w:rPr>
          <w:rFonts w:eastAsia="SimSun" w:cs="Times New Roman"/>
          <w:szCs w:val="20"/>
          <w:lang w:eastAsia="zh-CN"/>
        </w:rPr>
        <w:tab/>
        <w:t xml:space="preserve">Согласно положениям Конституционного закона «Об Уполномоченном по правам человека (Омбудсмене) Азербайджанской Республики», каждый </w:t>
      </w:r>
      <w:r w:rsidRPr="00D75D7F">
        <w:rPr>
          <w:rFonts w:eastAsia="SimSun" w:cs="Times New Roman"/>
          <w:szCs w:val="20"/>
          <w:lang w:eastAsia="zh-CN"/>
        </w:rPr>
        <w:lastRenderedPageBreak/>
        <w:t>проживающий в стране человек, независимо от гражданства, имеет право обращаться к Уполномоченному. За период деятельности к Уполномоченному по правам человека обращались лица, являвшиеся представителями различным религий и языковых групп, и каждое обращение было рассмотрено в порядке, установленном соответствующим Конституционным законом, и были приняты необходимые меры.</w:t>
      </w:r>
    </w:p>
    <w:p w14:paraId="4B7B420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139.</w:t>
      </w:r>
      <w:r w:rsidRPr="00D75D7F">
        <w:rPr>
          <w:rFonts w:eastAsia="SimSun" w:cs="Times New Roman"/>
          <w:szCs w:val="20"/>
          <w:lang w:eastAsia="zh-CN"/>
        </w:rPr>
        <w:tab/>
        <w:t>За последние три года в целях обеспечения более эффективного осуществления деятельности Уполномоченного в ведомстве Омбудсмена был создан ряд структурных подразделений: круглосуточно функционирующий Центр телефонного обслуживания «916»; Отдел по взаимодействию с международными организациями и институтами гражданского общества; Отдел по защите права на доступ к информации; Сектор по защите прав инвалидов; Сектор по работе с семьями погибших и участниками войны; Сектор по защите прав детей. Для достижения более эффективной организации защиты прав человека с учетом международного опыта и современных реалий проводятся последовательные реформы, направленные на совершенствование деятельности института Омбудсмена.</w:t>
      </w:r>
    </w:p>
    <w:p w14:paraId="52A0611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140.</w:t>
      </w:r>
      <w:r w:rsidRPr="00D75D7F">
        <w:rPr>
          <w:rFonts w:eastAsia="SimSun" w:cs="Times New Roman"/>
          <w:szCs w:val="20"/>
          <w:lang w:eastAsia="zh-CN"/>
        </w:rPr>
        <w:tab/>
        <w:t>Образование в Азербайджанской Республике носит светский и непрерывный характер и является приоритетной сферой деятельности стратегического значения, отражающей интересы граждан, общества и государства. Образование в Азербайджанской Республике опирается на положения международных конвенций о правах человека и иных международных договоров, стороной которых является Азербайджанская Республика, и развивается на основе обеспечения приоритетности его базовых национальных, духовных и общечеловеческих ценностей путем интеграции в мировую систему образования.</w:t>
      </w:r>
    </w:p>
    <w:p w14:paraId="6DB91CF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141.</w:t>
      </w:r>
      <w:r w:rsidRPr="00D75D7F">
        <w:rPr>
          <w:rFonts w:eastAsia="SimSun" w:cs="Times New Roman"/>
          <w:szCs w:val="20"/>
          <w:lang w:eastAsia="zh-CN"/>
        </w:rPr>
        <w:tab/>
        <w:t>Образовательная политика государства обеспечивает высокий уровень грамотности в стране. Все граждане страны охвачены бесплатным начальным и средним образованием. Принятый 29 марта 2019 года «Закон об общем образовании» определяет базовые принципы государственной политики и организационные, правовые и экономические основы в области общего образования в Азербайджанской Республике. Закон также регулирует ответственность государства в области общего образования, организации общего образования, управления системой общего образования, прав, обязанностей и социальной защиты субъектов образования, экономики общего образования и других вопросов.</w:t>
      </w:r>
    </w:p>
    <w:p w14:paraId="719A4F94" w14:textId="6CF83F8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142.</w:t>
      </w:r>
      <w:r w:rsidRPr="00D75D7F">
        <w:rPr>
          <w:rFonts w:eastAsia="SimSun" w:cs="Times New Roman"/>
          <w:szCs w:val="20"/>
          <w:lang w:eastAsia="zh-CN"/>
        </w:rPr>
        <w:tab/>
        <w:t>24 апреля 2018 года был принят Закон «О профессиональном образовании».</w:t>
      </w:r>
      <w:r w:rsidR="00FB1965">
        <w:rPr>
          <w:rFonts w:eastAsia="SimSun" w:cs="Times New Roman"/>
          <w:szCs w:val="20"/>
          <w:lang w:eastAsia="zh-CN"/>
        </w:rPr>
        <w:br/>
      </w:r>
      <w:r w:rsidRPr="00D75D7F">
        <w:rPr>
          <w:rFonts w:eastAsia="SimSun" w:cs="Times New Roman"/>
          <w:szCs w:val="20"/>
          <w:lang w:eastAsia="zh-CN"/>
        </w:rPr>
        <w:t>В нем отражена политика государства в соответствующей сфере, предусматривающая соблюдение основных прав граждан с целью обеспечения возможности получения профессионального образования всеми слоями населения, независимо от расы, этнической принадлежности, религии, языка, пола, происхождения, имущественного или служебного положения, убеждений или принадлежности к политическим партиям, профсоюзным и другим общественным объединениям.</w:t>
      </w:r>
    </w:p>
    <w:p w14:paraId="47EBE52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143.</w:t>
      </w:r>
      <w:r w:rsidRPr="00D75D7F">
        <w:rPr>
          <w:rFonts w:eastAsia="SimSun" w:cs="Times New Roman"/>
          <w:szCs w:val="20"/>
          <w:lang w:eastAsia="zh-CN"/>
        </w:rPr>
        <w:tab/>
        <w:t>В рамках проекта «Развитие дошкольного образования на базе общин», реализуемого с 2017 года, 15 177 детей в возрасте 3–4 лет охвачены дошкольным образованием в 847 группах, организованных в 55 районах и городах страны на общинной основе. Кроме того, охват дошкольным образованием детей в возрасте 5 лет увеличился до 90 %.</w:t>
      </w:r>
    </w:p>
    <w:p w14:paraId="3FC3549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144.</w:t>
      </w:r>
      <w:r w:rsidRPr="00D75D7F">
        <w:rPr>
          <w:rFonts w:eastAsia="SimSun" w:cs="Times New Roman"/>
          <w:szCs w:val="20"/>
          <w:lang w:eastAsia="zh-CN"/>
        </w:rPr>
        <w:tab/>
        <w:t>За период с 25 ноября 2021 года, когда Фонд образовательных студенческих кредитов начал выдачу таких кредитов, по 30 ноября 2022 года в Фонд поступило более 17 000 заявок, из которых более 10 000 были одобрены. На осенний семестр 2022/23 учебного года было подано более 7000 заявок, из которых было рассмотрено 4265 заявок.</w:t>
      </w:r>
    </w:p>
    <w:p w14:paraId="43915157" w14:textId="4549F60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145.</w:t>
      </w:r>
      <w:r w:rsidRPr="00D75D7F">
        <w:rPr>
          <w:rFonts w:eastAsia="SimSun" w:cs="Times New Roman"/>
          <w:szCs w:val="20"/>
          <w:lang w:eastAsia="zh-CN"/>
        </w:rPr>
        <w:tab/>
        <w:t>В 2022 году были введены в эксплуатацию 23 новые типовые школы</w:t>
      </w:r>
      <w:r w:rsidR="00FB1965">
        <w:rPr>
          <w:rFonts w:eastAsia="SimSun" w:cs="Times New Roman"/>
          <w:szCs w:val="20"/>
          <w:lang w:eastAsia="zh-CN"/>
        </w:rPr>
        <w:br/>
      </w:r>
      <w:r w:rsidRPr="00D75D7F">
        <w:rPr>
          <w:rFonts w:eastAsia="SimSun" w:cs="Times New Roman"/>
          <w:szCs w:val="20"/>
          <w:lang w:eastAsia="zh-CN"/>
        </w:rPr>
        <w:t>и 30 модульных школ. В 682 школах был проведен текущий ремонт, а в 87 школах — капитальный ремонт.</w:t>
      </w:r>
    </w:p>
    <w:p w14:paraId="38EA55B1" w14:textId="2D72086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146.</w:t>
      </w:r>
      <w:r w:rsidRPr="00D75D7F">
        <w:rPr>
          <w:rFonts w:eastAsia="SimSun" w:cs="Times New Roman"/>
          <w:szCs w:val="20"/>
          <w:lang w:eastAsia="zh-CN"/>
        </w:rPr>
        <w:tab/>
        <w:t xml:space="preserve">В 2022/23 учебном году в высших и средних учебных заведениях страны обучалось около 8900 иностранцев (из 110 стран) и лиц без гражданства. По сравнению </w:t>
      </w:r>
      <w:r w:rsidRPr="00D75D7F">
        <w:rPr>
          <w:rFonts w:eastAsia="SimSun" w:cs="Times New Roman"/>
          <w:szCs w:val="20"/>
          <w:lang w:eastAsia="zh-CN"/>
        </w:rPr>
        <w:lastRenderedPageBreak/>
        <w:t>с предыдущим учебным годом (7332 человека) этот показатель увеличился на 20 %,</w:t>
      </w:r>
      <w:r w:rsidR="00FB1965">
        <w:rPr>
          <w:rFonts w:eastAsia="SimSun" w:cs="Times New Roman"/>
          <w:szCs w:val="20"/>
          <w:lang w:eastAsia="zh-CN"/>
        </w:rPr>
        <w:br/>
      </w:r>
      <w:r w:rsidRPr="00D75D7F">
        <w:rPr>
          <w:rFonts w:eastAsia="SimSun" w:cs="Times New Roman"/>
          <w:szCs w:val="20"/>
          <w:lang w:eastAsia="zh-CN"/>
        </w:rPr>
        <w:t>а по сравнению с 2015/16 учебным годом (4326 человек) — на 103 %.</w:t>
      </w:r>
    </w:p>
    <w:p w14:paraId="10E62E0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147.</w:t>
      </w:r>
      <w:r w:rsidRPr="00D75D7F">
        <w:rPr>
          <w:rFonts w:eastAsia="SimSun" w:cs="Times New Roman"/>
          <w:szCs w:val="20"/>
          <w:lang w:eastAsia="zh-CN"/>
        </w:rPr>
        <w:tab/>
        <w:t>Ежегодно в учебных заведениях Азербайджанской Республики создаются возможности для получения образования лицами со статусом беженца, присвоенным Управлением Верховного комиссара Организации Объединенных Наций по делам беженцев. Лицам, имеющим статус беженца, предоставляется возможность получить высшее образование. В 2020/21 учебном году этим правом воспользовались 2 человека и в 2021/22 учебном году — 1 человек.</w:t>
      </w:r>
    </w:p>
    <w:p w14:paraId="6980D4BA" w14:textId="3845176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148.</w:t>
      </w:r>
      <w:r w:rsidRPr="00D75D7F">
        <w:rPr>
          <w:rFonts w:eastAsia="SimSun" w:cs="Times New Roman"/>
          <w:szCs w:val="20"/>
          <w:lang w:eastAsia="zh-CN"/>
        </w:rPr>
        <w:tab/>
        <w:t>В системе образования обеспечивается гендерное равенство, при этом особое внимание уделяется обучению девочек. В 2022/23 учебном году в общеобразовательных учреждениях страны обучалось 795 463 девочки, что составляет 47 % от общего числа школьников. В текущем учебном году в высших учебных заведениях обучаются 99 829 девушек (51,4 %) из 194 011 студентов. Доля женщин, занятых в сфере науки, также увеличивается с каждым годом. Из 3321 аспиранта</w:t>
      </w:r>
      <w:r w:rsidR="00F5330E">
        <w:rPr>
          <w:rFonts w:eastAsia="SimSun" w:cs="Times New Roman"/>
          <w:szCs w:val="20"/>
          <w:lang w:eastAsia="zh-CN"/>
        </w:rPr>
        <w:br/>
      </w:r>
      <w:r w:rsidRPr="00D75D7F">
        <w:rPr>
          <w:rFonts w:eastAsia="SimSun" w:cs="Times New Roman"/>
          <w:szCs w:val="20"/>
          <w:lang w:eastAsia="zh-CN"/>
        </w:rPr>
        <w:t>1807 (54,4 %) — женщины.</w:t>
      </w:r>
    </w:p>
    <w:p w14:paraId="0E6DCC0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149.</w:t>
      </w:r>
      <w:r w:rsidRPr="00D75D7F">
        <w:rPr>
          <w:rFonts w:eastAsia="SimSun" w:cs="Times New Roman"/>
          <w:szCs w:val="20"/>
          <w:lang w:eastAsia="zh-CN"/>
        </w:rPr>
        <w:tab/>
        <w:t>В соответствии со статьей 45 Конституции Азербайджанской Республики каждый имеет право пользоваться родным языком, получать образование и заниматься творчеством на этом языке. Никто не может быть лишен права на пользование родным языком.</w:t>
      </w:r>
    </w:p>
    <w:p w14:paraId="2538BD9A" w14:textId="4DA0CEC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150.</w:t>
      </w:r>
      <w:r w:rsidRPr="00D75D7F">
        <w:rPr>
          <w:rFonts w:eastAsia="SimSun" w:cs="Times New Roman"/>
          <w:szCs w:val="20"/>
          <w:lang w:eastAsia="zh-CN"/>
        </w:rPr>
        <w:tab/>
        <w:t>Для обеспечения эффективной организации преподавания языков этнических меньшинств большое внимание уделяется подготовке и изданию учебных программ, учебников и учебных пособий, дидактических материалов, методических пособий, рекомендаций и т.</w:t>
      </w:r>
      <w:r w:rsidR="00F5330E">
        <w:rPr>
          <w:rFonts w:eastAsia="SimSun" w:cs="Times New Roman"/>
          <w:szCs w:val="20"/>
          <w:lang w:eastAsia="zh-CN"/>
        </w:rPr>
        <w:t> </w:t>
      </w:r>
      <w:r w:rsidRPr="00D75D7F">
        <w:rPr>
          <w:rFonts w:eastAsia="SimSun" w:cs="Times New Roman"/>
          <w:szCs w:val="20"/>
          <w:lang w:eastAsia="zh-CN"/>
        </w:rPr>
        <w:t xml:space="preserve">д. </w:t>
      </w:r>
    </w:p>
    <w:p w14:paraId="0CCE71FF" w14:textId="77777777" w:rsidR="00D75D7F" w:rsidRPr="00D75D7F" w:rsidRDefault="00D75D7F" w:rsidP="00D75D7F">
      <w:pPr>
        <w:tabs>
          <w:tab w:val="left" w:pos="1701"/>
          <w:tab w:val="left" w:pos="2268"/>
        </w:tabs>
        <w:spacing w:after="240"/>
        <w:ind w:left="1134" w:right="1134"/>
        <w:jc w:val="both"/>
        <w:rPr>
          <w:rFonts w:eastAsia="SimSun" w:cs="Times New Roman"/>
          <w:szCs w:val="20"/>
          <w:lang w:eastAsia="zh-CN"/>
        </w:rPr>
      </w:pPr>
      <w:r w:rsidRPr="00D75D7F">
        <w:rPr>
          <w:rFonts w:eastAsia="SimSun" w:cs="Times New Roman"/>
          <w:szCs w:val="20"/>
          <w:lang w:eastAsia="zh-CN"/>
        </w:rPr>
        <w:t>151.</w:t>
      </w:r>
      <w:r w:rsidRPr="00D75D7F">
        <w:rPr>
          <w:rFonts w:eastAsia="SimSun" w:cs="Times New Roman"/>
          <w:szCs w:val="20"/>
          <w:lang w:eastAsia="zh-CN"/>
        </w:rPr>
        <w:tab/>
        <w:t>В нижеследующей таблице представлены данные о преподавании языков национальных меньшинств в 2022/23 учебном году:</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68"/>
        <w:gridCol w:w="2451"/>
        <w:gridCol w:w="2451"/>
      </w:tblGrid>
      <w:tr w:rsidR="00D75D7F" w:rsidRPr="00D75D7F" w14:paraId="12CB359F" w14:textId="77777777" w:rsidTr="00125B22">
        <w:trPr>
          <w:tblHeader/>
        </w:trPr>
        <w:tc>
          <w:tcPr>
            <w:tcW w:w="2468" w:type="dxa"/>
            <w:tcBorders>
              <w:top w:val="single" w:sz="4" w:space="0" w:color="auto"/>
              <w:bottom w:val="single" w:sz="12" w:space="0" w:color="auto"/>
            </w:tcBorders>
            <w:shd w:val="clear" w:color="auto" w:fill="auto"/>
            <w:vAlign w:val="bottom"/>
          </w:tcPr>
          <w:p w14:paraId="66F80E30" w14:textId="77777777" w:rsidR="00D75D7F" w:rsidRPr="00D75D7F" w:rsidRDefault="00D75D7F" w:rsidP="00D75D7F">
            <w:pPr>
              <w:suppressAutoHyphens w:val="0"/>
              <w:spacing w:before="80" w:after="80" w:line="200" w:lineRule="exact"/>
              <w:ind w:right="113"/>
              <w:rPr>
                <w:rFonts w:eastAsia="Times New Roman" w:cs="Times New Roman"/>
                <w:i/>
                <w:sz w:val="16"/>
                <w:szCs w:val="20"/>
              </w:rPr>
            </w:pPr>
            <w:r w:rsidRPr="00D75D7F">
              <w:rPr>
                <w:rFonts w:eastAsia="Times New Roman" w:cs="Times New Roman"/>
                <w:i/>
                <w:sz w:val="16"/>
                <w:szCs w:val="20"/>
              </w:rPr>
              <w:t>Язык меньшинств</w:t>
            </w:r>
          </w:p>
        </w:tc>
        <w:tc>
          <w:tcPr>
            <w:tcW w:w="2451" w:type="dxa"/>
            <w:tcBorders>
              <w:top w:val="single" w:sz="4" w:space="0" w:color="auto"/>
              <w:bottom w:val="single" w:sz="12" w:space="0" w:color="auto"/>
            </w:tcBorders>
            <w:shd w:val="clear" w:color="auto" w:fill="auto"/>
            <w:vAlign w:val="bottom"/>
          </w:tcPr>
          <w:p w14:paraId="55453D60" w14:textId="77777777" w:rsidR="00D75D7F" w:rsidRPr="00D75D7F" w:rsidRDefault="00D75D7F" w:rsidP="00D75D7F">
            <w:pPr>
              <w:suppressAutoHyphens w:val="0"/>
              <w:spacing w:before="80" w:after="80" w:line="200" w:lineRule="exact"/>
              <w:ind w:right="113"/>
              <w:jc w:val="right"/>
              <w:rPr>
                <w:rFonts w:eastAsia="Times New Roman" w:cs="Times New Roman"/>
                <w:i/>
                <w:sz w:val="16"/>
                <w:szCs w:val="20"/>
              </w:rPr>
            </w:pPr>
            <w:r w:rsidRPr="00D75D7F">
              <w:rPr>
                <w:rFonts w:eastAsia="Times New Roman" w:cs="Times New Roman"/>
                <w:i/>
                <w:sz w:val="16"/>
                <w:szCs w:val="20"/>
              </w:rPr>
              <w:t>Количество школ</w:t>
            </w:r>
          </w:p>
        </w:tc>
        <w:tc>
          <w:tcPr>
            <w:tcW w:w="2451" w:type="dxa"/>
            <w:tcBorders>
              <w:top w:val="single" w:sz="4" w:space="0" w:color="auto"/>
              <w:bottom w:val="single" w:sz="12" w:space="0" w:color="auto"/>
            </w:tcBorders>
            <w:shd w:val="clear" w:color="auto" w:fill="auto"/>
            <w:vAlign w:val="bottom"/>
          </w:tcPr>
          <w:p w14:paraId="5C5061F7" w14:textId="77777777" w:rsidR="00D75D7F" w:rsidRPr="00D75D7F" w:rsidRDefault="00D75D7F" w:rsidP="00D75D7F">
            <w:pPr>
              <w:suppressAutoHyphens w:val="0"/>
              <w:spacing w:before="80" w:after="80" w:line="200" w:lineRule="exact"/>
              <w:ind w:right="113"/>
              <w:jc w:val="right"/>
              <w:rPr>
                <w:rFonts w:eastAsia="Times New Roman" w:cs="Times New Roman"/>
                <w:i/>
                <w:sz w:val="16"/>
                <w:szCs w:val="20"/>
              </w:rPr>
            </w:pPr>
            <w:r w:rsidRPr="00D75D7F">
              <w:rPr>
                <w:rFonts w:eastAsia="Times New Roman" w:cs="Times New Roman"/>
                <w:i/>
                <w:sz w:val="16"/>
                <w:szCs w:val="20"/>
              </w:rPr>
              <w:t>Количество учащихся</w:t>
            </w:r>
          </w:p>
        </w:tc>
      </w:tr>
      <w:tr w:rsidR="00D75D7F" w:rsidRPr="00D75D7F" w14:paraId="53E5721A" w14:textId="77777777" w:rsidTr="00125B22">
        <w:tc>
          <w:tcPr>
            <w:tcW w:w="2468" w:type="dxa"/>
            <w:shd w:val="clear" w:color="auto" w:fill="auto"/>
          </w:tcPr>
          <w:p w14:paraId="18D4D607" w14:textId="77777777" w:rsidR="00D75D7F" w:rsidRPr="00D75D7F" w:rsidRDefault="00D75D7F" w:rsidP="00F5330E">
            <w:pPr>
              <w:suppressAutoHyphens w:val="0"/>
              <w:spacing w:before="120" w:after="40" w:line="220" w:lineRule="exact"/>
              <w:ind w:right="113"/>
              <w:rPr>
                <w:rFonts w:eastAsia="Times New Roman" w:cs="Times New Roman"/>
                <w:sz w:val="18"/>
                <w:szCs w:val="20"/>
              </w:rPr>
            </w:pPr>
            <w:r w:rsidRPr="00D75D7F">
              <w:rPr>
                <w:rFonts w:eastAsia="Times New Roman" w:cs="Times New Roman"/>
                <w:sz w:val="18"/>
                <w:szCs w:val="20"/>
              </w:rPr>
              <w:t>Талышский</w:t>
            </w:r>
          </w:p>
        </w:tc>
        <w:tc>
          <w:tcPr>
            <w:tcW w:w="2451" w:type="dxa"/>
            <w:shd w:val="clear" w:color="auto" w:fill="auto"/>
            <w:vAlign w:val="bottom"/>
          </w:tcPr>
          <w:p w14:paraId="38238609" w14:textId="77777777" w:rsidR="00D75D7F" w:rsidRPr="00D75D7F" w:rsidRDefault="00D75D7F" w:rsidP="00F5330E">
            <w:pPr>
              <w:suppressAutoHyphens w:val="0"/>
              <w:spacing w:before="12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257</w:t>
            </w:r>
          </w:p>
        </w:tc>
        <w:tc>
          <w:tcPr>
            <w:tcW w:w="2451" w:type="dxa"/>
            <w:shd w:val="clear" w:color="auto" w:fill="auto"/>
            <w:vAlign w:val="bottom"/>
          </w:tcPr>
          <w:p w14:paraId="45D9E9A6" w14:textId="77777777" w:rsidR="00D75D7F" w:rsidRPr="00D75D7F" w:rsidRDefault="00D75D7F" w:rsidP="00F5330E">
            <w:pPr>
              <w:suppressAutoHyphens w:val="0"/>
              <w:spacing w:before="12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18 390</w:t>
            </w:r>
          </w:p>
        </w:tc>
      </w:tr>
      <w:tr w:rsidR="00D75D7F" w:rsidRPr="00D75D7F" w14:paraId="63F3B742" w14:textId="77777777" w:rsidTr="00125B22">
        <w:tc>
          <w:tcPr>
            <w:tcW w:w="2468" w:type="dxa"/>
            <w:shd w:val="clear" w:color="auto" w:fill="auto"/>
          </w:tcPr>
          <w:p w14:paraId="24571F65"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Лезгинский</w:t>
            </w:r>
          </w:p>
        </w:tc>
        <w:tc>
          <w:tcPr>
            <w:tcW w:w="2451" w:type="dxa"/>
            <w:shd w:val="clear" w:color="auto" w:fill="auto"/>
            <w:vAlign w:val="bottom"/>
          </w:tcPr>
          <w:p w14:paraId="3D5C3843"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99</w:t>
            </w:r>
          </w:p>
        </w:tc>
        <w:tc>
          <w:tcPr>
            <w:tcW w:w="2451" w:type="dxa"/>
            <w:shd w:val="clear" w:color="auto" w:fill="auto"/>
            <w:vAlign w:val="bottom"/>
          </w:tcPr>
          <w:p w14:paraId="15E742A0"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12 721</w:t>
            </w:r>
          </w:p>
        </w:tc>
      </w:tr>
      <w:tr w:rsidR="00D75D7F" w:rsidRPr="00D75D7F" w14:paraId="5C3EED8B" w14:textId="77777777" w:rsidTr="00125B22">
        <w:tc>
          <w:tcPr>
            <w:tcW w:w="2468" w:type="dxa"/>
            <w:shd w:val="clear" w:color="auto" w:fill="auto"/>
          </w:tcPr>
          <w:p w14:paraId="17CA5597"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Аварский</w:t>
            </w:r>
          </w:p>
        </w:tc>
        <w:tc>
          <w:tcPr>
            <w:tcW w:w="2451" w:type="dxa"/>
            <w:shd w:val="clear" w:color="auto" w:fill="auto"/>
            <w:vAlign w:val="bottom"/>
          </w:tcPr>
          <w:p w14:paraId="484249F0"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20</w:t>
            </w:r>
          </w:p>
        </w:tc>
        <w:tc>
          <w:tcPr>
            <w:tcW w:w="2451" w:type="dxa"/>
            <w:shd w:val="clear" w:color="auto" w:fill="auto"/>
            <w:vAlign w:val="bottom"/>
          </w:tcPr>
          <w:p w14:paraId="321B4BFD"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1 670</w:t>
            </w:r>
          </w:p>
        </w:tc>
      </w:tr>
      <w:tr w:rsidR="00D75D7F" w:rsidRPr="00D75D7F" w14:paraId="2E1877C4" w14:textId="77777777" w:rsidTr="00125B22">
        <w:tc>
          <w:tcPr>
            <w:tcW w:w="2468" w:type="dxa"/>
            <w:shd w:val="clear" w:color="auto" w:fill="auto"/>
          </w:tcPr>
          <w:p w14:paraId="752BD605"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Цахурский</w:t>
            </w:r>
          </w:p>
        </w:tc>
        <w:tc>
          <w:tcPr>
            <w:tcW w:w="2451" w:type="dxa"/>
            <w:shd w:val="clear" w:color="auto" w:fill="auto"/>
            <w:vAlign w:val="bottom"/>
          </w:tcPr>
          <w:p w14:paraId="2DBE6691"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3</w:t>
            </w:r>
          </w:p>
        </w:tc>
        <w:tc>
          <w:tcPr>
            <w:tcW w:w="2451" w:type="dxa"/>
            <w:shd w:val="clear" w:color="auto" w:fill="auto"/>
            <w:vAlign w:val="bottom"/>
          </w:tcPr>
          <w:p w14:paraId="7C71A01D"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435</w:t>
            </w:r>
          </w:p>
        </w:tc>
      </w:tr>
      <w:tr w:rsidR="00D75D7F" w:rsidRPr="00D75D7F" w14:paraId="79765C58" w14:textId="77777777" w:rsidTr="00125B22">
        <w:tc>
          <w:tcPr>
            <w:tcW w:w="2468" w:type="dxa"/>
            <w:shd w:val="clear" w:color="auto" w:fill="auto"/>
          </w:tcPr>
          <w:p w14:paraId="7BB75E29"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Удинский</w:t>
            </w:r>
          </w:p>
        </w:tc>
        <w:tc>
          <w:tcPr>
            <w:tcW w:w="2451" w:type="dxa"/>
            <w:shd w:val="clear" w:color="auto" w:fill="auto"/>
            <w:vAlign w:val="bottom"/>
          </w:tcPr>
          <w:p w14:paraId="44A4416E"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3</w:t>
            </w:r>
          </w:p>
        </w:tc>
        <w:tc>
          <w:tcPr>
            <w:tcW w:w="2451" w:type="dxa"/>
            <w:shd w:val="clear" w:color="auto" w:fill="auto"/>
            <w:vAlign w:val="bottom"/>
          </w:tcPr>
          <w:p w14:paraId="6C6F0096"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181</w:t>
            </w:r>
          </w:p>
        </w:tc>
      </w:tr>
      <w:tr w:rsidR="00D75D7F" w:rsidRPr="00D75D7F" w14:paraId="4D1669DF" w14:textId="77777777" w:rsidTr="00125B22">
        <w:tc>
          <w:tcPr>
            <w:tcW w:w="2468" w:type="dxa"/>
            <w:shd w:val="clear" w:color="auto" w:fill="auto"/>
          </w:tcPr>
          <w:p w14:paraId="4CC1A4DD"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Хиналугский</w:t>
            </w:r>
          </w:p>
        </w:tc>
        <w:tc>
          <w:tcPr>
            <w:tcW w:w="2451" w:type="dxa"/>
            <w:shd w:val="clear" w:color="auto" w:fill="auto"/>
            <w:vAlign w:val="bottom"/>
          </w:tcPr>
          <w:p w14:paraId="3BDE86BB"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w:t>
            </w:r>
          </w:p>
        </w:tc>
        <w:tc>
          <w:tcPr>
            <w:tcW w:w="2451" w:type="dxa"/>
            <w:shd w:val="clear" w:color="auto" w:fill="auto"/>
            <w:vAlign w:val="bottom"/>
          </w:tcPr>
          <w:p w14:paraId="62E3829B"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78</w:t>
            </w:r>
          </w:p>
        </w:tc>
      </w:tr>
      <w:tr w:rsidR="00D75D7F" w:rsidRPr="00D75D7F" w14:paraId="05358C20" w14:textId="77777777" w:rsidTr="00125B22">
        <w:tc>
          <w:tcPr>
            <w:tcW w:w="2468" w:type="dxa"/>
            <w:tcBorders>
              <w:bottom w:val="single" w:sz="4" w:space="0" w:color="auto"/>
            </w:tcBorders>
            <w:shd w:val="clear" w:color="auto" w:fill="auto"/>
          </w:tcPr>
          <w:p w14:paraId="6FE869A0" w14:textId="77777777" w:rsidR="00D75D7F" w:rsidRPr="00D75D7F" w:rsidRDefault="00D75D7F" w:rsidP="00D75D7F">
            <w:pPr>
              <w:suppressAutoHyphens w:val="0"/>
              <w:spacing w:before="40" w:after="40" w:line="220" w:lineRule="exact"/>
              <w:ind w:right="113"/>
              <w:rPr>
                <w:rFonts w:eastAsia="Times New Roman" w:cs="Times New Roman"/>
                <w:sz w:val="18"/>
                <w:szCs w:val="20"/>
              </w:rPr>
            </w:pPr>
            <w:r w:rsidRPr="00D75D7F">
              <w:rPr>
                <w:rFonts w:eastAsia="Times New Roman" w:cs="Times New Roman"/>
                <w:sz w:val="18"/>
                <w:szCs w:val="20"/>
              </w:rPr>
              <w:t>Курдский</w:t>
            </w:r>
          </w:p>
        </w:tc>
        <w:tc>
          <w:tcPr>
            <w:tcW w:w="2451" w:type="dxa"/>
            <w:tcBorders>
              <w:bottom w:val="single" w:sz="4" w:space="0" w:color="auto"/>
            </w:tcBorders>
            <w:shd w:val="clear" w:color="auto" w:fill="auto"/>
            <w:vAlign w:val="bottom"/>
          </w:tcPr>
          <w:p w14:paraId="42290241"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w:t>
            </w:r>
          </w:p>
        </w:tc>
        <w:tc>
          <w:tcPr>
            <w:tcW w:w="2451" w:type="dxa"/>
            <w:tcBorders>
              <w:bottom w:val="single" w:sz="4" w:space="0" w:color="auto"/>
            </w:tcBorders>
            <w:shd w:val="clear" w:color="auto" w:fill="auto"/>
            <w:vAlign w:val="bottom"/>
          </w:tcPr>
          <w:p w14:paraId="3A485D71" w14:textId="77777777" w:rsidR="00D75D7F" w:rsidRPr="00D75D7F" w:rsidRDefault="00D75D7F" w:rsidP="00D75D7F">
            <w:pPr>
              <w:suppressAutoHyphens w:val="0"/>
              <w:spacing w:before="40" w:after="40" w:line="220" w:lineRule="exact"/>
              <w:ind w:right="113"/>
              <w:jc w:val="right"/>
              <w:rPr>
                <w:rFonts w:eastAsia="Times New Roman" w:cs="Times New Roman"/>
                <w:sz w:val="18"/>
                <w:szCs w:val="20"/>
                <w:lang w:val="en-GB"/>
              </w:rPr>
            </w:pPr>
            <w:r w:rsidRPr="00D75D7F">
              <w:rPr>
                <w:rFonts w:eastAsia="Times New Roman" w:cs="Times New Roman"/>
                <w:sz w:val="18"/>
                <w:szCs w:val="20"/>
                <w:lang w:val="en-GB"/>
              </w:rPr>
              <w:t>17</w:t>
            </w:r>
          </w:p>
        </w:tc>
      </w:tr>
      <w:tr w:rsidR="00D75D7F" w:rsidRPr="00D75D7F" w14:paraId="7EE25E6C" w14:textId="77777777" w:rsidTr="00125B22">
        <w:tc>
          <w:tcPr>
            <w:tcW w:w="2468" w:type="dxa"/>
            <w:tcBorders>
              <w:top w:val="single" w:sz="4" w:space="0" w:color="auto"/>
              <w:bottom w:val="single" w:sz="12" w:space="0" w:color="auto"/>
            </w:tcBorders>
            <w:shd w:val="clear" w:color="auto" w:fill="auto"/>
          </w:tcPr>
          <w:p w14:paraId="724D5375" w14:textId="77777777" w:rsidR="00D75D7F" w:rsidRPr="00D75D7F" w:rsidRDefault="00D75D7F" w:rsidP="00D75D7F">
            <w:pPr>
              <w:suppressAutoHyphens w:val="0"/>
              <w:spacing w:before="80" w:after="80" w:line="220" w:lineRule="exact"/>
              <w:ind w:left="283"/>
              <w:rPr>
                <w:rFonts w:eastAsia="Times New Roman" w:cs="Times New Roman"/>
                <w:b/>
                <w:sz w:val="18"/>
                <w:szCs w:val="20"/>
              </w:rPr>
            </w:pPr>
            <w:r w:rsidRPr="00D75D7F">
              <w:rPr>
                <w:rFonts w:eastAsia="Times New Roman" w:cs="Times New Roman"/>
                <w:b/>
                <w:sz w:val="18"/>
                <w:szCs w:val="20"/>
              </w:rPr>
              <w:t>Итого</w:t>
            </w:r>
          </w:p>
        </w:tc>
        <w:tc>
          <w:tcPr>
            <w:tcW w:w="2451" w:type="dxa"/>
            <w:tcBorders>
              <w:top w:val="single" w:sz="4" w:space="0" w:color="auto"/>
              <w:bottom w:val="single" w:sz="12" w:space="0" w:color="auto"/>
            </w:tcBorders>
            <w:shd w:val="clear" w:color="auto" w:fill="auto"/>
            <w:vAlign w:val="bottom"/>
          </w:tcPr>
          <w:p w14:paraId="1B879350" w14:textId="77777777" w:rsidR="00D75D7F" w:rsidRPr="00D75D7F" w:rsidRDefault="00D75D7F" w:rsidP="00D75D7F">
            <w:pPr>
              <w:suppressAutoHyphens w:val="0"/>
              <w:spacing w:before="80" w:after="80" w:line="220" w:lineRule="exact"/>
              <w:ind w:right="113"/>
              <w:jc w:val="right"/>
              <w:rPr>
                <w:rFonts w:eastAsia="Times New Roman" w:cs="Times New Roman"/>
                <w:b/>
                <w:sz w:val="18"/>
                <w:szCs w:val="20"/>
                <w:lang w:val="en-GB"/>
              </w:rPr>
            </w:pPr>
            <w:r w:rsidRPr="00D75D7F">
              <w:rPr>
                <w:rFonts w:eastAsia="Times New Roman" w:cs="Times New Roman"/>
                <w:b/>
                <w:sz w:val="18"/>
                <w:szCs w:val="20"/>
                <w:lang w:val="en-GB"/>
              </w:rPr>
              <w:t>384</w:t>
            </w:r>
          </w:p>
        </w:tc>
        <w:tc>
          <w:tcPr>
            <w:tcW w:w="2451" w:type="dxa"/>
            <w:tcBorders>
              <w:top w:val="single" w:sz="4" w:space="0" w:color="auto"/>
              <w:bottom w:val="single" w:sz="12" w:space="0" w:color="auto"/>
            </w:tcBorders>
            <w:shd w:val="clear" w:color="auto" w:fill="auto"/>
            <w:vAlign w:val="bottom"/>
          </w:tcPr>
          <w:p w14:paraId="3B2B1571" w14:textId="77777777" w:rsidR="00D75D7F" w:rsidRPr="00D75D7F" w:rsidRDefault="00D75D7F" w:rsidP="00D75D7F">
            <w:pPr>
              <w:suppressAutoHyphens w:val="0"/>
              <w:spacing w:before="80" w:after="80" w:line="220" w:lineRule="exact"/>
              <w:ind w:right="113"/>
              <w:jc w:val="right"/>
              <w:rPr>
                <w:rFonts w:eastAsia="Times New Roman" w:cs="Times New Roman"/>
                <w:b/>
                <w:sz w:val="18"/>
                <w:szCs w:val="20"/>
                <w:lang w:val="en-GB"/>
              </w:rPr>
            </w:pPr>
            <w:r w:rsidRPr="00D75D7F">
              <w:rPr>
                <w:rFonts w:eastAsia="Times New Roman" w:cs="Times New Roman"/>
                <w:b/>
                <w:sz w:val="18"/>
                <w:szCs w:val="20"/>
                <w:lang w:val="en-GB"/>
              </w:rPr>
              <w:t>33 492</w:t>
            </w:r>
          </w:p>
        </w:tc>
      </w:tr>
    </w:tbl>
    <w:p w14:paraId="4D4D5549" w14:textId="28904E35" w:rsidR="00D75D7F" w:rsidRPr="00D75D7F" w:rsidRDefault="00D75D7F" w:rsidP="00D75D7F">
      <w:pPr>
        <w:tabs>
          <w:tab w:val="left" w:pos="1701"/>
          <w:tab w:val="left" w:pos="2268"/>
        </w:tabs>
        <w:spacing w:before="240" w:after="120"/>
        <w:ind w:left="1134" w:right="1134"/>
        <w:jc w:val="both"/>
        <w:rPr>
          <w:rFonts w:eastAsia="SimSun" w:cs="Times New Roman"/>
          <w:szCs w:val="20"/>
          <w:lang w:eastAsia="zh-CN"/>
        </w:rPr>
      </w:pPr>
      <w:r w:rsidRPr="00D75D7F">
        <w:rPr>
          <w:rFonts w:eastAsia="SimSun" w:cs="Times New Roman"/>
          <w:szCs w:val="20"/>
          <w:lang w:eastAsia="zh-CN"/>
        </w:rPr>
        <w:t>152.</w:t>
      </w:r>
      <w:r w:rsidRPr="00D75D7F">
        <w:rPr>
          <w:rFonts w:eastAsia="SimSun" w:cs="Times New Roman"/>
          <w:szCs w:val="20"/>
          <w:lang w:eastAsia="zh-CN"/>
        </w:rPr>
        <w:tab/>
        <w:t>В регионах компактного проживания грузинского меньшинства действует</w:t>
      </w:r>
      <w:r w:rsidR="00F5330E">
        <w:rPr>
          <w:rFonts w:eastAsia="SimSun" w:cs="Times New Roman"/>
          <w:szCs w:val="20"/>
          <w:lang w:eastAsia="zh-CN"/>
        </w:rPr>
        <w:br/>
      </w:r>
      <w:r w:rsidRPr="00D75D7F">
        <w:rPr>
          <w:rFonts w:eastAsia="SimSun" w:cs="Times New Roman"/>
          <w:szCs w:val="20"/>
          <w:lang w:eastAsia="zh-CN"/>
        </w:rPr>
        <w:t>10 школ с преподаванием на грузинском языке.</w:t>
      </w:r>
    </w:p>
    <w:p w14:paraId="2ACDBBB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153.</w:t>
      </w:r>
      <w:r w:rsidRPr="00D75D7F">
        <w:rPr>
          <w:rFonts w:eastAsia="SimSun" w:cs="Times New Roman"/>
          <w:szCs w:val="20"/>
          <w:lang w:eastAsia="zh-CN"/>
        </w:rPr>
        <w:tab/>
        <w:t>В соответствии с Государственными стандартами общего образования в Азербайджанской Республике, утвержденными Постановлением Кабинета министров от 29 сентября 2020 года, в процессе преподавания истории, географии, языка, литературы и других учебных предметов школьники получают информацию о правах человека. Права человека преподаются как отдельный курс в университетах.</w:t>
      </w:r>
    </w:p>
    <w:p w14:paraId="31A65DE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154.</w:t>
      </w:r>
      <w:r w:rsidRPr="00D75D7F">
        <w:rPr>
          <w:rFonts w:eastAsia="SimSun" w:cs="Times New Roman"/>
          <w:szCs w:val="20"/>
          <w:lang w:eastAsia="zh-CN"/>
        </w:rPr>
        <w:tab/>
        <w:t>Основная цель молодежной политики в Азербайджанской Республике заключается в создании условий для физического, интеллектуального и духовного развития молодежи и оказании содействия в реализации ее возможностей и навыков.</w:t>
      </w:r>
    </w:p>
    <w:p w14:paraId="566D3046" w14:textId="24C7372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155.</w:t>
      </w:r>
      <w:r w:rsidRPr="00D75D7F">
        <w:rPr>
          <w:rFonts w:eastAsia="SimSun" w:cs="Times New Roman"/>
          <w:szCs w:val="20"/>
          <w:lang w:eastAsia="zh-CN"/>
        </w:rPr>
        <w:tab/>
        <w:t>В соответствии с Законом «О молодежной политике» от 9 апреля</w:t>
      </w:r>
      <w:r w:rsidR="00485C57">
        <w:rPr>
          <w:rFonts w:eastAsia="SimSun" w:cs="Times New Roman"/>
          <w:szCs w:val="20"/>
          <w:lang w:eastAsia="zh-CN"/>
        </w:rPr>
        <w:br/>
      </w:r>
      <w:r w:rsidRPr="00D75D7F">
        <w:rPr>
          <w:rFonts w:eastAsia="SimSun" w:cs="Times New Roman"/>
          <w:szCs w:val="20"/>
          <w:lang w:eastAsia="zh-CN"/>
        </w:rPr>
        <w:t>2002 года молодежная политика — это система мероприятий, направленных на создание государством общественно-политических, социально-экономических, организационных и правовых условий и гарантий с целью обеспечения всестороннего развития молодежи страны и ее активного участия в жизни общества.</w:t>
      </w:r>
    </w:p>
    <w:p w14:paraId="35E1C09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156.</w:t>
      </w:r>
      <w:r w:rsidRPr="00D75D7F">
        <w:rPr>
          <w:rFonts w:eastAsia="SimSun" w:cs="Times New Roman"/>
          <w:szCs w:val="20"/>
          <w:lang w:eastAsia="zh-CN"/>
        </w:rPr>
        <w:tab/>
        <w:t>В Стратегии развития азербайджанской молодежи на 2015–2025 годы, которая была утверждена на основании Распоряжения Президента Азербайджанской Республики от 26 января 2015 года, определены цели, задачи, механизмы реализации и ожидаемые результаты процесса развития молодежи страны до 2025 года.</w:t>
      </w:r>
    </w:p>
    <w:p w14:paraId="30A69F4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157.</w:t>
      </w:r>
      <w:r w:rsidRPr="00D75D7F">
        <w:rPr>
          <w:rFonts w:eastAsia="SimSun" w:cs="Times New Roman"/>
          <w:szCs w:val="20"/>
          <w:lang w:eastAsia="zh-CN"/>
        </w:rPr>
        <w:tab/>
        <w:t>Указом Президента Азербайджанской Республики от 19 декабря 2011 года был создан Фонд молодежи при Президенте Азербайджанской Республики. Фонд молодежи финансирует в грантовой форме общественно и социально значимые программы, направленные на развитие науки, культуры и других сфер, связанных с молодежной политикой, и поддерживает проекты, реализуемые на международном уровне.</w:t>
      </w:r>
    </w:p>
    <w:p w14:paraId="033822C9" w14:textId="548B4CA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158.</w:t>
      </w:r>
      <w:r w:rsidRPr="00D75D7F">
        <w:rPr>
          <w:rFonts w:eastAsia="SimSun" w:cs="Times New Roman"/>
          <w:szCs w:val="20"/>
          <w:lang w:eastAsia="zh-CN"/>
        </w:rPr>
        <w:tab/>
        <w:t>7 марта 2018 года был изменен правовой статус Фонда молодежи и утвержден его новый устав, в соответствии с которым, в дополнение к финансированию отдельных проектов молодежи и молодежных организаций, Фонд также покрывает расходы на образование молодежи, нуждающейся в социальной защите,</w:t>
      </w:r>
      <w:r w:rsidR="00A15CC0">
        <w:rPr>
          <w:rFonts w:eastAsia="SimSun" w:cs="Times New Roman"/>
          <w:szCs w:val="20"/>
          <w:lang w:eastAsia="zh-CN"/>
        </w:rPr>
        <w:br/>
      </w:r>
      <w:r w:rsidRPr="00D75D7F">
        <w:rPr>
          <w:rFonts w:eastAsia="SimSun" w:cs="Times New Roman"/>
          <w:szCs w:val="20"/>
          <w:lang w:eastAsia="zh-CN"/>
        </w:rPr>
        <w:t>и финансирует участие молодежи в международных мероприятиях, осуществляет программы содействия занятости молодежи и выделяет средства для инновационных проектов и стартапов в форме льготных кредитов.</w:t>
      </w:r>
    </w:p>
    <w:p w14:paraId="1B9B25E7" w14:textId="5DFA0A6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159.</w:t>
      </w:r>
      <w:r w:rsidRPr="00D75D7F">
        <w:rPr>
          <w:rFonts w:eastAsia="SimSun" w:cs="Times New Roman"/>
          <w:szCs w:val="20"/>
          <w:lang w:eastAsia="zh-CN"/>
        </w:rPr>
        <w:tab/>
        <w:t>На основании Распоряжения Президента Азербайджанской Республики</w:t>
      </w:r>
      <w:r w:rsidR="00A15CC0">
        <w:rPr>
          <w:rFonts w:eastAsia="SimSun" w:cs="Times New Roman"/>
          <w:szCs w:val="20"/>
          <w:lang w:eastAsia="zh-CN"/>
        </w:rPr>
        <w:br/>
      </w:r>
      <w:r w:rsidRPr="00D75D7F">
        <w:rPr>
          <w:rFonts w:eastAsia="SimSun" w:cs="Times New Roman"/>
          <w:szCs w:val="20"/>
          <w:lang w:eastAsia="zh-CN"/>
        </w:rPr>
        <w:t>от 1 июня 2017 года в структуре Администрации Президента был создан Отдел по вопросам молодежи и спорта.</w:t>
      </w:r>
    </w:p>
    <w:p w14:paraId="2A09E131" w14:textId="3ECE48D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160.</w:t>
      </w:r>
      <w:r w:rsidRPr="00D75D7F">
        <w:rPr>
          <w:rFonts w:eastAsia="SimSun" w:cs="Times New Roman"/>
          <w:szCs w:val="20"/>
          <w:lang w:eastAsia="zh-CN"/>
        </w:rPr>
        <w:tab/>
        <w:t>Распоряжением Президента Азербайджанской Республики от 28 февраля</w:t>
      </w:r>
      <w:r w:rsidR="00482136">
        <w:rPr>
          <w:rFonts w:eastAsia="SimSun" w:cs="Times New Roman"/>
          <w:szCs w:val="20"/>
          <w:lang w:eastAsia="zh-CN"/>
        </w:rPr>
        <w:br/>
      </w:r>
      <w:r w:rsidRPr="00D75D7F">
        <w:rPr>
          <w:rFonts w:eastAsia="SimSun" w:cs="Times New Roman"/>
          <w:szCs w:val="20"/>
          <w:lang w:eastAsia="zh-CN"/>
        </w:rPr>
        <w:t>2022 года была утверждена Государственная программа обучения молодежи в престижных высших учебных заведениях зарубежных стран на 2022–2026 годы. Основной целью данной государственной программы является подготовка конкурентоспособных и высококвалифицированных специалистов, гибко осваивающих новые технологии, которые обеспечивают устойчивое развитие Азербайджана; накопление практических знаний и навыков; и удовлетворение требований современного и будущего рынка труда с созданием возможностей для обучения молодежи в престижных высших учебных заведениях зарубежных стран.</w:t>
      </w:r>
    </w:p>
    <w:p w14:paraId="5810F03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161.</w:t>
      </w:r>
      <w:r w:rsidRPr="00D75D7F">
        <w:rPr>
          <w:rFonts w:eastAsia="SimSun" w:cs="Times New Roman"/>
          <w:szCs w:val="20"/>
          <w:lang w:eastAsia="zh-CN"/>
        </w:rPr>
        <w:tab/>
        <w:t>В настоящее время в стране действует более 326 официально зарегистрированных молодежных общественных организаций.</w:t>
      </w:r>
    </w:p>
    <w:p w14:paraId="1CDC3889" w14:textId="6421472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162.</w:t>
      </w:r>
      <w:r w:rsidRPr="00D75D7F">
        <w:rPr>
          <w:rFonts w:eastAsia="SimSun" w:cs="Times New Roman"/>
          <w:szCs w:val="20"/>
          <w:lang w:eastAsia="zh-CN"/>
        </w:rPr>
        <w:tab/>
        <w:t>В 2007 году были приняты поправки к Закону Азербайджанской Республики</w:t>
      </w:r>
      <w:r w:rsidR="00482136">
        <w:rPr>
          <w:rFonts w:eastAsia="SimSun" w:cs="Times New Roman"/>
          <w:szCs w:val="20"/>
          <w:lang w:eastAsia="zh-CN"/>
        </w:rPr>
        <w:br/>
      </w:r>
      <w:r w:rsidRPr="00D75D7F">
        <w:rPr>
          <w:rFonts w:eastAsia="SimSun" w:cs="Times New Roman"/>
          <w:szCs w:val="20"/>
          <w:lang w:eastAsia="zh-CN"/>
        </w:rPr>
        <w:t>«О молодежной политике» 2002 года, в том числе поправка, касающаяся создания сети Домов молодежи. Согласно этому закону, в целях усиления патриотической работы среди молодежи, организации ее гармоничного развития и досуга и оказания ей правовой, информационной и психологической помощи создается сеть учреждений социального обслуживания, т.</w:t>
      </w:r>
      <w:r w:rsidR="00482136">
        <w:rPr>
          <w:rFonts w:eastAsia="SimSun" w:cs="Times New Roman"/>
          <w:szCs w:val="20"/>
          <w:lang w:val="fr-CH" w:eastAsia="zh-CN"/>
        </w:rPr>
        <w:t> </w:t>
      </w:r>
      <w:r w:rsidRPr="00D75D7F">
        <w:rPr>
          <w:rFonts w:eastAsia="SimSun" w:cs="Times New Roman"/>
          <w:szCs w:val="20"/>
          <w:lang w:eastAsia="zh-CN"/>
        </w:rPr>
        <w:t>е. Домов молодежи. В настоящее время при Министерстве молодежи и спорта действуют 33 Дома молодежи, в том числе 6 —</w:t>
      </w:r>
      <w:r w:rsidR="00482136">
        <w:rPr>
          <w:rFonts w:eastAsia="SimSun" w:cs="Times New Roman"/>
          <w:szCs w:val="20"/>
          <w:lang w:eastAsia="zh-CN"/>
        </w:rPr>
        <w:br/>
      </w:r>
      <w:r w:rsidRPr="00D75D7F">
        <w:rPr>
          <w:rFonts w:eastAsia="SimSun" w:cs="Times New Roman"/>
          <w:szCs w:val="20"/>
          <w:lang w:eastAsia="zh-CN"/>
        </w:rPr>
        <w:t>в Баку, а остальные — в других регионах страны.</w:t>
      </w:r>
    </w:p>
    <w:p w14:paraId="4771AF5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163.</w:t>
      </w:r>
      <w:r w:rsidRPr="00D75D7F">
        <w:rPr>
          <w:rFonts w:eastAsia="SimSun" w:cs="Times New Roman"/>
          <w:szCs w:val="20"/>
          <w:lang w:eastAsia="zh-CN"/>
        </w:rPr>
        <w:tab/>
        <w:t>Успешно проводимая в стране социально ориентированная политика создала возможности для решения проблем, связанных с развитием здравоохранения и защитой здоровья населения.</w:t>
      </w:r>
    </w:p>
    <w:p w14:paraId="6F60990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164.</w:t>
      </w:r>
      <w:r w:rsidRPr="00D75D7F">
        <w:rPr>
          <w:rFonts w:eastAsia="SimSun" w:cs="Times New Roman"/>
          <w:szCs w:val="20"/>
          <w:lang w:eastAsia="zh-CN"/>
        </w:rPr>
        <w:tab/>
        <w:t>В настоящее время принимаются меры по совершенствованию законодательства Азербайджанской Республики с целью обеспечения его соответствия потребностям населения и текущей ситуации в сфере здравоохранения. В декабре 2018 года было создано Объединение по управлению медицинскими территориальными подразделениями (ОУМТП) Азербайджана — государственный орган по управлению всеми медицинскими учреждениями на территории Республики, за исключением тех, которые остались в ведении Министерства здравоохранения Азербайджана.</w:t>
      </w:r>
    </w:p>
    <w:p w14:paraId="67DCC956" w14:textId="54F6C45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165.</w:t>
      </w:r>
      <w:r w:rsidRPr="00D75D7F">
        <w:rPr>
          <w:rFonts w:eastAsia="SimSun" w:cs="Times New Roman"/>
          <w:szCs w:val="20"/>
          <w:lang w:eastAsia="zh-CN"/>
        </w:rPr>
        <w:tab/>
        <w:t>В то же время на основании Указа Президента Азербайджанской Республики был принят документ «Азербайджан 2030: национальные приоритеты социально-экономического развития», в котором здоровый образ жизни населения был указан в качестве одного из ключевых столпов такого национального приоритета, как «Конкурентоспособный человеческий капитал и сферы современных инноваций».</w:t>
      </w:r>
      <w:r w:rsidR="00482136">
        <w:rPr>
          <w:rFonts w:eastAsia="SimSun" w:cs="Times New Roman"/>
          <w:szCs w:val="20"/>
          <w:lang w:eastAsia="zh-CN"/>
        </w:rPr>
        <w:br/>
      </w:r>
      <w:r w:rsidRPr="00D75D7F">
        <w:rPr>
          <w:rFonts w:eastAsia="SimSun" w:cs="Times New Roman"/>
          <w:szCs w:val="20"/>
          <w:lang w:eastAsia="zh-CN"/>
        </w:rPr>
        <w:t xml:space="preserve">В </w:t>
      </w:r>
      <w:r w:rsidRPr="00D75D7F">
        <w:rPr>
          <w:rFonts w:eastAsia="SimSun" w:cs="Times New Roman"/>
          <w:szCs w:val="20"/>
          <w:lang w:eastAsia="zh-CN"/>
        </w:rPr>
        <w:lastRenderedPageBreak/>
        <w:t>Стратегии социально-экономического развития Азербайджанской Республики на 2022–2026 годы особое внимание уделяется повышению доступности и качества медицинских услуг.</w:t>
      </w:r>
    </w:p>
    <w:p w14:paraId="1C24CFD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166.</w:t>
      </w:r>
      <w:r w:rsidRPr="00D75D7F">
        <w:rPr>
          <w:rFonts w:eastAsia="SimSun" w:cs="Times New Roman"/>
          <w:szCs w:val="20"/>
          <w:lang w:eastAsia="zh-CN"/>
        </w:rPr>
        <w:tab/>
        <w:t>В 2018–2022 годах в целях расширения объема оказываемых специализированных медицинских услуг были проведены строительные и капитальные ремонтные работы, и 25 медицинских учреждений в столице и других регионах страны были оснащены современным оборудованием и передовыми технологиями.</w:t>
      </w:r>
    </w:p>
    <w:p w14:paraId="4B47598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167.</w:t>
      </w:r>
      <w:r w:rsidRPr="00D75D7F">
        <w:rPr>
          <w:rFonts w:eastAsia="SimSun" w:cs="Times New Roman"/>
          <w:szCs w:val="20"/>
          <w:lang w:eastAsia="zh-CN"/>
        </w:rPr>
        <w:tab/>
        <w:t>В настоящее время принимаются меры по повышению качества и эффективности медицинских услуг в целях обеспечения доступности системы обязательного медицинского страхования и охраны здоровья для населения страны.</w:t>
      </w:r>
    </w:p>
    <w:p w14:paraId="0B418C3F" w14:textId="1FA8C83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168.</w:t>
      </w:r>
      <w:r w:rsidRPr="00D75D7F">
        <w:rPr>
          <w:rFonts w:eastAsia="SimSun" w:cs="Times New Roman"/>
          <w:szCs w:val="20"/>
          <w:lang w:eastAsia="zh-CN"/>
        </w:rPr>
        <w:tab/>
        <w:t>Обеспечивается постоянный рост средств, выделяемых на обязательное медицинское страхование (ОМС) населения. С 1 апреля 2021 года система обязательного медицинского страхования охватывает всю территорию страны.</w:t>
      </w:r>
      <w:r w:rsidR="00482136">
        <w:rPr>
          <w:rFonts w:eastAsia="SimSun" w:cs="Times New Roman"/>
          <w:szCs w:val="20"/>
          <w:lang w:eastAsia="zh-CN"/>
        </w:rPr>
        <w:br/>
      </w:r>
      <w:r w:rsidRPr="00D75D7F">
        <w:rPr>
          <w:rFonts w:eastAsia="SimSun" w:cs="Times New Roman"/>
          <w:szCs w:val="20"/>
          <w:lang w:eastAsia="zh-CN"/>
        </w:rPr>
        <w:t>По данным на декабрь 2022 года, в рамках системы ОМС населению оказывается</w:t>
      </w:r>
      <w:r w:rsidR="00482136">
        <w:rPr>
          <w:rFonts w:eastAsia="SimSun" w:cs="Times New Roman"/>
          <w:szCs w:val="20"/>
          <w:lang w:eastAsia="zh-CN"/>
        </w:rPr>
        <w:br/>
      </w:r>
      <w:r w:rsidRPr="00D75D7F">
        <w:rPr>
          <w:rFonts w:eastAsia="SimSun" w:cs="Times New Roman"/>
          <w:szCs w:val="20"/>
          <w:lang w:eastAsia="zh-CN"/>
        </w:rPr>
        <w:t>2550 видов медицинских услуг.</w:t>
      </w:r>
    </w:p>
    <w:p w14:paraId="6CAE135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169.</w:t>
      </w:r>
      <w:r w:rsidRPr="00D75D7F">
        <w:rPr>
          <w:rFonts w:eastAsia="SimSun" w:cs="Times New Roman"/>
          <w:szCs w:val="20"/>
          <w:lang w:eastAsia="zh-CN"/>
        </w:rPr>
        <w:tab/>
        <w:t>Услуги населению предоставляются в соответствии с пакетом услуг ОМС во всех учреждениях, находящихся в ведении ОУМТП.</w:t>
      </w:r>
    </w:p>
    <w:p w14:paraId="6D2800B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170.</w:t>
      </w:r>
      <w:r w:rsidRPr="00D75D7F">
        <w:rPr>
          <w:rFonts w:eastAsia="SimSun" w:cs="Times New Roman"/>
          <w:szCs w:val="20"/>
          <w:lang w:eastAsia="zh-CN"/>
        </w:rPr>
        <w:tab/>
        <w:t>В результате реализации государственных программ по приоритетным сферам здравоохранения, таким как сахарный диабет, наследственные заболевания крови, хроническая почечная недостаточность, туберкулез и иммунопрофилактика инфекционных заболеваний, повысилось качество медицинской помощи населению и уровень медицинского обслуживания и улучшилась профилактика болезней и выявляемость заболеваний на ранних стадиях.</w:t>
      </w:r>
    </w:p>
    <w:p w14:paraId="32B1254F" w14:textId="6ECE33F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171.</w:t>
      </w:r>
      <w:r w:rsidRPr="00D75D7F">
        <w:rPr>
          <w:rFonts w:eastAsia="SimSun" w:cs="Times New Roman"/>
          <w:szCs w:val="20"/>
          <w:lang w:eastAsia="zh-CN"/>
        </w:rPr>
        <w:tab/>
        <w:t xml:space="preserve">Государственные программы по охране здоровья матери и ребенка направлены на улучшение репродуктивного здоровья женщин и планирования семьи, выполнение задач по безопасному материнству, снижение заболеваемости, инвалидности и смертности среди детей, повышение качества перинатальных услуг и обеспечение своевременной генетической диагностики врожденной патологии во время беременности. За последние </w:t>
      </w:r>
      <w:r w:rsidR="00482136">
        <w:rPr>
          <w:rFonts w:eastAsia="SimSun" w:cs="Times New Roman"/>
          <w:szCs w:val="20"/>
          <w:lang w:eastAsia="zh-CN"/>
        </w:rPr>
        <w:t>пять</w:t>
      </w:r>
      <w:r w:rsidRPr="00D75D7F">
        <w:rPr>
          <w:rFonts w:eastAsia="SimSun" w:cs="Times New Roman"/>
          <w:szCs w:val="20"/>
          <w:lang w:eastAsia="zh-CN"/>
        </w:rPr>
        <w:t xml:space="preserve"> лет удалось добиться значительного снижения неонатальной смертности благодаря совершенствованию клинических протоколов по родовспоможению и уходу за новорожденными, организации более интенсивного образовательного процесса и обмена опытом с участием международных экспертов.</w:t>
      </w:r>
      <w:r w:rsidR="00482136">
        <w:rPr>
          <w:rFonts w:eastAsia="SimSun" w:cs="Times New Roman"/>
          <w:szCs w:val="20"/>
          <w:lang w:eastAsia="zh-CN"/>
        </w:rPr>
        <w:br/>
      </w:r>
      <w:r w:rsidRPr="00D75D7F">
        <w:rPr>
          <w:rFonts w:eastAsia="SimSun" w:cs="Times New Roman"/>
          <w:szCs w:val="20"/>
          <w:lang w:eastAsia="zh-CN"/>
        </w:rPr>
        <w:t>В результате принятых мер показатель младенческой смертности постоянно снижался и в 2022 году составил 7,8 на 1000 живорождений, а показатель материнской смертности — 14,7.</w:t>
      </w:r>
    </w:p>
    <w:p w14:paraId="50F108A9" w14:textId="562A18F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172.</w:t>
      </w:r>
      <w:r w:rsidRPr="00D75D7F">
        <w:rPr>
          <w:rFonts w:eastAsia="SimSun" w:cs="Times New Roman"/>
          <w:szCs w:val="20"/>
          <w:lang w:eastAsia="zh-CN"/>
        </w:rPr>
        <w:tab/>
        <w:t>Проект закона «Об охране репродуктивного здоровья и планировании семьи» был представлен в парламент Азербайджанской Республики. Наряду с этим вопросы, связанные с репродуктивным здоровьем, отражены в государственных программах «Здоровье матери и ребенка, 2014–2022 годы» и «Молодежь Азербайджана,</w:t>
      </w:r>
      <w:r w:rsidR="00482136">
        <w:rPr>
          <w:rFonts w:eastAsia="SimSun" w:cs="Times New Roman"/>
          <w:szCs w:val="20"/>
          <w:lang w:eastAsia="zh-CN"/>
        </w:rPr>
        <w:br/>
      </w:r>
      <w:r w:rsidRPr="00D75D7F">
        <w:rPr>
          <w:rFonts w:eastAsia="SimSun" w:cs="Times New Roman"/>
          <w:szCs w:val="20"/>
          <w:lang w:eastAsia="zh-CN"/>
        </w:rPr>
        <w:t>2017–2021 годы», а также в Национальной стратегии по репродуктивному здоровью на 2018</w:t>
      </w:r>
      <w:r w:rsidR="00482136" w:rsidRPr="00482136">
        <w:rPr>
          <w:rFonts w:eastAsia="SimSun" w:cs="Times New Roman"/>
          <w:szCs w:val="20"/>
          <w:lang w:eastAsia="zh-CN"/>
        </w:rPr>
        <w:t>‒</w:t>
      </w:r>
      <w:r w:rsidRPr="00D75D7F">
        <w:rPr>
          <w:rFonts w:eastAsia="SimSun" w:cs="Times New Roman"/>
          <w:szCs w:val="20"/>
          <w:lang w:eastAsia="zh-CN"/>
        </w:rPr>
        <w:t>2025 годы и Плане действий по предотвращению селективных абортов</w:t>
      </w:r>
      <w:r w:rsidR="00482136">
        <w:rPr>
          <w:rFonts w:eastAsia="SimSun" w:cs="Times New Roman"/>
          <w:szCs w:val="20"/>
          <w:lang w:eastAsia="zh-CN"/>
        </w:rPr>
        <w:br/>
      </w:r>
      <w:r w:rsidRPr="00D75D7F">
        <w:rPr>
          <w:rFonts w:eastAsia="SimSun" w:cs="Times New Roman"/>
          <w:szCs w:val="20"/>
          <w:lang w:eastAsia="zh-CN"/>
        </w:rPr>
        <w:t>по признаку пола на период 2020–2025 годов.</w:t>
      </w:r>
    </w:p>
    <w:p w14:paraId="49E627B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173.</w:t>
      </w:r>
      <w:r w:rsidRPr="00D75D7F">
        <w:rPr>
          <w:rFonts w:eastAsia="SimSun" w:cs="Times New Roman"/>
          <w:szCs w:val="20"/>
          <w:lang w:eastAsia="zh-CN"/>
        </w:rPr>
        <w:tab/>
        <w:t>В целях ускорения социально-экономического развития регионов, в том числе улучшения инфраструктуры и социальных услуг, Указом Президента от 29 января 2019 года была утверждена Государственная программа социально-экономического развития регионов Азербайджанской Республики на 2019−2023 годы. Кроме того, Распоряжением от 2 февраля 2021 года был утвержден документ «Азербайджан 2030: национальные приоритеты социально-экономического развития», в котором определены основные приоритеты развития страны на ближайшее будущее.</w:t>
      </w:r>
    </w:p>
    <w:p w14:paraId="1D8F708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174.</w:t>
      </w:r>
      <w:r w:rsidRPr="00D75D7F">
        <w:rPr>
          <w:rFonts w:eastAsia="SimSun" w:cs="Times New Roman"/>
          <w:szCs w:val="20"/>
          <w:lang w:eastAsia="zh-CN"/>
        </w:rPr>
        <w:tab/>
        <w:t xml:space="preserve">Стратегия социально-экономического развития Азербайджанской Республики на 2022–2026 годы, опирающаяся на вышеупомянутые национальные приоритеты и утвержденная Распоряжением Президента страны от 22 июля 2022 года, предусматривает ускорение темпов развития частного сектора, в том числе микро-, малых и средних предприятий, посредством установления новых и более </w:t>
      </w:r>
      <w:r w:rsidRPr="00D75D7F">
        <w:rPr>
          <w:rFonts w:eastAsia="SimSun" w:cs="Times New Roman"/>
          <w:szCs w:val="20"/>
          <w:lang w:eastAsia="zh-CN"/>
        </w:rPr>
        <w:lastRenderedPageBreak/>
        <w:t>эффективных стимулов и условий для развития, позволяющих повысить активность частных и иностранных инвесторов в экономике страны и расширить несырьевой экспорт. В связи с этим документом был определен соответствующий план действий.</w:t>
      </w:r>
    </w:p>
    <w:p w14:paraId="22DCAFF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175.</w:t>
      </w:r>
      <w:r w:rsidRPr="00D75D7F">
        <w:rPr>
          <w:rFonts w:eastAsia="SimSun" w:cs="Times New Roman"/>
          <w:szCs w:val="20"/>
          <w:lang w:eastAsia="zh-CN"/>
        </w:rPr>
        <w:tab/>
        <w:t>В целях осуществления Государственной программы социально-экономического развития регионов Азербайджанской Республики на 2019−2023 годы 7 июля 2021 года был подписан Указ Президента «О новом делении экономических районов в Азербайджанской Республике». Данным Указом было утверждено разделение страны на следующие экономические районы: Бакинский, Нахичеванский, Апшерон-Хызинский, Горно-Ширванский, Гянджа-Дашкесанский, Карабахский, Газах-Товузский, Губа-Хачмазский, Ленкорань-Астаринский, Центрально-Аранский, Миль-Муганский, Шеки-Загатальский, Восточно-Зангезурский и Ширван-Сальянский.</w:t>
      </w:r>
    </w:p>
    <w:p w14:paraId="0757E7DC" w14:textId="77777777" w:rsidR="00D75D7F" w:rsidRPr="00D75D7F" w:rsidRDefault="00D75D7F" w:rsidP="00482136">
      <w:pPr>
        <w:pStyle w:val="H1G"/>
      </w:pPr>
      <w:r w:rsidRPr="00D75D7F">
        <w:rPr>
          <w:rFonts w:eastAsia="Calibri"/>
        </w:rPr>
        <w:tab/>
      </w:r>
      <w:r w:rsidRPr="00D75D7F">
        <w:rPr>
          <w:rFonts w:eastAsia="Calibri"/>
          <w:lang w:val="en-GB"/>
        </w:rPr>
        <w:t>C</w:t>
      </w:r>
      <w:r w:rsidRPr="00D75D7F">
        <w:rPr>
          <w:rFonts w:eastAsia="Calibri"/>
        </w:rPr>
        <w:t>.</w:t>
      </w:r>
      <w:r w:rsidRPr="00D75D7F">
        <w:rPr>
          <w:rFonts w:eastAsia="Calibri"/>
        </w:rPr>
        <w:tab/>
      </w:r>
      <w:r w:rsidRPr="00D75D7F">
        <w:t>Рамки поощрения прав человека на национальном уровне</w:t>
      </w:r>
    </w:p>
    <w:p w14:paraId="526694D3" w14:textId="7A7AD19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176.</w:t>
      </w:r>
      <w:r w:rsidRPr="00D75D7F">
        <w:rPr>
          <w:rFonts w:eastAsia="SimSun" w:cs="Times New Roman"/>
          <w:szCs w:val="20"/>
          <w:lang w:eastAsia="zh-CN"/>
        </w:rPr>
        <w:tab/>
        <w:t>Распоряжением Президента Азербайджанской Республики от 27 декабря</w:t>
      </w:r>
      <w:r w:rsidR="00482136">
        <w:rPr>
          <w:rFonts w:eastAsia="SimSun" w:cs="Times New Roman"/>
          <w:szCs w:val="20"/>
          <w:lang w:eastAsia="zh-CN"/>
        </w:rPr>
        <w:br/>
      </w:r>
      <w:r w:rsidRPr="00D75D7F">
        <w:rPr>
          <w:rFonts w:eastAsia="SimSun" w:cs="Times New Roman"/>
          <w:szCs w:val="20"/>
          <w:lang w:eastAsia="zh-CN"/>
        </w:rPr>
        <w:t>2011 года была утверждена Национальная программа действий по повышению эффективности защиты прав и свобод человека в Азербайджанской Республике.</w:t>
      </w:r>
      <w:r w:rsidR="00482136">
        <w:rPr>
          <w:rFonts w:eastAsia="SimSun" w:cs="Times New Roman"/>
          <w:szCs w:val="20"/>
          <w:lang w:eastAsia="zh-CN"/>
        </w:rPr>
        <w:br/>
      </w:r>
      <w:r w:rsidRPr="00D75D7F">
        <w:rPr>
          <w:rFonts w:eastAsia="SimSun" w:cs="Times New Roman"/>
          <w:szCs w:val="20"/>
          <w:lang w:eastAsia="zh-CN"/>
        </w:rPr>
        <w:t>В рамках данной программы была проделана работа по усовершенствованию нормативно-правовой базы и деятельности государственных органов, защите прав различных групп населения и организации учебных, научных, аналитических и просветительских мероприятий в области прав человека.</w:t>
      </w:r>
    </w:p>
    <w:p w14:paraId="44683B71" w14:textId="0A16FF5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177.</w:t>
      </w:r>
      <w:r w:rsidRPr="00D75D7F">
        <w:rPr>
          <w:rFonts w:eastAsia="SimSun" w:cs="Times New Roman"/>
          <w:szCs w:val="20"/>
          <w:lang w:eastAsia="zh-CN"/>
        </w:rPr>
        <w:tab/>
        <w:t>В последние годы был принят ряд важных правовых актов, направленных на обеспечение конституционных прав и свобод граждан, среди которых можно отметить Законы «Об обращениях граждан», «Об общественном участии»,</w:t>
      </w:r>
      <w:r w:rsidR="00482136">
        <w:rPr>
          <w:rFonts w:eastAsia="SimSun" w:cs="Times New Roman"/>
          <w:szCs w:val="20"/>
          <w:lang w:eastAsia="zh-CN"/>
        </w:rPr>
        <w:br/>
      </w:r>
      <w:r w:rsidRPr="00D75D7F">
        <w:rPr>
          <w:rFonts w:eastAsia="SimSun" w:cs="Times New Roman"/>
          <w:szCs w:val="20"/>
          <w:lang w:eastAsia="zh-CN"/>
        </w:rPr>
        <w:t>«О регламентировании проверок, проводимых в области предпринимательства и защиты прав предпринимателей» и «Об обеспечении прав и свобод лиц, содержащихся в тюрьмах».</w:t>
      </w:r>
    </w:p>
    <w:p w14:paraId="6DBD4141" w14:textId="1B96421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178.</w:t>
      </w:r>
      <w:r w:rsidRPr="00D75D7F">
        <w:rPr>
          <w:rFonts w:eastAsia="SimSun" w:cs="Times New Roman"/>
          <w:szCs w:val="20"/>
          <w:lang w:eastAsia="zh-CN"/>
        </w:rPr>
        <w:tab/>
        <w:t>Распоряжением Президента Азербайджанской Республики от 4 апреля</w:t>
      </w:r>
      <w:r w:rsidR="00966548">
        <w:rPr>
          <w:rFonts w:eastAsia="SimSun" w:cs="Times New Roman"/>
          <w:szCs w:val="20"/>
          <w:lang w:eastAsia="zh-CN"/>
        </w:rPr>
        <w:br/>
      </w:r>
      <w:r w:rsidRPr="00D75D7F">
        <w:rPr>
          <w:rFonts w:eastAsia="SimSun" w:cs="Times New Roman"/>
          <w:szCs w:val="20"/>
          <w:lang w:eastAsia="zh-CN"/>
        </w:rPr>
        <w:t>2022 года был утвержден Национальный план действий по активизации борьбы с коррупцией на 2022–2026 годы. В нем указываются правила выявления, анализа и предотвращения коррупционных рисков в деятельности государственных органов и совершенствования законодательства в области оценки имущества, полученного преступным путем и подлежащего специальной конфискации, и управления им и законодательства в области поощрения и защиты лиц, сообщающих о коррупционных правонарушениях, а также ряд других подобных мер.</w:t>
      </w:r>
    </w:p>
    <w:p w14:paraId="107D4756" w14:textId="499B823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179.</w:t>
      </w:r>
      <w:r w:rsidRPr="00D75D7F">
        <w:rPr>
          <w:rFonts w:eastAsia="SimSun" w:cs="Times New Roman"/>
          <w:szCs w:val="20"/>
          <w:lang w:eastAsia="zh-CN"/>
        </w:rPr>
        <w:tab/>
        <w:t>30 декабря 2022 года была принята новая редакция Закона Азербайджанской Республики «О предотвращении легализации имущества, полученного преступным путем, и финансирования терроризма». Данный закон направлен на выявление и предотвращение актов легализации имущества, полученного преступным путем,</w:t>
      </w:r>
      <w:r w:rsidR="00966548">
        <w:rPr>
          <w:rFonts w:eastAsia="SimSun" w:cs="Times New Roman"/>
          <w:szCs w:val="20"/>
          <w:lang w:eastAsia="zh-CN"/>
        </w:rPr>
        <w:br/>
      </w:r>
      <w:r w:rsidRPr="00D75D7F">
        <w:rPr>
          <w:rFonts w:eastAsia="SimSun" w:cs="Times New Roman"/>
          <w:szCs w:val="20"/>
          <w:lang w:eastAsia="zh-CN"/>
        </w:rPr>
        <w:t>и финансирования терроризма, а также на создание условий, исключающих возможность использования экономической системы страны в противоправных целях; он также регулирует отношения по осуществлению эффективного внутреннего и международного сотрудничества для выполнения обязательств в этой области, вытекающих из международных договоров, стороной которых является Азербайджанская Республика, а также по защите интересов государства и общества.</w:t>
      </w:r>
    </w:p>
    <w:p w14:paraId="3126774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180.</w:t>
      </w:r>
      <w:r w:rsidRPr="00D75D7F">
        <w:rPr>
          <w:rFonts w:eastAsia="SimSun" w:cs="Times New Roman"/>
          <w:szCs w:val="20"/>
          <w:lang w:eastAsia="zh-CN"/>
        </w:rPr>
        <w:tab/>
        <w:t>В целях усиления борьбы с легализацией имущества, полученного преступным путем, и финансированием терроризма, а также обеспечения преемственности системных и комплексных мер, осуществляемых в этой сфере, Указом Президента Азербайджанской Республики от 28 февраля 2023 года был утвержден Национальный план действий по предотвращению легализации имущества, полученного преступным путем, и финансирования терроризма на 2023–2025 годы.</w:t>
      </w:r>
    </w:p>
    <w:p w14:paraId="2BBB7C45" w14:textId="3933971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181.</w:t>
      </w:r>
      <w:r w:rsidRPr="00D75D7F">
        <w:rPr>
          <w:rFonts w:eastAsia="SimSun" w:cs="Times New Roman"/>
          <w:szCs w:val="20"/>
          <w:lang w:eastAsia="zh-CN"/>
        </w:rPr>
        <w:tab/>
        <w:t>Для повышения эффективности предоставления гражданам высококачественных услуг с применением инновационных методов в 2012 году</w:t>
      </w:r>
      <w:r w:rsidR="00966548">
        <w:rPr>
          <w:rFonts w:eastAsia="SimSun" w:cs="Times New Roman"/>
          <w:szCs w:val="20"/>
          <w:lang w:eastAsia="zh-CN"/>
        </w:rPr>
        <w:br/>
      </w:r>
      <w:r w:rsidRPr="00D75D7F">
        <w:rPr>
          <w:rFonts w:eastAsia="SimSun" w:cs="Times New Roman"/>
          <w:szCs w:val="20"/>
          <w:lang w:eastAsia="zh-CN"/>
        </w:rPr>
        <w:t xml:space="preserve">было </w:t>
      </w:r>
      <w:r w:rsidRPr="00D75D7F">
        <w:rPr>
          <w:rFonts w:eastAsia="SimSun" w:cs="Times New Roman"/>
          <w:szCs w:val="20"/>
          <w:lang w:eastAsia="zh-CN"/>
        </w:rPr>
        <w:lastRenderedPageBreak/>
        <w:t>создано Государственное агентство по услугам гражданам и социальным инновациям (АСАН) при Президенте Азербайджанской Республики.</w:t>
      </w:r>
    </w:p>
    <w:p w14:paraId="529B3EDA" w14:textId="0B3915C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182.</w:t>
      </w:r>
      <w:r w:rsidRPr="00D75D7F">
        <w:rPr>
          <w:rFonts w:eastAsia="SimSun" w:cs="Times New Roman"/>
          <w:szCs w:val="20"/>
          <w:lang w:eastAsia="zh-CN"/>
        </w:rPr>
        <w:tab/>
        <w:t>Одним из символов инноваций в государственном управлении считается деятельность сервисной службы АСАН.</w:t>
      </w:r>
    </w:p>
    <w:p w14:paraId="28C71E98" w14:textId="5DEE410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183.</w:t>
      </w:r>
      <w:r w:rsidRPr="00D75D7F">
        <w:rPr>
          <w:rFonts w:eastAsia="SimSun" w:cs="Times New Roman"/>
          <w:szCs w:val="20"/>
          <w:lang w:eastAsia="zh-CN"/>
        </w:rPr>
        <w:tab/>
        <w:t>На сегодняшний день в Азербайджане существует 24 сервисных центра АСАН, которые предоставляют на основе концепции «единого окна» более 370 видов услуг со стороны как государственных, так и частных учреждений, используя в этой связи передовые инновации в сфере государственных услуг. С учетом того, что данная модель направлена на достижение максимальной степени удовлетворенности граждан, осуществляемая на ее основе деятельность напрямую способствует укреплению принципов прозрачности, подотчетности и эффективности. За последние четыре года в эти центры поступило более 60 млн просьб со стороны граждан. Кроме того,</w:t>
      </w:r>
      <w:r w:rsidR="00966548">
        <w:rPr>
          <w:rFonts w:eastAsia="SimSun" w:cs="Times New Roman"/>
          <w:szCs w:val="20"/>
          <w:lang w:eastAsia="zh-CN"/>
        </w:rPr>
        <w:br/>
      </w:r>
      <w:r w:rsidRPr="00D75D7F">
        <w:rPr>
          <w:rFonts w:eastAsia="SimSun" w:cs="Times New Roman"/>
          <w:szCs w:val="20"/>
          <w:lang w:eastAsia="zh-CN"/>
        </w:rPr>
        <w:t>в интересах обеспечения доступности государственных услуг для всех граждан, независимо от их местонахождения, была создана сеть, состоящая из 10 автобусов и одного поезда «Сервисная служба АСАН», для формирования мобильной системы предоставления услуг.</w:t>
      </w:r>
    </w:p>
    <w:p w14:paraId="79ED682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184.</w:t>
      </w:r>
      <w:r w:rsidRPr="00D75D7F">
        <w:rPr>
          <w:rFonts w:eastAsia="SimSun" w:cs="Times New Roman"/>
          <w:szCs w:val="20"/>
          <w:lang w:eastAsia="zh-CN"/>
        </w:rPr>
        <w:tab/>
        <w:t>В 2015 году Государственное агентство получило Премию ООН в области эффективных государственных услуг за свой проект «Сервисная служба АСАН». Кроме того, в 2019 году Государственному агентству была присуждена Специальная награда Организации Объединенных Наций за содействие цифровой трансформации сектора предоставления услуг.</w:t>
      </w:r>
    </w:p>
    <w:p w14:paraId="23C2D168" w14:textId="10F1837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185.</w:t>
      </w:r>
      <w:r w:rsidRPr="00D75D7F">
        <w:rPr>
          <w:rFonts w:eastAsia="SimSun" w:cs="Times New Roman"/>
          <w:szCs w:val="20"/>
          <w:lang w:eastAsia="zh-CN"/>
        </w:rPr>
        <w:tab/>
        <w:t>Агентство по устойчивому и оперативному социальному обеспечению (ДОСТ) было создано в соответствии с Указом Президента Азербайджанской Республики</w:t>
      </w:r>
      <w:r w:rsidR="00966548">
        <w:rPr>
          <w:rFonts w:eastAsia="SimSun" w:cs="Times New Roman"/>
          <w:szCs w:val="20"/>
          <w:lang w:eastAsia="zh-CN"/>
        </w:rPr>
        <w:br/>
      </w:r>
      <w:r w:rsidRPr="00D75D7F">
        <w:rPr>
          <w:rFonts w:eastAsia="SimSun" w:cs="Times New Roman"/>
          <w:szCs w:val="20"/>
          <w:lang w:eastAsia="zh-CN"/>
        </w:rPr>
        <w:t>«О дополнительных мерах по совершенствованию управления в сфере занятости, труда, социальной защиты и обеспечения населения» от 9 августа 2018 года с целью предоставления государственных социальных услуг на единой платформе через «единое окно», а также обеспечения полной прозрачности, удобства</w:t>
      </w:r>
      <w:r w:rsidR="00966548">
        <w:rPr>
          <w:rFonts w:eastAsia="SimSun" w:cs="Times New Roman"/>
          <w:szCs w:val="20"/>
          <w:lang w:eastAsia="zh-CN"/>
        </w:rPr>
        <w:br/>
      </w:r>
      <w:r w:rsidRPr="00D75D7F">
        <w:rPr>
          <w:rFonts w:eastAsia="SimSun" w:cs="Times New Roman"/>
          <w:szCs w:val="20"/>
          <w:lang w:eastAsia="zh-CN"/>
        </w:rPr>
        <w:t>и удовлетворенности населения социальными услугами. В соответствии</w:t>
      </w:r>
      <w:r w:rsidR="00966548">
        <w:rPr>
          <w:rFonts w:eastAsia="SimSun" w:cs="Times New Roman"/>
          <w:szCs w:val="20"/>
          <w:lang w:eastAsia="zh-CN"/>
        </w:rPr>
        <w:br/>
      </w:r>
      <w:r w:rsidRPr="00D75D7F">
        <w:rPr>
          <w:rFonts w:eastAsia="SimSun" w:cs="Times New Roman"/>
          <w:szCs w:val="20"/>
          <w:lang w:eastAsia="zh-CN"/>
        </w:rPr>
        <w:t>с утвержденным уставом Агентство управляет инфраструктурой ДОСТ и организацией процесса предоставления услуг в центрах ДОСТ в области занятости, труда, социальной защиты и обеспечения, а также в других сферах деятельности Министерства труда и социальной защиты населения Азербайджанской Республики. Агентство ДОСТ, действуя через свои центры по принципу «единого окна», обеспечивает административную связь между гражданами и соответствующими государственными учреждениями. Центры ДОСТ предоставляют 154 вида различных услуг (включая услуги Единых координационных центров) в 12 областях.</w:t>
      </w:r>
    </w:p>
    <w:p w14:paraId="03E83FDA" w14:textId="0920DEF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186.</w:t>
      </w:r>
      <w:r w:rsidRPr="00D75D7F">
        <w:rPr>
          <w:rFonts w:eastAsia="SimSun" w:cs="Times New Roman"/>
          <w:szCs w:val="20"/>
          <w:lang w:eastAsia="zh-CN"/>
        </w:rPr>
        <w:tab/>
        <w:t>Согласно принятым решениям, к 2026 году планируется создать</w:t>
      </w:r>
      <w:r w:rsidR="00966548">
        <w:rPr>
          <w:rFonts w:eastAsia="SimSun" w:cs="Times New Roman"/>
          <w:szCs w:val="20"/>
          <w:lang w:eastAsia="zh-CN"/>
        </w:rPr>
        <w:br/>
      </w:r>
      <w:r w:rsidRPr="00D75D7F">
        <w:rPr>
          <w:rFonts w:eastAsia="SimSun" w:cs="Times New Roman"/>
          <w:szCs w:val="20"/>
          <w:lang w:eastAsia="zh-CN"/>
        </w:rPr>
        <w:t>17 региональных центров ДОСТ и 55 районных филиалов, в том числе открыть специальный центр ДОСТ в городе Шуша. Таким образом, услуги ДОСТ будут охватывать всю территорию Азербайджана и будут доступны всему населению страны. В настоящее время для регулирования потока посетителей центров ДОСТ гражданам предоставляется техническая возможность предварительной записи в режиме онлайн, лицам с инвалидностью оказываются услуги по месту жительства с помощью мобильных бригад и для людей с нарушениями слуха и речи обеспечивается сурдоперевод.</w:t>
      </w:r>
    </w:p>
    <w:p w14:paraId="7FE64317" w14:textId="0F089EC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187.</w:t>
      </w:r>
      <w:r w:rsidRPr="00D75D7F">
        <w:rPr>
          <w:rFonts w:eastAsia="SimSun" w:cs="Times New Roman"/>
          <w:szCs w:val="20"/>
          <w:lang w:eastAsia="zh-CN"/>
        </w:rPr>
        <w:tab/>
        <w:t xml:space="preserve">На сегодняшний день в Баку и Апшеронском районе создано 6 центров ДОСТ, услугами которых уже воспользовались около полутора миллионов граждан страны. В селе Агалы Зангеланского района в рамках программы ДОСТ «Карабах и Восточный Зангезур» был открыт первый пункт обслуживания «Смарт ДОСТ». Согласно информации за 2022 год, услугами, оказанными в центрах за период их работы, воспользовались 1 269 442 человека. Согласно информации за </w:t>
      </w:r>
      <w:r w:rsidRPr="00D75D7F">
        <w:rPr>
          <w:rFonts w:eastAsia="SimSun" w:cs="Times New Roman"/>
          <w:szCs w:val="20"/>
          <w:lang w:val="en-GB" w:eastAsia="zh-CN"/>
        </w:rPr>
        <w:t>I</w:t>
      </w:r>
      <w:r w:rsidRPr="00D75D7F">
        <w:rPr>
          <w:rFonts w:eastAsia="SimSun" w:cs="Times New Roman"/>
          <w:szCs w:val="20"/>
          <w:lang w:eastAsia="zh-CN"/>
        </w:rPr>
        <w:t xml:space="preserve"> квартал 2023 года, этот показатель уже превысил 1,4 м</w:t>
      </w:r>
      <w:r w:rsidR="00966548">
        <w:rPr>
          <w:rFonts w:eastAsia="SimSun" w:cs="Times New Roman"/>
          <w:szCs w:val="20"/>
          <w:lang w:eastAsia="zh-CN"/>
        </w:rPr>
        <w:t>лн</w:t>
      </w:r>
      <w:r w:rsidRPr="00D75D7F">
        <w:rPr>
          <w:rFonts w:eastAsia="SimSun" w:cs="Times New Roman"/>
          <w:szCs w:val="20"/>
          <w:lang w:eastAsia="zh-CN"/>
        </w:rPr>
        <w:t xml:space="preserve"> человек (1</w:t>
      </w:r>
      <w:r w:rsidR="00966548">
        <w:rPr>
          <w:rFonts w:eastAsia="SimSun" w:cs="Times New Roman"/>
          <w:szCs w:val="20"/>
          <w:lang w:eastAsia="zh-CN"/>
        </w:rPr>
        <w:t> </w:t>
      </w:r>
      <w:r w:rsidRPr="00D75D7F">
        <w:rPr>
          <w:rFonts w:eastAsia="SimSun" w:cs="Times New Roman"/>
          <w:szCs w:val="20"/>
          <w:lang w:eastAsia="zh-CN"/>
        </w:rPr>
        <w:t>450</w:t>
      </w:r>
      <w:r w:rsidR="00966548">
        <w:rPr>
          <w:rFonts w:eastAsia="SimSun" w:cs="Times New Roman"/>
          <w:szCs w:val="20"/>
          <w:lang w:eastAsia="zh-CN"/>
        </w:rPr>
        <w:t> </w:t>
      </w:r>
      <w:r w:rsidRPr="00D75D7F">
        <w:rPr>
          <w:rFonts w:eastAsia="SimSun" w:cs="Times New Roman"/>
          <w:szCs w:val="20"/>
          <w:lang w:eastAsia="zh-CN"/>
        </w:rPr>
        <w:t xml:space="preserve">799 человек). На момент представления настоящего доклада степень удовлетворенности граждан услугами центров ДОСТ составила 98,5 %. В структуре Агентства ДОСТ действует Центр телефонного обслуживания «142», который бесплатно принимает звонки с мобильных и стационарных телефонов по всей стране. За прошедший период было принято около </w:t>
      </w:r>
      <w:r w:rsidRPr="00D75D7F">
        <w:rPr>
          <w:rFonts w:eastAsia="SimSun" w:cs="Times New Roman"/>
          <w:szCs w:val="20"/>
          <w:lang w:eastAsia="zh-CN"/>
        </w:rPr>
        <w:lastRenderedPageBreak/>
        <w:t>четырех миллионов звонков. Согласно результатам опросов, степень удовлетворенности граждан услугами Центра телефонного обслуживания «142» составляет 93 %.</w:t>
      </w:r>
    </w:p>
    <w:p w14:paraId="3FA8D2B3" w14:textId="7C76389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188.</w:t>
      </w:r>
      <w:r w:rsidRPr="00D75D7F">
        <w:rPr>
          <w:rFonts w:eastAsia="SimSun" w:cs="Times New Roman"/>
          <w:szCs w:val="20"/>
          <w:lang w:eastAsia="zh-CN"/>
        </w:rPr>
        <w:tab/>
        <w:t>Услуги ДОСТ приведены в соответствие с передовой международной практикой и существующими международными стандартами. В 2021 году Агентство приступило к внедрению «Комплексной системы управления», применяемой в соответствии со стандартами Международной организации по стандартизации (ИСО). По результатам международного аудита, проведенного с декабря 2021 по февраль</w:t>
      </w:r>
      <w:r w:rsidR="00966548">
        <w:rPr>
          <w:rFonts w:eastAsia="SimSun" w:cs="Times New Roman"/>
          <w:szCs w:val="20"/>
          <w:lang w:eastAsia="zh-CN"/>
        </w:rPr>
        <w:br/>
      </w:r>
      <w:r w:rsidRPr="00D75D7F">
        <w:rPr>
          <w:rFonts w:eastAsia="SimSun" w:cs="Times New Roman"/>
          <w:szCs w:val="20"/>
          <w:lang w:eastAsia="zh-CN"/>
        </w:rPr>
        <w:t>2022 года, Агентство получило сертификаты, подтверждающие соответствие Системе менеджмента качества (ИСО 9001:2015), Системе управления удовлетворенностью и жалобами потребителей (ИСО 10002:2018), Руководству по социальной ответственности (ИСО 26000:2010), Системе менеджмента противодействия коррупции (ИСО 37001:2016).</w:t>
      </w:r>
    </w:p>
    <w:p w14:paraId="4AA7F4EB" w14:textId="69E0DBA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189.</w:t>
      </w:r>
      <w:r w:rsidRPr="00D75D7F">
        <w:rPr>
          <w:rFonts w:eastAsia="SimSun" w:cs="Times New Roman"/>
          <w:szCs w:val="20"/>
          <w:lang w:eastAsia="zh-CN"/>
        </w:rPr>
        <w:tab/>
        <w:t>В целях своего развития и международного признания Агентство ДОСТ осуществляет тесное сотрудничество с Фондом Организации Объединенных Наций в области народонаселения, Программой развития Организации Объединенных Наций, Европейской социальной сетью, Международной ассоциацией социального обеспечения и другими международными платформами. В знак признания уровня организации процесса предоставления услуг в апреле 2022 года Агентство ДОСТ получило награду Европейской социальной сети (</w:t>
      </w:r>
      <w:r w:rsidRPr="00D75D7F">
        <w:rPr>
          <w:rFonts w:eastAsia="SimSun" w:cs="Times New Roman"/>
          <w:szCs w:val="20"/>
          <w:lang w:val="en-GB" w:eastAsia="zh-CN"/>
        </w:rPr>
        <w:t>ESSA</w:t>
      </w:r>
      <w:r w:rsidRPr="00D75D7F">
        <w:rPr>
          <w:rFonts w:eastAsia="SimSun" w:cs="Times New Roman"/>
          <w:szCs w:val="20"/>
          <w:lang w:eastAsia="zh-CN"/>
        </w:rPr>
        <w:t>2021) в категории «Технологический инструмент», а проект «Добровольческая программа ДОСТ» был объявлен финалистом в категории «Выдающаяся команда». В мае 2022 года Международная ассоциация социального обеспечения (МАСО) наградила</w:t>
      </w:r>
      <w:r w:rsidR="00966548">
        <w:rPr>
          <w:rFonts w:eastAsia="SimSun" w:cs="Times New Roman"/>
          <w:szCs w:val="20"/>
          <w:lang w:eastAsia="zh-CN"/>
        </w:rPr>
        <w:br/>
      </w:r>
      <w:r w:rsidRPr="00D75D7F">
        <w:rPr>
          <w:rFonts w:eastAsia="SimSun" w:cs="Times New Roman"/>
          <w:szCs w:val="20"/>
          <w:lang w:eastAsia="zh-CN"/>
        </w:rPr>
        <w:t>два приложения ДОСТ — «За жизнь с достоинством и равными правами» и «Система мониторинга удовлетворенности граждан» — сертификатами качества, а проект «ДОСТ: социальная защита для 65+» получил сертификат и был представлен на Ежегодном форуме этой организации. В августе 2022 года за успешное завершение Программы признания качества услуг МАСО Агентство ДОСТ было награждено сертификатом качества МАСО в категории «Управление социальным</w:t>
      </w:r>
      <w:r w:rsidR="00966548">
        <w:rPr>
          <w:rFonts w:eastAsia="SimSun" w:cs="Times New Roman"/>
          <w:szCs w:val="20"/>
          <w:lang w:eastAsia="zh-CN"/>
        </w:rPr>
        <w:br/>
      </w:r>
      <w:r w:rsidRPr="00D75D7F">
        <w:rPr>
          <w:rFonts w:eastAsia="SimSun" w:cs="Times New Roman"/>
          <w:szCs w:val="20"/>
          <w:lang w:eastAsia="zh-CN"/>
        </w:rPr>
        <w:t>обеспечением — 2022 год».</w:t>
      </w:r>
    </w:p>
    <w:p w14:paraId="286BB7AF" w14:textId="1D03BD9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190.</w:t>
      </w:r>
      <w:r w:rsidRPr="00D75D7F">
        <w:rPr>
          <w:rFonts w:eastAsia="SimSun" w:cs="Times New Roman"/>
          <w:szCs w:val="20"/>
          <w:lang w:eastAsia="zh-CN"/>
        </w:rPr>
        <w:tab/>
        <w:t>С целью защиты прав человека и обеспечения граждан системой эффективного и конструктивного использования услуг государственных органов в стране был создан портал электронного правительства. Одной из основных целей создания этого портала является защита прав и свобод человека, борьба с коррупцией и обеспечение прозрачности. Портал электронного правительства (</w:t>
      </w:r>
      <w:hyperlink r:id="rId8" w:history="1">
        <w:r w:rsidR="00966548" w:rsidRPr="00D75D7F">
          <w:rPr>
            <w:rStyle w:val="af1"/>
            <w:rFonts w:eastAsia="SimSun" w:cs="Times New Roman"/>
            <w:szCs w:val="20"/>
            <w:lang w:val="en-GB" w:eastAsia="zh-CN"/>
          </w:rPr>
          <w:t>www</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e</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gov</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az</w:t>
        </w:r>
      </w:hyperlink>
      <w:r w:rsidRPr="00D75D7F">
        <w:rPr>
          <w:rFonts w:eastAsia="SimSun" w:cs="Times New Roman"/>
          <w:szCs w:val="20"/>
          <w:lang w:eastAsia="zh-CN"/>
        </w:rPr>
        <w:t>) упрощает обмен соответствующей информацией с государственными органами и органами власти</w:t>
      </w:r>
      <w:r w:rsidR="00966548">
        <w:rPr>
          <w:rFonts w:eastAsia="SimSun" w:cs="Times New Roman"/>
          <w:szCs w:val="20"/>
          <w:lang w:eastAsia="zh-CN"/>
        </w:rPr>
        <w:br/>
      </w:r>
      <w:r w:rsidRPr="00D75D7F">
        <w:rPr>
          <w:rFonts w:eastAsia="SimSun" w:cs="Times New Roman"/>
          <w:szCs w:val="20"/>
          <w:lang w:eastAsia="zh-CN"/>
        </w:rPr>
        <w:t>на основе принципа «единого окна».</w:t>
      </w:r>
    </w:p>
    <w:p w14:paraId="47728605" w14:textId="6A26732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191.</w:t>
      </w:r>
      <w:r w:rsidRPr="00D75D7F">
        <w:rPr>
          <w:rFonts w:eastAsia="SimSun" w:cs="Times New Roman"/>
          <w:szCs w:val="20"/>
          <w:lang w:eastAsia="zh-CN"/>
        </w:rPr>
        <w:tab/>
        <w:t>Согласно Указу Президента Азербайджанской Республики от 22 ноября</w:t>
      </w:r>
      <w:r w:rsidR="00966548">
        <w:rPr>
          <w:rFonts w:eastAsia="SimSun" w:cs="Times New Roman"/>
          <w:szCs w:val="20"/>
          <w:lang w:eastAsia="zh-CN"/>
        </w:rPr>
        <w:br/>
      </w:r>
      <w:r w:rsidRPr="00D75D7F">
        <w:rPr>
          <w:rFonts w:eastAsia="SimSun" w:cs="Times New Roman"/>
          <w:szCs w:val="20"/>
          <w:lang w:eastAsia="zh-CN"/>
        </w:rPr>
        <w:t>2022 года, полномочия, связанные с реализацией государственной политики и регулирования в сфере электронного государственного управления, были возложены на Министерство цифрового развития и транспорта. Центр развития электронного правительства, который ранее был создан при Государственном агентстве по услугам гражданам и социальным инновациям, был объединен с Агентством инноваций и цифрового развития при вышеуказанном министерстве.</w:t>
      </w:r>
    </w:p>
    <w:p w14:paraId="0F8C58AB" w14:textId="2B9C0E4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192.</w:t>
      </w:r>
      <w:r w:rsidRPr="00D75D7F">
        <w:rPr>
          <w:rFonts w:eastAsia="SimSun" w:cs="Times New Roman"/>
          <w:szCs w:val="20"/>
          <w:lang w:eastAsia="zh-CN"/>
        </w:rPr>
        <w:tab/>
        <w:t>С целью обеспечения перехода от реактивного к проактивному электронному правительству, облегчения работы граждан посредством использования электронных услуг и обеспечения прозрачности и эффективности был создан портал «</w:t>
      </w:r>
      <w:r w:rsidRPr="00D75D7F">
        <w:rPr>
          <w:rFonts w:eastAsia="SimSun" w:cs="Times New Roman"/>
          <w:szCs w:val="20"/>
          <w:lang w:val="en-GB" w:eastAsia="zh-CN"/>
        </w:rPr>
        <w:t>myGov</w:t>
      </w:r>
      <w:r w:rsidRPr="00D75D7F">
        <w:rPr>
          <w:rFonts w:eastAsia="SimSun" w:cs="Times New Roman"/>
          <w:szCs w:val="20"/>
          <w:lang w:eastAsia="zh-CN"/>
        </w:rPr>
        <w:t>» (</w:t>
      </w:r>
      <w:hyperlink r:id="rId9" w:history="1">
        <w:r w:rsidR="00966548" w:rsidRPr="00D75D7F">
          <w:rPr>
            <w:rStyle w:val="af1"/>
            <w:rFonts w:eastAsia="SimSun" w:cs="Times New Roman"/>
            <w:szCs w:val="20"/>
            <w:lang w:val="en-GB" w:eastAsia="zh-CN"/>
          </w:rPr>
          <w:t>www</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my</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gov</w:t>
        </w:r>
        <w:r w:rsidR="00966548" w:rsidRPr="00D75D7F">
          <w:rPr>
            <w:rStyle w:val="af1"/>
            <w:rFonts w:eastAsia="SimSun" w:cs="Times New Roman"/>
            <w:szCs w:val="20"/>
            <w:lang w:eastAsia="zh-CN"/>
          </w:rPr>
          <w:t>.</w:t>
        </w:r>
        <w:r w:rsidR="00966548" w:rsidRPr="00D75D7F">
          <w:rPr>
            <w:rStyle w:val="af1"/>
            <w:rFonts w:eastAsia="SimSun" w:cs="Times New Roman"/>
            <w:szCs w:val="20"/>
            <w:lang w:val="en-GB" w:eastAsia="zh-CN"/>
          </w:rPr>
          <w:t>az</w:t>
        </w:r>
      </w:hyperlink>
      <w:r w:rsidRPr="00D75D7F">
        <w:rPr>
          <w:rFonts w:eastAsia="SimSun" w:cs="Times New Roman"/>
          <w:szCs w:val="20"/>
          <w:lang w:eastAsia="zh-CN"/>
        </w:rPr>
        <w:t>). Посредством портала «</w:t>
      </w:r>
      <w:r w:rsidRPr="00D75D7F">
        <w:rPr>
          <w:rFonts w:eastAsia="SimSun" w:cs="Times New Roman"/>
          <w:szCs w:val="20"/>
          <w:lang w:val="en-GB" w:eastAsia="zh-CN"/>
        </w:rPr>
        <w:t>myGov</w:t>
      </w:r>
      <w:r w:rsidRPr="00D75D7F">
        <w:rPr>
          <w:rFonts w:eastAsia="SimSun" w:cs="Times New Roman"/>
          <w:szCs w:val="20"/>
          <w:lang w:eastAsia="zh-CN"/>
        </w:rPr>
        <w:t>» граждане имеют возможность найти информацию, предоставляемую государственными органами, проверить ее точность, обратиться в электронном виде за услугами, получить электронные справки и другие документы и регулировать процесс передачи информации в другие учреждения.</w:t>
      </w:r>
    </w:p>
    <w:p w14:paraId="16324C59" w14:textId="2EE10FC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193.</w:t>
      </w:r>
      <w:r w:rsidRPr="00D75D7F">
        <w:rPr>
          <w:rFonts w:eastAsia="SimSun" w:cs="Times New Roman"/>
          <w:szCs w:val="20"/>
          <w:lang w:eastAsia="zh-CN"/>
        </w:rPr>
        <w:tab/>
        <w:t>Для обеспечения доступности, использования и возможного распространения общественной информации для граждан, стартапов и специалистов в области информационных технологий в Азербайджане был создан и с 2015 года функционирует портал «</w:t>
      </w:r>
      <w:r w:rsidRPr="00D75D7F">
        <w:rPr>
          <w:rFonts w:eastAsia="SimSun" w:cs="Times New Roman"/>
          <w:szCs w:val="20"/>
          <w:lang w:val="en-GB" w:eastAsia="zh-CN"/>
        </w:rPr>
        <w:t>opendata</w:t>
      </w:r>
      <w:r w:rsidRPr="00D75D7F">
        <w:rPr>
          <w:rFonts w:eastAsia="SimSun" w:cs="Times New Roman"/>
          <w:szCs w:val="20"/>
          <w:lang w:eastAsia="zh-CN"/>
        </w:rPr>
        <w:t>.</w:t>
      </w:r>
      <w:r w:rsidRPr="00D75D7F">
        <w:rPr>
          <w:rFonts w:eastAsia="SimSun" w:cs="Times New Roman"/>
          <w:szCs w:val="20"/>
          <w:lang w:val="en-GB" w:eastAsia="zh-CN"/>
        </w:rPr>
        <w:t>az</w:t>
      </w:r>
      <w:r w:rsidRPr="00D75D7F">
        <w:rPr>
          <w:rFonts w:eastAsia="SimSun" w:cs="Times New Roman"/>
          <w:szCs w:val="20"/>
          <w:lang w:eastAsia="zh-CN"/>
        </w:rPr>
        <w:t xml:space="preserve">» — «Открытые данные», на котором размещена </w:t>
      </w:r>
      <w:r w:rsidRPr="00D75D7F">
        <w:rPr>
          <w:rFonts w:eastAsia="SimSun" w:cs="Times New Roman"/>
          <w:szCs w:val="20"/>
          <w:lang w:eastAsia="zh-CN"/>
        </w:rPr>
        <w:lastRenderedPageBreak/>
        <w:t>информация о соответствующих услугах по «открытым данным» тех или иных учреждений.</w:t>
      </w:r>
    </w:p>
    <w:p w14:paraId="22A7BCF6" w14:textId="7D7F1B81"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194.</w:t>
      </w:r>
      <w:r w:rsidRPr="00D75D7F">
        <w:rPr>
          <w:rFonts w:eastAsia="SimSun" w:cs="Times New Roman"/>
          <w:szCs w:val="20"/>
          <w:lang w:eastAsia="zh-CN"/>
        </w:rPr>
        <w:tab/>
        <w:t xml:space="preserve">С 2022 года физические и юридические лица могут использовать электронную подпись нового поколения — </w:t>
      </w:r>
      <w:r w:rsidRPr="00D75D7F">
        <w:rPr>
          <w:rFonts w:eastAsia="SimSun" w:cs="Times New Roman"/>
          <w:szCs w:val="20"/>
          <w:lang w:val="en-GB" w:eastAsia="zh-CN"/>
        </w:rPr>
        <w:t>SIMA</w:t>
      </w:r>
      <w:r w:rsidRPr="00D75D7F">
        <w:rPr>
          <w:rFonts w:eastAsia="SimSun" w:cs="Times New Roman"/>
          <w:szCs w:val="20"/>
          <w:lang w:eastAsia="zh-CN"/>
        </w:rPr>
        <w:t xml:space="preserve">, основанную на облачных технологиях, сертификате открытого ключа и технологиях доступа. Электронная подпись </w:t>
      </w:r>
      <w:r w:rsidRPr="00D75D7F">
        <w:rPr>
          <w:rFonts w:eastAsia="SimSun" w:cs="Times New Roman"/>
          <w:szCs w:val="20"/>
          <w:lang w:val="en-GB" w:eastAsia="zh-CN"/>
        </w:rPr>
        <w:t>SIMA</w:t>
      </w:r>
      <w:r w:rsidRPr="00D75D7F">
        <w:rPr>
          <w:rFonts w:eastAsia="SimSun" w:cs="Times New Roman"/>
          <w:szCs w:val="20"/>
          <w:lang w:eastAsia="zh-CN"/>
        </w:rPr>
        <w:t xml:space="preserve"> на базе мобильного приложения бесплатна для граждан и делает получение электронных услуг более удобным из любого места и в любое время без необходимости использования дополнительных инструментов. Более 200</w:t>
      </w:r>
      <w:r w:rsidR="00966548">
        <w:rPr>
          <w:rFonts w:eastAsia="SimSun" w:cs="Times New Roman"/>
          <w:szCs w:val="20"/>
          <w:lang w:eastAsia="zh-CN"/>
        </w:rPr>
        <w:t> </w:t>
      </w:r>
      <w:r w:rsidRPr="00D75D7F">
        <w:rPr>
          <w:rFonts w:eastAsia="SimSun" w:cs="Times New Roman"/>
          <w:szCs w:val="20"/>
          <w:lang w:eastAsia="zh-CN"/>
        </w:rPr>
        <w:t xml:space="preserve">000 пользователей, загрузивших мобильное приложение </w:t>
      </w:r>
      <w:r w:rsidRPr="00D75D7F">
        <w:rPr>
          <w:rFonts w:eastAsia="SimSun" w:cs="Times New Roman"/>
          <w:szCs w:val="20"/>
          <w:lang w:val="en-GB" w:eastAsia="zh-CN"/>
        </w:rPr>
        <w:t>SIMA</w:t>
      </w:r>
      <w:r w:rsidRPr="00D75D7F">
        <w:rPr>
          <w:rFonts w:eastAsia="SimSun" w:cs="Times New Roman"/>
          <w:szCs w:val="20"/>
          <w:lang w:eastAsia="zh-CN"/>
        </w:rPr>
        <w:t>, могут воспользоваться более чем</w:t>
      </w:r>
      <w:r w:rsidR="00966548">
        <w:rPr>
          <w:rFonts w:eastAsia="SimSun" w:cs="Times New Roman"/>
          <w:szCs w:val="20"/>
          <w:lang w:eastAsia="zh-CN"/>
        </w:rPr>
        <w:br/>
      </w:r>
      <w:r w:rsidRPr="00D75D7F">
        <w:rPr>
          <w:rFonts w:eastAsia="SimSun" w:cs="Times New Roman"/>
          <w:szCs w:val="20"/>
          <w:lang w:eastAsia="zh-CN"/>
        </w:rPr>
        <w:t>100 видами различных услуг государственных и частных учреждений.</w:t>
      </w:r>
    </w:p>
    <w:p w14:paraId="1808FFE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195.</w:t>
      </w:r>
      <w:r w:rsidRPr="00D75D7F">
        <w:rPr>
          <w:rFonts w:eastAsia="SimSun" w:cs="Times New Roman"/>
          <w:szCs w:val="20"/>
          <w:lang w:eastAsia="zh-CN"/>
        </w:rPr>
        <w:tab/>
        <w:t>Еще одно важное нововведение связано с созданием «Электронной прокуратуры». Эта информационная система призвана обеспечить использование современных информационно-коммуникационных технологий в деятельности Прокуратуры Азербайджанской Республики. Создание информационной системы «Электронная прокуратура» было предусмотрено Указом Президента Азербайджанской Республики от 7 мая 2021 года.</w:t>
      </w:r>
    </w:p>
    <w:p w14:paraId="2C4E5F9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196.</w:t>
      </w:r>
      <w:r w:rsidRPr="00D75D7F">
        <w:rPr>
          <w:rFonts w:eastAsia="SimSun" w:cs="Times New Roman"/>
          <w:szCs w:val="20"/>
          <w:lang w:eastAsia="zh-CN"/>
        </w:rPr>
        <w:tab/>
        <w:t>Расширился спектр электронных услуг, предоставляемых гражданам судебными органами: появились такие новые услуги, как направление ответов на электронные запросы на определение статуса рассмотрения обращений физических и юридических лиц, предоставление сведений о муниципальных образованиях и препровождение информации физическим и юридическим лицам о принятых решениях, а также электронные услуги в сфере государственной регистрации актов гражданского состояния.</w:t>
      </w:r>
    </w:p>
    <w:p w14:paraId="55B6FF4C" w14:textId="104F14A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197.</w:t>
      </w:r>
      <w:r w:rsidRPr="00D75D7F">
        <w:rPr>
          <w:rFonts w:eastAsia="SimSun" w:cs="Times New Roman"/>
          <w:szCs w:val="20"/>
          <w:lang w:eastAsia="zh-CN"/>
        </w:rPr>
        <w:tab/>
        <w:t>Особое значение имеет организация услуг мобильной связи в сфере правосудия. Помимо усовершенствования мобильных приложений, таких как «Мобильный суд», «Мобильный нотариус», недавно было запущено приложение «Мобильное население». С помощью этого приложения можно получить документы, связанные с регистрацией рождения и смерти, информацию о членах семьи и статусе гражданства и т.</w:t>
      </w:r>
      <w:r w:rsidR="00966548">
        <w:rPr>
          <w:rFonts w:eastAsia="SimSun" w:cs="Times New Roman"/>
          <w:szCs w:val="20"/>
          <w:lang w:eastAsia="zh-CN"/>
        </w:rPr>
        <w:t> </w:t>
      </w:r>
      <w:r w:rsidRPr="00D75D7F">
        <w:rPr>
          <w:rFonts w:eastAsia="SimSun" w:cs="Times New Roman"/>
          <w:szCs w:val="20"/>
          <w:lang w:eastAsia="zh-CN"/>
        </w:rPr>
        <w:t>д.</w:t>
      </w:r>
    </w:p>
    <w:p w14:paraId="686CEAB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198.</w:t>
      </w:r>
      <w:r w:rsidRPr="00D75D7F">
        <w:rPr>
          <w:rFonts w:eastAsia="SimSun" w:cs="Times New Roman"/>
          <w:szCs w:val="20"/>
          <w:lang w:eastAsia="zh-CN"/>
        </w:rPr>
        <w:tab/>
        <w:t>Была также разработана новая версия информационного ресурса «Электронная база данных законодательных актов (</w:t>
      </w:r>
      <w:r w:rsidRPr="00D75D7F">
        <w:rPr>
          <w:rFonts w:eastAsia="SimSun" w:cs="Times New Roman"/>
          <w:szCs w:val="20"/>
          <w:lang w:val="en-GB" w:eastAsia="zh-CN"/>
        </w:rPr>
        <w:t>e</w:t>
      </w:r>
      <w:r w:rsidRPr="00D75D7F">
        <w:rPr>
          <w:rFonts w:eastAsia="SimSun" w:cs="Times New Roman"/>
          <w:szCs w:val="20"/>
          <w:lang w:eastAsia="zh-CN"/>
        </w:rPr>
        <w:t>-</w:t>
      </w:r>
      <w:r w:rsidRPr="00D75D7F">
        <w:rPr>
          <w:rFonts w:eastAsia="SimSun" w:cs="Times New Roman"/>
          <w:szCs w:val="20"/>
          <w:lang w:val="en-GB" w:eastAsia="zh-CN"/>
        </w:rPr>
        <w:t>qanun</w:t>
      </w:r>
      <w:r w:rsidRPr="00D75D7F">
        <w:rPr>
          <w:rFonts w:eastAsia="SimSun" w:cs="Times New Roman"/>
          <w:szCs w:val="20"/>
          <w:lang w:eastAsia="zh-CN"/>
        </w:rPr>
        <w:t>)». Запущена мобильная версия «Единой электронной базы данных законодательных актов», в которой особое внимание уделяется вопросу о применении инноваций, особенно в части повышения доступности судебных услуг и услуг в сфере правосудия.</w:t>
      </w:r>
    </w:p>
    <w:p w14:paraId="35753BB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199.</w:t>
      </w:r>
      <w:r w:rsidRPr="00D75D7F">
        <w:rPr>
          <w:rFonts w:eastAsia="SimSun" w:cs="Times New Roman"/>
          <w:szCs w:val="20"/>
          <w:lang w:eastAsia="zh-CN"/>
        </w:rPr>
        <w:tab/>
        <w:t>Служба пробации Министерства юстиции осуществляет надзор за отбыванием осужденными наказания, не связанного с лишением свободы, а также применяет электронные браслеты в отношении лиц, осужденных к наказанию в виде ограничения свободы, лиц, осужденных по решению суда к условному наказанию, и условно-досрочно освобожденных лиц. В настоящее время электронные браслеты используются в отношении более чем на 4000 заключенных.</w:t>
      </w:r>
    </w:p>
    <w:p w14:paraId="6D81592F" w14:textId="18F299C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200.</w:t>
      </w:r>
      <w:r w:rsidRPr="00D75D7F">
        <w:rPr>
          <w:rFonts w:eastAsia="SimSun" w:cs="Times New Roman"/>
          <w:szCs w:val="20"/>
          <w:lang w:eastAsia="zh-CN"/>
        </w:rPr>
        <w:tab/>
        <w:t>В 2020 году были внесены изменения в Уголовный кодекс, Кодекс об исполнении наказаний и Кодекс административных правонарушений в части эффективного исполнения наказаний, не связанных с лишением свободы, а также использования современных технических средств в процессе исполнения наказаний и административных взысканий в виде общественных работ в соответствии</w:t>
      </w:r>
      <w:r w:rsidR="00966548">
        <w:rPr>
          <w:rFonts w:eastAsia="SimSun" w:cs="Times New Roman"/>
          <w:szCs w:val="20"/>
          <w:lang w:eastAsia="zh-CN"/>
        </w:rPr>
        <w:br/>
      </w:r>
      <w:r w:rsidRPr="00D75D7F">
        <w:rPr>
          <w:rFonts w:eastAsia="SimSun" w:cs="Times New Roman"/>
          <w:szCs w:val="20"/>
          <w:lang w:eastAsia="zh-CN"/>
        </w:rPr>
        <w:t>с Государственной программой по развитию юстиции Азербайджана</w:t>
      </w:r>
      <w:r w:rsidR="00966548">
        <w:rPr>
          <w:rFonts w:eastAsia="SimSun" w:cs="Times New Roman"/>
          <w:szCs w:val="20"/>
          <w:lang w:eastAsia="zh-CN"/>
        </w:rPr>
        <w:br/>
      </w:r>
      <w:r w:rsidRPr="00D75D7F">
        <w:rPr>
          <w:rFonts w:eastAsia="SimSun" w:cs="Times New Roman"/>
          <w:szCs w:val="20"/>
          <w:lang w:eastAsia="zh-CN"/>
        </w:rPr>
        <w:t>на 2019–2023 годы, утвержденной Распоряжением Президента Азербайджанской Республики от 18 декабря 2018 года, и применения электронных устройств, разработанных соответствующими учреждениями Министерства юстиции.</w:t>
      </w:r>
    </w:p>
    <w:p w14:paraId="164761A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201.</w:t>
      </w:r>
      <w:r w:rsidRPr="00D75D7F">
        <w:rPr>
          <w:rFonts w:eastAsia="SimSun" w:cs="Times New Roman"/>
          <w:szCs w:val="20"/>
          <w:lang w:eastAsia="zh-CN"/>
        </w:rPr>
        <w:tab/>
        <w:t xml:space="preserve">Ведомством Омбудсмена организовываются просветительские мероприятия, основанные на учебных программах соответствующих образовательных учреждений и предназначенные для молодых слушателей, лиц, проходящих специализированные курсы, судей, адвокатов и государственных служащих, которые проводятся в Академии государственного управления при Президенте Азербайджанской Республики, Полицейской академии, Академии юстиции, Академии труда и </w:t>
      </w:r>
      <w:r w:rsidRPr="00D75D7F">
        <w:rPr>
          <w:rFonts w:eastAsia="SimSun" w:cs="Times New Roman"/>
          <w:szCs w:val="20"/>
          <w:lang w:eastAsia="zh-CN"/>
        </w:rPr>
        <w:lastRenderedPageBreak/>
        <w:t>социальных отношений Азербайджана, учебном центре Генеральной прокуратуры и учебных учреждениях по подготовке военных кадров, что позволяет повышать уровень знаний этих лиц посредством их ознакомления с вопросами, связанными с правами человека.</w:t>
      </w:r>
    </w:p>
    <w:p w14:paraId="4B79133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202.</w:t>
      </w:r>
      <w:r w:rsidRPr="00D75D7F">
        <w:rPr>
          <w:rFonts w:eastAsia="SimSun" w:cs="Times New Roman"/>
          <w:szCs w:val="20"/>
          <w:lang w:eastAsia="zh-CN"/>
        </w:rPr>
        <w:tab/>
        <w:t>Ежегодно Государственным комитетом по проблемам семьи, женщин и детей совместно с государственными органами и НПО проводятся мероприятия, направленные на повышение информированности государственных должностных лиц и специалистов о правах человека, и аналогичные мероприятия также организуются через средства массовой информации.</w:t>
      </w:r>
    </w:p>
    <w:p w14:paraId="7EE2E185" w14:textId="176400F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203.</w:t>
      </w:r>
      <w:r w:rsidRPr="00D75D7F">
        <w:rPr>
          <w:rFonts w:eastAsia="SimSun" w:cs="Times New Roman"/>
          <w:szCs w:val="20"/>
          <w:lang w:eastAsia="zh-CN"/>
        </w:rPr>
        <w:tab/>
        <w:t>Учебно-образовательный центр Государственной миграционной службы и его международные партнеры регулярно организуют курсы по таким темам, как права и свободы человека, права мигрантов в контексте прав человека, запрещение пыток, насилия и бесчеловечного обращения и меры, принимаемые в связи с этим, наихудшие формы детского труда и пути их искоренения, выявление жертв торговли людьми, включая лиц, занятых принудительным трудом, предупреждение и пресечение незаконной миграции и предоставление убежища и реадмиссия, в которых принимают участие сотрудники различных подразделений Службы и входящих в ее систему структур. Например, за период 2016–2023 годов около 1000 сотрудников Службы и представителей других государственных органов участвовали в соответствующих учебных мероприятиях по вышеупомянутым темам. Учебно-образовательный центр также организует бесплатные курсы для иностранцев и лиц без гражданства.</w:t>
      </w:r>
      <w:r w:rsidR="00966548">
        <w:rPr>
          <w:rFonts w:eastAsia="SimSun" w:cs="Times New Roman"/>
          <w:szCs w:val="20"/>
          <w:lang w:eastAsia="zh-CN"/>
        </w:rPr>
        <w:br/>
      </w:r>
      <w:r w:rsidRPr="00D75D7F">
        <w:rPr>
          <w:rFonts w:eastAsia="SimSun" w:cs="Times New Roman"/>
          <w:szCs w:val="20"/>
          <w:lang w:eastAsia="zh-CN"/>
        </w:rPr>
        <w:t>С момента организации таких занятий около 7000 иностранцев и лиц без гражданства приняли участие примерно в 3000 курсах по изучению азербайджанского языка, истории, культуры, а также законодательства о правах и обязанностях иностранцев и лиц без гражданства.</w:t>
      </w:r>
    </w:p>
    <w:p w14:paraId="60F2A287" w14:textId="6B9E7A3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204.</w:t>
      </w:r>
      <w:r w:rsidRPr="00D75D7F">
        <w:rPr>
          <w:rFonts w:eastAsia="SimSun" w:cs="Times New Roman"/>
          <w:szCs w:val="20"/>
          <w:lang w:eastAsia="zh-CN"/>
        </w:rPr>
        <w:tab/>
        <w:t>Кроме того, в рамках проекта «Поддержка создания Регионального учебного центра по вопросам миграции в Азербайджане», осуществление которого началось</w:t>
      </w:r>
      <w:r w:rsidR="00966548">
        <w:rPr>
          <w:rFonts w:eastAsia="SimSun" w:cs="Times New Roman"/>
          <w:szCs w:val="20"/>
          <w:lang w:eastAsia="zh-CN"/>
        </w:rPr>
        <w:br/>
      </w:r>
      <w:r w:rsidRPr="00D75D7F">
        <w:rPr>
          <w:rFonts w:eastAsia="SimSun" w:cs="Times New Roman"/>
          <w:szCs w:val="20"/>
          <w:lang w:eastAsia="zh-CN"/>
        </w:rPr>
        <w:t>1 ноября 2020 года по инициативе Государственной миграционной службы в сотрудничестве с Международной организацией по миграции (МОМ),</w:t>
      </w:r>
      <w:r w:rsidR="00966548">
        <w:rPr>
          <w:rFonts w:eastAsia="SimSun" w:cs="Times New Roman"/>
          <w:szCs w:val="20"/>
          <w:lang w:eastAsia="zh-CN"/>
        </w:rPr>
        <w:br/>
      </w:r>
      <w:r w:rsidRPr="00D75D7F">
        <w:rPr>
          <w:rFonts w:eastAsia="SimSun" w:cs="Times New Roman"/>
          <w:szCs w:val="20"/>
          <w:lang w:eastAsia="zh-CN"/>
        </w:rPr>
        <w:t>был усовершенствован образовательный процесс в сфере миграции и проведен ряд учебных мероприятий в этой области с привлечением экспертов из различных стран и международных организаций. В течение 2021–2022 годов в рамках данного проекта сотрудники Службы и представители соответствующих государственных органов были вовлечены в процесс обучения по вопросам прав и свобод человека, запрещения пыток, насилия и бесчеловечного обращения, борьбы с торговлей людьми и другим аналогичным темам.</w:t>
      </w:r>
    </w:p>
    <w:p w14:paraId="5751EE95" w14:textId="5800447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205.</w:t>
      </w:r>
      <w:r w:rsidRPr="00D75D7F">
        <w:rPr>
          <w:rFonts w:eastAsia="SimSun" w:cs="Times New Roman"/>
          <w:szCs w:val="20"/>
          <w:lang w:eastAsia="zh-CN"/>
        </w:rPr>
        <w:tab/>
        <w:t>В соответствии с Распоряжением Президента Азербайджанской Республики от 1 октября 2009 года был создан Научно-образовательный центр Генеральной прокуратуры Азербайджанской Республики. Основными задачами и функциями Научно-образовательного центра являются организация обучения кандидатов, успешно прошедших конкурс при поступлении на службу в прокуратуру,</w:t>
      </w:r>
      <w:r w:rsidR="00966548">
        <w:rPr>
          <w:rFonts w:eastAsia="SimSun" w:cs="Times New Roman"/>
          <w:szCs w:val="20"/>
          <w:lang w:eastAsia="zh-CN"/>
        </w:rPr>
        <w:br/>
      </w:r>
      <w:r w:rsidRPr="00D75D7F">
        <w:rPr>
          <w:rFonts w:eastAsia="SimSun" w:cs="Times New Roman"/>
          <w:szCs w:val="20"/>
          <w:lang w:eastAsia="zh-CN"/>
        </w:rPr>
        <w:t>и прокурорских работников с целью повышения уровня их теоретических знаний и профессиональной подготовки; организация обучения с целью повышения уровня профессиональной подготовки работников других правоохранительных органов и зарубежных партнеров; организация мероприятий по повышению уровня профессиональной подготовки работников прокуратуры, занимающих должности, не требующие специальных званий; проведение научных, теоретических и практических исследований; издание учебно-методической литературы и т.</w:t>
      </w:r>
      <w:r w:rsidR="00966548">
        <w:rPr>
          <w:rFonts w:eastAsia="SimSun" w:cs="Times New Roman"/>
          <w:szCs w:val="20"/>
          <w:lang w:eastAsia="zh-CN"/>
        </w:rPr>
        <w:t> </w:t>
      </w:r>
      <w:r w:rsidRPr="00D75D7F">
        <w:rPr>
          <w:rFonts w:eastAsia="SimSun" w:cs="Times New Roman"/>
          <w:szCs w:val="20"/>
          <w:lang w:eastAsia="zh-CN"/>
        </w:rPr>
        <w:t>д.</w:t>
      </w:r>
    </w:p>
    <w:p w14:paraId="7D3AA64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206.</w:t>
      </w:r>
      <w:r w:rsidRPr="00D75D7F">
        <w:rPr>
          <w:rFonts w:eastAsia="SimSun" w:cs="Times New Roman"/>
          <w:szCs w:val="20"/>
          <w:lang w:eastAsia="zh-CN"/>
        </w:rPr>
        <w:tab/>
        <w:t>Распоряжением Президента Азербайджанской Республики от 10 июня 2020 года была утверждена новая структура Генеральной прокуратуры, сформированная с учетом передового международного опыта с более гибким, мобильным и динамичным управлением. В рамках структурных реформ на базе упраздненного Управления по правовому обеспечению было создано Управление по правовому обеспечению и вопросам прав человека Генеральной прокуратуры Азербайджанской Республики.</w:t>
      </w:r>
    </w:p>
    <w:p w14:paraId="4E0A4EC2" w14:textId="49C8967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207.</w:t>
      </w:r>
      <w:r w:rsidRPr="00D75D7F">
        <w:rPr>
          <w:rFonts w:eastAsia="SimSun" w:cs="Times New Roman"/>
          <w:szCs w:val="20"/>
          <w:lang w:eastAsia="zh-CN"/>
        </w:rPr>
        <w:tab/>
        <w:t>В течение последних пяти лет в Министерстве внутренних дел около</w:t>
      </w:r>
      <w:r w:rsidR="00966548">
        <w:rPr>
          <w:rFonts w:eastAsia="SimSun" w:cs="Times New Roman"/>
          <w:szCs w:val="20"/>
          <w:lang w:eastAsia="zh-CN"/>
        </w:rPr>
        <w:br/>
      </w:r>
      <w:r w:rsidRPr="00D75D7F">
        <w:rPr>
          <w:rFonts w:eastAsia="SimSun" w:cs="Times New Roman"/>
          <w:szCs w:val="20"/>
          <w:lang w:eastAsia="zh-CN"/>
        </w:rPr>
        <w:t xml:space="preserve">13 </w:t>
      </w:r>
      <w:r w:rsidR="00966548">
        <w:rPr>
          <w:rFonts w:eastAsia="SimSun" w:cs="Times New Roman"/>
          <w:szCs w:val="20"/>
          <w:lang w:eastAsia="zh-CN"/>
        </w:rPr>
        <w:t>000</w:t>
      </w:r>
      <w:r w:rsidRPr="00D75D7F">
        <w:rPr>
          <w:rFonts w:eastAsia="SimSun" w:cs="Times New Roman"/>
          <w:szCs w:val="20"/>
          <w:lang w:eastAsia="zh-CN"/>
        </w:rPr>
        <w:t xml:space="preserve"> сотрудников были задействованы в мероприятиях, проводившихся в режиме онлайн в </w:t>
      </w:r>
      <w:r w:rsidRPr="00D75D7F">
        <w:rPr>
          <w:rFonts w:eastAsia="SimSun" w:cs="Times New Roman"/>
          <w:szCs w:val="20"/>
          <w:lang w:eastAsia="zh-CN"/>
        </w:rPr>
        <w:lastRenderedPageBreak/>
        <w:t>Азербайджане и за рубежом по вопросам прав и свобод человека. С целью использования международного опыта его сотрудники также направляются на обучение за рубеж по линии Совета Европы, ОБСЕ и других международных организаций.</w:t>
      </w:r>
    </w:p>
    <w:p w14:paraId="7C7C354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208.</w:t>
      </w:r>
      <w:r w:rsidRPr="00D75D7F">
        <w:rPr>
          <w:rFonts w:eastAsia="SimSun" w:cs="Times New Roman"/>
          <w:szCs w:val="20"/>
          <w:lang w:eastAsia="zh-CN"/>
        </w:rPr>
        <w:tab/>
        <w:t>Деятельность службы экстренных вызовов «102» и системы «Безопасный город», осуществляющих функции принятия неотложных оперативных мер для предотвращения противоправных деяний в отношении тех или иных лиц и непрерывного отслеживания соблюдения правопорядка, строится на основе такого важнейшего критерия, как уважение личности человека.</w:t>
      </w:r>
    </w:p>
    <w:p w14:paraId="4414C59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209.</w:t>
      </w:r>
      <w:r w:rsidRPr="00D75D7F">
        <w:rPr>
          <w:rFonts w:eastAsia="SimSun" w:cs="Times New Roman"/>
          <w:szCs w:val="20"/>
          <w:lang w:eastAsia="zh-CN"/>
        </w:rPr>
        <w:tab/>
        <w:t>Центральная избирательная комиссия в рамках своей образовательной программы уделяет особое внимание вопросу о конструктивном информировании молодежи и избирателей, впервые принимающих участие в голосовании, и в целях поощрения более активного участия в выборах организует различные семинары, дискуссии и встречи в сотрудничестве с соответствующими государственными органами и институтами гражданского общества.</w:t>
      </w:r>
    </w:p>
    <w:p w14:paraId="6BED727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210.</w:t>
      </w:r>
      <w:r w:rsidRPr="00D75D7F">
        <w:rPr>
          <w:rFonts w:eastAsia="SimSun" w:cs="Times New Roman"/>
          <w:szCs w:val="20"/>
          <w:lang w:eastAsia="zh-CN"/>
        </w:rPr>
        <w:tab/>
        <w:t>Возможности средств массовой информации широко используются в ходе избирательных кампаний или референдумов для разъяснения положений избирательного законодательства, повышения уровня правовых знаний участников и предоставления избирателям информации о кандидатах или вопросах референдума в ходе предвыборных кампаний или кампаний, предшествующих референдуму, посредством проведения презентаций, интервью и обсуждений за «круглым столом» и с помощью веб-сайтов и наглядных пособий, таких как видеоклипы, плакаты и буклеты.</w:t>
      </w:r>
    </w:p>
    <w:p w14:paraId="0F4E4BE7" w14:textId="0A79D9A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211.</w:t>
      </w:r>
      <w:r w:rsidRPr="00D75D7F">
        <w:rPr>
          <w:rFonts w:eastAsia="SimSun" w:cs="Times New Roman"/>
          <w:szCs w:val="20"/>
          <w:lang w:eastAsia="zh-CN"/>
        </w:rPr>
        <w:tab/>
        <w:t>Особую роль в более активном просвещении избирателей, других субъектов выборов (референдумов) и средств массовой информации играет официальная</w:t>
      </w:r>
      <w:r w:rsidR="00966548">
        <w:rPr>
          <w:rFonts w:eastAsia="SimSun" w:cs="Times New Roman"/>
          <w:szCs w:val="20"/>
          <w:lang w:eastAsia="zh-CN"/>
        </w:rPr>
        <w:br/>
      </w:r>
      <w:r w:rsidRPr="00D75D7F">
        <w:rPr>
          <w:rFonts w:eastAsia="SimSun" w:cs="Times New Roman"/>
          <w:szCs w:val="20"/>
          <w:lang w:eastAsia="zh-CN"/>
        </w:rPr>
        <w:t>веб-страница Центральной избирательной комиссии. На регулярно обновляемой</w:t>
      </w:r>
      <w:r w:rsidR="00966548">
        <w:rPr>
          <w:rFonts w:eastAsia="SimSun" w:cs="Times New Roman"/>
          <w:szCs w:val="20"/>
          <w:lang w:eastAsia="zh-CN"/>
        </w:rPr>
        <w:br/>
      </w:r>
      <w:r w:rsidRPr="00D75D7F">
        <w:rPr>
          <w:rFonts w:eastAsia="SimSun" w:cs="Times New Roman"/>
          <w:szCs w:val="20"/>
          <w:lang w:eastAsia="zh-CN"/>
        </w:rPr>
        <w:t>веб-странице размещается вся информация о проведенных в разные годы выборах и референдумах. На протяжении всего избирательного процесса и после его завершения пользователи активно действующей веб-страницы могут найти на ней всю интересующую их информацию. Наряду с веб-страницей электронные услуги, оказываемые Комиссией по 10 различным направлениям, интегрированы в портал электронного правительства и доступны для избирателей.</w:t>
      </w:r>
    </w:p>
    <w:p w14:paraId="49C2A7C5" w14:textId="1A3166A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212.</w:t>
      </w:r>
      <w:r w:rsidRPr="00D75D7F">
        <w:rPr>
          <w:rFonts w:eastAsia="SimSun" w:cs="Times New Roman"/>
          <w:szCs w:val="20"/>
          <w:lang w:eastAsia="zh-CN"/>
        </w:rPr>
        <w:tab/>
        <w:t>Распоряжением Президента Азербайджанской Республики от 13 января</w:t>
      </w:r>
      <w:r w:rsidR="00966548">
        <w:rPr>
          <w:rFonts w:eastAsia="SimSun" w:cs="Times New Roman"/>
          <w:szCs w:val="20"/>
          <w:lang w:eastAsia="zh-CN"/>
        </w:rPr>
        <w:br/>
      </w:r>
      <w:r w:rsidRPr="00D75D7F">
        <w:rPr>
          <w:rFonts w:eastAsia="SimSun" w:cs="Times New Roman"/>
          <w:szCs w:val="20"/>
          <w:lang w:eastAsia="zh-CN"/>
        </w:rPr>
        <w:t>2009 года исполнение функций национального превентивного механизма (далее — НПМ), предусмотренного Факультативным протоколом к Конвенции против пыток и других жестоких, бесчеловечных или унижающих достоинство видов обращения и наказания, возложено на Омбудсмена. В этой связи путем внесения поправок в Конституционный закон Азербайджанской Республики «Об Уполномоченном по правам человека (Омбудсмене) Азербайджанской Республики» было обеспечено включение положений Факультативного протокола в национальное законодательство.</w:t>
      </w:r>
    </w:p>
    <w:p w14:paraId="4BAB1C03" w14:textId="0457B8C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213.</w:t>
      </w:r>
      <w:r w:rsidRPr="00D75D7F">
        <w:rPr>
          <w:rFonts w:eastAsia="SimSun" w:cs="Times New Roman"/>
          <w:szCs w:val="20"/>
          <w:lang w:eastAsia="zh-CN"/>
        </w:rPr>
        <w:tab/>
        <w:t>В соответствии с Конституционным законом Азербайджанской Республики</w:t>
      </w:r>
      <w:r w:rsidR="00966548">
        <w:rPr>
          <w:rFonts w:eastAsia="SimSun" w:cs="Times New Roman"/>
          <w:szCs w:val="20"/>
          <w:lang w:eastAsia="zh-CN"/>
        </w:rPr>
        <w:br/>
      </w:r>
      <w:r w:rsidRPr="00D75D7F">
        <w:rPr>
          <w:rFonts w:eastAsia="SimSun" w:cs="Times New Roman"/>
          <w:szCs w:val="20"/>
          <w:lang w:eastAsia="zh-CN"/>
        </w:rPr>
        <w:t>«О внесении изменений в Конституционный закон Азербайджанской Республики</w:t>
      </w:r>
      <w:r w:rsidR="00966548">
        <w:rPr>
          <w:rFonts w:eastAsia="SimSun" w:cs="Times New Roman"/>
          <w:szCs w:val="20"/>
          <w:lang w:eastAsia="zh-CN"/>
        </w:rPr>
        <w:br/>
        <w:t>«</w:t>
      </w:r>
      <w:r w:rsidRPr="00D75D7F">
        <w:rPr>
          <w:rFonts w:eastAsia="SimSun" w:cs="Times New Roman"/>
          <w:szCs w:val="20"/>
          <w:lang w:eastAsia="zh-CN"/>
        </w:rPr>
        <w:t>Об Уполномоченном по правам человека (Омбудсмене) Азербайджанской Республики» от 24 июня 2011 года в ведомстве Омбудсмена была создана Национальная превентивная группа (далее — НПГ).</w:t>
      </w:r>
    </w:p>
    <w:p w14:paraId="7E5E8B0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214.</w:t>
      </w:r>
      <w:r w:rsidRPr="00D75D7F">
        <w:rPr>
          <w:rFonts w:eastAsia="SimSun" w:cs="Times New Roman"/>
          <w:szCs w:val="20"/>
          <w:lang w:eastAsia="zh-CN"/>
        </w:rPr>
        <w:tab/>
        <w:t>НПГ при Омбудсмене действует независимо. Согласно Конституционному закону, член НПГ не может быть принужден к даче показаний о фактах, ставших ему известными в связи с выполнением своих функций, или к раскрытию этих фактов каким-либо иным способом. Эта гарантия действует и после того, как данное лицо выходит из состава НПГ.</w:t>
      </w:r>
    </w:p>
    <w:p w14:paraId="0C09B4D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215.</w:t>
      </w:r>
      <w:r w:rsidRPr="00D75D7F">
        <w:rPr>
          <w:rFonts w:eastAsia="SimSun" w:cs="Times New Roman"/>
          <w:szCs w:val="20"/>
          <w:lang w:eastAsia="zh-CN"/>
        </w:rPr>
        <w:tab/>
        <w:t xml:space="preserve">На основании Конституции при выполнении функций НПМ Омбудсмен и члены НПГ имеют право в любое время беспрепятственно и без предварительного уведомления посещать отделения полиции, места временного содержания под стражей, следственные изоляторы, пенитенциарные учреждения, военные гауптвахты, психиатрические учреждения и другие места, которые задержанные не могут покинуть </w:t>
      </w:r>
      <w:r w:rsidRPr="00D75D7F">
        <w:rPr>
          <w:rFonts w:eastAsia="SimSun" w:cs="Times New Roman"/>
          <w:szCs w:val="20"/>
          <w:lang w:eastAsia="zh-CN"/>
        </w:rPr>
        <w:lastRenderedPageBreak/>
        <w:t xml:space="preserve">по своей воле; встречаться наедине или при необходимости с участием эксперта или переводчика с задержанными лицами и беседовать с ними, а также с любыми другими лицами, которые могут предоставить необходимую информацию; а также знакомиться с документами, подтверждающими законность задержания, в том числе с документами, касающимися обращения с лицами и условий их содержания под стражей, и получать их копии; составлять акты, фиксировать ход осуществления и результаты принимаемых мер. Были внесены необходимые поправки в законы и нормативно-правовые акты, в том числе в Кодекс об исполнении наказаний и Закон «О защите прав и свобод лиц, содержащихся в местах лишения свободы», а также соответствующие изменения в правила внутреннего распорядка следственных изоляторов и исправительных учреждений. </w:t>
      </w:r>
    </w:p>
    <w:p w14:paraId="6B6B4F4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216.</w:t>
      </w:r>
      <w:r w:rsidRPr="00D75D7F">
        <w:rPr>
          <w:rFonts w:eastAsia="SimSun" w:cs="Times New Roman"/>
          <w:szCs w:val="20"/>
          <w:lang w:eastAsia="zh-CN"/>
        </w:rPr>
        <w:tab/>
        <w:t>Члены НПГ назначаются Уполномоченным по правам человека на трехлетний срок по прозрачной процедуре. Пять представителей НПО и приглашенные специалисты привлекаются в качестве экспертов и регулярно участвуют в посещениях. При формировании состава НПГ Уполномоченный, наряду со многими другими аспектами, также уделяет особое внимание вопросу об обеспечении гендерного баланса. В число членов НПГ входят также представители национальных меньшинств.</w:t>
      </w:r>
    </w:p>
    <w:p w14:paraId="0ECD5952" w14:textId="350ADCB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217.</w:t>
      </w:r>
      <w:r w:rsidRPr="00D75D7F">
        <w:rPr>
          <w:rFonts w:eastAsia="SimSun" w:cs="Times New Roman"/>
          <w:szCs w:val="20"/>
          <w:lang w:eastAsia="zh-CN"/>
        </w:rPr>
        <w:tab/>
        <w:t>С 2006 года (более 15 лет) успешно функционирует Общественный комитет,</w:t>
      </w:r>
      <w:r w:rsidR="00966548">
        <w:rPr>
          <w:rFonts w:eastAsia="SimSun" w:cs="Times New Roman"/>
          <w:szCs w:val="20"/>
          <w:lang w:eastAsia="zh-CN"/>
        </w:rPr>
        <w:br/>
      </w:r>
      <w:r w:rsidRPr="00D75D7F">
        <w:rPr>
          <w:rFonts w:eastAsia="SimSun" w:cs="Times New Roman"/>
          <w:szCs w:val="20"/>
          <w:lang w:eastAsia="zh-CN"/>
        </w:rPr>
        <w:t xml:space="preserve">в состав которого входят видные правозащитники и представители институтов гражданского общества. </w:t>
      </w:r>
    </w:p>
    <w:p w14:paraId="76E8627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218.</w:t>
      </w:r>
      <w:r w:rsidRPr="00D75D7F">
        <w:rPr>
          <w:rFonts w:eastAsia="SimSun" w:cs="Times New Roman"/>
          <w:szCs w:val="20"/>
          <w:lang w:eastAsia="zh-CN"/>
        </w:rPr>
        <w:tab/>
        <w:t>Принятие Закона «Об общественном участии» способствовало дальнейшему расширению сотрудничества с институтами гражданского общества. В 2014 году в соответствии с этим законом были внесены поправки в правила, регламентирующие деятельность Общественного комитета в отношении контроля за функционированием пенитенциарных учреждений, с целью дальнейшего расширения его полномочий. Поправки предусматривали увеличение срока деятельности Комитета (с одного года до двух лет), а также его активное участие в правоохранительной деятельности, не связанной с пенитенциарной системой.</w:t>
      </w:r>
    </w:p>
    <w:p w14:paraId="4C15B07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219.</w:t>
      </w:r>
      <w:r w:rsidRPr="00D75D7F">
        <w:rPr>
          <w:rFonts w:eastAsia="SimSun" w:cs="Times New Roman"/>
          <w:szCs w:val="20"/>
          <w:lang w:eastAsia="zh-CN"/>
        </w:rPr>
        <w:tab/>
        <w:t>В соответствии с принятым законодательством с 2022 года деятельность Комитета продолжил Общественный совет при Министерстве юстиции. По состоянию на 1 января 2023 года члены Совета совершили 13 поездок в пенитенциарные учреждения и оказали юридическую помощь более 1780 осужденным.</w:t>
      </w:r>
    </w:p>
    <w:p w14:paraId="771EB0CB" w14:textId="3463F77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220.</w:t>
      </w:r>
      <w:r w:rsidRPr="00D75D7F">
        <w:rPr>
          <w:rFonts w:eastAsia="SimSun" w:cs="Times New Roman"/>
          <w:szCs w:val="20"/>
          <w:lang w:eastAsia="zh-CN"/>
        </w:rPr>
        <w:tab/>
        <w:t>В соответствии с Указом Президента Азербайджанской Республики</w:t>
      </w:r>
      <w:r w:rsidR="00966548">
        <w:rPr>
          <w:rFonts w:eastAsia="SimSun" w:cs="Times New Roman"/>
          <w:szCs w:val="20"/>
          <w:lang w:eastAsia="zh-CN"/>
        </w:rPr>
        <w:br/>
      </w:r>
      <w:r w:rsidRPr="00D75D7F">
        <w:rPr>
          <w:rFonts w:eastAsia="SimSun" w:cs="Times New Roman"/>
          <w:szCs w:val="20"/>
          <w:lang w:eastAsia="zh-CN"/>
        </w:rPr>
        <w:t>«О развитии судебной системы» от 17 августа 2006 года при Министерстве юстиции была создана Академия юстиции. Академия является научно-методическим учреждением, осуществляющим повышение квалификации лиц с высшим юридическим образованием в связи с назначением их на должности, относящиеся к сфере их специализации, и профессиональную подготовку судебных и других юридических работников и обеспечивающим потребности общества в квалифицированных юридических кадрах.</w:t>
      </w:r>
    </w:p>
    <w:p w14:paraId="6F716277" w14:textId="734EFBE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221.</w:t>
      </w:r>
      <w:r w:rsidRPr="00D75D7F">
        <w:rPr>
          <w:rFonts w:eastAsia="SimSun" w:cs="Times New Roman"/>
          <w:szCs w:val="20"/>
          <w:lang w:eastAsia="zh-CN"/>
        </w:rPr>
        <w:tab/>
        <w:t>29 марта 2019 года был принят Закон «О медиации», регулирующий альтернативные процедуры урегулирования споров с участием посредника. В феврале 2020 года был учрежден Совет по медиации, а Академия юстиции была зарегистрирована в качестве образовательного учреждения в области посредничества. 30 июня 2021 года состоялось заседание общего собрания Совета по медиации</w:t>
      </w:r>
      <w:r w:rsidR="00966548">
        <w:rPr>
          <w:rFonts w:eastAsia="SimSun" w:cs="Times New Roman"/>
          <w:szCs w:val="20"/>
          <w:lang w:eastAsia="zh-CN"/>
        </w:rPr>
        <w:br/>
      </w:r>
      <w:r w:rsidRPr="00D75D7F">
        <w:rPr>
          <w:rFonts w:eastAsia="SimSun" w:cs="Times New Roman"/>
          <w:szCs w:val="20"/>
          <w:lang w:eastAsia="zh-CN"/>
        </w:rPr>
        <w:t xml:space="preserve"> на котором был сформирован его состав и избран его Председатель. К настоящему времени более 470 человек получили свидетельс</w:t>
      </w:r>
      <w:r w:rsidR="00966548">
        <w:rPr>
          <w:rFonts w:eastAsia="SimSun" w:cs="Times New Roman"/>
          <w:szCs w:val="20"/>
          <w:lang w:eastAsia="zh-CN"/>
        </w:rPr>
        <w:t>т</w:t>
      </w:r>
      <w:r w:rsidRPr="00D75D7F">
        <w:rPr>
          <w:rFonts w:eastAsia="SimSun" w:cs="Times New Roman"/>
          <w:szCs w:val="20"/>
          <w:lang w:eastAsia="zh-CN"/>
        </w:rPr>
        <w:t>во посредника.</w:t>
      </w:r>
    </w:p>
    <w:p w14:paraId="6BDB5FD8" w14:textId="7FEC890F"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222.</w:t>
      </w:r>
      <w:r w:rsidRPr="00D75D7F">
        <w:rPr>
          <w:rFonts w:eastAsia="SimSun" w:cs="Times New Roman"/>
          <w:szCs w:val="20"/>
          <w:lang w:eastAsia="zh-CN"/>
        </w:rPr>
        <w:tab/>
        <w:t>В целях развития института медиации Министерство юстиции проводит разъяснительную работу в различных сферах общественной жизни и оценивает эффективность медиации при разрешении правовых споров. По состоянию на 31 марта 2023 года в Азербайджане было зарегистрировано 34 организации по медиации.</w:t>
      </w:r>
    </w:p>
    <w:p w14:paraId="59F8E1F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223.</w:t>
      </w:r>
      <w:r w:rsidRPr="00D75D7F">
        <w:rPr>
          <w:rFonts w:eastAsia="SimSun" w:cs="Times New Roman"/>
          <w:szCs w:val="20"/>
          <w:lang w:eastAsia="zh-CN"/>
        </w:rPr>
        <w:tab/>
        <w:t xml:space="preserve">Процесс отбора судей в стране организуют следующие структуры: Академия юстиции, Судебно-правой совет и Комитет по отбору судей. Академия юстиции при Министерстве юстиции является ведущим учебным заведением с широкими </w:t>
      </w:r>
      <w:r w:rsidRPr="00D75D7F">
        <w:rPr>
          <w:rFonts w:eastAsia="SimSun" w:cs="Times New Roman"/>
          <w:szCs w:val="20"/>
          <w:lang w:eastAsia="zh-CN"/>
        </w:rPr>
        <w:lastRenderedPageBreak/>
        <w:t>полномочиями по подготовке юридических кадров. Академия является структурным подразделением Министерства юстиции на правах главного управления.</w:t>
      </w:r>
    </w:p>
    <w:p w14:paraId="3C01D4B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224.</w:t>
      </w:r>
      <w:r w:rsidRPr="00D75D7F">
        <w:rPr>
          <w:rFonts w:eastAsia="SimSun" w:cs="Times New Roman"/>
          <w:szCs w:val="20"/>
          <w:lang w:eastAsia="zh-CN"/>
        </w:rPr>
        <w:tab/>
        <w:t>Соглашение, подписанное в 2000 году между правительством Азербайджана и Международным комитетом Красного Креста (МККК), предоставило представителям МККК широкие возможности беспрепятственного посещения осужденных в местах лишения свободы.</w:t>
      </w:r>
    </w:p>
    <w:p w14:paraId="2D4A405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225.</w:t>
      </w:r>
      <w:r w:rsidRPr="00D75D7F">
        <w:rPr>
          <w:rFonts w:eastAsia="SimSun" w:cs="Times New Roman"/>
          <w:szCs w:val="20"/>
          <w:lang w:eastAsia="zh-CN"/>
        </w:rPr>
        <w:tab/>
        <w:t>В целях обеспечения более надежной защиты прав и законных интересов налогоплательщиков в мае 2019 года был создан институт Налогового омбудсмена как дополнительной структуры, призванной участвовать в процессе рассмотрении обращений налогоплательщиков, направляемых в его адрес, с целью досудебного урегулирования ситуации и удовлетворения требований заявителей. За время деятельности Налогового омбудсмена налогоплательщики направили 138 обращений и 62 раза обращались с просьбой о личной встрече. В результате 68 претензий по различным аспектам налогообложения были разрешены в пользу налогоплательщиков.</w:t>
      </w:r>
    </w:p>
    <w:p w14:paraId="1493AEAA" w14:textId="77777777" w:rsidR="00D75D7F" w:rsidRPr="00D75D7F" w:rsidRDefault="00D75D7F" w:rsidP="00966548">
      <w:pPr>
        <w:pStyle w:val="H1G"/>
      </w:pPr>
      <w:r w:rsidRPr="00D75D7F">
        <w:rPr>
          <w:rFonts w:eastAsia="Calibri"/>
        </w:rPr>
        <w:tab/>
      </w:r>
      <w:r w:rsidRPr="00D75D7F">
        <w:rPr>
          <w:rFonts w:eastAsia="Calibri"/>
          <w:lang w:val="en-GB"/>
        </w:rPr>
        <w:t>D</w:t>
      </w:r>
      <w:r w:rsidRPr="00D75D7F">
        <w:rPr>
          <w:rFonts w:eastAsia="Calibri"/>
        </w:rPr>
        <w:t>.</w:t>
      </w:r>
      <w:r w:rsidRPr="00D75D7F">
        <w:rPr>
          <w:rFonts w:eastAsia="Calibri"/>
        </w:rPr>
        <w:tab/>
      </w:r>
      <w:r w:rsidRPr="00D75D7F">
        <w:t>Процесс представления докладов на национальном уровне</w:t>
      </w:r>
    </w:p>
    <w:p w14:paraId="00A06DC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226.</w:t>
      </w:r>
      <w:r w:rsidRPr="00D75D7F">
        <w:rPr>
          <w:rFonts w:eastAsia="SimSun" w:cs="Times New Roman"/>
          <w:szCs w:val="20"/>
          <w:lang w:eastAsia="zh-CN"/>
        </w:rPr>
        <w:tab/>
        <w:t>Доклады Азербайджанской Республики по международным договорам о правах человека, участником которых является Азербайджан, подготавливаются в соответствии с распоряжением Президента Азербайджанской Республики о повышении эффективности сотрудничества с органами Организации Объединенных Наций по правам человека от 20 сентября 2018 года.</w:t>
      </w:r>
    </w:p>
    <w:p w14:paraId="25A1143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227.</w:t>
      </w:r>
      <w:r w:rsidRPr="00D75D7F">
        <w:rPr>
          <w:rFonts w:eastAsia="SimSun" w:cs="Times New Roman"/>
          <w:szCs w:val="20"/>
          <w:lang w:eastAsia="zh-CN"/>
        </w:rPr>
        <w:tab/>
        <w:t>20 сентября 2018 года Президент Азербайджанской Республики подписал распоряжение, согласно которому в целях подготовки периодических докладов Азербайджанской Республики для договорных органов Организации Объединенных Наций по правам человека и механизма универсального периодического обзора Совета по правам человека и в интересах мониторинга выполнения рекомендаций, выданных в отношении Азербайджанской Республики, была создана рабочая группа. Рабочая группа состоит из представителей соответствующих государственных органов и осуществляет свою деятельность под руководством Министерства иностранных дел.</w:t>
      </w:r>
    </w:p>
    <w:p w14:paraId="2F92159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228.</w:t>
      </w:r>
      <w:r w:rsidRPr="00D75D7F">
        <w:rPr>
          <w:rFonts w:eastAsia="SimSun" w:cs="Times New Roman"/>
          <w:szCs w:val="20"/>
          <w:lang w:eastAsia="zh-CN"/>
        </w:rPr>
        <w:tab/>
        <w:t>Процесс подготовки докладов и их представления правительственными делегациями в договорных органах Организации Объединенных Наций освещается в средствах массовой информации.</w:t>
      </w:r>
    </w:p>
    <w:p w14:paraId="125243DE" w14:textId="77777777" w:rsidR="00D75D7F" w:rsidRPr="00D75D7F" w:rsidRDefault="00D75D7F" w:rsidP="00966548">
      <w:pPr>
        <w:pStyle w:val="H1G"/>
      </w:pPr>
      <w:r w:rsidRPr="00D75D7F">
        <w:rPr>
          <w:rFonts w:eastAsia="Calibri"/>
        </w:rPr>
        <w:tab/>
      </w:r>
      <w:r w:rsidRPr="00D75D7F">
        <w:rPr>
          <w:rFonts w:eastAsia="Calibri"/>
          <w:lang w:val="en-GB"/>
        </w:rPr>
        <w:t>E</w:t>
      </w:r>
      <w:r w:rsidRPr="00D75D7F">
        <w:rPr>
          <w:rFonts w:eastAsia="Calibri"/>
        </w:rPr>
        <w:t>.</w:t>
      </w:r>
      <w:r w:rsidRPr="00D75D7F">
        <w:rPr>
          <w:rFonts w:eastAsia="Calibri"/>
        </w:rPr>
        <w:tab/>
      </w:r>
      <w:r w:rsidRPr="00D75D7F">
        <w:t>Другая информация, связанная с правами человека</w:t>
      </w:r>
    </w:p>
    <w:p w14:paraId="790251D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229.</w:t>
      </w:r>
      <w:r w:rsidRPr="00D75D7F">
        <w:rPr>
          <w:rFonts w:eastAsia="SimSun" w:cs="Times New Roman"/>
          <w:szCs w:val="20"/>
          <w:lang w:eastAsia="zh-CN"/>
        </w:rPr>
        <w:tab/>
        <w:t>В настоящее время принимаются меры, направленные на дальнейшее совершенствование законодательства в миграционной сфере. Законодательство о миграции основывается на принципах уважения прав и свобод человека и гражданина, господства права, равенства перед законом и судом, обеспечения соответствия миграционного законодательства Азербайджанской Республики общепризнанным нормам международного права и применения инновационных методов для гарантирования прозрачности.</w:t>
      </w:r>
    </w:p>
    <w:p w14:paraId="690B3B93" w14:textId="11FAA64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230.</w:t>
      </w:r>
      <w:r w:rsidRPr="00D75D7F">
        <w:rPr>
          <w:rFonts w:eastAsia="SimSun" w:cs="Times New Roman"/>
          <w:szCs w:val="20"/>
          <w:lang w:eastAsia="zh-CN"/>
        </w:rPr>
        <w:tab/>
        <w:t>Созданная Указом Президента Азербайджанской Республики от 19 марта</w:t>
      </w:r>
      <w:r w:rsidR="00966548">
        <w:rPr>
          <w:rFonts w:eastAsia="SimSun" w:cs="Times New Roman"/>
          <w:szCs w:val="20"/>
          <w:lang w:eastAsia="zh-CN"/>
        </w:rPr>
        <w:br/>
      </w:r>
      <w:r w:rsidRPr="00D75D7F">
        <w:rPr>
          <w:rFonts w:eastAsia="SimSun" w:cs="Times New Roman"/>
          <w:szCs w:val="20"/>
          <w:lang w:eastAsia="zh-CN"/>
        </w:rPr>
        <w:t>2007 года Государственная миграционная служба Азербайджанской Республики осуществляет государственную политику в области миграции, развитие системы для управления и руководства миграционными процессами и их прогнозирования и координацию деятельности соответствующих государственных органов в этой сфере.</w:t>
      </w:r>
    </w:p>
    <w:p w14:paraId="6EF9661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231.</w:t>
      </w:r>
      <w:r w:rsidRPr="00D75D7F">
        <w:rPr>
          <w:rFonts w:eastAsia="SimSun" w:cs="Times New Roman"/>
          <w:szCs w:val="20"/>
          <w:lang w:eastAsia="zh-CN"/>
        </w:rPr>
        <w:tab/>
        <w:t>Миграционный кодекс определяет государственную политику в области миграции и регулирует миграционные процессы и правовой статус иностранцев и лиц без гражданства в стране.</w:t>
      </w:r>
    </w:p>
    <w:p w14:paraId="70CF866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232.</w:t>
      </w:r>
      <w:r w:rsidRPr="00D75D7F">
        <w:rPr>
          <w:rFonts w:eastAsia="SimSun" w:cs="Times New Roman"/>
          <w:szCs w:val="20"/>
          <w:lang w:eastAsia="zh-CN"/>
        </w:rPr>
        <w:tab/>
        <w:t xml:space="preserve">Применение в соответствии с Указом Президента Азербайджанской Республики от 4 марта 2009 года принципа «единого окна» в управлении </w:t>
      </w:r>
      <w:r w:rsidRPr="00D75D7F">
        <w:rPr>
          <w:rFonts w:eastAsia="SimSun" w:cs="Times New Roman"/>
          <w:szCs w:val="20"/>
          <w:lang w:eastAsia="zh-CN"/>
        </w:rPr>
        <w:lastRenderedPageBreak/>
        <w:t>миграционными процессами стало ключевой мерой для развитии системы миграционного управления; с учетом международной практики оно способствовало регулированию миграционных процессов в стране на основе более гибких и действенных механизмов, усовершенствованию и упрощению механизма миграционного управления и обеспечению оперативности и прозрачности действий в этой области.</w:t>
      </w:r>
    </w:p>
    <w:p w14:paraId="64651BC6" w14:textId="5B88AC8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233.</w:t>
      </w:r>
      <w:r w:rsidRPr="00D75D7F">
        <w:rPr>
          <w:rFonts w:eastAsia="SimSun" w:cs="Times New Roman"/>
          <w:szCs w:val="20"/>
          <w:lang w:eastAsia="zh-CN"/>
        </w:rPr>
        <w:tab/>
        <w:t xml:space="preserve">Расширилась сеть услуг, оказываемых Государственной миграционной службой. Открылись </w:t>
      </w:r>
      <w:r w:rsidR="00966548">
        <w:rPr>
          <w:rFonts w:eastAsia="SimSun" w:cs="Times New Roman"/>
          <w:szCs w:val="20"/>
          <w:lang w:eastAsia="zh-CN"/>
        </w:rPr>
        <w:t>8</w:t>
      </w:r>
      <w:r w:rsidRPr="00D75D7F">
        <w:rPr>
          <w:rFonts w:eastAsia="SimSun" w:cs="Times New Roman"/>
          <w:szCs w:val="20"/>
          <w:lang w:eastAsia="zh-CN"/>
        </w:rPr>
        <w:t xml:space="preserve"> ее региональных отделений, и деятельность Службы осуществляется в 24 сервисных центрах АСАН. На контрольно-пропускных пунктах на государственной границе начали круглосуточно действовать миграционные терминалы, на такой же режим работы перешел центр телефонного обслуживания Службы и услуги, оказываемые иностранцам, предоставляются теперь в электронной форме. Кроме того, в целях упрощения доступа к электронным услугам и сокращения времени, затрачиваемого на подачу обращений в Службу, было запущено официальное мобильное приложение «</w:t>
      </w:r>
      <w:r w:rsidRPr="00D75D7F">
        <w:rPr>
          <w:rFonts w:eastAsia="SimSun" w:cs="Times New Roman"/>
          <w:szCs w:val="20"/>
          <w:lang w:val="en-GB" w:eastAsia="zh-CN"/>
        </w:rPr>
        <w:t>M</w:t>
      </w:r>
      <w:r w:rsidRPr="00D75D7F">
        <w:rPr>
          <w:rFonts w:eastAsia="SimSun" w:cs="Times New Roman"/>
          <w:szCs w:val="20"/>
          <w:lang w:eastAsia="zh-CN"/>
        </w:rPr>
        <w:t>İ</w:t>
      </w:r>
      <w:r w:rsidRPr="00D75D7F">
        <w:rPr>
          <w:rFonts w:eastAsia="SimSun" w:cs="Times New Roman"/>
          <w:szCs w:val="20"/>
          <w:lang w:val="en-GB" w:eastAsia="zh-CN"/>
        </w:rPr>
        <w:t>GAZ</w:t>
      </w:r>
      <w:r w:rsidRPr="00D75D7F">
        <w:rPr>
          <w:rFonts w:eastAsia="SimSun" w:cs="Times New Roman"/>
          <w:szCs w:val="20"/>
          <w:lang w:eastAsia="zh-CN"/>
        </w:rPr>
        <w:t xml:space="preserve">». </w:t>
      </w:r>
    </w:p>
    <w:p w14:paraId="15E777D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234.</w:t>
      </w:r>
      <w:r w:rsidRPr="00D75D7F">
        <w:rPr>
          <w:rFonts w:eastAsia="SimSun" w:cs="Times New Roman"/>
          <w:szCs w:val="20"/>
          <w:lang w:eastAsia="zh-CN"/>
        </w:rPr>
        <w:tab/>
        <w:t>В результате проведенной работы по совершенствованию и внедрению новых инновационных технологий количество видов электронных услуг, предоставляемых Государственной миграционной службой, увеличилось до 20.</w:t>
      </w:r>
    </w:p>
    <w:p w14:paraId="6BED1EB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235.</w:t>
      </w:r>
      <w:r w:rsidRPr="00D75D7F">
        <w:rPr>
          <w:rFonts w:eastAsia="SimSun" w:cs="Times New Roman"/>
          <w:szCs w:val="20"/>
          <w:lang w:eastAsia="zh-CN"/>
        </w:rPr>
        <w:tab/>
        <w:t>Обращения лиц, желающих получить статус беженца, изучаются в соответствии с Законом «О статусе беженцев и вынужденных переселенцев (лиц, перемещенных в пределах страны)» от 21 мая 1999 года и Правилами рассмотрения ходатайств о предоставлении статуса беженца, утвержденными Указом Президента Азербайджанской Республики от 13 ноября 2000 года.</w:t>
      </w:r>
    </w:p>
    <w:p w14:paraId="02C0216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236.</w:t>
      </w:r>
      <w:r w:rsidRPr="00D75D7F">
        <w:rPr>
          <w:rFonts w:eastAsia="SimSun" w:cs="Times New Roman"/>
          <w:szCs w:val="20"/>
          <w:lang w:eastAsia="zh-CN"/>
        </w:rPr>
        <w:tab/>
        <w:t>С учетом создания в Азербайджанской Республике эффективной системы предоставления убежища, а также в интересах обеспечения прав всех иностранцев и лиц без гражданства на подачу ходатайства о предоставлении статуса беженца без какой-либо дискриминации с 1 июля 2020 года на основании соглашения, заключенного между Государственной миграционной службой и Управлением Верховного комиссара Организации Объединенных Наций, Управление приостановило выдачу его представительством документов об опеке просителям убежища, и начиная с этой даты заявления просителей убежища рассматриваются только Государственной миграционной службой и национальными судами.</w:t>
      </w:r>
    </w:p>
    <w:p w14:paraId="1FCD6A6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237.</w:t>
      </w:r>
      <w:r w:rsidRPr="00D75D7F">
        <w:rPr>
          <w:rFonts w:eastAsia="SimSun" w:cs="Times New Roman"/>
          <w:szCs w:val="20"/>
          <w:lang w:eastAsia="zh-CN"/>
        </w:rPr>
        <w:tab/>
        <w:t>В целях обеспечения права на свободное передвижение лиц, получивших статус беженца, за пределами страны с начала 2020 года Государственная миграционная служба приступила к выдаче биометрических проездных документов, оформленных в соответствии со стандартами ИКАО, для лиц, получивших статус беженца в Азербайджанской Республике.</w:t>
      </w:r>
    </w:p>
    <w:p w14:paraId="26785F1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238.</w:t>
      </w:r>
      <w:r w:rsidRPr="00D75D7F">
        <w:rPr>
          <w:rFonts w:eastAsia="SimSun" w:cs="Times New Roman"/>
          <w:szCs w:val="20"/>
          <w:lang w:eastAsia="zh-CN"/>
        </w:rPr>
        <w:tab/>
        <w:t>В соответствии с Законом «О гражданстве Азербайджанской Республики» иностранцам и лицам без гражданства, получившим статус беженца в Азербайджане, может быть предоставлено гражданство Азербайджанской Республики на основании их ходатайства. В этом случае срок их постоянного проживания на территории страны исчисляется со дня получения статуса беженца. 23 февраля 2017 года были внесены поправки в Порядок рассмотрения ходатайств о предоставлении статуса беженца относительно процедуры обращения несопровождаемых детей с просьбой о получении статуса беженца. В соответствии с этими поправками несопровождаемые дети приравниваются к находящимся в Азербайджане детям, потерявшим родителей или лишенным родительской опеки. Их социальная защита гарантируется государством, и их права и интересы охраняются в соответствии с законом.</w:t>
      </w:r>
    </w:p>
    <w:p w14:paraId="72E4EC7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239.</w:t>
      </w:r>
      <w:r w:rsidRPr="00D75D7F">
        <w:rPr>
          <w:rFonts w:eastAsia="SimSun" w:cs="Times New Roman"/>
          <w:szCs w:val="20"/>
          <w:lang w:eastAsia="zh-CN"/>
        </w:rPr>
        <w:tab/>
        <w:t>С целью мониторинга и совершенствования системы оценки соблюдения прав несопровождаемых детей в стране в соответствии с Указом Президента Азербайджанской Республики от 22 июля 2022 года в Единой миграционной информационной системе Государственной миграционной службы была создана подсистема «Информация о несопровождаемых иностранцах в возрасте до 18 лет и лицах без гражданства» и для соответствующих государственных органов был обеспечен доступ к этой системе.</w:t>
      </w:r>
    </w:p>
    <w:p w14:paraId="5351704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240.</w:t>
      </w:r>
      <w:r w:rsidRPr="00D75D7F">
        <w:rPr>
          <w:rFonts w:eastAsia="SimSun" w:cs="Times New Roman"/>
          <w:szCs w:val="20"/>
          <w:lang w:eastAsia="zh-CN"/>
        </w:rPr>
        <w:tab/>
        <w:t>В интересах регулирования вопросов, связанных с социальной защитой детей, согласно соответствующим правилам, обеспечивающим наличие эффективного и действенного национального механизма обращения за помощью в области защиты детей, а также совершенствование правовой базы и институциональной структуры в данной сфере, в 2021 году под руководством Комитета по проблемам семьи, женщин и детей была создана Рабочая группа, состоящая из уполномоченных представителей соответствующих государственных органов. Одним из основных направлений деятельности этой группы является принятие соответствующих мер по обеспечению образования, здоровья и социальных прав беженцев и просителей убежища в стране, а также иностранцев и лиц без гражданства в возрасте до 18 лет, которые относятся к уязвимой группе населения.</w:t>
      </w:r>
    </w:p>
    <w:p w14:paraId="764CE07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241.</w:t>
      </w:r>
      <w:r w:rsidRPr="00D75D7F">
        <w:rPr>
          <w:rFonts w:eastAsia="SimSun" w:cs="Times New Roman"/>
          <w:szCs w:val="20"/>
          <w:lang w:eastAsia="zh-CN"/>
        </w:rPr>
        <w:tab/>
        <w:t>Кроме того, для координации работы по сокращению случаев безгражданства и документированию лиц без гражданства в Азербайджанской Республике при Государственной миграционной службе была создана Рабочая группа, имеющая статус координирующей структуры.</w:t>
      </w:r>
    </w:p>
    <w:p w14:paraId="7E4BB6B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242.</w:t>
      </w:r>
      <w:r w:rsidRPr="00D75D7F">
        <w:rPr>
          <w:rFonts w:eastAsia="SimSun" w:cs="Times New Roman"/>
          <w:szCs w:val="20"/>
          <w:lang w:eastAsia="zh-CN"/>
        </w:rPr>
        <w:tab/>
        <w:t>В соответствии с изменениями, внесенными 28 декабря 2018 года в Закон Азербайджанской Республики «О Государственном реестре населения Азербайджанской Республики», иностранные граждане и лица без гражданства, получившие статус беженца, наряду с гражданами Азербайджанской Республики были включены в категорию «население».</w:t>
      </w:r>
    </w:p>
    <w:p w14:paraId="39ADEFB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243.</w:t>
      </w:r>
      <w:r w:rsidRPr="00D75D7F">
        <w:rPr>
          <w:rFonts w:eastAsia="SimSun" w:cs="Times New Roman"/>
          <w:szCs w:val="20"/>
          <w:lang w:eastAsia="zh-CN"/>
        </w:rPr>
        <w:tab/>
        <w:t>Помимо этого, в соответствии с поправкой, внесенной 3 декабря 2019 года в Закон Азербайджанской Республики «О медицинском страховании», иностранцы, получившие статус беженца в Азербайджанской Республике и взятые под опеку Управлением Верховного комиссара Организации Объединенных Наций по делам беженцев в Азербайджанской Республике, были включены наравне с гражданами Азербайджанской Республики в категорию застрахованных лиц.</w:t>
      </w:r>
    </w:p>
    <w:p w14:paraId="60D0FEF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244.</w:t>
      </w:r>
      <w:r w:rsidRPr="00D75D7F">
        <w:rPr>
          <w:rFonts w:eastAsia="SimSun" w:cs="Times New Roman"/>
          <w:szCs w:val="20"/>
          <w:lang w:eastAsia="zh-CN"/>
        </w:rPr>
        <w:tab/>
        <w:t>Правительство Азербайджана продолжает осуществлять ряд комплексных мер, направленных на улучшение социально-экономического положения беженцев и внутренне перемещенных лиц и их временной интеграции в жизнь общества с учетом их права на безопасное возвращение на родные земли в будущем.</w:t>
      </w:r>
    </w:p>
    <w:p w14:paraId="4CD317C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245.</w:t>
      </w:r>
      <w:r w:rsidRPr="00D75D7F">
        <w:rPr>
          <w:rFonts w:eastAsia="SimSun" w:cs="Times New Roman"/>
          <w:szCs w:val="20"/>
          <w:lang w:eastAsia="zh-CN"/>
        </w:rPr>
        <w:tab/>
        <w:t>В настоящее время проводится целенаправленная работа по восстановлению освобожденных от оккупации территорий Азербайджанской Республики, обеспечению добровольного, безопасного и достойного возвращения внутренне перемещенных лиц, созданию безопасных условий и необходимой инфраструктуры для проживания на соответствующих территориях. Уже сейчас начался процесс постепенного переселения семей внутренне перемещенных лиц на освобожденные от оккупации территории.</w:t>
      </w:r>
    </w:p>
    <w:p w14:paraId="5943643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246.</w:t>
      </w:r>
      <w:r w:rsidRPr="00D75D7F">
        <w:rPr>
          <w:rFonts w:eastAsia="SimSun" w:cs="Times New Roman"/>
          <w:szCs w:val="20"/>
          <w:lang w:eastAsia="zh-CN"/>
        </w:rPr>
        <w:tab/>
        <w:t>В целях усиления социальной защиты и улучшения жилищных условий внутренне перемещенных лиц им выплачивается единое ежемесячное пособие. Кроме того, для внутренне перемещенных лиц в местах компактного временного проживания, не обеспеченных природным газом на индивидуальной основе, установлено предельное значение потребляемой мощности в размере 300 кВт/ч на человека в месяц, и оплата таких соответствующих услуг обеспечивается за счет средств государственного бюджета.</w:t>
      </w:r>
    </w:p>
    <w:p w14:paraId="09694E2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247.</w:t>
      </w:r>
      <w:r w:rsidRPr="00D75D7F">
        <w:rPr>
          <w:rFonts w:eastAsia="SimSun" w:cs="Times New Roman"/>
          <w:szCs w:val="20"/>
          <w:lang w:eastAsia="zh-CN"/>
        </w:rPr>
        <w:tab/>
        <w:t>Расходы на образование внутренне перемещенных лиц, обучающихся на платной основе на уровнях бакалавриата ((базового высшего) медицинского образования) и магистратуры (ординатуры) в государственных высших учебных заведениях Азербайджанской Республики и магистратуры Азербайджанской национальной академии наук, а также в государственных учреждениях системы среднего специального образования, покрываются за счет средств государственного бюджета.</w:t>
      </w:r>
    </w:p>
    <w:p w14:paraId="27E90245" w14:textId="5EEC107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248.</w:t>
      </w:r>
      <w:r w:rsidRPr="00D75D7F">
        <w:rPr>
          <w:rFonts w:eastAsia="SimSun" w:cs="Times New Roman"/>
          <w:szCs w:val="20"/>
          <w:lang w:eastAsia="zh-CN"/>
        </w:rPr>
        <w:tab/>
        <w:t>На освобожденных территориях Азербайджанской Республики планируется построить, согласно предварительным оценкам, 523 учебных заведения, в том числе</w:t>
      </w:r>
      <w:r w:rsidR="0085092B">
        <w:rPr>
          <w:rFonts w:eastAsia="SimSun" w:cs="Times New Roman"/>
          <w:szCs w:val="20"/>
          <w:lang w:eastAsia="zh-CN"/>
        </w:rPr>
        <w:br/>
      </w:r>
      <w:r w:rsidRPr="00D75D7F">
        <w:rPr>
          <w:rFonts w:eastAsia="SimSun" w:cs="Times New Roman"/>
          <w:szCs w:val="20"/>
          <w:lang w:eastAsia="zh-CN"/>
        </w:rPr>
        <w:t xml:space="preserve">1 профессиональное учебное заведение, 265 детских садов и 257 общеобразовательных учебных учреждений. 10 мая 2022 года был заложен фундамент лицея </w:t>
      </w:r>
      <w:r w:rsidRPr="00D75D7F">
        <w:rPr>
          <w:rFonts w:eastAsia="SimSun" w:cs="Times New Roman"/>
          <w:szCs w:val="20"/>
          <w:lang w:eastAsia="zh-CN"/>
        </w:rPr>
        <w:lastRenderedPageBreak/>
        <w:t>профессионального образования в Физули. Территория учебного заведения займет площадь в 3,2 гектара, и на ней будут располагаться учебные, лабораторные и спортивные корпуса. 15 сентября 2022 года в средней школе села Агалы Зангеланского района прошел первый учебный день. Школа рассчитана на 360 учеников.</w:t>
      </w:r>
    </w:p>
    <w:p w14:paraId="3108D67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249.</w:t>
      </w:r>
      <w:r w:rsidRPr="00D75D7F">
        <w:rPr>
          <w:rFonts w:eastAsia="SimSun" w:cs="Times New Roman"/>
          <w:szCs w:val="20"/>
          <w:lang w:eastAsia="zh-CN"/>
        </w:rPr>
        <w:tab/>
        <w:t>Национальное законодательство регулирует право на свободный, беспрепятственный и равноправный доступ к информации, правовую базу для обработки, хранения, поиска и распространения информации и порядок создания и использования информационных систем, технологий и вспомогательных ресурсов на основе принципов открытого общества и демократического правового государства, а также отношения, возникающие в связи с защитой информации и определением прав участников информационных процессов.</w:t>
      </w:r>
    </w:p>
    <w:p w14:paraId="3B17DB4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250.</w:t>
      </w:r>
      <w:r w:rsidRPr="00D75D7F">
        <w:rPr>
          <w:rFonts w:eastAsia="SimSun" w:cs="Times New Roman"/>
          <w:szCs w:val="20"/>
          <w:lang w:eastAsia="zh-CN"/>
        </w:rPr>
        <w:tab/>
        <w:t>Указом Президента Азербайджанской Республики от 3 июня 2019 года о создании «правительственного облака» (</w:t>
      </w:r>
      <w:r w:rsidRPr="00D75D7F">
        <w:rPr>
          <w:rFonts w:eastAsia="SimSun" w:cs="Times New Roman"/>
          <w:szCs w:val="20"/>
          <w:lang w:val="en-GB" w:eastAsia="zh-CN"/>
        </w:rPr>
        <w:t>G</w:t>
      </w:r>
      <w:r w:rsidRPr="00D75D7F">
        <w:rPr>
          <w:rFonts w:eastAsia="SimSun" w:cs="Times New Roman"/>
          <w:szCs w:val="20"/>
          <w:lang w:eastAsia="zh-CN"/>
        </w:rPr>
        <w:t>-</w:t>
      </w:r>
      <w:r w:rsidRPr="00D75D7F">
        <w:rPr>
          <w:rFonts w:eastAsia="SimSun" w:cs="Times New Roman"/>
          <w:szCs w:val="20"/>
          <w:lang w:val="en-GB" w:eastAsia="zh-CN"/>
        </w:rPr>
        <w:t>cloud</w:t>
      </w:r>
      <w:r w:rsidRPr="00D75D7F">
        <w:rPr>
          <w:rFonts w:eastAsia="SimSun" w:cs="Times New Roman"/>
          <w:szCs w:val="20"/>
          <w:lang w:eastAsia="zh-CN"/>
        </w:rPr>
        <w:t>) и мерах в сфере предоставления «облачных» услуг была утверждена рамочная концепция «правительственного облака». Постановлением Кабинета министров Азербайджанской Республики № 428 от 29 октября 2020 года был утвержден План перехода государственных информационных систем и ресурсов в «правительственное облако». В соответствии с этим планом начался постепенный перевод в «облако» информационных систем государственных органов.</w:t>
      </w:r>
    </w:p>
    <w:p w14:paraId="1D4358E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251.</w:t>
      </w:r>
      <w:r w:rsidRPr="00D75D7F">
        <w:rPr>
          <w:rFonts w:eastAsia="SimSun" w:cs="Times New Roman"/>
          <w:szCs w:val="20"/>
          <w:lang w:eastAsia="zh-CN"/>
        </w:rPr>
        <w:tab/>
        <w:t>Действующее национальное законодательство не содержит каких-либо положений о прекращении или ограничении доступа к Интернету, телекоммуникационным сетям или веб-сайтам. Согласно Закону Азербайджанской Республики «О телекоммуникациях», использование телекоммуникационных сетей, средств и структур может быть приостановлено или ограничено только в случае возникновения экстремальных ситуаций и введения чрезвычайного и военного положения или же в этой связи могут применяться специальные правила использования связи. Кроме того, ограничения могут применяться в случае размещения информации, распространение которой запрещено в соответствии с Законом «Об информации, информатизации и защите информации».</w:t>
      </w:r>
    </w:p>
    <w:p w14:paraId="3BB58AC7" w14:textId="29C6422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252.</w:t>
      </w:r>
      <w:r w:rsidRPr="00D75D7F">
        <w:rPr>
          <w:rFonts w:eastAsia="SimSun" w:cs="Times New Roman"/>
          <w:szCs w:val="20"/>
          <w:lang w:eastAsia="zh-CN"/>
        </w:rPr>
        <w:tab/>
        <w:t>В соответствии со статьей 6.3 Гражданского кодекса Азербайджанской Республики гражданские права могут быть ограничены только законом в случае необходимости защиты общественной безопасности, общественного порядка, здоровья и нравственности общества, защиты прав и свобод, чести и достоинства других лиц.</w:t>
      </w:r>
    </w:p>
    <w:p w14:paraId="3E99C25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253.</w:t>
      </w:r>
      <w:r w:rsidRPr="00D75D7F">
        <w:rPr>
          <w:rFonts w:eastAsia="SimSun" w:cs="Times New Roman"/>
          <w:szCs w:val="20"/>
          <w:lang w:eastAsia="zh-CN"/>
        </w:rPr>
        <w:tab/>
        <w:t>В последние годы были предприняты важные шаги в сфере занятости, социального обеспечения и защиты уязвимых групп населения.</w:t>
      </w:r>
    </w:p>
    <w:p w14:paraId="2BC27454"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254.</w:t>
      </w:r>
      <w:r w:rsidRPr="00D75D7F">
        <w:rPr>
          <w:rFonts w:eastAsia="SimSun" w:cs="Times New Roman"/>
          <w:szCs w:val="20"/>
          <w:lang w:eastAsia="zh-CN"/>
        </w:rPr>
        <w:tab/>
        <w:t>Для обеспечения прозрачности и полной электронизации государственных услуг в сфере труда, занятости, социальной защиты, а также инновационного управления с использованием информационных технологий и предоставления услуг населению на основе единой платформы была создана «Централизованная электронная информационная система» (ЦЭИС) на базе информационных систем Министерства труда и социальной защиты населения.</w:t>
      </w:r>
    </w:p>
    <w:p w14:paraId="5DF58EBC" w14:textId="299AF961"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255.</w:t>
      </w:r>
      <w:r w:rsidRPr="00D75D7F">
        <w:rPr>
          <w:rFonts w:eastAsia="SimSun" w:cs="Times New Roman"/>
          <w:szCs w:val="20"/>
          <w:lang w:eastAsia="zh-CN"/>
        </w:rPr>
        <w:tab/>
        <w:t>В результате реализации масштабной программы цифровизации социальной сферы в последние годы уровень электронизации услуг Министерства труда и социальной защиты населения превысил 90</w:t>
      </w:r>
      <w:r w:rsidR="0085092B">
        <w:rPr>
          <w:rFonts w:eastAsia="SimSun" w:cs="Times New Roman"/>
          <w:szCs w:val="20"/>
          <w:lang w:eastAsia="zh-CN"/>
        </w:rPr>
        <w:t> </w:t>
      </w:r>
      <w:r w:rsidRPr="00D75D7F">
        <w:rPr>
          <w:rFonts w:eastAsia="SimSun" w:cs="Times New Roman"/>
          <w:szCs w:val="20"/>
          <w:lang w:eastAsia="zh-CN"/>
        </w:rPr>
        <w:t>%. Более 140 из 153 видов услуг предоставляются в электронном формате. В связи с внедрением механизма заблаговременного назначения социальных услуг с 2019 года оказывается</w:t>
      </w:r>
      <w:r w:rsidR="0085092B">
        <w:rPr>
          <w:rFonts w:eastAsia="SimSun" w:cs="Times New Roman"/>
          <w:szCs w:val="20"/>
          <w:lang w:eastAsia="zh-CN"/>
        </w:rPr>
        <w:br/>
      </w:r>
      <w:r w:rsidRPr="00D75D7F">
        <w:rPr>
          <w:rFonts w:eastAsia="SimSun" w:cs="Times New Roman"/>
          <w:szCs w:val="20"/>
          <w:lang w:eastAsia="zh-CN"/>
        </w:rPr>
        <w:t>51 упреждающая услуга.</w:t>
      </w:r>
    </w:p>
    <w:p w14:paraId="3071A26E" w14:textId="559822D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256.</w:t>
      </w:r>
      <w:r w:rsidRPr="00D75D7F">
        <w:rPr>
          <w:rFonts w:eastAsia="SimSun" w:cs="Times New Roman"/>
          <w:szCs w:val="20"/>
          <w:lang w:eastAsia="zh-CN"/>
        </w:rPr>
        <w:tab/>
        <w:t>Электронная подсистема «Занятость» (ЭПЗ) обеспечивает предоставление услуг по трудоустройству безработным и ищущим работу гражданам,</w:t>
      </w:r>
      <w:r w:rsidR="0085092B">
        <w:rPr>
          <w:rFonts w:eastAsia="SimSun" w:cs="Times New Roman"/>
          <w:szCs w:val="20"/>
          <w:lang w:eastAsia="zh-CN"/>
        </w:rPr>
        <w:br/>
      </w:r>
      <w:r w:rsidRPr="00D75D7F">
        <w:rPr>
          <w:rFonts w:eastAsia="SimSun" w:cs="Times New Roman"/>
          <w:szCs w:val="20"/>
          <w:lang w:eastAsia="zh-CN"/>
        </w:rPr>
        <w:t>а также работодателям на электронной платформе. Эта система включает в себя регистр занятого населения, регистр безработных и ищущих работу</w:t>
      </w:r>
      <w:r w:rsidR="0085092B">
        <w:rPr>
          <w:rFonts w:eastAsia="SimSun" w:cs="Times New Roman"/>
          <w:szCs w:val="20"/>
          <w:lang w:eastAsia="zh-CN"/>
        </w:rPr>
        <w:br/>
      </w:r>
      <w:r w:rsidRPr="00D75D7F">
        <w:rPr>
          <w:rFonts w:eastAsia="SimSun" w:cs="Times New Roman"/>
          <w:szCs w:val="20"/>
          <w:lang w:eastAsia="zh-CN"/>
        </w:rPr>
        <w:t>граждан, автоматизированный банк вакансий, а также все электронные услуги, оказываемые Государственным агентством занятости (</w:t>
      </w:r>
      <w:hyperlink r:id="rId10" w:anchor="/index" w:history="1">
        <w:r w:rsidRPr="00D75D7F">
          <w:rPr>
            <w:rFonts w:eastAsia="SimSun" w:cs="Times New Roman"/>
            <w:color w:val="0000FF"/>
            <w:szCs w:val="20"/>
            <w:lang w:val="en-GB" w:eastAsia="zh-CN"/>
          </w:rPr>
          <w:t>https</w:t>
        </w:r>
        <w:r w:rsidRPr="00D75D7F">
          <w:rPr>
            <w:rFonts w:eastAsia="SimSun" w:cs="Times New Roman"/>
            <w:color w:val="0000FF"/>
            <w:szCs w:val="20"/>
            <w:lang w:eastAsia="zh-CN"/>
          </w:rPr>
          <w:t>://</w:t>
        </w:r>
        <w:r w:rsidRPr="00D75D7F">
          <w:rPr>
            <w:rFonts w:eastAsia="SimSun" w:cs="Times New Roman"/>
            <w:color w:val="0000FF"/>
            <w:szCs w:val="20"/>
            <w:lang w:val="en-GB" w:eastAsia="zh-CN"/>
          </w:rPr>
          <w:t>e</w:t>
        </w:r>
        <w:r w:rsidRPr="00D75D7F">
          <w:rPr>
            <w:rFonts w:eastAsia="SimSun" w:cs="Times New Roman"/>
            <w:color w:val="0000FF"/>
            <w:szCs w:val="20"/>
            <w:lang w:eastAsia="zh-CN"/>
          </w:rPr>
          <w:t>-</w:t>
        </w:r>
        <w:r w:rsidRPr="00D75D7F">
          <w:rPr>
            <w:rFonts w:eastAsia="SimSun" w:cs="Times New Roman"/>
            <w:color w:val="0000FF"/>
            <w:szCs w:val="20"/>
            <w:lang w:val="en-GB" w:eastAsia="zh-CN"/>
          </w:rPr>
          <w:t>s</w:t>
        </w:r>
        <w:r w:rsidRPr="00D75D7F">
          <w:rPr>
            <w:rFonts w:eastAsia="SimSun" w:cs="Times New Roman"/>
            <w:color w:val="0000FF"/>
            <w:szCs w:val="20"/>
            <w:lang w:val="en-GB" w:eastAsia="zh-CN"/>
          </w:rPr>
          <w:t>osial</w:t>
        </w:r>
        <w:r w:rsidRPr="00D75D7F">
          <w:rPr>
            <w:rFonts w:eastAsia="SimSun" w:cs="Times New Roman"/>
            <w:color w:val="0000FF"/>
            <w:szCs w:val="20"/>
            <w:lang w:eastAsia="zh-CN"/>
          </w:rPr>
          <w:t>.</w:t>
        </w:r>
        <w:r w:rsidRPr="00D75D7F">
          <w:rPr>
            <w:rFonts w:eastAsia="SimSun" w:cs="Times New Roman"/>
            <w:color w:val="0000FF"/>
            <w:szCs w:val="20"/>
            <w:lang w:val="en-GB" w:eastAsia="zh-CN"/>
          </w:rPr>
          <w:t>az</w:t>
        </w:r>
        <w:r w:rsidRPr="00D75D7F">
          <w:rPr>
            <w:rFonts w:eastAsia="SimSun" w:cs="Times New Roman"/>
            <w:color w:val="0000FF"/>
            <w:szCs w:val="20"/>
            <w:lang w:eastAsia="zh-CN"/>
          </w:rPr>
          <w:t>/#/</w:t>
        </w:r>
        <w:r w:rsidRPr="00D75D7F">
          <w:rPr>
            <w:rFonts w:eastAsia="SimSun" w:cs="Times New Roman"/>
            <w:color w:val="0000FF"/>
            <w:szCs w:val="20"/>
            <w:lang w:val="en-GB" w:eastAsia="zh-CN"/>
          </w:rPr>
          <w:t>index</w:t>
        </w:r>
      </w:hyperlink>
      <w:r w:rsidRPr="00D75D7F">
        <w:rPr>
          <w:rFonts w:eastAsia="SimSun" w:cs="Times New Roman"/>
          <w:szCs w:val="20"/>
          <w:lang w:eastAsia="zh-CN"/>
        </w:rPr>
        <w:t xml:space="preserve"> </w:t>
      </w:r>
      <w:hyperlink r:id="rId11" w:history="1">
        <w:r w:rsidRPr="00D75D7F">
          <w:rPr>
            <w:rFonts w:eastAsia="SimSun" w:cs="Times New Roman"/>
            <w:color w:val="0000FF"/>
            <w:szCs w:val="20"/>
            <w:lang w:val="en-GB" w:eastAsia="zh-CN"/>
          </w:rPr>
          <w:t>https</w:t>
        </w:r>
        <w:r w:rsidRPr="00D75D7F">
          <w:rPr>
            <w:rFonts w:eastAsia="SimSun" w:cs="Times New Roman"/>
            <w:color w:val="0000FF"/>
            <w:szCs w:val="20"/>
            <w:lang w:eastAsia="zh-CN"/>
          </w:rPr>
          <w:t>://</w:t>
        </w:r>
        <w:r w:rsidRPr="00D75D7F">
          <w:rPr>
            <w:rFonts w:eastAsia="SimSun" w:cs="Times New Roman"/>
            <w:color w:val="0000FF"/>
            <w:szCs w:val="20"/>
            <w:lang w:val="en-GB" w:eastAsia="zh-CN"/>
          </w:rPr>
          <w:t>ww</w:t>
        </w:r>
        <w:r w:rsidRPr="00D75D7F">
          <w:rPr>
            <w:rFonts w:eastAsia="SimSun" w:cs="Times New Roman"/>
            <w:color w:val="0000FF"/>
            <w:szCs w:val="20"/>
            <w:lang w:val="en-GB" w:eastAsia="zh-CN"/>
          </w:rPr>
          <w:t>w</w:t>
        </w:r>
        <w:r w:rsidRPr="00D75D7F">
          <w:rPr>
            <w:rFonts w:eastAsia="SimSun" w:cs="Times New Roman"/>
            <w:color w:val="0000FF"/>
            <w:szCs w:val="20"/>
            <w:lang w:eastAsia="zh-CN"/>
          </w:rPr>
          <w:t>.</w:t>
        </w:r>
        <w:r w:rsidRPr="00D75D7F">
          <w:rPr>
            <w:rFonts w:eastAsia="SimSun" w:cs="Times New Roman"/>
            <w:color w:val="0000FF"/>
            <w:szCs w:val="20"/>
            <w:lang w:val="en-GB" w:eastAsia="zh-CN"/>
          </w:rPr>
          <w:t>e</w:t>
        </w:r>
        <w:r w:rsidRPr="00D75D7F">
          <w:rPr>
            <w:rFonts w:eastAsia="SimSun" w:cs="Times New Roman"/>
            <w:color w:val="0000FF"/>
            <w:szCs w:val="20"/>
            <w:lang w:eastAsia="zh-CN"/>
          </w:rPr>
          <w:t>-</w:t>
        </w:r>
        <w:r w:rsidRPr="00D75D7F">
          <w:rPr>
            <w:rFonts w:eastAsia="SimSun" w:cs="Times New Roman"/>
            <w:color w:val="0000FF"/>
            <w:szCs w:val="20"/>
            <w:lang w:val="en-GB" w:eastAsia="zh-CN"/>
          </w:rPr>
          <w:t>gov</w:t>
        </w:r>
        <w:r w:rsidRPr="00D75D7F">
          <w:rPr>
            <w:rFonts w:eastAsia="SimSun" w:cs="Times New Roman"/>
            <w:color w:val="0000FF"/>
            <w:szCs w:val="20"/>
            <w:lang w:eastAsia="zh-CN"/>
          </w:rPr>
          <w:t>.</w:t>
        </w:r>
        <w:r w:rsidRPr="00D75D7F">
          <w:rPr>
            <w:rFonts w:eastAsia="SimSun" w:cs="Times New Roman"/>
            <w:color w:val="0000FF"/>
            <w:szCs w:val="20"/>
            <w:lang w:val="en-GB" w:eastAsia="zh-CN"/>
          </w:rPr>
          <w:t>az</w:t>
        </w:r>
        <w:r w:rsidRPr="00D75D7F">
          <w:rPr>
            <w:rFonts w:eastAsia="SimSun" w:cs="Times New Roman"/>
            <w:color w:val="0000FF"/>
            <w:szCs w:val="20"/>
            <w:lang w:eastAsia="zh-CN"/>
          </w:rPr>
          <w:t>/</w:t>
        </w:r>
      </w:hyperlink>
      <w:r w:rsidRPr="00D75D7F">
        <w:rPr>
          <w:rFonts w:eastAsia="SimSun" w:cs="Times New Roman"/>
          <w:szCs w:val="20"/>
          <w:lang w:eastAsia="zh-CN"/>
        </w:rPr>
        <w:t>).</w:t>
      </w:r>
    </w:p>
    <w:p w14:paraId="1271318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257.</w:t>
      </w:r>
      <w:r w:rsidRPr="00D75D7F">
        <w:rPr>
          <w:rFonts w:eastAsia="SimSun" w:cs="Times New Roman"/>
          <w:szCs w:val="20"/>
          <w:lang w:eastAsia="zh-CN"/>
        </w:rPr>
        <w:tab/>
        <w:t>В 2022 году в эксплуатацию была введена новая подсистема «Трудовые отношения и занятость» (ПТОЗ), позволяющая решать все вопросы в сфере труда и занятости с помощью единой операционной платформы. Эта система, построенная на основе инновационных решений, открывает новые перспективы для регулирования трудовых отношений, предотвращения неформальной занятости, развития рынка труда и расширения возможностей трудоустройства населения.</w:t>
      </w:r>
    </w:p>
    <w:p w14:paraId="1B85BA2C" w14:textId="505C3E2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258.</w:t>
      </w:r>
      <w:r w:rsidRPr="00D75D7F">
        <w:rPr>
          <w:rFonts w:eastAsia="SimSun" w:cs="Times New Roman"/>
          <w:szCs w:val="20"/>
          <w:lang w:eastAsia="zh-CN"/>
        </w:rPr>
        <w:tab/>
        <w:t xml:space="preserve">В 2022 году ежемесячные пособия получали 403 </w:t>
      </w:r>
      <w:r w:rsidR="0085092B">
        <w:rPr>
          <w:rFonts w:eastAsia="SimSun" w:cs="Times New Roman"/>
          <w:szCs w:val="20"/>
          <w:lang w:eastAsia="zh-CN"/>
        </w:rPr>
        <w:t>000</w:t>
      </w:r>
      <w:r w:rsidRPr="00D75D7F">
        <w:rPr>
          <w:rFonts w:eastAsia="SimSun" w:cs="Times New Roman"/>
          <w:szCs w:val="20"/>
          <w:lang w:eastAsia="zh-CN"/>
        </w:rPr>
        <w:t xml:space="preserve"> человек (4 % населения), единовременные пособия — 75 </w:t>
      </w:r>
      <w:r w:rsidR="0085092B">
        <w:rPr>
          <w:rFonts w:eastAsia="SimSun" w:cs="Times New Roman"/>
          <w:szCs w:val="20"/>
          <w:lang w:eastAsia="zh-CN"/>
        </w:rPr>
        <w:t>000</w:t>
      </w:r>
      <w:r w:rsidRPr="00D75D7F">
        <w:rPr>
          <w:rFonts w:eastAsia="SimSun" w:cs="Times New Roman"/>
          <w:szCs w:val="20"/>
          <w:lang w:eastAsia="zh-CN"/>
        </w:rPr>
        <w:t xml:space="preserve"> человек (0,7 % населения), социальные</w:t>
      </w:r>
      <w:r w:rsidR="0085092B">
        <w:rPr>
          <w:rFonts w:eastAsia="SimSun" w:cs="Times New Roman"/>
          <w:szCs w:val="20"/>
          <w:lang w:eastAsia="zh-CN"/>
        </w:rPr>
        <w:br/>
      </w:r>
      <w:r w:rsidRPr="00D75D7F">
        <w:rPr>
          <w:rFonts w:eastAsia="SimSun" w:cs="Times New Roman"/>
          <w:szCs w:val="20"/>
          <w:lang w:eastAsia="zh-CN"/>
        </w:rPr>
        <w:t xml:space="preserve">выплаты — 478 </w:t>
      </w:r>
      <w:r w:rsidR="0085092B">
        <w:rPr>
          <w:rFonts w:eastAsia="SimSun" w:cs="Times New Roman"/>
          <w:szCs w:val="20"/>
          <w:lang w:eastAsia="zh-CN"/>
        </w:rPr>
        <w:t>000</w:t>
      </w:r>
      <w:r w:rsidRPr="00D75D7F">
        <w:rPr>
          <w:rFonts w:eastAsia="SimSun" w:cs="Times New Roman"/>
          <w:szCs w:val="20"/>
          <w:lang w:eastAsia="zh-CN"/>
        </w:rPr>
        <w:t xml:space="preserve"> человек (4,7 % населения), президентскую пенсию —</w:t>
      </w:r>
      <w:r w:rsidR="0085092B">
        <w:rPr>
          <w:rFonts w:eastAsia="SimSun" w:cs="Times New Roman"/>
          <w:szCs w:val="20"/>
          <w:lang w:eastAsia="zh-CN"/>
        </w:rPr>
        <w:br/>
      </w:r>
      <w:r w:rsidRPr="00D75D7F">
        <w:rPr>
          <w:rFonts w:eastAsia="SimSun" w:cs="Times New Roman"/>
          <w:szCs w:val="20"/>
          <w:lang w:eastAsia="zh-CN"/>
        </w:rPr>
        <w:t xml:space="preserve">368 </w:t>
      </w:r>
      <w:r w:rsidR="0085092B">
        <w:rPr>
          <w:rFonts w:eastAsia="SimSun" w:cs="Times New Roman"/>
          <w:szCs w:val="20"/>
          <w:lang w:eastAsia="zh-CN"/>
        </w:rPr>
        <w:t>000</w:t>
      </w:r>
      <w:r w:rsidRPr="00D75D7F">
        <w:rPr>
          <w:rFonts w:eastAsia="SimSun" w:cs="Times New Roman"/>
          <w:szCs w:val="20"/>
          <w:lang w:eastAsia="zh-CN"/>
        </w:rPr>
        <w:t xml:space="preserve"> человек (3,6 % населения).</w:t>
      </w:r>
    </w:p>
    <w:p w14:paraId="7443F150" w14:textId="4248CAA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259.</w:t>
      </w:r>
      <w:r w:rsidRPr="00D75D7F">
        <w:rPr>
          <w:rFonts w:eastAsia="SimSun" w:cs="Times New Roman"/>
          <w:szCs w:val="20"/>
          <w:lang w:eastAsia="zh-CN"/>
        </w:rPr>
        <w:tab/>
        <w:t xml:space="preserve">В 2022 году социальные выплаты и пенсии в электронном виде были назначены в общей сложности 208 </w:t>
      </w:r>
      <w:r w:rsidR="0085092B">
        <w:rPr>
          <w:rFonts w:eastAsia="SimSun" w:cs="Times New Roman"/>
          <w:szCs w:val="20"/>
          <w:lang w:eastAsia="zh-CN"/>
        </w:rPr>
        <w:t>000</w:t>
      </w:r>
      <w:r w:rsidRPr="00D75D7F">
        <w:rPr>
          <w:rFonts w:eastAsia="SimSun" w:cs="Times New Roman"/>
          <w:szCs w:val="20"/>
          <w:lang w:eastAsia="zh-CN"/>
        </w:rPr>
        <w:t xml:space="preserve"> граждан.</w:t>
      </w:r>
    </w:p>
    <w:p w14:paraId="6D8D8744" w14:textId="763823A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260.</w:t>
      </w:r>
      <w:r w:rsidRPr="00D75D7F">
        <w:rPr>
          <w:rFonts w:eastAsia="SimSun" w:cs="Times New Roman"/>
          <w:szCs w:val="20"/>
          <w:lang w:eastAsia="zh-CN"/>
        </w:rPr>
        <w:tab/>
        <w:t>В 2022 году продолжалась выплата адресной государственной социальной помощи для повышения материального благосостояния малообеспеченных семей.</w:t>
      </w:r>
      <w:r w:rsidR="0085092B">
        <w:rPr>
          <w:rFonts w:eastAsia="SimSun" w:cs="Times New Roman"/>
          <w:szCs w:val="20"/>
          <w:lang w:eastAsia="zh-CN"/>
        </w:rPr>
        <w:br/>
      </w:r>
      <w:r w:rsidRPr="00D75D7F">
        <w:rPr>
          <w:rFonts w:eastAsia="SimSun" w:cs="Times New Roman"/>
          <w:szCs w:val="20"/>
          <w:lang w:eastAsia="zh-CN"/>
        </w:rPr>
        <w:t xml:space="preserve">В 2022 году адресную государственную социальную помощь получили 290 </w:t>
      </w:r>
      <w:r w:rsidR="0085092B">
        <w:rPr>
          <w:rFonts w:eastAsia="SimSun" w:cs="Times New Roman"/>
          <w:szCs w:val="20"/>
          <w:lang w:eastAsia="zh-CN"/>
        </w:rPr>
        <w:t>000</w:t>
      </w:r>
      <w:r w:rsidRPr="00D75D7F">
        <w:rPr>
          <w:rFonts w:eastAsia="SimSun" w:cs="Times New Roman"/>
          <w:szCs w:val="20"/>
          <w:lang w:eastAsia="zh-CN"/>
        </w:rPr>
        <w:t xml:space="preserve"> членов семей из 65 </w:t>
      </w:r>
      <w:r w:rsidR="0085092B">
        <w:rPr>
          <w:rFonts w:eastAsia="SimSun" w:cs="Times New Roman"/>
          <w:szCs w:val="20"/>
          <w:lang w:eastAsia="zh-CN"/>
        </w:rPr>
        <w:t>000</w:t>
      </w:r>
      <w:r w:rsidRPr="00D75D7F">
        <w:rPr>
          <w:rFonts w:eastAsia="SimSun" w:cs="Times New Roman"/>
          <w:szCs w:val="20"/>
          <w:lang w:eastAsia="zh-CN"/>
        </w:rPr>
        <w:t xml:space="preserve"> семей. Средний размер социальных пособий на семью составил</w:t>
      </w:r>
      <w:r w:rsidR="0085092B">
        <w:rPr>
          <w:rFonts w:eastAsia="SimSun" w:cs="Times New Roman"/>
          <w:szCs w:val="20"/>
          <w:lang w:eastAsia="zh-CN"/>
        </w:rPr>
        <w:br/>
      </w:r>
      <w:r w:rsidRPr="00D75D7F">
        <w:rPr>
          <w:rFonts w:eastAsia="SimSun" w:cs="Times New Roman"/>
          <w:szCs w:val="20"/>
          <w:lang w:eastAsia="zh-CN"/>
        </w:rPr>
        <w:t>392 маната, что на 40 % больше, чем в 2021 году (в первом квартале 2023 года —</w:t>
      </w:r>
      <w:r w:rsidR="0085092B">
        <w:rPr>
          <w:rFonts w:eastAsia="SimSun" w:cs="Times New Roman"/>
          <w:szCs w:val="20"/>
          <w:lang w:eastAsia="zh-CN"/>
        </w:rPr>
        <w:br/>
      </w:r>
      <w:r w:rsidRPr="00D75D7F">
        <w:rPr>
          <w:rFonts w:eastAsia="SimSun" w:cs="Times New Roman"/>
          <w:szCs w:val="20"/>
          <w:lang w:eastAsia="zh-CN"/>
        </w:rPr>
        <w:t>424 маната (рост на 42 %)).</w:t>
      </w:r>
    </w:p>
    <w:p w14:paraId="698B299F" w14:textId="51A0427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261.</w:t>
      </w:r>
      <w:r w:rsidRPr="00D75D7F">
        <w:rPr>
          <w:rFonts w:eastAsia="SimSun" w:cs="Times New Roman"/>
          <w:szCs w:val="20"/>
          <w:lang w:eastAsia="zh-CN"/>
        </w:rPr>
        <w:tab/>
        <w:t>Распоряжением Президента Азербайджанской Республики была утверждена Стратегия занятости населения Азербайджанской Республики на 2019−2030 годы.</w:t>
      </w:r>
      <w:r w:rsidR="0085092B">
        <w:rPr>
          <w:rFonts w:eastAsia="SimSun" w:cs="Times New Roman"/>
          <w:szCs w:val="20"/>
          <w:lang w:eastAsia="zh-CN"/>
        </w:rPr>
        <w:br/>
      </w:r>
      <w:r w:rsidRPr="00D75D7F">
        <w:rPr>
          <w:rFonts w:eastAsia="SimSun" w:cs="Times New Roman"/>
          <w:szCs w:val="20"/>
          <w:lang w:eastAsia="zh-CN"/>
        </w:rPr>
        <w:t>С целью содействия занятости и социальному благополучию населения были реализованы масштабные мероприятия по поддержке более 4,8 млн граждан.</w:t>
      </w:r>
    </w:p>
    <w:p w14:paraId="1AC8A496" w14:textId="3B43DD9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262.</w:t>
      </w:r>
      <w:r w:rsidRPr="00D75D7F">
        <w:rPr>
          <w:rFonts w:eastAsia="SimSun" w:cs="Times New Roman"/>
          <w:szCs w:val="20"/>
          <w:lang w:eastAsia="zh-CN"/>
        </w:rPr>
        <w:tab/>
        <w:t xml:space="preserve">Начиная с 2017 года в целях расширения возможностей трудоустройства безработных и ищущих работу граждан, а также развития их предпринимательских способностей Государственное агентство занятости осуществляет программу самозанятости. За пять лет реализации этой программы, которая является одной из наиболее эффективных программ занятости, показатель охвата лиц, участвующих в ней, увеличился в 15 раз и в 2022 году составил более 16 </w:t>
      </w:r>
      <w:r w:rsidR="0085092B">
        <w:rPr>
          <w:rFonts w:eastAsia="SimSun" w:cs="Times New Roman"/>
          <w:szCs w:val="20"/>
          <w:lang w:eastAsia="zh-CN"/>
        </w:rPr>
        <w:t>000</w:t>
      </w:r>
      <w:r w:rsidRPr="00D75D7F">
        <w:rPr>
          <w:rFonts w:eastAsia="SimSun" w:cs="Times New Roman"/>
          <w:szCs w:val="20"/>
          <w:lang w:eastAsia="zh-CN"/>
        </w:rPr>
        <w:t xml:space="preserve"> человек в год. В первом квартале 2023 года этот показатель составил 994 человека. За весь период реализации программы были созданы малые семейные фермы для более 60 </w:t>
      </w:r>
      <w:r w:rsidR="0085092B">
        <w:rPr>
          <w:rFonts w:eastAsia="SimSun" w:cs="Times New Roman"/>
          <w:szCs w:val="20"/>
          <w:lang w:eastAsia="zh-CN"/>
        </w:rPr>
        <w:t>000</w:t>
      </w:r>
      <w:r w:rsidRPr="00D75D7F">
        <w:rPr>
          <w:rFonts w:eastAsia="SimSun" w:cs="Times New Roman"/>
          <w:szCs w:val="20"/>
          <w:lang w:eastAsia="zh-CN"/>
        </w:rPr>
        <w:t xml:space="preserve"> семей.</w:t>
      </w:r>
    </w:p>
    <w:p w14:paraId="1E5ED095" w14:textId="3BA1CE8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263.</w:t>
      </w:r>
      <w:r w:rsidRPr="00D75D7F">
        <w:rPr>
          <w:rFonts w:eastAsia="SimSun" w:cs="Times New Roman"/>
          <w:szCs w:val="20"/>
          <w:lang w:eastAsia="zh-CN"/>
        </w:rPr>
        <w:tab/>
        <w:t>В послевоенный период был реализован проект «Марафон занятости», направленный на поощрение активного участия работодателей в трудоустройстве членов семей погибших и пострадавших ветеранов Отечественной войны.</w:t>
      </w:r>
      <w:r w:rsidR="0085092B">
        <w:rPr>
          <w:rFonts w:eastAsia="SimSun" w:cs="Times New Roman"/>
          <w:szCs w:val="20"/>
          <w:lang w:eastAsia="zh-CN"/>
        </w:rPr>
        <w:br/>
      </w:r>
      <w:r w:rsidRPr="00D75D7F">
        <w:rPr>
          <w:rFonts w:eastAsia="SimSun" w:cs="Times New Roman"/>
          <w:szCs w:val="20"/>
          <w:lang w:eastAsia="zh-CN"/>
        </w:rPr>
        <w:t>В результате реализации этого проекта было трудоустроено 2538 человек.</w:t>
      </w:r>
    </w:p>
    <w:p w14:paraId="36749F8C" w14:textId="6111D6A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264.</w:t>
      </w:r>
      <w:r w:rsidRPr="00D75D7F">
        <w:rPr>
          <w:rFonts w:eastAsia="SimSun" w:cs="Times New Roman"/>
          <w:szCs w:val="20"/>
          <w:lang w:eastAsia="zh-CN"/>
        </w:rPr>
        <w:tab/>
        <w:t>Благодаря предпринятым в 2022 году мерам, связанным с трудоустройством,</w:t>
      </w:r>
      <w:r w:rsidR="0085092B">
        <w:rPr>
          <w:rFonts w:eastAsia="SimSun" w:cs="Times New Roman"/>
          <w:szCs w:val="20"/>
          <w:lang w:eastAsia="zh-CN"/>
        </w:rPr>
        <w:br/>
      </w:r>
      <w:r w:rsidRPr="00D75D7F">
        <w:rPr>
          <w:rFonts w:eastAsia="SimSun" w:cs="Times New Roman"/>
          <w:szCs w:val="20"/>
          <w:lang w:eastAsia="zh-CN"/>
        </w:rPr>
        <w:t xml:space="preserve">в общей сложности 40 </w:t>
      </w:r>
      <w:r w:rsidR="0085092B">
        <w:rPr>
          <w:rFonts w:eastAsia="SimSun" w:cs="Times New Roman"/>
          <w:szCs w:val="20"/>
          <w:lang w:eastAsia="zh-CN"/>
        </w:rPr>
        <w:t>000</w:t>
      </w:r>
      <w:r w:rsidRPr="00D75D7F">
        <w:rPr>
          <w:rFonts w:eastAsia="SimSun" w:cs="Times New Roman"/>
          <w:szCs w:val="20"/>
          <w:lang w:eastAsia="zh-CN"/>
        </w:rPr>
        <w:t xml:space="preserve"> человек были обеспечены подходящей работой. Следует отметить, что страховые выплаты по безработице были назначены 6333 лицам (размер среднемесячного пособия составил 348 манатов). В первом квартале 2023 года</w:t>
      </w:r>
      <w:r w:rsidR="0085092B">
        <w:rPr>
          <w:rFonts w:eastAsia="SimSun" w:cs="Times New Roman"/>
          <w:szCs w:val="20"/>
          <w:lang w:eastAsia="zh-CN"/>
        </w:rPr>
        <w:br/>
      </w:r>
      <w:r w:rsidRPr="00D75D7F">
        <w:rPr>
          <w:rFonts w:eastAsia="SimSun" w:cs="Times New Roman"/>
          <w:szCs w:val="20"/>
          <w:lang w:eastAsia="zh-CN"/>
        </w:rPr>
        <w:t xml:space="preserve">13 </w:t>
      </w:r>
      <w:r w:rsidR="0085092B">
        <w:rPr>
          <w:rFonts w:eastAsia="SimSun" w:cs="Times New Roman"/>
          <w:szCs w:val="20"/>
          <w:lang w:eastAsia="zh-CN"/>
        </w:rPr>
        <w:t>000</w:t>
      </w:r>
      <w:r w:rsidRPr="00D75D7F">
        <w:rPr>
          <w:rFonts w:eastAsia="SimSun" w:cs="Times New Roman"/>
          <w:szCs w:val="20"/>
          <w:lang w:eastAsia="zh-CN"/>
        </w:rPr>
        <w:t xml:space="preserve"> человек были обеспечены подходящей работой, а 2179 человек получали страховые выплаты по безработице (размер среднемесячного пособия составил</w:t>
      </w:r>
      <w:r w:rsidR="0085092B">
        <w:rPr>
          <w:rFonts w:eastAsia="SimSun" w:cs="Times New Roman"/>
          <w:szCs w:val="20"/>
          <w:lang w:eastAsia="zh-CN"/>
        </w:rPr>
        <w:br/>
      </w:r>
      <w:r w:rsidRPr="00D75D7F">
        <w:rPr>
          <w:rFonts w:eastAsia="SimSun" w:cs="Times New Roman"/>
          <w:szCs w:val="20"/>
          <w:lang w:eastAsia="zh-CN"/>
        </w:rPr>
        <w:t>402 маната).</w:t>
      </w:r>
    </w:p>
    <w:p w14:paraId="33199946" w14:textId="5A229DE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265.</w:t>
      </w:r>
      <w:r w:rsidRPr="00D75D7F">
        <w:rPr>
          <w:rFonts w:eastAsia="SimSun" w:cs="Times New Roman"/>
          <w:szCs w:val="20"/>
          <w:lang w:eastAsia="zh-CN"/>
        </w:rPr>
        <w:tab/>
        <w:t xml:space="preserve">В результате успешной реализации государственной стратегии занятости и программ ее активного поощрения и создания надежного механизма обеспечения трудовых прав и предотвращения неформальной занятости за последние пять лет Государственная служба занятости обеспечила подходящей работой 382 </w:t>
      </w:r>
      <w:r w:rsidR="0085092B">
        <w:rPr>
          <w:rFonts w:eastAsia="SimSun" w:cs="Times New Roman"/>
          <w:szCs w:val="20"/>
          <w:lang w:eastAsia="zh-CN"/>
        </w:rPr>
        <w:t>000</w:t>
      </w:r>
      <w:r w:rsidRPr="00D75D7F">
        <w:rPr>
          <w:rFonts w:eastAsia="SimSun" w:cs="Times New Roman"/>
          <w:szCs w:val="20"/>
          <w:lang w:eastAsia="zh-CN"/>
        </w:rPr>
        <w:t xml:space="preserve"> человек, а 14 </w:t>
      </w:r>
      <w:r w:rsidR="0085092B">
        <w:rPr>
          <w:rFonts w:eastAsia="SimSun" w:cs="Times New Roman"/>
          <w:szCs w:val="20"/>
          <w:lang w:eastAsia="zh-CN"/>
        </w:rPr>
        <w:t>000</w:t>
      </w:r>
      <w:r w:rsidRPr="00D75D7F">
        <w:rPr>
          <w:rFonts w:eastAsia="SimSun" w:cs="Times New Roman"/>
          <w:szCs w:val="20"/>
          <w:lang w:eastAsia="zh-CN"/>
        </w:rPr>
        <w:t xml:space="preserve"> человек были привлечены к профессиональному обучению. Организация профессионального обучения осуществляется как по желанию безработных, так и совместно с работодателями на основании заключенных с ними соглашений. Только за </w:t>
      </w:r>
      <w:r w:rsidR="0085092B">
        <w:rPr>
          <w:rFonts w:eastAsia="SimSun" w:cs="Times New Roman"/>
          <w:szCs w:val="20"/>
          <w:lang w:eastAsia="zh-CN"/>
        </w:rPr>
        <w:t>три</w:t>
      </w:r>
      <w:r w:rsidRPr="00D75D7F">
        <w:rPr>
          <w:rFonts w:eastAsia="SimSun" w:cs="Times New Roman"/>
          <w:szCs w:val="20"/>
          <w:lang w:eastAsia="zh-CN"/>
        </w:rPr>
        <w:t xml:space="preserve"> месяца этого года профессиональным обучением, организованным совместно с работодателями, было охвачено 2,2 тыс. человек, причем для примерно половины из них были проведены курсы повышения квалификации в частных учебных заведениях.</w:t>
      </w:r>
    </w:p>
    <w:p w14:paraId="7819DCFB" w14:textId="6D5713BB"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266.</w:t>
      </w:r>
      <w:r w:rsidRPr="00D75D7F">
        <w:rPr>
          <w:rFonts w:eastAsia="SimSun" w:cs="Times New Roman"/>
          <w:szCs w:val="20"/>
          <w:lang w:eastAsia="zh-CN"/>
        </w:rPr>
        <w:tab/>
        <w:t>Новый механизм активного поощрения занятости, запущенный в 2020 году, — программа финансирования (субсидирования) заработной платы работников совместно с работодателем — направлен на поддержку занятости не только безработных, но и работодателей. В рамках этой программы уже трудоустроено</w:t>
      </w:r>
      <w:r w:rsidR="003C4860">
        <w:rPr>
          <w:rFonts w:eastAsia="SimSun" w:cs="Times New Roman"/>
          <w:szCs w:val="20"/>
          <w:lang w:eastAsia="zh-CN"/>
        </w:rPr>
        <w:br/>
      </w:r>
      <w:r w:rsidRPr="00D75D7F">
        <w:rPr>
          <w:rFonts w:eastAsia="SimSun" w:cs="Times New Roman"/>
          <w:szCs w:val="20"/>
          <w:lang w:eastAsia="zh-CN"/>
        </w:rPr>
        <w:t>1926 человек, и этот процесс продолжается.</w:t>
      </w:r>
    </w:p>
    <w:p w14:paraId="133F7F20" w14:textId="5F4DA8F1"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267.</w:t>
      </w:r>
      <w:r w:rsidRPr="00D75D7F">
        <w:rPr>
          <w:rFonts w:eastAsia="SimSun" w:cs="Times New Roman"/>
          <w:szCs w:val="20"/>
          <w:lang w:eastAsia="zh-CN"/>
        </w:rPr>
        <w:tab/>
        <w:t>С 1 января 2023 года размер социальных выплат, в зависимости от вида, увеличился в пределах от 15</w:t>
      </w:r>
      <w:r w:rsidR="003C4860">
        <w:rPr>
          <w:rFonts w:eastAsia="SimSun" w:cs="Times New Roman"/>
          <w:szCs w:val="20"/>
          <w:lang w:eastAsia="zh-CN"/>
        </w:rPr>
        <w:t xml:space="preserve"> %</w:t>
      </w:r>
      <w:r w:rsidRPr="00D75D7F">
        <w:rPr>
          <w:rFonts w:eastAsia="SimSun" w:cs="Times New Roman"/>
          <w:szCs w:val="20"/>
          <w:lang w:eastAsia="zh-CN"/>
        </w:rPr>
        <w:t xml:space="preserve"> до 66,67 %. За последние 5 лет минимальный размер пенсии увеличился на 133,8 %. Кроме того, заработная плата лиц, работающих в организациях, финансируемых из государственного бюджета или получающих финансовую поддержку из бюджета, увеличилась в среднем на 50 %. Финансовый объем этих надбавок, которые были сделаны в отношении 4,2 млн человек, составил 2,3 млрд манатов.</w:t>
      </w:r>
    </w:p>
    <w:p w14:paraId="05FC9E82" w14:textId="08C63BF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268.</w:t>
      </w:r>
      <w:r w:rsidRPr="00D75D7F">
        <w:rPr>
          <w:rFonts w:eastAsia="SimSun" w:cs="Times New Roman"/>
          <w:szCs w:val="20"/>
          <w:lang w:eastAsia="zh-CN"/>
        </w:rPr>
        <w:tab/>
        <w:t>В соответствии с Законом «О прожиточном минимуме в Азербайджанской Республике на 2021 год» прожиточный минимум в стране был установлен в размере 196 манатов, и, таким образом, минимальная заработная плата (250 манатов) на 27,6 % превысила прожиточный минимум в стране. В настоящее время среднемесячная зарплата составляет 856,20 манат</w:t>
      </w:r>
      <w:r w:rsidR="003C4860">
        <w:rPr>
          <w:rFonts w:eastAsia="SimSun" w:cs="Times New Roman"/>
          <w:szCs w:val="20"/>
          <w:lang w:eastAsia="zh-CN"/>
        </w:rPr>
        <w:t>ов</w:t>
      </w:r>
      <w:r w:rsidRPr="00D75D7F">
        <w:rPr>
          <w:rFonts w:eastAsia="SimSun" w:cs="Times New Roman"/>
          <w:szCs w:val="20"/>
          <w:lang w:eastAsia="zh-CN"/>
        </w:rPr>
        <w:t>, средняя пенсия — 372,13 маната и пенсия по возрасту — 400,50 манат</w:t>
      </w:r>
      <w:r w:rsidR="003C4860">
        <w:rPr>
          <w:rFonts w:eastAsia="SimSun" w:cs="Times New Roman"/>
          <w:szCs w:val="20"/>
          <w:lang w:eastAsia="zh-CN"/>
        </w:rPr>
        <w:t>ов</w:t>
      </w:r>
      <w:r w:rsidRPr="00D75D7F">
        <w:rPr>
          <w:rFonts w:eastAsia="SimSun" w:cs="Times New Roman"/>
          <w:szCs w:val="20"/>
          <w:lang w:eastAsia="zh-CN"/>
        </w:rPr>
        <w:t>. Критерий нуждаемости на 2022 год составляет</w:t>
      </w:r>
      <w:r w:rsidR="003C4860">
        <w:rPr>
          <w:rFonts w:eastAsia="SimSun" w:cs="Times New Roman"/>
          <w:szCs w:val="20"/>
          <w:lang w:eastAsia="zh-CN"/>
        </w:rPr>
        <w:br/>
      </w:r>
      <w:r w:rsidRPr="00D75D7F">
        <w:rPr>
          <w:rFonts w:eastAsia="SimSun" w:cs="Times New Roman"/>
          <w:szCs w:val="20"/>
          <w:lang w:eastAsia="zh-CN"/>
        </w:rPr>
        <w:t>200 манатов, а прожиточный минимум — 210 манатов. Таким образом, критерий нуждаемости на 2022 год увеличился на 17,65 %, или на 30 манатов, по сравнению с аналогичным показателем на 2021 год (170 манатов), а прожиточный минимум</w:t>
      </w:r>
      <w:r w:rsidR="003C4860">
        <w:rPr>
          <w:rFonts w:eastAsia="SimSun" w:cs="Times New Roman"/>
          <w:szCs w:val="20"/>
          <w:lang w:eastAsia="zh-CN"/>
        </w:rPr>
        <w:br/>
      </w:r>
      <w:r w:rsidRPr="00D75D7F">
        <w:rPr>
          <w:rFonts w:eastAsia="SimSun" w:cs="Times New Roman"/>
          <w:szCs w:val="20"/>
          <w:lang w:eastAsia="zh-CN"/>
        </w:rPr>
        <w:t>на 2022 год увеличился на 7,14 %, или на 14 манатов, по сравнению с прожиточным минимумом на 2021 год (196 манатов). Согласно Закону Азербайджанской Республики «О пределе критерия нуждаемости в Азербайджанской Республике на 2023 год» критерий нуждаемости на 2023 год составляет 246 манатов, и согласно Закону Азербайджанской Республики «О прожиточном минимуме в Азербайджанской Республике на 2023 год» прожиточный минимум установлен на уровне 246 манатов.</w:t>
      </w:r>
    </w:p>
    <w:p w14:paraId="47599753" w14:textId="4889206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269.</w:t>
      </w:r>
      <w:r w:rsidRPr="00D75D7F">
        <w:rPr>
          <w:rFonts w:eastAsia="SimSun" w:cs="Times New Roman"/>
          <w:szCs w:val="20"/>
          <w:lang w:eastAsia="zh-CN"/>
        </w:rPr>
        <w:tab/>
        <w:t>Согласно Указу Президента Азербайджанской Республики «О дополнительных мерах по улучшению социального обеспечения населения», с 1 января 2023 года минимальная месячная заработная плата была повышена на 15 % до 345 манатов. Среднемесячная трудовая пенсия в 2022 году составила 372 маната (рост на 12 % по сравнению с 2021 годом), а в 2023 году — 423 маната (рост на 16 % по сравнению с 2021 годом). Пенсия по возрасту в 2022 году составила 399 манатов (рост на 11 % по сравнению с 2021 годом), в первом квартале 2023 года — 456 манатов (рост</w:t>
      </w:r>
      <w:r w:rsidR="003C4860">
        <w:rPr>
          <w:rFonts w:eastAsia="SimSun" w:cs="Times New Roman"/>
          <w:szCs w:val="20"/>
          <w:lang w:eastAsia="zh-CN"/>
        </w:rPr>
        <w:br/>
      </w:r>
      <w:r w:rsidRPr="00D75D7F">
        <w:rPr>
          <w:rFonts w:eastAsia="SimSun" w:cs="Times New Roman"/>
          <w:szCs w:val="20"/>
          <w:lang w:eastAsia="zh-CN"/>
        </w:rPr>
        <w:t xml:space="preserve">на 15 </w:t>
      </w:r>
      <w:r w:rsidR="003C4860">
        <w:rPr>
          <w:rFonts w:eastAsia="SimSun" w:cs="Times New Roman"/>
          <w:szCs w:val="20"/>
          <w:lang w:eastAsia="zh-CN"/>
        </w:rPr>
        <w:t>%</w:t>
      </w:r>
      <w:r w:rsidRPr="00D75D7F">
        <w:rPr>
          <w:rFonts w:eastAsia="SimSun" w:cs="Times New Roman"/>
          <w:szCs w:val="20"/>
          <w:lang w:eastAsia="zh-CN"/>
        </w:rPr>
        <w:t xml:space="preserve"> по сравнению с 2022 годом).</w:t>
      </w:r>
    </w:p>
    <w:p w14:paraId="530F2A89"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270.</w:t>
      </w:r>
      <w:r w:rsidRPr="00D75D7F">
        <w:rPr>
          <w:rFonts w:eastAsia="SimSun" w:cs="Times New Roman"/>
          <w:szCs w:val="20"/>
          <w:lang w:eastAsia="zh-CN"/>
        </w:rPr>
        <w:tab/>
        <w:t>31 мая 2018 года был принят Закон Азербайджанской Республики «О правах лиц с инвалидностью». Закон охватывает все вопросы, касающиеся прав и свобод инвалидов, предусмотренных Конвенцией о правах инвалидов.</w:t>
      </w:r>
    </w:p>
    <w:p w14:paraId="07DFAC6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271.</w:t>
      </w:r>
      <w:r w:rsidRPr="00D75D7F">
        <w:rPr>
          <w:rFonts w:eastAsia="SimSun" w:cs="Times New Roman"/>
          <w:szCs w:val="20"/>
          <w:lang w:eastAsia="zh-CN"/>
        </w:rPr>
        <w:tab/>
        <w:t>В связи с применением данного закона было принято около 17 новых нормативно-правовых актов и положений, направленных на усиление защиты прав инвалидов.</w:t>
      </w:r>
    </w:p>
    <w:p w14:paraId="2AE4BA37" w14:textId="013F134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272.</w:t>
      </w:r>
      <w:r w:rsidRPr="00D75D7F">
        <w:rPr>
          <w:rFonts w:eastAsia="SimSun" w:cs="Times New Roman"/>
          <w:szCs w:val="20"/>
          <w:lang w:eastAsia="zh-CN"/>
        </w:rPr>
        <w:tab/>
        <w:t>В послевоенный период 1793 ветеранам-инвалидам войны было передано</w:t>
      </w:r>
      <w:r w:rsidR="003C4860">
        <w:rPr>
          <w:rFonts w:eastAsia="SimSun" w:cs="Times New Roman"/>
          <w:szCs w:val="20"/>
          <w:lang w:eastAsia="zh-CN"/>
        </w:rPr>
        <w:br/>
      </w:r>
      <w:r w:rsidRPr="00D75D7F">
        <w:rPr>
          <w:rFonts w:eastAsia="SimSun" w:cs="Times New Roman"/>
          <w:szCs w:val="20"/>
          <w:lang w:eastAsia="zh-CN"/>
        </w:rPr>
        <w:t>30 675 единиц технических средств реабилитации. В 2022 году 12 181 инвалиду были перечислены в общей сложности 66 299 пособий на реабилитацию. В первом квартале 2023 года 19 939 единиц технических средств реабилитации были предоставлены</w:t>
      </w:r>
      <w:r w:rsidR="003C4860">
        <w:rPr>
          <w:rFonts w:eastAsia="SimSun" w:cs="Times New Roman"/>
          <w:szCs w:val="20"/>
          <w:lang w:eastAsia="zh-CN"/>
        </w:rPr>
        <w:br/>
      </w:r>
      <w:r w:rsidRPr="00D75D7F">
        <w:rPr>
          <w:rFonts w:eastAsia="SimSun" w:cs="Times New Roman"/>
          <w:szCs w:val="20"/>
          <w:lang w:eastAsia="zh-CN"/>
        </w:rPr>
        <w:t>3547 инвалидам.</w:t>
      </w:r>
    </w:p>
    <w:p w14:paraId="23C89391" w14:textId="47C619F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273.</w:t>
      </w:r>
      <w:r w:rsidRPr="00D75D7F">
        <w:rPr>
          <w:rFonts w:eastAsia="SimSun" w:cs="Times New Roman"/>
          <w:szCs w:val="20"/>
          <w:lang w:eastAsia="zh-CN"/>
        </w:rPr>
        <w:tab/>
        <w:t>С 2020 года инвалидам стали предоставляться инвалидные коляски с электрическим приводом и высокотехнологичные протезы. В 2022 году</w:t>
      </w:r>
      <w:r w:rsidR="003C4860">
        <w:rPr>
          <w:rFonts w:eastAsia="SimSun" w:cs="Times New Roman"/>
          <w:szCs w:val="20"/>
          <w:lang w:eastAsia="zh-CN"/>
        </w:rPr>
        <w:br/>
      </w:r>
      <w:r w:rsidRPr="00D75D7F">
        <w:rPr>
          <w:rFonts w:eastAsia="SimSun" w:cs="Times New Roman"/>
          <w:szCs w:val="20"/>
          <w:lang w:eastAsia="zh-CN"/>
        </w:rPr>
        <w:t>379 военнослужащих были обеспечены 394 высокотехнологичными</w:t>
      </w:r>
      <w:r w:rsidR="003C4860">
        <w:rPr>
          <w:rFonts w:eastAsia="SimSun" w:cs="Times New Roman"/>
          <w:szCs w:val="20"/>
          <w:lang w:eastAsia="zh-CN"/>
        </w:rPr>
        <w:br/>
      </w:r>
      <w:r w:rsidRPr="00D75D7F">
        <w:rPr>
          <w:rFonts w:eastAsia="SimSun" w:cs="Times New Roman"/>
          <w:szCs w:val="20"/>
          <w:lang w:eastAsia="zh-CN"/>
        </w:rPr>
        <w:t>протезами (411 военнослужащих были обеспечены 428 высокотехнологичными протезами, включая первый квартал 2023 года).</w:t>
      </w:r>
    </w:p>
    <w:p w14:paraId="60D1F55E" w14:textId="3834801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274.</w:t>
      </w:r>
      <w:r w:rsidRPr="00D75D7F">
        <w:rPr>
          <w:rFonts w:eastAsia="SimSun" w:cs="Times New Roman"/>
          <w:szCs w:val="20"/>
          <w:lang w:eastAsia="zh-CN"/>
        </w:rPr>
        <w:tab/>
        <w:t>С целью расширения охвата реабилитационными услугами было открыто</w:t>
      </w:r>
      <w:r w:rsidR="003C4860">
        <w:rPr>
          <w:rFonts w:eastAsia="SimSun" w:cs="Times New Roman"/>
          <w:szCs w:val="20"/>
          <w:lang w:eastAsia="zh-CN"/>
        </w:rPr>
        <w:br/>
      </w:r>
      <w:r w:rsidRPr="00D75D7F">
        <w:rPr>
          <w:rFonts w:eastAsia="SimSun" w:cs="Times New Roman"/>
          <w:szCs w:val="20"/>
          <w:lang w:eastAsia="zh-CN"/>
        </w:rPr>
        <w:t>13 реабилитационных центров.</w:t>
      </w:r>
    </w:p>
    <w:p w14:paraId="71BF133A" w14:textId="512274FA"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275.</w:t>
      </w:r>
      <w:r w:rsidRPr="00D75D7F">
        <w:rPr>
          <w:rFonts w:eastAsia="SimSun" w:cs="Times New Roman"/>
          <w:szCs w:val="20"/>
          <w:lang w:eastAsia="zh-CN"/>
        </w:rPr>
        <w:tab/>
        <w:t>В настоящее время предпринимаются значительные усилия по социальной защите семей погибших солдат или ветеранов-инвалидов войны.</w:t>
      </w:r>
    </w:p>
    <w:p w14:paraId="4A51907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276.</w:t>
      </w:r>
      <w:r w:rsidRPr="00D75D7F">
        <w:rPr>
          <w:rFonts w:eastAsia="SimSun" w:cs="Times New Roman"/>
          <w:szCs w:val="20"/>
          <w:lang w:eastAsia="zh-CN"/>
        </w:rPr>
        <w:tab/>
        <w:t>Согласно соответствующему Указу Президента Азербайджанской Республики, ежемесячный размер президентской пенсии, выплачиваемой семьям погибших в Отечественной войне, был увеличен до 600 манатов.</w:t>
      </w:r>
    </w:p>
    <w:p w14:paraId="362094A1" w14:textId="58376BB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277.</w:t>
      </w:r>
      <w:r w:rsidRPr="00D75D7F">
        <w:rPr>
          <w:rFonts w:eastAsia="SimSun" w:cs="Times New Roman"/>
          <w:szCs w:val="20"/>
          <w:lang w:eastAsia="zh-CN"/>
        </w:rPr>
        <w:tab/>
        <w:t>В 2022 году было назначено 16 011 социальных выплат 8018 членам семей</w:t>
      </w:r>
      <w:r w:rsidR="003C4860">
        <w:rPr>
          <w:rFonts w:eastAsia="SimSun" w:cs="Times New Roman"/>
          <w:szCs w:val="20"/>
          <w:lang w:eastAsia="zh-CN"/>
        </w:rPr>
        <w:br/>
      </w:r>
      <w:r w:rsidRPr="00D75D7F">
        <w:rPr>
          <w:rFonts w:eastAsia="SimSun" w:cs="Times New Roman"/>
          <w:szCs w:val="20"/>
          <w:lang w:eastAsia="zh-CN"/>
        </w:rPr>
        <w:t>3037 погибших (7772 президентские стипендии, 5591 социальная выплата,</w:t>
      </w:r>
      <w:r w:rsidR="003C4860">
        <w:rPr>
          <w:rFonts w:eastAsia="SimSun" w:cs="Times New Roman"/>
          <w:szCs w:val="20"/>
          <w:lang w:eastAsia="zh-CN"/>
        </w:rPr>
        <w:br/>
      </w:r>
      <w:r w:rsidRPr="00D75D7F">
        <w:rPr>
          <w:rFonts w:eastAsia="SimSun" w:cs="Times New Roman"/>
          <w:szCs w:val="20"/>
          <w:lang w:eastAsia="zh-CN"/>
        </w:rPr>
        <w:t>2648 пенсий). Социальные льготы были предоставлены 3708 инвалидам войны. Кроме того, в 2022 году военнослужащим и сотрудникам органов внутренних дел, признанным инвалидами вследствие получения увечья (ранения, травмы, контузии) или заболевания при исполнении воинских обязанностей в связи с защитой территориальной целостности, независимости и конституционного строя Азербайджанской Республики или во время действительной военной службы</w:t>
      </w:r>
      <w:r w:rsidR="003C4860">
        <w:rPr>
          <w:rFonts w:eastAsia="SimSun" w:cs="Times New Roman"/>
          <w:szCs w:val="20"/>
          <w:lang w:eastAsia="zh-CN"/>
        </w:rPr>
        <w:br/>
      </w:r>
      <w:r w:rsidRPr="00D75D7F">
        <w:rPr>
          <w:rFonts w:eastAsia="SimSun" w:cs="Times New Roman"/>
          <w:szCs w:val="20"/>
          <w:lang w:eastAsia="zh-CN"/>
        </w:rPr>
        <w:t>до 2 августа 1997 года, были произведены единовременные выплаты (за первый квартал 2023 года 8024 членам семей 3038 погибших было назначено</w:t>
      </w:r>
      <w:r w:rsidR="003C4860">
        <w:rPr>
          <w:rFonts w:eastAsia="SimSun" w:cs="Times New Roman"/>
          <w:szCs w:val="20"/>
          <w:lang w:eastAsia="zh-CN"/>
        </w:rPr>
        <w:br/>
      </w:r>
      <w:r w:rsidRPr="00D75D7F">
        <w:rPr>
          <w:rFonts w:eastAsia="SimSun" w:cs="Times New Roman"/>
          <w:szCs w:val="20"/>
          <w:lang w:eastAsia="zh-CN"/>
        </w:rPr>
        <w:t>16</w:t>
      </w:r>
      <w:r w:rsidR="003C4860">
        <w:rPr>
          <w:rFonts w:eastAsia="SimSun" w:cs="Times New Roman"/>
          <w:szCs w:val="20"/>
          <w:lang w:eastAsia="zh-CN"/>
        </w:rPr>
        <w:t> </w:t>
      </w:r>
      <w:r w:rsidRPr="00D75D7F">
        <w:rPr>
          <w:rFonts w:eastAsia="SimSun" w:cs="Times New Roman"/>
          <w:szCs w:val="20"/>
          <w:lang w:eastAsia="zh-CN"/>
        </w:rPr>
        <w:t>034 социальные выплаты (7778 президентских стипендий, 5597 социальных пособий, 2659 пенсий)). Социальные выплаты были назначены 3839 инвалидам войны. Единовременные выплаты назначены 17,1 тыс. человек (страховые выплаты —</w:t>
      </w:r>
      <w:r w:rsidR="003C4860">
        <w:rPr>
          <w:rFonts w:eastAsia="SimSun" w:cs="Times New Roman"/>
          <w:szCs w:val="20"/>
          <w:lang w:eastAsia="zh-CN"/>
        </w:rPr>
        <w:br/>
      </w:r>
      <w:r w:rsidRPr="00D75D7F">
        <w:rPr>
          <w:rFonts w:eastAsia="SimSun" w:cs="Times New Roman"/>
          <w:szCs w:val="20"/>
          <w:lang w:eastAsia="zh-CN"/>
        </w:rPr>
        <w:t>3,5 тыс. человек).</w:t>
      </w:r>
    </w:p>
    <w:p w14:paraId="1AF2A514" w14:textId="311C3FA1"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278.</w:t>
      </w:r>
      <w:r w:rsidRPr="00D75D7F">
        <w:rPr>
          <w:rFonts w:eastAsia="SimSun" w:cs="Times New Roman"/>
          <w:szCs w:val="20"/>
          <w:lang w:eastAsia="zh-CN"/>
        </w:rPr>
        <w:tab/>
        <w:t>Согласно соответствующему Указу Президента Азербайджанской Республики «О повышении размера социальных пособий»</w:t>
      </w:r>
      <w:r w:rsidR="003C4860">
        <w:rPr>
          <w:rFonts w:eastAsia="SimSun" w:cs="Times New Roman"/>
          <w:szCs w:val="20"/>
          <w:lang w:eastAsia="zh-CN"/>
        </w:rPr>
        <w:t>,</w:t>
      </w:r>
      <w:r w:rsidRPr="00D75D7F">
        <w:rPr>
          <w:rFonts w:eastAsia="SimSun" w:cs="Times New Roman"/>
          <w:szCs w:val="20"/>
          <w:lang w:eastAsia="zh-CN"/>
        </w:rPr>
        <w:t xml:space="preserve"> с 1 января 2023 года размер пособия для </w:t>
      </w:r>
      <w:r w:rsidRPr="00D75D7F">
        <w:rPr>
          <w:rFonts w:eastAsia="SimSun" w:cs="Times New Roman"/>
          <w:color w:val="000000"/>
          <w:szCs w:val="20"/>
          <w:lang w:eastAsia="zh-CN"/>
        </w:rPr>
        <w:t>лиц с инвалидностью в связи с нарушением функций организма</w:t>
      </w:r>
      <w:r w:rsidR="003C4860">
        <w:rPr>
          <w:rFonts w:eastAsia="SimSun" w:cs="Times New Roman"/>
          <w:color w:val="000000"/>
          <w:szCs w:val="20"/>
          <w:lang w:eastAsia="zh-CN"/>
        </w:rPr>
        <w:br/>
      </w:r>
      <w:r w:rsidRPr="00D75D7F">
        <w:rPr>
          <w:rFonts w:eastAsia="SimSun" w:cs="Times New Roman"/>
          <w:color w:val="000000"/>
          <w:szCs w:val="20"/>
          <w:lang w:eastAsia="zh-CN"/>
        </w:rPr>
        <w:t xml:space="preserve">на 81–100 </w:t>
      </w:r>
      <w:r w:rsidR="003C4860">
        <w:rPr>
          <w:rFonts w:eastAsia="SimSun" w:cs="Times New Roman"/>
          <w:color w:val="000000"/>
          <w:szCs w:val="20"/>
          <w:lang w:eastAsia="zh-CN"/>
        </w:rPr>
        <w:t>%</w:t>
      </w:r>
      <w:r w:rsidRPr="00D75D7F">
        <w:rPr>
          <w:rFonts w:eastAsia="SimSun" w:cs="Times New Roman"/>
          <w:szCs w:val="20"/>
          <w:lang w:eastAsia="zh-CN"/>
        </w:rPr>
        <w:t xml:space="preserve"> был установлен в размере 270 манатов, для </w:t>
      </w:r>
      <w:r w:rsidRPr="00D75D7F">
        <w:rPr>
          <w:rFonts w:eastAsia="SimSun" w:cs="Times New Roman"/>
          <w:color w:val="000000"/>
          <w:szCs w:val="20"/>
          <w:lang w:eastAsia="zh-CN"/>
        </w:rPr>
        <w:t>лиц с инвалидностью</w:t>
      </w:r>
      <w:r w:rsidRPr="00D75D7F">
        <w:rPr>
          <w:rFonts w:eastAsia="SimSun" w:cs="Times New Roman"/>
          <w:color w:val="000000"/>
          <w:szCs w:val="20"/>
          <w:lang w:val="en-GB" w:eastAsia="zh-CN"/>
        </w:rPr>
        <w:t> </w:t>
      </w:r>
      <w:r w:rsidRPr="00D75D7F">
        <w:rPr>
          <w:rFonts w:eastAsia="SimSun" w:cs="Times New Roman"/>
          <w:szCs w:val="20"/>
          <w:lang w:eastAsia="zh-CN"/>
        </w:rPr>
        <w:t xml:space="preserve"> </w:t>
      </w:r>
      <w:r w:rsidRPr="00D75D7F">
        <w:rPr>
          <w:rFonts w:eastAsia="SimSun" w:cs="Times New Roman"/>
          <w:color w:val="000000"/>
          <w:szCs w:val="20"/>
          <w:lang w:eastAsia="zh-CN"/>
        </w:rPr>
        <w:t xml:space="preserve">в связи с нарушением функций организма на 61–80 </w:t>
      </w:r>
      <w:r w:rsidR="003C4860">
        <w:rPr>
          <w:rFonts w:eastAsia="SimSun" w:cs="Times New Roman"/>
          <w:color w:val="000000"/>
          <w:szCs w:val="20"/>
          <w:lang w:eastAsia="zh-CN"/>
        </w:rPr>
        <w:t>%</w:t>
      </w:r>
      <w:r w:rsidRPr="00D75D7F">
        <w:rPr>
          <w:rFonts w:eastAsia="SimSun" w:cs="Times New Roman"/>
          <w:color w:val="000000"/>
          <w:szCs w:val="20"/>
          <w:lang w:eastAsia="zh-CN"/>
        </w:rPr>
        <w:t xml:space="preserve"> — 220 манатов</w:t>
      </w:r>
      <w:r w:rsidRPr="00D75D7F">
        <w:rPr>
          <w:rFonts w:eastAsia="SimSun" w:cs="Times New Roman"/>
          <w:szCs w:val="20"/>
          <w:lang w:eastAsia="zh-CN"/>
        </w:rPr>
        <w:t xml:space="preserve"> и для </w:t>
      </w:r>
      <w:r w:rsidRPr="00D75D7F">
        <w:rPr>
          <w:rFonts w:eastAsia="SimSun" w:cs="Times New Roman"/>
          <w:color w:val="000000"/>
          <w:szCs w:val="20"/>
          <w:lang w:eastAsia="zh-CN"/>
        </w:rPr>
        <w:t>лиц с инвалидностью</w:t>
      </w:r>
      <w:r w:rsidRPr="00D75D7F">
        <w:rPr>
          <w:rFonts w:eastAsia="SimSun" w:cs="Times New Roman"/>
          <w:color w:val="000000"/>
          <w:szCs w:val="20"/>
          <w:lang w:val="en-GB" w:eastAsia="zh-CN"/>
        </w:rPr>
        <w:t> </w:t>
      </w:r>
      <w:r w:rsidRPr="00D75D7F">
        <w:rPr>
          <w:rFonts w:eastAsia="SimSun" w:cs="Times New Roman"/>
          <w:szCs w:val="20"/>
          <w:lang w:eastAsia="zh-CN"/>
        </w:rPr>
        <w:t xml:space="preserve"> </w:t>
      </w:r>
      <w:r w:rsidRPr="00D75D7F">
        <w:rPr>
          <w:rFonts w:eastAsia="SimSun" w:cs="Times New Roman"/>
          <w:color w:val="000000"/>
          <w:szCs w:val="20"/>
          <w:lang w:eastAsia="zh-CN"/>
        </w:rPr>
        <w:t xml:space="preserve">в связи с нарушением функций организма на 31–60 </w:t>
      </w:r>
      <w:r w:rsidR="003C4860">
        <w:rPr>
          <w:rFonts w:eastAsia="SimSun" w:cs="Times New Roman"/>
          <w:color w:val="000000"/>
          <w:szCs w:val="20"/>
          <w:lang w:eastAsia="zh-CN"/>
        </w:rPr>
        <w:t>%</w:t>
      </w:r>
      <w:r w:rsidRPr="00D75D7F">
        <w:rPr>
          <w:rFonts w:eastAsia="SimSun" w:cs="Times New Roman"/>
          <w:color w:val="000000"/>
          <w:szCs w:val="20"/>
          <w:lang w:eastAsia="zh-CN"/>
        </w:rPr>
        <w:t xml:space="preserve"> —</w:t>
      </w:r>
      <w:r w:rsidR="003C4860">
        <w:rPr>
          <w:rFonts w:eastAsia="SimSun" w:cs="Times New Roman"/>
          <w:color w:val="000000"/>
          <w:szCs w:val="20"/>
          <w:lang w:eastAsia="zh-CN"/>
        </w:rPr>
        <w:br/>
      </w:r>
      <w:r w:rsidRPr="00D75D7F">
        <w:rPr>
          <w:rFonts w:eastAsia="SimSun" w:cs="Times New Roman"/>
          <w:color w:val="000000"/>
          <w:szCs w:val="20"/>
          <w:lang w:eastAsia="zh-CN"/>
        </w:rPr>
        <w:t>150 манатов.</w:t>
      </w:r>
    </w:p>
    <w:p w14:paraId="69B3B9C5" w14:textId="5A5D2E1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279.</w:t>
      </w:r>
      <w:r w:rsidRPr="00D75D7F">
        <w:rPr>
          <w:rFonts w:eastAsia="SimSun" w:cs="Times New Roman"/>
          <w:szCs w:val="20"/>
          <w:lang w:eastAsia="zh-CN"/>
        </w:rPr>
        <w:tab/>
        <w:t>В 2022 году инвалидность была диагностирована в общей сложности</w:t>
      </w:r>
      <w:r w:rsidR="003C4860">
        <w:rPr>
          <w:rFonts w:eastAsia="SimSun" w:cs="Times New Roman"/>
          <w:szCs w:val="20"/>
          <w:lang w:eastAsia="zh-CN"/>
        </w:rPr>
        <w:br/>
      </w:r>
      <w:r w:rsidRPr="00D75D7F">
        <w:rPr>
          <w:rFonts w:eastAsia="SimSun" w:cs="Times New Roman"/>
          <w:szCs w:val="20"/>
          <w:lang w:eastAsia="zh-CN"/>
        </w:rPr>
        <w:t>у 57 473 человек (что на 7 % меньше по сравнению с аналогичным периодом</w:t>
      </w:r>
      <w:r w:rsidR="003C4860">
        <w:rPr>
          <w:rFonts w:eastAsia="SimSun" w:cs="Times New Roman"/>
          <w:szCs w:val="20"/>
          <w:lang w:eastAsia="zh-CN"/>
        </w:rPr>
        <w:br/>
      </w:r>
      <w:r w:rsidRPr="00D75D7F">
        <w:rPr>
          <w:rFonts w:eastAsia="SimSun" w:cs="Times New Roman"/>
          <w:szCs w:val="20"/>
          <w:lang w:eastAsia="zh-CN"/>
        </w:rPr>
        <w:t>2021 года), в том числе у 19 935 человек была установлена первичная инвалидность,</w:t>
      </w:r>
      <w:r w:rsidR="003C4860">
        <w:rPr>
          <w:rFonts w:eastAsia="SimSun" w:cs="Times New Roman"/>
          <w:szCs w:val="20"/>
          <w:lang w:eastAsia="zh-CN"/>
        </w:rPr>
        <w:br/>
      </w:r>
      <w:r w:rsidRPr="00D75D7F">
        <w:rPr>
          <w:rFonts w:eastAsia="SimSun" w:cs="Times New Roman"/>
          <w:szCs w:val="20"/>
          <w:lang w:eastAsia="zh-CN"/>
        </w:rPr>
        <w:t>а у 37 538 человек — вторичная инвалидность. Реабилитационные услуги были оказаны 50 366 инвалидам. 1590 инвалидам была оказана единовременная финансовая помощь для решения социальных и повседневных проблем. В первом квартале</w:t>
      </w:r>
      <w:r w:rsidR="003C4860">
        <w:rPr>
          <w:rFonts w:eastAsia="SimSun" w:cs="Times New Roman"/>
          <w:szCs w:val="20"/>
          <w:lang w:eastAsia="zh-CN"/>
        </w:rPr>
        <w:br/>
      </w:r>
      <w:r w:rsidRPr="00D75D7F">
        <w:rPr>
          <w:rFonts w:eastAsia="SimSun" w:cs="Times New Roman"/>
          <w:szCs w:val="20"/>
          <w:lang w:eastAsia="zh-CN"/>
        </w:rPr>
        <w:t>2023 года инвалидность была диагностирована в общей сложности у 13 003 человек (что на 18 % меньше по сравнению с аналогичным периодом 2021 года), в том числе у 6034 человек была установлена первичная инвалидность, а у 6969 человек — вторичная инвалидность. Реабилитационные услуги были оказаны 14 722 инвалидам. 463 инвалидам была назначена единовременная выплата для решения социальных и повседневных проблем.</w:t>
      </w:r>
    </w:p>
    <w:p w14:paraId="2EEA9BAD" w14:textId="7B8AE1DF" w:rsidR="00D75D7F" w:rsidRPr="00D75D7F" w:rsidRDefault="00D75D7F" w:rsidP="003C4860">
      <w:pPr>
        <w:pStyle w:val="HChG"/>
      </w:pPr>
      <w:r w:rsidRPr="00D75D7F">
        <w:tab/>
      </w:r>
      <w:r w:rsidRPr="00D75D7F">
        <w:rPr>
          <w:rFonts w:eastAsia="Calibri"/>
          <w:lang w:val="en-GB"/>
        </w:rPr>
        <w:t>III</w:t>
      </w:r>
      <w:r w:rsidRPr="00D75D7F">
        <w:rPr>
          <w:rFonts w:eastAsia="Calibri"/>
        </w:rPr>
        <w:t>.</w:t>
      </w:r>
      <w:r w:rsidRPr="00D75D7F">
        <w:rPr>
          <w:rFonts w:eastAsia="Calibri"/>
        </w:rPr>
        <w:tab/>
      </w:r>
      <w:r w:rsidRPr="00D75D7F">
        <w:t>Информация о недискриминации и равенстве</w:t>
      </w:r>
      <w:r w:rsidR="003C4860">
        <w:br/>
      </w:r>
      <w:r w:rsidRPr="00D75D7F">
        <w:t>и эффективных средствах правовой защиты</w:t>
      </w:r>
    </w:p>
    <w:p w14:paraId="7962FEE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280.</w:t>
      </w:r>
      <w:r w:rsidRPr="00D75D7F">
        <w:rPr>
          <w:rFonts w:eastAsia="SimSun" w:cs="Times New Roman"/>
          <w:szCs w:val="20"/>
          <w:lang w:eastAsia="zh-CN"/>
        </w:rPr>
        <w:tab/>
        <w:t>Конституция Азербайджанской Республики устанавливает базовые принципы проводимой в стране национальной политики, обеспечивая всестороннее равенство всех своих граждан, независимо от их этнической, религиозной и расовой принадлежности. В то же время благодаря своим историческим, экономическим и культурным особенностям мировоззрение проживающего в стране населения сформировалось на основании принципов толерантности и уважения к культуре, религиозным верованиям, обычаям и традициям других этнических групп и национальных меньшинств.</w:t>
      </w:r>
    </w:p>
    <w:p w14:paraId="65D9F9E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281.</w:t>
      </w:r>
      <w:r w:rsidRPr="00D75D7F">
        <w:rPr>
          <w:rFonts w:eastAsia="SimSun" w:cs="Times New Roman"/>
          <w:szCs w:val="20"/>
          <w:lang w:eastAsia="zh-CN"/>
        </w:rPr>
        <w:tab/>
        <w:t>Правительство Азербайджанской Республики использует существующую законодательную базу как основу проводимой в стране политики, направленной на обеспечение того, чтобы проживающие в ней народы различного этнического происхождения поддерживали отношения взаимного доверия, понимания и дружбы. В стране не допускаются какие-либо проявления этнической, национальной, расовой дискриминации или дискриминации в какой-либо иной форме.</w:t>
      </w:r>
    </w:p>
    <w:p w14:paraId="7655C57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282.</w:t>
      </w:r>
      <w:r w:rsidRPr="00D75D7F">
        <w:rPr>
          <w:rFonts w:eastAsia="SimSun" w:cs="Times New Roman"/>
          <w:szCs w:val="20"/>
          <w:lang w:eastAsia="zh-CN"/>
        </w:rPr>
        <w:tab/>
        <w:t>Выполняя положения международных конвенций, направленных на ликвидацию и предотвращение всех форм дискриминации, правительство уделяет особое внимание укреплению традиций религиозной терпимости и обеспечению устойчивого проживания национальных меньшинств в условиях взаимопонимания, мира, благополучия и диалога.</w:t>
      </w:r>
    </w:p>
    <w:p w14:paraId="5384AA23" w14:textId="434F768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283.</w:t>
      </w:r>
      <w:r w:rsidRPr="00D75D7F">
        <w:rPr>
          <w:rFonts w:eastAsia="SimSun" w:cs="Times New Roman"/>
          <w:szCs w:val="20"/>
          <w:lang w:eastAsia="zh-CN"/>
        </w:rPr>
        <w:tab/>
        <w:t>В статье 25 Конституции Азербайджанской Республики указано, что все равны перед законом и судом. Мужчины и женщины обладают равными правами и свободами. Государство гарантирует каждому равенство прав и свобод независимо от расы, этнической принадлежности, религии, языка, пола, происхождения, имущественного и служебного положения, убеждений, принадлежности</w:t>
      </w:r>
      <w:r w:rsidR="003C4860">
        <w:rPr>
          <w:rFonts w:eastAsia="SimSun" w:cs="Times New Roman"/>
          <w:szCs w:val="20"/>
          <w:lang w:eastAsia="zh-CN"/>
        </w:rPr>
        <w:br/>
      </w:r>
      <w:r w:rsidRPr="00D75D7F">
        <w:rPr>
          <w:rFonts w:eastAsia="SimSun" w:cs="Times New Roman"/>
          <w:szCs w:val="20"/>
          <w:lang w:eastAsia="zh-CN"/>
        </w:rPr>
        <w:t>к политическим партиям, профсоюзам и другим общественным объединениям.</w:t>
      </w:r>
    </w:p>
    <w:p w14:paraId="237FE72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284.</w:t>
      </w:r>
      <w:r w:rsidRPr="00D75D7F">
        <w:rPr>
          <w:rFonts w:eastAsia="SimSun" w:cs="Times New Roman"/>
          <w:szCs w:val="20"/>
          <w:lang w:eastAsia="zh-CN"/>
        </w:rPr>
        <w:tab/>
        <w:t>Не допускается ограничение прав и свобод человека и гражданина по признакам расовой, этнической, религиозной, языковой принадлежности, пола, происхождения, убеждений или политической и социальной принадлежности.</w:t>
      </w:r>
    </w:p>
    <w:p w14:paraId="7CD33587" w14:textId="4E69D64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285.</w:t>
      </w:r>
      <w:r w:rsidRPr="00D75D7F">
        <w:rPr>
          <w:rFonts w:eastAsia="SimSun" w:cs="Times New Roman"/>
          <w:szCs w:val="20"/>
          <w:lang w:eastAsia="zh-CN"/>
        </w:rPr>
        <w:tab/>
        <w:t>Как указывается в статье 47 Конституции Азербайджанской Республики,</w:t>
      </w:r>
      <w:r w:rsidR="003C4860">
        <w:rPr>
          <w:rFonts w:eastAsia="SimSun" w:cs="Times New Roman"/>
          <w:szCs w:val="20"/>
          <w:lang w:eastAsia="zh-CN"/>
        </w:rPr>
        <w:br/>
      </w:r>
      <w:r w:rsidRPr="00D75D7F">
        <w:rPr>
          <w:rFonts w:eastAsia="SimSun" w:cs="Times New Roman"/>
          <w:szCs w:val="20"/>
          <w:lang w:eastAsia="zh-CN"/>
        </w:rPr>
        <w:t>не допускаются агитация и пропаганда, возбуждающие расовую, национальную, религиозную, социальную и основанные на каких бы то ни было других критериях рознь и вражду.</w:t>
      </w:r>
    </w:p>
    <w:p w14:paraId="4DB979FF" w14:textId="7862378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286.</w:t>
      </w:r>
      <w:r w:rsidRPr="00D75D7F">
        <w:rPr>
          <w:rFonts w:eastAsia="SimSun" w:cs="Times New Roman"/>
          <w:szCs w:val="20"/>
          <w:lang w:eastAsia="zh-CN"/>
        </w:rPr>
        <w:tab/>
        <w:t>В статье 69 Конституции Азербайджанской Республики предусмотрено</w:t>
      </w:r>
      <w:r w:rsidR="003C4860">
        <w:rPr>
          <w:rFonts w:eastAsia="SimSun" w:cs="Times New Roman"/>
          <w:szCs w:val="20"/>
          <w:lang w:eastAsia="zh-CN"/>
        </w:rPr>
        <w:br/>
      </w:r>
      <w:r w:rsidRPr="00D75D7F">
        <w:rPr>
          <w:rFonts w:eastAsia="SimSun" w:cs="Times New Roman"/>
          <w:szCs w:val="20"/>
          <w:lang w:eastAsia="zh-CN"/>
        </w:rPr>
        <w:t xml:space="preserve"> что иностранцы и лица без гражданства, находящиеся в Азербайджане, могут пользоваться всеми правами и должны выполнять все обязанности наравне с гражданами Азербайджанской Республики, если иное не предусмотрено законом или международным договором, участницей которого является Азербайджанская Республика.</w:t>
      </w:r>
    </w:p>
    <w:p w14:paraId="5F8A128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287.</w:t>
      </w:r>
      <w:r w:rsidRPr="00D75D7F">
        <w:rPr>
          <w:rFonts w:eastAsia="SimSun" w:cs="Times New Roman"/>
          <w:szCs w:val="20"/>
          <w:lang w:eastAsia="zh-CN"/>
        </w:rPr>
        <w:tab/>
        <w:t>Права и свободы иностранцев и лиц без гражданства, постоянно или временно проживающих в стране, могут быть ограничены только в соответствии с нормами международного права или законами Азербайджанской Республики.</w:t>
      </w:r>
    </w:p>
    <w:p w14:paraId="4EF5147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288.</w:t>
      </w:r>
      <w:r w:rsidRPr="00D75D7F">
        <w:rPr>
          <w:rFonts w:eastAsia="SimSun" w:cs="Times New Roman"/>
          <w:szCs w:val="20"/>
          <w:lang w:eastAsia="zh-CN"/>
        </w:rPr>
        <w:tab/>
        <w:t>В статье 70 Конституции Азербайджанской Республики указано, что в соответствии с общепризнанными нормами международного права Азербайджанская Республика предоставляет политическое убежище иностранцам и лицам без гражданства.</w:t>
      </w:r>
    </w:p>
    <w:p w14:paraId="2B1FE4A4" w14:textId="77EB802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289.</w:t>
      </w:r>
      <w:r w:rsidRPr="00D75D7F">
        <w:rPr>
          <w:rFonts w:eastAsia="SimSun" w:cs="Times New Roman"/>
          <w:szCs w:val="20"/>
          <w:lang w:eastAsia="zh-CN"/>
        </w:rPr>
        <w:tab/>
        <w:t>16 декабря 2022 года вступил в силу новый Закон Азербайджанской</w:t>
      </w:r>
      <w:r w:rsidR="003C4860">
        <w:rPr>
          <w:rFonts w:eastAsia="SimSun" w:cs="Times New Roman"/>
          <w:szCs w:val="20"/>
          <w:lang w:eastAsia="zh-CN"/>
        </w:rPr>
        <w:br/>
      </w:r>
      <w:r w:rsidRPr="00D75D7F">
        <w:rPr>
          <w:rFonts w:eastAsia="SimSun" w:cs="Times New Roman"/>
          <w:szCs w:val="20"/>
          <w:lang w:eastAsia="zh-CN"/>
        </w:rPr>
        <w:t>Республики «О политических партиях», включающий в себя положения, запрещающие вводить ограничения на членство в политической партии по признаку расовой, этнической, религиозной принадлежности, языка, пола, происхождения, убеждений и социального положения и, кроме того, не допускающие создание и функционирование  политических партий, деятельность которых направлена на насильственное свержение конституционного строя Азербайджанской Республики, нарушение ее территориальной целостности, насильственный захват или удержание власти, распространение открытых призывов к массовым беспорядкам, совершение террористических актов, пропаганду терроризма, религиозного экстремизма, насилия и жестокости и, помимо этого, на дискриминацию по признаку расы, религии, происхождения, пола, этнической принадлежности и на дискриминацию в какой-либо иной форме, а также на предпринятие действий, противоречащих интересам охраны здоровья и окружающей среды, и разжигание расовой, религиозной или национальной ненависти.</w:t>
      </w:r>
    </w:p>
    <w:p w14:paraId="01932A4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290.</w:t>
      </w:r>
      <w:r w:rsidRPr="00D75D7F">
        <w:rPr>
          <w:rFonts w:eastAsia="SimSun" w:cs="Times New Roman"/>
          <w:szCs w:val="20"/>
          <w:lang w:eastAsia="zh-CN"/>
        </w:rPr>
        <w:tab/>
        <w:t>В статье 2.1.6 Закона Азербайджанской Республики «О персональных данных» от 11 мая 2010 года сведения, относящиеся к расовому или этническому происхождению, семейной жизни, религиозному вероисповеданию и убеждениям, здоровью или судимости физического лица, отнесены к персональным данным особой категории.</w:t>
      </w:r>
    </w:p>
    <w:p w14:paraId="05C93F82" w14:textId="42B51B21"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291.</w:t>
      </w:r>
      <w:r w:rsidRPr="00D75D7F">
        <w:rPr>
          <w:rFonts w:eastAsia="SimSun" w:cs="Times New Roman"/>
          <w:szCs w:val="20"/>
          <w:lang w:eastAsia="zh-CN"/>
        </w:rPr>
        <w:tab/>
        <w:t>В статье 6.2 Закона «О культуре» от 21 декабря 2012 года отмечается,</w:t>
      </w:r>
      <w:r w:rsidR="003C4860">
        <w:rPr>
          <w:rFonts w:eastAsia="SimSun" w:cs="Times New Roman"/>
          <w:szCs w:val="20"/>
          <w:lang w:eastAsia="zh-CN"/>
        </w:rPr>
        <w:br/>
      </w:r>
      <w:r w:rsidRPr="00D75D7F">
        <w:rPr>
          <w:rFonts w:eastAsia="SimSun" w:cs="Times New Roman"/>
          <w:szCs w:val="20"/>
          <w:lang w:eastAsia="zh-CN"/>
        </w:rPr>
        <w:t xml:space="preserve">что государство гарантирует осуществление каждым лицом — независимо от его пола, расы, языка, религиозных и политических убеждений, этнической принадлежности, социального положения, социального происхождения, состояния здоровья или принадлежности к общественным объединениям — своих прав и свобод в области культуры, а в статье 43 указывается на недопустимость проведения культурных мероприятий, предусматривающих озвучивание призывов, направленных на пропаганду и поощрение войны или социального, расового или этнического, религиозного, сословного или родового превосходства, а также ограничения прав и </w:t>
      </w:r>
      <w:r w:rsidRPr="00D75D7F">
        <w:rPr>
          <w:rFonts w:eastAsia="SimSun" w:cs="Times New Roman"/>
          <w:szCs w:val="20"/>
          <w:lang w:eastAsia="zh-CN"/>
        </w:rPr>
        <w:lastRenderedPageBreak/>
        <w:t>основных свобод человека и гражданина в области культуры, независимо от расы, этнического происхождения, религии, языка, социальной принадлежности, служебного положения, убеждений или принадлежности к общественным объединениям.</w:t>
      </w:r>
    </w:p>
    <w:p w14:paraId="149618A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292.</w:t>
      </w:r>
      <w:r w:rsidRPr="00D75D7F">
        <w:rPr>
          <w:rFonts w:eastAsia="SimSun" w:cs="Times New Roman"/>
          <w:szCs w:val="20"/>
          <w:lang w:eastAsia="zh-CN"/>
        </w:rPr>
        <w:tab/>
        <w:t>В соответствии с Законом Азербайджанской Республики «О внесении изменений в Закон "О свободе вероисповедания" от 8 мая 2009 года» в статью 1 указанного Закона были включены положения, запрещающие пропаганду религиозных убеждений и религиозного образа жизни, которые связаны с насилием или угрозами насилия или направлены на создание расовой, этнической, религиозной или социальной розни и вражды; и, согласно статье 12.1, поощрение религиозных убеждений или образа жизни, которые связаны с насилием или угрозами насилия или направлены на создание расовой, этнической, религиозной или социальной розни и вражды, принуждение к выражению или демонстрации религиозных убеждений и проведению религиозных обрядов или участию в них, распространение или пропаганда религии или религиозных течений, которые умаляют человеческое достоинство или противоречат принципам гуманизма, и осуществление религиозной экстремистской деятельности считаются основаниями для роспуска религиозной организации в судебном порядке.</w:t>
      </w:r>
    </w:p>
    <w:p w14:paraId="5D3D5788" w14:textId="2ACBAAF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293.</w:t>
      </w:r>
      <w:r w:rsidRPr="00D75D7F">
        <w:rPr>
          <w:rFonts w:eastAsia="SimSun" w:cs="Times New Roman"/>
          <w:szCs w:val="20"/>
          <w:lang w:eastAsia="zh-CN"/>
        </w:rPr>
        <w:tab/>
        <w:t>В соответствии со статьей 5.2 Закона Азербайджанской Республики</w:t>
      </w:r>
      <w:r w:rsidR="001D2255">
        <w:rPr>
          <w:rFonts w:eastAsia="SimSun" w:cs="Times New Roman"/>
          <w:szCs w:val="20"/>
          <w:lang w:eastAsia="zh-CN"/>
        </w:rPr>
        <w:br/>
      </w:r>
      <w:r w:rsidRPr="00D75D7F">
        <w:rPr>
          <w:rFonts w:eastAsia="SimSun" w:cs="Times New Roman"/>
          <w:szCs w:val="20"/>
          <w:lang w:eastAsia="zh-CN"/>
        </w:rPr>
        <w:t>«Об образовании» от 19 июня 2009 года государство гарантирует доступность образования для каждого гражданина, независимо от пола, расы, языка, религии, политических взглядов, этнической принадлежности, социального положения, происхождения и состояния здоровья, и запрещение дискриминации.</w:t>
      </w:r>
    </w:p>
    <w:p w14:paraId="1553DD3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294.</w:t>
      </w:r>
      <w:r w:rsidRPr="00D75D7F">
        <w:rPr>
          <w:rFonts w:eastAsia="SimSun" w:cs="Times New Roman"/>
          <w:szCs w:val="20"/>
          <w:lang w:eastAsia="zh-CN"/>
        </w:rPr>
        <w:tab/>
        <w:t>В соответствии со статьей 23.2 Закона «О защите прав и свобод лиц, содержащихся в местах лишения свободы» от 22 мая 2012 года задержанным лицам запрещается приобретать, иметь или распространять издания, пропагандирующие войну, насилие, экстремизм, терроризм и жестокость или разжигающие расовую, национальную, религиозную или социальную рознь и ненависть, или носящие порнографический характер, а арестованным лицам — подписываться на такие издания.</w:t>
      </w:r>
    </w:p>
    <w:p w14:paraId="4D599C95" w14:textId="218EF5F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295.</w:t>
      </w:r>
      <w:r w:rsidRPr="00D75D7F">
        <w:rPr>
          <w:rFonts w:eastAsia="SimSun" w:cs="Times New Roman"/>
          <w:szCs w:val="20"/>
          <w:lang w:eastAsia="zh-CN"/>
        </w:rPr>
        <w:tab/>
        <w:t>В соответствии с Законом Азербайджанской Республики «О внесении изменений в Закон Азербайджанской Республики "О физической культуре и спорте" от 28 апреля 2015 года» в целях предупреждения насилия и обеспечения общественной безопасности и общественного порядка во время проведения массовых спортивных мероприятий и спортивных соревнований запрещена пропаганда насилия, расовой, этнической и религиозной дискриминации и войны путем использования в этот период времени плакатов и других средств наглядной агитации на территориях спортивных объектов и в местах, предусмотренных для зрителей.</w:t>
      </w:r>
    </w:p>
    <w:p w14:paraId="01D8DCA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296.</w:t>
      </w:r>
      <w:r w:rsidRPr="00D75D7F">
        <w:rPr>
          <w:rFonts w:eastAsia="SimSun" w:cs="Times New Roman"/>
          <w:szCs w:val="20"/>
          <w:lang w:eastAsia="zh-CN"/>
        </w:rPr>
        <w:tab/>
        <w:t>В статье 11 Уголовно-процессуального кодекса Азербайджанской Республики указывается, что в Азербайджанской Республике уголовный процесс осуществляется на основе равноправия каждого перед законом и судом.</w:t>
      </w:r>
    </w:p>
    <w:p w14:paraId="77964C1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297.</w:t>
      </w:r>
      <w:r w:rsidRPr="00D75D7F">
        <w:rPr>
          <w:rFonts w:eastAsia="SimSun" w:cs="Times New Roman"/>
          <w:szCs w:val="20"/>
          <w:lang w:eastAsia="zh-CN"/>
        </w:rPr>
        <w:tab/>
        <w:t>Органы, осуществляющие уголовный процесс, не предоставляют никому из принимающих участие в уголовном процессе преимущества по гражданству, социальной, половой, расовой, национальной, политической и религиозной принадлежности, языку, происхождению, имущественному или служебному положению, убеждениям, месту жительства, месту нахождения и иным не обоснованным законом соображениям.</w:t>
      </w:r>
    </w:p>
    <w:p w14:paraId="5BF2ACA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298.</w:t>
      </w:r>
      <w:r w:rsidRPr="00D75D7F">
        <w:rPr>
          <w:rFonts w:eastAsia="SimSun" w:cs="Times New Roman"/>
          <w:szCs w:val="20"/>
          <w:lang w:eastAsia="zh-CN"/>
        </w:rPr>
        <w:tab/>
        <w:t>В статье 61.1.6 Уголовного кодекса Азербайджанской Республики указывается, что совершение преступления по мотиву национальной, расовой, религиозной ненависти или фанатизма определяется в качестве отягчающего наказание обстоятельства.</w:t>
      </w:r>
    </w:p>
    <w:p w14:paraId="07D69BC0"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299.</w:t>
      </w:r>
      <w:r w:rsidRPr="00D75D7F">
        <w:rPr>
          <w:rFonts w:eastAsia="SimSun" w:cs="Times New Roman"/>
          <w:szCs w:val="20"/>
          <w:lang w:eastAsia="zh-CN"/>
        </w:rPr>
        <w:tab/>
        <w:t xml:space="preserve">Статья 109 Уголовного кодекса устанавливает уголовную ответственность за преследование какой-либо группы или организации по политическим, расовым, национальным, этническим, культурным, религиозным мотивам, мотивам половой принадлежности или другим запрещенным нормами международного права мотивам; </w:t>
      </w:r>
      <w:r w:rsidRPr="00D75D7F">
        <w:rPr>
          <w:rFonts w:eastAsia="SimSun" w:cs="Times New Roman"/>
          <w:szCs w:val="20"/>
          <w:lang w:eastAsia="zh-CN"/>
        </w:rPr>
        <w:lastRenderedPageBreak/>
        <w:t>иными словами, грубое нарушение основных прав людей по причине их принадлежности к таким группам или организациям, если это деяние сопряжено с другими преступлениями против безопасности человечества, считается уголовным преступлением.</w:t>
      </w:r>
    </w:p>
    <w:p w14:paraId="4F21CBBF"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300.</w:t>
      </w:r>
      <w:r w:rsidRPr="00D75D7F">
        <w:rPr>
          <w:rFonts w:eastAsia="SimSun" w:cs="Times New Roman"/>
          <w:szCs w:val="20"/>
          <w:lang w:eastAsia="zh-CN"/>
        </w:rPr>
        <w:tab/>
        <w:t>Статья 154 Уголовного кодекса Азербайджанской Республики предусматривает уголовное наказание за нарушение равноправия физических лиц в зависимости от расы, национальности, отношения к религии, языка, пола, происхождения, имущественного и должностного положения, убеждений, принадлежности к политическим партиям, профессиональным союзам и другим общественным объединениям, причинившее вред правам и законным интересам таких лиц.</w:t>
      </w:r>
    </w:p>
    <w:p w14:paraId="5E9244AA" w14:textId="678F161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301.</w:t>
      </w:r>
      <w:r w:rsidRPr="00D75D7F">
        <w:rPr>
          <w:rFonts w:eastAsia="SimSun" w:cs="Times New Roman"/>
          <w:szCs w:val="20"/>
          <w:lang w:eastAsia="zh-CN"/>
        </w:rPr>
        <w:tab/>
        <w:t>В Уголовном кодексе Азербайджанской Республики уголовными считаются такие преступления, как расовая дискриминация (апартеид) (статья 111),</w:t>
      </w:r>
      <w:r w:rsidR="001D2255">
        <w:rPr>
          <w:rFonts w:eastAsia="SimSun" w:cs="Times New Roman"/>
          <w:szCs w:val="20"/>
          <w:lang w:eastAsia="zh-CN"/>
        </w:rPr>
        <w:br/>
      </w:r>
      <w:r w:rsidRPr="00D75D7F">
        <w:rPr>
          <w:rFonts w:eastAsia="SimSun" w:cs="Times New Roman"/>
          <w:szCs w:val="20"/>
          <w:lang w:eastAsia="zh-CN"/>
        </w:rPr>
        <w:t>геноцид (статья 103), подстрекательство к совершению геноцида (статья 104), уничтожение населения (статья 105), рабство (статья 106), депортация или принудительное переселение населения (статья 107), преследование (статья 109)</w:t>
      </w:r>
      <w:r w:rsidR="001D2255">
        <w:rPr>
          <w:rFonts w:eastAsia="SimSun" w:cs="Times New Roman"/>
          <w:szCs w:val="20"/>
          <w:lang w:eastAsia="zh-CN"/>
        </w:rPr>
        <w:br/>
      </w:r>
      <w:r w:rsidRPr="00D75D7F">
        <w:rPr>
          <w:rFonts w:eastAsia="SimSun" w:cs="Times New Roman"/>
          <w:szCs w:val="20"/>
          <w:lang w:eastAsia="zh-CN"/>
        </w:rPr>
        <w:t>и насильственное удерживание человека (статья 110).</w:t>
      </w:r>
    </w:p>
    <w:p w14:paraId="2C610547"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302.</w:t>
      </w:r>
      <w:r w:rsidRPr="00D75D7F">
        <w:rPr>
          <w:rFonts w:eastAsia="SimSun" w:cs="Times New Roman"/>
          <w:szCs w:val="20"/>
          <w:lang w:eastAsia="zh-CN"/>
        </w:rPr>
        <w:tab/>
        <w:t>Суд проявляет одинаковое отношение ко всем лицам, участвующим в том или ином деле, независимо от их расовой и этнической принадлежности, религии, языка, пола, происхождения, имущественного и социального положения, личных убеждений, принадлежности к политическим партиям, профессиональным союзам и другим общественным организациям, местонахождения, подчиненности или формы собственности юридического лица и других обстоятельств, не предусмотренных законом.</w:t>
      </w:r>
    </w:p>
    <w:p w14:paraId="21142E44" w14:textId="360F66A9"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303.</w:t>
      </w:r>
      <w:r w:rsidRPr="00D75D7F">
        <w:rPr>
          <w:rFonts w:eastAsia="SimSun" w:cs="Times New Roman"/>
          <w:szCs w:val="20"/>
          <w:lang w:eastAsia="zh-CN"/>
        </w:rPr>
        <w:tab/>
        <w:t>Согласно статье 16 Трудового кодекса Азербайджанской Республики,</w:t>
      </w:r>
      <w:r w:rsidR="001D2255">
        <w:rPr>
          <w:rFonts w:eastAsia="SimSun" w:cs="Times New Roman"/>
          <w:szCs w:val="20"/>
          <w:lang w:eastAsia="zh-CN"/>
        </w:rPr>
        <w:br/>
      </w:r>
      <w:r w:rsidRPr="00D75D7F">
        <w:rPr>
          <w:rFonts w:eastAsia="SimSun" w:cs="Times New Roman"/>
          <w:szCs w:val="20"/>
          <w:lang w:eastAsia="zh-CN"/>
        </w:rPr>
        <w:t>не допускается любая дискриминация работников в отношении предоставляемых им льгот и преимуществ или прямого или косвенного ограничения их прав по признакам гражданства, пола, расы, религии, этнического происхождения, языка, места жительства, имущественного положения, социального происхождения, возраста, семейного положения, убеждений, политических взглядов, принадлежности к профессиональным союзам или другим общественным объединениям, служебного положения и других факторов, не связанных с профессиональными качествами, профессиональными навыками и результатами труда работников.</w:t>
      </w:r>
    </w:p>
    <w:p w14:paraId="1E3FA665" w14:textId="4148F70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304.</w:t>
      </w:r>
      <w:r w:rsidRPr="00D75D7F">
        <w:rPr>
          <w:rFonts w:eastAsia="SimSun" w:cs="Times New Roman"/>
          <w:szCs w:val="20"/>
          <w:lang w:eastAsia="zh-CN"/>
        </w:rPr>
        <w:tab/>
        <w:t>Закон Азербайджанской Республики «Об обеспечении гендерного (мужского и женского) равенства» от 10 октября 2006 года содержит положения о ликвидации гендерного неравенства и проведении гендерного анализа и устанавливает основные направления государственной политики по обеспечению гендерного равенства</w:t>
      </w:r>
      <w:r w:rsidR="001D2255">
        <w:rPr>
          <w:rFonts w:eastAsia="SimSun" w:cs="Times New Roman"/>
          <w:szCs w:val="20"/>
          <w:lang w:eastAsia="zh-CN"/>
        </w:rPr>
        <w:br/>
      </w:r>
      <w:r w:rsidRPr="00D75D7F">
        <w:rPr>
          <w:rFonts w:eastAsia="SimSun" w:cs="Times New Roman"/>
          <w:szCs w:val="20"/>
          <w:lang w:eastAsia="zh-CN"/>
        </w:rPr>
        <w:t>и поощрению равноправия в сфере образования и предпринимательской деятельности и в оплате труда и выборе работы и т.</w:t>
      </w:r>
      <w:r w:rsidR="001D2255">
        <w:rPr>
          <w:rFonts w:eastAsia="SimSun" w:cs="Times New Roman"/>
          <w:szCs w:val="20"/>
          <w:lang w:eastAsia="zh-CN"/>
        </w:rPr>
        <w:t> </w:t>
      </w:r>
      <w:r w:rsidRPr="00D75D7F">
        <w:rPr>
          <w:rFonts w:eastAsia="SimSun" w:cs="Times New Roman"/>
          <w:szCs w:val="20"/>
          <w:lang w:eastAsia="zh-CN"/>
        </w:rPr>
        <w:t>д.</w:t>
      </w:r>
    </w:p>
    <w:p w14:paraId="0ADF334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305.</w:t>
      </w:r>
      <w:r w:rsidRPr="00D75D7F">
        <w:rPr>
          <w:rFonts w:eastAsia="SimSun" w:cs="Times New Roman"/>
          <w:szCs w:val="20"/>
          <w:lang w:eastAsia="zh-CN"/>
        </w:rPr>
        <w:tab/>
        <w:t>Помимо упомянутых выше положений, другие предписания, касающиеся запрета расовой дискриминации, также закреплены в отдельных нормативных актах, регулирующих деятельность судей и государственных должностных лиц, включая кодексы поведения.</w:t>
      </w:r>
    </w:p>
    <w:p w14:paraId="2FBFFD2C" w14:textId="27389990"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306.</w:t>
      </w:r>
      <w:r w:rsidRPr="00D75D7F">
        <w:rPr>
          <w:rFonts w:eastAsia="SimSun" w:cs="Times New Roman"/>
          <w:szCs w:val="20"/>
          <w:lang w:eastAsia="zh-CN"/>
        </w:rPr>
        <w:tab/>
        <w:t>Например, в соответствии со статьей 8 Кодекса этического поведения судей, утвержденного постановлением Судебно-правового совета от 22 июня 2007 года, судья обязан относиться одинаково ко всем участвующим в процессуальных разбирательствах лицам (включая стороны, защитников, государственных служащих, свидетелей и т.</w:t>
      </w:r>
      <w:r w:rsidR="001D2255">
        <w:rPr>
          <w:rFonts w:eastAsia="SimSun" w:cs="Times New Roman"/>
          <w:szCs w:val="20"/>
          <w:lang w:eastAsia="zh-CN"/>
        </w:rPr>
        <w:t> </w:t>
      </w:r>
      <w:r w:rsidRPr="00D75D7F">
        <w:rPr>
          <w:rFonts w:eastAsia="SimSun" w:cs="Times New Roman"/>
          <w:szCs w:val="20"/>
          <w:lang w:eastAsia="zh-CN"/>
        </w:rPr>
        <w:t>д.). Судья не должен отдавать предпочтение кому-либо из участников процессуальных разбирательств. Судья не должен высказывать какие-либо мнения в отношении расы, пола, религии или этнической принадлежности того или иного лица или допускать какой-либо дискриминации в любой форме.</w:t>
      </w:r>
    </w:p>
    <w:p w14:paraId="73603F8C"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307.</w:t>
      </w:r>
      <w:r w:rsidRPr="00D75D7F">
        <w:rPr>
          <w:rFonts w:eastAsia="SimSun" w:cs="Times New Roman"/>
          <w:szCs w:val="20"/>
          <w:lang w:eastAsia="zh-CN"/>
        </w:rPr>
        <w:tab/>
        <w:t xml:space="preserve">С учетом существующего в обществе религиозного разнообразия государственная политика Азербайджанской Республики в области религии основывается на свободе мысли и выражения мнений, свободе совести, межрелигиозном диалоге, толерантности и взаимопонимании. В то же время государственная политика в области религии опирается на принципы и нормы </w:t>
      </w:r>
      <w:r w:rsidRPr="00D75D7F">
        <w:rPr>
          <w:rFonts w:eastAsia="SimSun" w:cs="Times New Roman"/>
          <w:szCs w:val="20"/>
          <w:lang w:eastAsia="zh-CN"/>
        </w:rPr>
        <w:lastRenderedPageBreak/>
        <w:t>международного права, международные договоры, стороной которых является Азербайджанская Республика, Конституцию страны и другие законы и нормативно-правовые акты.</w:t>
      </w:r>
    </w:p>
    <w:p w14:paraId="4E72D16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308.</w:t>
      </w:r>
      <w:r w:rsidRPr="00D75D7F">
        <w:rPr>
          <w:rFonts w:eastAsia="SimSun" w:cs="Times New Roman"/>
          <w:szCs w:val="20"/>
          <w:lang w:eastAsia="zh-CN"/>
        </w:rPr>
        <w:tab/>
        <w:t>29 ноября 2019 года Распоряжением Президента Азербайджанской Республики в структуре Администрации Президента был создан Отдел по межнациональным вопросам, вопросам мультикультурализма и религии. Отдел принимает непосредственное участие в определении государственной политики в области межнациональных отношений и обеспечения свободы религии и в сохранении и развитии мультикультуральных традиций.</w:t>
      </w:r>
    </w:p>
    <w:p w14:paraId="25D8137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309.</w:t>
      </w:r>
      <w:r w:rsidRPr="00D75D7F">
        <w:rPr>
          <w:rFonts w:eastAsia="SimSun" w:cs="Times New Roman"/>
          <w:szCs w:val="20"/>
          <w:lang w:eastAsia="zh-CN"/>
        </w:rPr>
        <w:tab/>
        <w:t>Указом Президента Азербайджанской Республики от 10 октября 2017 года при Государственном комитете по работе с религиозными организациями был создан Фонд пропаганды духовных ценностей. Основной целью деятельности Фонда является оказание государственной поддержки процессу осуществления в Азербайджане просветительских мероприятий в области вероисповедания, защиты и развития духовных ценностей и подготовки и реализации целевых программ в сфере государственно-религиозных отношений в интересах обеспечения свободы вероисповедания религиозных организаций и граждан и проведения социальных проектов в данной области.</w:t>
      </w:r>
    </w:p>
    <w:p w14:paraId="6D708FA7" w14:textId="59B7EE9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310.</w:t>
      </w:r>
      <w:r w:rsidRPr="00D75D7F">
        <w:rPr>
          <w:rFonts w:eastAsia="SimSun" w:cs="Times New Roman"/>
          <w:szCs w:val="20"/>
          <w:lang w:eastAsia="zh-CN"/>
        </w:rPr>
        <w:tab/>
        <w:t>В соответствии с Распоряжением Президента Азербайджанской Республики от 8 февраля 2023 года из резервного фонда Президента были выделены средства в размере 3</w:t>
      </w:r>
      <w:r w:rsidR="001D2255">
        <w:rPr>
          <w:rFonts w:eastAsia="SimSun" w:cs="Times New Roman"/>
          <w:szCs w:val="20"/>
          <w:lang w:eastAsia="zh-CN"/>
        </w:rPr>
        <w:t> </w:t>
      </w:r>
      <w:r w:rsidRPr="00D75D7F">
        <w:rPr>
          <w:rFonts w:eastAsia="SimSun" w:cs="Times New Roman"/>
          <w:szCs w:val="20"/>
          <w:lang w:eastAsia="zh-CN"/>
        </w:rPr>
        <w:t>100</w:t>
      </w:r>
      <w:r w:rsidR="001D2255">
        <w:rPr>
          <w:rFonts w:eastAsia="SimSun" w:cs="Times New Roman"/>
          <w:szCs w:val="20"/>
          <w:lang w:eastAsia="zh-CN"/>
        </w:rPr>
        <w:t> </w:t>
      </w:r>
      <w:r w:rsidRPr="00D75D7F">
        <w:rPr>
          <w:rFonts w:eastAsia="SimSun" w:cs="Times New Roman"/>
          <w:szCs w:val="20"/>
          <w:lang w:eastAsia="zh-CN"/>
        </w:rPr>
        <w:t>000 манатов для поддержки религиозных конфессий страны и улучшения их финансового положения. Из этой суммы 350 000 манатов было передано Бакинской и Азербайджанской епархии, 350 000 манатов — религиозной общине горских евреев города Баку, 350 000 манатов — Бакинской религиозной общине европейских евреев, 350 000 манатов — религиозной школе при Апостольской префектуре католической церкви в Азербайджанской Республике, 350 000 манатов — Албано-Удинской христианской общине Азербайджанской Республики,</w:t>
      </w:r>
      <w:r w:rsidR="001D2255">
        <w:rPr>
          <w:rFonts w:eastAsia="SimSun" w:cs="Times New Roman"/>
          <w:szCs w:val="20"/>
          <w:lang w:eastAsia="zh-CN"/>
        </w:rPr>
        <w:br/>
      </w:r>
      <w:r w:rsidRPr="00D75D7F">
        <w:rPr>
          <w:rFonts w:eastAsia="SimSun" w:cs="Times New Roman"/>
          <w:szCs w:val="20"/>
          <w:lang w:eastAsia="zh-CN"/>
        </w:rPr>
        <w:t>а также 350</w:t>
      </w:r>
      <w:r w:rsidR="001D2255">
        <w:rPr>
          <w:rFonts w:eastAsia="SimSun" w:cs="Times New Roman"/>
          <w:szCs w:val="20"/>
          <w:lang w:eastAsia="zh-CN"/>
        </w:rPr>
        <w:t> </w:t>
      </w:r>
      <w:r w:rsidRPr="00D75D7F">
        <w:rPr>
          <w:rFonts w:eastAsia="SimSun" w:cs="Times New Roman"/>
          <w:szCs w:val="20"/>
          <w:lang w:eastAsia="zh-CN"/>
        </w:rPr>
        <w:t>000 манатов — Фонду пропаганды духовных ценностей, подведомственному Государственному комитету по работе с религиозными организациями Азербайджанской Республики, для материальной поддержки других неисламских религиозных общин.</w:t>
      </w:r>
    </w:p>
    <w:p w14:paraId="1243F36E"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311.</w:t>
      </w:r>
      <w:r w:rsidRPr="00D75D7F">
        <w:rPr>
          <w:rFonts w:eastAsia="SimSun" w:cs="Times New Roman"/>
          <w:szCs w:val="20"/>
          <w:lang w:eastAsia="zh-CN"/>
        </w:rPr>
        <w:tab/>
        <w:t>Указом Президента Азербайджанской Республики от 15 мая 2014 года был создан Бакинский международный центр мультикультурализма. В соответствии с его уставом Бакинский международный центр мультикультурализма является юридическим лицом — некоммерческой структурой, обеспечивающей защиту толерантности и культурного, религиозного и языкового разнообразия в русле идеи азербайджанства, приносящей стране мировую известность в качестве центра мультикультурализма, занимающегося исследованием и развитием существующих моделей мультикультурализма.</w:t>
      </w:r>
    </w:p>
    <w:p w14:paraId="53DE7CE1" w14:textId="546A3565"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312.</w:t>
      </w:r>
      <w:r w:rsidRPr="00D75D7F">
        <w:rPr>
          <w:rFonts w:eastAsia="SimSun" w:cs="Times New Roman"/>
          <w:szCs w:val="20"/>
          <w:lang w:eastAsia="zh-CN"/>
        </w:rPr>
        <w:tab/>
        <w:t xml:space="preserve">В 2008 году Азербайджанской Республикой в целях установления диалога между культурами был запущен «Бакинский процесс». В рамках этого процесса за последние 11 лет каждые </w:t>
      </w:r>
      <w:r w:rsidR="001D2255">
        <w:rPr>
          <w:rFonts w:eastAsia="SimSun" w:cs="Times New Roman"/>
          <w:szCs w:val="20"/>
          <w:lang w:eastAsia="zh-CN"/>
        </w:rPr>
        <w:t>2</w:t>
      </w:r>
      <w:r w:rsidRPr="00D75D7F">
        <w:rPr>
          <w:rFonts w:eastAsia="SimSun" w:cs="Times New Roman"/>
          <w:szCs w:val="20"/>
          <w:lang w:eastAsia="zh-CN"/>
        </w:rPr>
        <w:t xml:space="preserve"> года начиная с 2011 года проводились Всемирные форумы по межкультурному диалогу, а также шесть раз — Бакинский международный гуманитарный форум. В последние годы в Баку проводились различные международные мероприятия: седьмой Глобальный форум Альянса цивилизаций Организации Объединенных Наций (25–27 апреля 2016 года), четвертый Всемирный форум по межкультурному диалогу (4−6 мая 2017 года) на тему «Развитие межкультурного диалога: новые возможности для безопасности человека, мир</w:t>
      </w:r>
      <w:r w:rsidR="001D2255">
        <w:rPr>
          <w:rFonts w:eastAsia="SimSun" w:cs="Times New Roman"/>
          <w:szCs w:val="20"/>
          <w:lang w:eastAsia="zh-CN"/>
        </w:rPr>
        <w:br/>
      </w:r>
      <w:r w:rsidRPr="00D75D7F">
        <w:rPr>
          <w:rFonts w:eastAsia="SimSun" w:cs="Times New Roman"/>
          <w:szCs w:val="20"/>
          <w:lang w:eastAsia="zh-CN"/>
        </w:rPr>
        <w:t xml:space="preserve"> и устойчивого развития» и пятый Всемирный форум по межкультурному</w:t>
      </w:r>
      <w:r w:rsidR="001D2255">
        <w:rPr>
          <w:rFonts w:eastAsia="SimSun" w:cs="Times New Roman"/>
          <w:szCs w:val="20"/>
          <w:lang w:eastAsia="zh-CN"/>
        </w:rPr>
        <w:br/>
      </w:r>
      <w:r w:rsidRPr="00D75D7F">
        <w:rPr>
          <w:rFonts w:eastAsia="SimSun" w:cs="Times New Roman"/>
          <w:szCs w:val="20"/>
          <w:lang w:eastAsia="zh-CN"/>
        </w:rPr>
        <w:t>диалогу (2−3 мая 2019 года) на тему «Построение диалога для борьбы против дискриминации, неравенства и насильственных конфликтов».</w:t>
      </w:r>
    </w:p>
    <w:p w14:paraId="1969AD3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313.</w:t>
      </w:r>
      <w:r w:rsidRPr="00D75D7F">
        <w:rPr>
          <w:rFonts w:eastAsia="SimSun" w:cs="Times New Roman"/>
          <w:szCs w:val="20"/>
          <w:lang w:eastAsia="zh-CN"/>
        </w:rPr>
        <w:tab/>
        <w:t xml:space="preserve">В докладе Генерального секретаря «Поощрение культуры мира и межрелигиозного и межкультурного диалога, взаимопонимания и сотрудничества на благо мира», который был представлен на семьдесят второй сессии Генеральной Ассамблеи в сентябре 2017 года, особый акцент, сделанный на успешной реализации «Бакинского процесса» с 2008 года, следует рассматривать как признание на </w:t>
      </w:r>
      <w:r w:rsidRPr="00D75D7F">
        <w:rPr>
          <w:rFonts w:eastAsia="SimSun" w:cs="Times New Roman"/>
          <w:szCs w:val="20"/>
          <w:lang w:eastAsia="zh-CN"/>
        </w:rPr>
        <w:lastRenderedPageBreak/>
        <w:t>международном уровне того вклада, который Азербайджан внес в развитие межкультурного диалога в последние годы,  и той роли, которую он играл в качестве своеобразного моста между цивилизациями с древних времен.</w:t>
      </w:r>
    </w:p>
    <w:p w14:paraId="0627CD6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314.</w:t>
      </w:r>
      <w:r w:rsidRPr="00D75D7F">
        <w:rPr>
          <w:rFonts w:eastAsia="SimSun" w:cs="Times New Roman"/>
          <w:szCs w:val="20"/>
          <w:lang w:eastAsia="zh-CN"/>
        </w:rPr>
        <w:tab/>
        <w:t>В этой связи было подписано Распоряжение Президента Азербайджанской Республики от 17 ноября 2017 года о проведении мероприятий, посвященных десятой годовщине «Бакинского процесса». Согласно данному распоряжению, 25–26 октября 2018 года в Баку был успешно организован Бакинский международный гуманитарный форум.</w:t>
      </w:r>
    </w:p>
    <w:p w14:paraId="3FFFFD3A"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315.</w:t>
      </w:r>
      <w:r w:rsidRPr="00D75D7F">
        <w:rPr>
          <w:rFonts w:eastAsia="SimSun" w:cs="Times New Roman"/>
          <w:szCs w:val="20"/>
          <w:lang w:eastAsia="zh-CN"/>
        </w:rPr>
        <w:tab/>
        <w:t>Благодаря принятым государством в последние годы комплексным законодательным, организационным и другим мерам, направленным на расширение реформы пенитенциарной системы с целью обеспечения ее соответствия международным стандартам в области соблюдения прав, свобод и законных интересов подследственных и осужденных, были достигнуты реальные и качественные изменения.</w:t>
      </w:r>
    </w:p>
    <w:p w14:paraId="5AA269DE" w14:textId="3CA40C8E"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316.</w:t>
      </w:r>
      <w:r w:rsidRPr="00D75D7F">
        <w:rPr>
          <w:rFonts w:eastAsia="SimSun" w:cs="Times New Roman"/>
          <w:szCs w:val="20"/>
          <w:lang w:eastAsia="zh-CN"/>
        </w:rPr>
        <w:tab/>
        <w:t>22 мая 2012 года был принят новый Закон Азербайджанской Республики</w:t>
      </w:r>
      <w:r w:rsidR="00834925">
        <w:rPr>
          <w:rFonts w:eastAsia="SimSun" w:cs="Times New Roman"/>
          <w:szCs w:val="20"/>
          <w:lang w:eastAsia="zh-CN"/>
        </w:rPr>
        <w:br/>
      </w:r>
      <w:r w:rsidRPr="00D75D7F">
        <w:rPr>
          <w:rFonts w:eastAsia="SimSun" w:cs="Times New Roman"/>
          <w:szCs w:val="20"/>
          <w:lang w:eastAsia="zh-CN"/>
        </w:rPr>
        <w:t>«О правах и свободах лиц, содержащихся в местах лишения свободы», который существенно изменил и гуманизировал правовые нормы, касающиеся задержанных и заключенных под стражу лиц.</w:t>
      </w:r>
    </w:p>
    <w:p w14:paraId="23C454A6" w14:textId="5D6E4533"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317.</w:t>
      </w:r>
      <w:r w:rsidRPr="00D75D7F">
        <w:rPr>
          <w:rFonts w:eastAsia="SimSun" w:cs="Times New Roman"/>
          <w:szCs w:val="20"/>
          <w:lang w:eastAsia="zh-CN"/>
        </w:rPr>
        <w:tab/>
        <w:t>10 февраля 2017 года Президент Азербайджанской Республики подписал Распоряжение «Об упорядочении деятельности в пенитенциарной сфере, гуманизации политики наказания и расширении применения альтернативных видов наказания и процессуальных мер принуждения, не связанных с изоляцией от общества». Целью этого распоряжения является модернизация подхода к уголовно-правовой политике, уголовного законодательства и путей обеспечения прав осужденных и совершенствование пенитенциарной системы путем использования передового мирового опыта в данной области.</w:t>
      </w:r>
    </w:p>
    <w:p w14:paraId="3DF0267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318.</w:t>
      </w:r>
      <w:r w:rsidRPr="00D75D7F">
        <w:rPr>
          <w:rFonts w:eastAsia="SimSun" w:cs="Times New Roman"/>
          <w:szCs w:val="20"/>
          <w:lang w:eastAsia="zh-CN"/>
        </w:rPr>
        <w:tab/>
        <w:t>Правительство Азербайджана продолжает принимать необходимые меры в сфере борьбы с бытовым насилием. 27 ноября 2020 года был принят Национальный план действий по борьбе с бытовым насилием на период 2020−2023 годов.</w:t>
      </w:r>
    </w:p>
    <w:p w14:paraId="41008BFB" w14:textId="3D66A81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319.</w:t>
      </w:r>
      <w:r w:rsidRPr="00D75D7F">
        <w:rPr>
          <w:rFonts w:eastAsia="SimSun" w:cs="Times New Roman"/>
          <w:szCs w:val="20"/>
          <w:lang w:eastAsia="zh-CN"/>
        </w:rPr>
        <w:tab/>
        <w:t>В целях обеспечения осуществления мер, предусмотренных Национальным планом действий, 1 декабря 2020 года Государственный комитет по проблемам семьи, женщин и детей в сотрудничестве с Фондом Организации Объединенных Наций в области народонаселения открыл «горячую лини</w:t>
      </w:r>
      <w:r w:rsidR="00834925">
        <w:rPr>
          <w:rFonts w:eastAsia="SimSun" w:cs="Times New Roman"/>
          <w:szCs w:val="20"/>
          <w:lang w:eastAsia="zh-CN"/>
        </w:rPr>
        <w:t>ю</w:t>
      </w:r>
      <w:r w:rsidRPr="00D75D7F">
        <w:rPr>
          <w:rFonts w:eastAsia="SimSun" w:cs="Times New Roman"/>
          <w:szCs w:val="20"/>
          <w:lang w:eastAsia="zh-CN"/>
        </w:rPr>
        <w:t>» по вопросам бытового насилия.</w:t>
      </w:r>
    </w:p>
    <w:p w14:paraId="4D06F379" w14:textId="0DEC060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320.</w:t>
      </w:r>
      <w:r w:rsidRPr="00D75D7F">
        <w:rPr>
          <w:rFonts w:eastAsia="SimSun" w:cs="Times New Roman"/>
          <w:szCs w:val="20"/>
          <w:lang w:eastAsia="zh-CN"/>
        </w:rPr>
        <w:tab/>
        <w:t>В 2013 году Министерство труда и социальной защиты населения создало первую Комиссию по аккредитации негосударственных центров поддержки жертв бытового насилия. До настоящего времени Комиссия аккредитовала</w:t>
      </w:r>
      <w:r w:rsidR="00834925">
        <w:rPr>
          <w:rFonts w:eastAsia="SimSun" w:cs="Times New Roman"/>
          <w:szCs w:val="20"/>
          <w:lang w:eastAsia="zh-CN"/>
        </w:rPr>
        <w:br/>
        <w:t>восемь</w:t>
      </w:r>
      <w:r w:rsidRPr="00D75D7F">
        <w:rPr>
          <w:rFonts w:eastAsia="SimSun" w:cs="Times New Roman"/>
          <w:szCs w:val="20"/>
          <w:lang w:eastAsia="zh-CN"/>
        </w:rPr>
        <w:t xml:space="preserve"> негосударственных центров поддержки.</w:t>
      </w:r>
    </w:p>
    <w:p w14:paraId="1EB75A40" w14:textId="3F37BA5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321.</w:t>
      </w:r>
      <w:r w:rsidRPr="00D75D7F">
        <w:rPr>
          <w:rFonts w:eastAsia="SimSun" w:cs="Times New Roman"/>
          <w:szCs w:val="20"/>
          <w:lang w:eastAsia="zh-CN"/>
        </w:rPr>
        <w:tab/>
        <w:t>В соответствии с Указом Президента Азербайджанской Республики, изданным в 2019 году, при Агентстве социальных услуг Министерства труда и социальной защиты населения был создан приют и реабилитационный центр для уязвимых групп населения. Это учреждение является государственным юридическим лицом, предоставляющим социальные услуги уязвимым группам населения. Следует отметить, что с 1 августа 2021 года в этом учреждении функционирует отделение социальной реабилитации жертв бытового насилия. Отделение оказывает социально-правовые, медицинские и социальные услуги и услуги в области социального обеспечения, а также социально-консультативную помощь жертвам бытового</w:t>
      </w:r>
      <w:r w:rsidR="00834925">
        <w:rPr>
          <w:rFonts w:eastAsia="SimSun" w:cs="Times New Roman"/>
          <w:szCs w:val="20"/>
          <w:lang w:eastAsia="zh-CN"/>
        </w:rPr>
        <w:br/>
      </w:r>
      <w:r w:rsidRPr="00D75D7F">
        <w:rPr>
          <w:rFonts w:eastAsia="SimSun" w:cs="Times New Roman"/>
          <w:szCs w:val="20"/>
          <w:lang w:eastAsia="zh-CN"/>
        </w:rPr>
        <w:t>насилия (женщинам и детям).</w:t>
      </w:r>
    </w:p>
    <w:p w14:paraId="7B0E154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322.</w:t>
      </w:r>
      <w:r w:rsidRPr="00D75D7F">
        <w:rPr>
          <w:rFonts w:eastAsia="SimSun" w:cs="Times New Roman"/>
          <w:szCs w:val="20"/>
          <w:lang w:eastAsia="zh-CN"/>
        </w:rPr>
        <w:tab/>
        <w:t>Кроме того, при Государственном комитете по проблемам семьи, женщин и детей действуют 11 центров помощи семье и детям. Эти центры играют важную роль в индивидуальном развитии детей и подростков и оказывают услуги по правовой, психологической и социальной поддержке в целях защиты прав женщин и детей из групп риска в регионах. С ноября 2020 года сотрудники этих центров осуществляют проект по оказанию психологической помощи семьям, пострадавшим от военных действий.</w:t>
      </w:r>
    </w:p>
    <w:p w14:paraId="665412D2"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323.</w:t>
      </w:r>
      <w:r w:rsidRPr="00D75D7F">
        <w:rPr>
          <w:rFonts w:eastAsia="SimSun" w:cs="Times New Roman"/>
          <w:szCs w:val="20"/>
          <w:lang w:eastAsia="zh-CN"/>
        </w:rPr>
        <w:tab/>
        <w:t>В регионах страны при местных органах власти были созданы группы по мониторингу гендерного насилия и насилия в отношении детей, в состав которых входят представители местных органов управления. Основная цель деятельности этих групп — анализ и оценка сложившейся ситуации, проверка эффективности проводимых мероприятий, выявление семей, входящих в группу риска, и оказание им помощи, изучение и анализ причин конкретных случаев насилия, в том числе обсуждение серьезных случаев насилия, и принятие оперативных и неотложных мер по защите жертв насилия.</w:t>
      </w:r>
    </w:p>
    <w:p w14:paraId="4262F933"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324.</w:t>
      </w:r>
      <w:r w:rsidRPr="00D75D7F">
        <w:rPr>
          <w:rFonts w:eastAsia="SimSun" w:cs="Times New Roman"/>
          <w:szCs w:val="20"/>
          <w:lang w:eastAsia="zh-CN"/>
        </w:rPr>
        <w:tab/>
        <w:t>В соответствии с Правилами государственного контроля за реализацией прав детей, утвержденными Указом Президента Азербайджанской Республики от 8 мая 2012 года, государственный контроль — в зависимости от сферы компетенции, определяемой на основании законов Азербайджанской Республики, — осуществляется Государственным комитетом по проблемам семьи, женщин и детей Азербайджанской Республики, Министерством внутренних дел Азербайджанской Республики, Министерством науки и образования Азербайджанской Республики, Министерством здравоохранения Азербайджанской Республики, Министерством труда и социальной защиты населения Азербайджанской Республики, Министерством молодежи и спорта Азербайджанской Республики, Агентством продовольственной безопасности Азербайджанской Республики, Государственным агентством по обязательному медицинскому страхованию, Комиссией по делам несовершеннолетних и защите их прав и органами опеки и попечительства местных органов власти.</w:t>
      </w:r>
    </w:p>
    <w:p w14:paraId="69FEFD7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325.</w:t>
      </w:r>
      <w:r w:rsidRPr="00D75D7F">
        <w:rPr>
          <w:rFonts w:eastAsia="SimSun" w:cs="Times New Roman"/>
          <w:szCs w:val="20"/>
          <w:lang w:eastAsia="zh-CN"/>
        </w:rPr>
        <w:tab/>
        <w:t>30 октября 2018 года Указом Президента Азербайджанской Республики был утвержден Закон «О защите детей от вредной информации». Закон запрещает пропаганду насилия, жестокости, наркотических средств и психотропных веществ, алкогольных и энергетических напитков и табачной продукции, порнографических материалов и предусматривает развитие международного сотрудничества в этой сфере. В число видов вредной информации, указываемой в этом законодательном акте, входят, в частности, информация, наносящая вред институту семьи или содержащая ненормативную лексику, или материалы эротического или устрашающего характера. Закон содержит положение, предусматривающее необходимость того, чтобы производитель или распространитель информационной продукции указывали соответствующую возрастную категорию на товаре или на упаковке. После принятия этого закона были внесены соответствующие изменения в Кодекс административных правонарушений, а также предусмотрен соответствующий механизм возложения ответственности за нарушение законодательства о защите детей от вредной информации.</w:t>
      </w:r>
    </w:p>
    <w:p w14:paraId="764F3D5C" w14:textId="5F96D40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326.</w:t>
      </w:r>
      <w:r w:rsidRPr="00D75D7F">
        <w:rPr>
          <w:rFonts w:eastAsia="SimSun" w:cs="Times New Roman"/>
          <w:szCs w:val="20"/>
          <w:lang w:eastAsia="zh-CN"/>
        </w:rPr>
        <w:tab/>
        <w:t>30 декабря 2021 года был принят Закон Азербайджанской Республики</w:t>
      </w:r>
      <w:r w:rsidR="00834925">
        <w:rPr>
          <w:rFonts w:eastAsia="SimSun" w:cs="Times New Roman"/>
          <w:szCs w:val="20"/>
          <w:lang w:eastAsia="zh-CN"/>
        </w:rPr>
        <w:br/>
      </w:r>
      <w:r w:rsidRPr="00D75D7F">
        <w:rPr>
          <w:rFonts w:eastAsia="SimSun" w:cs="Times New Roman"/>
          <w:szCs w:val="20"/>
          <w:lang w:eastAsia="zh-CN"/>
        </w:rPr>
        <w:t>«О средствах массовой информации». Закон определяет организационные, правовые и экономические основы деятельности в сфере средств массовой информации, а также общие правила получения, подготовки, передачи, производства и распространения массовой информации. В соответствии с этим законом защита пользователей, особенно детей, от воздействия вредной информации входит в обязанности государства в области средств массовой информации.</w:t>
      </w:r>
    </w:p>
    <w:p w14:paraId="58F1DEEB"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327.</w:t>
      </w:r>
      <w:r w:rsidRPr="00D75D7F">
        <w:rPr>
          <w:rFonts w:eastAsia="SimSun" w:cs="Times New Roman"/>
          <w:szCs w:val="20"/>
          <w:lang w:eastAsia="zh-CN"/>
        </w:rPr>
        <w:tab/>
        <w:t>Распоряжением Президента от 10 мая 2018 года был утвержден Национальный план действий по ранней профилактике и лечению детской инвалидности на период 2018‒2020 годов.</w:t>
      </w:r>
    </w:p>
    <w:p w14:paraId="5201B7CF" w14:textId="0B8083DC"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328.</w:t>
      </w:r>
      <w:r w:rsidRPr="00D75D7F">
        <w:rPr>
          <w:rFonts w:eastAsia="SimSun" w:cs="Times New Roman"/>
          <w:szCs w:val="20"/>
          <w:lang w:eastAsia="zh-CN"/>
        </w:rPr>
        <w:tab/>
        <w:t xml:space="preserve">2 июня 2020 года Распоряжением Президента Азербайджанской Республики была утверждена Стратегия Азербайджанской Республики в отношении детей на 2020–2030 годы. Основной целью этой стратегии является полное приведение системы защиты детей в Азербайджане в соответствие с положениями Конституции и принципами Конвенции о правах ребенка, создание равных возможностей для всех детей в Азербайджане, защита их интересов, совершенствование защиты прав детей, нуждающихся в государственной заботе, и обеспечение их услугами социальной поддержки согласно современным требованиям. Для обеспечения осуществления стратегии был утвержден План действий по реализации Стратегии в отношении детей на 2020–2025 годы. В интересах осуществления вышеупомянутого плана действий </w:t>
      </w:r>
      <w:r w:rsidRPr="00D75D7F">
        <w:rPr>
          <w:rFonts w:eastAsia="SimSun" w:cs="Times New Roman"/>
          <w:szCs w:val="20"/>
          <w:lang w:eastAsia="zh-CN"/>
        </w:rPr>
        <w:lastRenderedPageBreak/>
        <w:t>Постановлением Кабинета министров Азербайджанской Республики от 13 января</w:t>
      </w:r>
      <w:r w:rsidR="00834925">
        <w:rPr>
          <w:rFonts w:eastAsia="SimSun" w:cs="Times New Roman"/>
          <w:szCs w:val="20"/>
          <w:lang w:eastAsia="zh-CN"/>
        </w:rPr>
        <w:br/>
      </w:r>
      <w:r w:rsidRPr="00D75D7F">
        <w:rPr>
          <w:rFonts w:eastAsia="SimSun" w:cs="Times New Roman"/>
          <w:szCs w:val="20"/>
          <w:lang w:eastAsia="zh-CN"/>
        </w:rPr>
        <w:t xml:space="preserve">2023 года были утверждены Правила обеспечения равенства в безопасном доступе детей к образовательным, социальным и другим услугам в случае возникновения чрезвычайных обстоятельств, пандемии и аналогичных особых ситуаций. </w:t>
      </w:r>
    </w:p>
    <w:p w14:paraId="26F56342" w14:textId="6A7914C8"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329.</w:t>
      </w:r>
      <w:r w:rsidRPr="00D75D7F">
        <w:rPr>
          <w:rFonts w:eastAsia="SimSun" w:cs="Times New Roman"/>
          <w:szCs w:val="20"/>
          <w:lang w:eastAsia="zh-CN"/>
        </w:rPr>
        <w:tab/>
        <w:t>Постановлением Кабинета министров Азербайджанской Республики</w:t>
      </w:r>
      <w:r w:rsidR="00834925">
        <w:rPr>
          <w:rFonts w:eastAsia="SimSun" w:cs="Times New Roman"/>
          <w:szCs w:val="20"/>
          <w:lang w:eastAsia="zh-CN"/>
        </w:rPr>
        <w:br/>
      </w:r>
      <w:r w:rsidRPr="00D75D7F">
        <w:rPr>
          <w:rFonts w:eastAsia="SimSun" w:cs="Times New Roman"/>
          <w:szCs w:val="20"/>
          <w:lang w:eastAsia="zh-CN"/>
        </w:rPr>
        <w:t>от 13 января 2023 года был утвержден Порядок обеспечения равенства в безопасном доступе детей к образовательным, социальным и другим услугам в случае возникновения чрезвычайных обстоятельств, пандемии и иных аналогичных особых ситуаций. Данный порядок определяет меры, осуществляемые государственными органами в области обеспечения равенства в безопасном доступе детей к образовательным, социальным, медицинским и психологическим услугам при возникновении чрезвычайных обстоятельств, во время пандемии и в других аналогичных особых ситуациях.</w:t>
      </w:r>
    </w:p>
    <w:p w14:paraId="2EED9366"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330.</w:t>
      </w:r>
      <w:r w:rsidRPr="00D75D7F">
        <w:rPr>
          <w:rFonts w:eastAsia="SimSun" w:cs="Times New Roman"/>
          <w:szCs w:val="20"/>
          <w:lang w:eastAsia="zh-CN"/>
        </w:rPr>
        <w:tab/>
        <w:t>27 апреля 2020 года был утвержден документ о правах ребенка и развитии ювенальной юстиции, основанный на соответствующих положениях Конвенции о правах ребенка.</w:t>
      </w:r>
    </w:p>
    <w:p w14:paraId="6B3C8146" w14:textId="404C99AD"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331.</w:t>
      </w:r>
      <w:r w:rsidRPr="00D75D7F">
        <w:rPr>
          <w:rFonts w:eastAsia="SimSun" w:cs="Times New Roman"/>
          <w:szCs w:val="20"/>
          <w:lang w:eastAsia="zh-CN"/>
        </w:rPr>
        <w:tab/>
        <w:t>11 февраля 2023 года были утверждены Правила организации инклюзивного образования. Согласно этим правилам, период участия детей-инвалидов в классных, групповых и индивидуальных занятиях определяется индивидуальным учебным планом, утверждаемым руководителем учебного учреждения с учетом состояния их здоровья. Данное учреждение обеспечивает, чтобы во время обучения ребенок-инвалид проводил не менее 50 процентов учебного времени в классе инклюзивного образования. Продолжается осуществление Государственной программы развития инклюзивного образования для инвалидов в Азербайджанской Республике</w:t>
      </w:r>
      <w:r w:rsidR="00834925">
        <w:rPr>
          <w:rFonts w:eastAsia="SimSun" w:cs="Times New Roman"/>
          <w:szCs w:val="20"/>
          <w:lang w:eastAsia="zh-CN"/>
        </w:rPr>
        <w:br/>
      </w:r>
      <w:r w:rsidRPr="00D75D7F">
        <w:rPr>
          <w:rFonts w:eastAsia="SimSun" w:cs="Times New Roman"/>
          <w:szCs w:val="20"/>
          <w:lang w:eastAsia="zh-CN"/>
        </w:rPr>
        <w:t>на 2018–2024 годы. В 2022/23 учебном году в классах инклюзивного образования, открытых в 22 школах, обучались 160 учащихся.</w:t>
      </w:r>
    </w:p>
    <w:p w14:paraId="0B3856BD"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332.</w:t>
      </w:r>
      <w:r w:rsidRPr="00D75D7F">
        <w:rPr>
          <w:rFonts w:eastAsia="SimSun" w:cs="Times New Roman"/>
          <w:szCs w:val="20"/>
          <w:lang w:eastAsia="zh-CN"/>
        </w:rPr>
        <w:tab/>
        <w:t>22 октября 2019 года был принят Закон «Об утверждении Конвенции Совета Европы о защите детей от сексуальной эксплуатации и сексуальных злоупотреблений (Лансаротской конвенции)».</w:t>
      </w:r>
    </w:p>
    <w:p w14:paraId="0B645154" w14:textId="2D69D376"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333.</w:t>
      </w:r>
      <w:r w:rsidRPr="00D75D7F">
        <w:rPr>
          <w:rFonts w:eastAsia="SimSun" w:cs="Times New Roman"/>
          <w:szCs w:val="20"/>
          <w:lang w:eastAsia="zh-CN"/>
        </w:rPr>
        <w:tab/>
        <w:t>В соответствии с законами Азербайджанской Республики от 30 сентября</w:t>
      </w:r>
      <w:r w:rsidR="00004632">
        <w:rPr>
          <w:rFonts w:eastAsia="SimSun" w:cs="Times New Roman"/>
          <w:szCs w:val="20"/>
          <w:lang w:eastAsia="zh-CN"/>
        </w:rPr>
        <w:br/>
      </w:r>
      <w:r w:rsidRPr="00D75D7F">
        <w:rPr>
          <w:rFonts w:eastAsia="SimSun" w:cs="Times New Roman"/>
          <w:szCs w:val="20"/>
          <w:lang w:eastAsia="zh-CN"/>
        </w:rPr>
        <w:t>2022 года были утверждены Конвенция о международном порядке взыскания алиментов на детей и иных форм содержания семьи от 23 ноября 2007 года и Конвенция о вручении за границей судебных и внесудебных документов по гражданским или торговым делам от 15 ноября 1965 года, принятые в рамках Гаагской конференции по международному частному праву.</w:t>
      </w:r>
    </w:p>
    <w:p w14:paraId="2290ADA1"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334.</w:t>
      </w:r>
      <w:r w:rsidRPr="00D75D7F">
        <w:rPr>
          <w:rFonts w:eastAsia="SimSun" w:cs="Times New Roman"/>
          <w:szCs w:val="20"/>
          <w:lang w:eastAsia="zh-CN"/>
        </w:rPr>
        <w:tab/>
        <w:t>Законом Азербайджанской Республики от 11 октября 2022 года был утвержден четвертый Дополнительный протокол к Европейской конвенции о выдаче 2012 года и, кроме того, был подписан второй Дополнительный протокол к Европейской конвенции о взаимной правовой помощи по уголовным делам 2001 года.</w:t>
      </w:r>
    </w:p>
    <w:p w14:paraId="2361B01D" w14:textId="2F33D3A2"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335.</w:t>
      </w:r>
      <w:r w:rsidRPr="00D75D7F">
        <w:rPr>
          <w:rFonts w:eastAsia="SimSun" w:cs="Times New Roman"/>
          <w:szCs w:val="20"/>
          <w:lang w:eastAsia="zh-CN"/>
        </w:rPr>
        <w:tab/>
        <w:t>16 февраля 2022 года Комитет министров Совета Европы принял новый План действий для Азербайджана на 2022–2025 годы, охватывающий 22 приоритетных вопроса. В этом плане действий рассматриваются различные подмандатные Совету Европы области, в том числе такие как повышение эффективности выполнения Европейской конвенции по правам человека и совершенствование системы уголовного правосудия, обеспечение основных свобод, укрепление потенциала средств массовой информации, усиление информационной безопасности и защиты персональных данных, поощрение гендерного равенства, борьба с насилием в отношении женщин и бытовым насилием, защита и поощрение прав детей, обеспечение социальных прав, повышение независимости и эффективности судебной системы и т.</w:t>
      </w:r>
      <w:r w:rsidR="00004632">
        <w:rPr>
          <w:rFonts w:eastAsia="SimSun" w:cs="Times New Roman"/>
          <w:szCs w:val="20"/>
          <w:lang w:eastAsia="zh-CN"/>
        </w:rPr>
        <w:t> </w:t>
      </w:r>
      <w:r w:rsidRPr="00D75D7F">
        <w:rPr>
          <w:rFonts w:eastAsia="SimSun" w:cs="Times New Roman"/>
          <w:szCs w:val="20"/>
          <w:lang w:eastAsia="zh-CN"/>
        </w:rPr>
        <w:t>д.</w:t>
      </w:r>
    </w:p>
    <w:p w14:paraId="75AE0BF8"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336.</w:t>
      </w:r>
      <w:r w:rsidRPr="00D75D7F">
        <w:rPr>
          <w:rFonts w:eastAsia="SimSun" w:cs="Times New Roman"/>
          <w:szCs w:val="20"/>
          <w:lang w:eastAsia="zh-CN"/>
        </w:rPr>
        <w:tab/>
        <w:t>В рамках Программы сотрудничества между Азербайджанской Республикой и Детским фондом Организации Объединенных Наций (ЮНИСЕФ) на 2021–2025 годы в мае 2021 года Детский фонд, Министерство внутренних дел и Министерство юстиции утвердили План действий для детей в системе правосудия на 2021–2022 годы.</w:t>
      </w:r>
    </w:p>
    <w:p w14:paraId="310E1537" w14:textId="724AA8E4"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lastRenderedPageBreak/>
        <w:t>337.</w:t>
      </w:r>
      <w:r w:rsidRPr="00D75D7F">
        <w:rPr>
          <w:rFonts w:eastAsia="SimSun" w:cs="Times New Roman"/>
          <w:szCs w:val="20"/>
          <w:lang w:eastAsia="zh-CN"/>
        </w:rPr>
        <w:tab/>
        <w:t>Была принята и в настоящее время успешно осуществляется Государственная программа по борьбе с наркоманией и незаконным оборотом наркотических средств, психотропных препаратов и их прекурсоров на 2019–2024 годы. Данная программа направлена на повышение качества оказываемой медицинской помощи, диагностики и лечебных мероприятий, создание реабилитационных центров для наркозависимых лиц, организацию широкой просветительской деятельности и проведение антинаркотических кампаний среди населения и медицинских работников и в учебных заведениях, средствах массовой информации и т.</w:t>
      </w:r>
      <w:r w:rsidR="00004632">
        <w:rPr>
          <w:rFonts w:eastAsia="SimSun" w:cs="Times New Roman"/>
          <w:szCs w:val="20"/>
          <w:lang w:eastAsia="zh-CN"/>
        </w:rPr>
        <w:t> </w:t>
      </w:r>
      <w:r w:rsidRPr="00D75D7F">
        <w:rPr>
          <w:rFonts w:eastAsia="SimSun" w:cs="Times New Roman"/>
          <w:szCs w:val="20"/>
          <w:lang w:eastAsia="zh-CN"/>
        </w:rPr>
        <w:t>д. Доступ к качественным медицинским услугам обеспечивается путем осуществления программ снижения вреда среди лиц, входящих в группы повышенного риска, в тесном сотрудничестве с представителями гражданского общества. Это включает в себя предоставление стерильного инъекционного инструментария и индивидуальных средств защиты, направление на прохождение заместительной терапии, распространение информации о передаче ВИЧ и методах его профилактики, а также осуществление программ обеспечения безопасного поведения, психологической поддержки и реабилитации. Кроме того, повышается качество комплексных услуг по борьбе с наркоманией/ВИЧ.</w:t>
      </w:r>
    </w:p>
    <w:p w14:paraId="0450BD05" w14:textId="77777777" w:rsidR="00D75D7F" w:rsidRPr="00D75D7F" w:rsidRDefault="00D75D7F" w:rsidP="00D75D7F">
      <w:pPr>
        <w:tabs>
          <w:tab w:val="left" w:pos="1701"/>
          <w:tab w:val="left" w:pos="2268"/>
        </w:tabs>
        <w:spacing w:after="120"/>
        <w:ind w:left="1134" w:right="1134"/>
        <w:jc w:val="both"/>
        <w:rPr>
          <w:rFonts w:eastAsia="SimSun" w:cs="Times New Roman"/>
          <w:szCs w:val="20"/>
          <w:lang w:eastAsia="zh-CN"/>
        </w:rPr>
      </w:pPr>
      <w:r w:rsidRPr="00D75D7F">
        <w:rPr>
          <w:rFonts w:eastAsia="SimSun" w:cs="Times New Roman"/>
          <w:szCs w:val="20"/>
          <w:lang w:eastAsia="zh-CN"/>
        </w:rPr>
        <w:t>338.</w:t>
      </w:r>
      <w:r w:rsidRPr="00D75D7F">
        <w:rPr>
          <w:rFonts w:eastAsia="SimSun" w:cs="Times New Roman"/>
          <w:szCs w:val="20"/>
          <w:lang w:eastAsia="zh-CN"/>
        </w:rPr>
        <w:tab/>
        <w:t>В целях защиты отдельных лиц и общества от любых проявлений торговли людьми, предотвращения каких бы то ни было форм эксплуатации людей, особенно женщин, детей и других лиц, входящих в группы повышенного риска, защиты жертв торговли людьми, а также обеспечения их социальной реабилитации и восстановления всех их прав на основании Распоряжения Президента Азербайджанской Республики 22 июня 2020 года был утвержден Национальный план действий по борьбе с торговлей людьми на 2020−2024 годы.</w:t>
      </w:r>
    </w:p>
    <w:p w14:paraId="28701AB8" w14:textId="77777777" w:rsidR="00D75D7F" w:rsidRPr="00D75D7F" w:rsidRDefault="00D75D7F" w:rsidP="00D75D7F">
      <w:pPr>
        <w:spacing w:before="240"/>
        <w:jc w:val="center"/>
        <w:rPr>
          <w:rFonts w:eastAsia="Times New Roman" w:cs="Times New Roman"/>
          <w:szCs w:val="20"/>
          <w:u w:val="single"/>
        </w:rPr>
      </w:pPr>
      <w:r w:rsidRPr="00D75D7F">
        <w:rPr>
          <w:rFonts w:eastAsia="Times New Roman" w:cs="Times New Roman"/>
          <w:szCs w:val="20"/>
          <w:u w:val="single"/>
        </w:rPr>
        <w:tab/>
      </w:r>
      <w:r w:rsidRPr="00D75D7F">
        <w:rPr>
          <w:rFonts w:eastAsia="Times New Roman" w:cs="Times New Roman"/>
          <w:szCs w:val="20"/>
          <w:u w:val="single"/>
        </w:rPr>
        <w:tab/>
      </w:r>
      <w:r w:rsidRPr="00D75D7F">
        <w:rPr>
          <w:rFonts w:eastAsia="Times New Roman" w:cs="Times New Roman"/>
          <w:szCs w:val="20"/>
          <w:u w:val="single"/>
        </w:rPr>
        <w:tab/>
      </w:r>
    </w:p>
    <w:sectPr w:rsidR="00D75D7F" w:rsidRPr="00D75D7F" w:rsidSect="00D75D7F">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1FF06" w14:textId="77777777" w:rsidR="00CB2C42" w:rsidRPr="00A312BC" w:rsidRDefault="00CB2C42" w:rsidP="00A312BC"/>
  </w:endnote>
  <w:endnote w:type="continuationSeparator" w:id="0">
    <w:p w14:paraId="48506761" w14:textId="77777777" w:rsidR="00CB2C42" w:rsidRPr="00A312BC" w:rsidRDefault="00CB2C42"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94897" w14:textId="6655D7D1" w:rsidR="00D75D7F" w:rsidRPr="00D75D7F" w:rsidRDefault="00D75D7F">
    <w:pPr>
      <w:pStyle w:val="a8"/>
    </w:pPr>
    <w:r w:rsidRPr="00D75D7F">
      <w:rPr>
        <w:b/>
        <w:sz w:val="18"/>
      </w:rPr>
      <w:fldChar w:fldCharType="begin"/>
    </w:r>
    <w:r w:rsidRPr="00D75D7F">
      <w:rPr>
        <w:b/>
        <w:sz w:val="18"/>
      </w:rPr>
      <w:instrText xml:space="preserve"> PAGE  \* MERGEFORMAT </w:instrText>
    </w:r>
    <w:r w:rsidRPr="00D75D7F">
      <w:rPr>
        <w:b/>
        <w:sz w:val="18"/>
      </w:rPr>
      <w:fldChar w:fldCharType="separate"/>
    </w:r>
    <w:r w:rsidRPr="00D75D7F">
      <w:rPr>
        <w:b/>
        <w:noProof/>
        <w:sz w:val="18"/>
      </w:rPr>
      <w:t>2</w:t>
    </w:r>
    <w:r w:rsidRPr="00D75D7F">
      <w:rPr>
        <w:b/>
        <w:sz w:val="18"/>
      </w:rPr>
      <w:fldChar w:fldCharType="end"/>
    </w:r>
    <w:r>
      <w:rPr>
        <w:b/>
        <w:sz w:val="18"/>
      </w:rPr>
      <w:tab/>
    </w:r>
    <w:r>
      <w:t>GE.23-22352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8F371" w14:textId="561FB24C" w:rsidR="00D75D7F" w:rsidRPr="00D75D7F" w:rsidRDefault="00D75D7F" w:rsidP="00D75D7F">
    <w:pPr>
      <w:pStyle w:val="a8"/>
      <w:tabs>
        <w:tab w:val="clear" w:pos="9639"/>
        <w:tab w:val="right" w:pos="9638"/>
      </w:tabs>
      <w:rPr>
        <w:b/>
        <w:sz w:val="18"/>
      </w:rPr>
    </w:pPr>
    <w:r>
      <w:t>GE.23-22352</w:t>
    </w:r>
    <w:r>
      <w:tab/>
    </w:r>
    <w:r w:rsidRPr="00D75D7F">
      <w:rPr>
        <w:b/>
        <w:sz w:val="18"/>
      </w:rPr>
      <w:fldChar w:fldCharType="begin"/>
    </w:r>
    <w:r w:rsidRPr="00D75D7F">
      <w:rPr>
        <w:b/>
        <w:sz w:val="18"/>
      </w:rPr>
      <w:instrText xml:space="preserve"> PAGE  \* MERGEFORMAT </w:instrText>
    </w:r>
    <w:r w:rsidRPr="00D75D7F">
      <w:rPr>
        <w:b/>
        <w:sz w:val="18"/>
      </w:rPr>
      <w:fldChar w:fldCharType="separate"/>
    </w:r>
    <w:r w:rsidRPr="00D75D7F">
      <w:rPr>
        <w:b/>
        <w:noProof/>
        <w:sz w:val="18"/>
      </w:rPr>
      <w:t>3</w:t>
    </w:r>
    <w:r w:rsidRPr="00D75D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F469C" w14:textId="71B4F974" w:rsidR="00042B72" w:rsidRPr="00D75D7F" w:rsidRDefault="00D75D7F" w:rsidP="00D75D7F">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0C32EB6E" wp14:editId="59E8026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23-22352  (R)</w:t>
    </w:r>
    <w:r>
      <w:rPr>
        <w:noProof/>
      </w:rPr>
      <w:drawing>
        <wp:anchor distT="0" distB="0" distL="114300" distR="114300" simplePos="0" relativeHeight="251659264" behindDoc="0" locked="0" layoutInCell="1" allowOverlap="1" wp14:anchorId="40B14C22" wp14:editId="4BFE149C">
          <wp:simplePos x="0" y="0"/>
          <wp:positionH relativeFrom="margin">
            <wp:posOffset>5489575</wp:posOffset>
          </wp:positionH>
          <wp:positionV relativeFrom="margin">
            <wp:posOffset>8855710</wp:posOffset>
          </wp:positionV>
          <wp:extent cx="561975" cy="561975"/>
          <wp:effectExtent l="0" t="0" r="9525" b="9525"/>
          <wp:wrapNone/>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271223  080124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5E123" w14:textId="77777777" w:rsidR="00CB2C42" w:rsidRPr="001075E9" w:rsidRDefault="00CB2C42" w:rsidP="001075E9">
      <w:pPr>
        <w:tabs>
          <w:tab w:val="right" w:pos="2155"/>
        </w:tabs>
        <w:spacing w:after="80" w:line="240" w:lineRule="auto"/>
        <w:ind w:left="680"/>
        <w:rPr>
          <w:u w:val="single"/>
        </w:rPr>
      </w:pPr>
      <w:r>
        <w:rPr>
          <w:u w:val="single"/>
        </w:rPr>
        <w:tab/>
      </w:r>
    </w:p>
  </w:footnote>
  <w:footnote w:type="continuationSeparator" w:id="0">
    <w:p w14:paraId="021373FF" w14:textId="77777777" w:rsidR="00CB2C42" w:rsidRDefault="00CB2C42" w:rsidP="00407B78">
      <w:pPr>
        <w:tabs>
          <w:tab w:val="right" w:pos="2155"/>
        </w:tabs>
        <w:spacing w:after="80"/>
        <w:ind w:left="680"/>
        <w:rPr>
          <w:u w:val="single"/>
        </w:rPr>
      </w:pPr>
      <w:r>
        <w:rPr>
          <w:u w:val="single"/>
        </w:rPr>
        <w:tab/>
      </w:r>
    </w:p>
  </w:footnote>
  <w:footnote w:id="1">
    <w:p w14:paraId="61EC730E" w14:textId="14321852" w:rsidR="00D75D7F" w:rsidRPr="00A406E9" w:rsidRDefault="00D75D7F" w:rsidP="00D75D7F">
      <w:pPr>
        <w:pStyle w:val="ad"/>
        <w:spacing w:after="240"/>
        <w:rPr>
          <w:sz w:val="20"/>
        </w:rPr>
      </w:pPr>
      <w:r w:rsidRPr="00D75D7F">
        <w:rPr>
          <w:rStyle w:val="aa"/>
          <w:szCs w:val="18"/>
          <w:vertAlign w:val="baseline"/>
        </w:rPr>
        <w:tab/>
        <w:t>*</w:t>
      </w:r>
      <w:r w:rsidRPr="00D75D7F">
        <w:rPr>
          <w:rStyle w:val="aa"/>
          <w:szCs w:val="18"/>
          <w:vertAlign w:val="baseline"/>
        </w:rPr>
        <w:tab/>
      </w:r>
      <w:r w:rsidRPr="00A406E9">
        <w:t>Настоящий документ выпускается без официального редактирования</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08ADEF" w14:textId="56464CD1" w:rsidR="00D75D7F" w:rsidRPr="00D75D7F" w:rsidRDefault="00D75D7F">
    <w:pPr>
      <w:pStyle w:val="a5"/>
    </w:pPr>
    <w:fldSimple w:instr=" TITLE  \* MERGEFORMAT ">
      <w:r w:rsidR="00AC7E04">
        <w:t>HRI/CORE/AZE/2023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E531" w14:textId="61300D00" w:rsidR="00D75D7F" w:rsidRPr="00D75D7F" w:rsidRDefault="00D75D7F" w:rsidP="00D75D7F">
    <w:pPr>
      <w:pStyle w:val="a5"/>
      <w:jc w:val="right"/>
    </w:pPr>
    <w:fldSimple w:instr=" TITLE  \* MERGEFORMAT ">
      <w:r w:rsidR="00AC7E04">
        <w:t>HRI/CORE/AZE/2023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721E0"/>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881768B"/>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6846FC5"/>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3E82B86"/>
    <w:multiLevelType w:val="hybridMultilevel"/>
    <w:tmpl w:val="D466E14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287E2A1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6B6A8C"/>
    <w:multiLevelType w:val="hybridMultilevel"/>
    <w:tmpl w:val="AD9CD5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AF4D77"/>
    <w:multiLevelType w:val="hybridMultilevel"/>
    <w:tmpl w:val="46FEE8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CF4EB2"/>
    <w:multiLevelType w:val="hybridMultilevel"/>
    <w:tmpl w:val="3F2CCC0E"/>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C5A13DD"/>
    <w:multiLevelType w:val="hybridMultilevel"/>
    <w:tmpl w:val="89B0978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88A22C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22346AA"/>
    <w:multiLevelType w:val="hybridMultilevel"/>
    <w:tmpl w:val="6E3E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AD07B2"/>
    <w:multiLevelType w:val="hybridMultilevel"/>
    <w:tmpl w:val="D7D47906"/>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4"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8897E8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60778171">
    <w:abstractNumId w:val="34"/>
  </w:num>
  <w:num w:numId="2" w16cid:durableId="621304930">
    <w:abstractNumId w:val="22"/>
  </w:num>
  <w:num w:numId="3" w16cid:durableId="1029912130">
    <w:abstractNumId w:val="15"/>
  </w:num>
  <w:num w:numId="4" w16cid:durableId="1368796948">
    <w:abstractNumId w:val="18"/>
  </w:num>
  <w:num w:numId="5" w16cid:durableId="1554384505">
    <w:abstractNumId w:val="12"/>
  </w:num>
  <w:num w:numId="6" w16cid:durableId="1183860614">
    <w:abstractNumId w:val="8"/>
  </w:num>
  <w:num w:numId="7" w16cid:durableId="669914121">
    <w:abstractNumId w:val="3"/>
  </w:num>
  <w:num w:numId="8" w16cid:durableId="1582522381">
    <w:abstractNumId w:val="2"/>
  </w:num>
  <w:num w:numId="9" w16cid:durableId="1072853713">
    <w:abstractNumId w:val="1"/>
  </w:num>
  <w:num w:numId="10" w16cid:durableId="953177040">
    <w:abstractNumId w:val="0"/>
  </w:num>
  <w:num w:numId="11" w16cid:durableId="1859654007">
    <w:abstractNumId w:val="9"/>
  </w:num>
  <w:num w:numId="12" w16cid:durableId="265233084">
    <w:abstractNumId w:val="7"/>
  </w:num>
  <w:num w:numId="13" w16cid:durableId="187302295">
    <w:abstractNumId w:val="6"/>
  </w:num>
  <w:num w:numId="14" w16cid:durableId="163520326">
    <w:abstractNumId w:val="5"/>
  </w:num>
  <w:num w:numId="15" w16cid:durableId="2071614082">
    <w:abstractNumId w:val="4"/>
  </w:num>
  <w:num w:numId="16" w16cid:durableId="1451120899">
    <w:abstractNumId w:val="32"/>
  </w:num>
  <w:num w:numId="17" w16cid:durableId="1585995679">
    <w:abstractNumId w:val="27"/>
  </w:num>
  <w:num w:numId="18" w16cid:durableId="371081408">
    <w:abstractNumId w:val="29"/>
  </w:num>
  <w:num w:numId="19" w16cid:durableId="1709186490">
    <w:abstractNumId w:val="32"/>
  </w:num>
  <w:num w:numId="20" w16cid:durableId="631594844">
    <w:abstractNumId w:val="27"/>
  </w:num>
  <w:num w:numId="21" w16cid:durableId="1159886099">
    <w:abstractNumId w:val="29"/>
  </w:num>
  <w:num w:numId="22" w16cid:durableId="2003855054">
    <w:abstractNumId w:val="19"/>
  </w:num>
  <w:num w:numId="23" w16cid:durableId="892545356">
    <w:abstractNumId w:val="16"/>
  </w:num>
  <w:num w:numId="24" w16cid:durableId="2145079447">
    <w:abstractNumId w:val="11"/>
  </w:num>
  <w:num w:numId="25" w16cid:durableId="1727219376">
    <w:abstractNumId w:val="30"/>
  </w:num>
  <w:num w:numId="26" w16cid:durableId="409696113">
    <w:abstractNumId w:val="31"/>
  </w:num>
  <w:num w:numId="27" w16cid:durableId="1860465737">
    <w:abstractNumId w:val="35"/>
  </w:num>
  <w:num w:numId="28" w16cid:durableId="2006274194">
    <w:abstractNumId w:val="14"/>
  </w:num>
  <w:num w:numId="29" w16cid:durableId="629046455">
    <w:abstractNumId w:val="36"/>
  </w:num>
  <w:num w:numId="30" w16cid:durableId="1161236662">
    <w:abstractNumId w:val="25"/>
  </w:num>
  <w:num w:numId="31" w16cid:durableId="946160896">
    <w:abstractNumId w:val="26"/>
  </w:num>
  <w:num w:numId="32" w16cid:durableId="1234774062">
    <w:abstractNumId w:val="10"/>
  </w:num>
  <w:num w:numId="33" w16cid:durableId="847643381">
    <w:abstractNumId w:val="33"/>
  </w:num>
  <w:num w:numId="34" w16cid:durableId="306738697">
    <w:abstractNumId w:val="23"/>
  </w:num>
  <w:num w:numId="35" w16cid:durableId="323821259">
    <w:abstractNumId w:val="13"/>
  </w:num>
  <w:num w:numId="36" w16cid:durableId="216204685">
    <w:abstractNumId w:val="20"/>
  </w:num>
  <w:num w:numId="37" w16cid:durableId="373846428">
    <w:abstractNumId w:val="24"/>
  </w:num>
  <w:num w:numId="38" w16cid:durableId="1236893044">
    <w:abstractNumId w:val="28"/>
  </w:num>
  <w:num w:numId="39" w16cid:durableId="241373160">
    <w:abstractNumId w:val="21"/>
  </w:num>
  <w:num w:numId="40" w16cid:durableId="1926038030">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C42"/>
    <w:rsid w:val="00004632"/>
    <w:rsid w:val="00033EE1"/>
    <w:rsid w:val="000340C2"/>
    <w:rsid w:val="00041905"/>
    <w:rsid w:val="00042B72"/>
    <w:rsid w:val="0005105F"/>
    <w:rsid w:val="000558BD"/>
    <w:rsid w:val="00081D9E"/>
    <w:rsid w:val="000B57E7"/>
    <w:rsid w:val="000B6373"/>
    <w:rsid w:val="000E73F9"/>
    <w:rsid w:val="000F09DF"/>
    <w:rsid w:val="000F61B2"/>
    <w:rsid w:val="001075E9"/>
    <w:rsid w:val="00180183"/>
    <w:rsid w:val="0018024D"/>
    <w:rsid w:val="00181061"/>
    <w:rsid w:val="0018649F"/>
    <w:rsid w:val="00196389"/>
    <w:rsid w:val="001B3EF6"/>
    <w:rsid w:val="001C7A89"/>
    <w:rsid w:val="001D2255"/>
    <w:rsid w:val="0020092A"/>
    <w:rsid w:val="00205D9D"/>
    <w:rsid w:val="002115B8"/>
    <w:rsid w:val="00231B15"/>
    <w:rsid w:val="00291476"/>
    <w:rsid w:val="002A2EFC"/>
    <w:rsid w:val="002B1258"/>
    <w:rsid w:val="002C0E18"/>
    <w:rsid w:val="002C6A31"/>
    <w:rsid w:val="002D5AAC"/>
    <w:rsid w:val="002E5067"/>
    <w:rsid w:val="002F405F"/>
    <w:rsid w:val="002F7EEC"/>
    <w:rsid w:val="00301299"/>
    <w:rsid w:val="00307FB6"/>
    <w:rsid w:val="00317339"/>
    <w:rsid w:val="003208DA"/>
    <w:rsid w:val="00322004"/>
    <w:rsid w:val="003402C2"/>
    <w:rsid w:val="003464FC"/>
    <w:rsid w:val="00373BCE"/>
    <w:rsid w:val="00381C24"/>
    <w:rsid w:val="003958D0"/>
    <w:rsid w:val="003A3D90"/>
    <w:rsid w:val="003B00E5"/>
    <w:rsid w:val="003B393B"/>
    <w:rsid w:val="003C4860"/>
    <w:rsid w:val="00407B78"/>
    <w:rsid w:val="00424203"/>
    <w:rsid w:val="00452493"/>
    <w:rsid w:val="00454E07"/>
    <w:rsid w:val="00471B10"/>
    <w:rsid w:val="00472C5C"/>
    <w:rsid w:val="00482136"/>
    <w:rsid w:val="00485C57"/>
    <w:rsid w:val="004D541E"/>
    <w:rsid w:val="0050108D"/>
    <w:rsid w:val="00513081"/>
    <w:rsid w:val="00517901"/>
    <w:rsid w:val="00526683"/>
    <w:rsid w:val="00565172"/>
    <w:rsid w:val="005709E0"/>
    <w:rsid w:val="00572E19"/>
    <w:rsid w:val="005961C8"/>
    <w:rsid w:val="005D7914"/>
    <w:rsid w:val="005E2B41"/>
    <w:rsid w:val="005F0B42"/>
    <w:rsid w:val="00647E5B"/>
    <w:rsid w:val="00681A10"/>
    <w:rsid w:val="006A1ED8"/>
    <w:rsid w:val="006C2031"/>
    <w:rsid w:val="006D461A"/>
    <w:rsid w:val="006F35EE"/>
    <w:rsid w:val="007021FF"/>
    <w:rsid w:val="00712895"/>
    <w:rsid w:val="00757357"/>
    <w:rsid w:val="0076346B"/>
    <w:rsid w:val="00766131"/>
    <w:rsid w:val="007B5263"/>
    <w:rsid w:val="007D5475"/>
    <w:rsid w:val="007D6612"/>
    <w:rsid w:val="00825F8D"/>
    <w:rsid w:val="00830E31"/>
    <w:rsid w:val="00834925"/>
    <w:rsid w:val="00834B71"/>
    <w:rsid w:val="0085092B"/>
    <w:rsid w:val="008525BC"/>
    <w:rsid w:val="0086445C"/>
    <w:rsid w:val="00894693"/>
    <w:rsid w:val="008A08D7"/>
    <w:rsid w:val="008B6909"/>
    <w:rsid w:val="008F6FAE"/>
    <w:rsid w:val="00906890"/>
    <w:rsid w:val="00911BE4"/>
    <w:rsid w:val="00943923"/>
    <w:rsid w:val="00946182"/>
    <w:rsid w:val="00951972"/>
    <w:rsid w:val="009608F3"/>
    <w:rsid w:val="00966548"/>
    <w:rsid w:val="009729BC"/>
    <w:rsid w:val="00977880"/>
    <w:rsid w:val="009A24AC"/>
    <w:rsid w:val="00A15CC0"/>
    <w:rsid w:val="00A312BC"/>
    <w:rsid w:val="00A40529"/>
    <w:rsid w:val="00A551FF"/>
    <w:rsid w:val="00A658A6"/>
    <w:rsid w:val="00A675B2"/>
    <w:rsid w:val="00A84021"/>
    <w:rsid w:val="00A84D35"/>
    <w:rsid w:val="00A917B3"/>
    <w:rsid w:val="00AB4B51"/>
    <w:rsid w:val="00AC7E04"/>
    <w:rsid w:val="00AD5305"/>
    <w:rsid w:val="00B10CC7"/>
    <w:rsid w:val="00B539E7"/>
    <w:rsid w:val="00B62458"/>
    <w:rsid w:val="00B9784D"/>
    <w:rsid w:val="00BC18B2"/>
    <w:rsid w:val="00BD33EE"/>
    <w:rsid w:val="00C106D6"/>
    <w:rsid w:val="00C60F0C"/>
    <w:rsid w:val="00C6206D"/>
    <w:rsid w:val="00C77D3E"/>
    <w:rsid w:val="00C805C9"/>
    <w:rsid w:val="00C92939"/>
    <w:rsid w:val="00CA1679"/>
    <w:rsid w:val="00CB151C"/>
    <w:rsid w:val="00CB2C42"/>
    <w:rsid w:val="00CE1BD8"/>
    <w:rsid w:val="00CE5A1A"/>
    <w:rsid w:val="00CE6069"/>
    <w:rsid w:val="00CF55F6"/>
    <w:rsid w:val="00D33D63"/>
    <w:rsid w:val="00D75D7F"/>
    <w:rsid w:val="00D81D14"/>
    <w:rsid w:val="00D90028"/>
    <w:rsid w:val="00D90138"/>
    <w:rsid w:val="00DB04E3"/>
    <w:rsid w:val="00DC7155"/>
    <w:rsid w:val="00DF71B9"/>
    <w:rsid w:val="00E73F76"/>
    <w:rsid w:val="00EA20E0"/>
    <w:rsid w:val="00EA2C9F"/>
    <w:rsid w:val="00ED0BDA"/>
    <w:rsid w:val="00ED4505"/>
    <w:rsid w:val="00EF1360"/>
    <w:rsid w:val="00EF3220"/>
    <w:rsid w:val="00F5330E"/>
    <w:rsid w:val="00F81780"/>
    <w:rsid w:val="00F94155"/>
    <w:rsid w:val="00F9783F"/>
    <w:rsid w:val="00FA3F35"/>
    <w:rsid w:val="00FB196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2C03B"/>
  <w15:docId w15:val="{2688F49D-D204-4E2D-BC19-812BF176F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B125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uiPriority w:val="9"/>
    <w:qFormat/>
    <w:rsid w:val="00946182"/>
    <w:pPr>
      <w:keepNext/>
      <w:tabs>
        <w:tab w:val="left" w:pos="567"/>
      </w:tabs>
      <w:jc w:val="both"/>
      <w:outlineLvl w:val="0"/>
    </w:pPr>
    <w:rPr>
      <w:rFonts w:eastAsia="Times New Roman" w:cs="Arial"/>
      <w:b/>
      <w:bCs/>
      <w:szCs w:val="32"/>
      <w:lang w:eastAsia="ru-RU"/>
    </w:rPr>
  </w:style>
  <w:style w:type="paragraph" w:styleId="2">
    <w:name w:val="heading 2"/>
    <w:basedOn w:val="a"/>
    <w:next w:val="a"/>
    <w:link w:val="20"/>
    <w:uiPriority w:val="9"/>
    <w:semiHidden/>
    <w:qFormat/>
    <w:rsid w:val="00CE6069"/>
    <w:pPr>
      <w:keepNext/>
      <w:outlineLvl w:val="1"/>
    </w:pPr>
    <w:rPr>
      <w:rFonts w:cs="Arial"/>
      <w:bCs/>
      <w:iCs/>
      <w:szCs w:val="28"/>
    </w:rPr>
  </w:style>
  <w:style w:type="paragraph" w:styleId="3">
    <w:name w:val="heading 3"/>
    <w:basedOn w:val="a"/>
    <w:next w:val="a"/>
    <w:link w:val="30"/>
    <w:semiHidden/>
    <w:qFormat/>
    <w:rsid w:val="00CE6069"/>
    <w:pPr>
      <w:keepNext/>
      <w:spacing w:before="240" w:after="60"/>
      <w:outlineLvl w:val="2"/>
    </w:pPr>
    <w:rPr>
      <w:rFonts w:ascii="Arial" w:hAnsi="Arial" w:cs="Arial"/>
      <w:b/>
      <w:bCs/>
      <w:sz w:val="26"/>
      <w:szCs w:val="26"/>
    </w:rPr>
  </w:style>
  <w:style w:type="paragraph" w:styleId="4">
    <w:name w:val="heading 4"/>
    <w:basedOn w:val="a"/>
    <w:next w:val="a"/>
    <w:link w:val="40"/>
    <w:semiHidden/>
    <w:qFormat/>
    <w:rsid w:val="00CE6069"/>
    <w:pPr>
      <w:keepNext/>
      <w:spacing w:before="240" w:after="60"/>
      <w:outlineLvl w:val="3"/>
    </w:pPr>
    <w:rPr>
      <w:b/>
      <w:bCs/>
      <w:sz w:val="28"/>
      <w:szCs w:val="28"/>
    </w:rPr>
  </w:style>
  <w:style w:type="paragraph" w:styleId="5">
    <w:name w:val="heading 5"/>
    <w:basedOn w:val="a"/>
    <w:next w:val="a"/>
    <w:link w:val="50"/>
    <w:semiHidden/>
    <w:qFormat/>
    <w:rsid w:val="00CE6069"/>
    <w:pPr>
      <w:spacing w:before="240" w:after="60"/>
      <w:outlineLvl w:val="4"/>
    </w:pPr>
    <w:rPr>
      <w:b/>
      <w:bCs/>
      <w:i/>
      <w:iCs/>
      <w:sz w:val="26"/>
      <w:szCs w:val="26"/>
    </w:rPr>
  </w:style>
  <w:style w:type="paragraph" w:styleId="6">
    <w:name w:val="heading 6"/>
    <w:basedOn w:val="a"/>
    <w:next w:val="a"/>
    <w:link w:val="60"/>
    <w:semiHidden/>
    <w:qFormat/>
    <w:rsid w:val="00CE6069"/>
    <w:pPr>
      <w:spacing w:before="240" w:after="60"/>
      <w:outlineLvl w:val="5"/>
    </w:pPr>
    <w:rPr>
      <w:b/>
      <w:bCs/>
      <w:sz w:val="22"/>
    </w:rPr>
  </w:style>
  <w:style w:type="paragraph" w:styleId="7">
    <w:name w:val="heading 7"/>
    <w:basedOn w:val="a"/>
    <w:next w:val="a"/>
    <w:link w:val="70"/>
    <w:semiHidden/>
    <w:qFormat/>
    <w:rsid w:val="00CE6069"/>
    <w:pPr>
      <w:spacing w:before="240" w:after="60"/>
      <w:outlineLvl w:val="6"/>
    </w:pPr>
    <w:rPr>
      <w:sz w:val="24"/>
      <w:szCs w:val="24"/>
    </w:rPr>
  </w:style>
  <w:style w:type="paragraph" w:styleId="8">
    <w:name w:val="heading 8"/>
    <w:basedOn w:val="a"/>
    <w:next w:val="a"/>
    <w:link w:val="80"/>
    <w:semiHidden/>
    <w:qFormat/>
    <w:rsid w:val="00CE6069"/>
    <w:pPr>
      <w:spacing w:before="240" w:after="60"/>
      <w:outlineLvl w:val="7"/>
    </w:pPr>
    <w:rPr>
      <w:i/>
      <w:iCs/>
      <w:sz w:val="24"/>
      <w:szCs w:val="24"/>
    </w:rPr>
  </w:style>
  <w:style w:type="paragraph" w:styleId="9">
    <w:name w:val="heading 9"/>
    <w:basedOn w:val="a"/>
    <w:next w:val="a"/>
    <w:link w:val="90"/>
    <w:semiHidden/>
    <w:qFormat/>
    <w:rsid w:val="00CE6069"/>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CE6069"/>
    <w:pPr>
      <w:spacing w:line="240" w:lineRule="auto"/>
    </w:pPr>
    <w:rPr>
      <w:rFonts w:ascii="Tahoma" w:hAnsi="Tahoma" w:cs="Tahoma"/>
      <w:sz w:val="16"/>
      <w:szCs w:val="16"/>
    </w:rPr>
  </w:style>
  <w:style w:type="character" w:customStyle="1" w:styleId="a4">
    <w:name w:val="Текст выноски Знак"/>
    <w:basedOn w:val="a0"/>
    <w:link w:val="a3"/>
    <w:uiPriority w:val="99"/>
    <w:semiHidden/>
    <w:rsid w:val="00565172"/>
    <w:rPr>
      <w:rFonts w:ascii="Tahoma" w:eastAsiaTheme="minorHAnsi" w:hAnsi="Tahoma" w:cs="Tahoma"/>
      <w:sz w:val="16"/>
      <w:szCs w:val="16"/>
      <w:lang w:val="ru-RU" w:eastAsia="en-US"/>
    </w:rPr>
  </w:style>
  <w:style w:type="paragraph" w:customStyle="1" w:styleId="HMG">
    <w:name w:val="_ H __M_G"/>
    <w:basedOn w:val="a"/>
    <w:next w:val="a"/>
    <w:qFormat/>
    <w:rsid w:val="00946182"/>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946182"/>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946182"/>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946182"/>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946182"/>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946182"/>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2B1258"/>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946182"/>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946182"/>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946182"/>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946182"/>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946182"/>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2B1258"/>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946182"/>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946182"/>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946182"/>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946182"/>
    <w:rPr>
      <w:b/>
      <w:sz w:val="18"/>
      <w:lang w:val="en-GB" w:eastAsia="ru-RU"/>
    </w:rPr>
  </w:style>
  <w:style w:type="character" w:styleId="a7">
    <w:name w:val="page number"/>
    <w:aliases w:val="7_G"/>
    <w:basedOn w:val="a0"/>
    <w:qFormat/>
    <w:rsid w:val="00946182"/>
    <w:rPr>
      <w:rFonts w:ascii="Times New Roman" w:hAnsi="Times New Roman"/>
      <w:b/>
      <w:sz w:val="18"/>
    </w:rPr>
  </w:style>
  <w:style w:type="paragraph" w:styleId="a8">
    <w:name w:val="footer"/>
    <w:aliases w:val="3_G"/>
    <w:basedOn w:val="a"/>
    <w:link w:val="a9"/>
    <w:qFormat/>
    <w:rsid w:val="00946182"/>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946182"/>
    <w:rPr>
      <w:sz w:val="16"/>
      <w:lang w:val="en-GB" w:eastAsia="ru-RU"/>
    </w:rPr>
  </w:style>
  <w:style w:type="character" w:styleId="aa">
    <w:name w:val="footnote reference"/>
    <w:aliases w:val="4_G"/>
    <w:basedOn w:val="a0"/>
    <w:qFormat/>
    <w:rsid w:val="00946182"/>
    <w:rPr>
      <w:rFonts w:ascii="Times New Roman" w:hAnsi="Times New Roman"/>
      <w:dstrike w:val="0"/>
      <w:sz w:val="18"/>
      <w:vertAlign w:val="superscript"/>
    </w:rPr>
  </w:style>
  <w:style w:type="character" w:styleId="ab">
    <w:name w:val="endnote reference"/>
    <w:aliases w:val="1_G"/>
    <w:basedOn w:val="aa"/>
    <w:qFormat/>
    <w:rsid w:val="00946182"/>
    <w:rPr>
      <w:rFonts w:ascii="Times New Roman" w:hAnsi="Times New Roman"/>
      <w:dstrike w:val="0"/>
      <w:sz w:val="18"/>
      <w:vertAlign w:val="superscript"/>
    </w:rPr>
  </w:style>
  <w:style w:type="table" w:styleId="ac">
    <w:name w:val="Table Grid"/>
    <w:basedOn w:val="a1"/>
    <w:uiPriority w:val="59"/>
    <w:rsid w:val="002B125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946182"/>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946182"/>
    <w:rPr>
      <w:sz w:val="18"/>
      <w:lang w:val="ru-RU" w:eastAsia="ru-RU"/>
    </w:rPr>
  </w:style>
  <w:style w:type="paragraph" w:styleId="af">
    <w:name w:val="endnote text"/>
    <w:aliases w:val="2_G"/>
    <w:basedOn w:val="ad"/>
    <w:link w:val="af0"/>
    <w:qFormat/>
    <w:rsid w:val="00946182"/>
  </w:style>
  <w:style w:type="character" w:customStyle="1" w:styleId="af0">
    <w:name w:val="Текст концевой сноски Знак"/>
    <w:aliases w:val="2_G Знак"/>
    <w:basedOn w:val="a0"/>
    <w:link w:val="af"/>
    <w:rsid w:val="00946182"/>
    <w:rPr>
      <w:sz w:val="18"/>
      <w:lang w:val="ru-RU" w:eastAsia="ru-RU"/>
    </w:rPr>
  </w:style>
  <w:style w:type="character" w:customStyle="1" w:styleId="10">
    <w:name w:val="Заголовок 1 Знак"/>
    <w:aliases w:val="Table_G Знак"/>
    <w:basedOn w:val="a0"/>
    <w:link w:val="1"/>
    <w:uiPriority w:val="9"/>
    <w:rsid w:val="00946182"/>
    <w:rPr>
      <w:rFonts w:cs="Arial"/>
      <w:b/>
      <w:bCs/>
      <w:szCs w:val="32"/>
      <w:lang w:val="ru-RU" w:eastAsia="ru-RU"/>
    </w:rPr>
  </w:style>
  <w:style w:type="character" w:styleId="af1">
    <w:name w:val="Hyperlink"/>
    <w:basedOn w:val="a0"/>
    <w:rsid w:val="00946182"/>
    <w:rPr>
      <w:color w:val="0000FF" w:themeColor="hyperlink"/>
      <w:u w:val="none"/>
    </w:rPr>
  </w:style>
  <w:style w:type="character" w:styleId="af2">
    <w:name w:val="FollowedHyperlink"/>
    <w:basedOn w:val="a0"/>
    <w:rsid w:val="00946182"/>
    <w:rPr>
      <w:color w:val="800080" w:themeColor="followedHyperlink"/>
      <w:u w:val="none"/>
    </w:rPr>
  </w:style>
  <w:style w:type="numbering" w:customStyle="1" w:styleId="11">
    <w:name w:val="Нет списка1"/>
    <w:next w:val="a2"/>
    <w:uiPriority w:val="99"/>
    <w:semiHidden/>
    <w:unhideWhenUsed/>
    <w:rsid w:val="00D75D7F"/>
  </w:style>
  <w:style w:type="numbering" w:styleId="111111">
    <w:name w:val="Outline List 2"/>
    <w:basedOn w:val="a2"/>
    <w:semiHidden/>
    <w:rsid w:val="00D75D7F"/>
    <w:pPr>
      <w:numPr>
        <w:numId w:val="26"/>
      </w:numPr>
    </w:pPr>
  </w:style>
  <w:style w:type="numbering" w:styleId="1ai">
    <w:name w:val="Outline List 1"/>
    <w:basedOn w:val="a2"/>
    <w:semiHidden/>
    <w:rsid w:val="00D75D7F"/>
    <w:pPr>
      <w:numPr>
        <w:numId w:val="27"/>
      </w:numPr>
    </w:pPr>
  </w:style>
  <w:style w:type="character" w:customStyle="1" w:styleId="20">
    <w:name w:val="Заголовок 2 Знак"/>
    <w:basedOn w:val="a0"/>
    <w:link w:val="2"/>
    <w:uiPriority w:val="9"/>
    <w:semiHidden/>
    <w:rsid w:val="00D75D7F"/>
    <w:rPr>
      <w:rFonts w:eastAsiaTheme="minorHAnsi" w:cs="Arial"/>
      <w:bCs/>
      <w:iCs/>
      <w:szCs w:val="28"/>
      <w:lang w:val="ru-RU" w:eastAsia="en-US"/>
    </w:rPr>
  </w:style>
  <w:style w:type="character" w:customStyle="1" w:styleId="30">
    <w:name w:val="Заголовок 3 Знак"/>
    <w:basedOn w:val="a0"/>
    <w:link w:val="3"/>
    <w:semiHidden/>
    <w:rsid w:val="00D75D7F"/>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D75D7F"/>
    <w:rPr>
      <w:rFonts w:eastAsiaTheme="minorHAnsi" w:cstheme="minorBidi"/>
      <w:b/>
      <w:bCs/>
      <w:sz w:val="28"/>
      <w:szCs w:val="28"/>
      <w:lang w:val="ru-RU" w:eastAsia="en-US"/>
    </w:rPr>
  </w:style>
  <w:style w:type="character" w:customStyle="1" w:styleId="50">
    <w:name w:val="Заголовок 5 Знак"/>
    <w:basedOn w:val="a0"/>
    <w:link w:val="5"/>
    <w:semiHidden/>
    <w:rsid w:val="00D75D7F"/>
    <w:rPr>
      <w:rFonts w:eastAsiaTheme="minorHAnsi" w:cstheme="minorBidi"/>
      <w:b/>
      <w:bCs/>
      <w:i/>
      <w:iCs/>
      <w:sz w:val="26"/>
      <w:szCs w:val="26"/>
      <w:lang w:val="ru-RU" w:eastAsia="en-US"/>
    </w:rPr>
  </w:style>
  <w:style w:type="character" w:customStyle="1" w:styleId="60">
    <w:name w:val="Заголовок 6 Знак"/>
    <w:basedOn w:val="a0"/>
    <w:link w:val="6"/>
    <w:semiHidden/>
    <w:rsid w:val="00D75D7F"/>
    <w:rPr>
      <w:rFonts w:eastAsiaTheme="minorHAnsi" w:cstheme="minorBidi"/>
      <w:b/>
      <w:bCs/>
      <w:sz w:val="22"/>
      <w:szCs w:val="22"/>
      <w:lang w:val="ru-RU" w:eastAsia="en-US"/>
    </w:rPr>
  </w:style>
  <w:style w:type="character" w:customStyle="1" w:styleId="70">
    <w:name w:val="Заголовок 7 Знак"/>
    <w:basedOn w:val="a0"/>
    <w:link w:val="7"/>
    <w:semiHidden/>
    <w:rsid w:val="00D75D7F"/>
    <w:rPr>
      <w:rFonts w:eastAsiaTheme="minorHAnsi" w:cstheme="minorBidi"/>
      <w:sz w:val="24"/>
      <w:szCs w:val="24"/>
      <w:lang w:val="ru-RU" w:eastAsia="en-US"/>
    </w:rPr>
  </w:style>
  <w:style w:type="character" w:customStyle="1" w:styleId="80">
    <w:name w:val="Заголовок 8 Знак"/>
    <w:basedOn w:val="a0"/>
    <w:link w:val="8"/>
    <w:semiHidden/>
    <w:rsid w:val="00D75D7F"/>
    <w:rPr>
      <w:rFonts w:eastAsiaTheme="minorHAnsi" w:cstheme="minorBidi"/>
      <w:i/>
      <w:iCs/>
      <w:sz w:val="24"/>
      <w:szCs w:val="24"/>
      <w:lang w:val="ru-RU" w:eastAsia="en-US"/>
    </w:rPr>
  </w:style>
  <w:style w:type="character" w:customStyle="1" w:styleId="90">
    <w:name w:val="Заголовок 9 Знак"/>
    <w:basedOn w:val="a0"/>
    <w:link w:val="9"/>
    <w:semiHidden/>
    <w:rsid w:val="00D75D7F"/>
    <w:rPr>
      <w:rFonts w:ascii="Arial" w:eastAsiaTheme="minorHAnsi" w:hAnsi="Arial" w:cs="Arial"/>
      <w:sz w:val="22"/>
      <w:szCs w:val="22"/>
      <w:lang w:val="ru-RU" w:eastAsia="en-US"/>
    </w:rPr>
  </w:style>
  <w:style w:type="character" w:styleId="af3">
    <w:name w:val="Book Title"/>
    <w:basedOn w:val="a0"/>
    <w:uiPriority w:val="33"/>
    <w:rsid w:val="00D75D7F"/>
    <w:rPr>
      <w:b/>
      <w:bCs/>
      <w:smallCaps/>
      <w:spacing w:val="5"/>
    </w:rPr>
  </w:style>
  <w:style w:type="table" w:customStyle="1" w:styleId="12">
    <w:name w:val="Сетка таблицы1"/>
    <w:basedOn w:val="a1"/>
    <w:next w:val="ac"/>
    <w:rsid w:val="00D75D7F"/>
    <w:pPr>
      <w:suppressAutoHyphens/>
      <w:spacing w:line="240" w:lineRule="atLeast"/>
    </w:pPr>
    <w:rPr>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Revision"/>
    <w:hidden/>
    <w:uiPriority w:val="99"/>
    <w:semiHidden/>
    <w:rsid w:val="00D75D7F"/>
    <w:rPr>
      <w:lang w:val="en-GB" w:eastAsia="en-US"/>
    </w:rPr>
  </w:style>
  <w:style w:type="character" w:styleId="af5">
    <w:name w:val="Emphasis"/>
    <w:basedOn w:val="a0"/>
    <w:uiPriority w:val="20"/>
    <w:qFormat/>
    <w:rsid w:val="00D75D7F"/>
    <w:rPr>
      <w:i/>
      <w:iCs/>
    </w:rPr>
  </w:style>
  <w:style w:type="character" w:customStyle="1" w:styleId="preferred">
    <w:name w:val="preferred"/>
    <w:basedOn w:val="a0"/>
    <w:rsid w:val="00D75D7F"/>
  </w:style>
  <w:style w:type="character" w:styleId="af6">
    <w:name w:val="annotation reference"/>
    <w:basedOn w:val="a0"/>
    <w:uiPriority w:val="99"/>
    <w:semiHidden/>
    <w:unhideWhenUsed/>
    <w:rsid w:val="00D75D7F"/>
    <w:rPr>
      <w:sz w:val="16"/>
      <w:szCs w:val="16"/>
    </w:rPr>
  </w:style>
  <w:style w:type="paragraph" w:styleId="af7">
    <w:name w:val="annotation text"/>
    <w:basedOn w:val="a"/>
    <w:link w:val="af8"/>
    <w:uiPriority w:val="99"/>
    <w:semiHidden/>
    <w:unhideWhenUsed/>
    <w:rsid w:val="00D75D7F"/>
    <w:pPr>
      <w:spacing w:line="240" w:lineRule="auto"/>
    </w:pPr>
    <w:rPr>
      <w:rFonts w:eastAsia="SimSun" w:cs="Times New Roman"/>
      <w:sz w:val="18"/>
      <w:szCs w:val="20"/>
      <w:lang w:val="en-GB"/>
    </w:rPr>
  </w:style>
  <w:style w:type="character" w:customStyle="1" w:styleId="af8">
    <w:name w:val="Текст примечания Знак"/>
    <w:basedOn w:val="a0"/>
    <w:link w:val="af7"/>
    <w:uiPriority w:val="99"/>
    <w:semiHidden/>
    <w:rsid w:val="00D75D7F"/>
    <w:rPr>
      <w:rFonts w:eastAsia="SimSun"/>
      <w:sz w:val="18"/>
      <w:lang w:val="en-GB" w:eastAsia="en-US"/>
    </w:rPr>
  </w:style>
  <w:style w:type="paragraph" w:styleId="af9">
    <w:name w:val="annotation subject"/>
    <w:basedOn w:val="af7"/>
    <w:next w:val="af7"/>
    <w:link w:val="afa"/>
    <w:uiPriority w:val="99"/>
    <w:semiHidden/>
    <w:unhideWhenUsed/>
    <w:rsid w:val="00D75D7F"/>
    <w:rPr>
      <w:b/>
      <w:bCs/>
    </w:rPr>
  </w:style>
  <w:style w:type="character" w:customStyle="1" w:styleId="afa">
    <w:name w:val="Тема примечания Знак"/>
    <w:basedOn w:val="af8"/>
    <w:link w:val="af9"/>
    <w:uiPriority w:val="99"/>
    <w:semiHidden/>
    <w:rsid w:val="00D75D7F"/>
    <w:rPr>
      <w:rFonts w:eastAsia="SimSun"/>
      <w:b/>
      <w:bCs/>
      <w:sz w:val="18"/>
      <w:lang w:val="en-GB" w:eastAsia="en-US"/>
    </w:rPr>
  </w:style>
  <w:style w:type="character" w:styleId="afb">
    <w:name w:val="Placeholder Text"/>
    <w:basedOn w:val="a0"/>
    <w:uiPriority w:val="99"/>
    <w:semiHidden/>
    <w:rsid w:val="00D75D7F"/>
    <w:rPr>
      <w:color w:val="808080"/>
    </w:rPr>
  </w:style>
  <w:style w:type="character" w:styleId="afc">
    <w:name w:val="Unresolved Mention"/>
    <w:basedOn w:val="a0"/>
    <w:uiPriority w:val="99"/>
    <w:semiHidden/>
    <w:unhideWhenUsed/>
    <w:rsid w:val="009665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az"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gov.az/"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sosial.az/" TargetMode="External"/><Relationship Id="rId4" Type="http://schemas.openxmlformats.org/officeDocument/2006/relationships/webSettings" Target="webSettings.xml"/><Relationship Id="rId9" Type="http://schemas.openxmlformats.org/officeDocument/2006/relationships/hyperlink" Target="http://www.my.gov.a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4</TotalTime>
  <Pages>45</Pages>
  <Words>19951</Words>
  <Characters>141133</Characters>
  <Application>Microsoft Office Word</Application>
  <DocSecurity>0</DocSecurity>
  <Lines>2397</Lines>
  <Paragraphs>435</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HRI/CORE/AZE/2023</vt:lpstr>
      <vt:lpstr>A/</vt:lpstr>
      <vt:lpstr>A/</vt:lpstr>
    </vt:vector>
  </TitlesOfParts>
  <Company>DCM</Company>
  <LinksUpToDate>false</LinksUpToDate>
  <CharactersWithSpaces>160741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HRI/CORE/AZE/2023</dc:title>
  <dc:subject/>
  <dc:creator>Anna KISSELEVA</dc:creator>
  <cp:keywords/>
  <cp:lastModifiedBy>Anna Kisseleva</cp:lastModifiedBy>
  <cp:revision>4</cp:revision>
  <cp:lastPrinted>2024-01-08T16:10:00Z</cp:lastPrinted>
  <dcterms:created xsi:type="dcterms:W3CDTF">2024-01-08T16:10:00Z</dcterms:created>
  <dcterms:modified xsi:type="dcterms:W3CDTF">2024-01-08T16:14:00Z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