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541" w:rsidRDefault="00673541" w:rsidP="00673541">
      <w:pPr>
        <w:spacing w:line="60" w:lineRule="exact"/>
        <w:rPr>
          <w:sz w:val="6"/>
        </w:rPr>
        <w:sectPr w:rsidR="00673541" w:rsidSect="0067354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73541" w:rsidRDefault="00673541" w:rsidP="00673541">
      <w:pPr>
        <w:spacing w:line="60" w:lineRule="exact"/>
        <w:rPr>
          <w:sz w:val="6"/>
        </w:rPr>
      </w:pPr>
    </w:p>
    <w:p w:rsidR="00554DDA" w:rsidRDefault="00554DDA" w:rsidP="00554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554DDA" w:rsidRDefault="00554DDA" w:rsidP="00554D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第四十二届会议</w:t>
      </w:r>
    </w:p>
    <w:p w:rsidR="00554DDA" w:rsidRDefault="00554DDA" w:rsidP="00554D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会前工作组</w:t>
      </w:r>
    </w:p>
    <w:p w:rsidR="00554DDA" w:rsidRDefault="00554DDA" w:rsidP="00657FDB">
      <w:pPr>
        <w:pStyle w:val="SingleTxt"/>
        <w:spacing w:after="0"/>
        <w:ind w:left="0"/>
        <w:rPr>
          <w:rFonts w:hint="eastAsia"/>
        </w:rPr>
      </w:pPr>
      <w:r>
        <w:rPr>
          <w:rFonts w:hint="eastAsia"/>
        </w:rPr>
        <w:t>2008年10月20日至11月7日</w:t>
      </w:r>
    </w:p>
    <w:p w:rsidR="00554DDA" w:rsidRPr="00554DDA" w:rsidRDefault="00554DDA" w:rsidP="00554DDA">
      <w:pPr>
        <w:pStyle w:val="SingleTxt"/>
        <w:spacing w:after="0" w:line="120" w:lineRule="exact"/>
        <w:rPr>
          <w:sz w:val="10"/>
        </w:rPr>
      </w:pPr>
    </w:p>
    <w:p w:rsidR="00554DDA" w:rsidRPr="00554DDA" w:rsidRDefault="00554DDA" w:rsidP="00554DDA">
      <w:pPr>
        <w:pStyle w:val="SingleTxt"/>
        <w:spacing w:after="0" w:line="120" w:lineRule="exact"/>
        <w:rPr>
          <w:rFonts w:hint="eastAsia"/>
          <w:sz w:val="10"/>
        </w:rPr>
      </w:pPr>
    </w:p>
    <w:p w:rsidR="00554DDA" w:rsidRPr="00554DDA" w:rsidRDefault="00554DDA" w:rsidP="00554DDA">
      <w:pPr>
        <w:pStyle w:val="SingleTxt"/>
        <w:spacing w:after="0" w:line="120" w:lineRule="exact"/>
        <w:rPr>
          <w:rFonts w:hint="eastAsia"/>
          <w:sz w:val="10"/>
        </w:rPr>
      </w:pPr>
    </w:p>
    <w:p w:rsidR="00554DDA" w:rsidRDefault="00554DDA" w:rsidP="00554DD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与审议定期报告有关的议题和问题清单</w:t>
      </w:r>
    </w:p>
    <w:p w:rsidR="00554DDA" w:rsidRPr="00554DDA" w:rsidRDefault="00554DDA" w:rsidP="00657FDB">
      <w:pPr>
        <w:pStyle w:val="SingleTxt"/>
        <w:spacing w:after="0" w:line="100" w:lineRule="exact"/>
        <w:rPr>
          <w:rFonts w:hint="eastAsia"/>
          <w:sz w:val="10"/>
        </w:rPr>
      </w:pPr>
    </w:p>
    <w:p w:rsidR="00554DDA" w:rsidRPr="00554DDA" w:rsidRDefault="00554DDA" w:rsidP="00657FDB">
      <w:pPr>
        <w:pStyle w:val="SingleTxt"/>
        <w:spacing w:after="0" w:line="100" w:lineRule="exact"/>
        <w:rPr>
          <w:rFonts w:hint="eastAsia"/>
          <w:sz w:val="10"/>
        </w:rPr>
      </w:pPr>
    </w:p>
    <w:p w:rsidR="00554DDA" w:rsidRDefault="00554DDA" w:rsidP="00554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r>
      <w:r>
        <w:rPr>
          <w:rFonts w:hint="eastAsia"/>
        </w:rPr>
        <w:tab/>
        <w:t>加拿大</w:t>
      </w:r>
      <w:r>
        <w:t></w:t>
      </w:r>
      <w:r w:rsidRPr="00554DDA">
        <w:rPr>
          <w:rStyle w:val="FootnoteReference"/>
          <w:sz w:val="21"/>
        </w:rPr>
        <w:footnoteReference w:customMarkFollows="1" w:id="1"/>
        <w:t>*</w:t>
      </w:r>
    </w:p>
    <w:p w:rsidR="00554DDA" w:rsidRPr="00554DDA" w:rsidRDefault="00554DDA" w:rsidP="00657FDB">
      <w:pPr>
        <w:pStyle w:val="SingleTxt"/>
        <w:spacing w:after="0" w:line="100" w:lineRule="exact"/>
        <w:rPr>
          <w:sz w:val="10"/>
        </w:rPr>
      </w:pPr>
    </w:p>
    <w:p w:rsidR="00554DDA" w:rsidRPr="00554DDA" w:rsidRDefault="00554DDA" w:rsidP="00657FDB">
      <w:pPr>
        <w:pStyle w:val="SingleTxt"/>
        <w:spacing w:after="0" w:line="100" w:lineRule="exact"/>
        <w:rPr>
          <w:rFonts w:hint="eastAsia"/>
          <w:sz w:val="10"/>
        </w:rPr>
      </w:pPr>
    </w:p>
    <w:p w:rsidR="00554DDA" w:rsidRDefault="00554DDA" w:rsidP="00657FDB">
      <w:pPr>
        <w:pStyle w:val="SingleTxt"/>
        <w:spacing w:after="120"/>
        <w:rPr>
          <w:rFonts w:hint="eastAsia"/>
        </w:rPr>
      </w:pPr>
      <w:r>
        <w:tab/>
      </w:r>
      <w:r>
        <w:rPr>
          <w:rFonts w:hint="eastAsia"/>
        </w:rPr>
        <w:t>会前工作组审查了加拿大第六次和第七次合并定期报告（CEDAW/C/CAN/7）。</w:t>
      </w:r>
    </w:p>
    <w:p w:rsidR="00554DDA" w:rsidRPr="00554DDA" w:rsidRDefault="00554DDA" w:rsidP="00657FDB">
      <w:pPr>
        <w:pStyle w:val="SingleTxt"/>
        <w:spacing w:after="120"/>
        <w:rPr>
          <w:rFonts w:ascii="SimHei" w:eastAsia="SimHei" w:hint="eastAsia"/>
          <w:color w:val="FF0000"/>
        </w:rPr>
      </w:pPr>
      <w:r w:rsidRPr="00554DDA">
        <w:rPr>
          <w:rFonts w:ascii="SimHei" w:eastAsia="SimHei" w:hint="eastAsia"/>
          <w:color w:val="FF0000"/>
        </w:rPr>
        <w:t>宪法、立法和体制框架</w:t>
      </w:r>
    </w:p>
    <w:p w:rsidR="00554DDA" w:rsidRDefault="00554DDA" w:rsidP="00657FDB">
      <w:pPr>
        <w:pStyle w:val="SingleTxt"/>
        <w:spacing w:after="120"/>
        <w:rPr>
          <w:rFonts w:hint="eastAsia"/>
        </w:rPr>
      </w:pPr>
      <w:r>
        <w:rPr>
          <w:rFonts w:hint="eastAsia"/>
        </w:rPr>
        <w:t>1</w:t>
      </w:r>
      <w:r>
        <w:t>.</w:t>
      </w:r>
      <w:r>
        <w:tab/>
      </w:r>
      <w:r>
        <w:rPr>
          <w:rFonts w:hint="eastAsia"/>
        </w:rPr>
        <w:t>请提供最新有关资料，说明在提交缔约国报告之后采取的任何或可促进或者影响公约所述任何权利的措施。</w:t>
      </w:r>
    </w:p>
    <w:p w:rsidR="00554DDA" w:rsidRDefault="00554DDA" w:rsidP="00657FDB">
      <w:pPr>
        <w:pStyle w:val="SingleTxt"/>
        <w:spacing w:after="120"/>
        <w:rPr>
          <w:rFonts w:hint="eastAsia"/>
        </w:rPr>
      </w:pPr>
      <w:r>
        <w:rPr>
          <w:rFonts w:hint="eastAsia"/>
        </w:rPr>
        <w:t>2</w:t>
      </w:r>
      <w:r>
        <w:t>.</w:t>
      </w:r>
      <w:r>
        <w:tab/>
      </w:r>
      <w:r>
        <w:rPr>
          <w:rFonts w:hint="eastAsia"/>
        </w:rPr>
        <w:t>报告提供了关于缔约国的法律援助项目资金情况的详细资料，但是也查明了一些挑战（第52段）。请详细说明为应对这些挑战制定的计划或者举措，其中应当述及加拿大国所有各级的情况。</w:t>
      </w:r>
    </w:p>
    <w:p w:rsidR="00554DDA" w:rsidRPr="00554DDA" w:rsidRDefault="00554DDA" w:rsidP="00657FDB">
      <w:pPr>
        <w:pStyle w:val="SingleTxt"/>
        <w:spacing w:after="120"/>
        <w:rPr>
          <w:rFonts w:ascii="SimHei" w:eastAsia="SimHei" w:hint="eastAsia"/>
          <w:color w:val="FF0000"/>
        </w:rPr>
      </w:pPr>
      <w:r w:rsidRPr="00554DDA">
        <w:rPr>
          <w:rFonts w:ascii="SimHei" w:eastAsia="SimHei" w:hint="eastAsia"/>
          <w:color w:val="FF0000"/>
        </w:rPr>
        <w:t>定型观念与教育</w:t>
      </w:r>
    </w:p>
    <w:p w:rsidR="00554DDA" w:rsidRDefault="00554DDA" w:rsidP="00657FDB">
      <w:pPr>
        <w:pStyle w:val="SingleTxt"/>
        <w:spacing w:after="120"/>
        <w:rPr>
          <w:rFonts w:hint="eastAsia"/>
        </w:rPr>
      </w:pPr>
      <w:r>
        <w:rPr>
          <w:rFonts w:hint="eastAsia"/>
        </w:rPr>
        <w:t>3</w:t>
      </w:r>
      <w:r>
        <w:t>.</w:t>
      </w:r>
      <w:r>
        <w:tab/>
      </w:r>
      <w:r>
        <w:rPr>
          <w:rFonts w:hint="eastAsia"/>
        </w:rPr>
        <w:t>请告知委员会，由政府资助的旨在促进土著妇女地位的各项活动，例如《土著民族方案》之类的活动，是否包括提高土著社区对妇女人权的认识、改变男尊女卑的态度、习俗和角色定型化的方案。另外，考虑到更广泛的非土著社区长期以来一直受到关于土著民族尤其是土著妇女的基于种族和性别的定型观念的影响，制定了那些广泛的公众教育方案来消除这些定型观念？</w:t>
      </w:r>
    </w:p>
    <w:p w:rsidR="00554DDA" w:rsidRDefault="00554DDA" w:rsidP="00554DDA">
      <w:pPr>
        <w:pStyle w:val="SingleTxt"/>
        <w:rPr>
          <w:rFonts w:hint="eastAsia"/>
        </w:rPr>
      </w:pPr>
      <w:r>
        <w:rPr>
          <w:rFonts w:hint="eastAsia"/>
        </w:rPr>
        <w:t>4</w:t>
      </w:r>
      <w:r>
        <w:t>.</w:t>
      </w:r>
      <w:r>
        <w:tab/>
      </w:r>
      <w:r>
        <w:rPr>
          <w:rFonts w:hint="eastAsia"/>
        </w:rPr>
        <w:t>报告（第164段）提到纽芬兰和拉布拉多政府与土著群体合作，通过开发符合文化特点的学习资源以消除各种定型观念。其他省份或者领土是否也开展了类似的有土著社区参与的举措？</w:t>
      </w:r>
    </w:p>
    <w:p w:rsidR="00554DDA" w:rsidRPr="00554DDA" w:rsidRDefault="00554DDA" w:rsidP="00554DDA">
      <w:pPr>
        <w:pStyle w:val="SingleTxt"/>
        <w:rPr>
          <w:rFonts w:ascii="SimHei" w:eastAsia="SimHei" w:hint="eastAsia"/>
          <w:color w:val="FF0000"/>
        </w:rPr>
      </w:pPr>
      <w:r w:rsidRPr="00554DDA">
        <w:rPr>
          <w:rFonts w:ascii="SimHei" w:eastAsia="SimHei" w:hint="eastAsia"/>
          <w:color w:val="FF0000"/>
        </w:rPr>
        <w:t>对妇女的暴力行为</w:t>
      </w:r>
    </w:p>
    <w:p w:rsidR="00554DDA" w:rsidRDefault="00554DDA" w:rsidP="00657FDB">
      <w:pPr>
        <w:pStyle w:val="SingleTxt"/>
        <w:spacing w:line="330" w:lineRule="exact"/>
        <w:rPr>
          <w:rFonts w:hint="eastAsia"/>
        </w:rPr>
      </w:pPr>
      <w:r>
        <w:rPr>
          <w:rFonts w:hint="eastAsia"/>
        </w:rPr>
        <w:t>5</w:t>
      </w:r>
      <w:r>
        <w:t>.</w:t>
      </w:r>
      <w:r>
        <w:tab/>
      </w:r>
      <w:r>
        <w:rPr>
          <w:rFonts w:hint="eastAsia"/>
        </w:rPr>
        <w:t>注意到通过《加强避难所方案》努力维持和改善避难所，并增加避难所数量，但是还注意到“必须继续提供资金，修缮避难所并扩大其容纳能力，以满足需求”，请说明联邦政府、省政府以及领土政府之间现有筹资安排能否保障《加强避难所方案》的可持续性。</w:t>
      </w:r>
    </w:p>
    <w:p w:rsidR="00554DDA" w:rsidRDefault="00554DDA" w:rsidP="00554DDA">
      <w:pPr>
        <w:pStyle w:val="SingleTxt"/>
        <w:rPr>
          <w:rFonts w:hint="eastAsia"/>
        </w:rPr>
      </w:pPr>
      <w:r>
        <w:rPr>
          <w:rFonts w:hint="eastAsia"/>
        </w:rPr>
        <w:t>6</w:t>
      </w:r>
      <w:r>
        <w:t>.</w:t>
      </w:r>
      <w:r>
        <w:tab/>
      </w:r>
      <w:r>
        <w:rPr>
          <w:rFonts w:hint="eastAsia"/>
        </w:rPr>
        <w:t>除了所提供的关于一般住房援助方案的资料以外，请告知委员会是否采取任何措施以便确保那些试图离开虐待者的妇女能够根据享有适当标准生活的权利有机会选择住房以及适当的支助服务。营居群理事会以及其他形式的土著政府是否确保妇女能够得到安全、价格可承受的住房和避难所？</w:t>
      </w:r>
    </w:p>
    <w:p w:rsidR="00554DDA" w:rsidRDefault="00554DDA" w:rsidP="00554DDA">
      <w:pPr>
        <w:pStyle w:val="SingleTxt"/>
        <w:rPr>
          <w:rFonts w:hint="eastAsia"/>
        </w:rPr>
      </w:pPr>
      <w:r>
        <w:rPr>
          <w:rFonts w:hint="eastAsia"/>
        </w:rPr>
        <w:t>7.</w:t>
      </w:r>
      <w:r>
        <w:tab/>
      </w:r>
      <w:r>
        <w:rPr>
          <w:rFonts w:hint="eastAsia"/>
        </w:rPr>
        <w:t>报告（第62段）指出，《刑法典》和《加拿大证据法》修正案于2006年1月生效，修正案为接受受害者和证人（包括性暴力或者配偶暴力行为受害者）的证词提供了便利，并且加强了提供证词过程中的保护。请提供关于这些修正案的进一步详细情况，并提供有关现有资料，说明法庭适用这些经过修正的规定是否有助于更好地保护受害人。另外，还请提供有关资料，说明为利用这类服务的土著妇女以及少数族裔妇女提供文化敏感的环境所采取的举措。</w:t>
      </w:r>
    </w:p>
    <w:p w:rsidR="00554DDA" w:rsidRDefault="00554DDA" w:rsidP="00554DDA">
      <w:pPr>
        <w:pStyle w:val="SingleTxt"/>
        <w:rPr>
          <w:rFonts w:hint="eastAsia"/>
        </w:rPr>
      </w:pPr>
      <w:r>
        <w:rPr>
          <w:rFonts w:hint="eastAsia"/>
        </w:rPr>
        <w:t>8.</w:t>
      </w:r>
      <w:r>
        <w:tab/>
      </w:r>
      <w:r>
        <w:rPr>
          <w:rFonts w:hint="eastAsia"/>
        </w:rPr>
        <w:t>赞许地注意到缔约国支助针对土著妇女和女童遭受暴力行为事件发生率格外高的问题采取的各种举措，例如《精神姐妹举措》以及最近为交流最佳做法所作的努力，包括通过2006年3月举行的土著妇女与暴力行为政策论坛所作的努力，委员会希望了解是否采取了有关措施以便系统地收集最佳做法、总结经验教训。请说明对城市和保留地土著妇女遭受暴力问题是否给予同等关注。另外，委员会希望得到关于新斯科舍非裔加拿大妇女遭受暴力行为方面的资料。</w:t>
      </w:r>
    </w:p>
    <w:p w:rsidR="00554DDA" w:rsidRDefault="00554DDA" w:rsidP="00657FDB">
      <w:pPr>
        <w:pStyle w:val="SingleTxt"/>
        <w:spacing w:after="180"/>
        <w:rPr>
          <w:rFonts w:hint="eastAsia"/>
        </w:rPr>
      </w:pPr>
      <w:r>
        <w:rPr>
          <w:rFonts w:hint="eastAsia"/>
        </w:rPr>
        <w:t>9.</w:t>
      </w:r>
      <w:r>
        <w:tab/>
      </w:r>
      <w:r>
        <w:rPr>
          <w:rFonts w:hint="eastAsia"/>
        </w:rPr>
        <w:t>经济、社会及文化权利委员会在其于2006年5月通过的对缔约国提出的结论意见中，建议将家庭暴力行为作为一项具体罪名列入《刑法典》，请告知委员会政府对这项建议的看法。</w:t>
      </w:r>
    </w:p>
    <w:p w:rsidR="00554DDA" w:rsidRPr="00554DDA" w:rsidRDefault="00554DDA" w:rsidP="00554DDA">
      <w:pPr>
        <w:pStyle w:val="SingleTxt"/>
        <w:rPr>
          <w:rFonts w:ascii="SimHei" w:eastAsia="SimHei" w:hint="eastAsia"/>
          <w:color w:val="FF0000"/>
        </w:rPr>
      </w:pPr>
      <w:r w:rsidRPr="00554DDA">
        <w:rPr>
          <w:rFonts w:ascii="SimHei" w:eastAsia="SimHei" w:hint="eastAsia"/>
          <w:color w:val="FF0000"/>
        </w:rPr>
        <w:t>贩运与卖淫营利</w:t>
      </w:r>
    </w:p>
    <w:p w:rsidR="00554DDA" w:rsidRDefault="00554DDA" w:rsidP="00657FDB">
      <w:pPr>
        <w:pStyle w:val="SingleTxt"/>
        <w:spacing w:line="332" w:lineRule="exact"/>
        <w:rPr>
          <w:rFonts w:hint="eastAsia"/>
        </w:rPr>
      </w:pPr>
      <w:r>
        <w:rPr>
          <w:rFonts w:hint="eastAsia"/>
        </w:rPr>
        <w:t>10</w:t>
      </w:r>
      <w:r>
        <w:t>.</w:t>
      </w:r>
      <w:r>
        <w:tab/>
      </w:r>
      <w:r>
        <w:rPr>
          <w:rFonts w:hint="eastAsia"/>
        </w:rPr>
        <w:t>报告（第82段）称，政府通过2005年11月生效的《刑法修正（贩卖人口）法》加强了对贩运人口活动的对策，增列了三种新的可起诉罪名。请告知委员会这项法律是否有助于遏制向加拿大贩运妇女的活动，是否根据该法律提出过任何起诉，是否导致任何定罪。</w:t>
      </w:r>
    </w:p>
    <w:p w:rsidR="00554DDA" w:rsidRDefault="00554DDA" w:rsidP="00657FDB">
      <w:pPr>
        <w:pStyle w:val="SingleTxt"/>
        <w:spacing w:line="332" w:lineRule="exact"/>
        <w:rPr>
          <w:rFonts w:hint="eastAsia"/>
        </w:rPr>
      </w:pPr>
      <w:r>
        <w:rPr>
          <w:rFonts w:hint="eastAsia"/>
        </w:rPr>
        <w:t>11</w:t>
      </w:r>
      <w:r>
        <w:t>.</w:t>
      </w:r>
      <w:r>
        <w:tab/>
      </w:r>
      <w:r>
        <w:rPr>
          <w:rFonts w:hint="eastAsia"/>
        </w:rPr>
        <w:t>2006年5月发布了移民局官员指导方针，旨在确保被贩运者得到获准移民地位的考虑并且规定颁发临时居住证，请说明该指导方针是否帮助受害者摆脱了贩运者的控制，鼓励了更多的受害者与当局联系。另外，还请说明这些妇女是从哪些国家贩运到加拿大的。除了上文问题11所述移民局官员指导方针中关于保护的规定以外，请说明是否有任何其他帮助被贩运者康复并重返社会的方案。</w:t>
      </w:r>
    </w:p>
    <w:p w:rsidR="00554DDA" w:rsidRDefault="00554DDA" w:rsidP="00554DDA">
      <w:pPr>
        <w:pStyle w:val="SingleTxt"/>
        <w:rPr>
          <w:rFonts w:hint="eastAsia"/>
        </w:rPr>
      </w:pPr>
      <w:r>
        <w:rPr>
          <w:rFonts w:hint="eastAsia"/>
        </w:rPr>
        <w:t>12.</w:t>
      </w:r>
      <w:r>
        <w:tab/>
      </w:r>
      <w:r>
        <w:rPr>
          <w:rFonts w:hint="eastAsia"/>
        </w:rPr>
        <w:t>请提供有关现有资料，说明2006年1月生效的有助于接受弱势群体受害者（包括贩运活动受害者）的证词的《刑法典》和《加拿大证据法》修正案是否有助于起诉贩运者并保护受害者权利。请提供能够体现经修正的规定有助于定罪以及/或者保护受害者的法庭案例的现有资料。</w:t>
      </w:r>
    </w:p>
    <w:p w:rsidR="00554DDA" w:rsidRDefault="00554DDA" w:rsidP="00554DDA">
      <w:pPr>
        <w:pStyle w:val="SingleTxt"/>
        <w:rPr>
          <w:rFonts w:hint="eastAsia"/>
        </w:rPr>
      </w:pPr>
      <w:r>
        <w:rPr>
          <w:rFonts w:hint="eastAsia"/>
        </w:rPr>
        <w:t>13</w:t>
      </w:r>
      <w:r>
        <w:t>.</w:t>
      </w:r>
      <w:r>
        <w:tab/>
      </w:r>
      <w:r>
        <w:rPr>
          <w:rFonts w:hint="eastAsia"/>
        </w:rPr>
        <w:t>报告称，在新不伦瑞克和爱德华王子岛，贩运活动受害者有权利用为犯罪活动受害者提供的所有支助服务（第213段、第294段）。其他省份和领土是否也实行类似的政策？另外，请提供有关资料，说明魁北克政府为审查向被贩卖的移民妇女提供的保护措施并建议设立打击贩卖人口机制而设立的部际间工作委员会的成果（第342段）。</w:t>
      </w:r>
    </w:p>
    <w:p w:rsidR="00554DDA" w:rsidRPr="00554DDA" w:rsidRDefault="00554DDA" w:rsidP="00554DDA">
      <w:pPr>
        <w:pStyle w:val="SingleTxt"/>
        <w:rPr>
          <w:rFonts w:ascii="SimHei" w:eastAsia="SimHei" w:hint="eastAsia"/>
          <w:color w:val="FF0000"/>
        </w:rPr>
      </w:pPr>
      <w:r w:rsidRPr="00554DDA">
        <w:rPr>
          <w:rFonts w:ascii="SimHei" w:eastAsia="SimHei" w:hint="eastAsia"/>
          <w:color w:val="FF0000"/>
        </w:rPr>
        <w:t>参与公众生活</w:t>
      </w:r>
    </w:p>
    <w:p w:rsidR="00554DDA" w:rsidRPr="00657FDB" w:rsidRDefault="00554DDA" w:rsidP="00554DDA">
      <w:pPr>
        <w:pStyle w:val="SingleTxt"/>
        <w:rPr>
          <w:rFonts w:hint="eastAsia"/>
          <w:spacing w:val="-2"/>
        </w:rPr>
      </w:pPr>
      <w:r>
        <w:rPr>
          <w:rFonts w:hint="eastAsia"/>
        </w:rPr>
        <w:t>14</w:t>
      </w:r>
      <w:r>
        <w:t>.</w:t>
      </w:r>
      <w:r>
        <w:tab/>
      </w:r>
      <w:r w:rsidRPr="00657FDB">
        <w:rPr>
          <w:rFonts w:hint="eastAsia"/>
          <w:spacing w:val="-2"/>
        </w:rPr>
        <w:t>报告称，政府支持一项题为“走进大门”的非政府举措，这是一项网上宣传活动，旨在增加经选举担任各级公职的妇女人数（第91段）。请说明是否采取任何其他措施增加担任决策职务的妇女人数，包括在众议院，目前妇女只占20</w:t>
      </w:r>
      <w:r w:rsidR="00657FDB" w:rsidRPr="00657FDB">
        <w:rPr>
          <w:rFonts w:hint="eastAsia"/>
          <w:spacing w:val="-2"/>
        </w:rPr>
        <w:t>％</w:t>
      </w:r>
      <w:r w:rsidRPr="00657FDB">
        <w:rPr>
          <w:rFonts w:hint="eastAsia"/>
          <w:spacing w:val="-2"/>
        </w:rPr>
        <w:t>的席位。特别是，请说明各政党是否根据《公约》第四条第一款采取了暂行特别措施。</w:t>
      </w:r>
    </w:p>
    <w:p w:rsidR="00554DDA" w:rsidRDefault="00554DDA" w:rsidP="00554DDA">
      <w:pPr>
        <w:pStyle w:val="SingleTxt"/>
        <w:rPr>
          <w:rFonts w:hint="eastAsia"/>
        </w:rPr>
      </w:pPr>
      <w:r>
        <w:rPr>
          <w:rFonts w:hint="eastAsia"/>
        </w:rPr>
        <w:t>15</w:t>
      </w:r>
      <w:r>
        <w:t>.</w:t>
      </w:r>
      <w:r>
        <w:tab/>
      </w:r>
      <w:r>
        <w:rPr>
          <w:rFonts w:hint="eastAsia"/>
        </w:rPr>
        <w:t>请说明政府为土著妇女提供的支助是否包括提供资金，以使她们能够参与有关治理和立法进程，处理那些影响妇女实现法律和事实上平等的问题。</w:t>
      </w:r>
    </w:p>
    <w:p w:rsidR="00554DDA" w:rsidRPr="00554DDA" w:rsidRDefault="00554DDA" w:rsidP="00554DDA">
      <w:pPr>
        <w:pStyle w:val="SingleTxt"/>
        <w:rPr>
          <w:rFonts w:ascii="SimHei" w:eastAsia="SimHei" w:hint="eastAsia"/>
          <w:color w:val="FF0000"/>
        </w:rPr>
      </w:pPr>
      <w:r w:rsidRPr="00554DDA">
        <w:rPr>
          <w:rFonts w:ascii="SimHei" w:eastAsia="SimHei" w:hint="eastAsia"/>
          <w:color w:val="FF0000"/>
        </w:rPr>
        <w:t>就业</w:t>
      </w:r>
    </w:p>
    <w:p w:rsidR="00554DDA" w:rsidRDefault="00554DDA" w:rsidP="00554DDA">
      <w:pPr>
        <w:pStyle w:val="SingleTxt"/>
        <w:rPr>
          <w:rFonts w:hint="eastAsia"/>
        </w:rPr>
      </w:pPr>
      <w:r>
        <w:rPr>
          <w:rFonts w:hint="eastAsia"/>
        </w:rPr>
        <w:t>16</w:t>
      </w:r>
      <w:r>
        <w:t>.</w:t>
      </w:r>
      <w:r>
        <w:tab/>
      </w:r>
      <w:r>
        <w:rPr>
          <w:rFonts w:hint="eastAsia"/>
        </w:rPr>
        <w:t>报告提供了有关资料，介绍了一些省份和领土为确保同工同酬而采取的立法及其他措施。请说明是否在联邦一级采取这类措施，是否利用联邦-省份-领土各级官员常设委员会确保同工同酬的原则在联邦以及所有各省政府得到执行。</w:t>
      </w:r>
    </w:p>
    <w:p w:rsidR="00554DDA" w:rsidRDefault="00554DDA" w:rsidP="00554DDA">
      <w:pPr>
        <w:pStyle w:val="SingleTxt"/>
        <w:rPr>
          <w:rFonts w:hint="eastAsia"/>
        </w:rPr>
      </w:pPr>
      <w:r>
        <w:rPr>
          <w:rFonts w:hint="eastAsia"/>
        </w:rPr>
        <w:t>17</w:t>
      </w:r>
      <w:r>
        <w:t>.</w:t>
      </w:r>
      <w:r>
        <w:tab/>
      </w:r>
      <w:r>
        <w:rPr>
          <w:rFonts w:hint="eastAsia"/>
        </w:rPr>
        <w:t>请提供有关资料，说明为了审查职业分类所进行的努力，并且详细说明在接到加拿大人权委员会提出的大量投诉之后（报告第54段）就护理行业职业分类问题进行的调查的现状。</w:t>
      </w:r>
    </w:p>
    <w:p w:rsidR="00554DDA" w:rsidRDefault="00554DDA" w:rsidP="00657FDB">
      <w:pPr>
        <w:pStyle w:val="SingleTxt"/>
        <w:spacing w:line="330" w:lineRule="exact"/>
        <w:rPr>
          <w:rFonts w:hint="eastAsia"/>
        </w:rPr>
      </w:pPr>
      <w:r>
        <w:rPr>
          <w:rFonts w:hint="eastAsia"/>
        </w:rPr>
        <w:t>18</w:t>
      </w:r>
      <w:r>
        <w:t>.</w:t>
      </w:r>
      <w:r>
        <w:tab/>
      </w:r>
      <w:r w:rsidRPr="00657FDB">
        <w:rPr>
          <w:rFonts w:hint="eastAsia"/>
        </w:rPr>
        <w:t>报告称，2006年采取了一系列就业措施，以便帮助妇女和男子更好地把握就业机会。但是，请说明事实上妇女从这些措施中获益的程度，是否采取任何具体措施增加妇女在提供充分的社会福利的标准就业安排中所占百分比。请提供有关数据，说明自营职业妇女的百分比以及从事非全日制工作或者边缘工作的妇女的百分比。</w:t>
      </w:r>
    </w:p>
    <w:p w:rsidR="00554DDA" w:rsidRDefault="00554DDA" w:rsidP="00554DDA">
      <w:pPr>
        <w:pStyle w:val="SingleTxt"/>
        <w:rPr>
          <w:rFonts w:hint="eastAsia"/>
        </w:rPr>
      </w:pPr>
      <w:r>
        <w:rPr>
          <w:rFonts w:hint="eastAsia"/>
        </w:rPr>
        <w:t>19</w:t>
      </w:r>
      <w:r>
        <w:t>.</w:t>
      </w:r>
      <w:r>
        <w:tab/>
      </w:r>
      <w:r>
        <w:rPr>
          <w:rFonts w:hint="eastAsia"/>
        </w:rPr>
        <w:t>报告称，《土著人力资源发展战略》帮助许多土著妇女找到工作或者重返校园（第98段和99段）。请说明在该方案的帮助下找到的工作机会是否为土著妇女提供了可持续地、适当的收入，包括是否提供了所有必要的社会福利。关于教育，请提供有关数据，说明该方案是否确实有助于，或者可能有助于，提高接受中等教育的土著妇女百分比。另外，请告知委员会该方案是否可能延长到2009年3月之后。</w:t>
      </w:r>
    </w:p>
    <w:p w:rsidR="00657FDB" w:rsidRDefault="00554DDA" w:rsidP="00C27B89">
      <w:pPr>
        <w:pStyle w:val="SingleTxt"/>
        <w:spacing w:after="180" w:line="332" w:lineRule="exact"/>
        <w:rPr>
          <w:rFonts w:hint="eastAsia"/>
        </w:rPr>
      </w:pPr>
      <w:r>
        <w:rPr>
          <w:rFonts w:hint="eastAsia"/>
        </w:rPr>
        <w:t>20</w:t>
      </w:r>
      <w:r>
        <w:t>.</w:t>
      </w:r>
      <w:r>
        <w:tab/>
      </w:r>
      <w:r>
        <w:rPr>
          <w:rFonts w:hint="eastAsia"/>
        </w:rPr>
        <w:t>请告知委员会，为确保根据《住家照顾者方案》雇用的照顾者得到充分的社会保障保护而采取的措施是否有效。是否有关于这个问题的数据库？</w:t>
      </w:r>
    </w:p>
    <w:p w:rsidR="00C27B89" w:rsidRPr="00C27B89" w:rsidRDefault="00C27B89" w:rsidP="00464178">
      <w:pPr>
        <w:pStyle w:val="SingleTxt"/>
        <w:spacing w:line="332" w:lineRule="exact"/>
        <w:rPr>
          <w:rFonts w:ascii="SimHei" w:eastAsia="SimHei" w:hint="eastAsia"/>
          <w:color w:val="FF0000"/>
        </w:rPr>
      </w:pPr>
      <w:r w:rsidRPr="00C27B89">
        <w:rPr>
          <w:rFonts w:ascii="SimHei" w:eastAsia="SimHei" w:hint="eastAsia"/>
          <w:color w:val="FF0000"/>
        </w:rPr>
        <w:t>保健</w:t>
      </w:r>
    </w:p>
    <w:p w:rsidR="00554DDA" w:rsidRDefault="00554DDA" w:rsidP="00DB5EE4">
      <w:pPr>
        <w:pStyle w:val="SingleTxt"/>
        <w:spacing w:after="180" w:line="332" w:lineRule="exact"/>
        <w:rPr>
          <w:rFonts w:hint="eastAsia"/>
        </w:rPr>
      </w:pPr>
      <w:r>
        <w:rPr>
          <w:rFonts w:hint="eastAsia"/>
        </w:rPr>
        <w:t>21.</w:t>
      </w:r>
      <w:r>
        <w:tab/>
      </w:r>
      <w:r>
        <w:rPr>
          <w:rFonts w:hint="eastAsia"/>
        </w:rPr>
        <w:t>请告知委员会，缔约国报告第110段所述最近妇女健康与性别分析局与妇女保健方案高级研究中心联合举办的讲习班的主要结论和建议。另外，请说明妇女健康指数举措如何有助于将性别视角纳入范围更广的健康指数的制定工作和报告系统，缩小健康方面的差异及改善妇女健康状况。</w:t>
      </w:r>
    </w:p>
    <w:p w:rsidR="00554DDA" w:rsidRPr="00554DDA" w:rsidRDefault="00554DDA" w:rsidP="00554DDA">
      <w:pPr>
        <w:pStyle w:val="SingleTxt"/>
        <w:rPr>
          <w:rFonts w:ascii="SimHei" w:eastAsia="SimHei" w:hint="eastAsia"/>
          <w:color w:val="FF0000"/>
        </w:rPr>
      </w:pPr>
      <w:r w:rsidRPr="00554DDA">
        <w:rPr>
          <w:rFonts w:ascii="SimHei" w:eastAsia="SimHei" w:hint="eastAsia"/>
          <w:color w:val="FF0000"/>
        </w:rPr>
        <w:t>处于弱势的妇女；少数族裔妇女、移民妇女和难民妇女</w:t>
      </w:r>
    </w:p>
    <w:p w:rsidR="00554DDA" w:rsidRDefault="00554DDA" w:rsidP="00554DDA">
      <w:pPr>
        <w:pStyle w:val="SingleTxt"/>
        <w:rPr>
          <w:rFonts w:hint="eastAsia"/>
        </w:rPr>
      </w:pPr>
      <w:r>
        <w:rPr>
          <w:rFonts w:hint="eastAsia"/>
        </w:rPr>
        <w:t>22.</w:t>
      </w:r>
      <w:r>
        <w:tab/>
      </w:r>
      <w:r>
        <w:rPr>
          <w:rFonts w:hint="eastAsia"/>
        </w:rPr>
        <w:t>鉴于贫穷妇女百分比很高，尤其是独居的老年妇女、单身母亲、土著妇女、老年妇女、有色人种妇女、移民妇女以及残疾妇女，请说明是否对扶贫措施的性别影响进行了评估，采取了哪些措施以消除妇女贫穷现象，尤其是弱势群体妇女的贫穷现象。请提供按性别分列的各群体的数据。</w:t>
      </w:r>
    </w:p>
    <w:p w:rsidR="00554DDA" w:rsidRDefault="00554DDA" w:rsidP="00554DDA">
      <w:pPr>
        <w:pStyle w:val="SingleTxt"/>
        <w:rPr>
          <w:rFonts w:hint="eastAsia"/>
        </w:rPr>
      </w:pPr>
      <w:r>
        <w:rPr>
          <w:rFonts w:hint="eastAsia"/>
        </w:rPr>
        <w:t>23.</w:t>
      </w:r>
      <w:r>
        <w:tab/>
      </w:r>
      <w:r>
        <w:rPr>
          <w:rFonts w:hint="eastAsia"/>
        </w:rPr>
        <w:t>关于社会援助住房方面采取的措施，请告知委员会，是否进行了有关分析，了解这类措施对包括无家可归妇女和女童在内的弱势群体妇女的与性别有关的影响，或者，是否根据适当住房问题特别报告员2007年10月访问加拿大之后提出的临时建议，采取了任何其他措施，以确保弱势妇女有机会得到安全、价格可承受的住房。</w:t>
      </w:r>
    </w:p>
    <w:p w:rsidR="00554DDA" w:rsidRDefault="00554DDA" w:rsidP="00DB5EE4">
      <w:pPr>
        <w:pStyle w:val="SingleTxt"/>
        <w:spacing w:line="332" w:lineRule="exact"/>
        <w:rPr>
          <w:rFonts w:hint="eastAsia"/>
        </w:rPr>
      </w:pPr>
      <w:r>
        <w:rPr>
          <w:rFonts w:hint="eastAsia"/>
        </w:rPr>
        <w:t>24</w:t>
      </w:r>
      <w:r>
        <w:t>.</w:t>
      </w:r>
      <w:r>
        <w:tab/>
      </w:r>
      <w:r>
        <w:rPr>
          <w:rFonts w:hint="eastAsia"/>
        </w:rPr>
        <w:t>委员会于2003年通过的结论意见</w:t>
      </w:r>
      <w:r>
        <w:rPr>
          <w:rStyle w:val="FootnoteReference"/>
        </w:rPr>
        <w:footnoteReference w:id="2"/>
      </w:r>
      <w:r>
        <w:rPr>
          <w:rFonts w:hint="eastAsia"/>
        </w:rPr>
        <w:t xml:space="preserve"> 以及2004年12月2日土著人民人权和基本自由状况特别报告员的报告提请注意《印第安法令》产生了某些具有歧视性的效果，包括</w:t>
      </w:r>
      <w:r w:rsidR="00DB5EE4">
        <w:rPr>
          <w:rFonts w:hint="eastAsia"/>
        </w:rPr>
        <w:t>与</w:t>
      </w:r>
      <w:r>
        <w:rPr>
          <w:rFonts w:hint="eastAsia"/>
        </w:rPr>
        <w:t>印第安人地位有关的具体人权问题，例如，如果印第安女子与外族通婚，第二代和第三代子女将丧失保留地成员资格。特别报告员指出，加拿大许多第一民族妇女的状况依然令人十分关切，应作为紧迫问题给以关注。请说明根据委员会2003年结论意见中所提出的建议采取了哪些举措，以解决上述问题并且广泛确保土著妇女在事关自身利益和权利的谈判中具有平等地位。另外，请提供关于法院挑战方案组织现状的最新资料。</w:t>
      </w:r>
    </w:p>
    <w:p w:rsidR="00554DDA" w:rsidRDefault="00554DDA" w:rsidP="00554DDA">
      <w:pPr>
        <w:pStyle w:val="SingleTxt"/>
        <w:rPr>
          <w:rFonts w:hint="eastAsia"/>
        </w:rPr>
      </w:pPr>
      <w:r>
        <w:rPr>
          <w:rFonts w:hint="eastAsia"/>
        </w:rPr>
        <w:t>25.</w:t>
      </w:r>
      <w:r>
        <w:tab/>
      </w:r>
      <w:r>
        <w:rPr>
          <w:rFonts w:hint="eastAsia"/>
        </w:rPr>
        <w:t>缔约国报告（第57段）称，2006年6月，任命一位部长级代表与加拿大土著妇女协会和第一民族大会合作制订一项关于婚姻不动产权利问题的计划，在某些情况下，住在保留地的印第安妇女的这项权利被剥夺。请说明有关磋商的现状，并说明是否提出了任何示范立法提案。</w:t>
      </w:r>
    </w:p>
    <w:p w:rsidR="00554DDA" w:rsidRDefault="00554DDA" w:rsidP="00554DDA">
      <w:pPr>
        <w:pStyle w:val="SingleTxt"/>
        <w:rPr>
          <w:rFonts w:hint="eastAsia"/>
        </w:rPr>
      </w:pPr>
      <w:r>
        <w:rPr>
          <w:rFonts w:hint="eastAsia"/>
        </w:rPr>
        <w:t>26.</w:t>
      </w:r>
      <w:r>
        <w:tab/>
      </w:r>
      <w:r>
        <w:rPr>
          <w:rFonts w:hint="eastAsia"/>
        </w:rPr>
        <w:t>加拿大人权委员会最近对女囚犯的状况表示关切，而且人权委员会在2005年10月通过的结论意见中提出有关建议，请说明是否对关于继续维持女犯监狱雇用男性一线看守人员的做法的决定进行了审查。另外，请说明省一级主管当局是否确保不将被拘留的难民妇女与犯罪分子关押在一起。</w:t>
      </w:r>
    </w:p>
    <w:p w:rsidR="00554DDA" w:rsidRPr="00DB5EE4" w:rsidRDefault="00554DDA" w:rsidP="00554DDA">
      <w:pPr>
        <w:pStyle w:val="SingleTxt"/>
        <w:rPr>
          <w:rFonts w:hint="eastAsia"/>
          <w:spacing w:val="2"/>
        </w:rPr>
      </w:pPr>
      <w:r>
        <w:rPr>
          <w:rFonts w:hint="eastAsia"/>
        </w:rPr>
        <w:t>27.</w:t>
      </w:r>
      <w:r>
        <w:tab/>
      </w:r>
      <w:r w:rsidRPr="00DB5EE4">
        <w:rPr>
          <w:rFonts w:hint="eastAsia"/>
          <w:spacing w:val="2"/>
        </w:rPr>
        <w:t>土著妇女遭受虐待和暴力行为事件发生率高，土著妇女囚犯人数偏多，请说明是否采取措施为执法人员提供文化敏感培训，考虑到土著妇女容易遭受基于性别的暴力行为的具体特点。是否制订了任何举措来培训并雇用土著妇女从事刑罚机构的工作，如果是这样，这类举措在联邦、各省、各领土的实施状况和成果如何？</w:t>
      </w:r>
    </w:p>
    <w:p w:rsidR="00554DDA" w:rsidRPr="00554DDA" w:rsidRDefault="00554DDA" w:rsidP="00554DDA">
      <w:pPr>
        <w:pStyle w:val="SingleTxt"/>
        <w:rPr>
          <w:rFonts w:ascii="SimHei" w:eastAsia="SimHei" w:hint="eastAsia"/>
          <w:color w:val="FF0000"/>
        </w:rPr>
      </w:pPr>
      <w:r w:rsidRPr="00554DDA">
        <w:rPr>
          <w:rFonts w:ascii="SimHei" w:eastAsia="SimHei" w:hint="eastAsia"/>
          <w:color w:val="FF0000"/>
        </w:rPr>
        <w:t>婚姻与家庭生活</w:t>
      </w:r>
    </w:p>
    <w:p w:rsidR="00554DDA" w:rsidRDefault="00554DDA" w:rsidP="00554DDA">
      <w:pPr>
        <w:pStyle w:val="SingleTxt"/>
        <w:rPr>
          <w:rFonts w:hint="eastAsia"/>
        </w:rPr>
      </w:pPr>
      <w:r>
        <w:rPr>
          <w:rFonts w:hint="eastAsia"/>
        </w:rPr>
        <w:t>28</w:t>
      </w:r>
      <w:r>
        <w:t>.</w:t>
      </w:r>
      <w:r>
        <w:tab/>
      </w:r>
      <w:r>
        <w:rPr>
          <w:rFonts w:hint="eastAsia"/>
        </w:rPr>
        <w:t>除了报告所提供的关于儿童保育投资和方法方面的资料以外，请提供关于儿童保育的需求、可获得性及可承受性方面的全国数字以及按省份和领土分列的数据。请说明政府是否考虑进一步提高育儿假福利的可能性，以鼓励更多的父亲利用这样的假期。另外，请告知委员会，是否采取了其他措施来支助家庭并确保男子和妇女都能够同时兼顾工作和家庭生活。</w:t>
      </w:r>
    </w:p>
    <w:p w:rsidR="00EA31C3" w:rsidRDefault="00554DDA" w:rsidP="00554DDA">
      <w:pPr>
        <w:pStyle w:val="SingleTxt"/>
      </w:pPr>
      <w:r>
        <w:rPr>
          <w:rFonts w:hint="eastAsia"/>
        </w:rPr>
        <w:t>29</w:t>
      </w:r>
      <w:r>
        <w:t>.</w:t>
      </w:r>
      <w:r>
        <w:tab/>
      </w:r>
      <w:r>
        <w:rPr>
          <w:rFonts w:hint="eastAsia"/>
        </w:rPr>
        <w:t>经济、社会及文化权利委员会在2006年5月22日关于缔约国第四次和第五次合并定期报告的结论意见中，关切地注意到在被送到寄养中心的儿童中，来自单身母亲为户主的家庭的比例偏高。委员会还感到关切的是，由于住房条件差，妇女继续被迫将子女送到寄养中心。请说明为此采取了哪些措施。</w:t>
      </w:r>
    </w:p>
    <w:p w:rsidR="00554DDA" w:rsidRPr="00554DDA" w:rsidRDefault="00554DDA" w:rsidP="00554DDA">
      <w:pPr>
        <w:pStyle w:val="SingleTxt"/>
        <w:spacing w:after="0" w:line="240" w:lineRule="auto"/>
        <w:rPr>
          <w:sz w:val="20"/>
        </w:rPr>
      </w:pPr>
      <w:r>
        <w:rPr>
          <w:noProof/>
          <w:sz w:val="20"/>
        </w:rPr>
        <w:pict>
          <v:line id="_x0000_s1026" style="position:absolute;left:0;text-align:left;z-index:1;mso-position-horizontal:center" from="0,30pt" to="1in,30pt" strokeweight=".25pt">
            <w10:anchorlock/>
          </v:line>
        </w:pict>
      </w:r>
    </w:p>
    <w:sectPr w:rsidR="00554DDA" w:rsidRPr="00554DDA" w:rsidSect="0067354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6T13:02:00Z" w:initials="Start">
    <w:p w:rsidR="00464178" w:rsidRDefault="0046417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NO&gt;&gt;N0826244C&lt;&lt;ODS JOB NO&gt;&gt;</w:t>
      </w:r>
    </w:p>
    <w:p w:rsidR="00464178" w:rsidRDefault="00464178">
      <w:pPr>
        <w:pStyle w:val="CommentText"/>
      </w:pPr>
      <w:r>
        <w:t>&lt;&lt;ODS DOC SYMBOL1&gt;&gt;CEDAW/C/CAN/Q/7&lt;&lt;ODS DOC SYMBOL1&gt;&gt;</w:t>
      </w:r>
    </w:p>
    <w:p w:rsidR="00464178" w:rsidRDefault="004641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3F6" w:rsidRDefault="00D203F6" w:rsidP="00673541">
      <w:pPr>
        <w:pStyle w:val="Header"/>
      </w:pPr>
      <w:r>
        <w:separator/>
      </w:r>
    </w:p>
  </w:endnote>
  <w:endnote w:type="continuationSeparator" w:id="0">
    <w:p w:rsidR="00D203F6" w:rsidRDefault="00D203F6" w:rsidP="0067354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4178" w:rsidTr="00673541">
      <w:tblPrEx>
        <w:tblCellMar>
          <w:top w:w="0" w:type="dxa"/>
          <w:bottom w:w="0" w:type="dxa"/>
        </w:tblCellMar>
      </w:tblPrEx>
      <w:tc>
        <w:tcPr>
          <w:tcW w:w="5033" w:type="dxa"/>
          <w:shd w:val="clear" w:color="auto" w:fill="auto"/>
        </w:tcPr>
        <w:p w:rsidR="00464178" w:rsidRPr="00673541" w:rsidRDefault="00464178" w:rsidP="00673541">
          <w:pPr>
            <w:pStyle w:val="Footer"/>
            <w:jc w:val="right"/>
            <w:rPr>
              <w:b w:val="0"/>
              <w:w w:val="103"/>
              <w:sz w:val="14"/>
            </w:rPr>
          </w:pPr>
          <w:r>
            <w:rPr>
              <w:b w:val="0"/>
              <w:w w:val="103"/>
              <w:sz w:val="14"/>
            </w:rPr>
            <w:t>08-26244 (C)</w:t>
          </w:r>
        </w:p>
      </w:tc>
      <w:tc>
        <w:tcPr>
          <w:tcW w:w="5033" w:type="dxa"/>
          <w:shd w:val="clear" w:color="auto" w:fill="auto"/>
        </w:tcPr>
        <w:p w:rsidR="00464178" w:rsidRPr="00673541" w:rsidRDefault="00464178" w:rsidP="0067354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0A66E7">
            <w:rPr>
              <w:w w:val="103"/>
              <w:sz w:val="17"/>
            </w:rPr>
            <w:t>4</w:t>
          </w:r>
          <w:r>
            <w:rPr>
              <w:w w:val="103"/>
              <w:sz w:val="17"/>
            </w:rPr>
            <w:fldChar w:fldCharType="end"/>
          </w:r>
        </w:p>
      </w:tc>
    </w:tr>
  </w:tbl>
  <w:p w:rsidR="00464178" w:rsidRPr="00673541" w:rsidRDefault="00464178" w:rsidP="006735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4178" w:rsidTr="00673541">
      <w:tblPrEx>
        <w:tblCellMar>
          <w:top w:w="0" w:type="dxa"/>
          <w:bottom w:w="0" w:type="dxa"/>
        </w:tblCellMar>
      </w:tblPrEx>
      <w:tc>
        <w:tcPr>
          <w:tcW w:w="5033" w:type="dxa"/>
          <w:shd w:val="clear" w:color="auto" w:fill="auto"/>
        </w:tcPr>
        <w:p w:rsidR="00464178" w:rsidRPr="00673541" w:rsidRDefault="00464178" w:rsidP="00673541">
          <w:pPr>
            <w:pStyle w:val="Footer"/>
            <w:jc w:val="right"/>
          </w:pPr>
          <w:r>
            <w:fldChar w:fldCharType="begin"/>
          </w:r>
          <w:r>
            <w:instrText xml:space="preserve"> PAGE  \* MERGEFORMAT </w:instrText>
          </w:r>
          <w:r>
            <w:fldChar w:fldCharType="separate"/>
          </w:r>
          <w:r w:rsidR="000A66E7">
            <w:t>5</w:t>
          </w:r>
          <w:r>
            <w:fldChar w:fldCharType="end"/>
          </w:r>
        </w:p>
      </w:tc>
      <w:tc>
        <w:tcPr>
          <w:tcW w:w="5033" w:type="dxa"/>
          <w:shd w:val="clear" w:color="auto" w:fill="auto"/>
        </w:tcPr>
        <w:p w:rsidR="00464178" w:rsidRPr="00673541" w:rsidRDefault="00464178" w:rsidP="00673541">
          <w:pPr>
            <w:pStyle w:val="Footer"/>
            <w:jc w:val="left"/>
            <w:rPr>
              <w:b w:val="0"/>
              <w:w w:val="103"/>
              <w:sz w:val="14"/>
            </w:rPr>
          </w:pPr>
          <w:r>
            <w:rPr>
              <w:b w:val="0"/>
              <w:w w:val="103"/>
              <w:sz w:val="14"/>
            </w:rPr>
            <w:t>08-26244 (C)</w:t>
          </w:r>
        </w:p>
      </w:tc>
    </w:tr>
  </w:tbl>
  <w:p w:rsidR="00464178" w:rsidRPr="00673541" w:rsidRDefault="00464178" w:rsidP="006735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178" w:rsidRDefault="00464178" w:rsidP="0067354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08-26244 (C)</w:t>
    </w:r>
    <w:r>
      <w:rPr>
        <w:b w:val="0"/>
        <w:sz w:val="21"/>
      </w:rPr>
      <w:fldChar w:fldCharType="end"/>
    </w:r>
    <w:r>
      <w:rPr>
        <w:b w:val="0"/>
        <w:sz w:val="21"/>
      </w:rPr>
      <w:t xml:space="preserve">    2</w:t>
    </w:r>
    <w:r>
      <w:rPr>
        <w:rFonts w:hint="eastAsia"/>
        <w:b w:val="0"/>
        <w:sz w:val="21"/>
      </w:rPr>
      <w:t>5</w:t>
    </w:r>
    <w:r>
      <w:rPr>
        <w:b w:val="0"/>
        <w:sz w:val="21"/>
      </w:rPr>
      <w:t>0308    2</w:t>
    </w:r>
    <w:r>
      <w:rPr>
        <w:rFonts w:hint="eastAsia"/>
        <w:b w:val="0"/>
        <w:sz w:val="21"/>
      </w:rPr>
      <w:t>7</w:t>
    </w:r>
    <w:r>
      <w:rPr>
        <w:b w:val="0"/>
        <w:sz w:val="21"/>
      </w:rPr>
      <w:t>0308</w:t>
    </w:r>
  </w:p>
  <w:p w:rsidR="00464178" w:rsidRPr="00673541" w:rsidRDefault="00464178" w:rsidP="00673541">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*0826244*</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3F6" w:rsidRPr="00554DDA" w:rsidRDefault="00D203F6" w:rsidP="00554DDA">
      <w:pPr>
        <w:pStyle w:val="Footer"/>
        <w:spacing w:after="80"/>
        <w:ind w:left="792"/>
        <w:rPr>
          <w:sz w:val="16"/>
        </w:rPr>
      </w:pPr>
      <w:r w:rsidRPr="00554DDA">
        <w:rPr>
          <w:sz w:val="16"/>
        </w:rPr>
        <w:t>__________________</w:t>
      </w:r>
    </w:p>
  </w:footnote>
  <w:footnote w:type="continuationSeparator" w:id="0">
    <w:p w:rsidR="00D203F6" w:rsidRPr="00554DDA" w:rsidRDefault="00D203F6" w:rsidP="00554DDA">
      <w:pPr>
        <w:pStyle w:val="Footer"/>
        <w:spacing w:after="80"/>
        <w:ind w:left="792"/>
        <w:rPr>
          <w:sz w:val="16"/>
        </w:rPr>
      </w:pPr>
      <w:r w:rsidRPr="00554DDA">
        <w:rPr>
          <w:sz w:val="16"/>
        </w:rPr>
        <w:t>__________________</w:t>
      </w:r>
    </w:p>
  </w:footnote>
  <w:footnote w:id="1">
    <w:p w:rsidR="00464178" w:rsidRPr="00554DDA" w:rsidRDefault="00464178" w:rsidP="00554DDA">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r>
      <w:r w:rsidRPr="00554DDA">
        <w:rPr>
          <w:rFonts w:hint="eastAsia"/>
        </w:rPr>
        <w:t>本报告未经正式编辑。</w:t>
      </w:r>
    </w:p>
  </w:footnote>
  <w:footnote w:id="2">
    <w:p w:rsidR="00464178" w:rsidRPr="00554DDA" w:rsidRDefault="00464178" w:rsidP="00554D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4DDA">
        <w:rPr>
          <w:rFonts w:hint="eastAsia"/>
        </w:rPr>
        <w:t>见《大会正式记录，第五十八届会议，补编第38号》（A/58/38）第一部分，第361段和362段。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64178" w:rsidTr="00673541">
      <w:tblPrEx>
        <w:tblCellMar>
          <w:top w:w="0" w:type="dxa"/>
          <w:bottom w:w="0" w:type="dxa"/>
        </w:tblCellMar>
      </w:tblPrEx>
      <w:trPr>
        <w:trHeight w:hRule="exact" w:val="864"/>
      </w:trPr>
      <w:tc>
        <w:tcPr>
          <w:tcW w:w="4838" w:type="dxa"/>
          <w:shd w:val="clear" w:color="auto" w:fill="auto"/>
          <w:vAlign w:val="bottom"/>
        </w:tcPr>
        <w:p w:rsidR="00464178" w:rsidRPr="00673541" w:rsidRDefault="00464178" w:rsidP="0067354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CEDAW/C/CAN/Q/7</w:t>
          </w:r>
          <w:r>
            <w:rPr>
              <w:b/>
              <w:sz w:val="17"/>
            </w:rPr>
            <w:fldChar w:fldCharType="end"/>
          </w:r>
        </w:p>
      </w:tc>
      <w:tc>
        <w:tcPr>
          <w:tcW w:w="5033" w:type="dxa"/>
          <w:shd w:val="clear" w:color="auto" w:fill="auto"/>
          <w:vAlign w:val="bottom"/>
        </w:tcPr>
        <w:p w:rsidR="00464178" w:rsidRDefault="00464178" w:rsidP="00673541">
          <w:pPr>
            <w:pStyle w:val="Header"/>
          </w:pPr>
        </w:p>
      </w:tc>
    </w:tr>
  </w:tbl>
  <w:p w:rsidR="00464178" w:rsidRPr="00673541" w:rsidRDefault="00464178" w:rsidP="006735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64178" w:rsidTr="00673541">
      <w:tblPrEx>
        <w:tblCellMar>
          <w:top w:w="0" w:type="dxa"/>
          <w:bottom w:w="0" w:type="dxa"/>
        </w:tblCellMar>
      </w:tblPrEx>
      <w:trPr>
        <w:trHeight w:hRule="exact" w:val="864"/>
      </w:trPr>
      <w:tc>
        <w:tcPr>
          <w:tcW w:w="4838" w:type="dxa"/>
          <w:shd w:val="clear" w:color="auto" w:fill="auto"/>
          <w:vAlign w:val="bottom"/>
        </w:tcPr>
        <w:p w:rsidR="00464178" w:rsidRDefault="00464178" w:rsidP="00673541">
          <w:pPr>
            <w:pStyle w:val="Header"/>
          </w:pPr>
        </w:p>
      </w:tc>
      <w:tc>
        <w:tcPr>
          <w:tcW w:w="5033" w:type="dxa"/>
          <w:shd w:val="clear" w:color="auto" w:fill="auto"/>
          <w:vAlign w:val="bottom"/>
        </w:tcPr>
        <w:p w:rsidR="00464178" w:rsidRPr="00673541" w:rsidRDefault="00464178" w:rsidP="0067354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CEDAW/C/CAN/Q/7</w:t>
          </w:r>
          <w:r>
            <w:rPr>
              <w:b/>
              <w:sz w:val="17"/>
            </w:rPr>
            <w:fldChar w:fldCharType="end"/>
          </w:r>
        </w:p>
      </w:tc>
    </w:tr>
  </w:tbl>
  <w:p w:rsidR="00464178" w:rsidRPr="00673541" w:rsidRDefault="00464178" w:rsidP="006735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64178" w:rsidTr="0067354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64178" w:rsidRDefault="00464178" w:rsidP="00673541">
          <w:pPr>
            <w:pStyle w:val="Header"/>
            <w:spacing w:after="120"/>
          </w:pPr>
        </w:p>
      </w:tc>
      <w:tc>
        <w:tcPr>
          <w:tcW w:w="1872" w:type="dxa"/>
          <w:tcBorders>
            <w:bottom w:val="single" w:sz="4" w:space="0" w:color="auto"/>
          </w:tcBorders>
          <w:shd w:val="clear" w:color="auto" w:fill="auto"/>
          <w:vAlign w:val="bottom"/>
        </w:tcPr>
        <w:p w:rsidR="00464178" w:rsidRPr="00673541" w:rsidRDefault="00464178" w:rsidP="0067354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64178" w:rsidRDefault="00464178" w:rsidP="00673541">
          <w:pPr>
            <w:pStyle w:val="Header"/>
            <w:spacing w:after="120"/>
          </w:pPr>
        </w:p>
      </w:tc>
      <w:tc>
        <w:tcPr>
          <w:tcW w:w="6523" w:type="dxa"/>
          <w:gridSpan w:val="3"/>
          <w:tcBorders>
            <w:bottom w:val="single" w:sz="4" w:space="0" w:color="auto"/>
          </w:tcBorders>
          <w:shd w:val="clear" w:color="auto" w:fill="auto"/>
          <w:vAlign w:val="bottom"/>
        </w:tcPr>
        <w:p w:rsidR="00464178" w:rsidRPr="00673541" w:rsidRDefault="00464178" w:rsidP="00673541">
          <w:pPr>
            <w:spacing w:after="80" w:line="240" w:lineRule="auto"/>
            <w:jc w:val="right"/>
            <w:rPr>
              <w:rFonts w:ascii="Times New Roman"/>
              <w:position w:val="-4"/>
            </w:rPr>
          </w:pPr>
          <w:r>
            <w:rPr>
              <w:rFonts w:ascii="Times New Roman"/>
              <w:position w:val="-4"/>
              <w:sz w:val="40"/>
            </w:rPr>
            <w:t>CEDAW</w:t>
          </w:r>
          <w:r>
            <w:rPr>
              <w:rFonts w:ascii="Times New Roman"/>
              <w:position w:val="-4"/>
            </w:rPr>
            <w:t>/C/CAN/Q/7</w:t>
          </w:r>
        </w:p>
      </w:tc>
    </w:tr>
    <w:tr w:rsidR="00464178" w:rsidRPr="00673541" w:rsidTr="006735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64178" w:rsidRDefault="00464178" w:rsidP="0067354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64178" w:rsidRPr="00673541" w:rsidRDefault="00464178" w:rsidP="00673541">
          <w:pPr>
            <w:pStyle w:val="Header"/>
            <w:spacing w:before="109"/>
            <w:ind w:left="-72"/>
          </w:pPr>
        </w:p>
      </w:tc>
      <w:tc>
        <w:tcPr>
          <w:tcW w:w="5227" w:type="dxa"/>
          <w:gridSpan w:val="3"/>
          <w:tcBorders>
            <w:top w:val="single" w:sz="4" w:space="0" w:color="auto"/>
            <w:bottom w:val="single" w:sz="12" w:space="0" w:color="auto"/>
          </w:tcBorders>
          <w:shd w:val="clear" w:color="auto" w:fill="auto"/>
        </w:tcPr>
        <w:p w:rsidR="00464178" w:rsidRPr="00673541" w:rsidRDefault="00464178" w:rsidP="0067354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64178" w:rsidRPr="00673541" w:rsidRDefault="00464178" w:rsidP="00673541">
          <w:pPr>
            <w:pStyle w:val="Header"/>
            <w:spacing w:before="109"/>
          </w:pPr>
        </w:p>
      </w:tc>
      <w:tc>
        <w:tcPr>
          <w:tcW w:w="3180" w:type="dxa"/>
          <w:gridSpan w:val="2"/>
          <w:tcBorders>
            <w:top w:val="single" w:sz="4" w:space="0" w:color="auto"/>
            <w:bottom w:val="single" w:sz="12" w:space="0" w:color="auto"/>
          </w:tcBorders>
          <w:shd w:val="clear" w:color="auto" w:fill="auto"/>
        </w:tcPr>
        <w:p w:rsidR="00464178" w:rsidRDefault="00464178" w:rsidP="00673541">
          <w:pPr>
            <w:spacing w:before="240" w:line="240" w:lineRule="exact"/>
            <w:rPr>
              <w:rFonts w:ascii="Times New Roman"/>
            </w:rPr>
          </w:pPr>
          <w:r>
            <w:rPr>
              <w:rFonts w:ascii="Times New Roman"/>
            </w:rPr>
            <w:t>Distr.: General</w:t>
          </w:r>
        </w:p>
        <w:p w:rsidR="00464178" w:rsidRDefault="00464178" w:rsidP="00673541">
          <w:pPr>
            <w:spacing w:line="240" w:lineRule="exact"/>
            <w:rPr>
              <w:rFonts w:ascii="Times New Roman"/>
            </w:rPr>
          </w:pPr>
          <w:r>
            <w:rPr>
              <w:rFonts w:ascii="Times New Roman"/>
            </w:rPr>
            <w:t>6 March 2008</w:t>
          </w:r>
        </w:p>
        <w:p w:rsidR="00464178" w:rsidRDefault="00464178" w:rsidP="00673541">
          <w:pPr>
            <w:spacing w:line="240" w:lineRule="exact"/>
            <w:rPr>
              <w:rFonts w:ascii="Times New Roman"/>
            </w:rPr>
          </w:pPr>
          <w:r>
            <w:rPr>
              <w:rFonts w:ascii="Times New Roman"/>
            </w:rPr>
            <w:t>Chinese</w:t>
          </w:r>
        </w:p>
        <w:p w:rsidR="00464178" w:rsidRPr="00673541" w:rsidRDefault="00464178" w:rsidP="00673541">
          <w:pPr>
            <w:spacing w:line="240" w:lineRule="exact"/>
            <w:rPr>
              <w:rFonts w:ascii="Times New Roman"/>
            </w:rPr>
          </w:pPr>
          <w:r>
            <w:rPr>
              <w:rFonts w:ascii="Times New Roman"/>
            </w:rPr>
            <w:t>Original: English</w:t>
          </w:r>
        </w:p>
      </w:tc>
    </w:tr>
  </w:tbl>
  <w:p w:rsidR="00464178" w:rsidRPr="00673541" w:rsidRDefault="00464178" w:rsidP="006735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44*"/>
    <w:docVar w:name="CreationDt" w:val="26/03/2008 12:55:05"/>
    <w:docVar w:name="DocCategory" w:val="Doc"/>
    <w:docVar w:name="DocType" w:val="Final"/>
    <w:docVar w:name="FooterJN" w:val="08-26244"/>
    <w:docVar w:name="jobn" w:val="08-26244 (C)"/>
    <w:docVar w:name="jobnDT" w:val="08-26244 (C)   260308"/>
    <w:docVar w:name="jobnDTDT" w:val="08-26244 (C)   260308   260308"/>
    <w:docVar w:name="JobNo" w:val="0826244C"/>
    <w:docVar w:name="OandT" w:val="DONG"/>
    <w:docVar w:name="sss1" w:val="CEDAW/C/CAN/Q/7"/>
    <w:docVar w:name="sss2" w:val="-"/>
    <w:docVar w:name="Symbol1" w:val="CEDAW/C/CAN/Q/7"/>
    <w:docVar w:name="Symbol2" w:val="-"/>
  </w:docVars>
  <w:rsids>
    <w:rsidRoot w:val="002E19CE"/>
    <w:rsid w:val="000125BC"/>
    <w:rsid w:val="00021A2B"/>
    <w:rsid w:val="00037B39"/>
    <w:rsid w:val="00044CA4"/>
    <w:rsid w:val="00045EFE"/>
    <w:rsid w:val="0007337D"/>
    <w:rsid w:val="000758DF"/>
    <w:rsid w:val="00076EB8"/>
    <w:rsid w:val="00095C67"/>
    <w:rsid w:val="000A31F9"/>
    <w:rsid w:val="000A66E7"/>
    <w:rsid w:val="000C1786"/>
    <w:rsid w:val="000D44E4"/>
    <w:rsid w:val="000E240F"/>
    <w:rsid w:val="000E49A4"/>
    <w:rsid w:val="000F1058"/>
    <w:rsid w:val="001113F8"/>
    <w:rsid w:val="001212F9"/>
    <w:rsid w:val="00121328"/>
    <w:rsid w:val="0012708E"/>
    <w:rsid w:val="0013301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13CB0"/>
    <w:rsid w:val="00231575"/>
    <w:rsid w:val="00237FF8"/>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19CE"/>
    <w:rsid w:val="002E66D5"/>
    <w:rsid w:val="002F41E2"/>
    <w:rsid w:val="00320C99"/>
    <w:rsid w:val="003274A9"/>
    <w:rsid w:val="00331221"/>
    <w:rsid w:val="00357578"/>
    <w:rsid w:val="003649EE"/>
    <w:rsid w:val="00371BC6"/>
    <w:rsid w:val="00373A15"/>
    <w:rsid w:val="00394A02"/>
    <w:rsid w:val="003C7B20"/>
    <w:rsid w:val="003E4565"/>
    <w:rsid w:val="003E748F"/>
    <w:rsid w:val="003E7612"/>
    <w:rsid w:val="00414423"/>
    <w:rsid w:val="00415400"/>
    <w:rsid w:val="004411AD"/>
    <w:rsid w:val="004424EF"/>
    <w:rsid w:val="00453BB0"/>
    <w:rsid w:val="00460162"/>
    <w:rsid w:val="004620A8"/>
    <w:rsid w:val="0046417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54DDA"/>
    <w:rsid w:val="0058302A"/>
    <w:rsid w:val="005B7338"/>
    <w:rsid w:val="005C02AB"/>
    <w:rsid w:val="005D0F04"/>
    <w:rsid w:val="005F12F0"/>
    <w:rsid w:val="005F3273"/>
    <w:rsid w:val="005F34A3"/>
    <w:rsid w:val="00610CF2"/>
    <w:rsid w:val="006328DE"/>
    <w:rsid w:val="0064477B"/>
    <w:rsid w:val="006479F1"/>
    <w:rsid w:val="00650BEE"/>
    <w:rsid w:val="006520FA"/>
    <w:rsid w:val="0065377D"/>
    <w:rsid w:val="00657FDB"/>
    <w:rsid w:val="00666F57"/>
    <w:rsid w:val="00673541"/>
    <w:rsid w:val="006740A7"/>
    <w:rsid w:val="00691524"/>
    <w:rsid w:val="006A654B"/>
    <w:rsid w:val="006E2924"/>
    <w:rsid w:val="006E7A26"/>
    <w:rsid w:val="006F0EBD"/>
    <w:rsid w:val="006F2B3D"/>
    <w:rsid w:val="006F6089"/>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15A03"/>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08F7"/>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27B89"/>
    <w:rsid w:val="00C42033"/>
    <w:rsid w:val="00C464DD"/>
    <w:rsid w:val="00C76854"/>
    <w:rsid w:val="00CB2B1E"/>
    <w:rsid w:val="00CC3E8B"/>
    <w:rsid w:val="00CC4E84"/>
    <w:rsid w:val="00CD5641"/>
    <w:rsid w:val="00CE64AC"/>
    <w:rsid w:val="00CF7718"/>
    <w:rsid w:val="00D177F1"/>
    <w:rsid w:val="00D203F6"/>
    <w:rsid w:val="00D323B5"/>
    <w:rsid w:val="00D42ACC"/>
    <w:rsid w:val="00D51DC5"/>
    <w:rsid w:val="00D676D7"/>
    <w:rsid w:val="00D71517"/>
    <w:rsid w:val="00D7168D"/>
    <w:rsid w:val="00D77E75"/>
    <w:rsid w:val="00D874E1"/>
    <w:rsid w:val="00D9586D"/>
    <w:rsid w:val="00DB0932"/>
    <w:rsid w:val="00DB5EE4"/>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4633"/>
    <w:rsid w:val="00F77B3E"/>
    <w:rsid w:val="00F833CB"/>
    <w:rsid w:val="00F87754"/>
    <w:rsid w:val="00F90A4B"/>
    <w:rsid w:val="00F90C56"/>
    <w:rsid w:val="00F9356C"/>
    <w:rsid w:val="00FB1DAC"/>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617</Words>
  <Characters>3519</Characters>
  <Application>Microsoft Office Word</Application>
  <DocSecurity>4</DocSecurity>
  <Lines>29</Lines>
  <Paragraphs>8</Paragraphs>
  <ScaleCrop>false</ScaleCrop>
  <Company>United Nations</Company>
  <LinksUpToDate>false</LinksUpToDate>
  <CharactersWithSpaces>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Lihai.Dong</dc:creator>
  <cp:keywords/>
  <dc:description/>
  <cp:lastModifiedBy>ctpu1</cp:lastModifiedBy>
  <cp:revision>18</cp:revision>
  <cp:lastPrinted>2008-03-27T09:18:00Z</cp:lastPrinted>
  <dcterms:created xsi:type="dcterms:W3CDTF">2008-03-26T11:54:00Z</dcterms:created>
  <dcterms:modified xsi:type="dcterms:W3CDTF">2008-03-27T09:18:00Z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0826244</vt:lpwstr>
  </property>
  <property fmtid="{D5CDD505-2E9C-101B-9397-08002B2CF9AE}" pid="3" name="Symbol1">
    <vt:lpwstr>CEDAW/C/CAN/Q/7</vt:lpwstr>
  </property>
  <property fmtid="{D5CDD505-2E9C-101B-9397-08002B2CF9AE}" pid="4" name="Symbol2">
    <vt:lpwstr/>
  </property>
  <property fmtid="{D5CDD505-2E9C-101B-9397-08002B2CF9AE}" pid="5" name="Translator">
    <vt:lpwstr/>
  </property>
  <property fmtid="{D5CDD505-2E9C-101B-9397-08002B2CF9AE}" pid="6" name="Operator">
    <vt:lpwstr>DONG</vt:lpwstr>
  </property>
  <property fmtid="{D5CDD505-2E9C-101B-9397-08002B2CF9AE}" pid="7" name="DraftPages">
    <vt:lpwstr> </vt:lpwstr>
  </property>
  <property fmtid="{D5CDD505-2E9C-101B-9397-08002B2CF9AE}" pid="8" name="Comment">
    <vt:lpwstr/>
  </property>
</Properties>
</file>