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71° período de sesiones</w:t>
      </w:r>
    </w:p>
    <w:p w:rsidR="00000000" w:rsidRDefault="00000000">
      <w:pPr>
        <w:spacing w:line="240" w:lineRule="auto"/>
        <w:rPr>
          <w:sz w:val="12"/>
        </w:rPr>
      </w:pPr>
    </w:p>
    <w:p w:rsidR="00000000" w:rsidRDefault="00000000">
      <w:pPr>
        <w:pStyle w:val="H23"/>
      </w:pPr>
      <w:r>
        <w:t>Acta resumida de la 1899ª sesión</w:t>
      </w:r>
    </w:p>
    <w:p w:rsidR="00000000" w:rsidRDefault="00000000">
      <w:r>
        <w:t>Celebrada en la Sede, Nueva York, el lunes 19 de marzo de 2001,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 xml:space="preserve">Sr. Bhagwati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40 del Pacto</w:t>
      </w:r>
    </w:p>
    <w:p w:rsidR="00000000" w:rsidRDefault="00000000">
      <w:pPr>
        <w:pStyle w:val="SingleTxt"/>
        <w:suppressAutoHyphens/>
        <w:jc w:val="left"/>
      </w:pPr>
      <w:r>
        <w:tab/>
      </w:r>
      <w:r>
        <w:rPr>
          <w:i/>
        </w:rPr>
        <w:t>Tercer informe periódico de Venezuela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rPr>
          <w:sz w:val="2"/>
        </w:r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50"/>
          <w:tab w:val="left" w:pos="965"/>
          <w:tab w:val="left" w:pos="1440"/>
          <w:tab w:val="left" w:pos="1915"/>
          <w:tab w:val="left" w:pos="2405"/>
          <w:tab w:val="left" w:pos="2880"/>
          <w:tab w:val="left" w:pos="3355"/>
        </w:tabs>
      </w:pPr>
      <w:r>
        <w:tab/>
        <w:t>Examen de los informes presentados por los Estados partes en virtud del artículo 40 del Pacto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Tercer informe periódico de Venezuela </w:t>
      </w:r>
      <w:r>
        <w:rPr>
          <w:i w:val="0"/>
        </w:rPr>
        <w:t>(CCPR/C/VEN/98/3)</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i/>
        </w:rPr>
      </w:pPr>
      <w:r>
        <w:rPr>
          <w:i/>
        </w:rPr>
        <w:t>Por invitación del Presidente, la delegación de Venezuela se sienta a la mesa del Comité.</w:t>
      </w:r>
    </w:p>
    <w:p w:rsidR="00000000" w:rsidRDefault="00000000">
      <w:pPr>
        <w:pStyle w:val="DualTxt"/>
        <w:numPr>
          <w:ilvl w:val="0"/>
          <w:numId w:val="3"/>
        </w:numPr>
        <w:tabs>
          <w:tab w:val="clear" w:pos="960"/>
          <w:tab w:val="left" w:pos="475"/>
          <w:tab w:val="left" w:pos="965"/>
        </w:tabs>
        <w:rPr>
          <w:i/>
        </w:rPr>
      </w:pPr>
      <w:r>
        <w:rPr>
          <w:b/>
        </w:rPr>
        <w:t>El Sr. Avendaño</w:t>
      </w:r>
      <w:r>
        <w:t xml:space="preserve"> (Venezuela), al presentar el te</w:t>
      </w:r>
      <w:r>
        <w:t>r</w:t>
      </w:r>
      <w:r>
        <w:t>cer informe periódico de su país (CCPR/C/VEN/98/3), dice que su Gobierno agradece que el Comité haya a</w:t>
      </w:r>
      <w:r>
        <w:t>c</w:t>
      </w:r>
      <w:r>
        <w:t>cedido a su solicitud de aplazar la presentación del i</w:t>
      </w:r>
      <w:r>
        <w:t>n</w:t>
      </w:r>
      <w:r>
        <w:t>forme para que pudiera prepararse el addendum. Dicho addendum se presentó en octubre de 2000. Venezuela ha abandonado los mitos del Estado liberal y ha e</w:t>
      </w:r>
      <w:r>
        <w:t>m</w:t>
      </w:r>
      <w:r>
        <w:t>prendido la búsqueda de la renovación y la revolución, para la consecución del interés común a través de la justicia social. Su país ha adoptado una nueva Const</w:t>
      </w:r>
      <w:r>
        <w:t>i</w:t>
      </w:r>
      <w:r>
        <w:t>tución, que incorpora de forma plena e inequívoca el respeto de los derechos humanos.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i/>
        </w:rPr>
      </w:pPr>
      <w:r>
        <w:t>La promoción, protección y defensa de los der</w:t>
      </w:r>
      <w:r>
        <w:t>e</w:t>
      </w:r>
      <w:r>
        <w:t>chos humanos se sitúan entre las metas políticas pr</w:t>
      </w:r>
      <w:r>
        <w:t>i</w:t>
      </w:r>
      <w:r>
        <w:t>mordiales del Gobierno y merecen una elevada prior</w:t>
      </w:r>
      <w:r>
        <w:t>i</w:t>
      </w:r>
      <w:r>
        <w:t>dad en la política interna y exterior. Las disposiciones de la nueva Constitución, promulgada el 24 de marzo de 2000, recogen las últimas novedades de la legisl</w:t>
      </w:r>
      <w:r>
        <w:t>a</w:t>
      </w:r>
      <w:r>
        <w:t>ción internacional en materia de derechos humanos y se ajustan a los tratados internacionales ratificados por Venezuela. Esos instrumentos tienen rango constituci</w:t>
      </w:r>
      <w:r>
        <w:t>o</w:t>
      </w:r>
      <w:r>
        <w:t>nal, y por ende los tribunales y otros órganos interg</w:t>
      </w:r>
      <w:r>
        <w:t>u</w:t>
      </w:r>
      <w:r>
        <w:t>bernamentales los aplican d</w:t>
      </w:r>
      <w:r>
        <w:t>i</w:t>
      </w:r>
      <w:r>
        <w:t>rectamente.</w:t>
      </w:r>
    </w:p>
    <w:p w:rsidR="00000000" w:rsidRDefault="00000000">
      <w:pPr>
        <w:pStyle w:val="DualTxt"/>
        <w:numPr>
          <w:ilvl w:val="0"/>
          <w:numId w:val="3"/>
        </w:numPr>
        <w:tabs>
          <w:tab w:val="clear" w:pos="960"/>
          <w:tab w:val="left" w:pos="475"/>
          <w:tab w:val="left" w:pos="965"/>
        </w:tabs>
        <w:rPr>
          <w:i/>
        </w:rPr>
      </w:pPr>
      <w:r>
        <w:t>El Gobierno de Venezuela trata de velar por que todos los ciudadanos se sientan plenamente protegidos en su país y tengan la seguridad de que se investigará, castigará y exigirá reparación en caso de violación de sus derechos humanos. Por ese motivo, los individuos tienen la posibilidad de presentarse ante los tribunales competentes y estar protegidos en el ejercicio de sus derechos y garantías constitucionales, así como los d</w:t>
      </w:r>
      <w:r>
        <w:t>e</w:t>
      </w:r>
      <w:r>
        <w:t>rechos humanos no expresamente estipulados en la Constitución. Además, la Constitución establece la re</w:t>
      </w:r>
      <w:r>
        <w:t>s</w:t>
      </w:r>
      <w:r>
        <w:t>ponsabilidad civil, penal y administrativa de los fu</w:t>
      </w:r>
      <w:r>
        <w:t>n</w:t>
      </w:r>
      <w:r>
        <w:t>cionarios públicos que cometan actos que violen o m</w:t>
      </w:r>
      <w:r>
        <w:t>e</w:t>
      </w:r>
      <w:r>
        <w:t>noscaben los derechos garantizados por la Constit</w:t>
      </w:r>
      <w:r>
        <w:t>u</w:t>
      </w:r>
      <w:r>
        <w:t>ción, así como la responsabilidad de sus superiores, sin que pueda admitirse como excusa las órdenes recibidas de un superior que sean incompatibles con el respeto de los derechos garantiz</w:t>
      </w:r>
      <w:r>
        <w:t>a</w:t>
      </w:r>
      <w:r>
        <w:t>dos.</w:t>
      </w:r>
    </w:p>
    <w:p w:rsidR="00000000" w:rsidRDefault="00000000">
      <w:pPr>
        <w:pStyle w:val="DualTxt"/>
        <w:numPr>
          <w:ilvl w:val="0"/>
          <w:numId w:val="3"/>
        </w:numPr>
        <w:tabs>
          <w:tab w:val="clear" w:pos="960"/>
          <w:tab w:val="left" w:pos="475"/>
          <w:tab w:val="left" w:pos="965"/>
        </w:tabs>
        <w:rPr>
          <w:i/>
        </w:rPr>
      </w:pPr>
      <w:r>
        <w:t>Los particulares también tienen derecho a recabar reparación del Estado por los daños y perjuicios sufr</w:t>
      </w:r>
      <w:r>
        <w:t>i</w:t>
      </w:r>
      <w:r>
        <w:t>dos a raíz de un error, demoras u omisiones judiciales. En lo que respecta a la política carcelaria, los actos de violencia dentro de los establecimientos penitenciarios han disminuido considerablemente, ya que se han m</w:t>
      </w:r>
      <w:r>
        <w:t>e</w:t>
      </w:r>
      <w:r>
        <w:t>jorado las condiciones que antes daban lugar a tales i</w:t>
      </w:r>
      <w:r>
        <w:t>n</w:t>
      </w:r>
      <w:r>
        <w:t>cidentes. El Presidente Chávez, habiendo sufrido pe</w:t>
      </w:r>
      <w:r>
        <w:t>r</w:t>
      </w:r>
      <w:r>
        <w:t>sonalmente las anomalías y deficiencias de larga data en el sistema carcelario, está especialmente interesado en encontrar soluciones rápidas a estos problemas. En ese sentido, se están adoptando medidas correctivas p</w:t>
      </w:r>
      <w:r>
        <w:t>a</w:t>
      </w:r>
      <w:r>
        <w:t>ra la capacitación del personal penitenciario, y se ha creado una División de Inspección para supervisar los establec</w:t>
      </w:r>
      <w:r>
        <w:t>i</w:t>
      </w:r>
      <w:r>
        <w:t>mientos penitenciarios y recibir quejas.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i/>
        </w:rPr>
      </w:pPr>
      <w:r>
        <w:t>La nueva Constitución amplía la definición de a</w:t>
      </w:r>
      <w:r>
        <w:t>l</w:t>
      </w:r>
      <w:r>
        <w:t>gunos derechos. Así pues, el derecho a la integridad f</w:t>
      </w:r>
      <w:r>
        <w:t>í</w:t>
      </w:r>
      <w:r>
        <w:t>sica se ha extendido a la integridad psicológica y m</w:t>
      </w:r>
      <w:r>
        <w:t>o</w:t>
      </w:r>
      <w:r>
        <w:t>ral. El derecho de todos los detenidos a comunicarse con sus familiares y abogados ha quedado incorporado en el derecho al debido proceso, junto con el derecho de los familiares y defensores a mantenerse informados del lugar y los motivos de la detención y verificar el estado físico o psicológico de la persona. Las personas detenidas en flagrante delito deben ser puestas a disp</w:t>
      </w:r>
      <w:r>
        <w:t>o</w:t>
      </w:r>
      <w:r>
        <w:t>sición de un juez dentro de las 48 horas.</w:t>
      </w:r>
    </w:p>
    <w:p w:rsidR="00000000" w:rsidRDefault="00000000">
      <w:pPr>
        <w:pStyle w:val="DualTxt"/>
        <w:numPr>
          <w:ilvl w:val="0"/>
          <w:numId w:val="3"/>
        </w:numPr>
        <w:tabs>
          <w:tab w:val="clear" w:pos="960"/>
          <w:tab w:val="left" w:pos="475"/>
          <w:tab w:val="left" w:pos="965"/>
        </w:tabs>
        <w:rPr>
          <w:i/>
        </w:rPr>
      </w:pPr>
      <w:r>
        <w:t>Las autoridades están obligadas a llevar un regi</w:t>
      </w:r>
      <w:r>
        <w:t>s</w:t>
      </w:r>
      <w:r>
        <w:t>tro público de toda detención realizada, que comprenda el lugar, las fechas y las circunstancias, así como los nombres de los funcionarios públicos que la practic</w:t>
      </w:r>
      <w:r>
        <w:t>a</w:t>
      </w:r>
      <w:r>
        <w:t>ron. Se garantiza el derecho a tener acceso a las pru</w:t>
      </w:r>
      <w:r>
        <w:t>e</w:t>
      </w:r>
      <w:r>
        <w:t>bas y a disponer del tiempo y los medios adecuados p</w:t>
      </w:r>
      <w:r>
        <w:t>a</w:t>
      </w:r>
      <w:r>
        <w:t>ra preparar la defensa, así como el derecho de hábeas corpus, aun en estados de excepción. En ese sentido, conviene observar que la Ley Orgánica sobre Estados de excepción a que se alude en la Disposición Transit</w:t>
      </w:r>
      <w:r>
        <w:t>o</w:t>
      </w:r>
      <w:r>
        <w:t>ria Tercera, No. 2, se está examinando en la Asamblea Nacional y aún no se ha promulgado.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i/>
        </w:rPr>
      </w:pPr>
      <w:r>
        <w:t>La Constitución reconoce la existencia de grupos y comunidades indígenas, su organización social, pol</w:t>
      </w:r>
      <w:r>
        <w:t>í</w:t>
      </w:r>
      <w:r>
        <w:t>tica y económica, usos y costumbres, idiomas, cree</w:t>
      </w:r>
      <w:r>
        <w:t>n</w:t>
      </w:r>
      <w:r>
        <w:t>cias y tradiciones, así como los derechos sobre su h</w:t>
      </w:r>
      <w:r>
        <w:t>á</w:t>
      </w:r>
      <w:r>
        <w:t>bitat y las tierras que ocupaban tradicionalmente. Ta</w:t>
      </w:r>
      <w:r>
        <w:t>m</w:t>
      </w:r>
      <w:r>
        <w:t>bién establece la obligación del Estado de promover un acceso progresivo de los campesinos y los indígenas a la propiedad individual y colectiva de la tierra y a la educación, la salud, la vivienda, la seguridad social, el crédito y la asistencia técnica y empresarial, con miras a elevar sus ingresos y mejorar su calidad de vida. Se reconoce asimismo la facultad de los jefes de los grupos indígenas para ejercer funciones relacionadas con la administración de justicia, de conformidad con sus tradiciones y usos, a condición de que no sean i</w:t>
      </w:r>
      <w:r>
        <w:t>n</w:t>
      </w:r>
      <w:r>
        <w:t>compat</w:t>
      </w:r>
      <w:r>
        <w:t>i</w:t>
      </w:r>
      <w:r>
        <w:t>bles con la Constitución y otras leyes.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i/>
        </w:rPr>
      </w:pPr>
      <w:r>
        <w:t>La incorporación de una perspectiva de género en la Constitución ha mejorado la condición jurídica de la mujer. La Ley de Igualdad de Oportunidades para la Mujer estipula los mismos derechos entre el hombre y la mujer en lo que respecta al derecho al trabajo, la r</w:t>
      </w:r>
      <w:r>
        <w:t>e</w:t>
      </w:r>
      <w:r>
        <w:t>muneración y la seguridad social. Su Gobierno también ha objetado la adopción de medidas que menoscaben la eficacia de los derechos humanos, tales como medidas unilaterales y extraterritoriales, por estimar que son instrumentos de presión política que tiene efectos n</w:t>
      </w:r>
      <w:r>
        <w:t>e</w:t>
      </w:r>
      <w:r>
        <w:t>gativos en amplios sectores de la población y que vi</w:t>
      </w:r>
      <w:r>
        <w:t>o</w:t>
      </w:r>
      <w:r>
        <w:t>lan claramente los principios fundamentales del der</w:t>
      </w:r>
      <w:r>
        <w:t>e</w:t>
      </w:r>
      <w:r>
        <w:t>cho internacional y la Carta de las Naciones Unidas.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i/>
        </w:rPr>
      </w:pPr>
      <w:r>
        <w:t>Venezuela observa todas sus obligaciones asum</w:t>
      </w:r>
      <w:r>
        <w:t>i</w:t>
      </w:r>
      <w:r>
        <w:t>das en virtud de los instrumentos internacionales de d</w:t>
      </w:r>
      <w:r>
        <w:t>e</w:t>
      </w:r>
      <w:r>
        <w:t>rechos humanos en los que es parte. Su Gobierno ha afirmado reiteradamente que acepta la jurisdicción del sistema interamericano de derechos humanos y de las Naciones Unidas. Ha recibido visitas de funcionarios de derechos humanos de las Naciones Unidas a su t</w:t>
      </w:r>
      <w:r>
        <w:t>e</w:t>
      </w:r>
      <w:r>
        <w:t>rritorio y ha establecido un mecanismo para recibir las denuncias de violaciones de derechos humanos de pa</w:t>
      </w:r>
      <w:r>
        <w:t>r</w:t>
      </w:r>
      <w:r>
        <w:t>ticulares y grupos. Por último, su país ha de seguir participando activamente en los foros internacionales tales como la Comisión de Derechos Humanos de las Naciones Unidas, en la que actualmente cumple las funciones de Vicepres</w:t>
      </w:r>
      <w:r>
        <w:t>i</w:t>
      </w:r>
      <w:r>
        <w:t>dente.</w:t>
      </w:r>
    </w:p>
    <w:p w:rsidR="00000000" w:rsidRDefault="00000000">
      <w:pPr>
        <w:pStyle w:val="DualTxt"/>
        <w:numPr>
          <w:ilvl w:val="0"/>
          <w:numId w:val="3"/>
        </w:numPr>
        <w:tabs>
          <w:tab w:val="clear" w:pos="960"/>
          <w:tab w:val="left" w:pos="475"/>
          <w:tab w:val="left" w:pos="965"/>
        </w:tabs>
      </w:pPr>
      <w:r>
        <w:rPr>
          <w:b/>
        </w:rPr>
        <w:t>El Presidente</w:t>
      </w:r>
      <w:r>
        <w:t xml:space="preserve"> dice que, como las respuestas por escrito de la delegación a la lista de preguntas prepar</w:t>
      </w:r>
      <w:r>
        <w:t>a</w:t>
      </w:r>
      <w:r>
        <w:t>da por el Comité sólo se recibieron al final de la sem</w:t>
      </w:r>
      <w:r>
        <w:t>a</w:t>
      </w:r>
      <w:r>
        <w:t>na anterior, no ha sido posible traducirlas en los idi</w:t>
      </w:r>
      <w:r>
        <w:t>o</w:t>
      </w:r>
      <w:r>
        <w:t>mas de trabajo, inglés y francés. Es más, tampoco se ha traducido el addendum al informe que el Estado parte presentó al final del año anterior, por motivos que se ignoran. Por consiguiente, pide a la delegación que f</w:t>
      </w:r>
      <w:r>
        <w:t>a</w:t>
      </w:r>
      <w:r>
        <w:t>cilite respuestas por escrito a las preguntas formuladas por los mie</w:t>
      </w:r>
      <w:r>
        <w:t>m</w:t>
      </w:r>
      <w:r>
        <w:t>bros del Comité.</w:t>
      </w:r>
    </w:p>
    <w:p w:rsidR="00000000" w:rsidRDefault="00000000">
      <w:pPr>
        <w:pStyle w:val="DualTxt"/>
        <w:spacing w:after="0" w:line="120" w:lineRule="exact"/>
        <w:rPr>
          <w:i/>
          <w:spacing w:val="3"/>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Lista de preguntas</w:t>
      </w:r>
      <w:r>
        <w:rPr>
          <w:i w:val="0"/>
        </w:rPr>
        <w:t xml:space="preserve"> (CCPR/71/L/VEN)</w:t>
      </w:r>
    </w:p>
    <w:p w:rsidR="00000000" w:rsidRDefault="00000000">
      <w:pPr>
        <w:pStyle w:val="DualTxt"/>
        <w:keepNext/>
        <w:keepLine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Marco constitucional y marco jurídico en que se aplica el Pacto y el Protocolo Facultativo </w:t>
      </w:r>
      <w:r>
        <w:rPr>
          <w:i w:val="0"/>
        </w:rPr>
        <w:t>(artículo 2 del Pacto)</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3"/>
        </w:numPr>
        <w:tabs>
          <w:tab w:val="clear" w:pos="960"/>
          <w:tab w:val="left" w:pos="475"/>
          <w:tab w:val="left" w:pos="965"/>
          <w:tab w:val="left" w:pos="1440"/>
          <w:tab w:val="left" w:pos="1915"/>
          <w:tab w:val="left" w:pos="2405"/>
          <w:tab w:val="left" w:pos="2880"/>
          <w:tab w:val="left" w:pos="3355"/>
        </w:tabs>
      </w:pPr>
      <w:r>
        <w:rPr>
          <w:b/>
        </w:rPr>
        <w:t>El Presidente</w:t>
      </w:r>
      <w:r>
        <w:rPr>
          <w:i/>
        </w:rPr>
        <w:t xml:space="preserve"> </w:t>
      </w:r>
      <w:r>
        <w:t>lee las preguntas relativas al art</w:t>
      </w:r>
      <w:r>
        <w:t>í</w:t>
      </w:r>
      <w:r>
        <w:t>culo 2: cambios que contiene la nueva Constitución en materia de derechos humanos; funcionamiento de la Defensoría del Pueblo (Ombudsman) y número de d</w:t>
      </w:r>
      <w:r>
        <w:t>e</w:t>
      </w:r>
      <w:r>
        <w:t>nuncias recibidas desde que comenzó a funcionar; la relación entre la Comisión Nacional de Derechos H</w:t>
      </w:r>
      <w:r>
        <w:t>u</w:t>
      </w:r>
      <w:r>
        <w:t>manos y el Defensor del Pueblo; límites constitucion</w:t>
      </w:r>
      <w:r>
        <w:t>a</w:t>
      </w:r>
      <w:r>
        <w:t>les y legales para la promulgación de leyes habilitantes que autorizan los decretos con fuerza de ley; formas de control del ejercicio de la responsabilidad presidencial para la promulgación de esos decretos; maneras en que se garantiza la independencia del poder judicial; info</w:t>
      </w:r>
      <w:r>
        <w:t>r</w:t>
      </w:r>
      <w:r>
        <w:t>mación sobre los procedimientos de suspensión y rev</w:t>
      </w:r>
      <w:r>
        <w:t>o</w:t>
      </w:r>
      <w:r>
        <w:t>cación de jueces, incluidos los miembros de la Corte Suprema; casos en que las disposiciones del Pacto se hayan invocado directamente ante órganos del Estado, en particular los tribunales, se hayan mencionado en decisiones judiciales, o se hayan aplicado con prev</w:t>
      </w:r>
      <w:r>
        <w:t>a</w:t>
      </w:r>
      <w:r>
        <w:t>lencia sobre las disposiciones contrarias de la legisl</w:t>
      </w:r>
      <w:r>
        <w:t>a</w:t>
      </w:r>
      <w:r>
        <w:t>ción nacional, y rango del Pacto en el ordenamiento j</w:t>
      </w:r>
      <w:r>
        <w:t>u</w:t>
      </w:r>
      <w:r>
        <w:t>rídico interno.</w:t>
      </w:r>
    </w:p>
    <w:p w:rsidR="00000000" w:rsidRDefault="00000000">
      <w:pPr>
        <w:pStyle w:val="DualTxt"/>
        <w:numPr>
          <w:ilvl w:val="0"/>
          <w:numId w:val="3"/>
        </w:numPr>
        <w:tabs>
          <w:tab w:val="clear" w:pos="960"/>
          <w:tab w:val="left" w:pos="475"/>
          <w:tab w:val="left" w:pos="965"/>
        </w:tabs>
      </w:pPr>
      <w:r>
        <w:rPr>
          <w:b/>
        </w:rPr>
        <w:t>El Sr. Avendaño</w:t>
      </w:r>
      <w:r>
        <w:t xml:space="preserve"> (Venezuela) dice que las gara</w:t>
      </w:r>
      <w:r>
        <w:t>n</w:t>
      </w:r>
      <w:r>
        <w:t>tías constitucionales en materia de derechos humanos a las que se ha referido anteriormente también incluyen la garantía de limitación jurídica, lo que significa que sólo pueden modificarse mediante una ley válida del Congreso. Los artículos 30 y 31 de la Constitución e</w:t>
      </w:r>
      <w:r>
        <w:t>s</w:t>
      </w:r>
      <w:r>
        <w:t>tipulan que un Estado tiene la obligación de investigar y castigar las violaciones de los derechos humanos c</w:t>
      </w:r>
      <w:r>
        <w:t>o</w:t>
      </w:r>
      <w:r>
        <w:t>metidas por las autoridades estatales y ofrecer repar</w:t>
      </w:r>
      <w:r>
        <w:t>a</w:t>
      </w:r>
      <w:r>
        <w:t>ción a las víctimas, incluso mediante el pago de daños y perjuicios. El artículo 31 garantiza el acceso a los ó</w:t>
      </w:r>
      <w:r>
        <w:t>r</w:t>
      </w:r>
      <w:r>
        <w:t>ganos internacionales de protección de los derechos humanos.</w:t>
      </w:r>
    </w:p>
    <w:p w:rsidR="00000000" w:rsidRDefault="00000000">
      <w:pPr>
        <w:pStyle w:val="DualTxt"/>
        <w:numPr>
          <w:ilvl w:val="0"/>
          <w:numId w:val="3"/>
        </w:numPr>
        <w:tabs>
          <w:tab w:val="clear" w:pos="960"/>
          <w:tab w:val="left" w:pos="475"/>
          <w:tab w:val="left" w:pos="965"/>
        </w:tabs>
      </w:pPr>
      <w:r>
        <w:t>La Constitución incluye mecanismos para supr</w:t>
      </w:r>
      <w:r>
        <w:t>i</w:t>
      </w:r>
      <w:r>
        <w:t>mir la impunidad, prevenir y castigar la tortura y des</w:t>
      </w:r>
      <w:r>
        <w:t>a</w:t>
      </w:r>
      <w:r>
        <w:t>pariciones forzadas (artículo 45 de la nueva Constit</w:t>
      </w:r>
      <w:r>
        <w:t>u</w:t>
      </w:r>
      <w:r>
        <w:t>ción), impartir capacitación a las fuerzas de seguridad para que respeten los derechos humanos, conferir a los tribunales</w:t>
      </w:r>
      <w:r>
        <w:rPr>
          <w:spacing w:val="0"/>
        </w:rPr>
        <w:t xml:space="preserve"> civiles competencia exclusiva sobre los delitos que abarquen violaciones de los derechos humanos, lim</w:t>
      </w:r>
      <w:r>
        <w:rPr>
          <w:spacing w:val="0"/>
        </w:rPr>
        <w:t>i</w:t>
      </w:r>
      <w:r>
        <w:rPr>
          <w:spacing w:val="0"/>
        </w:rPr>
        <w:t>tar el ámbito de competencia de los tribunales militares y establecer la prohibición absoluta de la pena de mue</w:t>
      </w:r>
      <w:r>
        <w:rPr>
          <w:spacing w:val="0"/>
        </w:rPr>
        <w:t>r</w:t>
      </w:r>
      <w:r>
        <w:rPr>
          <w:spacing w:val="0"/>
        </w:rPr>
        <w:t>te. Se asigna prioridad a la educación e información</w:t>
      </w:r>
      <w:r>
        <w:t xml:space="preserve"> en materia de derechos humanos y la necesidad de est</w:t>
      </w:r>
      <w:r>
        <w:t>a</w:t>
      </w:r>
      <w:r>
        <w:t>blecer instituciones nacionales para la promoción y protección de esos derechos.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funcionarios públicos están sujetos a la prohibición de utilizar armas o sustancias tóxicas, para impedir que puedan causarse sufrimientos humanos. Se garantiza la independencia del poder judicial y la Corte Suprema. Los magistrados tienen acceso a una carrera en el poder judicial por conducto de oposiciones públ</w:t>
      </w:r>
      <w:r>
        <w:t>i</w:t>
      </w:r>
      <w:r>
        <w:t>cas competitivas, y son seleccionados por grupos de expertos en la forma prevista por la ley. El artículo 19 de la Constitución establece el principio de la igualdad ante la ley, por el que se prohíbe todo tipo de discrim</w:t>
      </w:r>
      <w:r>
        <w:t>i</w:t>
      </w:r>
      <w:r>
        <w:t>nación basada en la raza, el sexo, el credo, la condición social u otros motivos. El artículo 23 de la Constit</w:t>
      </w:r>
      <w:r>
        <w:t>u</w:t>
      </w:r>
      <w:r>
        <w:t>ción estipula que los tratados relativos a derechos h</w:t>
      </w:r>
      <w:r>
        <w:t>u</w:t>
      </w:r>
      <w:r>
        <w:t>manos suscritos y ratificados por su Gobierno tienen jerarquía constitucional y prevalecen en el orden inte</w:t>
      </w:r>
      <w:r>
        <w:t>r</w:t>
      </w:r>
      <w:r>
        <w:t>no, en la medida en que contengan disposiciones más favorables a las establecidas por la Constitución y otras leyes.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artículo 46 prohíbe someter a una persona a experimentos científicos o exámenes médicos, sin su libre consentimiento. El artículo 54 prohibe la esclav</w:t>
      </w:r>
      <w:r>
        <w:t>i</w:t>
      </w:r>
      <w:r>
        <w:t>tud, la servidumbre y la trata de personas. Si bien la Constitución no prohibe específicamente las ejecuci</w:t>
      </w:r>
      <w:r>
        <w:t>o</w:t>
      </w:r>
      <w:r>
        <w:t>nes extrajudiciales, sumarias o arbitrarias, algunos art</w:t>
      </w:r>
      <w:r>
        <w:t>í</w:t>
      </w:r>
      <w:r>
        <w:t>culos hacen referencia a la cuestión, especialmente el artículo 43, que dispone que el derecho a la vida es i</w:t>
      </w:r>
      <w:r>
        <w:t>n</w:t>
      </w:r>
      <w:r>
        <w:t>violable, y que ninguna ley podrá establecer la pena de muerte, ni autoridad alguna podrá aplicarla. Además, otros artículos especifican que la enumeración de der</w:t>
      </w:r>
      <w:r>
        <w:t>e</w:t>
      </w:r>
      <w:r>
        <w:t>chos garantizados en la Constitución no es exhaustiva, y puede ampliarse para incluir todos los derechos inh</w:t>
      </w:r>
      <w:r>
        <w:t>e</w:t>
      </w:r>
      <w:r>
        <w:t>rentes a la persona hum</w:t>
      </w:r>
      <w:r>
        <w:t>a</w:t>
      </w:r>
      <w:r>
        <w:t>na.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que respecta a los niños y adolescentes, el artículo 78 de la Constitución garantiza los derechos contenidos en la Convención de las Naciones Unidas sobre los Derechos del Niño y otros tratados intern</w:t>
      </w:r>
      <w:r>
        <w:t>a</w:t>
      </w:r>
      <w:r>
        <w:t>cionales firmados y ratificados por su Gobierno. Los artículos 87 y 88 garantizan el derecho del trabajo, el artículo 87 indica que uno de los objetivos del Estado es fomentar el empleo. El Estado garantiza los der</w:t>
      </w:r>
      <w:r>
        <w:t>e</w:t>
      </w:r>
      <w:r>
        <w:t>chos laborales para los trabajadores independientes y exige a los empleadores que ofrezcan a los trabajadores condiciones de seguridad, higiene y ambiente de tr</w:t>
      </w:r>
      <w:r>
        <w:t>a</w:t>
      </w:r>
      <w:r>
        <w:t>bajo adecuado. El artículo 88 establece que las amas de casa tienen derecho a la segur</w:t>
      </w:r>
      <w:r>
        <w:t>i</w:t>
      </w:r>
      <w:r>
        <w:t>dad social.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Disposición Transitoria Tercera de la Const</w:t>
      </w:r>
      <w:r>
        <w:t>i</w:t>
      </w:r>
      <w:r>
        <w:t>tución exige que la Asamblea Nacional, dentro de los primeros seis meses siguientes a su instalación, apruebe una reforma parcial del Código Penal para i</w:t>
      </w:r>
      <w:r>
        <w:t>n</w:t>
      </w:r>
      <w:r>
        <w:t>cluir el delito de desaparición forzada de personas. Mientras no se apruebe esa reforma, se aplicará la Convención Interamericana sobre Desaparición Forz</w:t>
      </w:r>
      <w:r>
        <w:t>a</w:t>
      </w:r>
      <w:r>
        <w:t>da de Personas. La Disposición Transitoria Cuarta ex</w:t>
      </w:r>
      <w:r>
        <w:t>i</w:t>
      </w:r>
      <w:r>
        <w:t>ge a la Asamblea Nacional que dentro del primer año a partir de su instalación apruebe una legislación sobre la sanción de la tortura, ya sea mediante ley especial o r</w:t>
      </w:r>
      <w:r>
        <w:t>e</w:t>
      </w:r>
      <w:r>
        <w:t>forma del Código Penal, y una ley orgánica sobre ref</w:t>
      </w:r>
      <w:r>
        <w:t>u</w:t>
      </w:r>
      <w:r>
        <w:t>giados y asilados, de conformidad con la Constitución y los tratados internacionales ratificados por su G</w:t>
      </w:r>
      <w:r>
        <w:t>o</w:t>
      </w:r>
      <w:r>
        <w:t>bierno sobre la materia.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Defensoría del Pueblo forma parte del Poder Ciudadano, junto con el Ministerio Público y la Co</w:t>
      </w:r>
      <w:r>
        <w:t>n</w:t>
      </w:r>
      <w:r>
        <w:t>traloría General de la República. El régimen de trans</w:t>
      </w:r>
      <w:r>
        <w:t>i</w:t>
      </w:r>
      <w:r>
        <w:t>ción de los órganos del Poder Ciudadano ha finalizado con la designación del Defensor del Pueblo por parte de la Asamblea Nacional y la presentación del proyecto de ley orgánica sobre la Defensoría del Pueblo. Las atribuciones del Defensor del Pueblo, tales como su</w:t>
      </w:r>
      <w:r>
        <w:t>r</w:t>
      </w:r>
      <w:r>
        <w:t>gen del artículo 281 de la Constitución, incluyen la v</w:t>
      </w:r>
      <w:r>
        <w:t>i</w:t>
      </w:r>
      <w:r>
        <w:t>gilancia del respeto de los derechos humanos, la inve</w:t>
      </w:r>
      <w:r>
        <w:t>s</w:t>
      </w:r>
      <w:r>
        <w:t>tigación de las denuncias, la supervisión del funcion</w:t>
      </w:r>
      <w:r>
        <w:t>a</w:t>
      </w:r>
      <w:r>
        <w:t>miento de los servicios públicos, la protección de los derechos e intereses individuales contra las arbitrari</w:t>
      </w:r>
      <w:r>
        <w:t>e</w:t>
      </w:r>
      <w:r>
        <w:t>dades del poder, la presentación de recursos de incon</w:t>
      </w:r>
      <w:r>
        <w:t>s</w:t>
      </w:r>
      <w:r>
        <w:t>titucionalidad, amparo y hábeas corpus, la exhortación al Fiscal General para que intente acciones contra fu</w:t>
      </w:r>
      <w:r>
        <w:t>n</w:t>
      </w:r>
      <w:r>
        <w:t>cionarios públicos responsables de violaciones de los derechos humanos, la defensa de los derechos de los consumidores, la presentación ante los órganos legisl</w:t>
      </w:r>
      <w:r>
        <w:t>a</w:t>
      </w:r>
      <w:r>
        <w:t>tivos locales y nacionales de proyectos de leyes para la protección progresiva de los derechos humanos y el establecimiento de mecanismos de comunicación pe</w:t>
      </w:r>
      <w:r>
        <w:t>r</w:t>
      </w:r>
      <w:r>
        <w:t>manente con los órganos públicos y privados de pr</w:t>
      </w:r>
      <w:r>
        <w:t>o</w:t>
      </w:r>
      <w:r>
        <w:t>tección de los derechos humanos, en los planos naci</w:t>
      </w:r>
      <w:r>
        <w:t>o</w:t>
      </w:r>
      <w:r>
        <w:t>nal e intern</w:t>
      </w:r>
      <w:r>
        <w:t>a</w:t>
      </w:r>
      <w:r>
        <w:t>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Defensoría del Pueblo trata de cumplir su mandato mediante otros métodos de solución de co</w:t>
      </w:r>
      <w:r>
        <w:t>n</w:t>
      </w:r>
      <w:r>
        <w:t>flictos, a saber, la mediación y la conciliación. Sus fu</w:t>
      </w:r>
      <w:r>
        <w:t>n</w:t>
      </w:r>
      <w:r>
        <w:t>ciones básicas son recibir, tramitar e investigar las d</w:t>
      </w:r>
      <w:r>
        <w:t>e</w:t>
      </w:r>
      <w:r>
        <w:t>nuncias, entablar procedimientos judiciales y superv</w:t>
      </w:r>
      <w:r>
        <w:t>i</w:t>
      </w:r>
      <w:r>
        <w:t>sar la administración de justicia. Durante los primeros meses siguientes a su establecimiento, la Defensoría se centró en crear unidades locales para la tramitación de las denuncias.</w:t>
      </w:r>
    </w:p>
    <w:p w:rsidR="00000000" w:rsidRDefault="00000000">
      <w:pPr>
        <w:pStyle w:val="DualTxt"/>
        <w:numPr>
          <w:ilvl w:val="0"/>
          <w:numId w:val="3"/>
        </w:numPr>
        <w:tabs>
          <w:tab w:val="clear" w:pos="960"/>
          <w:tab w:val="left" w:pos="475"/>
          <w:tab w:val="left" w:pos="965"/>
        </w:tabs>
      </w:pPr>
      <w:r>
        <w:t>Un proyecto de ley estipula el establecimiento de Defensorías del Pueblo regionales, a fin de descentral</w:t>
      </w:r>
      <w:r>
        <w:t>i</w:t>
      </w:r>
      <w:r>
        <w:t>zar plenamente las acciones judiciales y extrajudiciales iniciadas sobre la base de denuncias, y para que el D</w:t>
      </w:r>
      <w:r>
        <w:t>e</w:t>
      </w:r>
      <w:r>
        <w:t>fensor del pueblo nacional pueda concentrarse en la coordinación de las políticas generales y específicas y la mediación ante las autoridades públicas y los dir</w:t>
      </w:r>
      <w:r>
        <w:t>i</w:t>
      </w:r>
      <w:r>
        <w:t>gentes institucionales. La Defensoría del Pueblo (O</w:t>
      </w:r>
      <w:r>
        <w:t>m</w:t>
      </w:r>
      <w:r>
        <w:t>budsman) es un órgano complementario e indepe</w:t>
      </w:r>
      <w:r>
        <w:t>n</w:t>
      </w:r>
      <w:r>
        <w:t>diente del Poder Ciudadano, que está al servicio de la población, junto con el Ministerio Público y la Co</w:t>
      </w:r>
      <w:r>
        <w:t>n</w:t>
      </w:r>
      <w:r>
        <w:t>traloría General, y sus funciones abarcan la persuasión, mediación y concili</w:t>
      </w:r>
      <w:r>
        <w:t>a</w:t>
      </w:r>
      <w:r>
        <w:t>ción.</w:t>
      </w:r>
    </w:p>
    <w:p w:rsidR="00000000" w:rsidRDefault="00000000">
      <w:pPr>
        <w:pStyle w:val="DualTxt"/>
        <w:numPr>
          <w:ilvl w:val="0"/>
          <w:numId w:val="3"/>
        </w:numPr>
        <w:tabs>
          <w:tab w:val="clear" w:pos="960"/>
          <w:tab w:val="left" w:pos="475"/>
          <w:tab w:val="left" w:pos="965"/>
        </w:tabs>
      </w:pPr>
      <w:r>
        <w:t>La Comisión Nacional de Derechos Humanos se estableció por Decreto No. 1034 del 24 de enero de 1996, sobre la base de los compromisos ratificados por Venezuela en materia de derechos humanos y en cu</w:t>
      </w:r>
      <w:r>
        <w:t>m</w:t>
      </w:r>
      <w:r>
        <w:t>plimiento de la obligación del poder ejecutivo de trazar planes y programas que promuevan y protejan los der</w:t>
      </w:r>
      <w:r>
        <w:t>e</w:t>
      </w:r>
      <w:r>
        <w:t>chos humanos y vigilar y evaluar su ejercicio. Está compuesto de representantes del Ministerio Público, los Ministerios del Interior y Justicia, Relaciones Ext</w:t>
      </w:r>
      <w:r>
        <w:t>e</w:t>
      </w:r>
      <w:r>
        <w:t>riores, Defensa, Educación, Trabajo, el concejo mun</w:t>
      </w:r>
      <w:r>
        <w:t>i</w:t>
      </w:r>
      <w:r>
        <w:t>cipal principal, el Consejo Nacional de Fronteras y o</w:t>
      </w:r>
      <w:r>
        <w:t>r</w:t>
      </w:r>
      <w:r>
        <w:t>ganizaciones no gube</w:t>
      </w:r>
      <w:r>
        <w:t>r</w:t>
      </w:r>
      <w:r>
        <w:t>namentales.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Si bien el objeto de ambas instituciones es defe</w:t>
      </w:r>
      <w:r>
        <w:t>n</w:t>
      </w:r>
      <w:r>
        <w:t>der los derechos humanos, la Comisión es un órgano sujeto a las directivas del Gobierno, mientras que la Defensoría del Pueblo (Ombudsman) es un órgano a</w:t>
      </w:r>
      <w:r>
        <w:t>u</w:t>
      </w:r>
      <w:r>
        <w:t>tónomo, independiente de los intereses políticos gube</w:t>
      </w:r>
      <w:r>
        <w:t>r</w:t>
      </w:r>
      <w:r>
        <w:t>namentales. Conviene asimismo observar que cuando se estableció la Comisión Nacional de Derechos H</w:t>
      </w:r>
      <w:r>
        <w:t>u</w:t>
      </w:r>
      <w:r>
        <w:t>manos, la Defensoría del Pueblo no existía en el sist</w:t>
      </w:r>
      <w:r>
        <w:t>e</w:t>
      </w:r>
      <w:r>
        <w:t>ma jurídico venezolano, y que la Comisión, aunque s</w:t>
      </w:r>
      <w:r>
        <w:t>i</w:t>
      </w:r>
      <w:r>
        <w:t>gue existiendo, no tiene condición jurídica, debido a una cláusula de la Constitución que la inv</w:t>
      </w:r>
      <w:r>
        <w:t>a</w:t>
      </w:r>
      <w:r>
        <w:t>lida.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virtud de la Constitución, el Presidente puede emitir decretos, sujeto a la autorización de una ley h</w:t>
      </w:r>
      <w:r>
        <w:t>a</w:t>
      </w:r>
      <w:r>
        <w:t>bilitante. Para ser válidos, tales decretos deben ser co</w:t>
      </w:r>
      <w:r>
        <w:t>n</w:t>
      </w:r>
      <w:r>
        <w:t>formes con las disposiciones de la Constitución. La autoridad para administrar justicia emana del pueblo, y la justicia se imparte en nombre de la República, en las condiciones que establece la ley. La Constitución g</w:t>
      </w:r>
      <w:r>
        <w:t>a</w:t>
      </w:r>
      <w:r>
        <w:t>rantiza la plena independencia del poder judicial, e i</w:t>
      </w:r>
      <w:r>
        <w:t>n</w:t>
      </w:r>
      <w:r>
        <w:t>cluye disposiciones que rigen el funcionamiento de la Corte Suprema de Justicia.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artículo 23 de la Constitución establece que los tratados, pactos y convenios sobre derechos humanos firmados</w:t>
      </w:r>
      <w:r>
        <w:rPr>
          <w:spacing w:val="0"/>
        </w:rPr>
        <w:t xml:space="preserve"> y ratificados por Venezuela tienen jerarquía constitucional y prevalecen sobre la legislación nacional, en la medida en que contengan normas sobre el goce y ejercicio de los derechos humanos más favorables a las establecidas en la Constitución o en las leyes nacionales. Estas normas son de </w:t>
      </w:r>
      <w:r>
        <w:t>aplicación directa e inmediata por los tribunales y demás órganos gubern</w:t>
      </w:r>
      <w:r>
        <w:t>a</w:t>
      </w:r>
      <w:r>
        <w:t>mentales.</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Estados de excepción</w:t>
      </w:r>
      <w:r>
        <w:rPr>
          <w:i w:val="0"/>
        </w:rPr>
        <w:t xml:space="preserve"> (a</w:t>
      </w:r>
      <w:r>
        <w:rPr>
          <w:i w:val="0"/>
        </w:rPr>
        <w:t>r</w:t>
      </w:r>
      <w:r>
        <w:rPr>
          <w:i w:val="0"/>
        </w:rPr>
        <w:t>tículo 4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Presidente </w:t>
      </w:r>
      <w:r>
        <w:t>lee la pregunta relativa al artíc</w:t>
      </w:r>
      <w:r>
        <w:t>u</w:t>
      </w:r>
      <w:r>
        <w:t>lo 4: promulgación de la ley orgánica sobre estados de excepción; y normas jurídicas que regulan el estado de excepción en Venezuela.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Avendaño</w:t>
      </w:r>
      <w:r>
        <w:t xml:space="preserve"> (Venezuela) dice que la Const</w:t>
      </w:r>
      <w:r>
        <w:t>i</w:t>
      </w:r>
      <w:r>
        <w:t>tución define las normas que rigen los estados de e</w:t>
      </w:r>
      <w:r>
        <w:t>x</w:t>
      </w:r>
      <w:r>
        <w:t>cepción que puedan crear situaciones que afecten gr</w:t>
      </w:r>
      <w:r>
        <w:t>a</w:t>
      </w:r>
      <w:r>
        <w:t>vemente la seguridad nacional y que justifiquen la adopción de medidas políticas y constit</w:t>
      </w:r>
      <w:r>
        <w:t>u</w:t>
      </w:r>
      <w:r>
        <w:t>cionales.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la vida, la libertad y la seguridad personales y a un juicio imparcial y con las debidas garantías</w:t>
      </w:r>
      <w:r>
        <w:rPr>
          <w:i w:val="0"/>
        </w:rPr>
        <w:t xml:space="preserve"> (artículos 6, 7, 9 y 14 del Pacto)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b/>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i/>
        </w:rPr>
      </w:pPr>
      <w:r>
        <w:rPr>
          <w:b/>
        </w:rPr>
        <w:t xml:space="preserve">El Presidente </w:t>
      </w:r>
      <w:r>
        <w:t>lee las preguntas relativas a los a</w:t>
      </w:r>
      <w:r>
        <w:t>r</w:t>
      </w:r>
      <w:r>
        <w:t>tículos 6, 7, 9 y 14 del Pacto: promulgación de la ley orgánica referente a la tortura; medidas adoptadas para investigar y otorgar reparación en los casos de uso e</w:t>
      </w:r>
      <w:r>
        <w:t>x</w:t>
      </w:r>
      <w:r>
        <w:t>cesivo de la fuerza por parte de la policía o las fuerzas armadas; detalles de las averiguaciones y de sus resu</w:t>
      </w:r>
      <w:r>
        <w:t>l</w:t>
      </w:r>
      <w:r>
        <w:t>tados, procesamientos, e indemnización adjudicada; i</w:t>
      </w:r>
      <w:r>
        <w:t>n</w:t>
      </w:r>
      <w:r>
        <w:t>formación sobre la práctica de la tortura, las investig</w:t>
      </w:r>
      <w:r>
        <w:t>a</w:t>
      </w:r>
      <w:r>
        <w:t>ciones realizadas en casos de tortura y medidas para combatir y eliminar la práctica de la tortura; medidas para reducir la población carcelaria; y competencia t</w:t>
      </w:r>
      <w:r>
        <w:t>e</w:t>
      </w:r>
      <w:r>
        <w:t>rritorial de los tribunales militares y competencia para juzgar civiles.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El</w:t>
      </w:r>
      <w:r>
        <w:rPr>
          <w:b/>
          <w:spacing w:val="0"/>
        </w:rPr>
        <w:t xml:space="preserve"> Sr. Avendaño</w:t>
      </w:r>
      <w:r>
        <w:rPr>
          <w:spacing w:val="0"/>
        </w:rPr>
        <w:t xml:space="preserve"> (Venezuela) dice que, si bien d</w:t>
      </w:r>
      <w:r>
        <w:rPr>
          <w:spacing w:val="0"/>
        </w:rPr>
        <w:t>u</w:t>
      </w:r>
      <w:r>
        <w:rPr>
          <w:spacing w:val="0"/>
        </w:rPr>
        <w:t xml:space="preserve">rante el primer año de instalación de la Asamblea General </w:t>
      </w:r>
      <w:r>
        <w:t>actual no se promulgó ninguna legislación sobre tort</w:t>
      </w:r>
      <w:r>
        <w:t>u</w:t>
      </w:r>
      <w:r>
        <w:t>ra, no hay vacío jurídico porque el delito de tortura está reglamentado en la Constitución, el Código Penal y la Ley para la protección de niños y adole</w:t>
      </w:r>
      <w:r>
        <w:t>s</w:t>
      </w:r>
      <w:r>
        <w:t>centes.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El Sr. Saltrón </w:t>
      </w:r>
      <w:r>
        <w:t>(Venezuela) dice que la Constit</w:t>
      </w:r>
      <w:r>
        <w:t>u</w:t>
      </w:r>
      <w:r>
        <w:t>ción estipula que toda persona puede pedir que se r</w:t>
      </w:r>
      <w:r>
        <w:t>e</w:t>
      </w:r>
      <w:r>
        <w:t>medie una situación jurídica que se haya visto meno</w:t>
      </w:r>
      <w:r>
        <w:t>s</w:t>
      </w:r>
      <w:r>
        <w:t>cabada por error judicial o por una demora u omisión injustificada. Sin embargo, hasta la fecha la legislación de Venezuela no ha abordado la rehabilitación de las víctimas de la tortura o de tratos crueles, inhumanos o degradantes. El nuevo texto constitucional incluye la garantía del Estado de prestar especial atención a las víctimas de esos tratos y de impartir una capacitación pertinente a los profesionales de salud. Venezuela ha promulgado una ley por la que adopta la Convención Interamericana sobre Desapariciones Forzadas de Pe</w:t>
      </w:r>
      <w:r>
        <w:t>r</w:t>
      </w:r>
      <w:r>
        <w:t>sonas y una serie de leyes nacionales concebidas esp</w:t>
      </w:r>
      <w:r>
        <w:t>e</w:t>
      </w:r>
      <w:r>
        <w:t>cíficamente para otorgar reparación a las víctimas de violaciones de sus derechos, En lo que respecta a las desapariciones forzadas de personas ocurridas en Car</w:t>
      </w:r>
      <w:r>
        <w:t>a</w:t>
      </w:r>
      <w:r>
        <w:t>cas durante los acontecimientos de febrero y marzo de 1989, y en el Estado de Vargas en diciembre de 1999, el Ministerio Público llevó a cabo las investigaciones correspondientes a fin de aclarar los hechos y determ</w:t>
      </w:r>
      <w:r>
        <w:t>i</w:t>
      </w:r>
      <w:r>
        <w:t>nar las re</w:t>
      </w:r>
      <w:r>
        <w:t>s</w:t>
      </w:r>
      <w:r>
        <w:t>ponsabilidades.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Venezuela es Estado parte de la Convención Int</w:t>
      </w:r>
      <w:r>
        <w:t>e</w:t>
      </w:r>
      <w:r>
        <w:t>ramericana sobre Derechos Humanos y su orden</w:t>
      </w:r>
      <w:r>
        <w:t>a</w:t>
      </w:r>
      <w:r>
        <w:t>miento jurídico ha incorporado automáticamente el a</w:t>
      </w:r>
      <w:r>
        <w:t>r</w:t>
      </w:r>
      <w:r>
        <w:t>tículo 63 de la Convención, sobre la competencia y funciones de la Corte Interamericana de Derechos H</w:t>
      </w:r>
      <w:r>
        <w:t>u</w:t>
      </w:r>
      <w:r>
        <w:t>manos. También ha firmado y ratificado el Estatuto del Tribunal Penal Internacional.</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 nueva Constitución tipifica por primera vez a la tortura como delito, con lo que atiende a los co</w:t>
      </w:r>
      <w:r>
        <w:t>m</w:t>
      </w:r>
      <w:r>
        <w:t>promisos internacionales asumidos por Venezuela en materia de derechos humanos. Estipula castigos para los autores de tales delitos, así como sus cómplices. Los funcionarios públicos implicados en casos de tort</w:t>
      </w:r>
      <w:r>
        <w:t>u</w:t>
      </w:r>
      <w:r>
        <w:t>ra ya no pueden invocar la obediencia debida a sus s</w:t>
      </w:r>
      <w:r>
        <w:t>u</w:t>
      </w:r>
      <w:r>
        <w:t>periores. En tales casos están obligados a desobed</w:t>
      </w:r>
      <w:r>
        <w:t>e</w:t>
      </w:r>
      <w:r>
        <w:t>cer esas órdenes y presentar la denuncia correspo</w:t>
      </w:r>
      <w:r>
        <w:t>n</w:t>
      </w:r>
      <w:r>
        <w:t>diente. Por consiguiente, la tortura está absolutamente prohibida en Venezuela. El Defensor del Pueblo (O</w:t>
      </w:r>
      <w:r>
        <w:t>m</w:t>
      </w:r>
      <w:r>
        <w:t>budsman) está autorizado a recibir esas denuncias y exhortar a las autoridades a que adopten las medidas jurídicas y administrativas para corregir la situación y castigar a los responsables. Sin embargo, los organi</w:t>
      </w:r>
      <w:r>
        <w:t>s</w:t>
      </w:r>
      <w:r>
        <w:t>mos de investigación penal no disponen de personal s</w:t>
      </w:r>
      <w:r>
        <w:t>u</w:t>
      </w:r>
      <w:r>
        <w:t>ficiente para i</w:t>
      </w:r>
      <w:r>
        <w:t>n</w:t>
      </w:r>
      <w:r>
        <w:t>vestigar el gran número de denuncias.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El nuevo Código de Procedimiento Penal ha m</w:t>
      </w:r>
      <w:r>
        <w:t>o</w:t>
      </w:r>
      <w:r>
        <w:t>dificado radicalmente el sistema procesal, y sustituye el procedimiento escrito e inquisitivo por el sistema oral y acusatorio. Con respecto a la pena de prisión, se ha reducido el período de detención de la persona arrestada en flagrante delito, y el nuevo Código trata de reducir el período de investigación y establecer una d</w:t>
      </w:r>
      <w:r>
        <w:t>i</w:t>
      </w:r>
      <w:r>
        <w:t>ferencia entre delitos graves y delitos leves, a fin de simplificar y racionalizar la administración de justicia penal. En virtud del nuevo proceso acusatorio, la l</w:t>
      </w:r>
      <w:r>
        <w:t>i</w:t>
      </w:r>
      <w:r>
        <w:t>bertad del acusado es la norma, y la detención preve</w:t>
      </w:r>
      <w:r>
        <w:t>n</w:t>
      </w:r>
      <w:r>
        <w:t>tiva es la excepción; por consiguiente, el número de los detenidos se ha reducido susta</w:t>
      </w:r>
      <w:r>
        <w:t>n</w:t>
      </w:r>
      <w:r>
        <w:t>cialmente.</w:t>
      </w:r>
    </w:p>
    <w:p w:rsidR="00000000" w:rsidRDefault="00000000">
      <w:pPr>
        <w:pStyle w:val="DualTxt"/>
        <w:numPr>
          <w:ilvl w:val="0"/>
          <w:numId w:val="18"/>
        </w:numPr>
        <w:tabs>
          <w:tab w:val="clear" w:pos="480"/>
          <w:tab w:val="clear" w:pos="960"/>
          <w:tab w:val="clear" w:pos="1742"/>
          <w:tab w:val="left" w:pos="475"/>
          <w:tab w:val="left" w:pos="965"/>
        </w:tabs>
        <w:ind w:left="0"/>
      </w:pPr>
      <w:r>
        <w:t>La Constitución plasma el derecho al juicio equ</w:t>
      </w:r>
      <w:r>
        <w:t>i</w:t>
      </w:r>
      <w:r>
        <w:t>tativo, que se define como una serie de garantías que protegen a los ciudadanos sometidos a enjuiciamiento. La competencia de los tribunales militares está restri</w:t>
      </w:r>
      <w:r>
        <w:t>n</w:t>
      </w:r>
      <w:r>
        <w:t>gida a los delitos de índole militar. Los delitos ordin</w:t>
      </w:r>
      <w:r>
        <w:t>a</w:t>
      </w:r>
      <w:r>
        <w:t>rios, las violaciones a los derechos humanos y los cr</w:t>
      </w:r>
      <w:r>
        <w:t>í</w:t>
      </w:r>
      <w:r>
        <w:t>menes contra la humanidad deben ser juzgados por tr</w:t>
      </w:r>
      <w:r>
        <w:t>i</w:t>
      </w:r>
      <w:r>
        <w:t>bunales c</w:t>
      </w:r>
      <w:r>
        <w:t>i</w:t>
      </w:r>
      <w:r>
        <w:t>viles.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b/>
        </w:rPr>
      </w:pPr>
      <w:r>
        <w:t xml:space="preserve">Tratamiento de las personas privadas de libertad </w:t>
      </w:r>
      <w:r>
        <w:rPr>
          <w:i w:val="0"/>
        </w:rPr>
        <w:t>(artículo 10)</w:t>
      </w:r>
    </w:p>
    <w:p w:rsidR="00000000" w:rsidRDefault="00000000">
      <w:pPr>
        <w:pStyle w:val="DualTxt"/>
        <w:spacing w:after="0" w:line="120" w:lineRule="exact"/>
        <w:rPr>
          <w:sz w:val="10"/>
        </w:rPr>
      </w:pPr>
    </w:p>
    <w:p w:rsidR="00000000" w:rsidRDefault="00000000">
      <w:pPr>
        <w:pStyle w:val="DualTxt"/>
        <w:numPr>
          <w:ilvl w:val="0"/>
          <w:numId w:val="20"/>
        </w:numPr>
        <w:tabs>
          <w:tab w:val="clear" w:pos="960"/>
          <w:tab w:val="left" w:pos="475"/>
          <w:tab w:val="left" w:pos="965"/>
        </w:tabs>
      </w:pPr>
      <w:r>
        <w:rPr>
          <w:b/>
        </w:rPr>
        <w:t>El Presidente</w:t>
      </w:r>
      <w:r>
        <w:t xml:space="preserve"> lee las preguntas relativas al art</w:t>
      </w:r>
      <w:r>
        <w:t>í</w:t>
      </w:r>
      <w:r>
        <w:t>culo 10: medida en que se han mejorado las malas co</w:t>
      </w:r>
      <w:r>
        <w:t>n</w:t>
      </w:r>
      <w:r>
        <w:t>diciones de encarcelamiento, en lo que respecta a la salud y violencia; medidas adoptadas para que en las cárceles se respeten las Reglas Mínimas para el Trat</w:t>
      </w:r>
      <w:r>
        <w:t>a</w:t>
      </w:r>
      <w:r>
        <w:t>miento de los Reclusos; eficacia de las medidas para hacer frente a los violentos motines en las cárceles y para denunciar los malos tratos en prisión y hacer las averiguaciones correspondientes; eficacia de los pr</w:t>
      </w:r>
      <w:r>
        <w:t>o</w:t>
      </w:r>
      <w:r>
        <w:t>gramas de capacitación del personal penitenciario en materia de derechos humanos; y medidas para que en el caso de menores se tenga en cuenta su edad y la conv</w:t>
      </w:r>
      <w:r>
        <w:t>e</w:t>
      </w:r>
      <w:r>
        <w:t>niencia de promover su reh</w:t>
      </w:r>
      <w:r>
        <w:t>a</w:t>
      </w:r>
      <w:r>
        <w:t>bilitación.</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El Sr. Avendaño</w:t>
      </w:r>
      <w:r>
        <w:t xml:space="preserve"> (Venezuela) dice que una de las situaciones más graves en materia de derechos hum</w:t>
      </w:r>
      <w:r>
        <w:t>a</w:t>
      </w:r>
      <w:r>
        <w:t>nos que ha determinado el nuevo gobierno en las cá</w:t>
      </w:r>
      <w:r>
        <w:t>r</w:t>
      </w:r>
      <w:r>
        <w:t>celes venezolanas es el hacinamiento, problema al que se está haciendo frente desde diversas perspectivas, con la ayuda de varias instituciones internacionales. Se e</w:t>
      </w:r>
      <w:r>
        <w:t>s</w:t>
      </w:r>
      <w:r>
        <w:t>tán construyendo tres nuevos centros penitenciarios, a través de concesiones al sector privado; se ha formul</w:t>
      </w:r>
      <w:r>
        <w:t>a</w:t>
      </w:r>
      <w:r>
        <w:t>do asimismo una propuesta para reestructurar todas las cárceles del país, clasificar a los presos de acuerdo al nivel de riesgo que plantean y establecer pabellones p</w:t>
      </w:r>
      <w:r>
        <w:t>a</w:t>
      </w:r>
      <w:r>
        <w:t>ra delincuentes de 18 a 21 años de edad. Existe una e</w:t>
      </w:r>
      <w:r>
        <w:t>s</w:t>
      </w:r>
      <w:r>
        <w:t>cuela especial para el adiestramiento de guardianes de prisión y se confía en que para 2001 haya 800 dipl</w:t>
      </w:r>
      <w:r>
        <w:t>o</w:t>
      </w:r>
      <w:r>
        <w:t>mados. Se está también inaugurando un nuevo curso para adiestrar a funcionarios penitenci</w:t>
      </w:r>
      <w:r>
        <w:t>a</w:t>
      </w:r>
      <w:r>
        <w:t>rios.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En el último trimestre de 2000 y el primer tr</w:t>
      </w:r>
      <w:r>
        <w:t>i</w:t>
      </w:r>
      <w:r>
        <w:t>mestre de 2001 se observó una disminución de la vi</w:t>
      </w:r>
      <w:r>
        <w:t>o</w:t>
      </w:r>
      <w:r>
        <w:t>lencia en las prisiones, lo que se atribuye a diversos factores. Se han abordado directamente las denuncias y se han encontrado soluciones. Se ha constituido una asociación nacional de familiares de presos para org</w:t>
      </w:r>
      <w:r>
        <w:t>a</w:t>
      </w:r>
      <w:r>
        <w:t>nizar actividades tendentes a pacificar el ambiente de las cárceles y apoyar las denuncias de violaciones de derechos humanos. Se ha reducido el porcentaje de detenciones preventivas; además, algunos presos pu</w:t>
      </w:r>
      <w:r>
        <w:t>e</w:t>
      </w:r>
      <w:r>
        <w:t>den trabajar durante el día, en el marco de la política de rehabilitación. En lo que respecta a los menores, la Ley Orgánica para la protección de niños y adolescentes entró en vigor el 1° de abril de 2000. Desarrolla los principios contenidos en la Convención sobre los Der</w:t>
      </w:r>
      <w:r>
        <w:t>e</w:t>
      </w:r>
      <w:r>
        <w:t>chos del Niño, que Venezuela firmó en 1990, y que i</w:t>
      </w:r>
      <w:r>
        <w:t>n</w:t>
      </w:r>
      <w:r>
        <w:t>cluye entre otras cosas, las disposiciones sobre el si</w:t>
      </w:r>
      <w:r>
        <w:t>s</w:t>
      </w:r>
      <w:r>
        <w:t>tema carcelario para adolescentes.</w:t>
      </w:r>
    </w:p>
    <w:p w:rsidR="00000000" w:rsidRDefault="00000000">
      <w:pPr>
        <w:pStyle w:val="DualTxt"/>
        <w:numPr>
          <w:ilvl w:val="0"/>
          <w:numId w:val="20"/>
        </w:numPr>
        <w:tabs>
          <w:tab w:val="clear" w:pos="960"/>
          <w:tab w:val="left" w:pos="475"/>
          <w:tab w:val="left" w:pos="965"/>
        </w:tabs>
      </w:pPr>
      <w:r>
        <w:rPr>
          <w:b/>
        </w:rPr>
        <w:t xml:space="preserve">El Sr. Solari Yrigoyen </w:t>
      </w:r>
      <w:r>
        <w:t>dice que el Comité rec</w:t>
      </w:r>
      <w:r>
        <w:t>o</w:t>
      </w:r>
      <w:r>
        <w:t>noce el compromiso de Venezuela hacia los derechos humanos y es consciente de las muchas reformas con</w:t>
      </w:r>
      <w:r>
        <w:t>s</w:t>
      </w:r>
      <w:r>
        <w:t>titucionales introducidas en favor de esos derechos; sin embargo, al parecer muchos de los compromisos pla</w:t>
      </w:r>
      <w:r>
        <w:t>s</w:t>
      </w:r>
      <w:r>
        <w:t>mados en la nueva Constitución aún no se ha puesto en práctica. Por ejemplo, el artículo 19 de la Constitución indica que se garantiza</w:t>
      </w:r>
      <w:r>
        <w:rPr>
          <w:spacing w:val="0"/>
        </w:rPr>
        <w:t xml:space="preserve"> a todas las personas el goce y ejercicio de sus derechos humanos. Sería útil que la</w:t>
      </w:r>
      <w:r>
        <w:t xml:space="preserve"> del</w:t>
      </w:r>
      <w:r>
        <w:t>e</w:t>
      </w:r>
      <w:r>
        <w:t>gación explique qué significa que la garantía se otorga de conformidad con el principio de progresiv</w:t>
      </w:r>
      <w:r>
        <w:t>i</w:t>
      </w:r>
      <w:r>
        <w:t>dad.</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La nueva Constitución es uno de los instrumentos más avanzados en el hemisferio en lo que respecta a muchos aspectos de los derechos humanos; por eje</w:t>
      </w:r>
      <w:r>
        <w:t>m</w:t>
      </w:r>
      <w:r>
        <w:t>plo, la inclusión del delito de desaparición forzada de personas, la prevalencia reconocida a la legislación i</w:t>
      </w:r>
      <w:r>
        <w:t>n</w:t>
      </w:r>
      <w:r>
        <w:t>ternacional relativa a los derechos humanos por sobre la legislación nacional, la limitación del uso de la fue</w:t>
      </w:r>
      <w:r>
        <w:t>r</w:t>
      </w:r>
      <w:r>
        <w:t>za por la policía, el establecimiento de la Defensoría del Pueblo (Ombudsman) y la abolición de la pena c</w:t>
      </w:r>
      <w:r>
        <w:t>a</w:t>
      </w:r>
      <w:r>
        <w:t>pital. Sin embargo, la Constitución no prohíbe a las fuerzas armadas que participen en política, si bien r</w:t>
      </w:r>
      <w:r>
        <w:t>e</w:t>
      </w:r>
      <w:r>
        <w:t>serva la jurisdicción del sistema de justicia militar a los delitos militares y, con arreglo al artículo 261, estipula que las violaciones de los derechos humanos y los cr</w:t>
      </w:r>
      <w:r>
        <w:t>í</w:t>
      </w:r>
      <w:r>
        <w:t>menes contra la humanidad deben ser juzgados por tr</w:t>
      </w:r>
      <w:r>
        <w:t>i</w:t>
      </w:r>
      <w:r>
        <w:t>bunales civiles.</w:t>
      </w:r>
    </w:p>
    <w:p w:rsidR="00000000" w:rsidRDefault="00000000">
      <w:pPr>
        <w:pStyle w:val="DualTxt"/>
        <w:numPr>
          <w:ilvl w:val="0"/>
          <w:numId w:val="20"/>
        </w:numPr>
        <w:tabs>
          <w:tab w:val="clear" w:pos="960"/>
          <w:tab w:val="left" w:pos="475"/>
          <w:tab w:val="left" w:pos="965"/>
        </w:tabs>
      </w:pPr>
      <w:r>
        <w:t>Sin embargo, al parecer el ejército no respeta esta norma. El 7 de enero de 2001, Pablo Aure Sánchez fue detenido por el Servicio de Inteligencia Militar por h</w:t>
      </w:r>
      <w:r>
        <w:t>a</w:t>
      </w:r>
      <w:r>
        <w:t>ber criticado a las fuerzas armadas en la prensa, y ac</w:t>
      </w:r>
      <w:r>
        <w:t>u</w:t>
      </w:r>
      <w:r>
        <w:t>sado de difamar al ejército en virtud del Código de Justicia Militar. Desearía saber si el caso del Sr. Aure Sánchez se ha transferido a la justicia civil, como ord</w:t>
      </w:r>
      <w:r>
        <w:t>e</w:t>
      </w:r>
      <w:r>
        <w:t>naron los magistrados, y si está previsto modificar el Código Militar para evitar situaciones similares en el futuro. En lo que respecta a actividades militares en el ámbito civil, pide información sobre el programa de cooperación entre la ciudadanía y las fuerzas arm</w:t>
      </w:r>
      <w:r>
        <w:t>a</w:t>
      </w:r>
      <w:r>
        <w:t>das, denominado Bolívar 2000, y pregunta en qué m</w:t>
      </w:r>
      <w:r>
        <w:t>e</w:t>
      </w:r>
      <w:r>
        <w:t>dida este programa atribuye poderes extraordinarios al ejé</w:t>
      </w:r>
      <w:r>
        <w:t>r</w:t>
      </w:r>
      <w:r>
        <w:t>cito.</w:t>
      </w:r>
    </w:p>
    <w:p w:rsidR="00000000" w:rsidRDefault="00000000">
      <w:pPr>
        <w:pStyle w:val="DualTxt"/>
        <w:numPr>
          <w:ilvl w:val="0"/>
          <w:numId w:val="20"/>
        </w:numPr>
        <w:tabs>
          <w:tab w:val="clear" w:pos="960"/>
          <w:tab w:val="left" w:pos="475"/>
          <w:tab w:val="left" w:pos="965"/>
        </w:tabs>
      </w:pPr>
      <w:r>
        <w:t>La Asamblea Nacional ha emitido un decreto de reorganización del Poder Judicial y, a esos efectos, ha declarado que el Poder Judicial está en situación de e</w:t>
      </w:r>
      <w:r>
        <w:t>x</w:t>
      </w:r>
      <w:r>
        <w:t>cepción y ha anulado la inamovilidad de los magistr</w:t>
      </w:r>
      <w:r>
        <w:t>a</w:t>
      </w:r>
      <w:r>
        <w:t>dos. Sería útil saber cuántos jueces han sido afectados por esta medida, cuántos han sido separados de su ca</w:t>
      </w:r>
      <w:r>
        <w:t>r</w:t>
      </w:r>
      <w:r>
        <w:t>go, cuántos han conservado su cargo, cuántos han sido designados y cuántos nuevos jueces han sido confirm</w:t>
      </w:r>
      <w:r>
        <w:t>a</w:t>
      </w:r>
      <w:r>
        <w:t>dos en los nuevos cargos durante el año de pru</w:t>
      </w:r>
      <w:r>
        <w:t>e</w:t>
      </w:r>
      <w:r>
        <w:t>ba.</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Pregunta de qué manera el tan criticado párrafo 2 del artículo 256 de la Constitución, que deniega a los magistrados el derecho de asociación, puede concilia</w:t>
      </w:r>
      <w:r>
        <w:t>r</w:t>
      </w:r>
      <w:r>
        <w:t>se con el artículo 58 de la misma Constitución, que les otorga ese derecho, así como con el artículo 22 del Pacto. Además, pese al derecho reconocido de los tr</w:t>
      </w:r>
      <w:r>
        <w:t>a</w:t>
      </w:r>
      <w:r>
        <w:t>bajadores a constituir sindicatos (Constitución, art. 95) y a la prevalencia que la Constitución reconoce a los tratados internacionales (art. 23) el Gobierno, en viol</w:t>
      </w:r>
      <w:r>
        <w:t>a</w:t>
      </w:r>
      <w:r>
        <w:t>ción del Convenio No. 87 de la Organización Intern</w:t>
      </w:r>
      <w:r>
        <w:t>a</w:t>
      </w:r>
      <w:r>
        <w:t>cional del Trabajo (OIT) en que Venezuela es parte, celebró a fines de 2000 un referendo, respaldado ult</w:t>
      </w:r>
      <w:r>
        <w:t>e</w:t>
      </w:r>
      <w:r>
        <w:t>riormente por la Suprema Corte, en que se exhortaba al reemplazo de todos los actuales dirigentes sind</w:t>
      </w:r>
      <w:r>
        <w:t>i</w:t>
      </w:r>
      <w:r>
        <w:t>cales.</w:t>
      </w:r>
    </w:p>
    <w:p w:rsidR="00000000" w:rsidRDefault="00000000">
      <w:pPr>
        <w:pStyle w:val="DualTxt"/>
        <w:numPr>
          <w:ilvl w:val="0"/>
          <w:numId w:val="20"/>
        </w:numPr>
        <w:tabs>
          <w:tab w:val="clear" w:pos="960"/>
          <w:tab w:val="left" w:pos="475"/>
          <w:tab w:val="left" w:pos="965"/>
        </w:tabs>
      </w:pPr>
      <w:r>
        <w:t>Pese a que la Constitución condena las ejecuci</w:t>
      </w:r>
      <w:r>
        <w:t>o</w:t>
      </w:r>
      <w:r>
        <w:t>nes extrajudiciales y la impunidad para las fuerzas a</w:t>
      </w:r>
      <w:r>
        <w:t>r</w:t>
      </w:r>
      <w:r>
        <w:t>madas o de seguridad implicadas, en los últimos tres años han ocurrido muchas de esas ejecuciones y des</w:t>
      </w:r>
      <w:r>
        <w:t>a</w:t>
      </w:r>
      <w:r>
        <w:t>pariciones forzadas. Sería útil tener información sobre cuántos casos hubo exactamente, cuántos guardias n</w:t>
      </w:r>
      <w:r>
        <w:t>a</w:t>
      </w:r>
      <w:r>
        <w:t>cionales o miembros de la policía de seguridad fueron enjuiciados por los delitos y cuántos fueron conden</w:t>
      </w:r>
      <w:r>
        <w:t>a</w:t>
      </w:r>
      <w:r>
        <w:t>dos, y qué medidas está adoptando el Gobierno para prevenir esos delitos y los delitos conexos mencion</w:t>
      </w:r>
      <w:r>
        <w:t>a</w:t>
      </w:r>
      <w:r>
        <w:t>dos por la delegación, por ejemplo, la operación pe</w:t>
      </w:r>
      <w:r>
        <w:t>r</w:t>
      </w:r>
      <w:r>
        <w:t>petrada conjuntamente en diciembre de 1999 por un r</w:t>
      </w:r>
      <w:r>
        <w:t>e</w:t>
      </w:r>
      <w:r>
        <w:t>gimiento de las fuerzas armadas y la policía política, a raíz de la cual, según el Ombudsman, se produjeron 60 ejecuciones extrajudiciales y cuatro desapariciones forz</w:t>
      </w:r>
      <w:r>
        <w:t>a</w:t>
      </w:r>
      <w:r>
        <w:t>das.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La prohibición absoluta de la tortura que figura en la Constitución no condice con la ausencia en el Código Penal de una definición de tortura como delito. Pregunta si está previsto revisar el Código Penal en ese sentido. El Gobierno ha reconocido las deplorables condiciones carcelarias en el país y ha adoptado un plan para reducir la violencia, pese al cual el año pas</w:t>
      </w:r>
      <w:r>
        <w:t>a</w:t>
      </w:r>
      <w:r>
        <w:t>do murieron más de 300 personas, y casi 1.500 result</w:t>
      </w:r>
      <w:r>
        <w:t>a</w:t>
      </w:r>
      <w:r>
        <w:t>ron heridas, en el interior de sus cárceles. Pregunta qué medidas urgentes adopta el Gobierno para remediar la situación. Últimamente, se ha criticado la reciente rev</w:t>
      </w:r>
      <w:r>
        <w:t>i</w:t>
      </w:r>
      <w:r>
        <w:t>sión del Código de Procedimiento Penal por no obse</w:t>
      </w:r>
      <w:r>
        <w:t>r</w:t>
      </w:r>
      <w:r>
        <w:t>var los principios del proceso imparcial y la presunción de inocencia, y pregunta si el Gobierno puede asegurar al Comité que de hecho esos derechos se respetan.</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El Sr. Amor</w:t>
      </w:r>
      <w:r>
        <w:t xml:space="preserve"> pide detalles sobre las ejecuci</w:t>
      </w:r>
      <w:r>
        <w:t>o</w:t>
      </w:r>
      <w:r>
        <w:t>nes sumarias o extrajudiciales que se produjeron rea</w:t>
      </w:r>
      <w:r>
        <w:t>l</w:t>
      </w:r>
      <w:r>
        <w:t>mente en el país en los últimos tres años, incluidas las estadísticas de ejecuciones realizadas por la guardia nacional, desapariciones forzadas, investigaciones of</w:t>
      </w:r>
      <w:r>
        <w:t>i</w:t>
      </w:r>
      <w:r>
        <w:t>ciales llevadas a cabo y sus resultados e información sobre los tipos de medidas preventivas establecidas. Pregunta si Venezuela tiene el propósito de incorporar la definición de tortura que figura en el Pacto en sus propias disposiciones jurídicas. En cuanto a las cond</w:t>
      </w:r>
      <w:r>
        <w:t>i</w:t>
      </w:r>
      <w:r>
        <w:t>ciones carcelarias, agradecería más detalles sobre las medidas prácticas que se están adoptando para poner coto a la violencia de los guardianes de cárc</w:t>
      </w:r>
      <w:r>
        <w:t>e</w:t>
      </w:r>
      <w:r>
        <w:t>les.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Toma nota de que la práctica de otorgar daños y perjuicios a las víctimas de violaciones de derechos humanos, en condiciones convenidas por las víctimas y los autores, podría en definitiva conllevar la aplicación de un tipo de justicia relativa y establecer cierta clase de impunidad. Consciente de que en el pasado se dest</w:t>
      </w:r>
      <w:r>
        <w:t>e</w:t>
      </w:r>
      <w:r>
        <w:t>rraron venezolanos de su propio país, pregunta si ha habido otros ejemplos de ese tipo en los últimos tres años. Es encomiable que en la actualidad los e</w:t>
      </w:r>
      <w:r>
        <w:t>m</w:t>
      </w:r>
      <w:r>
        <w:t>pleados de la administración pública tengan el derecho a desobedecer órdenes ilegales, pero no resulta claro si en tales casos se ha abolido, tanto desde el pu</w:t>
      </w:r>
      <w:r>
        <w:t>n</w:t>
      </w:r>
      <w:r>
        <w:t>to de vista jurídico como en la práctica, la inmunidad judicial.</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El Sr. Yalden</w:t>
      </w:r>
      <w:r>
        <w:t>, tomando nota de los mecanismos de supervisión y las muy avanzadas disposiciones constitucionales promulgadas en 1999, dice que está impresionado por el gran número de denuncias recib</w:t>
      </w:r>
      <w:r>
        <w:t>i</w:t>
      </w:r>
      <w:r>
        <w:t>das por el Ombudsman, cuyo mandato presumibl</w:t>
      </w:r>
      <w:r>
        <w:t>e</w:t>
      </w:r>
      <w:r>
        <w:t>mente se extiende a los ministros y funcionarios en el sector público. Sin embargo, no resulta claro si su competencia abarca las actividades de las fuerzas a</w:t>
      </w:r>
      <w:r>
        <w:t>r</w:t>
      </w:r>
      <w:r>
        <w:t>madas o las posibles violaciones en el sector privado, o si los presos pueden presentarle quejas. Sería inter</w:t>
      </w:r>
      <w:r>
        <w:t>e</w:t>
      </w:r>
      <w:r>
        <w:t>sante conocer los fallos pronunciados en las 42 acci</w:t>
      </w:r>
      <w:r>
        <w:t>o</w:t>
      </w:r>
      <w:r>
        <w:t>nes judiciales que, según la delegación, habría incoado el Ombudsman y la tendencia de la jurisprudencia que se está desarrollando. Por último, desearía saber por qué el Ombudsman ya ha sido sustituido, antes del té</w:t>
      </w:r>
      <w:r>
        <w:t>r</w:t>
      </w:r>
      <w:r>
        <w:t>mino de su mandato de siete años.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El Sr. Scheinin</w:t>
      </w:r>
      <w:r>
        <w:t>, tras expresar la esperanza de que Venezuela en el futuro presente sus informes periódicos sin tanta demora, que hace imposible para el Comité evaluar la situación en el país, elogia su nueva Const</w:t>
      </w:r>
      <w:r>
        <w:t>i</w:t>
      </w:r>
      <w:r>
        <w:t>tución. La Constitución dispensa una amplia protección a los derechos fundamentales, desarrolla una doctrina explícita sobre los tipos de derechos, que superan las disposiciones de los instrumentos internacionales de derechos humanos, y da primacía a los instrumentos internacionales por sobre la legislación nacional.</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Sin embargo, persisten algunas lagunas; si bien el artículo 69 de la Constitución reconoce el derecho de asilo, la Constitución en ninguna parte se refiere al d</w:t>
      </w:r>
      <w:r>
        <w:t>e</w:t>
      </w:r>
      <w:r>
        <w:t>recho de no devolución. Pregunta de qué manera Ven</w:t>
      </w:r>
      <w:r>
        <w:t>e</w:t>
      </w:r>
      <w:r>
        <w:t>zuela procedería con una persona que está expuesta al riesgo de muerte o tortura a raíz de su deportación, y si se imparte suficiente capacitación a la policía de fro</w:t>
      </w:r>
      <w:r>
        <w:t>n</w:t>
      </w:r>
      <w:r>
        <w:t>teras en cuanto a las normas de derechos humano. Se han recibido informes inquietantes en relación con el cumplimiento por parte de Venezuela del principio de no devolución, y recuerda que en ausencia de salv</w:t>
      </w:r>
      <w:r>
        <w:t>a</w:t>
      </w:r>
      <w:r>
        <w:t>guardias constitucionales se debe aplicar directamente el artículo 7 del Pacto.</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El debate sobre los estados de excepción que f</w:t>
      </w:r>
      <w:r>
        <w:t>i</w:t>
      </w:r>
      <w:r>
        <w:t>gura en el párrafo 36 del informe indican que Ven</w:t>
      </w:r>
      <w:r>
        <w:t>e</w:t>
      </w:r>
      <w:r>
        <w:t>zuela podría estar utilizando sus atribuciones para rec</w:t>
      </w:r>
      <w:r>
        <w:t>u</w:t>
      </w:r>
      <w:r>
        <w:t>rrir a este tipo de situación de forma más amplia que la autorizada en el artículo 4 del Pacto; en efecto, algunos de los tipos de estados de excepción enunciados en el artículo 338 de la Constitución parecen ser menos gr</w:t>
      </w:r>
      <w:r>
        <w:t>a</w:t>
      </w:r>
      <w:r>
        <w:t>ves que los exigidos en el Pacto. La referencia espec</w:t>
      </w:r>
      <w:r>
        <w:t>í</w:t>
      </w:r>
      <w:r>
        <w:t>fica al Pacto en el artículo 339 de la Constitución, por otra parte, restringiría presumiblemente las medidas admisibles en virtud de la noción de excepción y exig</w:t>
      </w:r>
      <w:r>
        <w:t>i</w:t>
      </w:r>
      <w:r>
        <w:t>ría que toda suspensión de los derechos sea compatible con el Pacto. Desearía que se le aclarara si en la nueva Constitución de hecho se limita el poder para declarar el estado de excepción y la consiguiente suspensión de determinados derechos, de manera que la notificación de un estado de excepción por parte de Venezuela en virtud del artículo 4 del Pacto explique específicamente por qué se justifica el estado de excepción, en qué m</w:t>
      </w:r>
      <w:r>
        <w:t>e</w:t>
      </w:r>
      <w:r>
        <w:t>dida, y de qué manera se ajusta al Pacto.</w:t>
      </w:r>
    </w:p>
    <w:p w:rsidR="00000000" w:rsidRDefault="00000000">
      <w:pPr>
        <w:pStyle w:val="DualTxt"/>
        <w:numPr>
          <w:ilvl w:val="0"/>
          <w:numId w:val="20"/>
        </w:numPr>
        <w:tabs>
          <w:tab w:val="clear" w:pos="960"/>
          <w:tab w:val="left" w:pos="475"/>
          <w:tab w:val="left" w:pos="965"/>
        </w:tabs>
      </w:pPr>
      <w:r>
        <w:rPr>
          <w:b/>
        </w:rPr>
        <w:t>El Sr. Ando</w:t>
      </w:r>
      <w:r>
        <w:t>, tras observar con pesar que el i</w:t>
      </w:r>
      <w:r>
        <w:t>n</w:t>
      </w:r>
      <w:r>
        <w:t>forme se ha presentado con cinco años de demora, pr</w:t>
      </w:r>
      <w:r>
        <w:t>e</w:t>
      </w:r>
      <w:r>
        <w:t>gunta si, cuando esté en duda la constitucionalidad de una legislación habilitante que autorice un decreto pr</w:t>
      </w:r>
      <w:r>
        <w:t>e</w:t>
      </w:r>
      <w:r>
        <w:t>sidencial, es posible llevar el asunto ante los tribunales. Según información de fuentes externas fiables, ha h</w:t>
      </w:r>
      <w:r>
        <w:t>a</w:t>
      </w:r>
      <w:r>
        <w:t>bido recientemente siete casos de devolución de c</w:t>
      </w:r>
      <w:r>
        <w:t>o</w:t>
      </w:r>
      <w:r>
        <w:t>lombianos por parte de Venezuela. Agradecería recibir más información de la delegación en ese sentido y s</w:t>
      </w:r>
      <w:r>
        <w:t>a</w:t>
      </w:r>
      <w:r>
        <w:t>ber si Venezuela, que en el párrafo 202 del informe s</w:t>
      </w:r>
      <w:r>
        <w:t>e</w:t>
      </w:r>
      <w:r>
        <w:t>ñala su adhesión al principio de no devolución, ha su</w:t>
      </w:r>
      <w:r>
        <w:t>s</w:t>
      </w:r>
      <w:r>
        <w:t>crito algún acuerdo de extradición con Colombia, y si ese acuerdo se ajusta a los instrumentos internaci</w:t>
      </w:r>
      <w:r>
        <w:t>o</w:t>
      </w:r>
      <w:r>
        <w:t>nales en que Venezuela es parte. También desea saber si en los casos de extradición alguna vez ha habido v</w:t>
      </w:r>
      <w:r>
        <w:t>i</w:t>
      </w:r>
      <w:r>
        <w:t>sitas in situ de observadores en la frontera.</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Comparte la preocupación del Sr. Solari Yrigoyen en cuanto al reciente referendo nacional sobre los si</w:t>
      </w:r>
      <w:r>
        <w:t>n</w:t>
      </w:r>
      <w:r>
        <w:t>dicatos, y pide de qué manera puede justificarse ese r</w:t>
      </w:r>
      <w:r>
        <w:t>e</w:t>
      </w:r>
      <w:r>
        <w:t>ferendo, habida cuenta de los principios de la libertad sindical esbozados en el informe (párr. 324) y en el a</w:t>
      </w:r>
      <w:r>
        <w:t>r</w:t>
      </w:r>
      <w:r>
        <w:t>tículo 9 del Pacto. Por último, agradecería más info</w:t>
      </w:r>
      <w:r>
        <w:t>r</w:t>
      </w:r>
      <w:r>
        <w:t>mación sobre las medidas adoptadas después de que la Suprema Corte declaró la inconstitucionalidad de v</w:t>
      </w:r>
      <w:r>
        <w:t>a</w:t>
      </w:r>
      <w:r>
        <w:t>rias actuaciones judiciales ante tribunales militares (i</w:t>
      </w:r>
      <w:r>
        <w:t>n</w:t>
      </w:r>
      <w:r>
        <w:t>forme, párr. 209) y sobre los nexos jurisdiccionales que existen entre los tribunales ordinarios y la Suprema Corte.</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El Sr. Klein</w:t>
      </w:r>
      <w:r>
        <w:t xml:space="preserve"> observa que, si bien el informe rec</w:t>
      </w:r>
      <w:r>
        <w:t>o</w:t>
      </w:r>
      <w:r>
        <w:t>noce con sinceridad algunas graves deficiencias en la aplicación del Pacto, en cambio no menciona ningún proyecto para corregirlas. Ello parecería suponer una actitud de resignación frente a las graves violaciones que comenten la policía y otros funcionarios, y confía en que ello cambie con la adopción de la admirable nueva Constitución. Elogia concretamente el artículo 45, relativo a las desapariciones forzadas, como norma muy moderna y muy necesaria en la r</w:t>
      </w:r>
      <w:r>
        <w:t>e</w:t>
      </w:r>
      <w:r>
        <w:t>gión.</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Pregunta si hay algunos actos de órganos estat</w:t>
      </w:r>
      <w:r>
        <w:t>a</w:t>
      </w:r>
      <w:r>
        <w:t>les, tales como las fuerzas armadas o la Presidencia, que gozan de inmunidad judicial. La delegación afirmó que las disposiciones del Pacto podrían invocarse d</w:t>
      </w:r>
      <w:r>
        <w:t>i</w:t>
      </w:r>
      <w:r>
        <w:t>rectamente ante órganos estatales y prevalecían sobre la legislación nacional que estuviera en pugna, pero no indicó si ello ya se había aplicado a la práctica. El E</w:t>
      </w:r>
      <w:r>
        <w:t>s</w:t>
      </w:r>
      <w:r>
        <w:t>tado que informa debe aclarar ese aspecto.</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A continuación se refiere al artículo 9 del Pacto, en relación con el párrafo 122 del informe de Ven</w:t>
      </w:r>
      <w:r>
        <w:t>e</w:t>
      </w:r>
      <w:r>
        <w:t>zuela. La policía ha interpretado el límite máximo de la detención preventiva, en el sentido de que se puede detener a una persona durante ocho días. Si bien la s</w:t>
      </w:r>
      <w:r>
        <w:t>i</w:t>
      </w:r>
      <w:r>
        <w:t>tuación ha cambiado desde el informe de 1999, es dif</w:t>
      </w:r>
      <w:r>
        <w:t>í</w:t>
      </w:r>
      <w:r>
        <w:t>cil comprender por qué la policía no está obligada a observar la ley, lo que es motivo de grave preocup</w:t>
      </w:r>
      <w:r>
        <w:t>a</w:t>
      </w:r>
      <w:r>
        <w:t>ción. Asimismo, el Estado que informa debe explicar en qué momento los individuos pueden ponerse en contacto con sus defensores, familiares o médicos. Con respecto al artículo 19 del Pacto, relativo a la libertad de expresión, estima que la formulación del artículo 58 de la nueva Constitución de Venezuela, en particular la frase relativa a recibir información imparcial, auténtica y oportuna, puede ser peligrosa con respecto a los p</w:t>
      </w:r>
      <w:r>
        <w:t>e</w:t>
      </w:r>
      <w:r>
        <w:t>riodistas y los políticos de la oposición, y sería útil una aclaración al respe</w:t>
      </w:r>
      <w:r>
        <w:t>c</w:t>
      </w:r>
      <w:r>
        <w:t>to.</w:t>
      </w:r>
    </w:p>
    <w:p w:rsidR="00000000" w:rsidRDefault="00000000">
      <w:pPr>
        <w:pStyle w:val="DualTxt"/>
        <w:numPr>
          <w:ilvl w:val="0"/>
          <w:numId w:val="20"/>
        </w:numPr>
        <w:tabs>
          <w:tab w:val="clear" w:pos="960"/>
          <w:tab w:val="left" w:pos="475"/>
          <w:tab w:val="left" w:pos="965"/>
        </w:tabs>
      </w:pPr>
      <w:r>
        <w:rPr>
          <w:b/>
        </w:rPr>
        <w:t>La Sra. Medina Quiroga</w:t>
      </w:r>
      <w:r>
        <w:t xml:space="preserve"> pide información sobre la función de la Comisión Nacional de Derechos H</w:t>
      </w:r>
      <w:r>
        <w:t>u</w:t>
      </w:r>
      <w:r>
        <w:t>manos y su relación con el Ombudsman. Como la C</w:t>
      </w:r>
      <w:r>
        <w:t>o</w:t>
      </w:r>
      <w:r>
        <w:t>misión no tiene atribuciones para invalidar ninguna disposición de la Constitución, agradecería que se le informara cuáles son las verdaderas atribuciones y el modus operandi de ese órgano. Con respecto a las a</w:t>
      </w:r>
      <w:r>
        <w:t>m</w:t>
      </w:r>
      <w:r>
        <w:t>plias facultades que se otorgan al Presidente de la R</w:t>
      </w:r>
      <w:r>
        <w:t>e</w:t>
      </w:r>
      <w:r>
        <w:t>pública para emitir decretos con fuerza de ley, sujeto a la autorización de una ley habilitante, pregunta de qué manera los decretos presidenciales han afectado la pr</w:t>
      </w:r>
      <w:r>
        <w:t>e</w:t>
      </w:r>
      <w:r>
        <w:t>sunción de inocencia y los derechos humanos, en part</w:t>
      </w:r>
      <w:r>
        <w:t>i</w:t>
      </w:r>
      <w:r>
        <w:t>cular los derechos enunciados en las páginas 15 y 16 de las respuestas de Venezuela a las preguntas del C</w:t>
      </w:r>
      <w:r>
        <w:t>o</w:t>
      </w:r>
      <w:r>
        <w:t>mité.</w:t>
      </w:r>
    </w:p>
    <w:p w:rsidR="00000000" w:rsidRDefault="00000000">
      <w:pPr>
        <w:pStyle w:val="DualTxt"/>
        <w:numPr>
          <w:ilvl w:val="0"/>
          <w:numId w:val="20"/>
        </w:numPr>
        <w:tabs>
          <w:tab w:val="clear" w:pos="960"/>
          <w:tab w:val="left" w:pos="475"/>
          <w:tab w:val="left" w:pos="965"/>
        </w:tabs>
      </w:pPr>
      <w:r>
        <w:t>Con respecto a las medidas adoptadas para ofr</w:t>
      </w:r>
      <w:r>
        <w:t>e</w:t>
      </w:r>
      <w:r>
        <w:t>cer reparación en caso de un empleo excesivo de la fuerza por parte de la policía o el ejército, no compre</w:t>
      </w:r>
      <w:r>
        <w:t>n</w:t>
      </w:r>
      <w:r>
        <w:t>de por qué los tribunales militares intervienen en asuntos civiles en primer lugar. En cuanto a la tortura y las medidas correctivas estipuladas en el artículo 49 de la Constitución de Venezuela, agradecería mayor i</w:t>
      </w:r>
      <w:r>
        <w:t>n</w:t>
      </w:r>
      <w:r>
        <w:t>formación sobre esos recursos, así como los adelantos hechos en las investigaciones de abusos, torturas y d</w:t>
      </w:r>
      <w:r>
        <w:t>e</w:t>
      </w:r>
      <w:r>
        <w:t>sapariciones forzadas. Es más, sería útil obtener más detalles sobre los recursos a disposición de las víct</w:t>
      </w:r>
      <w:r>
        <w:t>i</w:t>
      </w:r>
      <w:r>
        <w:t>mas, aparte de los enunciados en el artículo 30. El art</w:t>
      </w:r>
      <w:r>
        <w:t>í</w:t>
      </w:r>
      <w:r>
        <w:t>culo 63 de la Convención Interamericana de Derechos Humanos podría ser aplicable, pero en los hechos los jueces no invocan esa disposición por las demoras i</w:t>
      </w:r>
      <w:r>
        <w:t>n</w:t>
      </w:r>
      <w:r>
        <w:t>deb</w:t>
      </w:r>
      <w:r>
        <w:t>i</w:t>
      </w:r>
      <w:r>
        <w:t>das que causa.</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Felicita a Venezuela por la reforma jurídica intr</w:t>
      </w:r>
      <w:r>
        <w:t>o</w:t>
      </w:r>
      <w:r>
        <w:t>ducida desde 1999 con respecto a la detención, en pa</w:t>
      </w:r>
      <w:r>
        <w:t>r</w:t>
      </w:r>
      <w:r>
        <w:t>ticular la reducción del período de detención, de ocho días a 48 horas, en virtud de la nueva Constitución, y pregunta si el proceso de reestructuración ha finaliz</w:t>
      </w:r>
      <w:r>
        <w:t>a</w:t>
      </w:r>
      <w:r>
        <w:t>do. También coincide con las preocupaciones expres</w:t>
      </w:r>
      <w:r>
        <w:t>a</w:t>
      </w:r>
      <w:r>
        <w:t>das por el Sr. Solari Yrigoyen en cuanto a la manera en que esas reformas afectan a los jueces, y pregunta cuántos jueces fueron separados de su cargo y cuántos nuevos jueces se designaron para reemplazarlos. En cuanto a las cárceles, agradecería mayor información sobre el número de presos, el porcentaje de detenidos no sometidos a juicio y si es posible la detención de sospechosos.</w:t>
      </w:r>
    </w:p>
    <w:p w:rsidR="00000000" w:rsidRDefault="00000000">
      <w:pPr>
        <w:pStyle w:val="DualTxt"/>
        <w:numPr>
          <w:ilvl w:val="0"/>
          <w:numId w:val="20"/>
        </w:numPr>
        <w:tabs>
          <w:tab w:val="clear" w:pos="960"/>
          <w:tab w:val="left" w:pos="475"/>
          <w:tab w:val="left" w:pos="965"/>
        </w:tabs>
      </w:pPr>
      <w:r>
        <w:t>En lo que respecta al Poder Ciudadano recient</w:t>
      </w:r>
      <w:r>
        <w:t>e</w:t>
      </w:r>
      <w:r>
        <w:t>mente establecido en virtud del artículo 273 y artículos subsiguientes de la Constitución, pregunta por la co</w:t>
      </w:r>
      <w:r>
        <w:t>m</w:t>
      </w:r>
      <w:r>
        <w:t>posición del Consejo Moral Republicano, el Ministerio Público, la Defensoría del Pueblo y la Contraloría G</w:t>
      </w:r>
      <w:r>
        <w:t>e</w:t>
      </w:r>
      <w:r>
        <w:t>neral, que en general se ocupa de asuntos financieros. Se agradecería asimismo más información sobre la función, independencia y atribuciones del Consejo; en particular, le interesaría saber si se pueden imponer amonestaciones a funcionarios públicos y aplicar sa</w:t>
      </w:r>
      <w:r>
        <w:t>n</w:t>
      </w:r>
      <w:r>
        <w:t>ciones, y si debería incluirse en la Constitución un art</w:t>
      </w:r>
      <w:r>
        <w:t>í</w:t>
      </w:r>
      <w:r>
        <w:t>culo relativo a las atribuciones del Consejo para dete</w:t>
      </w:r>
      <w:r>
        <w:t>r</w:t>
      </w:r>
      <w:r>
        <w:t>minar los errores graves por parte de magistrados de la Suprema Corte e imponer sanciones. En lo que respecta al Defensor del Pueblo, agradecería que se le explicara mejor por qué, según el informe de Venezuela, de las 16.329 denuncias presentadas hasta la fecha, en real</w:t>
      </w:r>
      <w:r>
        <w:t>i</w:t>
      </w:r>
      <w:r>
        <w:t>dad sólo 20 se refieren a torturas, si el Defensor del Pueblo puede adoptar medidas en caso de tortura con carácter prioritario, y si los abusos de la policía se abordan de forma más expedita.</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La Sra. Chanet</w:t>
      </w:r>
      <w:r>
        <w:t xml:space="preserve"> expresa su admiración por la nueva Constitución venezolana, en particular las disp</w:t>
      </w:r>
      <w:r>
        <w:t>o</w:t>
      </w:r>
      <w:r>
        <w:t>siciones relacionadas con los derechos humanos. El a</w:t>
      </w:r>
      <w:r>
        <w:t>r</w:t>
      </w:r>
      <w:r>
        <w:t>tículo 23, por ejemplo, parece indicar que los tratados, pactos y convenios sobre derechos humanos ratificados por Venezuela prevalecen sobre las normas establecidas en la Constitución venezolana. Agradecería inform</w:t>
      </w:r>
      <w:r>
        <w:t>a</w:t>
      </w:r>
      <w:r>
        <w:t>ción ad</w:t>
      </w:r>
      <w:r>
        <w:t>i</w:t>
      </w:r>
      <w:r>
        <w:t>cional al respecto.</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En lo que se refiere a la reforma del poder jud</w:t>
      </w:r>
      <w:r>
        <w:t>i</w:t>
      </w:r>
      <w:r>
        <w:t>cial venezolano y la adopción del sistema acusatorio, pregunta si las disposiciones de los artículos 43 y 44 de la Constitución venezolana (relativas al derecho de un acusado a ser notificado de los cargos que se imputen y comunicarse con su abogado o familiares), aparece en el Código de Procedimiento Penal. Específicamente, no resulta claro de qué manera los defensores pueden pa</w:t>
      </w:r>
      <w:r>
        <w:t>r</w:t>
      </w:r>
      <w:r>
        <w:t>ticipar inicialmente, si el detenido tiene acceso a un médico, si existe la encarcelación secreta y si pueden detenerse individuos durante el juicio, y de qué man</w:t>
      </w:r>
      <w:r>
        <w:t>e</w:t>
      </w:r>
      <w:r>
        <w:t>ra. Por ultimo, con respecto a la presunción de inoce</w:t>
      </w:r>
      <w:r>
        <w:t>n</w:t>
      </w:r>
      <w:r>
        <w:t>cia y la transición a un sistema acusatorio, agradecería información adicional sobre las funciones respectivas de la defensa y el ministerio público en lo que respecta al examen para la divulgación y acceso a las pru</w:t>
      </w:r>
      <w:r>
        <w:t>e</w:t>
      </w:r>
      <w:r>
        <w:t>bas.</w:t>
      </w:r>
    </w:p>
    <w:p w:rsidR="00000000" w:rsidRDefault="00000000">
      <w:pPr>
        <w:pStyle w:val="DualTxt"/>
        <w:numPr>
          <w:ilvl w:val="0"/>
          <w:numId w:val="20"/>
        </w:numPr>
        <w:tabs>
          <w:tab w:val="clear" w:pos="960"/>
          <w:tab w:val="left" w:pos="475"/>
          <w:tab w:val="left" w:pos="965"/>
        </w:tabs>
      </w:pPr>
      <w:r>
        <w:rPr>
          <w:b/>
        </w:rPr>
        <w:t>Sir Nigel Rodley</w:t>
      </w:r>
      <w:r>
        <w:t xml:space="preserve"> elogia los logros conseguidos por Venezuela en materia de derechos humanos y t</w:t>
      </w:r>
      <w:r>
        <w:t>o</w:t>
      </w:r>
      <w:r>
        <w:t>ma nota de las actividades ejecutadas durante decenios para hacer presión contra la pena de muerte, la pronta ratificación de los Estatutos del Tribunal Penal Intern</w:t>
      </w:r>
      <w:r>
        <w:t>a</w:t>
      </w:r>
      <w:r>
        <w:t>cional y las muchas reformas jurídicas adoptadas fu</w:t>
      </w:r>
      <w:r>
        <w:t>n</w:t>
      </w:r>
      <w:r>
        <w:t>dadas en las recomendaciones del Relator Especial s</w:t>
      </w:r>
      <w:r>
        <w:t>o</w:t>
      </w:r>
      <w:r>
        <w:t>bre la tortura. En relación con los comentarios del Sr. Amor sobre los delitos de tortura, ejecuciones e</w:t>
      </w:r>
      <w:r>
        <w:t>x</w:t>
      </w:r>
      <w:r>
        <w:t>trajudiciales y desapariciones, dice que sería útil di</w:t>
      </w:r>
      <w:r>
        <w:t>s</w:t>
      </w:r>
      <w:r>
        <w:t>poner de más información sobre la condición jurídica y legislativa de estas cue</w:t>
      </w:r>
      <w:r>
        <w:t>s</w:t>
      </w:r>
      <w:r>
        <w:t>tiones.</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Con respecto a los 19 casos investigados por la oficina del Ombudsman durante sus primeros seis m</w:t>
      </w:r>
      <w:r>
        <w:t>e</w:t>
      </w:r>
      <w:r>
        <w:t>ses, agradecería nuevos datos rela</w:t>
      </w:r>
      <w:r>
        <w:rPr>
          <w:spacing w:val="0"/>
        </w:rPr>
        <w:t>tivos a las acciones j</w:t>
      </w:r>
      <w:r>
        <w:rPr>
          <w:spacing w:val="0"/>
        </w:rPr>
        <w:t>u</w:t>
      </w:r>
      <w:r>
        <w:rPr>
          <w:spacing w:val="0"/>
        </w:rPr>
        <w:t>rídicas instituidas, demandas de reparación presentadas y porcentaje de casos resueltos satisfactoriamente. En rel</w:t>
      </w:r>
      <w:r>
        <w:rPr>
          <w:spacing w:val="0"/>
        </w:rPr>
        <w:t>a</w:t>
      </w:r>
      <w:r>
        <w:rPr>
          <w:spacing w:val="0"/>
        </w:rPr>
        <w:t>ción con los refugiados y solicitantes de asilo, sería útil más información sobre la función del Alto Comisionado de las Naciones Unidas para los Refugiados, en particular con respecto al acceso a esos individuos, así como en r</w:t>
      </w:r>
      <w:r>
        <w:rPr>
          <w:spacing w:val="0"/>
        </w:rPr>
        <w:t>e</w:t>
      </w:r>
      <w:r>
        <w:rPr>
          <w:spacing w:val="0"/>
        </w:rPr>
        <w:t>lación con los artículos 6 y 7 del Pacto.</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rPr>
          <w:b/>
        </w:rPr>
        <w:t>El Sr. Henkin</w:t>
      </w:r>
      <w:r>
        <w:t xml:space="preserve"> también expresa su admiración por la nueva Constitución y las promesas que contiene. Con referencia a las observaciones del Sr. Scheinin y el Sr. Ando sobre la presentación tardía del informe, i</w:t>
      </w:r>
      <w:r>
        <w:t>n</w:t>
      </w:r>
      <w:r>
        <w:t>siste en que los Estados son responsables de presentar sus informes a tiempo, y si no lo hacen están clar</w:t>
      </w:r>
      <w:r>
        <w:t>a</w:t>
      </w:r>
      <w:r>
        <w:t>mente infringiendo el Pacto. Con respecto a la expu</w:t>
      </w:r>
      <w:r>
        <w:t>l</w:t>
      </w:r>
      <w:r>
        <w:t>sión, extradición y devolución, señala que los Estados deben reconocer que, a raíz de sus propias acciones, se pueden producir violaciones de derechos humanos en otros Estados, y hace un llamamiento a Venezuela para que examine su política en ese sentido.</w:t>
      </w:r>
    </w:p>
    <w:p w:rsidR="00000000" w:rsidRDefault="00000000">
      <w:pPr>
        <w:pStyle w:val="DualTxt"/>
        <w:tabs>
          <w:tab w:val="clear" w:pos="480"/>
          <w:tab w:val="clear" w:pos="960"/>
          <w:tab w:val="left" w:pos="965"/>
          <w:tab w:val="left" w:pos="1440"/>
          <w:tab w:val="left" w:pos="1915"/>
          <w:tab w:val="left" w:pos="2405"/>
          <w:tab w:val="left" w:pos="2880"/>
          <w:tab w:val="left" w:pos="3355"/>
        </w:tabs>
      </w:pPr>
      <w:r>
        <w:rPr>
          <w:i/>
        </w:rPr>
        <w:t>Se levanta la sesión a las 18.00 horas</w:t>
      </w:r>
      <w:r>
        <w:t>.</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NO&gt;&gt;N0129356S&lt;&lt;ODS JOB NO&gt;&gt;</w:t>
      </w:r>
    </w:p>
    <w:p w:rsidR="00000000" w:rsidRDefault="00000000">
      <w:pPr>
        <w:pStyle w:val="CommentText"/>
      </w:pPr>
      <w:r>
        <w:t>&lt;&lt;ODS DOC SYMBOL1&gt;&gt;CCPR/C/SR.1899&lt;&lt;ODS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0129356s.doc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0129356s.doc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DC2–766,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01-29356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*0129356*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CCPR/C/SR.1899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CCPR/C/SR.1899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/C/SR.1899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18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B221F"/>
    <w:multiLevelType w:val="singleLevel"/>
    <w:tmpl w:val="F6FCB722"/>
    <w:lvl w:ilvl="0">
      <w:start w:val="42"/>
      <w:numFmt w:val="decimal"/>
      <w:lvlRestart w:val="0"/>
      <w:lvlText w:val="%1."/>
      <w:lvlJc w:val="left"/>
      <w:pPr>
        <w:tabs>
          <w:tab w:val="num" w:pos="1742"/>
        </w:tabs>
        <w:ind w:left="1267" w:firstLine="0"/>
      </w:pPr>
      <w:rPr>
        <w:spacing w:val="0"/>
        <w:w w:val="100"/>
      </w:rPr>
    </w:lvl>
  </w:abstractNum>
  <w:abstractNum w:abstractNumId="1">
    <w:nsid w:val="0F0D0806"/>
    <w:multiLevelType w:val="singleLevel"/>
    <w:tmpl w:val="0E0E6ADE"/>
    <w:lvl w:ilvl="0">
      <w:start w:val="1"/>
      <w:numFmt w:val="decimal"/>
      <w:lvlRestart w:val="0"/>
      <w:lvlText w:val="%1."/>
      <w:lvlJc w:val="left"/>
      <w:pPr>
        <w:tabs>
          <w:tab w:val="num" w:pos="475"/>
        </w:tabs>
        <w:ind w:left="0" w:firstLine="0"/>
      </w:pPr>
      <w:rPr>
        <w:b w:val="0"/>
        <w:i w:val="0"/>
        <w:spacing w:val="0"/>
        <w:w w:val="100"/>
      </w:rPr>
    </w:lvl>
  </w:abstractNum>
  <w:abstractNum w:abstractNumId="2">
    <w:nsid w:val="17A65E88"/>
    <w:multiLevelType w:val="singleLevel"/>
    <w:tmpl w:val="D7B619DA"/>
    <w:lvl w:ilvl="0">
      <w:start w:val="35"/>
      <w:numFmt w:val="decimal"/>
      <w:lvlRestart w:val="0"/>
      <w:lvlText w:val="%1."/>
      <w:lvlJc w:val="left"/>
      <w:pPr>
        <w:tabs>
          <w:tab w:val="num" w:pos="475"/>
        </w:tabs>
        <w:ind w:left="0" w:firstLine="0"/>
      </w:pPr>
      <w:rPr>
        <w:spacing w:val="0"/>
        <w:w w:val="100"/>
      </w:rPr>
    </w:lvl>
  </w:abstractNum>
  <w:abstractNum w:abstractNumId="3">
    <w:nsid w:val="1CC26772"/>
    <w:multiLevelType w:val="singleLevel"/>
    <w:tmpl w:val="8A685194"/>
    <w:lvl w:ilvl="0">
      <w:start w:val="1"/>
      <w:numFmt w:val="decimal"/>
      <w:lvlRestart w:val="0"/>
      <w:lvlText w:val="%1."/>
      <w:lvlJc w:val="left"/>
      <w:pPr>
        <w:tabs>
          <w:tab w:val="num" w:pos="475"/>
        </w:tabs>
        <w:ind w:left="0" w:firstLine="0"/>
      </w:pPr>
      <w:rPr>
        <w:b w:val="0"/>
        <w:i w:val="0"/>
        <w:spacing w:val="0"/>
        <w:w w:val="100"/>
      </w:rPr>
    </w:lvl>
  </w:abstractNum>
  <w:abstractNum w:abstractNumId="4">
    <w:nsid w:val="33F632EA"/>
    <w:multiLevelType w:val="singleLevel"/>
    <w:tmpl w:val="F22ADFCE"/>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vanish w:val="0"/>
        <w:spacing w:val="0"/>
        <w:w w:val="100"/>
        <w:sz w:val="20"/>
      </w:rPr>
    </w:lvl>
  </w:abstractNum>
  <w:abstractNum w:abstractNumId="5">
    <w:nsid w:val="3DEE1413"/>
    <w:multiLevelType w:val="singleLevel"/>
    <w:tmpl w:val="E69A51D2"/>
    <w:lvl w:ilvl="0">
      <w:start w:val="29"/>
      <w:numFmt w:val="decimal"/>
      <w:lvlRestart w:val="0"/>
      <w:lvlText w:val="%1."/>
      <w:lvlJc w:val="left"/>
      <w:pPr>
        <w:tabs>
          <w:tab w:val="num" w:pos="475"/>
        </w:tabs>
        <w:ind w:left="0" w:firstLine="0"/>
      </w:pPr>
      <w:rPr>
        <w:b w:val="0"/>
        <w:i w:val="0"/>
        <w:spacing w:val="0"/>
        <w:w w:val="100"/>
      </w:rPr>
    </w:lvl>
  </w:abstractNum>
  <w:abstractNum w:abstractNumId="6">
    <w:nsid w:val="40CE5AF4"/>
    <w:multiLevelType w:val="singleLevel"/>
    <w:tmpl w:val="6010A320"/>
    <w:lvl w:ilvl="0">
      <w:start w:val="1"/>
      <w:numFmt w:val="decimal"/>
      <w:lvlRestart w:val="0"/>
      <w:lvlText w:val="%1."/>
      <w:lvlJc w:val="left"/>
      <w:pPr>
        <w:tabs>
          <w:tab w:val="num" w:pos="475"/>
        </w:tabs>
        <w:ind w:left="0" w:firstLine="0"/>
      </w:pPr>
      <w:rPr>
        <w:spacing w:val="0"/>
        <w:w w:val="100"/>
      </w:rPr>
    </w:lvl>
  </w:abstractNum>
  <w:abstractNum w:abstractNumId="7">
    <w:nsid w:val="440F463C"/>
    <w:multiLevelType w:val="singleLevel"/>
    <w:tmpl w:val="9B64B6AE"/>
    <w:lvl w:ilvl="0">
      <w:start w:val="61"/>
      <w:numFmt w:val="decimal"/>
      <w:lvlRestart w:val="0"/>
      <w:lvlText w:val="%1."/>
      <w:lvlJc w:val="left"/>
      <w:pPr>
        <w:tabs>
          <w:tab w:val="num" w:pos="1742"/>
        </w:tabs>
        <w:ind w:left="1267" w:firstLine="0"/>
      </w:pPr>
      <w:rPr>
        <w:spacing w:val="0"/>
        <w:w w:val="100"/>
      </w:rPr>
    </w:lvl>
  </w:abstractNum>
  <w:abstractNum w:abstractNumId="8">
    <w:nsid w:val="49161ACC"/>
    <w:multiLevelType w:val="singleLevel"/>
    <w:tmpl w:val="BD1420FA"/>
    <w:lvl w:ilvl="0">
      <w:start w:val="1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9">
    <w:nsid w:val="4C581C40"/>
    <w:multiLevelType w:val="singleLevel"/>
    <w:tmpl w:val="B70E03A2"/>
    <w:lvl w:ilvl="0">
      <w:start w:val="42"/>
      <w:numFmt w:val="decimal"/>
      <w:lvlRestart w:val="0"/>
      <w:lvlText w:val="%1."/>
      <w:lvlJc w:val="left"/>
      <w:pPr>
        <w:tabs>
          <w:tab w:val="num" w:pos="475"/>
        </w:tabs>
        <w:ind w:left="0" w:firstLine="0"/>
      </w:pPr>
      <w:rPr>
        <w:spacing w:val="0"/>
        <w:w w:val="100"/>
      </w:rPr>
    </w:lvl>
  </w:abstractNum>
  <w:abstractNum w:abstractNumId="10">
    <w:nsid w:val="5D4859E4"/>
    <w:multiLevelType w:val="singleLevel"/>
    <w:tmpl w:val="73E21C8E"/>
    <w:lvl w:ilvl="0">
      <w:start w:val="23"/>
      <w:numFmt w:val="decimal"/>
      <w:lvlRestart w:val="0"/>
      <w:lvlText w:val="%1."/>
      <w:lvlJc w:val="left"/>
      <w:pPr>
        <w:tabs>
          <w:tab w:val="num" w:pos="1742"/>
        </w:tabs>
        <w:ind w:left="1267" w:firstLine="0"/>
      </w:pPr>
      <w:rPr>
        <w:spacing w:val="0"/>
        <w:w w:val="100"/>
      </w:rPr>
    </w:lvl>
  </w:abstractNum>
  <w:abstractNum w:abstractNumId="11">
    <w:nsid w:val="5DC047AB"/>
    <w:multiLevelType w:val="singleLevel"/>
    <w:tmpl w:val="F22ADFCE"/>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vanish w:val="0"/>
        <w:spacing w:val="0"/>
        <w:w w:val="100"/>
        <w:sz w:val="20"/>
      </w:rPr>
    </w:lvl>
  </w:abstractNum>
  <w:abstractNum w:abstractNumId="12">
    <w:nsid w:val="5ECF7C5E"/>
    <w:multiLevelType w:val="singleLevel"/>
    <w:tmpl w:val="B0CAD57E"/>
    <w:lvl w:ilvl="0">
      <w:start w:val="5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3">
    <w:nsid w:val="67AB6B22"/>
    <w:multiLevelType w:val="singleLevel"/>
    <w:tmpl w:val="A30A592E"/>
    <w:lvl w:ilvl="0">
      <w:start w:val="20"/>
      <w:numFmt w:val="decimal"/>
      <w:lvlRestart w:val="0"/>
      <w:lvlText w:val="%1."/>
      <w:lvlJc w:val="left"/>
      <w:pPr>
        <w:tabs>
          <w:tab w:val="num" w:pos="1742"/>
        </w:tabs>
        <w:ind w:left="1267" w:firstLine="0"/>
      </w:pPr>
      <w:rPr>
        <w:spacing w:val="0"/>
        <w:w w:val="100"/>
      </w:rPr>
    </w:lvl>
  </w:abstractNum>
  <w:abstractNum w:abstractNumId="14">
    <w:nsid w:val="6B4D3838"/>
    <w:multiLevelType w:val="singleLevel"/>
    <w:tmpl w:val="F22ADFCE"/>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vanish w:val="0"/>
        <w:spacing w:val="0"/>
        <w:w w:val="100"/>
        <w:sz w:val="20"/>
      </w:rPr>
    </w:lvl>
  </w:abstractNum>
  <w:abstractNum w:abstractNumId="15">
    <w:nsid w:val="720734A7"/>
    <w:multiLevelType w:val="singleLevel"/>
    <w:tmpl w:val="60E80F22"/>
    <w:lvl w:ilvl="0">
      <w:start w:val="62"/>
      <w:numFmt w:val="decimal"/>
      <w:lvlRestart w:val="0"/>
      <w:lvlText w:val="%1."/>
      <w:lvlJc w:val="left"/>
      <w:pPr>
        <w:tabs>
          <w:tab w:val="num" w:pos="1742"/>
        </w:tabs>
        <w:ind w:left="1267" w:firstLine="0"/>
      </w:pPr>
      <w:rPr>
        <w:b w:val="0"/>
        <w:i w:val="0"/>
        <w:spacing w:val="0"/>
        <w:w w:val="100"/>
      </w:rPr>
    </w:lvl>
  </w:abstractNum>
  <w:abstractNum w:abstractNumId="16">
    <w:nsid w:val="76770523"/>
    <w:multiLevelType w:val="singleLevel"/>
    <w:tmpl w:val="14EE5832"/>
    <w:lvl w:ilvl="0">
      <w:start w:val="46"/>
      <w:numFmt w:val="decimal"/>
      <w:lvlRestart w:val="0"/>
      <w:lvlText w:val="%1."/>
      <w:lvlJc w:val="left"/>
      <w:pPr>
        <w:tabs>
          <w:tab w:val="num" w:pos="475"/>
        </w:tabs>
        <w:ind w:left="0" w:firstLine="0"/>
      </w:pPr>
      <w:rPr>
        <w:spacing w:val="0"/>
        <w:w w:val="100"/>
      </w:rPr>
    </w:lvl>
  </w:abstractNum>
  <w:abstractNum w:abstractNumId="17">
    <w:nsid w:val="7D0327B0"/>
    <w:multiLevelType w:val="singleLevel"/>
    <w:tmpl w:val="6010A320"/>
    <w:lvl w:ilvl="0">
      <w:start w:val="1"/>
      <w:numFmt w:val="decimal"/>
      <w:lvlRestart w:val="0"/>
      <w:lvlText w:val="%1."/>
      <w:lvlJc w:val="left"/>
      <w:pPr>
        <w:tabs>
          <w:tab w:val="num" w:pos="475"/>
        </w:tabs>
        <w:ind w:left="0" w:firstLine="0"/>
      </w:pPr>
      <w:rPr>
        <w:spacing w:val="0"/>
        <w:w w:val="100"/>
      </w:rPr>
    </w:lvl>
  </w:abstractNum>
  <w:abstractNum w:abstractNumId="18">
    <w:nsid w:val="7DE63EA7"/>
    <w:multiLevelType w:val="singleLevel"/>
    <w:tmpl w:val="41801DEA"/>
    <w:lvl w:ilvl="0">
      <w:start w:val="32"/>
      <w:numFmt w:val="decimal"/>
      <w:lvlRestart w:val="0"/>
      <w:lvlText w:val="%1."/>
      <w:lvlJc w:val="left"/>
      <w:pPr>
        <w:tabs>
          <w:tab w:val="num" w:pos="1742"/>
        </w:tabs>
        <w:ind w:left="1267" w:firstLine="0"/>
      </w:pPr>
      <w:rPr>
        <w:spacing w:val="0"/>
        <w:w w:val="100"/>
      </w:rPr>
    </w:lvl>
  </w:abstractNum>
  <w:num w:numId="1">
    <w:abstractNumId w:val="3"/>
  </w:num>
  <w:num w:numId="2">
    <w:abstractNumId w:val="11"/>
  </w:num>
  <w:num w:numId="3">
    <w:abstractNumId w:val="4"/>
  </w:num>
  <w:num w:numId="4">
    <w:abstractNumId w:val="8"/>
  </w:num>
  <w:num w:numId="5">
    <w:abstractNumId w:val="14"/>
  </w:num>
  <w:num w:numId="6">
    <w:abstractNumId w:val="13"/>
  </w:num>
  <w:num w:numId="7">
    <w:abstractNumId w:val="1"/>
  </w:num>
  <w:num w:numId="8">
    <w:abstractNumId w:val="5"/>
  </w:num>
  <w:num w:numId="9">
    <w:abstractNumId w:val="18"/>
  </w:num>
  <w:num w:numId="10">
    <w:abstractNumId w:val="0"/>
  </w:num>
  <w:num w:numId="11">
    <w:abstractNumId w:val="7"/>
  </w:num>
  <w:num w:numId="12">
    <w:abstractNumId w:val="9"/>
  </w:num>
  <w:num w:numId="13">
    <w:abstractNumId w:val="12"/>
  </w:num>
  <w:num w:numId="14">
    <w:abstractNumId w:val="15"/>
  </w:num>
  <w:num w:numId="15">
    <w:abstractNumId w:val="17"/>
  </w:num>
  <w:num w:numId="16">
    <w:abstractNumId w:val="6"/>
  </w:num>
  <w:num w:numId="17">
    <w:abstractNumId w:val="16"/>
  </w:num>
  <w:num w:numId="18">
    <w:abstractNumId w:val="5"/>
    <w:lvlOverride w:ilvl="0">
      <w:lvl w:ilvl="0">
        <w:start w:val="23"/>
        <w:numFmt w:val="decimal"/>
        <w:lvlRestart w:val="0"/>
        <w:lvlText w:val="%1."/>
        <w:lvlJc w:val="left"/>
        <w:pPr>
          <w:tabs>
            <w:tab w:val="num" w:pos="1742"/>
          </w:tabs>
          <w:ind w:left="1267" w:firstLine="0"/>
        </w:pPr>
        <w:rPr>
          <w:spacing w:val="0"/>
          <w:w w:val="100"/>
        </w:rPr>
      </w:lvl>
    </w:lvlOverride>
  </w:num>
  <w:num w:numId="19">
    <w:abstractNumId w:val="1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2/2004 14:38:02"/>
    <w:docVar w:name="DocCategory" w:val="SROthers"/>
    <w:docVar w:name="DocType" w:val="Final"/>
    <w:docVar w:name="JobNo" w:val="0129356S"/>
    <w:docVar w:name="OandT" w:val="mc"/>
    <w:docVar w:name="Symbol1" w:val="CCPR/C/SR.189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147</TotalTime>
  <Pages>1</Pages>
  <Words>6722</Words>
  <Characters>36299</Characters>
  <Application>Microsoft Office Word</Application>
  <DocSecurity>4</DocSecurity>
  <Lines>864</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47054</CharactersWithSpaces>
  <SharedDoc>false</SharedDoc>
  <HLinks>
    <vt:vector size="6" baseType="variant">
      <vt:variant>
        <vt:i4>4522087</vt:i4>
      </vt:variant>
      <vt:variant>
        <vt:i4>45777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Cruz, Marina</dc:creator>
  <cp:keywords/>
  <dc:description/>
  <cp:lastModifiedBy>FIALLO, Xiomara</cp:lastModifiedBy>
  <cp:revision>79</cp:revision>
  <cp:lastPrinted>2004-02-17T12:29:00Z</cp:lastPrinted>
  <dcterms:created xsi:type="dcterms:W3CDTF">2004-02-13T13:38:00Z</dcterms:created>
  <dcterms:modified xsi:type="dcterms:W3CDTF">2004-02-17T12:34:00Z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0129356</vt:lpwstr>
  </property>
  <property fmtid="{D5CDD505-2E9C-101B-9397-08002B2CF9AE}" pid="3" name="Symbol1">
    <vt:lpwstr>CCPR/C/SR.1899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mc/xf</vt:lpwstr>
  </property>
</Properties>
</file>