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4256E">
        <w:trPr>
          <w:trHeight w:hRule="exact" w:val="851"/>
        </w:trPr>
        <w:tc>
          <w:tcPr>
            <w:tcW w:w="1280" w:type="dxa"/>
            <w:tcBorders>
              <w:bottom w:val="single" w:sz="4" w:space="0" w:color="auto"/>
            </w:tcBorders>
          </w:tcPr>
          <w:p w:rsidR="00B4256E" w:rsidRDefault="00B4256E">
            <w:pPr>
              <w:rPr>
                <w:rFonts w:hint="eastAsia"/>
              </w:rPr>
            </w:pPr>
          </w:p>
        </w:tc>
        <w:tc>
          <w:tcPr>
            <w:tcW w:w="2273" w:type="dxa"/>
            <w:tcBorders>
              <w:bottom w:val="single" w:sz="4" w:space="0" w:color="auto"/>
            </w:tcBorders>
            <w:vAlign w:val="bottom"/>
          </w:tcPr>
          <w:p w:rsidR="00B4256E" w:rsidRDefault="00B4256E">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B4256E" w:rsidRDefault="00B4256E">
            <w:pPr>
              <w:spacing w:line="240" w:lineRule="atLeast"/>
              <w:jc w:val="right"/>
              <w:rPr>
                <w:szCs w:val="21"/>
              </w:rPr>
            </w:pPr>
            <w:r>
              <w:rPr>
                <w:sz w:val="40"/>
                <w:szCs w:val="40"/>
              </w:rPr>
              <w:t>CED</w:t>
            </w:r>
            <w:r>
              <w:rPr>
                <w:sz w:val="20"/>
              </w:rPr>
              <w:t>/C/FRA/1</w:t>
            </w:r>
          </w:p>
        </w:tc>
      </w:tr>
      <w:tr w:rsidR="00B4256E">
        <w:trPr>
          <w:trHeight w:hRule="exact" w:val="2835"/>
        </w:trPr>
        <w:tc>
          <w:tcPr>
            <w:tcW w:w="1280" w:type="dxa"/>
            <w:tcBorders>
              <w:top w:val="single" w:sz="4" w:space="0" w:color="auto"/>
              <w:bottom w:val="single" w:sz="12" w:space="0" w:color="auto"/>
            </w:tcBorders>
          </w:tcPr>
          <w:p w:rsidR="00B4256E" w:rsidRDefault="00B4256E">
            <w:pPr>
              <w:spacing w:line="120" w:lineRule="atLeast"/>
              <w:rPr>
                <w:sz w:val="10"/>
                <w:szCs w:val="10"/>
              </w:rPr>
            </w:pPr>
          </w:p>
          <w:p w:rsidR="00B4256E" w:rsidRDefault="00B4256E">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B4256E" w:rsidRDefault="00B4256E">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强迫失踪国际公约</w:t>
            </w:r>
          </w:p>
        </w:tc>
        <w:tc>
          <w:tcPr>
            <w:tcW w:w="2819" w:type="dxa"/>
            <w:tcBorders>
              <w:top w:val="single" w:sz="4" w:space="0" w:color="auto"/>
              <w:bottom w:val="single" w:sz="12" w:space="0" w:color="auto"/>
            </w:tcBorders>
          </w:tcPr>
          <w:p w:rsidR="00B4256E" w:rsidRDefault="00B4256E">
            <w:pPr>
              <w:spacing w:before="240" w:line="240" w:lineRule="atLeast"/>
              <w:rPr>
                <w:sz w:val="20"/>
              </w:rPr>
            </w:pPr>
            <w:r>
              <w:rPr>
                <w:sz w:val="20"/>
              </w:rPr>
              <w:t>Distr.: General</w:t>
            </w:r>
          </w:p>
          <w:p w:rsidR="00B4256E" w:rsidRDefault="00B4256E">
            <w:pPr>
              <w:spacing w:line="240" w:lineRule="atLeast"/>
              <w:rPr>
                <w:rFonts w:hint="eastAsia"/>
                <w:sz w:val="20"/>
              </w:rPr>
            </w:pPr>
            <w:r>
              <w:rPr>
                <w:sz w:val="20"/>
              </w:rPr>
              <w:t>7 February 20</w:t>
            </w:r>
            <w:r>
              <w:rPr>
                <w:rFonts w:hint="eastAsia"/>
                <w:sz w:val="20"/>
              </w:rPr>
              <w:t>13</w:t>
            </w:r>
          </w:p>
          <w:p w:rsidR="00B4256E" w:rsidRDefault="00B4256E">
            <w:pPr>
              <w:spacing w:line="240" w:lineRule="atLeast"/>
              <w:rPr>
                <w:sz w:val="20"/>
              </w:rPr>
            </w:pPr>
            <w:r>
              <w:rPr>
                <w:sz w:val="20"/>
              </w:rPr>
              <w:t>Chinese</w:t>
            </w:r>
          </w:p>
          <w:p w:rsidR="00B4256E" w:rsidRDefault="00B4256E">
            <w:pPr>
              <w:spacing w:line="240" w:lineRule="atLeast"/>
              <w:rPr>
                <w:rFonts w:hint="eastAsia"/>
                <w:sz w:val="20"/>
              </w:rPr>
            </w:pPr>
            <w:r>
              <w:rPr>
                <w:sz w:val="20"/>
              </w:rPr>
              <w:t xml:space="preserve">Original: </w:t>
            </w:r>
            <w:r>
              <w:rPr>
                <w:rFonts w:eastAsia="SimHei"/>
                <w:sz w:val="20"/>
                <w:szCs w:val="21"/>
                <w:lang w:val="fr-CH"/>
              </w:rPr>
              <w:t>French</w:t>
            </w:r>
          </w:p>
        </w:tc>
      </w:tr>
    </w:tbl>
    <w:p w:rsidR="00B4256E" w:rsidRDefault="00B4256E">
      <w:pPr>
        <w:spacing w:before="120"/>
        <w:rPr>
          <w:rFonts w:eastAsia="SimHei"/>
          <w:spacing w:val="10"/>
          <w:sz w:val="24"/>
          <w:szCs w:val="24"/>
        </w:rPr>
      </w:pPr>
      <w:r>
        <w:rPr>
          <w:rFonts w:eastAsia="SimHei" w:hint="eastAsia"/>
          <w:spacing w:val="10"/>
          <w:sz w:val="24"/>
          <w:szCs w:val="24"/>
        </w:rPr>
        <w:t>强迫失踪问题委员会</w:t>
      </w:r>
    </w:p>
    <w:p w:rsidR="00B4256E" w:rsidRDefault="00B4256E">
      <w:pPr>
        <w:pStyle w:val="HMGC"/>
      </w:pPr>
      <w:r>
        <w:rPr>
          <w:rFonts w:hint="eastAsia"/>
          <w:lang w:val="fr-CH"/>
        </w:rPr>
        <w:tab/>
      </w:r>
      <w:r>
        <w:rPr>
          <w:rFonts w:hint="eastAsia"/>
          <w:lang w:val="fr-CH"/>
        </w:rPr>
        <w:tab/>
      </w:r>
      <w:r>
        <w:rPr>
          <w:rFonts w:hint="eastAsia"/>
        </w:rPr>
        <w:t>审议缔约国根据《公约》第二十九条提交的报告</w:t>
      </w:r>
    </w:p>
    <w:p w:rsidR="00B4256E" w:rsidRDefault="00B4256E">
      <w:pPr>
        <w:pStyle w:val="HChGC"/>
      </w:pPr>
      <w:r>
        <w:tab/>
      </w:r>
      <w:r>
        <w:tab/>
      </w:r>
      <w:r>
        <w:rPr>
          <w:rFonts w:hint="eastAsia"/>
        </w:rPr>
        <w:t>缔约国根据《公约》第二十九条第一款应在</w:t>
      </w:r>
      <w:r>
        <w:rPr>
          <w:rFonts w:hint="eastAsia"/>
        </w:rPr>
        <w:t>2012</w:t>
      </w:r>
      <w:r>
        <w:rPr>
          <w:rFonts w:hint="eastAsia"/>
        </w:rPr>
        <w:t>年提交的报告</w:t>
      </w:r>
    </w:p>
    <w:p w:rsidR="00B4256E" w:rsidRDefault="00B4256E">
      <w:pPr>
        <w:pStyle w:val="HMGC"/>
        <w:rPr>
          <w:rStyle w:val="FootnoteReference"/>
        </w:rPr>
      </w:pPr>
      <w:r>
        <w:rPr>
          <w:lang w:val="fr-CH"/>
        </w:rPr>
        <w:tab/>
      </w:r>
      <w:r>
        <w:rPr>
          <w:lang w:val="fr-CH"/>
        </w:rPr>
        <w:tab/>
      </w:r>
      <w:r>
        <w:rPr>
          <w:rFonts w:hint="eastAsia"/>
        </w:rPr>
        <w:t>法国</w:t>
      </w:r>
      <w:r>
        <w:rPr>
          <w:rStyle w:val="FootnoteReference"/>
          <w:position w:val="6"/>
          <w:sz w:val="34"/>
          <w:szCs w:val="34"/>
          <w:vertAlign w:val="baseline"/>
        </w:rPr>
        <w:footnoteReference w:customMarkFollows="1" w:id="1"/>
        <w:t>*</w:t>
      </w:r>
    </w:p>
    <w:p w:rsidR="00B4256E" w:rsidRDefault="00B4256E">
      <w:pPr>
        <w:pStyle w:val="SingleTxtGC"/>
        <w:jc w:val="right"/>
        <w:rPr>
          <w:lang w:val="en-GB"/>
        </w:rPr>
      </w:pPr>
      <w:r>
        <w:rPr>
          <w:rStyle w:val="FootnoteReference"/>
        </w:rPr>
        <w:t xml:space="preserve"> </w:t>
      </w:r>
      <w:r>
        <w:rPr>
          <w:lang w:val="en-GB"/>
        </w:rPr>
        <w:t>[2012</w:t>
      </w:r>
      <w:r>
        <w:rPr>
          <w:rFonts w:hint="eastAsia"/>
          <w:lang w:val="en-GB"/>
        </w:rPr>
        <w:t>年</w:t>
      </w:r>
      <w:r>
        <w:rPr>
          <w:rFonts w:hint="eastAsia"/>
          <w:lang w:val="en-GB"/>
        </w:rPr>
        <w:t>12</w:t>
      </w:r>
      <w:r>
        <w:rPr>
          <w:rFonts w:hint="eastAsia"/>
          <w:lang w:val="en-GB"/>
        </w:rPr>
        <w:t>月</w:t>
      </w:r>
      <w:r>
        <w:rPr>
          <w:rFonts w:hint="eastAsia"/>
          <w:lang w:val="en-GB"/>
        </w:rPr>
        <w:t>21</w:t>
      </w:r>
      <w:r>
        <w:rPr>
          <w:rFonts w:hint="eastAsia"/>
          <w:lang w:val="en-GB"/>
        </w:rPr>
        <w:t>日</w:t>
      </w:r>
      <w:r>
        <w:rPr>
          <w:lang w:val="en-GB"/>
        </w:rPr>
        <w:t>]</w:t>
      </w:r>
    </w:p>
    <w:p w:rsidR="00B4256E" w:rsidRDefault="00B4256E">
      <w:pPr>
        <w:spacing w:after="120"/>
        <w:rPr>
          <w:sz w:val="28"/>
          <w:szCs w:val="28"/>
        </w:rPr>
      </w:pPr>
      <w:r>
        <w:rPr>
          <w:lang w:val="fr-FR"/>
        </w:rPr>
        <w:br w:type="page"/>
      </w:r>
      <w:r>
        <w:rPr>
          <w:rFonts w:hint="eastAsia"/>
          <w:sz w:val="28"/>
          <w:szCs w:val="28"/>
        </w:rPr>
        <w:t>目录</w:t>
      </w:r>
    </w:p>
    <w:p w:rsidR="00B4256E" w:rsidRDefault="00B4256E">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B4256E" w:rsidRDefault="00B4256E">
      <w:pPr>
        <w:pStyle w:val="a1"/>
        <w:spacing w:after="60" w:line="300" w:lineRule="exact"/>
        <w:ind w:right="2488"/>
        <w:rPr>
          <w:rFonts w:hint="eastAsia"/>
        </w:rPr>
      </w:pPr>
      <w:r>
        <w:rPr>
          <w:rFonts w:hint="eastAsia"/>
        </w:rPr>
        <w:tab/>
      </w:r>
      <w:r>
        <w:rPr>
          <w:rFonts w:hint="eastAsia"/>
        </w:rPr>
        <w:t>一</w:t>
      </w:r>
      <w:r>
        <w:rPr>
          <w:rFonts w:hint="eastAsia"/>
        </w:rPr>
        <w:t>.</w:t>
      </w:r>
      <w:r>
        <w:rPr>
          <w:rFonts w:hint="eastAsia"/>
        </w:rPr>
        <w:tab/>
      </w:r>
      <w:r>
        <w:rPr>
          <w:rFonts w:hint="eastAsia"/>
        </w:rPr>
        <w:t>导言</w:t>
      </w:r>
      <w:r>
        <w:rPr>
          <w:rFonts w:hint="eastAsia"/>
        </w:rPr>
        <w:t>.................</w:t>
      </w:r>
      <w:r>
        <w:tab/>
      </w:r>
      <w:r>
        <w:rPr>
          <w:rFonts w:hint="eastAsia"/>
        </w:rPr>
        <w:t>...............................</w:t>
      </w:r>
      <w:r>
        <w:rPr>
          <w:rFonts w:hint="eastAsia"/>
        </w:rPr>
        <w:tab/>
      </w:r>
      <w:r>
        <w:t>1-5</w:t>
      </w:r>
      <w:r>
        <w:tab/>
        <w:t>3</w:t>
      </w:r>
    </w:p>
    <w:p w:rsidR="00B4256E" w:rsidRDefault="00B4256E">
      <w:pPr>
        <w:pStyle w:val="a1"/>
        <w:spacing w:after="60" w:line="300" w:lineRule="exact"/>
        <w:ind w:right="2488"/>
      </w:pPr>
      <w:r>
        <w:rPr>
          <w:rFonts w:hint="eastAsia"/>
        </w:rPr>
        <w:tab/>
      </w:r>
      <w:r>
        <w:rPr>
          <w:rFonts w:hint="eastAsia"/>
        </w:rPr>
        <w:t>二</w:t>
      </w:r>
      <w:r>
        <w:rPr>
          <w:rFonts w:hint="eastAsia"/>
        </w:rPr>
        <w:t>.</w:t>
      </w:r>
      <w:r>
        <w:rPr>
          <w:rFonts w:hint="eastAsia"/>
        </w:rPr>
        <w:tab/>
      </w:r>
      <w:r>
        <w:rPr>
          <w:rFonts w:hint="eastAsia"/>
        </w:rPr>
        <w:t>禁止强迫失踪的框架</w:t>
      </w:r>
      <w:r>
        <w:rPr>
          <w:rFonts w:hint="eastAsia"/>
        </w:rPr>
        <w:tab/>
      </w:r>
      <w:r>
        <w:rPr>
          <w:rFonts w:hint="eastAsia"/>
        </w:rPr>
        <w:tab/>
      </w:r>
      <w:r>
        <w:t>6-21</w:t>
      </w:r>
      <w:r>
        <w:tab/>
        <w:t>3</w:t>
      </w:r>
    </w:p>
    <w:p w:rsidR="00B4256E" w:rsidRDefault="00B4256E">
      <w:pPr>
        <w:pStyle w:val="a1"/>
        <w:spacing w:after="60" w:line="300" w:lineRule="exact"/>
        <w:ind w:right="2488"/>
        <w:rPr>
          <w:rFonts w:hint="eastAsia"/>
        </w:rPr>
      </w:pPr>
      <w:r>
        <w:tab/>
      </w:r>
      <w:r>
        <w:tab/>
        <w:t>A.</w:t>
      </w:r>
      <w:r>
        <w:tab/>
      </w:r>
      <w:r>
        <w:rPr>
          <w:rFonts w:hint="eastAsia"/>
        </w:rPr>
        <w:t>调整国内立法</w:t>
      </w:r>
      <w:r>
        <w:rPr>
          <w:rFonts w:hint="eastAsia"/>
        </w:rPr>
        <w:tab/>
      </w:r>
      <w:r>
        <w:rPr>
          <w:rFonts w:hint="eastAsia"/>
        </w:rPr>
        <w:tab/>
      </w:r>
      <w:r>
        <w:t>6-12</w:t>
      </w:r>
      <w:r>
        <w:tab/>
        <w:t>3</w:t>
      </w:r>
    </w:p>
    <w:p w:rsidR="00B4256E" w:rsidRDefault="00B4256E">
      <w:pPr>
        <w:pStyle w:val="a1"/>
        <w:spacing w:after="60" w:line="300" w:lineRule="exact"/>
        <w:ind w:left="1565" w:right="2878" w:hanging="1565"/>
      </w:pPr>
      <w:r>
        <w:rPr>
          <w:rFonts w:hint="eastAsia"/>
        </w:rPr>
        <w:tab/>
      </w:r>
      <w:r>
        <w:rPr>
          <w:rFonts w:hint="eastAsia"/>
        </w:rPr>
        <w:tab/>
      </w:r>
      <w:r>
        <w:t>B</w:t>
      </w:r>
      <w:r>
        <w:rPr>
          <w:rFonts w:hint="eastAsia"/>
        </w:rPr>
        <w:t>.</w:t>
      </w:r>
      <w:r>
        <w:rPr>
          <w:rFonts w:hint="eastAsia"/>
        </w:rPr>
        <w:tab/>
      </w:r>
      <w:r>
        <w:rPr>
          <w:rFonts w:hint="eastAsia"/>
        </w:rPr>
        <w:t>法国的强迫失踪或非自愿失踪案件以及关于预防和惩治这一罪行的条款的适用</w:t>
      </w:r>
      <w:r>
        <w:rPr>
          <w:rFonts w:hint="eastAsia"/>
        </w:rPr>
        <w:tab/>
      </w:r>
      <w:r>
        <w:rPr>
          <w:rFonts w:hint="eastAsia"/>
        </w:rPr>
        <w:tab/>
      </w:r>
      <w:r>
        <w:t>13</w:t>
      </w:r>
      <w:r>
        <w:tab/>
        <w:t>5</w:t>
      </w:r>
    </w:p>
    <w:p w:rsidR="00B4256E" w:rsidRDefault="00B4256E">
      <w:pPr>
        <w:pStyle w:val="a1"/>
        <w:spacing w:after="60" w:line="300" w:lineRule="exact"/>
        <w:ind w:right="2488"/>
      </w:pPr>
      <w:r>
        <w:tab/>
      </w:r>
      <w:r>
        <w:tab/>
        <w:t>C.</w:t>
      </w:r>
      <w:r>
        <w:tab/>
      </w:r>
      <w:r>
        <w:rPr>
          <w:rFonts w:hint="eastAsia"/>
        </w:rPr>
        <w:t>促进《公约》</w:t>
      </w:r>
      <w:r>
        <w:rPr>
          <w:rFonts w:hint="eastAsia"/>
        </w:rPr>
        <w:tab/>
      </w:r>
      <w:r>
        <w:rPr>
          <w:rFonts w:hint="eastAsia"/>
        </w:rPr>
        <w:tab/>
      </w:r>
      <w:r>
        <w:t>14-21</w:t>
      </w:r>
      <w:r>
        <w:tab/>
        <w:t>5</w:t>
      </w:r>
    </w:p>
    <w:p w:rsidR="00B4256E" w:rsidRDefault="00B4256E">
      <w:pPr>
        <w:pStyle w:val="a1"/>
        <w:spacing w:after="60" w:line="300" w:lineRule="exact"/>
        <w:ind w:right="2488"/>
        <w:rPr>
          <w:rFonts w:hint="eastAsia"/>
        </w:rPr>
      </w:pPr>
      <w:r>
        <w:tab/>
      </w:r>
      <w:r>
        <w:rPr>
          <w:rFonts w:hint="eastAsia"/>
        </w:rPr>
        <w:t>三</w:t>
      </w:r>
      <w:r>
        <w:t>.</w:t>
      </w:r>
      <w:r>
        <w:tab/>
      </w:r>
      <w:r>
        <w:rPr>
          <w:rFonts w:hint="eastAsia"/>
        </w:rPr>
        <w:t>实施《公约》条款</w:t>
      </w:r>
      <w:r>
        <w:rPr>
          <w:rFonts w:hint="eastAsia"/>
        </w:rPr>
        <w:tab/>
      </w:r>
      <w:r>
        <w:rPr>
          <w:rFonts w:hint="eastAsia"/>
        </w:rPr>
        <w:tab/>
      </w:r>
      <w:r>
        <w:t>22-218</w:t>
      </w:r>
      <w:r>
        <w:tab/>
        <w:t>6</w:t>
      </w:r>
    </w:p>
    <w:p w:rsidR="00B4256E" w:rsidRDefault="00B4256E">
      <w:pPr>
        <w:pStyle w:val="a1"/>
        <w:spacing w:after="60" w:line="300" w:lineRule="exact"/>
        <w:ind w:right="2488"/>
        <w:rPr>
          <w:rFonts w:hint="eastAsia"/>
        </w:rPr>
      </w:pPr>
      <w:r>
        <w:rPr>
          <w:rFonts w:hint="eastAsia"/>
        </w:rPr>
        <w:tab/>
      </w:r>
      <w:r>
        <w:rPr>
          <w:rFonts w:hint="eastAsia"/>
        </w:rPr>
        <w:tab/>
      </w:r>
      <w:r>
        <w:rPr>
          <w:rFonts w:hint="eastAsia"/>
        </w:rPr>
        <w:t>第一条</w:t>
      </w:r>
      <w:r>
        <w:rPr>
          <w:rFonts w:hint="eastAsia"/>
        </w:rPr>
        <w:t xml:space="preserve">  </w:t>
      </w:r>
      <w:r>
        <w:rPr>
          <w:rFonts w:hint="eastAsia"/>
        </w:rPr>
        <w:t>绝对禁止强迫失踪</w:t>
      </w:r>
      <w:r>
        <w:rPr>
          <w:rFonts w:hint="eastAsia"/>
        </w:rPr>
        <w:tab/>
      </w:r>
      <w:r>
        <w:rPr>
          <w:rFonts w:hint="eastAsia"/>
        </w:rPr>
        <w:tab/>
      </w:r>
      <w:r>
        <w:t>22-31</w:t>
      </w:r>
      <w:r>
        <w:tab/>
        <w:t>6</w:t>
      </w:r>
    </w:p>
    <w:p w:rsidR="00B4256E" w:rsidRDefault="00B4256E">
      <w:pPr>
        <w:pStyle w:val="a1"/>
        <w:spacing w:after="60" w:line="300" w:lineRule="exact"/>
        <w:ind w:right="2488"/>
      </w:pPr>
      <w:r>
        <w:rPr>
          <w:rFonts w:hint="eastAsia"/>
        </w:rPr>
        <w:tab/>
      </w:r>
      <w:r>
        <w:rPr>
          <w:rFonts w:hint="eastAsia"/>
        </w:rPr>
        <w:tab/>
      </w:r>
      <w:r>
        <w:rPr>
          <w:rFonts w:hint="eastAsia"/>
        </w:rPr>
        <w:t>第二条</w:t>
      </w:r>
      <w:r>
        <w:rPr>
          <w:rFonts w:hint="eastAsia"/>
        </w:rPr>
        <w:t xml:space="preserve">  </w:t>
      </w:r>
      <w:r>
        <w:rPr>
          <w:rFonts w:hint="eastAsia"/>
        </w:rPr>
        <w:t>强迫失踪的定义</w:t>
      </w:r>
      <w:r>
        <w:rPr>
          <w:rFonts w:hint="eastAsia"/>
        </w:rPr>
        <w:tab/>
      </w:r>
      <w:r>
        <w:rPr>
          <w:rFonts w:hint="eastAsia"/>
        </w:rPr>
        <w:tab/>
      </w:r>
      <w:r>
        <w:t>32-36</w:t>
      </w:r>
      <w:r>
        <w:tab/>
        <w:t>7</w:t>
      </w:r>
    </w:p>
    <w:p w:rsidR="00B4256E" w:rsidRDefault="00B4256E">
      <w:pPr>
        <w:pStyle w:val="a1"/>
        <w:spacing w:after="60" w:line="300" w:lineRule="exact"/>
        <w:ind w:right="2488"/>
      </w:pPr>
      <w:r>
        <w:tab/>
      </w:r>
      <w:r>
        <w:rPr>
          <w:rFonts w:hint="eastAsia"/>
        </w:rPr>
        <w:tab/>
      </w:r>
      <w:r>
        <w:rPr>
          <w:rFonts w:hint="eastAsia"/>
        </w:rPr>
        <w:t>第三条</w:t>
      </w:r>
      <w:r>
        <w:rPr>
          <w:rFonts w:hint="eastAsia"/>
        </w:rPr>
        <w:t xml:space="preserve">  </w:t>
      </w:r>
      <w:r>
        <w:rPr>
          <w:rFonts w:hint="eastAsia"/>
        </w:rPr>
        <w:t>调查</w:t>
      </w:r>
      <w:r>
        <w:rPr>
          <w:rFonts w:hint="eastAsia"/>
        </w:rPr>
        <w:tab/>
      </w:r>
      <w:r>
        <w:rPr>
          <w:rFonts w:hint="eastAsia"/>
        </w:rPr>
        <w:tab/>
      </w:r>
      <w:r>
        <w:t>37-40</w:t>
      </w:r>
      <w:r>
        <w:tab/>
        <w:t>8</w:t>
      </w:r>
    </w:p>
    <w:p w:rsidR="00B4256E" w:rsidRDefault="00B4256E">
      <w:pPr>
        <w:pStyle w:val="a1"/>
        <w:spacing w:after="60" w:line="300" w:lineRule="exact"/>
        <w:ind w:right="2488"/>
      </w:pPr>
      <w:r>
        <w:tab/>
      </w:r>
      <w:r>
        <w:rPr>
          <w:rFonts w:hint="eastAsia"/>
        </w:rPr>
        <w:tab/>
      </w:r>
      <w:r>
        <w:rPr>
          <w:rFonts w:hint="eastAsia"/>
        </w:rPr>
        <w:t>第四条</w:t>
      </w:r>
      <w:r>
        <w:rPr>
          <w:rFonts w:hint="eastAsia"/>
        </w:rPr>
        <w:t xml:space="preserve">  </w:t>
      </w:r>
      <w:r>
        <w:rPr>
          <w:rFonts w:hint="eastAsia"/>
        </w:rPr>
        <w:t>据以定罪判刑的法律条文</w:t>
      </w:r>
      <w:r>
        <w:rPr>
          <w:rFonts w:hint="eastAsia"/>
        </w:rPr>
        <w:tab/>
      </w:r>
      <w:r>
        <w:rPr>
          <w:rFonts w:hint="eastAsia"/>
        </w:rPr>
        <w:tab/>
      </w:r>
      <w:r>
        <w:t>41</w:t>
      </w:r>
      <w:r>
        <w:tab/>
        <w:t>9</w:t>
      </w:r>
    </w:p>
    <w:p w:rsidR="00B4256E" w:rsidRDefault="00B4256E">
      <w:pPr>
        <w:pStyle w:val="a1"/>
        <w:spacing w:after="60" w:line="300" w:lineRule="exact"/>
        <w:ind w:right="2488"/>
      </w:pPr>
      <w:r>
        <w:tab/>
      </w:r>
      <w:r>
        <w:rPr>
          <w:rFonts w:hint="eastAsia"/>
        </w:rPr>
        <w:tab/>
      </w:r>
      <w:r>
        <w:rPr>
          <w:rFonts w:hint="eastAsia"/>
        </w:rPr>
        <w:t>第五条</w:t>
      </w:r>
      <w:r>
        <w:rPr>
          <w:rFonts w:hint="eastAsia"/>
        </w:rPr>
        <w:t xml:space="preserve">  </w:t>
      </w:r>
      <w:r>
        <w:rPr>
          <w:rFonts w:hint="eastAsia"/>
        </w:rPr>
        <w:t>危害人类罪</w:t>
      </w:r>
      <w:r>
        <w:rPr>
          <w:rFonts w:hint="eastAsia"/>
        </w:rPr>
        <w:tab/>
      </w:r>
      <w:r>
        <w:rPr>
          <w:rFonts w:hint="eastAsia"/>
        </w:rPr>
        <w:tab/>
      </w:r>
      <w:r>
        <w:t>42-45</w:t>
      </w:r>
      <w:r>
        <w:tab/>
        <w:t>9</w:t>
      </w:r>
    </w:p>
    <w:p w:rsidR="00B4256E" w:rsidRDefault="00B4256E">
      <w:pPr>
        <w:pStyle w:val="a1"/>
        <w:spacing w:after="60" w:line="300" w:lineRule="exact"/>
        <w:ind w:right="2488"/>
      </w:pPr>
      <w:r>
        <w:tab/>
      </w:r>
      <w:r>
        <w:rPr>
          <w:rFonts w:hint="eastAsia"/>
        </w:rPr>
        <w:tab/>
      </w:r>
      <w:r>
        <w:rPr>
          <w:rFonts w:hint="eastAsia"/>
        </w:rPr>
        <w:t>第六条</w:t>
      </w:r>
      <w:r>
        <w:rPr>
          <w:rFonts w:hint="eastAsia"/>
        </w:rPr>
        <w:t xml:space="preserve">  </w:t>
      </w:r>
      <w:r>
        <w:rPr>
          <w:rFonts w:hint="eastAsia"/>
        </w:rPr>
        <w:t>刑事责任制度</w:t>
      </w:r>
      <w:r>
        <w:rPr>
          <w:rFonts w:hint="eastAsia"/>
        </w:rPr>
        <w:tab/>
      </w:r>
      <w:r>
        <w:rPr>
          <w:rFonts w:hint="eastAsia"/>
        </w:rPr>
        <w:tab/>
      </w:r>
      <w:r>
        <w:t>46-51</w:t>
      </w:r>
      <w:r>
        <w:tab/>
        <w:t>9</w:t>
      </w:r>
    </w:p>
    <w:p w:rsidR="00B4256E" w:rsidRDefault="00B4256E">
      <w:pPr>
        <w:pStyle w:val="a1"/>
        <w:spacing w:after="60" w:line="300" w:lineRule="exact"/>
        <w:ind w:right="2488"/>
      </w:pPr>
      <w:r>
        <w:tab/>
      </w:r>
      <w:r>
        <w:rPr>
          <w:rFonts w:hint="eastAsia"/>
        </w:rPr>
        <w:tab/>
      </w:r>
      <w:r>
        <w:rPr>
          <w:rFonts w:hint="eastAsia"/>
        </w:rPr>
        <w:t>第七条</w:t>
      </w:r>
      <w:r>
        <w:rPr>
          <w:rFonts w:hint="eastAsia"/>
        </w:rPr>
        <w:t xml:space="preserve">  </w:t>
      </w:r>
      <w:r>
        <w:rPr>
          <w:rFonts w:hint="eastAsia"/>
        </w:rPr>
        <w:t>适用刑罚</w:t>
      </w:r>
      <w:r>
        <w:rPr>
          <w:rFonts w:hint="eastAsia"/>
        </w:rPr>
        <w:tab/>
      </w:r>
      <w:r>
        <w:rPr>
          <w:rFonts w:hint="eastAsia"/>
        </w:rPr>
        <w:tab/>
      </w:r>
      <w:r>
        <w:t>52-53</w:t>
      </w:r>
      <w:r>
        <w:tab/>
        <w:t>10</w:t>
      </w:r>
    </w:p>
    <w:p w:rsidR="00B4256E" w:rsidRDefault="00B4256E">
      <w:pPr>
        <w:pStyle w:val="a1"/>
        <w:spacing w:after="60" w:line="300" w:lineRule="exact"/>
        <w:ind w:right="2488"/>
      </w:pPr>
      <w:r>
        <w:tab/>
      </w:r>
      <w:r>
        <w:rPr>
          <w:rFonts w:hint="eastAsia"/>
        </w:rPr>
        <w:tab/>
      </w:r>
      <w:r>
        <w:rPr>
          <w:rFonts w:hint="eastAsia"/>
        </w:rPr>
        <w:t>第八条</w:t>
      </w:r>
      <w:r>
        <w:rPr>
          <w:rFonts w:hint="eastAsia"/>
        </w:rPr>
        <w:t xml:space="preserve">  </w:t>
      </w:r>
      <w:r>
        <w:rPr>
          <w:rFonts w:hint="eastAsia"/>
        </w:rPr>
        <w:t>诉讼时效</w:t>
      </w:r>
      <w:r>
        <w:rPr>
          <w:rFonts w:hint="eastAsia"/>
        </w:rPr>
        <w:tab/>
      </w:r>
      <w:r>
        <w:rPr>
          <w:rFonts w:hint="eastAsia"/>
        </w:rPr>
        <w:tab/>
      </w:r>
      <w:r>
        <w:t>54-57</w:t>
      </w:r>
      <w:r>
        <w:tab/>
        <w:t>11</w:t>
      </w:r>
    </w:p>
    <w:p w:rsidR="00B4256E" w:rsidRDefault="00B4256E">
      <w:pPr>
        <w:pStyle w:val="a1"/>
        <w:spacing w:after="60" w:line="300" w:lineRule="exact"/>
        <w:ind w:right="2488"/>
      </w:pPr>
      <w:r>
        <w:tab/>
      </w:r>
      <w:r>
        <w:rPr>
          <w:rFonts w:hint="eastAsia"/>
        </w:rPr>
        <w:tab/>
      </w:r>
      <w:r>
        <w:rPr>
          <w:rFonts w:hint="eastAsia"/>
        </w:rPr>
        <w:t>第九条</w:t>
      </w:r>
      <w:r>
        <w:rPr>
          <w:rFonts w:hint="eastAsia"/>
        </w:rPr>
        <w:t xml:space="preserve">  </w:t>
      </w:r>
      <w:r>
        <w:rPr>
          <w:rFonts w:hint="eastAsia"/>
        </w:rPr>
        <w:t>管辖权</w:t>
      </w:r>
      <w:r>
        <w:rPr>
          <w:rFonts w:hint="eastAsia"/>
        </w:rPr>
        <w:tab/>
      </w:r>
      <w:r>
        <w:rPr>
          <w:rFonts w:hint="eastAsia"/>
        </w:rPr>
        <w:tab/>
      </w:r>
      <w:r>
        <w:t>58-60</w:t>
      </w:r>
      <w:r>
        <w:tab/>
        <w:t>11</w:t>
      </w:r>
    </w:p>
    <w:p w:rsidR="00B4256E" w:rsidRDefault="00B4256E">
      <w:pPr>
        <w:pStyle w:val="a1"/>
        <w:spacing w:after="60" w:line="300" w:lineRule="exact"/>
        <w:ind w:right="2488"/>
      </w:pPr>
      <w:r>
        <w:tab/>
      </w:r>
      <w:r>
        <w:rPr>
          <w:rFonts w:hint="eastAsia"/>
        </w:rPr>
        <w:tab/>
      </w:r>
      <w:r>
        <w:rPr>
          <w:rFonts w:hint="eastAsia"/>
        </w:rPr>
        <w:t>第十条</w:t>
      </w:r>
      <w:r>
        <w:rPr>
          <w:rFonts w:hint="eastAsia"/>
        </w:rPr>
        <w:t xml:space="preserve">  </w:t>
      </w:r>
      <w:r>
        <w:rPr>
          <w:rFonts w:hint="eastAsia"/>
        </w:rPr>
        <w:t>临时拘留</w:t>
      </w:r>
      <w:r>
        <w:rPr>
          <w:rFonts w:hint="eastAsia"/>
        </w:rPr>
        <w:tab/>
      </w:r>
      <w:r>
        <w:rPr>
          <w:rFonts w:hint="eastAsia"/>
        </w:rPr>
        <w:tab/>
      </w:r>
      <w:r>
        <w:t>61-67</w:t>
      </w:r>
      <w:r>
        <w:tab/>
        <w:t>12</w:t>
      </w:r>
    </w:p>
    <w:p w:rsidR="00B4256E" w:rsidRDefault="00B4256E">
      <w:pPr>
        <w:pStyle w:val="a1"/>
        <w:spacing w:after="60" w:line="300" w:lineRule="exact"/>
        <w:ind w:right="2488"/>
      </w:pPr>
      <w:r>
        <w:tab/>
      </w:r>
      <w:r>
        <w:rPr>
          <w:rFonts w:hint="eastAsia"/>
        </w:rPr>
        <w:tab/>
      </w:r>
      <w:r>
        <w:rPr>
          <w:rFonts w:hint="eastAsia"/>
        </w:rPr>
        <w:t>第十一条</w:t>
      </w:r>
      <w:r>
        <w:rPr>
          <w:rFonts w:hint="eastAsia"/>
        </w:rPr>
        <w:t xml:space="preserve">  </w:t>
      </w:r>
      <w:r>
        <w:rPr>
          <w:rFonts w:hint="eastAsia"/>
        </w:rPr>
        <w:t>不引渡即审判义务</w:t>
      </w:r>
      <w:r>
        <w:rPr>
          <w:rFonts w:hint="eastAsia"/>
        </w:rPr>
        <w:tab/>
      </w:r>
      <w:r>
        <w:rPr>
          <w:rFonts w:hint="eastAsia"/>
        </w:rPr>
        <w:tab/>
      </w:r>
      <w:r>
        <w:t>68-74</w:t>
      </w:r>
      <w:r>
        <w:tab/>
        <w:t>13</w:t>
      </w:r>
    </w:p>
    <w:p w:rsidR="00B4256E" w:rsidRDefault="00B4256E">
      <w:pPr>
        <w:pStyle w:val="a1"/>
        <w:spacing w:after="60" w:line="300" w:lineRule="exact"/>
        <w:ind w:right="2488"/>
      </w:pPr>
      <w:r>
        <w:tab/>
      </w:r>
      <w:r>
        <w:rPr>
          <w:rFonts w:hint="eastAsia"/>
        </w:rPr>
        <w:tab/>
      </w:r>
      <w:r>
        <w:rPr>
          <w:rFonts w:hint="eastAsia"/>
        </w:rPr>
        <w:t>第十二条</w:t>
      </w:r>
      <w:r>
        <w:rPr>
          <w:rFonts w:hint="eastAsia"/>
        </w:rPr>
        <w:t xml:space="preserve">  </w:t>
      </w:r>
      <w:r>
        <w:rPr>
          <w:rFonts w:hint="eastAsia"/>
        </w:rPr>
        <w:t>揭发和调查</w:t>
      </w:r>
      <w:r>
        <w:rPr>
          <w:rFonts w:hint="eastAsia"/>
        </w:rPr>
        <w:tab/>
      </w:r>
      <w:r>
        <w:rPr>
          <w:rFonts w:hint="eastAsia"/>
        </w:rPr>
        <w:tab/>
      </w:r>
      <w:r>
        <w:t>75-84</w:t>
      </w:r>
      <w:r>
        <w:tab/>
        <w:t>14</w:t>
      </w:r>
    </w:p>
    <w:p w:rsidR="00B4256E" w:rsidRDefault="00B4256E">
      <w:pPr>
        <w:pStyle w:val="a1"/>
        <w:spacing w:after="60" w:line="300" w:lineRule="exact"/>
        <w:ind w:right="2488"/>
      </w:pPr>
      <w:r>
        <w:tab/>
      </w:r>
      <w:r>
        <w:rPr>
          <w:rFonts w:hint="eastAsia"/>
        </w:rPr>
        <w:tab/>
      </w:r>
      <w:r>
        <w:rPr>
          <w:rFonts w:hint="eastAsia"/>
        </w:rPr>
        <w:t>第十三条</w:t>
      </w:r>
      <w:r>
        <w:rPr>
          <w:rFonts w:hint="eastAsia"/>
        </w:rPr>
        <w:t xml:space="preserve">  </w:t>
      </w:r>
      <w:r>
        <w:rPr>
          <w:rFonts w:hint="eastAsia"/>
        </w:rPr>
        <w:t>引渡</w:t>
      </w:r>
      <w:r>
        <w:rPr>
          <w:rFonts w:hint="eastAsia"/>
        </w:rPr>
        <w:tab/>
      </w:r>
      <w:r>
        <w:rPr>
          <w:rFonts w:hint="eastAsia"/>
        </w:rPr>
        <w:tab/>
      </w:r>
      <w:r>
        <w:t>85-90</w:t>
      </w:r>
      <w:r>
        <w:tab/>
        <w:t>16</w:t>
      </w:r>
    </w:p>
    <w:p w:rsidR="00B4256E" w:rsidRDefault="00B4256E">
      <w:pPr>
        <w:pStyle w:val="a1"/>
        <w:spacing w:after="60" w:line="300" w:lineRule="exact"/>
        <w:ind w:right="2488"/>
      </w:pPr>
      <w:r>
        <w:tab/>
      </w:r>
      <w:r>
        <w:rPr>
          <w:rFonts w:hint="eastAsia"/>
        </w:rPr>
        <w:tab/>
      </w:r>
      <w:r>
        <w:rPr>
          <w:rFonts w:hint="eastAsia"/>
        </w:rPr>
        <w:t>第十四条</w:t>
      </w:r>
      <w:r>
        <w:rPr>
          <w:rFonts w:hint="eastAsia"/>
        </w:rPr>
        <w:t xml:space="preserve">  </w:t>
      </w:r>
      <w:r>
        <w:t>司法互助</w:t>
      </w:r>
      <w:r>
        <w:rPr>
          <w:rFonts w:hint="eastAsia"/>
        </w:rPr>
        <w:tab/>
      </w:r>
      <w:r>
        <w:rPr>
          <w:rFonts w:hint="eastAsia"/>
        </w:rPr>
        <w:tab/>
      </w:r>
      <w:r>
        <w:t>91-93</w:t>
      </w:r>
      <w:r>
        <w:tab/>
        <w:t>17</w:t>
      </w:r>
    </w:p>
    <w:p w:rsidR="00B4256E" w:rsidRDefault="00B4256E">
      <w:pPr>
        <w:pStyle w:val="a1"/>
        <w:spacing w:after="60" w:line="300" w:lineRule="exact"/>
        <w:ind w:right="2488"/>
      </w:pPr>
      <w:r>
        <w:tab/>
      </w:r>
      <w:r>
        <w:rPr>
          <w:rFonts w:hint="eastAsia"/>
        </w:rPr>
        <w:tab/>
      </w:r>
      <w:r>
        <w:rPr>
          <w:rFonts w:hint="eastAsia"/>
        </w:rPr>
        <w:t>第十五条</w:t>
      </w:r>
      <w:r>
        <w:rPr>
          <w:rFonts w:hint="eastAsia"/>
        </w:rPr>
        <w:t xml:space="preserve">  </w:t>
      </w:r>
      <w:r>
        <w:rPr>
          <w:rFonts w:hint="eastAsia"/>
        </w:rPr>
        <w:t>国际合作</w:t>
      </w:r>
      <w:r>
        <w:rPr>
          <w:rFonts w:hint="eastAsia"/>
        </w:rPr>
        <w:tab/>
      </w:r>
      <w:r>
        <w:rPr>
          <w:rFonts w:hint="eastAsia"/>
        </w:rPr>
        <w:tab/>
      </w:r>
      <w:r>
        <w:t>94</w:t>
      </w:r>
      <w:r>
        <w:tab/>
        <w:t>17</w:t>
      </w:r>
    </w:p>
    <w:p w:rsidR="00B4256E" w:rsidRDefault="00B4256E">
      <w:pPr>
        <w:pStyle w:val="a1"/>
        <w:spacing w:after="60" w:line="300" w:lineRule="exact"/>
        <w:ind w:right="2488"/>
      </w:pPr>
      <w:r>
        <w:tab/>
      </w:r>
      <w:r>
        <w:rPr>
          <w:rFonts w:hint="eastAsia"/>
        </w:rPr>
        <w:tab/>
      </w:r>
      <w:r>
        <w:rPr>
          <w:rFonts w:hint="eastAsia"/>
        </w:rPr>
        <w:t>第十六条</w:t>
      </w:r>
      <w:r>
        <w:rPr>
          <w:rFonts w:hint="eastAsia"/>
        </w:rPr>
        <w:t xml:space="preserve">  </w:t>
      </w:r>
      <w:r>
        <w:rPr>
          <w:rFonts w:hint="eastAsia"/>
        </w:rPr>
        <w:t>不驱回</w:t>
      </w:r>
      <w:r>
        <w:rPr>
          <w:rFonts w:hint="eastAsia"/>
        </w:rPr>
        <w:tab/>
      </w:r>
      <w:r>
        <w:rPr>
          <w:rFonts w:hint="eastAsia"/>
        </w:rPr>
        <w:tab/>
      </w:r>
      <w:r>
        <w:t>95-101</w:t>
      </w:r>
      <w:r>
        <w:tab/>
        <w:t>17</w:t>
      </w:r>
    </w:p>
    <w:p w:rsidR="00B4256E" w:rsidRDefault="00B4256E">
      <w:pPr>
        <w:pStyle w:val="a1"/>
        <w:spacing w:after="60" w:line="300" w:lineRule="exact"/>
        <w:ind w:right="2488"/>
      </w:pPr>
      <w:r>
        <w:tab/>
      </w:r>
      <w:r>
        <w:rPr>
          <w:rFonts w:hint="eastAsia"/>
        </w:rPr>
        <w:tab/>
      </w:r>
      <w:r>
        <w:rPr>
          <w:rFonts w:hint="eastAsia"/>
        </w:rPr>
        <w:t>第十七条</w:t>
      </w:r>
      <w:r>
        <w:rPr>
          <w:rFonts w:hint="eastAsia"/>
        </w:rPr>
        <w:t xml:space="preserve">  </w:t>
      </w:r>
      <w:r>
        <w:rPr>
          <w:rFonts w:hint="eastAsia"/>
        </w:rPr>
        <w:t>禁止秘密监禁</w:t>
      </w:r>
      <w:r>
        <w:rPr>
          <w:rFonts w:hint="eastAsia"/>
        </w:rPr>
        <w:tab/>
      </w:r>
      <w:r>
        <w:rPr>
          <w:rFonts w:hint="eastAsia"/>
        </w:rPr>
        <w:tab/>
      </w:r>
      <w:r>
        <w:t>102-157</w:t>
      </w:r>
      <w:r>
        <w:tab/>
        <w:t>18</w:t>
      </w:r>
    </w:p>
    <w:p w:rsidR="00B4256E" w:rsidRDefault="00B4256E">
      <w:pPr>
        <w:pStyle w:val="a1"/>
        <w:spacing w:after="60" w:line="300" w:lineRule="exact"/>
        <w:ind w:right="2488"/>
      </w:pPr>
      <w:r>
        <w:tab/>
      </w:r>
      <w:r>
        <w:rPr>
          <w:rFonts w:hint="eastAsia"/>
        </w:rPr>
        <w:tab/>
      </w:r>
      <w:r>
        <w:rPr>
          <w:rFonts w:hint="eastAsia"/>
        </w:rPr>
        <w:t>第十八条</w:t>
      </w:r>
      <w:r>
        <w:rPr>
          <w:rFonts w:hint="eastAsia"/>
        </w:rPr>
        <w:t xml:space="preserve">  </w:t>
      </w:r>
      <w:r>
        <w:rPr>
          <w:rFonts w:hint="eastAsia"/>
        </w:rPr>
        <w:t>关于被拘留者的信息</w:t>
      </w:r>
      <w:r>
        <w:rPr>
          <w:rFonts w:hint="eastAsia"/>
        </w:rPr>
        <w:tab/>
      </w:r>
      <w:r>
        <w:rPr>
          <w:rFonts w:hint="eastAsia"/>
        </w:rPr>
        <w:tab/>
      </w:r>
      <w:r>
        <w:t>158-162</w:t>
      </w:r>
      <w:r>
        <w:tab/>
        <w:t>26</w:t>
      </w:r>
    </w:p>
    <w:p w:rsidR="00B4256E" w:rsidRDefault="00B4256E">
      <w:pPr>
        <w:pStyle w:val="a1"/>
        <w:spacing w:after="60" w:line="300" w:lineRule="exact"/>
        <w:ind w:right="2488"/>
      </w:pPr>
      <w:r>
        <w:tab/>
      </w:r>
      <w:r>
        <w:rPr>
          <w:rFonts w:hint="eastAsia"/>
        </w:rPr>
        <w:tab/>
      </w:r>
      <w:r>
        <w:rPr>
          <w:rFonts w:hint="eastAsia"/>
        </w:rPr>
        <w:t>第十九条</w:t>
      </w:r>
      <w:r>
        <w:rPr>
          <w:rFonts w:hint="eastAsia"/>
        </w:rPr>
        <w:t xml:space="preserve">  </w:t>
      </w:r>
      <w:r>
        <w:rPr>
          <w:rFonts w:hint="eastAsia"/>
        </w:rPr>
        <w:t>保护个人资料</w:t>
      </w:r>
      <w:r>
        <w:rPr>
          <w:rFonts w:hint="eastAsia"/>
        </w:rPr>
        <w:tab/>
      </w:r>
      <w:r>
        <w:rPr>
          <w:rFonts w:hint="eastAsia"/>
        </w:rPr>
        <w:tab/>
      </w:r>
      <w:r>
        <w:t>163-169</w:t>
      </w:r>
      <w:r>
        <w:tab/>
        <w:t>26</w:t>
      </w:r>
    </w:p>
    <w:p w:rsidR="00B4256E" w:rsidRDefault="00B4256E">
      <w:pPr>
        <w:pStyle w:val="a1"/>
        <w:spacing w:after="60" w:line="300" w:lineRule="exact"/>
        <w:ind w:right="2488"/>
      </w:pPr>
      <w:r>
        <w:tab/>
      </w:r>
      <w:r>
        <w:rPr>
          <w:rFonts w:hint="eastAsia"/>
        </w:rPr>
        <w:tab/>
      </w:r>
      <w:r>
        <w:rPr>
          <w:rFonts w:hint="eastAsia"/>
        </w:rPr>
        <w:t>第二十条</w:t>
      </w:r>
      <w:r>
        <w:rPr>
          <w:rFonts w:hint="eastAsia"/>
        </w:rPr>
        <w:t xml:space="preserve">  </w:t>
      </w:r>
      <w:r>
        <w:rPr>
          <w:rFonts w:hint="eastAsia"/>
        </w:rPr>
        <w:t>对知情权的限制</w:t>
      </w:r>
      <w:r>
        <w:rPr>
          <w:rFonts w:hint="eastAsia"/>
        </w:rPr>
        <w:tab/>
      </w:r>
      <w:r>
        <w:rPr>
          <w:rFonts w:hint="eastAsia"/>
        </w:rPr>
        <w:tab/>
      </w:r>
      <w:r>
        <w:t>170-171</w:t>
      </w:r>
      <w:r>
        <w:tab/>
        <w:t>28</w:t>
      </w:r>
    </w:p>
    <w:p w:rsidR="00B4256E" w:rsidRDefault="00B4256E">
      <w:pPr>
        <w:pStyle w:val="a1"/>
        <w:spacing w:after="60" w:line="300" w:lineRule="exact"/>
        <w:ind w:right="2488"/>
      </w:pPr>
      <w:r>
        <w:tab/>
      </w:r>
      <w:r>
        <w:rPr>
          <w:rFonts w:hint="eastAsia"/>
        </w:rPr>
        <w:tab/>
      </w:r>
      <w:r>
        <w:rPr>
          <w:rFonts w:hint="eastAsia"/>
        </w:rPr>
        <w:t>第二十一条</w:t>
      </w:r>
      <w:r>
        <w:rPr>
          <w:rFonts w:hint="eastAsia"/>
        </w:rPr>
        <w:t xml:space="preserve">  </w:t>
      </w:r>
      <w:r>
        <w:rPr>
          <w:rFonts w:hint="eastAsia"/>
        </w:rPr>
        <w:t>释放</w:t>
      </w:r>
      <w:r>
        <w:rPr>
          <w:rFonts w:hint="eastAsia"/>
        </w:rPr>
        <w:tab/>
      </w:r>
      <w:r>
        <w:rPr>
          <w:rFonts w:hint="eastAsia"/>
        </w:rPr>
        <w:tab/>
      </w:r>
      <w:r>
        <w:t>172-175</w:t>
      </w:r>
      <w:r>
        <w:tab/>
        <w:t>28</w:t>
      </w:r>
    </w:p>
    <w:p w:rsidR="00B4256E" w:rsidRDefault="00B4256E">
      <w:pPr>
        <w:pStyle w:val="a1"/>
        <w:spacing w:after="60" w:line="300" w:lineRule="exact"/>
        <w:ind w:right="2488"/>
      </w:pPr>
      <w:r>
        <w:tab/>
      </w:r>
      <w:r>
        <w:rPr>
          <w:rFonts w:hint="eastAsia"/>
        </w:rPr>
        <w:tab/>
      </w:r>
      <w:r>
        <w:rPr>
          <w:rFonts w:hint="eastAsia"/>
        </w:rPr>
        <w:t>第二十二条</w:t>
      </w:r>
      <w:r>
        <w:rPr>
          <w:rFonts w:hint="eastAsia"/>
        </w:rPr>
        <w:t xml:space="preserve">  </w:t>
      </w:r>
      <w:r>
        <w:rPr>
          <w:rFonts w:hint="eastAsia"/>
        </w:rPr>
        <w:t>对阻碍和不履行告知义务的惩处</w:t>
      </w:r>
      <w:r>
        <w:rPr>
          <w:rFonts w:hint="eastAsia"/>
        </w:rPr>
        <w:tab/>
      </w:r>
      <w:r>
        <w:rPr>
          <w:rFonts w:hint="eastAsia"/>
        </w:rPr>
        <w:tab/>
      </w:r>
      <w:r>
        <w:t>176-177</w:t>
      </w:r>
      <w:r>
        <w:tab/>
        <w:t>29</w:t>
      </w:r>
    </w:p>
    <w:p w:rsidR="00B4256E" w:rsidRDefault="00B4256E">
      <w:pPr>
        <w:pStyle w:val="a1"/>
        <w:spacing w:after="60" w:line="300" w:lineRule="exact"/>
        <w:ind w:right="2488"/>
      </w:pPr>
      <w:r>
        <w:tab/>
      </w:r>
      <w:r>
        <w:rPr>
          <w:rFonts w:hint="eastAsia"/>
        </w:rPr>
        <w:tab/>
      </w:r>
      <w:r>
        <w:rPr>
          <w:rFonts w:hint="eastAsia"/>
        </w:rPr>
        <w:t>第二十三条</w:t>
      </w:r>
      <w:r>
        <w:rPr>
          <w:rFonts w:hint="eastAsia"/>
        </w:rPr>
        <w:t xml:space="preserve">  </w:t>
      </w:r>
      <w:r>
        <w:rPr>
          <w:rFonts w:hint="eastAsia"/>
        </w:rPr>
        <w:t>培训</w:t>
      </w:r>
      <w:r>
        <w:rPr>
          <w:rFonts w:hint="eastAsia"/>
        </w:rPr>
        <w:tab/>
      </w:r>
      <w:r>
        <w:rPr>
          <w:rFonts w:hint="eastAsia"/>
        </w:rPr>
        <w:tab/>
      </w:r>
      <w:r>
        <w:t>178-183</w:t>
      </w:r>
      <w:r>
        <w:tab/>
        <w:t>29</w:t>
      </w:r>
    </w:p>
    <w:p w:rsidR="00B4256E" w:rsidRDefault="00B4256E">
      <w:pPr>
        <w:pStyle w:val="a1"/>
        <w:spacing w:after="60" w:line="300" w:lineRule="exact"/>
        <w:ind w:right="2488"/>
      </w:pPr>
      <w:r>
        <w:tab/>
      </w:r>
      <w:r>
        <w:rPr>
          <w:rFonts w:hint="eastAsia"/>
        </w:rPr>
        <w:tab/>
      </w:r>
      <w:r>
        <w:rPr>
          <w:rFonts w:hint="eastAsia"/>
        </w:rPr>
        <w:t>第二十四条</w:t>
      </w:r>
      <w:r>
        <w:rPr>
          <w:rFonts w:hint="eastAsia"/>
        </w:rPr>
        <w:t xml:space="preserve">  </w:t>
      </w:r>
      <w:r>
        <w:rPr>
          <w:rFonts w:hint="eastAsia"/>
        </w:rPr>
        <w:t>受害者的权利</w:t>
      </w:r>
      <w:r>
        <w:rPr>
          <w:rFonts w:hint="eastAsia"/>
        </w:rPr>
        <w:tab/>
      </w:r>
      <w:r>
        <w:rPr>
          <w:rFonts w:hint="eastAsia"/>
        </w:rPr>
        <w:tab/>
      </w:r>
      <w:r>
        <w:t>184-187</w:t>
      </w:r>
      <w:r>
        <w:tab/>
        <w:t>30</w:t>
      </w:r>
    </w:p>
    <w:p w:rsidR="00B4256E" w:rsidRDefault="00B4256E">
      <w:pPr>
        <w:pStyle w:val="a1"/>
        <w:spacing w:after="60" w:line="300" w:lineRule="exact"/>
        <w:ind w:right="2488"/>
        <w:rPr>
          <w:rFonts w:hint="eastAsia"/>
        </w:rPr>
      </w:pPr>
      <w:r>
        <w:tab/>
      </w:r>
      <w:r>
        <w:rPr>
          <w:rFonts w:hint="eastAsia"/>
        </w:rPr>
        <w:tab/>
      </w:r>
      <w:r>
        <w:rPr>
          <w:rFonts w:hint="eastAsia"/>
        </w:rPr>
        <w:t>第二十五条</w:t>
      </w:r>
      <w:r>
        <w:rPr>
          <w:rFonts w:hint="eastAsia"/>
        </w:rPr>
        <w:t xml:space="preserve">  </w:t>
      </w:r>
      <w:r>
        <w:rPr>
          <w:rFonts w:hint="eastAsia"/>
        </w:rPr>
        <w:t>儿童</w:t>
      </w:r>
      <w:r>
        <w:rPr>
          <w:rFonts w:hint="eastAsia"/>
        </w:rPr>
        <w:tab/>
      </w:r>
      <w:r>
        <w:rPr>
          <w:rFonts w:hint="eastAsia"/>
        </w:rPr>
        <w:tab/>
      </w:r>
      <w:r>
        <w:t>188-198</w:t>
      </w:r>
      <w:r>
        <w:tab/>
        <w:t>30</w:t>
      </w:r>
    </w:p>
    <w:p w:rsidR="00B4256E" w:rsidRDefault="00B4256E">
      <w:pPr>
        <w:pStyle w:val="HChGC"/>
        <w:rPr>
          <w:rFonts w:hint="eastAsia"/>
          <w:lang w:val="en-GB"/>
        </w:rPr>
      </w:pPr>
      <w:r>
        <w:rPr>
          <w:rFonts w:hint="eastAsia"/>
          <w:lang w:val="en-GB"/>
        </w:rPr>
        <w:br w:type="page"/>
      </w:r>
      <w:r>
        <w:rPr>
          <w:rFonts w:hint="eastAsia"/>
          <w:lang w:val="en-GB"/>
        </w:rPr>
        <w:tab/>
      </w:r>
      <w:r>
        <w:rPr>
          <w:rFonts w:hint="eastAsia"/>
          <w:lang w:val="en-GB"/>
        </w:rPr>
        <w:t>一</w:t>
      </w:r>
      <w:r>
        <w:rPr>
          <w:rFonts w:hint="eastAsia"/>
          <w:lang w:val="en-GB"/>
        </w:rPr>
        <w:t>.</w:t>
      </w:r>
      <w:r>
        <w:rPr>
          <w:rFonts w:hint="eastAsia"/>
          <w:lang w:val="en-GB"/>
        </w:rPr>
        <w:tab/>
      </w:r>
      <w:r>
        <w:rPr>
          <w:rFonts w:hint="eastAsia"/>
          <w:lang w:val="en-GB"/>
        </w:rPr>
        <w:t>导言</w:t>
      </w:r>
    </w:p>
    <w:p w:rsidR="00B4256E" w:rsidRDefault="00B4256E">
      <w:pPr>
        <w:pStyle w:val="SingleTxtGC"/>
        <w:rPr>
          <w:rFonts w:hint="eastAsia"/>
          <w:lang w:val="en-GB"/>
        </w:rPr>
      </w:pPr>
      <w:r>
        <w:rPr>
          <w:lang w:val="en-GB"/>
        </w:rPr>
        <w:t>1</w:t>
      </w:r>
      <w:r>
        <w:rPr>
          <w:rFonts w:hint="eastAsia"/>
          <w:lang w:val="en-GB"/>
        </w:rPr>
        <w:t xml:space="preserve">.  </w:t>
      </w:r>
      <w:r>
        <w:rPr>
          <w:lang w:val="en-GB"/>
        </w:rPr>
        <w:t>《保护所有人免遭强迫失踪国际公约》</w:t>
      </w:r>
      <w:r>
        <w:rPr>
          <w:rFonts w:hint="eastAsia"/>
          <w:lang w:val="en-GB"/>
        </w:rPr>
        <w:t>(</w:t>
      </w:r>
      <w:r>
        <w:rPr>
          <w:rFonts w:hint="eastAsia"/>
          <w:lang w:val="en-GB"/>
        </w:rPr>
        <w:t>下称“《公约》”</w:t>
      </w:r>
      <w:r>
        <w:rPr>
          <w:rFonts w:hint="eastAsia"/>
          <w:lang w:val="en-GB"/>
        </w:rPr>
        <w:t>)</w:t>
      </w:r>
      <w:r>
        <w:rPr>
          <w:rFonts w:hint="eastAsia"/>
          <w:lang w:val="en-GB"/>
        </w:rPr>
        <w:t>于</w:t>
      </w:r>
      <w:r>
        <w:rPr>
          <w:rFonts w:hint="eastAsia"/>
          <w:lang w:val="en-GB"/>
        </w:rPr>
        <w:t>2006</w:t>
      </w:r>
      <w:r>
        <w:rPr>
          <w:rFonts w:hint="eastAsia"/>
          <w:lang w:val="en-GB"/>
        </w:rPr>
        <w:t>年</w:t>
      </w:r>
      <w:r>
        <w:rPr>
          <w:rFonts w:hint="eastAsia"/>
          <w:lang w:val="en-GB"/>
        </w:rPr>
        <w:t>12</w:t>
      </w:r>
      <w:r>
        <w:rPr>
          <w:rFonts w:hint="eastAsia"/>
          <w:lang w:val="en-GB"/>
        </w:rPr>
        <w:t>月</w:t>
      </w:r>
      <w:r>
        <w:rPr>
          <w:rFonts w:hint="eastAsia"/>
          <w:lang w:val="en-GB"/>
        </w:rPr>
        <w:t>20</w:t>
      </w:r>
      <w:r>
        <w:rPr>
          <w:rFonts w:hint="eastAsia"/>
          <w:lang w:val="en-GB"/>
        </w:rPr>
        <w:t>日由联合国大会通过，</w:t>
      </w:r>
      <w:r>
        <w:rPr>
          <w:rFonts w:hint="eastAsia"/>
          <w:lang w:val="en-GB"/>
        </w:rPr>
        <w:t>2007</w:t>
      </w:r>
      <w:r>
        <w:rPr>
          <w:rFonts w:hint="eastAsia"/>
          <w:lang w:val="en-GB"/>
        </w:rPr>
        <w:t>年</w:t>
      </w:r>
      <w:r>
        <w:rPr>
          <w:rFonts w:hint="eastAsia"/>
          <w:lang w:val="en-GB"/>
        </w:rPr>
        <w:t>2</w:t>
      </w:r>
      <w:r>
        <w:rPr>
          <w:rFonts w:hint="eastAsia"/>
          <w:lang w:val="en-GB"/>
        </w:rPr>
        <w:t>月</w:t>
      </w:r>
      <w:r>
        <w:rPr>
          <w:rFonts w:hint="eastAsia"/>
          <w:lang w:val="en-GB"/>
        </w:rPr>
        <w:t>6</w:t>
      </w:r>
      <w:r>
        <w:rPr>
          <w:rFonts w:hint="eastAsia"/>
          <w:lang w:val="en-GB"/>
        </w:rPr>
        <w:t>日在巴黎开放供签署，</w:t>
      </w:r>
      <w:r>
        <w:rPr>
          <w:rFonts w:hint="eastAsia"/>
          <w:lang w:val="en-GB"/>
        </w:rPr>
        <w:t>2008</w:t>
      </w:r>
      <w:r>
        <w:rPr>
          <w:rFonts w:hint="eastAsia"/>
          <w:lang w:val="en-GB"/>
        </w:rPr>
        <w:t>年</w:t>
      </w:r>
      <w:r>
        <w:rPr>
          <w:rFonts w:hint="eastAsia"/>
          <w:lang w:val="en-GB"/>
        </w:rPr>
        <w:t>9</w:t>
      </w:r>
      <w:r>
        <w:rPr>
          <w:rFonts w:hint="eastAsia"/>
          <w:lang w:val="en-GB"/>
        </w:rPr>
        <w:t>月</w:t>
      </w:r>
      <w:r>
        <w:rPr>
          <w:rFonts w:hint="eastAsia"/>
          <w:lang w:val="en-GB"/>
        </w:rPr>
        <w:t>23</w:t>
      </w:r>
      <w:r>
        <w:rPr>
          <w:rFonts w:hint="eastAsia"/>
          <w:lang w:val="en-GB"/>
        </w:rPr>
        <w:t>日得到法国批准。《公约》在第二十份批准或加入文书交存</w:t>
      </w:r>
      <w:r>
        <w:rPr>
          <w:rFonts w:hint="eastAsia"/>
          <w:lang w:val="en-GB"/>
        </w:rPr>
        <w:t>30</w:t>
      </w:r>
      <w:r>
        <w:rPr>
          <w:rFonts w:hint="eastAsia"/>
          <w:lang w:val="en-GB"/>
        </w:rPr>
        <w:t>日后，于</w:t>
      </w:r>
      <w:r>
        <w:rPr>
          <w:rFonts w:hint="eastAsia"/>
          <w:lang w:val="en-GB"/>
        </w:rPr>
        <w:t>2010</w:t>
      </w:r>
      <w:r>
        <w:rPr>
          <w:rFonts w:hint="eastAsia"/>
          <w:lang w:val="en-GB"/>
        </w:rPr>
        <w:t>年</w:t>
      </w:r>
      <w:r>
        <w:rPr>
          <w:rFonts w:hint="eastAsia"/>
          <w:lang w:val="en-GB"/>
        </w:rPr>
        <w:t>12</w:t>
      </w:r>
      <w:r>
        <w:rPr>
          <w:rFonts w:hint="eastAsia"/>
          <w:lang w:val="en-GB"/>
        </w:rPr>
        <w:t>月</w:t>
      </w:r>
      <w:r>
        <w:rPr>
          <w:rFonts w:hint="eastAsia"/>
          <w:lang w:val="en-GB"/>
        </w:rPr>
        <w:t>23</w:t>
      </w:r>
      <w:r>
        <w:rPr>
          <w:rFonts w:hint="eastAsia"/>
          <w:lang w:val="en-GB"/>
        </w:rPr>
        <w:t>日生效，并根据</w:t>
      </w:r>
      <w:r>
        <w:rPr>
          <w:rFonts w:hint="eastAsia"/>
          <w:lang w:val="en-GB"/>
        </w:rPr>
        <w:t>2011</w:t>
      </w:r>
      <w:r>
        <w:rPr>
          <w:rFonts w:hint="eastAsia"/>
          <w:lang w:val="en-GB"/>
        </w:rPr>
        <w:t>年</w:t>
      </w:r>
      <w:r>
        <w:rPr>
          <w:rFonts w:hint="eastAsia"/>
          <w:lang w:val="en-GB"/>
        </w:rPr>
        <w:t>2</w:t>
      </w:r>
      <w:r>
        <w:rPr>
          <w:rFonts w:hint="eastAsia"/>
          <w:lang w:val="en-GB"/>
        </w:rPr>
        <w:t>月</w:t>
      </w:r>
      <w:r>
        <w:rPr>
          <w:rFonts w:hint="eastAsia"/>
          <w:lang w:val="en-GB"/>
        </w:rPr>
        <w:t>3</w:t>
      </w:r>
      <w:r>
        <w:rPr>
          <w:rFonts w:hint="eastAsia"/>
          <w:lang w:val="en-GB"/>
        </w:rPr>
        <w:t>日第</w:t>
      </w:r>
      <w:r>
        <w:rPr>
          <w:lang w:val="en-GB"/>
        </w:rPr>
        <w:t>2011-150</w:t>
      </w:r>
      <w:r>
        <w:rPr>
          <w:rFonts w:hint="eastAsia"/>
          <w:lang w:val="en-GB"/>
        </w:rPr>
        <w:t>号法令公布，登载在</w:t>
      </w:r>
      <w:r>
        <w:rPr>
          <w:rFonts w:hint="eastAsia"/>
          <w:lang w:val="en-GB"/>
        </w:rPr>
        <w:t>2011</w:t>
      </w:r>
      <w:r>
        <w:rPr>
          <w:rFonts w:hint="eastAsia"/>
          <w:lang w:val="en-GB"/>
        </w:rPr>
        <w:t>年</w:t>
      </w:r>
      <w:r>
        <w:rPr>
          <w:rFonts w:hint="eastAsia"/>
          <w:lang w:val="en-GB"/>
        </w:rPr>
        <w:t>2</w:t>
      </w:r>
      <w:r>
        <w:rPr>
          <w:rFonts w:hint="eastAsia"/>
          <w:lang w:val="en-GB"/>
        </w:rPr>
        <w:t>月</w:t>
      </w:r>
      <w:r>
        <w:rPr>
          <w:rFonts w:hint="eastAsia"/>
          <w:lang w:val="en-GB"/>
        </w:rPr>
        <w:t>6</w:t>
      </w:r>
      <w:r>
        <w:rPr>
          <w:rFonts w:hint="eastAsia"/>
          <w:lang w:val="en-GB"/>
        </w:rPr>
        <w:t>日的《法兰西共和国官方公报》上。</w:t>
      </w:r>
    </w:p>
    <w:p w:rsidR="00B4256E" w:rsidRDefault="00B4256E">
      <w:pPr>
        <w:pStyle w:val="SingleTxtGC"/>
        <w:rPr>
          <w:lang w:val="en-GB"/>
        </w:rPr>
      </w:pPr>
      <w:r>
        <w:rPr>
          <w:lang w:val="en-GB"/>
        </w:rPr>
        <w:t xml:space="preserve">2.  </w:t>
      </w:r>
      <w:r>
        <w:rPr>
          <w:rFonts w:hint="eastAsia"/>
          <w:lang w:val="en-GB"/>
        </w:rPr>
        <w:t>此外，在签署《公约》的同时，法国还于</w:t>
      </w:r>
      <w:r>
        <w:rPr>
          <w:rFonts w:hint="eastAsia"/>
          <w:lang w:val="en-GB"/>
        </w:rPr>
        <w:t>2008</w:t>
      </w:r>
      <w:r>
        <w:rPr>
          <w:rFonts w:hint="eastAsia"/>
          <w:lang w:val="en-GB"/>
        </w:rPr>
        <w:t>年</w:t>
      </w:r>
      <w:r>
        <w:rPr>
          <w:rFonts w:hint="eastAsia"/>
          <w:lang w:val="en-GB"/>
        </w:rPr>
        <w:t>12</w:t>
      </w:r>
      <w:r>
        <w:rPr>
          <w:rFonts w:hint="eastAsia"/>
          <w:lang w:val="en-GB"/>
        </w:rPr>
        <w:t>月</w:t>
      </w:r>
      <w:r>
        <w:rPr>
          <w:rFonts w:hint="eastAsia"/>
          <w:lang w:val="en-GB"/>
        </w:rPr>
        <w:t>9</w:t>
      </w:r>
      <w:r>
        <w:rPr>
          <w:rFonts w:hint="eastAsia"/>
          <w:lang w:val="en-GB"/>
        </w:rPr>
        <w:t>日发表了一项《声明》，在《声明》中，法国按照《公约》第三十一条和第三十二条之规定，承认</w:t>
      </w:r>
      <w:r>
        <w:rPr>
          <w:lang w:val="en-GB"/>
        </w:rPr>
        <w:t>强迫失踪问题委员会</w:t>
      </w:r>
      <w:r>
        <w:rPr>
          <w:rFonts w:hint="eastAsia"/>
          <w:lang w:val="en-GB"/>
        </w:rPr>
        <w:t>有权接收和审议声称法国未履行其《公约》义务的个人来文和国家来文。</w:t>
      </w:r>
    </w:p>
    <w:p w:rsidR="00B4256E" w:rsidRDefault="00B4256E">
      <w:pPr>
        <w:pStyle w:val="SingleTxtGC"/>
        <w:rPr>
          <w:lang w:val="en-GB"/>
        </w:rPr>
      </w:pPr>
      <w:r>
        <w:rPr>
          <w:lang w:val="en-GB"/>
        </w:rPr>
        <w:t xml:space="preserve">3.  </w:t>
      </w:r>
      <w:r>
        <w:rPr>
          <w:rFonts w:hint="eastAsia"/>
          <w:lang w:val="en-GB"/>
        </w:rPr>
        <w:t>按照要求缔约国在《公约》对其生效两年内报告其为履行《公约》义务而采取的措施的第二十九条第一款之规定，向根据《公约》第二十六条设立的</w:t>
      </w:r>
      <w:r>
        <w:rPr>
          <w:lang w:val="en-GB"/>
        </w:rPr>
        <w:t>强迫失踪问题委员会</w:t>
      </w:r>
      <w:r>
        <w:rPr>
          <w:lang w:val="en-GB"/>
        </w:rPr>
        <w:t>(</w:t>
      </w:r>
      <w:r>
        <w:rPr>
          <w:rFonts w:hint="eastAsia"/>
          <w:lang w:val="en-GB"/>
        </w:rPr>
        <w:t>下称“委员会”</w:t>
      </w:r>
      <w:r>
        <w:rPr>
          <w:lang w:val="en-GB"/>
        </w:rPr>
        <w:t>)</w:t>
      </w:r>
      <w:r>
        <w:rPr>
          <w:rFonts w:hint="eastAsia"/>
          <w:lang w:val="en-GB"/>
        </w:rPr>
        <w:t>提交本报告。</w:t>
      </w:r>
    </w:p>
    <w:p w:rsidR="00B4256E" w:rsidRDefault="00B4256E">
      <w:pPr>
        <w:pStyle w:val="SingleTxtGC"/>
        <w:rPr>
          <w:rStyle w:val="FootnoteReference"/>
        </w:rPr>
      </w:pPr>
      <w:r>
        <w:rPr>
          <w:lang w:val="en-GB"/>
        </w:rPr>
        <w:t xml:space="preserve">4.  </w:t>
      </w:r>
      <w:r>
        <w:rPr>
          <w:rFonts w:hint="eastAsia"/>
          <w:lang w:val="en-GB"/>
        </w:rPr>
        <w:t>本报告的形式和内容符合委员会在其</w:t>
      </w:r>
      <w:r>
        <w:rPr>
          <w:rFonts w:hint="eastAsia"/>
          <w:lang w:val="en-GB"/>
        </w:rPr>
        <w:t>2012</w:t>
      </w:r>
      <w:r>
        <w:rPr>
          <w:rFonts w:hint="eastAsia"/>
          <w:lang w:val="en-GB"/>
        </w:rPr>
        <w:t>年</w:t>
      </w:r>
      <w:r>
        <w:rPr>
          <w:rFonts w:hint="eastAsia"/>
          <w:lang w:val="en-GB"/>
        </w:rPr>
        <w:t>3</w:t>
      </w:r>
      <w:r>
        <w:rPr>
          <w:rFonts w:hint="eastAsia"/>
          <w:lang w:val="en-GB"/>
        </w:rPr>
        <w:t>月</w:t>
      </w:r>
      <w:r>
        <w:rPr>
          <w:rFonts w:hint="eastAsia"/>
          <w:lang w:val="en-GB"/>
        </w:rPr>
        <w:t>26</w:t>
      </w:r>
      <w:r>
        <w:rPr>
          <w:rFonts w:hint="eastAsia"/>
          <w:lang w:val="en-GB"/>
        </w:rPr>
        <w:t>日至</w:t>
      </w:r>
      <w:r>
        <w:rPr>
          <w:rFonts w:hint="eastAsia"/>
          <w:lang w:val="en-GB"/>
        </w:rPr>
        <w:t>30</w:t>
      </w:r>
      <w:r>
        <w:rPr>
          <w:rFonts w:hint="eastAsia"/>
          <w:lang w:val="en-GB"/>
        </w:rPr>
        <w:t>日举行的第二届会议上通过的指导方针。</w:t>
      </w:r>
      <w:r>
        <w:rPr>
          <w:rStyle w:val="FootnoteReference"/>
        </w:rPr>
        <w:footnoteReference w:id="2"/>
      </w:r>
      <w:r>
        <w:rPr>
          <w:rStyle w:val="FootnoteReference"/>
        </w:rPr>
        <w:t xml:space="preserve"> </w:t>
      </w:r>
      <w:r>
        <w:rPr>
          <w:rFonts w:hint="eastAsia"/>
          <w:lang w:val="fr-FR"/>
        </w:rPr>
        <w:t>此外，按照关于编制向国际人权文书所设机构提交的报告的统一指示，正在起草一份“共同的基础性文件”，作为本报告的补充和附件。</w:t>
      </w:r>
      <w:r>
        <w:rPr>
          <w:rStyle w:val="FootnoteReference"/>
        </w:rPr>
        <w:footnoteReference w:id="3"/>
      </w:r>
    </w:p>
    <w:p w:rsidR="00B4256E" w:rsidRDefault="00B4256E">
      <w:pPr>
        <w:pStyle w:val="SingleTxtGC"/>
        <w:rPr>
          <w:rFonts w:hint="eastAsia"/>
          <w:lang w:val="en-GB"/>
        </w:rPr>
      </w:pPr>
      <w:r>
        <w:rPr>
          <w:lang w:val="en-GB"/>
        </w:rPr>
        <w:t xml:space="preserve">5.  </w:t>
      </w:r>
      <w:r>
        <w:rPr>
          <w:rFonts w:hint="eastAsia"/>
          <w:lang w:val="en-GB"/>
        </w:rPr>
        <w:t>最后，注意到委员会在了解报告后，有权按照第二十九条第三款之规定向缔约国提出评论和意见，并要求缔约国按照第二十九条第四款之规定做补充说明。</w:t>
      </w:r>
    </w:p>
    <w:p w:rsidR="00B4256E" w:rsidRDefault="00B4256E">
      <w:pPr>
        <w:pStyle w:val="HChGC"/>
        <w:rPr>
          <w:rFonts w:hint="eastAsia"/>
          <w:lang w:val="en-GB"/>
        </w:rPr>
      </w:pPr>
      <w:r>
        <w:rPr>
          <w:rFonts w:hint="eastAsia"/>
          <w:lang w:val="en-GB"/>
        </w:rPr>
        <w:tab/>
      </w:r>
      <w:r>
        <w:rPr>
          <w:rFonts w:hint="eastAsia"/>
          <w:lang w:val="en-GB"/>
        </w:rPr>
        <w:t>二</w:t>
      </w:r>
      <w:r>
        <w:rPr>
          <w:lang w:val="en-GB"/>
        </w:rPr>
        <w:t>.</w:t>
      </w:r>
      <w:r>
        <w:rPr>
          <w:lang w:val="en-GB"/>
        </w:rPr>
        <w:tab/>
      </w:r>
      <w:r>
        <w:rPr>
          <w:rFonts w:hint="eastAsia"/>
          <w:lang w:val="en-GB"/>
        </w:rPr>
        <w:t>禁止强迫失踪的框架</w:t>
      </w:r>
    </w:p>
    <w:p w:rsidR="00B4256E" w:rsidRDefault="00B4256E">
      <w:pPr>
        <w:pStyle w:val="H1GC"/>
        <w:rPr>
          <w:rFonts w:hint="eastAsia"/>
          <w:lang w:val="en-GB"/>
        </w:rPr>
      </w:pPr>
      <w:r>
        <w:rPr>
          <w:rFonts w:hint="eastAsia"/>
          <w:lang w:val="en-GB"/>
        </w:rPr>
        <w:tab/>
      </w:r>
      <w:r>
        <w:rPr>
          <w:lang w:val="en-GB"/>
        </w:rPr>
        <w:t>A.</w:t>
      </w:r>
      <w:r>
        <w:rPr>
          <w:lang w:val="en-GB"/>
        </w:rPr>
        <w:tab/>
      </w:r>
      <w:r>
        <w:rPr>
          <w:rFonts w:hint="eastAsia"/>
          <w:lang w:val="en-GB"/>
        </w:rPr>
        <w:t>调整国内立法</w:t>
      </w:r>
    </w:p>
    <w:p w:rsidR="00B4256E" w:rsidRDefault="00B4256E">
      <w:pPr>
        <w:pStyle w:val="SingleTxtGC"/>
        <w:rPr>
          <w:rFonts w:hint="eastAsia"/>
          <w:lang w:val="en-GB"/>
        </w:rPr>
      </w:pPr>
      <w:r>
        <w:rPr>
          <w:lang w:val="en-GB"/>
        </w:rPr>
        <w:t xml:space="preserve">6.  </w:t>
      </w:r>
      <w:r>
        <w:rPr>
          <w:rFonts w:hint="eastAsia"/>
          <w:lang w:val="en-GB"/>
        </w:rPr>
        <w:t>正如下文将要详细说明的，批准《公约》和《公约》生效对法国法律影响不大，《公约》的主要条款早已在法国立法中做了相应规定。</w:t>
      </w:r>
    </w:p>
    <w:p w:rsidR="00B4256E" w:rsidRDefault="00B4256E">
      <w:pPr>
        <w:pStyle w:val="SingleTxtGC"/>
        <w:rPr>
          <w:rFonts w:hint="eastAsia"/>
          <w:lang w:val="en-GB"/>
        </w:rPr>
      </w:pPr>
      <w:r>
        <w:rPr>
          <w:lang w:val="en-GB"/>
        </w:rPr>
        <w:t xml:space="preserve">7.  </w:t>
      </w:r>
      <w:r>
        <w:rPr>
          <w:rFonts w:hint="eastAsia"/>
          <w:lang w:val="en-GB"/>
        </w:rPr>
        <w:t>法国缔结的几项国际文书也属于这一相当全面的准则性框架的一部分，由于其主题，这些文书对预防强迫失踪有直接帮助。在这些文书中尤其值得一提的有：</w:t>
      </w:r>
    </w:p>
    <w:p w:rsidR="00B4256E" w:rsidRDefault="00B4256E">
      <w:pPr>
        <w:pStyle w:val="Bullet1GC"/>
        <w:rPr>
          <w:lang w:val="en-GB"/>
        </w:rPr>
      </w:pPr>
      <w:r>
        <w:rPr>
          <w:rFonts w:hint="eastAsia"/>
          <w:lang w:val="en-GB"/>
        </w:rPr>
        <w:t>1950</w:t>
      </w:r>
      <w:r>
        <w:rPr>
          <w:rFonts w:hint="eastAsia"/>
          <w:lang w:val="en-GB"/>
        </w:rPr>
        <w:t>年</w:t>
      </w:r>
      <w:r>
        <w:rPr>
          <w:rFonts w:hint="eastAsia"/>
          <w:lang w:val="en-GB"/>
        </w:rPr>
        <w:t>11</w:t>
      </w:r>
      <w:r>
        <w:rPr>
          <w:rFonts w:hint="eastAsia"/>
          <w:lang w:val="en-GB"/>
        </w:rPr>
        <w:t>月</w:t>
      </w:r>
      <w:r>
        <w:rPr>
          <w:rFonts w:hint="eastAsia"/>
          <w:lang w:val="en-GB"/>
        </w:rPr>
        <w:t>4</w:t>
      </w:r>
      <w:r>
        <w:rPr>
          <w:rFonts w:hint="eastAsia"/>
          <w:lang w:val="en-GB"/>
        </w:rPr>
        <w:t>日的《欧洲保护人权与基本自由公约》，其司法监督机构，欧洲人权公约，自称有权从《欧洲人权公约》第</w:t>
      </w:r>
      <w:r>
        <w:rPr>
          <w:rFonts w:hint="eastAsia"/>
          <w:lang w:val="en-GB"/>
        </w:rPr>
        <w:t>2</w:t>
      </w:r>
      <w:r>
        <w:rPr>
          <w:rFonts w:hint="eastAsia"/>
          <w:lang w:val="en-GB"/>
        </w:rPr>
        <w:t>条</w:t>
      </w:r>
      <w:r>
        <w:rPr>
          <w:rFonts w:hint="eastAsia"/>
          <w:lang w:val="en-GB"/>
        </w:rPr>
        <w:t>(</w:t>
      </w:r>
      <w:r>
        <w:rPr>
          <w:rFonts w:hint="eastAsia"/>
          <w:lang w:val="en-GB"/>
        </w:rPr>
        <w:t>生命权</w:t>
      </w:r>
      <w:r>
        <w:rPr>
          <w:rFonts w:hint="eastAsia"/>
          <w:lang w:val="en-GB"/>
        </w:rPr>
        <w:t>)</w:t>
      </w:r>
      <w:r>
        <w:rPr>
          <w:rFonts w:hint="eastAsia"/>
          <w:lang w:val="en-GB"/>
        </w:rPr>
        <w:t>的角度了解强迫失踪事件</w:t>
      </w:r>
      <w:r>
        <w:rPr>
          <w:rStyle w:val="FootnoteReference"/>
        </w:rPr>
        <w:footnoteReference w:id="4"/>
      </w:r>
      <w:r>
        <w:rPr>
          <w:lang w:val="en-GB"/>
        </w:rPr>
        <w:t>；</w:t>
      </w:r>
    </w:p>
    <w:p w:rsidR="00B4256E" w:rsidRDefault="00B4256E">
      <w:pPr>
        <w:pStyle w:val="Bullet1GC"/>
        <w:rPr>
          <w:lang w:val="en-GB"/>
        </w:rPr>
      </w:pPr>
      <w:r>
        <w:rPr>
          <w:rFonts w:hint="eastAsia"/>
          <w:lang w:val="en-GB"/>
        </w:rPr>
        <w:t>1966</w:t>
      </w:r>
      <w:r>
        <w:rPr>
          <w:rFonts w:hint="eastAsia"/>
          <w:lang w:val="en-GB"/>
        </w:rPr>
        <w:t>年</w:t>
      </w:r>
      <w:r>
        <w:rPr>
          <w:rFonts w:hint="eastAsia"/>
          <w:lang w:val="en-GB"/>
        </w:rPr>
        <w:t>12</w:t>
      </w:r>
      <w:r>
        <w:rPr>
          <w:rFonts w:hint="eastAsia"/>
          <w:lang w:val="en-GB"/>
        </w:rPr>
        <w:t>月</w:t>
      </w:r>
      <w:r>
        <w:rPr>
          <w:rFonts w:hint="eastAsia"/>
          <w:lang w:val="en-GB"/>
        </w:rPr>
        <w:t>16</w:t>
      </w:r>
      <w:r>
        <w:rPr>
          <w:rFonts w:hint="eastAsia"/>
          <w:lang w:val="en-GB"/>
        </w:rPr>
        <w:t>日《公民权利和政治权利国际公约》；</w:t>
      </w:r>
    </w:p>
    <w:p w:rsidR="00B4256E" w:rsidRDefault="00B4256E">
      <w:pPr>
        <w:pStyle w:val="Bullet1GC"/>
        <w:rPr>
          <w:lang w:val="en-GB"/>
        </w:rPr>
      </w:pPr>
      <w:r>
        <w:rPr>
          <w:rFonts w:hint="eastAsia"/>
          <w:lang w:val="en-GB"/>
        </w:rPr>
        <w:t>1987</w:t>
      </w:r>
      <w:r>
        <w:rPr>
          <w:rFonts w:hint="eastAsia"/>
          <w:lang w:val="en-GB"/>
        </w:rPr>
        <w:t>年</w:t>
      </w:r>
      <w:r>
        <w:rPr>
          <w:rFonts w:hint="eastAsia"/>
          <w:lang w:val="en-GB"/>
        </w:rPr>
        <w:t>11</w:t>
      </w:r>
      <w:r>
        <w:rPr>
          <w:rFonts w:hint="eastAsia"/>
          <w:lang w:val="en-GB"/>
        </w:rPr>
        <w:t>月</w:t>
      </w:r>
      <w:r>
        <w:rPr>
          <w:rFonts w:hint="eastAsia"/>
          <w:lang w:val="en-GB"/>
        </w:rPr>
        <w:t>26</w:t>
      </w:r>
      <w:r>
        <w:rPr>
          <w:rFonts w:hint="eastAsia"/>
          <w:lang w:val="en-GB"/>
        </w:rPr>
        <w:t>日</w:t>
      </w:r>
      <w:r>
        <w:rPr>
          <w:lang w:val="en-GB"/>
        </w:rPr>
        <w:t xml:space="preserve"> </w:t>
      </w:r>
      <w:r>
        <w:rPr>
          <w:lang w:val="en-GB"/>
        </w:rPr>
        <w:t>《欧洲防止酷刑和不人道或有辱人格待遇或处罚公约》</w:t>
      </w:r>
      <w:r>
        <w:rPr>
          <w:rFonts w:hint="eastAsia"/>
          <w:lang w:val="en-GB"/>
        </w:rPr>
        <w:t>，根据该公约设立的欧洲防止酷刑委员会有权视察一切剥夺自由场所，迄今已经对法国进行了</w:t>
      </w:r>
      <w:r>
        <w:rPr>
          <w:rFonts w:hint="eastAsia"/>
          <w:lang w:val="en-GB"/>
        </w:rPr>
        <w:t>11</w:t>
      </w:r>
      <w:r>
        <w:rPr>
          <w:rFonts w:hint="eastAsia"/>
          <w:lang w:val="en-GB"/>
        </w:rPr>
        <w:t>次视察；</w:t>
      </w:r>
    </w:p>
    <w:p w:rsidR="00B4256E" w:rsidRDefault="00B4256E">
      <w:pPr>
        <w:pStyle w:val="Bullet1GC"/>
        <w:rPr>
          <w:lang w:val="en-GB"/>
        </w:rPr>
      </w:pPr>
      <w:r>
        <w:rPr>
          <w:rFonts w:hint="eastAsia"/>
          <w:lang w:val="en-GB"/>
        </w:rPr>
        <w:t>1984</w:t>
      </w:r>
      <w:r>
        <w:rPr>
          <w:rFonts w:hint="eastAsia"/>
          <w:lang w:val="en-GB"/>
        </w:rPr>
        <w:t>年</w:t>
      </w:r>
      <w:r>
        <w:rPr>
          <w:rFonts w:hint="eastAsia"/>
          <w:lang w:val="en-GB"/>
        </w:rPr>
        <w:t>12</w:t>
      </w:r>
      <w:r>
        <w:rPr>
          <w:rFonts w:hint="eastAsia"/>
          <w:lang w:val="en-GB"/>
        </w:rPr>
        <w:t>月</w:t>
      </w:r>
      <w:r>
        <w:rPr>
          <w:rFonts w:hint="eastAsia"/>
          <w:lang w:val="en-GB"/>
        </w:rPr>
        <w:t>10</w:t>
      </w:r>
      <w:r>
        <w:rPr>
          <w:rFonts w:hint="eastAsia"/>
          <w:lang w:val="en-GB"/>
        </w:rPr>
        <w:t>日</w:t>
      </w:r>
      <w:r>
        <w:rPr>
          <w:lang w:val="en-GB"/>
        </w:rPr>
        <w:t>《</w:t>
      </w:r>
      <w:r>
        <w:rPr>
          <w:rFonts w:hint="eastAsia"/>
          <w:lang w:val="en-GB"/>
        </w:rPr>
        <w:t>联合国</w:t>
      </w:r>
      <w:r>
        <w:rPr>
          <w:lang w:val="en-GB"/>
        </w:rPr>
        <w:t>禁止酷刑和其他残忍、不人道或有辱人格的待遇或处罚公约》</w:t>
      </w:r>
      <w:r>
        <w:rPr>
          <w:rFonts w:hint="eastAsia"/>
          <w:lang w:val="en-GB"/>
        </w:rPr>
        <w:t>以及关于该公约的</w:t>
      </w:r>
      <w:r>
        <w:rPr>
          <w:rFonts w:hint="eastAsia"/>
          <w:lang w:val="en-GB"/>
        </w:rPr>
        <w:t>2002</w:t>
      </w:r>
      <w:r>
        <w:rPr>
          <w:rFonts w:hint="eastAsia"/>
          <w:lang w:val="en-GB"/>
        </w:rPr>
        <w:t>年</w:t>
      </w:r>
      <w:r>
        <w:rPr>
          <w:rFonts w:hint="eastAsia"/>
          <w:lang w:val="en-GB"/>
        </w:rPr>
        <w:t>12</w:t>
      </w:r>
      <w:r>
        <w:rPr>
          <w:rFonts w:hint="eastAsia"/>
          <w:lang w:val="en-GB"/>
        </w:rPr>
        <w:t>月</w:t>
      </w:r>
      <w:r>
        <w:rPr>
          <w:rFonts w:hint="eastAsia"/>
          <w:lang w:val="en-GB"/>
        </w:rPr>
        <w:t>18</w:t>
      </w:r>
      <w:r>
        <w:rPr>
          <w:rFonts w:hint="eastAsia"/>
          <w:lang w:val="en-GB"/>
        </w:rPr>
        <w:t>日《任择议定书》，根据该议定书设立了剥夺自由场所总监察，作为国家预防酷刑机制。</w:t>
      </w:r>
    </w:p>
    <w:p w:rsidR="00B4256E" w:rsidRDefault="00B4256E">
      <w:pPr>
        <w:pStyle w:val="Bullet1GC"/>
        <w:rPr>
          <w:lang w:val="en-GB"/>
        </w:rPr>
      </w:pPr>
      <w:r>
        <w:rPr>
          <w:rFonts w:hint="eastAsia"/>
          <w:lang w:val="en-GB"/>
        </w:rPr>
        <w:t>1949</w:t>
      </w:r>
      <w:r>
        <w:rPr>
          <w:rFonts w:hint="eastAsia"/>
          <w:lang w:val="en-GB"/>
        </w:rPr>
        <w:t>年</w:t>
      </w:r>
      <w:r>
        <w:rPr>
          <w:rFonts w:hint="eastAsia"/>
          <w:lang w:val="en-GB"/>
        </w:rPr>
        <w:t>8</w:t>
      </w:r>
      <w:r>
        <w:rPr>
          <w:rFonts w:hint="eastAsia"/>
          <w:lang w:val="en-GB"/>
        </w:rPr>
        <w:t>月</w:t>
      </w:r>
      <w:r>
        <w:rPr>
          <w:rFonts w:hint="eastAsia"/>
          <w:lang w:val="en-GB"/>
        </w:rPr>
        <w:t>12</w:t>
      </w:r>
      <w:r>
        <w:rPr>
          <w:rFonts w:hint="eastAsia"/>
          <w:lang w:val="en-GB"/>
        </w:rPr>
        <w:t>日《日内瓦公约》及其</w:t>
      </w:r>
      <w:r>
        <w:rPr>
          <w:rFonts w:hint="eastAsia"/>
          <w:lang w:val="en-GB"/>
        </w:rPr>
        <w:t>1977</w:t>
      </w:r>
      <w:r>
        <w:rPr>
          <w:rFonts w:hint="eastAsia"/>
          <w:lang w:val="en-GB"/>
        </w:rPr>
        <w:t>年</w:t>
      </w:r>
      <w:r>
        <w:rPr>
          <w:rFonts w:hint="eastAsia"/>
          <w:lang w:val="en-GB"/>
        </w:rPr>
        <w:t>6</w:t>
      </w:r>
      <w:r>
        <w:rPr>
          <w:rFonts w:hint="eastAsia"/>
          <w:lang w:val="en-GB"/>
        </w:rPr>
        <w:t>月</w:t>
      </w:r>
      <w:r>
        <w:rPr>
          <w:rFonts w:hint="eastAsia"/>
          <w:lang w:val="en-GB"/>
        </w:rPr>
        <w:t>8</w:t>
      </w:r>
      <w:r>
        <w:rPr>
          <w:rFonts w:hint="eastAsia"/>
          <w:lang w:val="en-GB"/>
        </w:rPr>
        <w:t>日《附加议定书》，其赋予了红十字国际委员会</w:t>
      </w:r>
      <w:r>
        <w:rPr>
          <w:rFonts w:hint="eastAsia"/>
          <w:lang w:val="en-GB"/>
        </w:rPr>
        <w:t>(</w:t>
      </w:r>
      <w:r>
        <w:rPr>
          <w:rFonts w:hint="eastAsia"/>
          <w:lang w:val="en-GB"/>
        </w:rPr>
        <w:t>红十字委员会</w:t>
      </w:r>
      <w:r>
        <w:rPr>
          <w:rFonts w:hint="eastAsia"/>
          <w:lang w:val="en-GB"/>
        </w:rPr>
        <w:t>)</w:t>
      </w:r>
      <w:r>
        <w:rPr>
          <w:rFonts w:hint="eastAsia"/>
          <w:lang w:val="en-GB"/>
        </w:rPr>
        <w:t>探视战俘的权利；</w:t>
      </w:r>
    </w:p>
    <w:p w:rsidR="00B4256E" w:rsidRDefault="00B4256E">
      <w:pPr>
        <w:pStyle w:val="Bullet1GC"/>
        <w:rPr>
          <w:lang w:val="en-GB"/>
        </w:rPr>
      </w:pPr>
      <w:r>
        <w:rPr>
          <w:rFonts w:hint="eastAsia"/>
          <w:lang w:val="en-GB"/>
        </w:rPr>
        <w:t>关于设立国际刑事法院的</w:t>
      </w:r>
      <w:r>
        <w:rPr>
          <w:rFonts w:hint="eastAsia"/>
          <w:lang w:val="en-GB"/>
        </w:rPr>
        <w:t>1998</w:t>
      </w:r>
      <w:r>
        <w:rPr>
          <w:rFonts w:hint="eastAsia"/>
          <w:lang w:val="en-GB"/>
        </w:rPr>
        <w:t>年</w:t>
      </w:r>
      <w:r>
        <w:rPr>
          <w:rFonts w:hint="eastAsia"/>
          <w:lang w:val="en-GB"/>
        </w:rPr>
        <w:t>7</w:t>
      </w:r>
      <w:r>
        <w:rPr>
          <w:rFonts w:hint="eastAsia"/>
          <w:lang w:val="en-GB"/>
        </w:rPr>
        <w:t>月</w:t>
      </w:r>
      <w:r>
        <w:rPr>
          <w:rFonts w:hint="eastAsia"/>
          <w:lang w:val="en-GB"/>
        </w:rPr>
        <w:t>17</w:t>
      </w:r>
      <w:r>
        <w:rPr>
          <w:rFonts w:hint="eastAsia"/>
          <w:lang w:val="en-GB"/>
        </w:rPr>
        <w:t>日《罗马规约》，其第</w:t>
      </w:r>
      <w:r>
        <w:rPr>
          <w:rFonts w:hint="eastAsia"/>
          <w:lang w:val="en-GB"/>
        </w:rPr>
        <w:t>7</w:t>
      </w:r>
      <w:r>
        <w:rPr>
          <w:rFonts w:hint="eastAsia"/>
          <w:lang w:val="en-GB"/>
        </w:rPr>
        <w:t>条将普遍或系统袭击平民并且了解袭击情况背景下实施的强迫失踪定性为危害人类罪。</w:t>
      </w:r>
    </w:p>
    <w:p w:rsidR="00B4256E" w:rsidRDefault="00B4256E">
      <w:pPr>
        <w:pStyle w:val="SingleTxtGC"/>
        <w:rPr>
          <w:rFonts w:hint="eastAsia"/>
          <w:lang w:val="en-GB"/>
        </w:rPr>
      </w:pPr>
      <w:r>
        <w:rPr>
          <w:lang w:val="en-GB"/>
        </w:rPr>
        <w:t xml:space="preserve">8.  </w:t>
      </w:r>
      <w:r>
        <w:rPr>
          <w:rFonts w:hint="eastAsia"/>
          <w:lang w:val="en-GB"/>
        </w:rPr>
        <w:t>总而言之，导致需要调整法国刑罚的《公约》条款只有下述这些：</w:t>
      </w:r>
    </w:p>
    <w:p w:rsidR="00B4256E" w:rsidRDefault="00B4256E">
      <w:pPr>
        <w:pStyle w:val="Bullet1GC"/>
        <w:rPr>
          <w:lang w:val="en-GB"/>
        </w:rPr>
      </w:pPr>
      <w:r>
        <w:rPr>
          <w:rFonts w:hint="eastAsia"/>
          <w:lang w:val="en-GB"/>
        </w:rPr>
        <w:t>专门将强迫失踪罪定为刑事犯罪</w:t>
      </w:r>
      <w:r>
        <w:rPr>
          <w:rFonts w:hint="eastAsia"/>
          <w:lang w:val="en-GB"/>
        </w:rPr>
        <w:t>(</w:t>
      </w:r>
      <w:r>
        <w:rPr>
          <w:rFonts w:hint="eastAsia"/>
          <w:lang w:val="en-GB"/>
        </w:rPr>
        <w:t>《公约》第二条、第四条和第六条第一款</w:t>
      </w:r>
      <w:r>
        <w:rPr>
          <w:rFonts w:hint="eastAsia"/>
          <w:lang w:val="en-GB"/>
        </w:rPr>
        <w:t>(</w:t>
      </w:r>
      <w:r>
        <w:rPr>
          <w:rFonts w:hint="eastAsia"/>
          <w:lang w:val="en-GB"/>
        </w:rPr>
        <w:t>二</w:t>
      </w:r>
      <w:r>
        <w:rPr>
          <w:rFonts w:hint="eastAsia"/>
          <w:lang w:val="en-GB"/>
        </w:rPr>
        <w:t>)</w:t>
      </w:r>
      <w:r>
        <w:rPr>
          <w:rFonts w:hint="eastAsia"/>
          <w:lang w:val="en-GB"/>
        </w:rPr>
        <w:t>项</w:t>
      </w:r>
      <w:r>
        <w:rPr>
          <w:rFonts w:hint="eastAsia"/>
          <w:lang w:val="en-GB"/>
        </w:rPr>
        <w:t>2</w:t>
      </w:r>
      <w:r>
        <w:rPr>
          <w:rFonts w:hint="eastAsia"/>
          <w:lang w:val="en-GB"/>
        </w:rPr>
        <w:t>目</w:t>
      </w:r>
      <w:r>
        <w:rPr>
          <w:rFonts w:hint="eastAsia"/>
          <w:lang w:val="en-GB"/>
        </w:rPr>
        <w:t>)</w:t>
      </w:r>
      <w:r>
        <w:rPr>
          <w:rFonts w:hint="eastAsia"/>
          <w:lang w:val="en-GB"/>
        </w:rPr>
        <w:t>；</w:t>
      </w:r>
    </w:p>
    <w:p w:rsidR="00B4256E" w:rsidRDefault="00B4256E">
      <w:pPr>
        <w:pStyle w:val="Bullet1GC"/>
        <w:rPr>
          <w:lang w:val="en-GB"/>
        </w:rPr>
      </w:pPr>
      <w:r>
        <w:rPr>
          <w:rFonts w:hint="eastAsia"/>
          <w:lang w:val="en-GB"/>
        </w:rPr>
        <w:t>确定适用于该罪行的刑罚</w:t>
      </w:r>
      <w:r>
        <w:rPr>
          <w:lang w:val="en-GB"/>
        </w:rPr>
        <w:t>(</w:t>
      </w:r>
      <w:r>
        <w:rPr>
          <w:rFonts w:hint="eastAsia"/>
          <w:lang w:val="en-GB"/>
        </w:rPr>
        <w:t>《公约》第七条第</w:t>
      </w:r>
      <w:r>
        <w:rPr>
          <w:lang w:val="en-GB"/>
        </w:rPr>
        <w:t>1</w:t>
      </w:r>
      <w:r>
        <w:rPr>
          <w:rFonts w:hint="eastAsia"/>
          <w:lang w:val="en-GB"/>
        </w:rPr>
        <w:t>款</w:t>
      </w:r>
      <w:r>
        <w:rPr>
          <w:rFonts w:hint="eastAsia"/>
          <w:lang w:val="en-GB"/>
        </w:rPr>
        <w:t>)</w:t>
      </w:r>
      <w:r>
        <w:rPr>
          <w:rFonts w:hint="eastAsia"/>
          <w:lang w:val="en-GB"/>
        </w:rPr>
        <w:t>；</w:t>
      </w:r>
    </w:p>
    <w:p w:rsidR="00B4256E" w:rsidRDefault="00B4256E">
      <w:pPr>
        <w:pStyle w:val="Bullet1GC"/>
        <w:rPr>
          <w:lang w:val="en-GB"/>
        </w:rPr>
      </w:pPr>
      <w:r>
        <w:rPr>
          <w:rFonts w:hint="eastAsia"/>
          <w:lang w:val="en-GB"/>
        </w:rPr>
        <w:t>按照《公约》第八条第一款之规定确定诉讼时效的期限；</w:t>
      </w:r>
    </w:p>
    <w:p w:rsidR="00B4256E" w:rsidRDefault="00B4256E">
      <w:pPr>
        <w:pStyle w:val="Bullet1GC"/>
        <w:rPr>
          <w:lang w:val="en-GB"/>
        </w:rPr>
      </w:pPr>
      <w:r>
        <w:rPr>
          <w:rFonts w:hint="eastAsia"/>
          <w:lang w:val="en-GB"/>
        </w:rPr>
        <w:t>通过将《公约》加入《刑法典》第</w:t>
      </w:r>
      <w:r>
        <w:rPr>
          <w:lang w:val="en-GB"/>
        </w:rPr>
        <w:t>689-1</w:t>
      </w:r>
      <w:r>
        <w:rPr>
          <w:rFonts w:hint="eastAsia"/>
          <w:lang w:val="en-GB"/>
        </w:rPr>
        <w:t>条所述文本清单，为法国司法机构确立几乎普遍的权限</w:t>
      </w:r>
      <w:r>
        <w:rPr>
          <w:rFonts w:hint="eastAsia"/>
          <w:lang w:val="en-GB"/>
        </w:rPr>
        <w:t>(</w:t>
      </w:r>
      <w:r>
        <w:rPr>
          <w:rFonts w:hint="eastAsia"/>
          <w:lang w:val="en-GB"/>
        </w:rPr>
        <w:t>《公约》第九条第二款</w:t>
      </w:r>
      <w:r>
        <w:rPr>
          <w:rFonts w:hint="eastAsia"/>
          <w:lang w:val="en-GB"/>
        </w:rPr>
        <w:t>)</w:t>
      </w:r>
      <w:r>
        <w:rPr>
          <w:rFonts w:hint="eastAsia"/>
          <w:lang w:val="en-GB"/>
        </w:rPr>
        <w:t>；</w:t>
      </w:r>
    </w:p>
    <w:p w:rsidR="00B4256E" w:rsidRDefault="00B4256E">
      <w:pPr>
        <w:pStyle w:val="Bullet1GC"/>
        <w:rPr>
          <w:lang w:val="en-GB"/>
        </w:rPr>
      </w:pPr>
      <w:r>
        <w:rPr>
          <w:rFonts w:hint="eastAsia"/>
          <w:lang w:val="en-GB"/>
        </w:rPr>
        <w:t>纳入“不引渡即审判”原则</w:t>
      </w:r>
      <w:r>
        <w:rPr>
          <w:rFonts w:hint="eastAsia"/>
          <w:lang w:val="en-GB"/>
        </w:rPr>
        <w:t>(</w:t>
      </w:r>
      <w:r>
        <w:rPr>
          <w:rFonts w:hint="eastAsia"/>
          <w:lang w:val="en-GB"/>
        </w:rPr>
        <w:t>《公约》第十一条</w:t>
      </w:r>
      <w:r>
        <w:rPr>
          <w:rFonts w:hint="eastAsia"/>
          <w:lang w:val="en-GB"/>
        </w:rPr>
        <w:t>)</w:t>
      </w:r>
      <w:r>
        <w:rPr>
          <w:rFonts w:hint="eastAsia"/>
          <w:lang w:val="en-GB"/>
        </w:rPr>
        <w:t>。</w:t>
      </w:r>
    </w:p>
    <w:p w:rsidR="00B4256E" w:rsidRDefault="00B4256E">
      <w:pPr>
        <w:pStyle w:val="SingleTxtGC"/>
        <w:rPr>
          <w:rFonts w:hint="eastAsia"/>
          <w:lang w:val="en-GB"/>
        </w:rPr>
      </w:pPr>
      <w:r>
        <w:rPr>
          <w:lang w:val="en-GB"/>
        </w:rPr>
        <w:t xml:space="preserve">9.  </w:t>
      </w:r>
      <w:r>
        <w:rPr>
          <w:rFonts w:hint="eastAsia"/>
          <w:lang w:val="en-GB"/>
        </w:rPr>
        <w:t>起草了一项关于按照《公约》义务调整法国刑罚的法律草案，以使国内立法与《公约》相符。该文本的初稿已于</w:t>
      </w:r>
      <w:r>
        <w:rPr>
          <w:rFonts w:hint="eastAsia"/>
          <w:lang w:val="en-GB"/>
        </w:rPr>
        <w:t>2011</w:t>
      </w:r>
      <w:r>
        <w:rPr>
          <w:rFonts w:hint="eastAsia"/>
          <w:lang w:val="en-GB"/>
        </w:rPr>
        <w:t>年初提交国家人权咨询委员会，以征求意见，国家人权咨询委员会在</w:t>
      </w:r>
      <w:r>
        <w:rPr>
          <w:rFonts w:hint="eastAsia"/>
          <w:lang w:val="en-GB"/>
        </w:rPr>
        <w:t>2011</w:t>
      </w:r>
      <w:r>
        <w:rPr>
          <w:rFonts w:hint="eastAsia"/>
          <w:lang w:val="en-GB"/>
        </w:rPr>
        <w:t>年</w:t>
      </w:r>
      <w:r>
        <w:rPr>
          <w:rFonts w:hint="eastAsia"/>
          <w:lang w:val="en-GB"/>
        </w:rPr>
        <w:t>3</w:t>
      </w:r>
      <w:r>
        <w:rPr>
          <w:rFonts w:hint="eastAsia"/>
          <w:lang w:val="en-GB"/>
        </w:rPr>
        <w:t>月</w:t>
      </w:r>
      <w:r>
        <w:rPr>
          <w:rFonts w:hint="eastAsia"/>
          <w:lang w:val="en-GB"/>
        </w:rPr>
        <w:t>1</w:t>
      </w:r>
      <w:r>
        <w:rPr>
          <w:rFonts w:hint="eastAsia"/>
          <w:lang w:val="en-GB"/>
        </w:rPr>
        <w:t>日的一项说明中提出了评论意见。</w:t>
      </w:r>
    </w:p>
    <w:p w:rsidR="00B4256E" w:rsidRDefault="00B4256E">
      <w:pPr>
        <w:pStyle w:val="SingleTxtGC"/>
        <w:rPr>
          <w:rFonts w:hint="eastAsia"/>
          <w:lang w:val="en-GB"/>
        </w:rPr>
      </w:pPr>
      <w:r>
        <w:rPr>
          <w:lang w:val="en-GB"/>
        </w:rPr>
        <w:t xml:space="preserve">10.  </w:t>
      </w:r>
      <w:r>
        <w:rPr>
          <w:rFonts w:hint="eastAsia"/>
          <w:lang w:val="en-GB"/>
        </w:rPr>
        <w:t>该草案已于</w:t>
      </w:r>
      <w:r>
        <w:rPr>
          <w:rFonts w:hint="eastAsia"/>
          <w:lang w:val="en-GB"/>
        </w:rPr>
        <w:t>2012</w:t>
      </w:r>
      <w:r>
        <w:rPr>
          <w:rFonts w:hint="eastAsia"/>
          <w:lang w:val="en-GB"/>
        </w:rPr>
        <w:t>年</w:t>
      </w:r>
      <w:r>
        <w:rPr>
          <w:rFonts w:hint="eastAsia"/>
          <w:lang w:val="en-GB"/>
        </w:rPr>
        <w:t>1</w:t>
      </w:r>
      <w:r>
        <w:rPr>
          <w:rFonts w:hint="eastAsia"/>
          <w:lang w:val="en-GB"/>
        </w:rPr>
        <w:t>月</w:t>
      </w:r>
      <w:r>
        <w:rPr>
          <w:rFonts w:hint="eastAsia"/>
          <w:lang w:val="en-GB"/>
        </w:rPr>
        <w:t>11</w:t>
      </w:r>
      <w:r>
        <w:rPr>
          <w:rFonts w:hint="eastAsia"/>
          <w:lang w:val="en-GB"/>
        </w:rPr>
        <w:t>日提交参议院，编号是</w:t>
      </w:r>
      <w:r>
        <w:rPr>
          <w:rFonts w:hint="eastAsia"/>
          <w:lang w:val="en-GB"/>
        </w:rPr>
        <w:t>250</w:t>
      </w:r>
      <w:r>
        <w:rPr>
          <w:rFonts w:hint="eastAsia"/>
          <w:lang w:val="en-GB"/>
        </w:rPr>
        <w:t>，该草案尚未被列入参议院的议程。</w:t>
      </w:r>
    </w:p>
    <w:p w:rsidR="00B4256E" w:rsidRDefault="00B4256E">
      <w:pPr>
        <w:pStyle w:val="SingleTxtGC"/>
        <w:rPr>
          <w:rFonts w:hint="eastAsia"/>
          <w:lang w:val="en-GB"/>
        </w:rPr>
      </w:pPr>
      <w:r>
        <w:rPr>
          <w:lang w:val="en-GB"/>
        </w:rPr>
        <w:t xml:space="preserve">11.  </w:t>
      </w:r>
      <w:r>
        <w:rPr>
          <w:rFonts w:hint="eastAsia"/>
          <w:lang w:val="en-GB"/>
        </w:rPr>
        <w:t>法国政府对这一立法改革尚未完成感到遗憾，决心尽一切努力使该法律草案尽快获得通过，法国政府承诺，一俟该文本生效就将文本颁布的信息告知委员会，并且表示希望可以就由此导致的立法修订的范围和内容交换看法，这是《公约》第二十九条第三款和第四款所允许的。</w:t>
      </w:r>
    </w:p>
    <w:p w:rsidR="00B4256E" w:rsidRDefault="00B4256E">
      <w:pPr>
        <w:pStyle w:val="SingleTxtGC"/>
        <w:rPr>
          <w:rFonts w:hint="eastAsia"/>
          <w:lang w:val="en-GB"/>
        </w:rPr>
      </w:pPr>
      <w:r>
        <w:rPr>
          <w:lang w:val="en-GB"/>
        </w:rPr>
        <w:t xml:space="preserve">12.  </w:t>
      </w:r>
      <w:r>
        <w:rPr>
          <w:rFonts w:hint="eastAsia"/>
          <w:lang w:val="en-GB"/>
        </w:rPr>
        <w:t>在这之前将在本报告中介绍草案目前的版本中的条款，但议会讨论过程中可能对该版本进行修订。</w:t>
      </w:r>
    </w:p>
    <w:p w:rsidR="00B4256E" w:rsidRDefault="00B4256E">
      <w:pPr>
        <w:pStyle w:val="H1GC"/>
        <w:rPr>
          <w:rFonts w:hint="eastAsia"/>
          <w:lang w:val="en-GB"/>
        </w:rPr>
      </w:pPr>
      <w:r>
        <w:rPr>
          <w:rFonts w:hint="eastAsia"/>
          <w:lang w:val="en-GB"/>
        </w:rPr>
        <w:tab/>
      </w:r>
      <w:r>
        <w:rPr>
          <w:lang w:val="en-GB"/>
        </w:rPr>
        <w:t>B.</w:t>
      </w:r>
      <w:r>
        <w:rPr>
          <w:lang w:val="en-GB"/>
        </w:rPr>
        <w:tab/>
      </w:r>
      <w:r>
        <w:rPr>
          <w:rFonts w:hint="eastAsia"/>
          <w:lang w:val="en-GB"/>
        </w:rPr>
        <w:t>法国的强迫失踪或非自愿失踪案件以及关于预防和惩治这一罪行的条款的适用</w:t>
      </w:r>
    </w:p>
    <w:p w:rsidR="00B4256E" w:rsidRDefault="00B4256E">
      <w:pPr>
        <w:pStyle w:val="SingleTxtGC"/>
        <w:rPr>
          <w:rFonts w:hint="eastAsia"/>
          <w:lang w:val="en-GB"/>
        </w:rPr>
      </w:pPr>
      <w:r>
        <w:rPr>
          <w:lang w:val="en-GB"/>
        </w:rPr>
        <w:t xml:space="preserve">13.  </w:t>
      </w:r>
      <w:r>
        <w:rPr>
          <w:rFonts w:hint="eastAsia"/>
          <w:lang w:val="en-GB"/>
        </w:rPr>
        <w:t>据政府所知，在法国没有因《公约》意义上的强迫失踪实施过任何刑事程序。</w:t>
      </w:r>
    </w:p>
    <w:p w:rsidR="00B4256E" w:rsidRDefault="00B4256E">
      <w:pPr>
        <w:pStyle w:val="H1GC"/>
        <w:rPr>
          <w:lang w:val="en-GB"/>
        </w:rPr>
      </w:pPr>
      <w:r>
        <w:rPr>
          <w:lang w:val="en-GB"/>
        </w:rPr>
        <w:tab/>
        <w:t>C.</w:t>
      </w:r>
      <w:r>
        <w:rPr>
          <w:lang w:val="en-GB"/>
        </w:rPr>
        <w:tab/>
      </w:r>
      <w:r>
        <w:rPr>
          <w:rFonts w:hint="eastAsia"/>
          <w:lang w:val="en-GB"/>
        </w:rPr>
        <w:t>促进《公约》</w:t>
      </w:r>
    </w:p>
    <w:p w:rsidR="00B4256E" w:rsidRDefault="00B4256E">
      <w:pPr>
        <w:pStyle w:val="SingleTxtGC"/>
        <w:rPr>
          <w:rFonts w:hint="eastAsia"/>
          <w:lang w:val="en-GB"/>
        </w:rPr>
      </w:pPr>
      <w:r>
        <w:rPr>
          <w:lang w:val="en-GB"/>
        </w:rPr>
        <w:t xml:space="preserve">14.  </w:t>
      </w:r>
      <w:r>
        <w:rPr>
          <w:rFonts w:hint="eastAsia"/>
          <w:lang w:val="en-GB"/>
        </w:rPr>
        <w:t>多年来，法国一直全力打击强迫失踪现象。</w:t>
      </w:r>
    </w:p>
    <w:p w:rsidR="00B4256E" w:rsidRDefault="00B4256E">
      <w:pPr>
        <w:pStyle w:val="SingleTxtGC"/>
        <w:rPr>
          <w:rFonts w:hint="eastAsia"/>
          <w:lang w:val="en-GB"/>
        </w:rPr>
      </w:pPr>
      <w:r>
        <w:rPr>
          <w:lang w:val="en-GB"/>
        </w:rPr>
        <w:t xml:space="preserve">15.  </w:t>
      </w:r>
      <w:r>
        <w:rPr>
          <w:rFonts w:hint="eastAsia"/>
          <w:lang w:val="en-GB"/>
        </w:rPr>
        <w:t>法国是第</w:t>
      </w:r>
      <w:r>
        <w:rPr>
          <w:lang w:val="en-GB"/>
        </w:rPr>
        <w:t>33/173</w:t>
      </w:r>
      <w:r>
        <w:rPr>
          <w:rFonts w:hint="eastAsia"/>
          <w:lang w:val="en-GB"/>
        </w:rPr>
        <w:t>号决议的发起者，这是关于失踪者的首个决议，</w:t>
      </w:r>
      <w:r>
        <w:rPr>
          <w:rFonts w:hint="eastAsia"/>
          <w:lang w:val="en-GB"/>
        </w:rPr>
        <w:t>1978</w:t>
      </w:r>
      <w:r>
        <w:rPr>
          <w:rFonts w:hint="eastAsia"/>
          <w:lang w:val="en-GB"/>
        </w:rPr>
        <w:t>年</w:t>
      </w:r>
      <w:r>
        <w:rPr>
          <w:rFonts w:hint="eastAsia"/>
          <w:lang w:val="en-GB"/>
        </w:rPr>
        <w:t>12</w:t>
      </w:r>
      <w:r>
        <w:rPr>
          <w:rFonts w:hint="eastAsia"/>
          <w:lang w:val="en-GB"/>
        </w:rPr>
        <w:t>月</w:t>
      </w:r>
      <w:r>
        <w:rPr>
          <w:rFonts w:hint="eastAsia"/>
          <w:lang w:val="en-GB"/>
        </w:rPr>
        <w:t>20</w:t>
      </w:r>
      <w:r>
        <w:rPr>
          <w:rFonts w:hint="eastAsia"/>
          <w:lang w:val="en-GB"/>
        </w:rPr>
        <w:t>日获得联合国大会通过，法国主持了关于</w:t>
      </w:r>
      <w:r>
        <w:rPr>
          <w:rFonts w:hint="eastAsia"/>
          <w:lang w:val="en-GB"/>
        </w:rPr>
        <w:t>1992</w:t>
      </w:r>
      <w:r>
        <w:rPr>
          <w:rFonts w:hint="eastAsia"/>
          <w:lang w:val="en-GB"/>
        </w:rPr>
        <w:t>年</w:t>
      </w:r>
      <w:r>
        <w:rPr>
          <w:rFonts w:hint="eastAsia"/>
          <w:lang w:val="en-GB"/>
        </w:rPr>
        <w:t>12</w:t>
      </w:r>
      <w:r>
        <w:rPr>
          <w:rFonts w:hint="eastAsia"/>
          <w:lang w:val="en-GB"/>
        </w:rPr>
        <w:t>月</w:t>
      </w:r>
      <w:r>
        <w:rPr>
          <w:rFonts w:hint="eastAsia"/>
          <w:lang w:val="en-GB"/>
        </w:rPr>
        <w:t>18</w:t>
      </w:r>
      <w:r>
        <w:rPr>
          <w:rFonts w:hint="eastAsia"/>
          <w:lang w:val="en-GB"/>
        </w:rPr>
        <w:t>日《保护所有人不遭受强迫失踪宣言》的谈判工作，联合国大会在其第</w:t>
      </w:r>
      <w:r>
        <w:rPr>
          <w:lang w:val="en-GB"/>
        </w:rPr>
        <w:t>47/133</w:t>
      </w:r>
      <w:r>
        <w:rPr>
          <w:rFonts w:hint="eastAsia"/>
          <w:lang w:val="en-GB"/>
        </w:rPr>
        <w:t>号决议中通过了该宣言。</w:t>
      </w:r>
    </w:p>
    <w:p w:rsidR="00B4256E" w:rsidRDefault="00B4256E">
      <w:pPr>
        <w:pStyle w:val="SingleTxtGC"/>
        <w:rPr>
          <w:rFonts w:hint="eastAsia"/>
          <w:lang w:val="en-GB"/>
        </w:rPr>
      </w:pPr>
      <w:r>
        <w:rPr>
          <w:lang w:val="en-GB"/>
        </w:rPr>
        <w:t xml:space="preserve">16.  </w:t>
      </w:r>
      <w:r>
        <w:rPr>
          <w:rFonts w:hint="eastAsia"/>
          <w:lang w:val="en-GB"/>
        </w:rPr>
        <w:t>1998</w:t>
      </w:r>
      <w:r>
        <w:rPr>
          <w:rFonts w:hint="eastAsia"/>
          <w:lang w:val="en-GB"/>
        </w:rPr>
        <w:t>年，是一位法国专家，</w:t>
      </w:r>
      <w:r>
        <w:rPr>
          <w:lang w:val="en-GB"/>
        </w:rPr>
        <w:t>Louis Joinet</w:t>
      </w:r>
      <w:r>
        <w:rPr>
          <w:rFonts w:hint="eastAsia"/>
          <w:lang w:val="en-GB"/>
        </w:rPr>
        <w:t>，起草了这方面第一个约束性文书草案。此外，通过担任负责编写保护所有人免遭强迫失踪公约的文书草案的联合国人权委员会所设工作组主席，法国为制定一个既满足各受害者协会对伸张正义所表达的强烈需求，同时也令整个国际社会感到满意的文本发挥了促进作用。</w:t>
      </w:r>
    </w:p>
    <w:p w:rsidR="00B4256E" w:rsidRDefault="00B4256E">
      <w:pPr>
        <w:pStyle w:val="SingleTxtGC"/>
        <w:rPr>
          <w:rFonts w:hint="eastAsia"/>
          <w:lang w:val="en-GB"/>
        </w:rPr>
      </w:pPr>
      <w:r>
        <w:rPr>
          <w:lang w:val="en-GB"/>
        </w:rPr>
        <w:t xml:space="preserve">17.  </w:t>
      </w:r>
      <w:r>
        <w:rPr>
          <w:rFonts w:hint="eastAsia"/>
          <w:lang w:val="en-GB"/>
        </w:rPr>
        <w:t>按照大会的相关决议，并且为了表示对超过</w:t>
      </w:r>
      <w:r>
        <w:rPr>
          <w:rFonts w:hint="eastAsia"/>
          <w:lang w:val="en-GB"/>
        </w:rPr>
        <w:t>25</w:t>
      </w:r>
      <w:r>
        <w:rPr>
          <w:rFonts w:hint="eastAsia"/>
          <w:lang w:val="en-GB"/>
        </w:rPr>
        <w:t>年来法国在该文件上发挥的突出作用的承认，《公约》签署仪式在巴黎隆重举行。</w:t>
      </w:r>
    </w:p>
    <w:p w:rsidR="00B4256E" w:rsidRDefault="00B4256E">
      <w:pPr>
        <w:pStyle w:val="SingleTxtGC"/>
        <w:rPr>
          <w:rFonts w:hint="eastAsia"/>
          <w:lang w:val="en-GB"/>
        </w:rPr>
      </w:pPr>
      <w:r>
        <w:rPr>
          <w:lang w:val="en-GB"/>
        </w:rPr>
        <w:t xml:space="preserve">18.  </w:t>
      </w:r>
      <w:r>
        <w:rPr>
          <w:rFonts w:hint="eastAsia"/>
          <w:lang w:val="en-GB"/>
        </w:rPr>
        <w:t>法国于</w:t>
      </w:r>
      <w:r>
        <w:rPr>
          <w:rFonts w:hint="eastAsia"/>
          <w:lang w:val="en-GB"/>
        </w:rPr>
        <w:t>2008</w:t>
      </w:r>
      <w:r>
        <w:rPr>
          <w:rFonts w:hint="eastAsia"/>
          <w:lang w:val="en-GB"/>
        </w:rPr>
        <w:t>年</w:t>
      </w:r>
      <w:r>
        <w:rPr>
          <w:rFonts w:hint="eastAsia"/>
          <w:lang w:val="en-GB"/>
        </w:rPr>
        <w:t>9</w:t>
      </w:r>
      <w:r>
        <w:rPr>
          <w:rFonts w:hint="eastAsia"/>
          <w:lang w:val="en-GB"/>
        </w:rPr>
        <w:t>月</w:t>
      </w:r>
      <w:r>
        <w:rPr>
          <w:rFonts w:hint="eastAsia"/>
          <w:lang w:val="en-GB"/>
        </w:rPr>
        <w:t>23</w:t>
      </w:r>
      <w:r>
        <w:rPr>
          <w:rFonts w:hint="eastAsia"/>
          <w:lang w:val="en-GB"/>
        </w:rPr>
        <w:t>日批准</w:t>
      </w:r>
      <w:r>
        <w:rPr>
          <w:lang w:val="en-GB"/>
        </w:rPr>
        <w:t>《保护所有人免遭强迫失踪国际公约》</w:t>
      </w:r>
      <w:r>
        <w:rPr>
          <w:rFonts w:hint="eastAsia"/>
          <w:lang w:val="en-GB"/>
        </w:rPr>
        <w:t>。它还承认强迫失踪问题委员会有权接收和审议《公约》第三十一条和第三十二条所述来文。</w:t>
      </w:r>
    </w:p>
    <w:p w:rsidR="00B4256E" w:rsidRDefault="00B4256E">
      <w:pPr>
        <w:pStyle w:val="SingleTxtGC"/>
        <w:rPr>
          <w:rFonts w:hint="eastAsia"/>
          <w:lang w:val="en-GB"/>
        </w:rPr>
      </w:pPr>
      <w:r>
        <w:rPr>
          <w:lang w:val="en-GB"/>
        </w:rPr>
        <w:t xml:space="preserve">19.  </w:t>
      </w:r>
      <w:r>
        <w:rPr>
          <w:rFonts w:hint="eastAsia"/>
          <w:lang w:val="en-GB"/>
        </w:rPr>
        <w:t>法国致力于使《公约》得到普遍加入，对联合国会员国开展了一些活动，目的是增加签署国的数量，并且使签署了《公约》的国家批准《公约》，这些活动有的是在一个非正式国家小组</w:t>
      </w:r>
      <w:r>
        <w:rPr>
          <w:rFonts w:hint="eastAsia"/>
          <w:lang w:val="en-GB"/>
        </w:rPr>
        <w:t>(</w:t>
      </w:r>
      <w:r>
        <w:rPr>
          <w:rFonts w:hint="eastAsia"/>
          <w:lang w:val="en-GB"/>
        </w:rPr>
        <w:t>“公约之友小组”</w:t>
      </w:r>
      <w:r>
        <w:rPr>
          <w:rFonts w:hint="eastAsia"/>
          <w:lang w:val="en-GB"/>
        </w:rPr>
        <w:t>)</w:t>
      </w:r>
      <w:r>
        <w:rPr>
          <w:rFonts w:hint="eastAsia"/>
          <w:lang w:val="en-GB"/>
        </w:rPr>
        <w:t>范围内，有的是在欧洲联盟框架内开展的。</w:t>
      </w:r>
    </w:p>
    <w:p w:rsidR="00B4256E" w:rsidRDefault="00B4256E">
      <w:pPr>
        <w:pStyle w:val="SingleTxtGC"/>
        <w:rPr>
          <w:lang w:val="en-GB"/>
        </w:rPr>
      </w:pPr>
      <w:r>
        <w:rPr>
          <w:lang w:val="en-GB"/>
        </w:rPr>
        <w:t xml:space="preserve">20.  </w:t>
      </w:r>
      <w:r>
        <w:rPr>
          <w:rFonts w:hint="eastAsia"/>
          <w:lang w:val="en-GB"/>
        </w:rPr>
        <w:t>法国主张强化国际机制，呼吁公约缔约国承认强迫失踪问题委员会的权限并与之合作，并且支持人权理事会强迫或非自愿失踪问题工作组以及该理事会设立的寻求真相、司法、赔偿和保证不再发生问题特别报告员的行动。在这一点上，在阿根廷的一贯明确支持下，法国发起了一些提交给联合国大会</w:t>
      </w:r>
      <w:r>
        <w:rPr>
          <w:rStyle w:val="FootnoteReference"/>
        </w:rPr>
        <w:footnoteReference w:id="5"/>
      </w:r>
      <w:r>
        <w:rPr>
          <w:rStyle w:val="FootnoteReference"/>
        </w:rPr>
        <w:t xml:space="preserve"> </w:t>
      </w:r>
      <w:r>
        <w:rPr>
          <w:rFonts w:hint="eastAsia"/>
          <w:lang w:val="en-GB"/>
        </w:rPr>
        <w:t>和人权理事会</w:t>
      </w:r>
      <w:r>
        <w:rPr>
          <w:rStyle w:val="FootnoteReference"/>
        </w:rPr>
        <w:footnoteReference w:id="6"/>
      </w:r>
      <w:r>
        <w:rPr>
          <w:rStyle w:val="FootnoteReference"/>
        </w:rPr>
        <w:t xml:space="preserve"> </w:t>
      </w:r>
      <w:r>
        <w:rPr>
          <w:rFonts w:hint="eastAsia"/>
          <w:lang w:val="en-GB"/>
        </w:rPr>
        <w:t>并获得通过的决议，目的是促进与强迫失踪现象作斗争。</w:t>
      </w:r>
    </w:p>
    <w:p w:rsidR="00B4256E" w:rsidRDefault="00B4256E">
      <w:pPr>
        <w:pStyle w:val="SingleTxtGC"/>
        <w:rPr>
          <w:rFonts w:hint="eastAsia"/>
          <w:lang w:val="en-GB"/>
        </w:rPr>
      </w:pPr>
      <w:r>
        <w:rPr>
          <w:lang w:val="en-GB"/>
        </w:rPr>
        <w:t xml:space="preserve">21.  </w:t>
      </w:r>
      <w:r>
        <w:rPr>
          <w:rFonts w:hint="eastAsia"/>
          <w:lang w:val="en-GB"/>
        </w:rPr>
        <w:t>在</w:t>
      </w:r>
      <w:r>
        <w:rPr>
          <w:rFonts w:hint="eastAsia"/>
          <w:lang w:val="en-GB"/>
        </w:rPr>
        <w:t>2012</w:t>
      </w:r>
      <w:r>
        <w:rPr>
          <w:rFonts w:hint="eastAsia"/>
          <w:lang w:val="en-GB"/>
        </w:rPr>
        <w:t>年</w:t>
      </w:r>
      <w:r>
        <w:rPr>
          <w:rFonts w:hint="eastAsia"/>
          <w:lang w:val="en-GB"/>
        </w:rPr>
        <w:t>9</w:t>
      </w:r>
      <w:r>
        <w:rPr>
          <w:rFonts w:hint="eastAsia"/>
          <w:lang w:val="en-GB"/>
        </w:rPr>
        <w:t>月</w:t>
      </w:r>
      <w:r>
        <w:rPr>
          <w:rFonts w:hint="eastAsia"/>
          <w:lang w:val="en-GB"/>
        </w:rPr>
        <w:t>24</w:t>
      </w:r>
      <w:r>
        <w:rPr>
          <w:rFonts w:hint="eastAsia"/>
          <w:lang w:val="en-GB"/>
        </w:rPr>
        <w:t>日关于法治的高级别会议上，法国再次重申其对打击强迫失踪现象的承诺，法国支持、组织或经常参与关于该专题的活动，并且向民间社会尤其是反强迫失踪国际联盟的行动提供支持。</w:t>
      </w:r>
    </w:p>
    <w:p w:rsidR="00B4256E" w:rsidRDefault="00B4256E">
      <w:pPr>
        <w:pStyle w:val="HChGC"/>
        <w:rPr>
          <w:lang w:val="en-GB"/>
        </w:rPr>
      </w:pPr>
      <w:r>
        <w:rPr>
          <w:rFonts w:hint="eastAsia"/>
          <w:lang w:val="en-GB"/>
        </w:rPr>
        <w:tab/>
      </w:r>
      <w:r>
        <w:rPr>
          <w:rFonts w:hint="eastAsia"/>
          <w:lang w:val="en-GB"/>
        </w:rPr>
        <w:t>三</w:t>
      </w:r>
      <w:r>
        <w:rPr>
          <w:lang w:val="en-GB"/>
        </w:rPr>
        <w:t>.</w:t>
      </w:r>
      <w:r>
        <w:rPr>
          <w:lang w:val="en-GB"/>
        </w:rPr>
        <w:tab/>
      </w:r>
      <w:r>
        <w:rPr>
          <w:rFonts w:hint="eastAsia"/>
          <w:lang w:val="en-GB"/>
        </w:rPr>
        <w:t>实施《公约》条款</w:t>
      </w:r>
    </w:p>
    <w:p w:rsidR="00B4256E" w:rsidRDefault="00B4256E">
      <w:pPr>
        <w:pStyle w:val="H1GC"/>
        <w:rPr>
          <w:lang w:val="en-GB"/>
        </w:rPr>
      </w:pPr>
      <w:r>
        <w:rPr>
          <w:lang w:val="en-GB"/>
        </w:rPr>
        <w:tab/>
      </w:r>
      <w:r>
        <w:rPr>
          <w:rFonts w:hint="eastAsia"/>
          <w:lang w:val="en-GB"/>
        </w:rPr>
        <w:tab/>
      </w:r>
      <w:r>
        <w:rPr>
          <w:rFonts w:hint="eastAsia"/>
          <w:lang w:val="en-GB"/>
        </w:rPr>
        <w:t>第一条</w:t>
      </w:r>
      <w:r>
        <w:rPr>
          <w:lang w:val="en-GB"/>
        </w:rPr>
        <w:t>.</w:t>
      </w:r>
      <w:r>
        <w:rPr>
          <w:rFonts w:hint="eastAsia"/>
          <w:lang w:val="en-GB"/>
        </w:rPr>
        <w:br/>
      </w:r>
      <w:r>
        <w:rPr>
          <w:rFonts w:hint="eastAsia"/>
          <w:lang w:val="en-GB"/>
        </w:rPr>
        <w:t>绝对禁止强迫失踪</w:t>
      </w:r>
    </w:p>
    <w:p w:rsidR="00B4256E" w:rsidRDefault="00B4256E">
      <w:pPr>
        <w:pStyle w:val="SingleTxtGC"/>
        <w:rPr>
          <w:lang w:val="en-GB"/>
        </w:rPr>
      </w:pPr>
      <w:r>
        <w:rPr>
          <w:sz w:val="20"/>
          <w:lang w:val="en-GB"/>
        </w:rPr>
        <w:t xml:space="preserve">22.  </w:t>
      </w:r>
      <w:r>
        <w:rPr>
          <w:rFonts w:hint="eastAsia"/>
          <w:lang w:val="en-GB"/>
        </w:rPr>
        <w:t>法国没有任何法律或法规条款允许强迫失踪。</w:t>
      </w:r>
    </w:p>
    <w:p w:rsidR="00B4256E" w:rsidRDefault="00B4256E">
      <w:pPr>
        <w:pStyle w:val="SingleTxtGC"/>
        <w:rPr>
          <w:lang w:val="en-GB"/>
        </w:rPr>
      </w:pPr>
      <w:r>
        <w:rPr>
          <w:sz w:val="20"/>
          <w:lang w:val="en-GB"/>
        </w:rPr>
        <w:t xml:space="preserve">23.  </w:t>
      </w:r>
      <w:r>
        <w:rPr>
          <w:rFonts w:hint="eastAsia"/>
          <w:lang w:val="en-GB"/>
        </w:rPr>
        <w:t>强迫失踪显然构成违法行为，对此任何借口都是不可接受的，正如《刑法典》第</w:t>
      </w:r>
      <w:r>
        <w:rPr>
          <w:lang w:val="en-GB"/>
        </w:rPr>
        <w:t>122-4</w:t>
      </w:r>
      <w:r>
        <w:rPr>
          <w:rFonts w:hint="eastAsia"/>
          <w:lang w:val="en-GB"/>
        </w:rPr>
        <w:t>条第</w:t>
      </w:r>
      <w:r>
        <w:rPr>
          <w:rFonts w:hint="eastAsia"/>
          <w:lang w:val="en-GB"/>
        </w:rPr>
        <w:t>2</w:t>
      </w:r>
      <w:r>
        <w:rPr>
          <w:rFonts w:hint="eastAsia"/>
          <w:lang w:val="en-GB"/>
        </w:rPr>
        <w:t>款所规定的：“完成合法当局下令实施的行为的人不负刑事责任，除非该行为明显违法”。</w:t>
      </w:r>
    </w:p>
    <w:p w:rsidR="00B4256E" w:rsidRDefault="00B4256E">
      <w:pPr>
        <w:pStyle w:val="SingleTxtGC"/>
        <w:rPr>
          <w:lang w:val="en-GB"/>
        </w:rPr>
      </w:pPr>
      <w:r>
        <w:rPr>
          <w:sz w:val="20"/>
          <w:lang w:val="en-GB"/>
        </w:rPr>
        <w:t xml:space="preserve">24.  </w:t>
      </w:r>
      <w:r>
        <w:rPr>
          <w:rFonts w:hint="eastAsia"/>
          <w:lang w:val="en-GB"/>
        </w:rPr>
        <w:t>另外还有关于任何公务员都应执行其上级指示的</w:t>
      </w:r>
      <w:r>
        <w:rPr>
          <w:rFonts w:hint="eastAsia"/>
          <w:lang w:val="en-GB"/>
        </w:rPr>
        <w:t>1983</w:t>
      </w:r>
      <w:r>
        <w:rPr>
          <w:rFonts w:hint="eastAsia"/>
          <w:lang w:val="en-GB"/>
        </w:rPr>
        <w:t>年</w:t>
      </w:r>
      <w:r>
        <w:rPr>
          <w:rFonts w:hint="eastAsia"/>
          <w:lang w:val="en-GB"/>
        </w:rPr>
        <w:t>7</w:t>
      </w:r>
      <w:r>
        <w:rPr>
          <w:rFonts w:hint="eastAsia"/>
          <w:lang w:val="en-GB"/>
        </w:rPr>
        <w:t>月</w:t>
      </w:r>
      <w:r>
        <w:rPr>
          <w:rFonts w:hint="eastAsia"/>
          <w:lang w:val="en-GB"/>
        </w:rPr>
        <w:t>13</w:t>
      </w:r>
      <w:r>
        <w:rPr>
          <w:rFonts w:hint="eastAsia"/>
          <w:lang w:val="en-GB"/>
        </w:rPr>
        <w:t>日法律第</w:t>
      </w:r>
      <w:r>
        <w:rPr>
          <w:rFonts w:hint="eastAsia"/>
          <w:lang w:val="en-GB"/>
        </w:rPr>
        <w:t>28</w:t>
      </w:r>
      <w:r>
        <w:rPr>
          <w:rFonts w:hint="eastAsia"/>
          <w:lang w:val="en-GB"/>
        </w:rPr>
        <w:t>条的规定“</w:t>
      </w:r>
      <w:r>
        <w:rPr>
          <w:rFonts w:hint="eastAsia"/>
          <w:lang w:val="en-GB"/>
        </w:rPr>
        <w:t>(</w:t>
      </w:r>
      <w:r>
        <w:rPr>
          <w:rFonts w:hint="eastAsia"/>
          <w:lang w:val="en-GB"/>
        </w:rPr>
        <w:t>……</w:t>
      </w:r>
      <w:r>
        <w:rPr>
          <w:rFonts w:hint="eastAsia"/>
          <w:lang w:val="en-GB"/>
        </w:rPr>
        <w:t>)</w:t>
      </w:r>
      <w:r>
        <w:rPr>
          <w:rFonts w:hint="eastAsia"/>
          <w:lang w:val="en-GB"/>
        </w:rPr>
        <w:t>在所下命令明显违反并且具有严重危害公共利益的性质的情况下”，以及《国防法典》</w:t>
      </w:r>
      <w:r>
        <w:rPr>
          <w:lang w:val="en-GB"/>
        </w:rPr>
        <w:t>L.4122-1</w:t>
      </w:r>
      <w:r>
        <w:rPr>
          <w:rFonts w:hint="eastAsia"/>
          <w:lang w:val="en-GB"/>
        </w:rPr>
        <w:t>条的规定“军人应服从其上级的命令并且负责执行被交付的任务。不过，不能命令他们并且他们也不能实施违反法律、战争惯例以及国际公约的行为”。</w:t>
      </w:r>
    </w:p>
    <w:p w:rsidR="00B4256E" w:rsidRDefault="00B4256E">
      <w:pPr>
        <w:pStyle w:val="SingleTxtGC"/>
        <w:rPr>
          <w:lang w:val="en-GB"/>
        </w:rPr>
      </w:pPr>
      <w:r>
        <w:rPr>
          <w:sz w:val="20"/>
          <w:lang w:val="en-GB"/>
        </w:rPr>
        <w:t xml:space="preserve">25.  </w:t>
      </w:r>
      <w:r>
        <w:rPr>
          <w:rFonts w:hint="eastAsia"/>
          <w:lang w:val="en-GB"/>
        </w:rPr>
        <w:t>因此，任何公务员或军人都有权利和义务不服从以任何方式实施或参与强迫失踪犯罪的命令，这样的命令显然是违法的。</w:t>
      </w:r>
    </w:p>
    <w:p w:rsidR="00B4256E" w:rsidRDefault="00B4256E">
      <w:pPr>
        <w:pStyle w:val="SingleTxtGC"/>
        <w:rPr>
          <w:lang w:val="en-GB"/>
        </w:rPr>
      </w:pPr>
      <w:r>
        <w:rPr>
          <w:sz w:val="20"/>
          <w:lang w:val="en-GB"/>
        </w:rPr>
        <w:t xml:space="preserve">26.  </w:t>
      </w:r>
      <w:r>
        <w:rPr>
          <w:rFonts w:hint="eastAsia"/>
          <w:lang w:val="en-GB"/>
        </w:rPr>
        <w:t>一般而言，如果政府行使权力的行为严重侵犯了基本自由，并且是明显违法的，那么行政法院可以通过“紧急审理</w:t>
      </w:r>
      <w:r>
        <w:rPr>
          <w:rFonts w:hint="eastAsia"/>
          <w:lang w:val="en-GB"/>
        </w:rPr>
        <w:t>-</w:t>
      </w:r>
      <w:r>
        <w:rPr>
          <w:rFonts w:hint="eastAsia"/>
          <w:lang w:val="en-GB"/>
        </w:rPr>
        <w:t>自由”程序紧急进行审理。在该程序中，紧急审理法官可以在</w:t>
      </w:r>
      <w:r>
        <w:rPr>
          <w:rFonts w:hint="eastAsia"/>
          <w:lang w:val="en-GB"/>
        </w:rPr>
        <w:t>48</w:t>
      </w:r>
      <w:r>
        <w:rPr>
          <w:rFonts w:hint="eastAsia"/>
          <w:lang w:val="en-GB"/>
        </w:rPr>
        <w:t>小时的期限内下令采取一切必要措施来维护自由，包括下令暂停执行非法措施或者给政府发出命令。除了这种对合法性的监控，严重侵犯基本自由并且显然可能与政府特权有关的政府行为构成粗暴行为，法官应以个人自由监护人的身份了解这种行为。</w:t>
      </w:r>
    </w:p>
    <w:p w:rsidR="00B4256E" w:rsidRDefault="00B4256E">
      <w:pPr>
        <w:pStyle w:val="SingleTxtGC"/>
        <w:rPr>
          <w:lang w:val="en-GB"/>
        </w:rPr>
      </w:pPr>
      <w:r>
        <w:rPr>
          <w:sz w:val="20"/>
          <w:lang w:val="en-GB"/>
        </w:rPr>
        <w:t xml:space="preserve">27.  </w:t>
      </w:r>
      <w:r>
        <w:rPr>
          <w:rFonts w:hint="eastAsia"/>
          <w:lang w:val="en-GB"/>
        </w:rPr>
        <w:t>此外，紧急状态或者任何例外情况不能成为实施强迫失踪的借口。</w:t>
      </w:r>
    </w:p>
    <w:p w:rsidR="00B4256E" w:rsidRDefault="00B4256E">
      <w:pPr>
        <w:pStyle w:val="SingleTxtGC"/>
        <w:rPr>
          <w:lang w:val="en-GB"/>
        </w:rPr>
      </w:pPr>
      <w:r>
        <w:rPr>
          <w:sz w:val="20"/>
          <w:lang w:val="en-GB"/>
        </w:rPr>
        <w:t xml:space="preserve">28.  </w:t>
      </w:r>
      <w:r>
        <w:rPr>
          <w:rFonts w:hint="eastAsia"/>
          <w:lang w:val="en-GB"/>
        </w:rPr>
        <w:t>关于紧急状态，根据</w:t>
      </w:r>
      <w:r>
        <w:rPr>
          <w:rFonts w:hint="eastAsia"/>
          <w:lang w:val="en-GB"/>
        </w:rPr>
        <w:t>1955</w:t>
      </w:r>
      <w:r>
        <w:rPr>
          <w:rFonts w:hint="eastAsia"/>
          <w:lang w:val="en-GB"/>
        </w:rPr>
        <w:t>年</w:t>
      </w:r>
      <w:r>
        <w:rPr>
          <w:rFonts w:hint="eastAsia"/>
          <w:lang w:val="en-GB"/>
        </w:rPr>
        <w:t>4</w:t>
      </w:r>
      <w:r>
        <w:rPr>
          <w:rFonts w:hint="eastAsia"/>
          <w:lang w:val="en-GB"/>
        </w:rPr>
        <w:t>月</w:t>
      </w:r>
      <w:r>
        <w:rPr>
          <w:rFonts w:hint="eastAsia"/>
          <w:lang w:val="en-GB"/>
        </w:rPr>
        <w:t>3</w:t>
      </w:r>
      <w:r>
        <w:rPr>
          <w:rFonts w:hint="eastAsia"/>
          <w:lang w:val="en-GB"/>
        </w:rPr>
        <w:t>日第</w:t>
      </w:r>
      <w:r>
        <w:rPr>
          <w:lang w:val="en-GB"/>
        </w:rPr>
        <w:t>55-385</w:t>
      </w:r>
      <w:r>
        <w:rPr>
          <w:rFonts w:hint="eastAsia"/>
          <w:lang w:val="en-GB"/>
        </w:rPr>
        <w:t>号法律，只有在存在严重危害公共秩序所导致的明显危险的情况下或者在发生由于其性质和严重性具有公共灾难的性质的事件的情况下才能宣布紧急状态。部长会议下令宣布的紧急状态在其实施的地理范围内赋予民事当局特殊的警察权力：管制人员流动和居住，关闭向公众开放的场所以及征用武器。宣布紧急状态的法令可以规定加强警察在搜查和监控信息手段方面的权力。不过，这一例外程序决不允许实施本公约第二条所定义的强迫失踪，更何况宣布紧急状态的法令以及根据该法令采取的一切措施仍要接受行政法官的监督。此外，只能根据确定最终期限的法律才能将紧急状态延长到</w:t>
      </w:r>
      <w:r>
        <w:rPr>
          <w:rFonts w:hint="eastAsia"/>
          <w:lang w:val="en-GB"/>
        </w:rPr>
        <w:t>12</w:t>
      </w:r>
      <w:r>
        <w:rPr>
          <w:rFonts w:hint="eastAsia"/>
          <w:lang w:val="en-GB"/>
        </w:rPr>
        <w:t>天之后。</w:t>
      </w:r>
    </w:p>
    <w:p w:rsidR="00B4256E" w:rsidRDefault="00B4256E">
      <w:pPr>
        <w:pStyle w:val="SingleTxtGC"/>
        <w:rPr>
          <w:lang w:val="en-GB"/>
        </w:rPr>
      </w:pPr>
      <w:r>
        <w:rPr>
          <w:sz w:val="20"/>
          <w:lang w:val="en-GB"/>
        </w:rPr>
        <w:t xml:space="preserve">29.  </w:t>
      </w:r>
      <w:r>
        <w:rPr>
          <w:rFonts w:hint="eastAsia"/>
          <w:lang w:val="en-GB"/>
        </w:rPr>
        <w:t>下令宣布紧急状态的情况只发生过</w:t>
      </w:r>
      <w:r>
        <w:rPr>
          <w:rFonts w:hint="eastAsia"/>
          <w:lang w:val="en-GB"/>
        </w:rPr>
        <w:t>5</w:t>
      </w:r>
      <w:r>
        <w:rPr>
          <w:rFonts w:hint="eastAsia"/>
          <w:lang w:val="en-GB"/>
        </w:rPr>
        <w:t>次：有</w:t>
      </w:r>
      <w:r>
        <w:rPr>
          <w:rFonts w:hint="eastAsia"/>
          <w:lang w:val="en-GB"/>
        </w:rPr>
        <w:t>3</w:t>
      </w:r>
      <w:r>
        <w:rPr>
          <w:rFonts w:hint="eastAsia"/>
          <w:lang w:val="en-GB"/>
        </w:rPr>
        <w:t>次是在当时的法国阿尔及利亚省</w:t>
      </w:r>
      <w:r>
        <w:rPr>
          <w:lang w:val="en-GB"/>
        </w:rPr>
        <w:t>(1955</w:t>
      </w:r>
      <w:r>
        <w:rPr>
          <w:rFonts w:hint="eastAsia"/>
          <w:lang w:val="en-GB"/>
        </w:rPr>
        <w:t>年、</w:t>
      </w:r>
      <w:r>
        <w:rPr>
          <w:lang w:val="en-GB"/>
        </w:rPr>
        <w:t>1958</w:t>
      </w:r>
      <w:r>
        <w:rPr>
          <w:rFonts w:hint="eastAsia"/>
          <w:lang w:val="en-GB"/>
        </w:rPr>
        <w:t>年、</w:t>
      </w:r>
      <w:r>
        <w:rPr>
          <w:lang w:val="en-GB"/>
        </w:rPr>
        <w:t>1961</w:t>
      </w:r>
      <w:r>
        <w:rPr>
          <w:rFonts w:hint="eastAsia"/>
          <w:lang w:val="en-GB"/>
        </w:rPr>
        <w:t>年</w:t>
      </w:r>
      <w:r>
        <w:rPr>
          <w:rFonts w:hint="eastAsia"/>
          <w:lang w:val="en-GB"/>
        </w:rPr>
        <w:t>)</w:t>
      </w:r>
      <w:r>
        <w:rPr>
          <w:rFonts w:hint="eastAsia"/>
          <w:lang w:val="en-GB"/>
        </w:rPr>
        <w:t>，有一次是在新喀里多尼亚</w:t>
      </w:r>
      <w:r>
        <w:rPr>
          <w:lang w:val="en-GB"/>
        </w:rPr>
        <w:t>(1984</w:t>
      </w:r>
      <w:r>
        <w:rPr>
          <w:rFonts w:hint="eastAsia"/>
          <w:lang w:val="en-GB"/>
        </w:rPr>
        <w:t>年</w:t>
      </w:r>
      <w:r>
        <w:rPr>
          <w:lang w:val="en-GB"/>
        </w:rPr>
        <w:t>)</w:t>
      </w:r>
      <w:r>
        <w:rPr>
          <w:rFonts w:hint="eastAsia"/>
          <w:lang w:val="en-GB"/>
        </w:rPr>
        <w:t>，还有一次是在巴黎大区</w:t>
      </w:r>
      <w:r>
        <w:rPr>
          <w:lang w:val="en-GB"/>
        </w:rPr>
        <w:t>(2005</w:t>
      </w:r>
      <w:r>
        <w:rPr>
          <w:rFonts w:hint="eastAsia"/>
          <w:lang w:val="en-GB"/>
        </w:rPr>
        <w:t>年</w:t>
      </w:r>
      <w:r>
        <w:rPr>
          <w:lang w:val="en-GB"/>
        </w:rPr>
        <w:t>)</w:t>
      </w:r>
      <w:r>
        <w:rPr>
          <w:rFonts w:hint="eastAsia"/>
          <w:lang w:val="en-GB"/>
        </w:rPr>
        <w:t>。</w:t>
      </w:r>
    </w:p>
    <w:p w:rsidR="00B4256E" w:rsidRDefault="00B4256E">
      <w:pPr>
        <w:pStyle w:val="SingleTxtGC"/>
        <w:rPr>
          <w:lang w:val="en-GB"/>
        </w:rPr>
      </w:pPr>
      <w:r>
        <w:rPr>
          <w:sz w:val="20"/>
          <w:lang w:val="en-GB"/>
        </w:rPr>
        <w:t xml:space="preserve">30.  </w:t>
      </w:r>
      <w:r>
        <w:rPr>
          <w:rFonts w:hint="eastAsia"/>
          <w:lang w:val="en-GB"/>
        </w:rPr>
        <w:t>还应指出的是与国家独立受到严重威胁情况下实行戒严和共和国总统的特权有关的规定，无论如何不应把这些规定理解为旨在允许国家当局利用强迫失踪手段</w:t>
      </w:r>
      <w:r>
        <w:rPr>
          <w:rStyle w:val="FootnoteReference"/>
        </w:rPr>
        <w:footnoteReference w:id="7"/>
      </w:r>
      <w:r>
        <w:rPr>
          <w:rFonts w:hint="eastAsia"/>
          <w:lang w:val="en-GB"/>
        </w:rPr>
        <w:t>。这些安排中的第一种自第二次世界大战以来从未实施过，第二种只在</w:t>
      </w:r>
      <w:r>
        <w:rPr>
          <w:rFonts w:hint="eastAsia"/>
          <w:lang w:val="en-GB"/>
        </w:rPr>
        <w:t>50</w:t>
      </w:r>
      <w:r>
        <w:rPr>
          <w:rFonts w:hint="eastAsia"/>
          <w:lang w:val="en-GB"/>
        </w:rPr>
        <w:t>多年前实施过一次，这些安排与</w:t>
      </w:r>
      <w:r>
        <w:rPr>
          <w:lang w:val="en-GB"/>
        </w:rPr>
        <w:t>《欧洲人权公约》</w:t>
      </w:r>
      <w:r>
        <w:rPr>
          <w:rFonts w:hint="eastAsia"/>
          <w:lang w:val="en-GB"/>
        </w:rPr>
        <w:t>第</w:t>
      </w:r>
      <w:r>
        <w:rPr>
          <w:rFonts w:hint="eastAsia"/>
          <w:lang w:val="en-GB"/>
        </w:rPr>
        <w:t>15</w:t>
      </w:r>
      <w:r>
        <w:rPr>
          <w:rFonts w:hint="eastAsia"/>
          <w:lang w:val="en-GB"/>
        </w:rPr>
        <w:t>条第</w:t>
      </w:r>
      <w:r>
        <w:rPr>
          <w:rFonts w:hint="eastAsia"/>
          <w:lang w:val="en-GB"/>
        </w:rPr>
        <w:t>1</w:t>
      </w:r>
      <w:r>
        <w:rPr>
          <w:rFonts w:hint="eastAsia"/>
          <w:lang w:val="en-GB"/>
        </w:rPr>
        <w:t>款所提出的假设一致，让委员会了解这些安排只是为了向其提供详尽信息，虽然其实施在很大程度上是假设性的。</w:t>
      </w:r>
    </w:p>
    <w:p w:rsidR="00B4256E" w:rsidRDefault="00B4256E">
      <w:pPr>
        <w:pStyle w:val="SingleTxtGC"/>
        <w:rPr>
          <w:lang w:val="en-GB"/>
        </w:rPr>
      </w:pPr>
      <w:r>
        <w:rPr>
          <w:sz w:val="20"/>
          <w:lang w:val="en-GB"/>
        </w:rPr>
        <w:t xml:space="preserve">31.  </w:t>
      </w:r>
      <w:r>
        <w:rPr>
          <w:rFonts w:hint="eastAsia"/>
          <w:lang w:val="en-GB"/>
        </w:rPr>
        <w:t>最后，甚至在前述假设之外，任何特殊情况都不能作为国家或公务员犯下强迫失踪罪行的借口。在这方面，应参照行政司法机关在战争时期的特殊情况下发展起来的关于特殊情况的法律理论，这些理论在两次世界大战结束后的那些年里有大量例证。根据该理论，有一点得到了认可：严重的、始料未及的和持续的事件的突然发生使得影响当局权限和遵守程序或法令内容的措施被认为是有法律依据的。然而，仅在行为的实施者无法按照现行法律规定行事并且设想的行动具有公益性质且是当务之急的情况下，这些措施的合法性才得到认可。因此，鉴于这些实施标准，无论如何不可援引特殊情况理论来为《公约》第一条第一款意义上的强迫失踪开脱。</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第二条</w:t>
      </w:r>
      <w:r>
        <w:rPr>
          <w:rFonts w:hint="eastAsia"/>
          <w:lang w:val="en-GB"/>
        </w:rPr>
        <w:br/>
      </w:r>
      <w:r>
        <w:rPr>
          <w:rFonts w:hint="eastAsia"/>
          <w:lang w:val="en-GB"/>
        </w:rPr>
        <w:t>强迫失踪的定义</w:t>
      </w:r>
    </w:p>
    <w:p w:rsidR="00B4256E" w:rsidRDefault="00B4256E">
      <w:pPr>
        <w:pStyle w:val="SingleTxtGC"/>
        <w:rPr>
          <w:lang w:val="en-GB"/>
        </w:rPr>
      </w:pPr>
      <w:r>
        <w:rPr>
          <w:sz w:val="20"/>
          <w:lang w:val="en-GB"/>
        </w:rPr>
        <w:t xml:space="preserve">32.  </w:t>
      </w:r>
      <w:r>
        <w:rPr>
          <w:rFonts w:hint="eastAsia"/>
          <w:lang w:val="en-GB"/>
        </w:rPr>
        <w:t>关于兑现法国的国际承诺的刑事和刑事诉讼方面的各种规定的第</w:t>
      </w:r>
      <w:r>
        <w:rPr>
          <w:rFonts w:hint="eastAsia"/>
          <w:lang w:val="en-GB"/>
        </w:rPr>
        <w:t>250</w:t>
      </w:r>
      <w:r>
        <w:rPr>
          <w:rFonts w:hint="eastAsia"/>
          <w:lang w:val="en-GB"/>
        </w:rPr>
        <w:t>号法律草案规定在关于“人身伤害”的《刑法典》第二编中插入一个新的章节，即关于“强迫失踪所构成的人身伤害”的第一章之二。</w:t>
      </w:r>
    </w:p>
    <w:p w:rsidR="00B4256E" w:rsidRDefault="00B4256E">
      <w:pPr>
        <w:pStyle w:val="SingleTxtGC"/>
        <w:rPr>
          <w:lang w:val="en-GB"/>
        </w:rPr>
      </w:pPr>
      <w:r>
        <w:rPr>
          <w:sz w:val="20"/>
          <w:lang w:val="en-GB"/>
        </w:rPr>
        <w:t xml:space="preserve">33.  </w:t>
      </w:r>
      <w:r>
        <w:rPr>
          <w:rFonts w:hint="eastAsia"/>
          <w:lang w:val="en-GB"/>
        </w:rPr>
        <w:t>强迫失踪的定义出现在这一新章节的开头，即新的第</w:t>
      </w:r>
      <w:r>
        <w:rPr>
          <w:lang w:val="en-GB"/>
        </w:rPr>
        <w:t>221-12</w:t>
      </w:r>
      <w:r>
        <w:rPr>
          <w:rFonts w:hint="eastAsia"/>
          <w:lang w:val="en-GB"/>
        </w:rPr>
        <w:t>条，法律草案行文如下：</w:t>
      </w:r>
    </w:p>
    <w:p w:rsidR="00B4256E" w:rsidRDefault="00B4256E">
      <w:pPr>
        <w:pStyle w:val="Bullet1GC"/>
        <w:rPr>
          <w:lang w:val="en-GB"/>
        </w:rPr>
      </w:pPr>
      <w:r>
        <w:rPr>
          <w:rFonts w:hint="eastAsia"/>
          <w:lang w:val="en-GB"/>
        </w:rPr>
        <w:t>第</w:t>
      </w:r>
      <w:r>
        <w:rPr>
          <w:lang w:val="en-GB"/>
        </w:rPr>
        <w:t>221-12</w:t>
      </w:r>
      <w:r>
        <w:rPr>
          <w:rFonts w:hint="eastAsia"/>
          <w:lang w:val="en-GB"/>
        </w:rPr>
        <w:t>条</w:t>
      </w:r>
      <w:r>
        <w:rPr>
          <w:rFonts w:hint="eastAsia"/>
          <w:spacing w:val="-60"/>
          <w:lang w:val="en-GB"/>
        </w:rPr>
        <w:t>―</w:t>
      </w:r>
      <w:r>
        <w:rPr>
          <w:rFonts w:hint="eastAsia"/>
          <w:spacing w:val="10"/>
          <w:lang w:val="en-GB"/>
        </w:rPr>
        <w:t>―</w:t>
      </w:r>
      <w:r>
        <w:rPr>
          <w:rFonts w:hint="eastAsia"/>
          <w:lang w:val="en-GB"/>
        </w:rPr>
        <w:t>一个或数个国家代理人，或得到国家授权、支持或默许的个人或组织，实施逮捕、羁押、绑架，或以任何其他形式剥夺自由的行为，导致人员失踪，并拒绝承认剥夺自由之实情，隐瞒失踪者的命运或下落，致使失踪者不能得到法律的保护。</w:t>
      </w:r>
    </w:p>
    <w:p w:rsidR="00B4256E" w:rsidRDefault="00B4256E">
      <w:pPr>
        <w:pStyle w:val="Bullet1GC"/>
        <w:rPr>
          <w:lang w:val="en-GB"/>
        </w:rPr>
      </w:pPr>
      <w:r>
        <w:rPr>
          <w:rFonts w:hint="eastAsia"/>
          <w:lang w:val="en-GB"/>
        </w:rPr>
        <w:t>强迫失踪要被处以无期徒刑。</w:t>
      </w:r>
    </w:p>
    <w:p w:rsidR="00B4256E" w:rsidRDefault="00B4256E">
      <w:pPr>
        <w:pStyle w:val="Bullet1GC"/>
        <w:rPr>
          <w:lang w:val="en-GB"/>
        </w:rPr>
      </w:pPr>
      <w:r>
        <w:rPr>
          <w:rFonts w:hint="eastAsia"/>
          <w:lang w:val="en-GB"/>
        </w:rPr>
        <w:t>关于安全时期的第</w:t>
      </w:r>
      <w:r>
        <w:rPr>
          <w:lang w:val="en-GB"/>
        </w:rPr>
        <w:t>132-23</w:t>
      </w:r>
      <w:r>
        <w:rPr>
          <w:rFonts w:hint="eastAsia"/>
          <w:lang w:val="en-GB"/>
        </w:rPr>
        <w:t>条前两款适用于本条所述犯罪。</w:t>
      </w:r>
    </w:p>
    <w:p w:rsidR="00B4256E" w:rsidRDefault="00B4256E">
      <w:pPr>
        <w:pStyle w:val="SingleTxtGC"/>
        <w:rPr>
          <w:lang w:val="en-GB"/>
        </w:rPr>
      </w:pPr>
      <w:r>
        <w:rPr>
          <w:sz w:val="20"/>
          <w:lang w:val="en-GB"/>
        </w:rPr>
        <w:t xml:space="preserve">34.  </w:t>
      </w:r>
      <w:r>
        <w:rPr>
          <w:rFonts w:hint="eastAsia"/>
          <w:lang w:val="en-GB"/>
        </w:rPr>
        <w:t>该定义与《公约》第二条所载定义完全相同，只是措辞稍有不同，但无法律影响。</w:t>
      </w:r>
    </w:p>
    <w:p w:rsidR="00B4256E" w:rsidRDefault="00B4256E">
      <w:pPr>
        <w:pStyle w:val="SingleTxtGC"/>
        <w:rPr>
          <w:lang w:val="en-GB"/>
        </w:rPr>
      </w:pPr>
      <w:r>
        <w:rPr>
          <w:sz w:val="20"/>
          <w:lang w:val="en-GB"/>
        </w:rPr>
        <w:t xml:space="preserve">35.  </w:t>
      </w:r>
      <w:r>
        <w:rPr>
          <w:rFonts w:hint="eastAsia"/>
          <w:lang w:val="en-GB"/>
        </w:rPr>
        <w:t>此外，该法律草案规定将如此定义的“强迫失踪”纳入《刑法》第</w:t>
      </w:r>
      <w:r>
        <w:rPr>
          <w:lang w:val="en-GB"/>
        </w:rPr>
        <w:t>212-1</w:t>
      </w:r>
      <w:r>
        <w:rPr>
          <w:rFonts w:hint="eastAsia"/>
          <w:lang w:val="en-GB"/>
        </w:rPr>
        <w:t>条所述可被认定为危害人类罪的行为中，条件是“强迫失踪”是在普遍或系统攻击中对一群平民执行商定计划时实施的。它将取代目前该条第</w:t>
      </w:r>
      <w:r>
        <w:rPr>
          <w:rFonts w:hint="eastAsia"/>
          <w:lang w:val="en-GB"/>
        </w:rPr>
        <w:t>9</w:t>
      </w:r>
      <w:r>
        <w:rPr>
          <w:rFonts w:hint="eastAsia"/>
          <w:lang w:val="en-GB"/>
        </w:rPr>
        <w:t>点所载的定义，该定义受《罗马规约》第七条启发，行文如下：“逮捕、拘留或绑架某人，导致其失踪并且否认剥夺自由之实情或者隐瞒其命运或下落，意图使其得不到法律保护”。</w:t>
      </w:r>
    </w:p>
    <w:p w:rsidR="00B4256E" w:rsidRDefault="00B4256E">
      <w:pPr>
        <w:pStyle w:val="SingleTxtGC"/>
        <w:rPr>
          <w:lang w:val="en-GB"/>
        </w:rPr>
      </w:pPr>
      <w:r>
        <w:rPr>
          <w:sz w:val="20"/>
          <w:lang w:val="en-GB"/>
        </w:rPr>
        <w:t xml:space="preserve">36.  </w:t>
      </w:r>
      <w:r>
        <w:rPr>
          <w:rFonts w:hint="eastAsia"/>
          <w:lang w:val="en-GB"/>
        </w:rPr>
        <w:t>因此，该法律草案统一了强迫失踪罪的定义，不论强迫失踪是作为独立犯罪还是危害人类罪实施的，并且保留了比《罗马规约》更加宽泛的源于《公约》的词义。</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第三条</w:t>
      </w:r>
      <w:r>
        <w:rPr>
          <w:rFonts w:hint="eastAsia"/>
          <w:lang w:val="en-GB"/>
        </w:rPr>
        <w:br/>
      </w:r>
      <w:r>
        <w:rPr>
          <w:rFonts w:hint="eastAsia"/>
          <w:lang w:val="en-GB"/>
        </w:rPr>
        <w:t>调查</w:t>
      </w:r>
    </w:p>
    <w:p w:rsidR="00B4256E" w:rsidRDefault="00B4256E">
      <w:pPr>
        <w:pStyle w:val="SingleTxtGC"/>
        <w:rPr>
          <w:lang w:val="en-GB"/>
        </w:rPr>
      </w:pPr>
      <w:r>
        <w:rPr>
          <w:sz w:val="20"/>
          <w:lang w:val="en-GB"/>
        </w:rPr>
        <w:t xml:space="preserve">37.  </w:t>
      </w:r>
      <w:r>
        <w:rPr>
          <w:sz w:val="20"/>
          <w:lang w:val="en-GB"/>
        </w:rPr>
        <w:t>第</w:t>
      </w:r>
      <w:r>
        <w:rPr>
          <w:rFonts w:hint="eastAsia"/>
          <w:lang w:val="en-GB"/>
        </w:rPr>
        <w:t>二条所述行为如果是由个人或组织在没有得到国家授权、支持或默许的情况下实施的，则不再构成“强迫失踪”，在法国法律中被定性为《刑法典》第</w:t>
      </w:r>
      <w:r>
        <w:rPr>
          <w:lang w:val="en-GB"/>
        </w:rPr>
        <w:t>421-1</w:t>
      </w:r>
      <w:r>
        <w:rPr>
          <w:rFonts w:hint="eastAsia"/>
          <w:lang w:val="en-GB"/>
        </w:rPr>
        <w:t>条意义上的恐怖主义行为，或者《刑法典》第</w:t>
      </w:r>
      <w:r>
        <w:rPr>
          <w:lang w:val="en-GB"/>
        </w:rPr>
        <w:t>224-1</w:t>
      </w:r>
      <w:r>
        <w:rPr>
          <w:rFonts w:hint="eastAsia"/>
          <w:lang w:val="en-GB"/>
        </w:rPr>
        <w:t>条所规定和惩处的绑架和非法监禁罪。</w:t>
      </w:r>
    </w:p>
    <w:p w:rsidR="00B4256E" w:rsidRDefault="00B4256E">
      <w:pPr>
        <w:pStyle w:val="SingleTxtGC"/>
        <w:rPr>
          <w:lang w:val="en-GB"/>
        </w:rPr>
      </w:pPr>
      <w:r>
        <w:rPr>
          <w:sz w:val="20"/>
          <w:lang w:val="en-GB"/>
        </w:rPr>
        <w:t xml:space="preserve">38.  </w:t>
      </w:r>
      <w:r>
        <w:rPr>
          <w:rFonts w:hint="eastAsia"/>
          <w:lang w:val="en-GB"/>
        </w:rPr>
        <w:t>事实上，《刑法典》第</w:t>
      </w:r>
      <w:r>
        <w:rPr>
          <w:lang w:val="en-GB"/>
        </w:rPr>
        <w:t>421-1</w:t>
      </w:r>
      <w:r>
        <w:rPr>
          <w:rFonts w:hint="eastAsia"/>
          <w:lang w:val="en-GB"/>
        </w:rPr>
        <w:t>条规定“以下行为如果就意图而言与一项个人或集体事业有关，目的是通过恐吓或恫吓严重扰乱公共秩序，则构成恐怖主义行为</w:t>
      </w:r>
      <w:r>
        <w:rPr>
          <w:rFonts w:hint="eastAsia"/>
          <w:lang w:val="en-GB"/>
        </w:rPr>
        <w:t>(</w:t>
      </w:r>
      <w:r>
        <w:rPr>
          <w:rFonts w:hint="eastAsia"/>
          <w:lang w:val="en-GB"/>
        </w:rPr>
        <w:t>……</w:t>
      </w:r>
      <w:r>
        <w:rPr>
          <w:rFonts w:hint="eastAsia"/>
          <w:lang w:val="en-GB"/>
        </w:rPr>
        <w:t>)</w:t>
      </w:r>
      <w:r>
        <w:rPr>
          <w:lang w:val="en-GB"/>
        </w:rPr>
        <w:t>1°</w:t>
      </w:r>
      <w:r>
        <w:rPr>
          <w:rFonts w:hint="eastAsia"/>
          <w:lang w:val="en-GB"/>
        </w:rPr>
        <w:t>故意危害生命、故意危害人的健康、绑架和非法监禁以及劫持飞行器、船只或任何其他交通工具，正如本法典第二编所定义的</w:t>
      </w:r>
      <w:r>
        <w:rPr>
          <w:rFonts w:hint="eastAsia"/>
          <w:lang w:val="en-GB"/>
        </w:rPr>
        <w:t>(</w:t>
      </w:r>
      <w:r>
        <w:rPr>
          <w:rFonts w:hint="eastAsia"/>
          <w:lang w:val="en-GB"/>
        </w:rPr>
        <w:t>……</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39.  </w:t>
      </w:r>
      <w:r>
        <w:rPr>
          <w:rFonts w:hint="eastAsia"/>
          <w:lang w:val="en-GB"/>
        </w:rPr>
        <w:t>如果不构成恐怖主义行为，这些行为则属于普通法所述的绑架和非法监禁行为，《刑法典》第</w:t>
      </w:r>
      <w:r>
        <w:rPr>
          <w:lang w:val="en-GB"/>
        </w:rPr>
        <w:t>224-1</w:t>
      </w:r>
      <w:r>
        <w:rPr>
          <w:rFonts w:hint="eastAsia"/>
          <w:lang w:val="en-GB"/>
        </w:rPr>
        <w:t>条对此做了规定和惩处，根据该条“在没有法定权力机关的命令并且在法律规定的情况下逮捕、劫持、拘押或非法监禁他人的行为要处</w:t>
      </w:r>
      <w:r>
        <w:rPr>
          <w:rFonts w:hint="eastAsia"/>
          <w:lang w:val="en-GB"/>
        </w:rPr>
        <w:t>20</w:t>
      </w:r>
      <w:r>
        <w:rPr>
          <w:rFonts w:hint="eastAsia"/>
          <w:lang w:val="en-GB"/>
        </w:rPr>
        <w:t>年有期徒刑”。</w:t>
      </w:r>
    </w:p>
    <w:p w:rsidR="00B4256E" w:rsidRDefault="00B4256E">
      <w:pPr>
        <w:pStyle w:val="SingleTxtGC"/>
        <w:rPr>
          <w:lang w:val="en-GB"/>
        </w:rPr>
      </w:pPr>
      <w:r>
        <w:rPr>
          <w:sz w:val="20"/>
          <w:lang w:val="en-GB"/>
        </w:rPr>
        <w:t xml:space="preserve">40.  </w:t>
      </w:r>
      <w:r>
        <w:rPr>
          <w:rFonts w:hint="eastAsia"/>
          <w:lang w:val="en-GB"/>
        </w:rPr>
        <w:t>同任何刑事犯罪一样，上述行为要受到《刑事诉讼法典》所规定的调查。</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第四条</w:t>
      </w:r>
      <w:r>
        <w:rPr>
          <w:rFonts w:hint="eastAsia"/>
          <w:lang w:val="en-GB"/>
        </w:rPr>
        <w:br/>
      </w:r>
      <w:r>
        <w:rPr>
          <w:rFonts w:hint="eastAsia"/>
          <w:lang w:val="en-GB"/>
        </w:rPr>
        <w:t>据以定罪判刑的法律条文</w:t>
      </w:r>
    </w:p>
    <w:p w:rsidR="00B4256E" w:rsidRDefault="00B4256E">
      <w:pPr>
        <w:pStyle w:val="SingleTxtGC"/>
        <w:rPr>
          <w:lang w:val="en-GB"/>
        </w:rPr>
      </w:pPr>
      <w:r>
        <w:rPr>
          <w:sz w:val="20"/>
          <w:lang w:val="en-GB"/>
        </w:rPr>
        <w:t xml:space="preserve">41.  </w:t>
      </w:r>
      <w:r>
        <w:rPr>
          <w:rFonts w:hint="eastAsia"/>
          <w:lang w:val="en-GB"/>
        </w:rPr>
        <w:t>正如前面关于第二条的评论中所述，关于刑事和刑事诉讼方面履行法国的国际承诺的各种规定的第</w:t>
      </w:r>
      <w:r>
        <w:rPr>
          <w:lang w:val="en-GB"/>
        </w:rPr>
        <w:t>250</w:t>
      </w:r>
      <w:r>
        <w:rPr>
          <w:rFonts w:hint="eastAsia"/>
          <w:lang w:val="en-GB"/>
        </w:rPr>
        <w:t>号法律草案在新增第</w:t>
      </w:r>
      <w:r>
        <w:rPr>
          <w:lang w:val="en-GB"/>
        </w:rPr>
        <w:t>221-12</w:t>
      </w:r>
      <w:r>
        <w:rPr>
          <w:rFonts w:hint="eastAsia"/>
          <w:lang w:val="en-GB"/>
        </w:rPr>
        <w:t>条设立了一个特殊罪名，将强迫失踪作为应处无期徒刑的犯罪行为予以惩治。</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第五条</w:t>
      </w:r>
      <w:r>
        <w:rPr>
          <w:rFonts w:hint="eastAsia"/>
          <w:lang w:val="en-GB"/>
        </w:rPr>
        <w:br/>
      </w:r>
      <w:r>
        <w:rPr>
          <w:rFonts w:hint="eastAsia"/>
          <w:lang w:val="en-GB"/>
        </w:rPr>
        <w:t>危害人类罪</w:t>
      </w:r>
    </w:p>
    <w:p w:rsidR="00B4256E" w:rsidRDefault="00B4256E">
      <w:pPr>
        <w:pStyle w:val="SingleTxtGC"/>
        <w:rPr>
          <w:lang w:val="en-GB"/>
        </w:rPr>
      </w:pPr>
      <w:r>
        <w:rPr>
          <w:sz w:val="20"/>
          <w:lang w:val="en-GB"/>
        </w:rPr>
        <w:t xml:space="preserve">42.  </w:t>
      </w:r>
      <w:r>
        <w:rPr>
          <w:rFonts w:hint="eastAsia"/>
          <w:lang w:val="en-GB"/>
        </w:rPr>
        <w:t>关于根据国际刑事法院的设立调整刑法的</w:t>
      </w:r>
      <w:r>
        <w:rPr>
          <w:rFonts w:hint="eastAsia"/>
          <w:lang w:val="en-GB"/>
        </w:rPr>
        <w:t>2010</w:t>
      </w:r>
      <w:r>
        <w:rPr>
          <w:rFonts w:hint="eastAsia"/>
          <w:lang w:val="en-GB"/>
        </w:rPr>
        <w:t>年</w:t>
      </w:r>
      <w:r>
        <w:rPr>
          <w:rFonts w:hint="eastAsia"/>
          <w:lang w:val="en-GB"/>
        </w:rPr>
        <w:t>8</w:t>
      </w:r>
      <w:r>
        <w:rPr>
          <w:rFonts w:hint="eastAsia"/>
          <w:lang w:val="en-GB"/>
        </w:rPr>
        <w:t>月</w:t>
      </w:r>
      <w:r>
        <w:rPr>
          <w:rFonts w:hint="eastAsia"/>
          <w:lang w:val="en-GB"/>
        </w:rPr>
        <w:t>9</w:t>
      </w:r>
      <w:r>
        <w:rPr>
          <w:rFonts w:hint="eastAsia"/>
          <w:lang w:val="en-GB"/>
        </w:rPr>
        <w:t>日第</w:t>
      </w:r>
      <w:r>
        <w:rPr>
          <w:lang w:val="en-GB"/>
        </w:rPr>
        <w:t>2010-930</w:t>
      </w:r>
      <w:r>
        <w:rPr>
          <w:rFonts w:hint="eastAsia"/>
          <w:lang w:val="en-GB"/>
        </w:rPr>
        <w:t>号法律</w:t>
      </w:r>
      <w:r>
        <w:rPr>
          <w:lang w:val="en-GB"/>
        </w:rPr>
        <w:t xml:space="preserve"> </w:t>
      </w:r>
      <w:r>
        <w:rPr>
          <w:rFonts w:hint="eastAsia"/>
          <w:lang w:val="en-GB"/>
        </w:rPr>
        <w:t>引入了一条规定，将和平时期和战争时期经过合谋有计划实施的强迫失踪列为危害人类罪。</w:t>
      </w:r>
    </w:p>
    <w:p w:rsidR="00B4256E" w:rsidRDefault="00B4256E">
      <w:pPr>
        <w:pStyle w:val="SingleTxtGC"/>
        <w:rPr>
          <w:lang w:val="en-GB"/>
        </w:rPr>
      </w:pPr>
      <w:r>
        <w:rPr>
          <w:sz w:val="20"/>
          <w:lang w:val="en-GB"/>
        </w:rPr>
        <w:t xml:space="preserve">43.  </w:t>
      </w:r>
      <w:r>
        <w:rPr>
          <w:rFonts w:hint="eastAsia"/>
          <w:lang w:val="en-GB"/>
        </w:rPr>
        <w:t>在目前的修订本中，《刑法典》第</w:t>
      </w:r>
      <w:r>
        <w:rPr>
          <w:lang w:val="en-GB"/>
        </w:rPr>
        <w:t>212-1</w:t>
      </w:r>
      <w:r>
        <w:rPr>
          <w:rFonts w:hint="eastAsia"/>
          <w:lang w:val="en-GB"/>
        </w:rPr>
        <w:t>条第</w:t>
      </w:r>
      <w:r>
        <w:rPr>
          <w:lang w:val="en-GB"/>
        </w:rPr>
        <w:t>9</w:t>
      </w:r>
      <w:r>
        <w:rPr>
          <w:rFonts w:hint="eastAsia"/>
          <w:lang w:val="en-GB"/>
        </w:rPr>
        <w:t>点规定：“在普遍或系统攻击中，有计划有预谋地对一群平民实施的下述行为之一也构成危害人类罪，应处以无期徒刑：……</w:t>
      </w:r>
      <w:r>
        <w:rPr>
          <w:rFonts w:hint="eastAsia"/>
          <w:lang w:val="en-GB"/>
        </w:rPr>
        <w:t xml:space="preserve"> </w:t>
      </w:r>
      <w:r>
        <w:rPr>
          <w:lang w:val="en-GB"/>
        </w:rPr>
        <w:t>9</w:t>
      </w:r>
      <w:r>
        <w:rPr>
          <w:rFonts w:hint="eastAsia"/>
          <w:lang w:val="en-GB"/>
        </w:rPr>
        <w:t xml:space="preserve">) </w:t>
      </w:r>
      <w:r>
        <w:rPr>
          <w:rFonts w:hint="eastAsia"/>
          <w:lang w:val="en-GB"/>
        </w:rPr>
        <w:t>逮捕、拘押或绑架某人，导致其失踪并且否认剥夺自由之实情或者隐瞒其命运或下落</w:t>
      </w:r>
      <w:r>
        <w:rPr>
          <w:lang w:val="en-GB"/>
        </w:rPr>
        <w:t>(</w:t>
      </w:r>
      <w:r>
        <w:rPr>
          <w:rFonts w:hint="eastAsia"/>
          <w:lang w:val="en-GB"/>
        </w:rPr>
        <w:t>……</w:t>
      </w:r>
      <w:r>
        <w:rPr>
          <w:lang w:val="en-GB"/>
        </w:rPr>
        <w:t>)</w:t>
      </w:r>
      <w:r>
        <w:rPr>
          <w:rFonts w:hint="eastAsia"/>
          <w:lang w:val="en-GB"/>
        </w:rPr>
        <w:t>”。</w:t>
      </w:r>
    </w:p>
    <w:p w:rsidR="00B4256E" w:rsidRDefault="00B4256E">
      <w:pPr>
        <w:pStyle w:val="SingleTxtGC"/>
        <w:rPr>
          <w:lang w:val="en-GB"/>
        </w:rPr>
      </w:pPr>
      <w:r>
        <w:rPr>
          <w:sz w:val="20"/>
          <w:lang w:val="en-GB"/>
        </w:rPr>
        <w:t xml:space="preserve">44.  </w:t>
      </w:r>
      <w:r>
        <w:rPr>
          <w:rFonts w:hint="eastAsia"/>
          <w:lang w:val="en-GB"/>
        </w:rPr>
        <w:t>一旦第</w:t>
      </w:r>
      <w:r>
        <w:rPr>
          <w:lang w:val="en-GB"/>
        </w:rPr>
        <w:t>250</w:t>
      </w:r>
      <w:r>
        <w:rPr>
          <w:rFonts w:hint="eastAsia"/>
          <w:lang w:val="en-GB"/>
        </w:rPr>
        <w:t>号法律草案获得通过，源于《罗马规约》第七条的这一第</w:t>
      </w:r>
      <w:r>
        <w:rPr>
          <w:lang w:val="en-GB"/>
        </w:rPr>
        <w:t>212-1</w:t>
      </w:r>
      <w:r>
        <w:rPr>
          <w:rFonts w:hint="eastAsia"/>
          <w:lang w:val="en-GB"/>
        </w:rPr>
        <w:t>条第</w:t>
      </w:r>
      <w:r>
        <w:rPr>
          <w:rFonts w:hint="eastAsia"/>
          <w:lang w:val="en-GB"/>
        </w:rPr>
        <w:t>9</w:t>
      </w:r>
      <w:r>
        <w:rPr>
          <w:rFonts w:hint="eastAsia"/>
          <w:lang w:val="en-GB"/>
        </w:rPr>
        <w:t>款将被《刑法典》新的第</w:t>
      </w:r>
      <w:r>
        <w:rPr>
          <w:lang w:val="en-GB"/>
        </w:rPr>
        <w:t>221-12</w:t>
      </w:r>
      <w:r>
        <w:rPr>
          <w:rFonts w:hint="eastAsia"/>
          <w:lang w:val="en-GB"/>
        </w:rPr>
        <w:t>条中所定义的强迫失踪罪取代。</w:t>
      </w:r>
    </w:p>
    <w:p w:rsidR="00B4256E" w:rsidRDefault="00B4256E">
      <w:pPr>
        <w:pStyle w:val="SingleTxtGC"/>
        <w:rPr>
          <w:lang w:val="en-GB"/>
        </w:rPr>
      </w:pPr>
      <w:r>
        <w:rPr>
          <w:sz w:val="20"/>
          <w:lang w:val="en-GB"/>
        </w:rPr>
        <w:t xml:space="preserve">45.  </w:t>
      </w:r>
      <w:r>
        <w:rPr>
          <w:rFonts w:hint="eastAsia"/>
          <w:lang w:val="en-GB"/>
        </w:rPr>
        <w:t>最后，应指出的是作为危害人类罪起诉的强迫失踪有两个后果：</w:t>
      </w:r>
    </w:p>
    <w:p w:rsidR="00B4256E" w:rsidRDefault="00B4256E">
      <w:pPr>
        <w:pStyle w:val="Bullet1GC"/>
        <w:rPr>
          <w:lang w:val="en-GB"/>
        </w:rPr>
      </w:pPr>
      <w:r>
        <w:rPr>
          <w:rFonts w:hint="eastAsia"/>
          <w:lang w:val="en-GB"/>
        </w:rPr>
        <w:t>犯罪者要被处以适用于所有危害人类罪的第</w:t>
      </w:r>
      <w:r>
        <w:rPr>
          <w:lang w:val="en-GB"/>
        </w:rPr>
        <w:t>213-1</w:t>
      </w:r>
      <w:r>
        <w:rPr>
          <w:rFonts w:hint="eastAsia"/>
          <w:lang w:val="en-GB"/>
        </w:rPr>
        <w:t>条、第</w:t>
      </w:r>
      <w:r>
        <w:rPr>
          <w:lang w:val="en-GB"/>
        </w:rPr>
        <w:t>213-2</w:t>
      </w:r>
      <w:r>
        <w:rPr>
          <w:rFonts w:hint="eastAsia"/>
          <w:lang w:val="en-GB"/>
        </w:rPr>
        <w:t>条和第</w:t>
      </w:r>
      <w:r>
        <w:rPr>
          <w:lang w:val="en-GB"/>
        </w:rPr>
        <w:t>213-3</w:t>
      </w:r>
      <w:r>
        <w:rPr>
          <w:rFonts w:hint="eastAsia"/>
          <w:lang w:val="en-GB"/>
        </w:rPr>
        <w:t>条所规定的附加刑；</w:t>
      </w:r>
    </w:p>
    <w:p w:rsidR="00B4256E" w:rsidRDefault="00B4256E">
      <w:pPr>
        <w:pStyle w:val="Bullet1GC"/>
        <w:rPr>
          <w:lang w:val="en-GB"/>
        </w:rPr>
      </w:pPr>
      <w:r>
        <w:rPr>
          <w:rFonts w:hint="eastAsia"/>
          <w:lang w:val="en-GB"/>
        </w:rPr>
        <w:t>按照《刑法典》第</w:t>
      </w:r>
      <w:r>
        <w:rPr>
          <w:lang w:val="en-GB"/>
        </w:rPr>
        <w:t>213-5</w:t>
      </w:r>
      <w:r>
        <w:rPr>
          <w:rFonts w:hint="eastAsia"/>
          <w:lang w:val="en-GB"/>
        </w:rPr>
        <w:t>条无论是公诉还是判刑都不受时效约束。</w:t>
      </w:r>
    </w:p>
    <w:p w:rsidR="00B4256E" w:rsidRDefault="00B4256E">
      <w:pPr>
        <w:pStyle w:val="H1GC"/>
        <w:rPr>
          <w:lang w:val="en-GB"/>
        </w:rPr>
      </w:pPr>
      <w:r>
        <w:rPr>
          <w:lang w:val="en-GB"/>
        </w:rPr>
        <w:tab/>
      </w:r>
      <w:r>
        <w:rPr>
          <w:rFonts w:hint="eastAsia"/>
          <w:lang w:val="en-GB"/>
        </w:rPr>
        <w:tab/>
      </w:r>
      <w:r>
        <w:rPr>
          <w:rFonts w:hint="eastAsia"/>
          <w:lang w:val="en-GB"/>
        </w:rPr>
        <w:t>第六条</w:t>
      </w:r>
      <w:r>
        <w:rPr>
          <w:rFonts w:hint="eastAsia"/>
          <w:lang w:val="en-GB"/>
        </w:rPr>
        <w:br/>
      </w:r>
      <w:r>
        <w:rPr>
          <w:rFonts w:hint="eastAsia"/>
          <w:lang w:val="en-GB"/>
        </w:rPr>
        <w:t>刑事责任制度</w:t>
      </w:r>
    </w:p>
    <w:p w:rsidR="00B4256E" w:rsidRDefault="00B4256E">
      <w:pPr>
        <w:pStyle w:val="SingleTxtGC"/>
        <w:rPr>
          <w:lang w:val="en-GB"/>
        </w:rPr>
      </w:pPr>
      <w:r>
        <w:rPr>
          <w:sz w:val="20"/>
          <w:lang w:val="en-GB"/>
        </w:rPr>
        <w:t xml:space="preserve">46.  </w:t>
      </w:r>
      <w:r>
        <w:rPr>
          <w:rFonts w:hint="eastAsia"/>
          <w:lang w:val="en-GB"/>
        </w:rPr>
        <w:t>关于一切犯罪，《刑法典》第</w:t>
      </w:r>
      <w:r>
        <w:rPr>
          <w:lang w:val="en-GB"/>
        </w:rPr>
        <w:t>121-4</w:t>
      </w:r>
      <w:r>
        <w:rPr>
          <w:rFonts w:hint="eastAsia"/>
          <w:lang w:val="en-GB"/>
        </w:rPr>
        <w:t>条允许起诉未遂犯罪</w:t>
      </w:r>
      <w:r>
        <w:rPr>
          <w:rFonts w:hint="eastAsia"/>
          <w:lang w:val="en-GB"/>
        </w:rPr>
        <w:t>(</w:t>
      </w:r>
      <w:r>
        <w:rPr>
          <w:rFonts w:hint="eastAsia"/>
          <w:lang w:val="en-GB"/>
        </w:rPr>
        <w:t>与实施相对</w:t>
      </w:r>
      <w:r>
        <w:rPr>
          <w:rFonts w:hint="eastAsia"/>
          <w:lang w:val="en-GB"/>
        </w:rPr>
        <w:t>)</w:t>
      </w:r>
      <w:r>
        <w:rPr>
          <w:rFonts w:hint="eastAsia"/>
          <w:lang w:val="en-GB"/>
        </w:rPr>
        <w:t>，不过根据《刑法典》第</w:t>
      </w:r>
      <w:r>
        <w:rPr>
          <w:lang w:val="en-GB"/>
        </w:rPr>
        <w:t>121-6</w:t>
      </w:r>
      <w:r>
        <w:rPr>
          <w:rFonts w:hint="eastAsia"/>
          <w:lang w:val="en-GB"/>
        </w:rPr>
        <w:t>条和第</w:t>
      </w:r>
      <w:r>
        <w:rPr>
          <w:lang w:val="en-GB"/>
        </w:rPr>
        <w:t>121-7</w:t>
      </w:r>
      <w:r>
        <w:rPr>
          <w:rFonts w:hint="eastAsia"/>
          <w:lang w:val="en-GB"/>
        </w:rPr>
        <w:t>条，串通犯罪本身必然要受到起诉。在法国法律中，犯罪同谋者与犯罪者所受处罚相同。</w:t>
      </w:r>
    </w:p>
    <w:p w:rsidR="00B4256E" w:rsidRDefault="00B4256E">
      <w:pPr>
        <w:pStyle w:val="SingleTxtGC"/>
        <w:rPr>
          <w:lang w:val="en-GB"/>
        </w:rPr>
      </w:pPr>
      <w:r>
        <w:rPr>
          <w:sz w:val="20"/>
          <w:lang w:val="en-GB"/>
        </w:rPr>
        <w:t xml:space="preserve">47.  </w:t>
      </w:r>
      <w:r>
        <w:rPr>
          <w:rFonts w:hint="eastAsia"/>
          <w:lang w:val="en-GB"/>
        </w:rPr>
        <w:t>此外，同谋者的定义特别宽，包括故意提供帮助或协助为犯罪行为的筹划或实施提供便利的任何人，以及通过捐赠、承诺、威胁、命令、滥用权威或权力煽动犯罪或指示实施犯罪的任何人。</w:t>
      </w:r>
    </w:p>
    <w:p w:rsidR="00B4256E" w:rsidRDefault="00B4256E">
      <w:pPr>
        <w:pStyle w:val="SingleTxtGC"/>
        <w:rPr>
          <w:lang w:val="en-GB"/>
        </w:rPr>
      </w:pPr>
      <w:r>
        <w:rPr>
          <w:sz w:val="20"/>
          <w:lang w:val="en-GB"/>
        </w:rPr>
        <w:t xml:space="preserve">48.  </w:t>
      </w:r>
      <w:r>
        <w:rPr>
          <w:rFonts w:hint="eastAsia"/>
          <w:lang w:val="en-GB"/>
        </w:rPr>
        <w:t>因此，在强迫失踪罪的情况下无需做出专门规定。</w:t>
      </w:r>
    </w:p>
    <w:p w:rsidR="00B4256E" w:rsidRDefault="00B4256E">
      <w:pPr>
        <w:pStyle w:val="SingleTxtGC"/>
        <w:rPr>
          <w:lang w:val="en-GB"/>
        </w:rPr>
      </w:pPr>
      <w:r>
        <w:rPr>
          <w:sz w:val="20"/>
          <w:lang w:val="en-GB"/>
        </w:rPr>
        <w:t xml:space="preserve">49.  </w:t>
      </w:r>
      <w:r>
        <w:rPr>
          <w:rFonts w:hint="eastAsia"/>
          <w:lang w:val="en-GB"/>
        </w:rPr>
        <w:t>此外，关于上级的刑事责任，第</w:t>
      </w:r>
      <w:r>
        <w:rPr>
          <w:rFonts w:hint="eastAsia"/>
          <w:lang w:val="en-GB"/>
        </w:rPr>
        <w:t>250</w:t>
      </w:r>
      <w:r>
        <w:rPr>
          <w:rFonts w:hint="eastAsia"/>
          <w:lang w:val="en-GB"/>
        </w:rPr>
        <w:t>号法律草案规定在《刑法典》中新增第</w:t>
      </w:r>
      <w:r>
        <w:rPr>
          <w:lang w:val="en-GB"/>
        </w:rPr>
        <w:t>221-13</w:t>
      </w:r>
      <w:r>
        <w:rPr>
          <w:rFonts w:hint="eastAsia"/>
          <w:lang w:val="en-GB"/>
        </w:rPr>
        <w:t>条，根据该条“在不影响第</w:t>
      </w:r>
      <w:r>
        <w:rPr>
          <w:lang w:val="en-GB"/>
        </w:rPr>
        <w:t>121-7</w:t>
      </w:r>
      <w:r>
        <w:rPr>
          <w:rFonts w:hint="eastAsia"/>
          <w:lang w:val="en-GB"/>
        </w:rPr>
        <w:t>条规定的适用的情况下，上级若知道或者有意疏于考虑清楚地表明其下属实施了或将要实施强迫失踪罪的信息，并且没有采取一切其有权采取的必要和合理的措施来阻止犯罪或惩治犯罪或报告给主管当局以便调查和起诉，而该犯罪与其所负责或实际监督的活动有关，则被认为是其领导或实际监督下的下属所实施的第</w:t>
      </w:r>
      <w:r>
        <w:rPr>
          <w:lang w:val="en-GB"/>
        </w:rPr>
        <w:t>221-12</w:t>
      </w:r>
      <w:r>
        <w:rPr>
          <w:rFonts w:hint="eastAsia"/>
          <w:lang w:val="en-GB"/>
        </w:rPr>
        <w:t>条所述强迫失踪罪的同谋者。”</w:t>
      </w:r>
    </w:p>
    <w:p w:rsidR="00B4256E" w:rsidRDefault="00B4256E">
      <w:pPr>
        <w:pStyle w:val="SingleTxtGC"/>
        <w:rPr>
          <w:lang w:val="en-GB"/>
        </w:rPr>
      </w:pPr>
      <w:r>
        <w:rPr>
          <w:sz w:val="20"/>
          <w:lang w:val="en-GB"/>
        </w:rPr>
        <w:t xml:space="preserve">50.  </w:t>
      </w:r>
      <w:r>
        <w:rPr>
          <w:rFonts w:hint="eastAsia"/>
          <w:lang w:val="en-GB"/>
        </w:rPr>
        <w:t>该措辞与《刑法典》第</w:t>
      </w:r>
      <w:r>
        <w:rPr>
          <w:lang w:val="en-GB"/>
        </w:rPr>
        <w:t>213-4-1</w:t>
      </w:r>
      <w:r>
        <w:rPr>
          <w:rFonts w:hint="eastAsia"/>
          <w:lang w:val="en-GB"/>
        </w:rPr>
        <w:t>条的措辞相同，刑法典第</w:t>
      </w:r>
      <w:r>
        <w:rPr>
          <w:lang w:val="en-GB"/>
        </w:rPr>
        <w:t>213-4-1</w:t>
      </w:r>
      <w:r>
        <w:rPr>
          <w:rFonts w:hint="eastAsia"/>
          <w:lang w:val="en-GB"/>
        </w:rPr>
        <w:t>条用同样的措辞确定了上级对所有危害人类罪的同谋责任。</w:t>
      </w:r>
    </w:p>
    <w:p w:rsidR="00B4256E" w:rsidRDefault="00B4256E">
      <w:pPr>
        <w:pStyle w:val="SingleTxtGC"/>
        <w:rPr>
          <w:lang w:val="en-GB"/>
        </w:rPr>
      </w:pPr>
      <w:r>
        <w:rPr>
          <w:sz w:val="20"/>
          <w:lang w:val="en-GB"/>
        </w:rPr>
        <w:t xml:space="preserve">51.  </w:t>
      </w:r>
      <w:r>
        <w:rPr>
          <w:rFonts w:hint="eastAsia"/>
          <w:lang w:val="en-GB"/>
        </w:rPr>
        <w:t>最后，关于不得援引任何命令来为强迫失踪罪开脱，《刑法典》第</w:t>
      </w:r>
      <w:r>
        <w:rPr>
          <w:lang w:val="en-GB"/>
        </w:rPr>
        <w:t>122-4</w:t>
      </w:r>
      <w:r>
        <w:rPr>
          <w:rFonts w:hint="eastAsia"/>
          <w:lang w:val="en-GB"/>
        </w:rPr>
        <w:t>条、</w:t>
      </w:r>
      <w:r>
        <w:rPr>
          <w:rFonts w:hint="eastAsia"/>
          <w:lang w:val="en-GB"/>
        </w:rPr>
        <w:t>1983</w:t>
      </w:r>
      <w:r>
        <w:rPr>
          <w:rFonts w:hint="eastAsia"/>
          <w:lang w:val="en-GB"/>
        </w:rPr>
        <w:t>年</w:t>
      </w:r>
      <w:r>
        <w:rPr>
          <w:rFonts w:hint="eastAsia"/>
          <w:lang w:val="en-GB"/>
        </w:rPr>
        <w:t>7</w:t>
      </w:r>
      <w:r>
        <w:rPr>
          <w:rFonts w:hint="eastAsia"/>
          <w:lang w:val="en-GB"/>
        </w:rPr>
        <w:t>月</w:t>
      </w:r>
      <w:r>
        <w:rPr>
          <w:rFonts w:hint="eastAsia"/>
          <w:lang w:val="en-GB"/>
        </w:rPr>
        <w:t>13</w:t>
      </w:r>
      <w:r>
        <w:rPr>
          <w:rFonts w:hint="eastAsia"/>
          <w:lang w:val="en-GB"/>
        </w:rPr>
        <w:t>日关于公务员的权利和义务的法律第</w:t>
      </w:r>
      <w:r>
        <w:rPr>
          <w:rFonts w:hint="eastAsia"/>
          <w:lang w:val="en-GB"/>
        </w:rPr>
        <w:t>28</w:t>
      </w:r>
      <w:r>
        <w:rPr>
          <w:rFonts w:hint="eastAsia"/>
          <w:lang w:val="en-GB"/>
        </w:rPr>
        <w:t>条以及在上面关于《公约》第一条的评论中提到过的《国防法》</w:t>
      </w:r>
      <w:r>
        <w:rPr>
          <w:lang w:val="en-GB"/>
        </w:rPr>
        <w:t>L.4122-1</w:t>
      </w:r>
      <w:r>
        <w:rPr>
          <w:rFonts w:hint="eastAsia"/>
          <w:lang w:val="en-GB"/>
        </w:rPr>
        <w:t>条中对此做了规定。</w:t>
      </w:r>
    </w:p>
    <w:p w:rsidR="00B4256E" w:rsidRDefault="00B4256E">
      <w:pPr>
        <w:pStyle w:val="H1GC"/>
        <w:rPr>
          <w:lang w:val="en-GB"/>
        </w:rPr>
      </w:pPr>
      <w:r>
        <w:rPr>
          <w:rFonts w:hint="eastAsia"/>
          <w:lang w:val="en-GB"/>
        </w:rPr>
        <w:tab/>
      </w:r>
      <w:r>
        <w:rPr>
          <w:rFonts w:hint="eastAsia"/>
          <w:lang w:val="en-GB"/>
        </w:rPr>
        <w:tab/>
      </w:r>
      <w:r>
        <w:rPr>
          <w:rFonts w:hint="eastAsia"/>
          <w:lang w:val="en-GB"/>
        </w:rPr>
        <w:t>第七条</w:t>
      </w:r>
      <w:r>
        <w:rPr>
          <w:rFonts w:hint="eastAsia"/>
          <w:lang w:val="en-GB"/>
        </w:rPr>
        <w:br/>
      </w:r>
      <w:r>
        <w:rPr>
          <w:rFonts w:hint="eastAsia"/>
          <w:lang w:val="en-GB"/>
        </w:rPr>
        <w:t>适用刑罚</w:t>
      </w:r>
    </w:p>
    <w:p w:rsidR="00B4256E" w:rsidRDefault="00B4256E">
      <w:pPr>
        <w:pStyle w:val="SingleTxtGC"/>
        <w:rPr>
          <w:lang w:val="en-GB"/>
        </w:rPr>
      </w:pPr>
      <w:r>
        <w:rPr>
          <w:sz w:val="20"/>
          <w:lang w:val="en-GB"/>
        </w:rPr>
        <w:t xml:space="preserve">52.  </w:t>
      </w:r>
      <w:r>
        <w:rPr>
          <w:rFonts w:hint="eastAsia"/>
          <w:lang w:val="en-GB"/>
        </w:rPr>
        <w:t>除了《刑法典》新的第</w:t>
      </w:r>
      <w:r>
        <w:rPr>
          <w:lang w:val="en-GB"/>
        </w:rPr>
        <w:t>221-12</w:t>
      </w:r>
      <w:r>
        <w:rPr>
          <w:rFonts w:hint="eastAsia"/>
          <w:lang w:val="en-GB"/>
        </w:rPr>
        <w:t>条规定的无期徒刑这一刑罚外，第</w:t>
      </w:r>
      <w:r>
        <w:rPr>
          <w:rFonts w:hint="eastAsia"/>
          <w:lang w:val="en-GB"/>
        </w:rPr>
        <w:t>250</w:t>
      </w:r>
      <w:r>
        <w:rPr>
          <w:rFonts w:hint="eastAsia"/>
          <w:lang w:val="en-GB"/>
        </w:rPr>
        <w:t>号法律草案还规定强迫失踪罪的犯罪者将根据《刑法典》新的第</w:t>
      </w:r>
      <w:r>
        <w:rPr>
          <w:lang w:val="en-GB"/>
        </w:rPr>
        <w:t>221-14</w:t>
      </w:r>
      <w:r>
        <w:rPr>
          <w:rFonts w:hint="eastAsia"/>
          <w:lang w:val="en-GB"/>
        </w:rPr>
        <w:t>条至第</w:t>
      </w:r>
      <w:r>
        <w:rPr>
          <w:lang w:val="en-GB"/>
        </w:rPr>
        <w:t>221-17</w:t>
      </w:r>
      <w:r>
        <w:rPr>
          <w:rFonts w:hint="eastAsia"/>
          <w:lang w:val="en-GB"/>
        </w:rPr>
        <w:t>条被处以下述附加刑：</w:t>
      </w:r>
    </w:p>
    <w:p w:rsidR="00B4256E" w:rsidRDefault="00B4256E">
      <w:pPr>
        <w:pStyle w:val="Bullet1GC"/>
        <w:rPr>
          <w:lang w:val="en-GB"/>
        </w:rPr>
      </w:pPr>
      <w:r>
        <w:rPr>
          <w:rFonts w:hint="eastAsia"/>
          <w:lang w:val="en-GB"/>
        </w:rPr>
        <w:t>第</w:t>
      </w:r>
      <w:r>
        <w:rPr>
          <w:lang w:val="en-GB"/>
        </w:rPr>
        <w:t>221-14</w:t>
      </w:r>
      <w:r>
        <w:rPr>
          <w:rFonts w:hint="eastAsia"/>
          <w:lang w:val="en-GB"/>
        </w:rPr>
        <w:t>条</w:t>
      </w:r>
      <w:r>
        <w:rPr>
          <w:rFonts w:hint="eastAsia"/>
          <w:spacing w:val="-60"/>
          <w:lang w:val="en-GB"/>
        </w:rPr>
        <w:t>―</w:t>
      </w:r>
      <w:r>
        <w:rPr>
          <w:rFonts w:hint="eastAsia"/>
          <w:spacing w:val="10"/>
          <w:lang w:val="en-GB"/>
        </w:rPr>
        <w:t>―</w:t>
      </w:r>
      <w:r>
        <w:rPr>
          <w:rFonts w:hint="eastAsia"/>
          <w:lang w:val="en-GB"/>
        </w:rPr>
        <w:t>犯下第</w:t>
      </w:r>
      <w:r>
        <w:rPr>
          <w:lang w:val="en-GB"/>
        </w:rPr>
        <w:t>221-12</w:t>
      </w:r>
      <w:r>
        <w:rPr>
          <w:rFonts w:hint="eastAsia"/>
          <w:lang w:val="en-GB"/>
        </w:rPr>
        <w:t>条所述罪行的自然人还应受到以下处罚：</w:t>
      </w:r>
    </w:p>
    <w:p w:rsidR="00B4256E" w:rsidRDefault="00B4256E">
      <w:pPr>
        <w:pStyle w:val="SingleTxtGC"/>
        <w:ind w:left="2427" w:hanging="453"/>
      </w:pPr>
      <w:r>
        <w:rPr>
          <w:rFonts w:hint="eastAsia"/>
        </w:rPr>
        <w:t>1)</w:t>
      </w:r>
      <w:r>
        <w:rPr>
          <w:rFonts w:hint="eastAsia"/>
        </w:rPr>
        <w:tab/>
      </w:r>
      <w:r>
        <w:rPr>
          <w:rFonts w:hint="eastAsia"/>
        </w:rPr>
        <w:t>按照第</w:t>
      </w:r>
      <w:r>
        <w:t>131-26</w:t>
      </w:r>
      <w:r>
        <w:rPr>
          <w:rFonts w:hint="eastAsia"/>
        </w:rPr>
        <w:t>条规定的方式禁止行使公民权利、民事权利和家庭权利；</w:t>
      </w:r>
    </w:p>
    <w:p w:rsidR="00B4256E" w:rsidRDefault="00B4256E">
      <w:pPr>
        <w:pStyle w:val="SingleTxtGC"/>
        <w:ind w:left="2427" w:hanging="453"/>
      </w:pPr>
      <w:r>
        <w:rPr>
          <w:rFonts w:hint="eastAsia"/>
        </w:rPr>
        <w:t>2)</w:t>
      </w:r>
      <w:r>
        <w:rPr>
          <w:rFonts w:hint="eastAsia"/>
        </w:rPr>
        <w:tab/>
      </w:r>
      <w:r>
        <w:rPr>
          <w:rFonts w:hint="eastAsia"/>
        </w:rPr>
        <w:t>按照第</w:t>
      </w:r>
      <w:r>
        <w:t>131-27</w:t>
      </w:r>
      <w:r>
        <w:rPr>
          <w:rFonts w:hint="eastAsia"/>
        </w:rPr>
        <w:t>条规定的方式，禁止履行公共职务或者开展职业活动或社会活动</w:t>
      </w:r>
      <w:r>
        <w:rPr>
          <w:rFonts w:hint="eastAsia"/>
        </w:rPr>
        <w:t>(</w:t>
      </w:r>
      <w:r>
        <w:rPr>
          <w:rFonts w:hint="eastAsia"/>
        </w:rPr>
        <w:t>在开展职业活动或社会活动之中或者之时实施了犯罪行为</w:t>
      </w:r>
      <w:r>
        <w:rPr>
          <w:rFonts w:hint="eastAsia"/>
        </w:rPr>
        <w:t>)</w:t>
      </w:r>
      <w:r>
        <w:rPr>
          <w:rFonts w:hint="eastAsia"/>
        </w:rPr>
        <w:t>，禁止从事商业和实业，以任何名义，直接地或间接地，为自己或他人领导、管理、经营或控制一家商业企业或工业企业或者商业公司。这些禁令可以叠加；</w:t>
      </w:r>
    </w:p>
    <w:p w:rsidR="00B4256E" w:rsidRDefault="00B4256E">
      <w:pPr>
        <w:pStyle w:val="SingleTxtGC"/>
        <w:ind w:left="2427" w:hanging="453"/>
      </w:pPr>
      <w:r>
        <w:rPr>
          <w:rFonts w:hint="eastAsia"/>
        </w:rPr>
        <w:t>3)</w:t>
      </w:r>
      <w:r>
        <w:rPr>
          <w:rFonts w:hint="eastAsia"/>
        </w:rPr>
        <w:tab/>
      </w:r>
      <w:r>
        <w:rPr>
          <w:rFonts w:hint="eastAsia"/>
        </w:rPr>
        <w:t>按照第</w:t>
      </w:r>
      <w:r>
        <w:t>131-31</w:t>
      </w:r>
      <w:r>
        <w:rPr>
          <w:rFonts w:hint="eastAsia"/>
        </w:rPr>
        <w:t>条规定的方式，禁止居留；</w:t>
      </w:r>
    </w:p>
    <w:p w:rsidR="00B4256E" w:rsidRDefault="00B4256E">
      <w:pPr>
        <w:pStyle w:val="SingleTxtGC"/>
        <w:ind w:left="2427" w:hanging="453"/>
      </w:pPr>
      <w:r>
        <w:rPr>
          <w:rFonts w:hint="eastAsia"/>
        </w:rPr>
        <w:t>4)</w:t>
      </w:r>
      <w:r>
        <w:rPr>
          <w:rFonts w:hint="eastAsia"/>
        </w:rPr>
        <w:tab/>
      </w:r>
      <w:r>
        <w:rPr>
          <w:rFonts w:hint="eastAsia"/>
        </w:rPr>
        <w:t>在最多</w:t>
      </w:r>
      <w:r>
        <w:rPr>
          <w:rFonts w:hint="eastAsia"/>
        </w:rPr>
        <w:t>5</w:t>
      </w:r>
      <w:r>
        <w:rPr>
          <w:rFonts w:hint="eastAsia"/>
        </w:rPr>
        <w:t>年的期限内禁止持有或携带应获许可的武器；</w:t>
      </w:r>
    </w:p>
    <w:p w:rsidR="00B4256E" w:rsidRDefault="00B4256E">
      <w:pPr>
        <w:pStyle w:val="SingleTxtGC"/>
        <w:ind w:left="2427" w:hanging="453"/>
      </w:pPr>
      <w:r>
        <w:rPr>
          <w:rFonts w:hint="eastAsia"/>
        </w:rPr>
        <w:t>5)</w:t>
      </w:r>
      <w:r>
        <w:rPr>
          <w:rFonts w:hint="eastAsia"/>
        </w:rPr>
        <w:tab/>
      </w:r>
      <w:r>
        <w:rPr>
          <w:rFonts w:hint="eastAsia"/>
        </w:rPr>
        <w:t>没收被判刑者拥有或自由支配的一件或多件武器；</w:t>
      </w:r>
    </w:p>
    <w:p w:rsidR="00B4256E" w:rsidRDefault="00B4256E">
      <w:pPr>
        <w:pStyle w:val="SingleTxtGC"/>
        <w:ind w:left="2427" w:hanging="453"/>
      </w:pPr>
      <w:r>
        <w:rPr>
          <w:rFonts w:hint="eastAsia"/>
        </w:rPr>
        <w:t>6)</w:t>
      </w:r>
      <w:r>
        <w:rPr>
          <w:rFonts w:hint="eastAsia"/>
        </w:rPr>
        <w:tab/>
      </w:r>
      <w:r>
        <w:rPr>
          <w:rFonts w:hint="eastAsia"/>
        </w:rPr>
        <w:t>第</w:t>
      </w:r>
      <w:r>
        <w:t>131-21</w:t>
      </w:r>
      <w:r>
        <w:rPr>
          <w:rFonts w:hint="eastAsia"/>
        </w:rPr>
        <w:t>条规定的没收。</w:t>
      </w:r>
    </w:p>
    <w:p w:rsidR="00B4256E" w:rsidRDefault="00B4256E">
      <w:pPr>
        <w:pStyle w:val="Bullet1GC"/>
        <w:rPr>
          <w:lang w:val="en-GB"/>
        </w:rPr>
      </w:pPr>
      <w:r>
        <w:rPr>
          <w:rFonts w:hint="eastAsia"/>
          <w:lang w:val="en-GB"/>
        </w:rPr>
        <w:t>第</w:t>
      </w:r>
      <w:r>
        <w:rPr>
          <w:lang w:val="en-GB"/>
        </w:rPr>
        <w:t>221-15</w:t>
      </w:r>
      <w:r>
        <w:rPr>
          <w:rFonts w:hint="eastAsia"/>
          <w:lang w:val="en-GB"/>
        </w:rPr>
        <w:t>条</w:t>
      </w:r>
      <w:r>
        <w:rPr>
          <w:rFonts w:hint="eastAsia"/>
          <w:spacing w:val="-60"/>
          <w:lang w:val="en-GB"/>
        </w:rPr>
        <w:t>―</w:t>
      </w:r>
      <w:r>
        <w:rPr>
          <w:rFonts w:hint="eastAsia"/>
          <w:spacing w:val="10"/>
          <w:lang w:val="en-GB"/>
        </w:rPr>
        <w:t>―</w:t>
      </w:r>
      <w:r>
        <w:rPr>
          <w:rFonts w:hint="eastAsia"/>
          <w:lang w:val="en-GB"/>
        </w:rPr>
        <w:t>犯下第</w:t>
      </w:r>
      <w:r>
        <w:rPr>
          <w:lang w:val="en-GB"/>
        </w:rPr>
        <w:t>221-12</w:t>
      </w:r>
      <w:r>
        <w:rPr>
          <w:rFonts w:hint="eastAsia"/>
          <w:lang w:val="en-GB"/>
        </w:rPr>
        <w:t>条所述罪行的自然人还要按照第</w:t>
      </w:r>
      <w:r>
        <w:rPr>
          <w:lang w:val="en-GB"/>
        </w:rPr>
        <w:t>131-36-1</w:t>
      </w:r>
      <w:r>
        <w:rPr>
          <w:rFonts w:hint="eastAsia"/>
          <w:lang w:val="en-GB"/>
        </w:rPr>
        <w:t>条至第</w:t>
      </w:r>
      <w:r>
        <w:rPr>
          <w:lang w:val="en-GB"/>
        </w:rPr>
        <w:t>131-36-13</w:t>
      </w:r>
      <w:r>
        <w:rPr>
          <w:rFonts w:hint="eastAsia"/>
          <w:lang w:val="en-GB"/>
        </w:rPr>
        <w:t>条规定的方式受到社会</w:t>
      </w:r>
      <w:r>
        <w:rPr>
          <w:rFonts w:hint="eastAsia"/>
          <w:lang w:val="en-GB"/>
        </w:rPr>
        <w:t>-</w:t>
      </w:r>
      <w:r>
        <w:rPr>
          <w:rFonts w:hint="eastAsia"/>
          <w:lang w:val="en-GB"/>
        </w:rPr>
        <w:t>司法调查。</w:t>
      </w:r>
    </w:p>
    <w:p w:rsidR="00B4256E" w:rsidRDefault="00B4256E">
      <w:pPr>
        <w:pStyle w:val="Bullet1GC"/>
        <w:rPr>
          <w:lang w:val="en-GB"/>
        </w:rPr>
      </w:pPr>
      <w:r>
        <w:rPr>
          <w:rFonts w:hint="eastAsia"/>
          <w:lang w:val="en-GB"/>
        </w:rPr>
        <w:t>第</w:t>
      </w:r>
      <w:r>
        <w:rPr>
          <w:lang w:val="en-GB"/>
        </w:rPr>
        <w:t>221-16</w:t>
      </w:r>
      <w:r>
        <w:rPr>
          <w:rFonts w:hint="eastAsia"/>
          <w:lang w:val="en-GB"/>
        </w:rPr>
        <w:t>条</w:t>
      </w:r>
      <w:r>
        <w:rPr>
          <w:rFonts w:hint="eastAsia"/>
          <w:spacing w:val="-60"/>
          <w:lang w:val="en-GB"/>
        </w:rPr>
        <w:t>―</w:t>
      </w:r>
      <w:r>
        <w:rPr>
          <w:rFonts w:hint="eastAsia"/>
          <w:spacing w:val="10"/>
          <w:lang w:val="en-GB"/>
        </w:rPr>
        <w:t>―</w:t>
      </w:r>
      <w:r>
        <w:rPr>
          <w:rFonts w:hint="eastAsia"/>
          <w:lang w:val="en-GB"/>
        </w:rPr>
        <w:t>在第</w:t>
      </w:r>
      <w:r>
        <w:rPr>
          <w:lang w:val="en-GB"/>
        </w:rPr>
        <w:t>131-30</w:t>
      </w:r>
      <w:r>
        <w:rPr>
          <w:rFonts w:hint="eastAsia"/>
          <w:lang w:val="en-GB"/>
        </w:rPr>
        <w:t>条规定的条件下可以对犯下第</w:t>
      </w:r>
      <w:r>
        <w:rPr>
          <w:lang w:val="en-GB"/>
        </w:rPr>
        <w:t>221-12</w:t>
      </w:r>
      <w:r>
        <w:rPr>
          <w:rFonts w:hint="eastAsia"/>
          <w:lang w:val="en-GB"/>
        </w:rPr>
        <w:t>条所述罪行的外国人宣布永久或在最多</w:t>
      </w:r>
      <w:r>
        <w:rPr>
          <w:rFonts w:hint="eastAsia"/>
          <w:lang w:val="en-GB"/>
        </w:rPr>
        <w:t>10</w:t>
      </w:r>
      <w:r>
        <w:rPr>
          <w:rFonts w:hint="eastAsia"/>
          <w:lang w:val="en-GB"/>
        </w:rPr>
        <w:t>年的期限内禁止进入法国领土。</w:t>
      </w:r>
    </w:p>
    <w:p w:rsidR="00B4256E" w:rsidRDefault="00B4256E">
      <w:pPr>
        <w:pStyle w:val="Bullet1GC"/>
        <w:rPr>
          <w:lang w:val="en-GB"/>
        </w:rPr>
      </w:pPr>
      <w:r>
        <w:rPr>
          <w:rFonts w:hint="eastAsia"/>
          <w:lang w:val="en-GB"/>
        </w:rPr>
        <w:t>第</w:t>
      </w:r>
      <w:r>
        <w:rPr>
          <w:lang w:val="en-GB"/>
        </w:rPr>
        <w:t>221-17</w:t>
      </w:r>
      <w:r>
        <w:rPr>
          <w:rFonts w:hint="eastAsia"/>
          <w:lang w:val="en-GB"/>
        </w:rPr>
        <w:t>条</w:t>
      </w:r>
      <w:r>
        <w:rPr>
          <w:rFonts w:hint="eastAsia"/>
          <w:spacing w:val="-60"/>
          <w:lang w:val="en-GB"/>
        </w:rPr>
        <w:t>―</w:t>
      </w:r>
      <w:r>
        <w:rPr>
          <w:rFonts w:hint="eastAsia"/>
          <w:spacing w:val="10"/>
          <w:lang w:val="en-GB"/>
        </w:rPr>
        <w:t>―</w:t>
      </w:r>
      <w:r>
        <w:rPr>
          <w:rFonts w:hint="eastAsia"/>
          <w:lang w:val="en-GB"/>
        </w:rPr>
        <w:t>在第</w:t>
      </w:r>
      <w:r>
        <w:rPr>
          <w:lang w:val="en-GB"/>
        </w:rPr>
        <w:t>121-2</w:t>
      </w:r>
      <w:r>
        <w:rPr>
          <w:rFonts w:hint="eastAsia"/>
          <w:lang w:val="en-GB"/>
        </w:rPr>
        <w:t>条规定的条件下被宣布对第</w:t>
      </w:r>
      <w:r>
        <w:rPr>
          <w:lang w:val="en-GB"/>
        </w:rPr>
        <w:t>221-12</w:t>
      </w:r>
      <w:r>
        <w:rPr>
          <w:rFonts w:hint="eastAsia"/>
          <w:lang w:val="en-GB"/>
        </w:rPr>
        <w:t>条所述罪行负有刑事责任的法人除要按照第</w:t>
      </w:r>
      <w:r>
        <w:rPr>
          <w:lang w:val="en-GB"/>
        </w:rPr>
        <w:t>131-38</w:t>
      </w:r>
      <w:r>
        <w:rPr>
          <w:rFonts w:hint="eastAsia"/>
          <w:lang w:val="en-GB"/>
        </w:rPr>
        <w:t>条所规定的方式处以罚金外，还要受到第</w:t>
      </w:r>
      <w:r>
        <w:rPr>
          <w:lang w:val="en-GB"/>
        </w:rPr>
        <w:t>131-39</w:t>
      </w:r>
      <w:r>
        <w:rPr>
          <w:rFonts w:hint="eastAsia"/>
          <w:lang w:val="en-GB"/>
        </w:rPr>
        <w:t>条所述的处罚。</w:t>
      </w:r>
    </w:p>
    <w:p w:rsidR="00B4256E" w:rsidRDefault="00B4256E">
      <w:pPr>
        <w:pStyle w:val="SingleTxtGC"/>
        <w:rPr>
          <w:lang w:val="en-GB"/>
        </w:rPr>
      </w:pPr>
      <w:r>
        <w:rPr>
          <w:sz w:val="20"/>
          <w:lang w:val="en-GB"/>
        </w:rPr>
        <w:t xml:space="preserve">53.  </w:t>
      </w:r>
      <w:r>
        <w:rPr>
          <w:rFonts w:hint="eastAsia"/>
          <w:lang w:val="en-GB"/>
        </w:rPr>
        <w:t>相反，该法律草案没有明确规定任何减轻或加重处罚的情节，要强调的是关于这一点，《公约》第七条第</w:t>
      </w:r>
      <w:r>
        <w:rPr>
          <w:rFonts w:hint="eastAsia"/>
          <w:lang w:val="en-GB"/>
        </w:rPr>
        <w:t>2</w:t>
      </w:r>
      <w:r>
        <w:rPr>
          <w:rFonts w:hint="eastAsia"/>
          <w:lang w:val="en-GB"/>
        </w:rPr>
        <w:t>款只是说这是一项权利而不是义务。加重处罚的情节影响不大，因为已经达到法国刑罚的最高量刑标准了。最后，应该指出的是，法官始终可以考虑减轻处罚的情节，没必要在一个特殊文本中专门规定这样的情节。</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第八条</w:t>
      </w:r>
      <w:r>
        <w:rPr>
          <w:rFonts w:hint="eastAsia"/>
          <w:lang w:val="en-GB"/>
        </w:rPr>
        <w:br/>
      </w:r>
      <w:r>
        <w:rPr>
          <w:rFonts w:hint="eastAsia"/>
          <w:lang w:val="en-GB"/>
        </w:rPr>
        <w:t>诉讼时效</w:t>
      </w:r>
    </w:p>
    <w:p w:rsidR="00B4256E" w:rsidRDefault="00B4256E">
      <w:pPr>
        <w:pStyle w:val="SingleTxtGC"/>
        <w:rPr>
          <w:lang w:val="en-GB"/>
        </w:rPr>
      </w:pPr>
      <w:r>
        <w:rPr>
          <w:sz w:val="20"/>
          <w:lang w:val="en-GB"/>
        </w:rPr>
        <w:t xml:space="preserve">54.  </w:t>
      </w:r>
      <w:r>
        <w:rPr>
          <w:rFonts w:hint="eastAsia"/>
          <w:lang w:val="en-GB"/>
        </w:rPr>
        <w:t>在诉讼时效方面，第</w:t>
      </w:r>
      <w:r>
        <w:rPr>
          <w:rFonts w:hint="eastAsia"/>
          <w:lang w:val="en-GB"/>
        </w:rPr>
        <w:t>250</w:t>
      </w:r>
      <w:r>
        <w:rPr>
          <w:rFonts w:hint="eastAsia"/>
          <w:lang w:val="en-GB"/>
        </w:rPr>
        <w:t>号法律草案打算在《刑法典》中增加新的第</w:t>
      </w:r>
      <w:r>
        <w:rPr>
          <w:lang w:val="en-GB"/>
        </w:rPr>
        <w:t>221-18</w:t>
      </w:r>
      <w:r>
        <w:rPr>
          <w:rFonts w:hint="eastAsia"/>
          <w:lang w:val="en-GB"/>
        </w:rPr>
        <w:t>条，根据该条：“对第</w:t>
      </w:r>
      <w:r>
        <w:rPr>
          <w:lang w:val="en-GB"/>
        </w:rPr>
        <w:t>221-12</w:t>
      </w:r>
      <w:r>
        <w:rPr>
          <w:rFonts w:hint="eastAsia"/>
          <w:lang w:val="en-GB"/>
        </w:rPr>
        <w:t>条所定义的</w:t>
      </w:r>
      <w:r>
        <w:rPr>
          <w:lang w:val="en-GB"/>
        </w:rPr>
        <w:t>[</w:t>
      </w:r>
      <w:r>
        <w:rPr>
          <w:rFonts w:hint="eastAsia"/>
          <w:lang w:val="en-GB"/>
        </w:rPr>
        <w:t>强迫失踪</w:t>
      </w:r>
      <w:r>
        <w:rPr>
          <w:lang w:val="en-GB"/>
        </w:rPr>
        <w:t>]</w:t>
      </w:r>
      <w:r>
        <w:rPr>
          <w:rFonts w:hint="eastAsia"/>
          <w:lang w:val="en-GB"/>
        </w:rPr>
        <w:t>罪行的公诉以及判刑的时效规定为</w:t>
      </w:r>
      <w:r>
        <w:rPr>
          <w:rFonts w:hint="eastAsia"/>
          <w:lang w:val="en-GB"/>
        </w:rPr>
        <w:t>30</w:t>
      </w:r>
      <w:r>
        <w:rPr>
          <w:rFonts w:hint="eastAsia"/>
          <w:lang w:val="en-GB"/>
        </w:rPr>
        <w:t>年”，刑事方面的普通法规定的时效为</w:t>
      </w:r>
      <w:r>
        <w:rPr>
          <w:rFonts w:hint="eastAsia"/>
          <w:lang w:val="en-GB"/>
        </w:rPr>
        <w:t>10</w:t>
      </w:r>
      <w:r>
        <w:rPr>
          <w:rFonts w:hint="eastAsia"/>
          <w:lang w:val="en-GB"/>
        </w:rPr>
        <w:t>年。此外，在强迫失踪构成危害人类罪的情况下，无时效约束。</w:t>
      </w:r>
    </w:p>
    <w:p w:rsidR="00B4256E" w:rsidRDefault="00B4256E">
      <w:pPr>
        <w:pStyle w:val="SingleTxtGC"/>
        <w:rPr>
          <w:lang w:val="en-GB"/>
        </w:rPr>
      </w:pPr>
      <w:r>
        <w:rPr>
          <w:sz w:val="20"/>
          <w:lang w:val="en-GB"/>
        </w:rPr>
        <w:t xml:space="preserve">55.  </w:t>
      </w:r>
      <w:r>
        <w:rPr>
          <w:rFonts w:hint="eastAsia"/>
          <w:lang w:val="en-GB"/>
        </w:rPr>
        <w:t>此外，刑事法庭的判例认为持续犯罪</w:t>
      </w:r>
      <w:r>
        <w:rPr>
          <w:rFonts w:hint="eastAsia"/>
          <w:lang w:val="en-GB"/>
        </w:rPr>
        <w:t>(</w:t>
      </w:r>
      <w:r>
        <w:rPr>
          <w:rFonts w:hint="eastAsia"/>
          <w:lang w:val="en-GB"/>
        </w:rPr>
        <w:t>或者再犯罪</w:t>
      </w:r>
      <w:r>
        <w:rPr>
          <w:rFonts w:hint="eastAsia"/>
          <w:lang w:val="en-GB"/>
        </w:rPr>
        <w:t>)</w:t>
      </w:r>
      <w:r>
        <w:rPr>
          <w:rFonts w:hint="eastAsia"/>
          <w:lang w:val="en-GB"/>
        </w:rPr>
        <w:t>的时效从终止犯罪起开始计算，也就是说从“基本行为及其影响”结束之日算起</w:t>
      </w:r>
      <w:r>
        <w:rPr>
          <w:rFonts w:hint="eastAsia"/>
          <w:lang w:val="en-GB"/>
        </w:rPr>
        <w:t>(</w:t>
      </w:r>
      <w:r>
        <w:rPr>
          <w:rFonts w:hint="eastAsia"/>
          <w:lang w:val="en-GB"/>
        </w:rPr>
        <w:t>最高刑事法院，</w:t>
      </w:r>
      <w:r>
        <w:rPr>
          <w:rFonts w:hint="eastAsia"/>
          <w:lang w:val="en-GB"/>
        </w:rPr>
        <w:t>1957</w:t>
      </w:r>
      <w:r>
        <w:rPr>
          <w:rFonts w:hint="eastAsia"/>
          <w:lang w:val="en-GB"/>
        </w:rPr>
        <w:t>年</w:t>
      </w:r>
      <w:r>
        <w:rPr>
          <w:rFonts w:hint="eastAsia"/>
          <w:lang w:val="en-GB"/>
        </w:rPr>
        <w:t>2</w:t>
      </w:r>
      <w:r>
        <w:rPr>
          <w:rFonts w:hint="eastAsia"/>
          <w:lang w:val="en-GB"/>
        </w:rPr>
        <w:t>月</w:t>
      </w:r>
      <w:r>
        <w:rPr>
          <w:rFonts w:hint="eastAsia"/>
          <w:lang w:val="en-GB"/>
        </w:rPr>
        <w:t>19</w:t>
      </w:r>
      <w:r>
        <w:rPr>
          <w:rFonts w:hint="eastAsia"/>
          <w:lang w:val="en-GB"/>
        </w:rPr>
        <w:t>日：</w:t>
      </w:r>
      <w:r>
        <w:rPr>
          <w:rFonts w:hint="eastAsia"/>
          <w:lang w:val="en-GB"/>
        </w:rPr>
        <w:t>1957</w:t>
      </w:r>
      <w:r>
        <w:rPr>
          <w:rFonts w:hint="eastAsia"/>
          <w:lang w:val="en-GB"/>
        </w:rPr>
        <w:t>年刑事公报，第</w:t>
      </w:r>
      <w:r>
        <w:rPr>
          <w:rFonts w:hint="eastAsia"/>
          <w:lang w:val="en-GB"/>
        </w:rPr>
        <w:t>166</w:t>
      </w:r>
      <w:r>
        <w:rPr>
          <w:rFonts w:hint="eastAsia"/>
          <w:lang w:val="en-GB"/>
        </w:rPr>
        <w:t>号</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56.  </w:t>
      </w:r>
      <w:r>
        <w:rPr>
          <w:rFonts w:hint="eastAsia"/>
          <w:lang w:val="en-GB"/>
        </w:rPr>
        <w:t>因此，不需要任何立法规定来使《公约》第八条第一款第</w:t>
      </w:r>
      <w:r>
        <w:rPr>
          <w:rFonts w:hint="eastAsia"/>
          <w:lang w:val="en-GB"/>
        </w:rPr>
        <w:t>(</w:t>
      </w:r>
      <w:r>
        <w:rPr>
          <w:rFonts w:hint="eastAsia"/>
          <w:lang w:val="en-GB"/>
        </w:rPr>
        <w:t>二</w:t>
      </w:r>
      <w:r>
        <w:rPr>
          <w:rFonts w:hint="eastAsia"/>
          <w:lang w:val="en-GB"/>
        </w:rPr>
        <w:t>)</w:t>
      </w:r>
      <w:r>
        <w:rPr>
          <w:rFonts w:hint="eastAsia"/>
          <w:lang w:val="en-GB"/>
        </w:rPr>
        <w:t>项完全生效。</w:t>
      </w:r>
    </w:p>
    <w:p w:rsidR="00B4256E" w:rsidRDefault="00B4256E">
      <w:pPr>
        <w:pStyle w:val="SingleTxtGC"/>
        <w:rPr>
          <w:lang w:val="en-GB"/>
        </w:rPr>
      </w:pPr>
      <w:r>
        <w:rPr>
          <w:sz w:val="20"/>
          <w:lang w:val="en-GB"/>
        </w:rPr>
        <w:t xml:space="preserve">57.  </w:t>
      </w:r>
      <w:r>
        <w:rPr>
          <w:rFonts w:hint="eastAsia"/>
          <w:lang w:val="en-GB"/>
        </w:rPr>
        <w:t>最后，关于强迫失踪的受害人在整个时效期间获得有效救助的权利，除了向共和国检察官提出简单控告外，法国法律还为他们规定了提出附带民事赔偿要求的控告的特别有效的诉讼途径，其效果是引起预审法官的提诉。</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第九条</w:t>
      </w:r>
      <w:r>
        <w:rPr>
          <w:rFonts w:hint="eastAsia"/>
          <w:lang w:val="en-GB"/>
        </w:rPr>
        <w:br/>
      </w:r>
      <w:r>
        <w:rPr>
          <w:rFonts w:hint="eastAsia"/>
          <w:lang w:val="en-GB"/>
        </w:rPr>
        <w:t>管辖权</w:t>
      </w:r>
    </w:p>
    <w:p w:rsidR="00B4256E" w:rsidRDefault="00B4256E">
      <w:pPr>
        <w:pStyle w:val="SingleTxtGC"/>
        <w:rPr>
          <w:lang w:val="en-GB"/>
        </w:rPr>
      </w:pPr>
      <w:r>
        <w:rPr>
          <w:sz w:val="20"/>
          <w:lang w:val="en-GB"/>
        </w:rPr>
        <w:t xml:space="preserve">58.  </w:t>
      </w:r>
      <w:r>
        <w:rPr>
          <w:rFonts w:hint="eastAsia"/>
          <w:lang w:val="en-GB"/>
        </w:rPr>
        <w:t>法国法律赋予国内司法机关在第九条第一款所列举的三种假设情况下了解强迫失踪罪行的权力，这三种假设情况是：</w:t>
      </w:r>
    </w:p>
    <w:p w:rsidR="00B4256E" w:rsidRDefault="00B4256E">
      <w:pPr>
        <w:pStyle w:val="Bullet1GC"/>
        <w:rPr>
          <w:lang w:val="en-GB"/>
        </w:rPr>
      </w:pPr>
      <w:r>
        <w:rPr>
          <w:rFonts w:hint="eastAsia"/>
          <w:lang w:val="en-GB"/>
        </w:rPr>
        <w:t>犯罪发生在其领土上、在法国注册的航空器或船只上，甚至在某些条件下发生在他国注册的航空器或船只上。《刑法典》第</w:t>
      </w:r>
      <w:r>
        <w:rPr>
          <w:lang w:val="en-GB"/>
        </w:rPr>
        <w:t>113-11</w:t>
      </w:r>
      <w:r>
        <w:rPr>
          <w:rFonts w:hint="eastAsia"/>
          <w:lang w:val="en-GB"/>
        </w:rPr>
        <w:t>条规定：“在第</w:t>
      </w:r>
      <w:r>
        <w:rPr>
          <w:lang w:val="en-GB"/>
        </w:rPr>
        <w:t>113-9</w:t>
      </w:r>
      <w:r>
        <w:rPr>
          <w:rFonts w:hint="eastAsia"/>
          <w:lang w:val="en-GB"/>
        </w:rPr>
        <w:t>条规定的条件下，法国刑法适用于发生在并非在法国注册的航空器上或对并非在法国注册的航空器实施的犯罪行为：</w:t>
      </w:r>
      <w:r>
        <w:rPr>
          <w:lang w:val="en-GB"/>
        </w:rPr>
        <w:t>1</w:t>
      </w:r>
      <w:r>
        <w:rPr>
          <w:rFonts w:hint="eastAsia"/>
          <w:lang w:val="en-GB"/>
        </w:rPr>
        <w:t>)</w:t>
      </w:r>
      <w:r>
        <w:rPr>
          <w:lang w:val="en-GB"/>
        </w:rPr>
        <w:t xml:space="preserve"> </w:t>
      </w:r>
      <w:r>
        <w:rPr>
          <w:rFonts w:hint="eastAsia"/>
          <w:lang w:val="en-GB"/>
        </w:rPr>
        <w:t>当犯罪者或受害人是法国国籍时；</w:t>
      </w:r>
      <w:r>
        <w:rPr>
          <w:lang w:val="en-GB"/>
        </w:rPr>
        <w:t>2</w:t>
      </w:r>
      <w:r>
        <w:rPr>
          <w:rFonts w:hint="eastAsia"/>
          <w:lang w:val="en-GB"/>
        </w:rPr>
        <w:t>)</w:t>
      </w:r>
      <w:r>
        <w:rPr>
          <w:lang w:val="en-GB"/>
        </w:rPr>
        <w:t xml:space="preserve"> </w:t>
      </w:r>
      <w:r>
        <w:rPr>
          <w:rFonts w:hint="eastAsia"/>
          <w:lang w:val="en-GB"/>
        </w:rPr>
        <w:t>当实施犯罪行为后航空器在法国着陆时；</w:t>
      </w:r>
      <w:r>
        <w:rPr>
          <w:lang w:val="en-GB"/>
        </w:rPr>
        <w:t>3</w:t>
      </w:r>
      <w:r>
        <w:rPr>
          <w:rFonts w:hint="eastAsia"/>
          <w:lang w:val="en-GB"/>
        </w:rPr>
        <w:t>)</w:t>
      </w:r>
      <w:r>
        <w:rPr>
          <w:lang w:val="en-GB"/>
        </w:rPr>
        <w:t xml:space="preserve"> </w:t>
      </w:r>
      <w:r>
        <w:rPr>
          <w:rFonts w:hint="eastAsia"/>
          <w:lang w:val="en-GB"/>
        </w:rPr>
        <w:t>当航空器是在不带机组人员的情况下租赁给一个主要经营场所或者，在没有经营场所的情况下，长期居住地在共和国领土上的人时。</w:t>
      </w:r>
      <w:r>
        <w:rPr>
          <w:lang w:val="en-GB"/>
        </w:rPr>
        <w:t>(</w:t>
      </w:r>
      <w:r>
        <w:rPr>
          <w:rFonts w:hint="eastAsia"/>
          <w:lang w:val="en-GB"/>
        </w:rPr>
        <w:t>……</w:t>
      </w:r>
      <w:r>
        <w:rPr>
          <w:lang w:val="en-GB"/>
        </w:rPr>
        <w:t>)</w:t>
      </w:r>
      <w:r>
        <w:rPr>
          <w:rFonts w:hint="eastAsia"/>
          <w:lang w:val="en-GB"/>
        </w:rPr>
        <w:t>”；</w:t>
      </w:r>
    </w:p>
    <w:p w:rsidR="00B4256E" w:rsidRDefault="00B4256E">
      <w:pPr>
        <w:pStyle w:val="Bullet1GC"/>
        <w:rPr>
          <w:lang w:val="en-GB"/>
        </w:rPr>
      </w:pPr>
      <w:r>
        <w:rPr>
          <w:rFonts w:hint="eastAsia"/>
          <w:lang w:val="en-GB"/>
        </w:rPr>
        <w:t>嫌疑人是法国侨民。《刑法典》第</w:t>
      </w:r>
      <w:r>
        <w:rPr>
          <w:lang w:val="en-GB"/>
        </w:rPr>
        <w:t>113-6</w:t>
      </w:r>
      <w:r>
        <w:rPr>
          <w:rFonts w:hint="eastAsia"/>
          <w:lang w:val="en-GB"/>
        </w:rPr>
        <w:t>条第</w:t>
      </w:r>
      <w:r>
        <w:rPr>
          <w:rFonts w:hint="eastAsia"/>
          <w:lang w:val="en-GB"/>
        </w:rPr>
        <w:t>1</w:t>
      </w:r>
      <w:r>
        <w:rPr>
          <w:rFonts w:hint="eastAsia"/>
          <w:lang w:val="en-GB"/>
        </w:rPr>
        <w:t>款和第</w:t>
      </w:r>
      <w:r>
        <w:rPr>
          <w:rFonts w:hint="eastAsia"/>
          <w:lang w:val="en-GB"/>
        </w:rPr>
        <w:t>3</w:t>
      </w:r>
      <w:r>
        <w:rPr>
          <w:rFonts w:hint="eastAsia"/>
          <w:lang w:val="en-GB"/>
        </w:rPr>
        <w:t>款规定：“法国刑法适用于法国人在共和国领土外实施的一切犯罪。</w:t>
      </w:r>
      <w:r>
        <w:rPr>
          <w:rFonts w:hint="eastAsia"/>
          <w:lang w:val="en-GB"/>
        </w:rPr>
        <w:t>(</w:t>
      </w:r>
      <w:r>
        <w:rPr>
          <w:rFonts w:hint="eastAsia"/>
          <w:lang w:val="en-GB"/>
        </w:rPr>
        <w:t>……</w:t>
      </w:r>
      <w:r>
        <w:rPr>
          <w:rFonts w:hint="eastAsia"/>
          <w:lang w:val="en-GB"/>
        </w:rPr>
        <w:t>)</w:t>
      </w:r>
      <w:r>
        <w:rPr>
          <w:rFonts w:hint="eastAsia"/>
          <w:lang w:val="en-GB"/>
        </w:rPr>
        <w:t>即使刑事被告是在实施犯罪后取得法国国籍的也适用本条。”</w:t>
      </w:r>
    </w:p>
    <w:p w:rsidR="00B4256E" w:rsidRDefault="00B4256E">
      <w:pPr>
        <w:pStyle w:val="Bullet1GC"/>
        <w:rPr>
          <w:lang w:val="en-GB"/>
        </w:rPr>
      </w:pPr>
      <w:r>
        <w:rPr>
          <w:rFonts w:hint="eastAsia"/>
          <w:lang w:val="en-GB"/>
        </w:rPr>
        <w:t>受害人是法国侨民。《刑法典》第</w:t>
      </w:r>
      <w:r>
        <w:rPr>
          <w:lang w:val="en-GB"/>
        </w:rPr>
        <w:t>113-7</w:t>
      </w:r>
      <w:r>
        <w:rPr>
          <w:rFonts w:hint="eastAsia"/>
          <w:lang w:val="en-GB"/>
        </w:rPr>
        <w:t>条规定：“法国刑法适用于法国人或者外国人在共和国领土外实施的，但在实施犯罪时受害人是法国国籍的一切犯罪以及一切应处以监禁的不法行为。”</w:t>
      </w:r>
    </w:p>
    <w:p w:rsidR="00B4256E" w:rsidRDefault="00B4256E">
      <w:pPr>
        <w:pStyle w:val="SingleTxtGC"/>
        <w:rPr>
          <w:lang w:val="en-GB"/>
        </w:rPr>
      </w:pPr>
      <w:r>
        <w:rPr>
          <w:sz w:val="20"/>
          <w:lang w:val="en-GB"/>
        </w:rPr>
        <w:t xml:space="preserve">59.  </w:t>
      </w:r>
      <w:r>
        <w:rPr>
          <w:rFonts w:hint="eastAsia"/>
          <w:lang w:val="en-GB"/>
        </w:rPr>
        <w:t>此外，关于《公约》第九条第二款所规定的几乎普遍的管辖权条款，第</w:t>
      </w:r>
      <w:r>
        <w:rPr>
          <w:rFonts w:hint="eastAsia"/>
          <w:lang w:val="en-GB"/>
        </w:rPr>
        <w:t>250</w:t>
      </w:r>
      <w:r>
        <w:rPr>
          <w:rFonts w:hint="eastAsia"/>
          <w:lang w:val="en-GB"/>
        </w:rPr>
        <w:t>号法律草案将强迫失踪列入了犯罪行为清单，对于这些犯罪，《刑事诉讼法典》第</w:t>
      </w:r>
      <w:r>
        <w:rPr>
          <w:lang w:val="en-GB"/>
        </w:rPr>
        <w:t>689-1</w:t>
      </w:r>
      <w:r>
        <w:rPr>
          <w:rFonts w:hint="eastAsia"/>
          <w:lang w:val="en-GB"/>
        </w:rPr>
        <w:t>条规定“为了实施以下各条所述国际公约，可由法国司法机关进行起诉和审判，条件是在共和国领土外实施这些条款所列举的犯罪行为的人身处法国。本条之规定适用于应予惩处的犯罪之企图”。</w:t>
      </w:r>
    </w:p>
    <w:p w:rsidR="00B4256E" w:rsidRDefault="00B4256E">
      <w:pPr>
        <w:pStyle w:val="SingleTxtGC"/>
        <w:rPr>
          <w:rFonts w:hint="eastAsia"/>
          <w:lang w:val="en-GB"/>
        </w:rPr>
      </w:pPr>
      <w:r>
        <w:rPr>
          <w:sz w:val="20"/>
          <w:lang w:val="en-GB"/>
        </w:rPr>
        <w:t xml:space="preserve">60.  </w:t>
      </w:r>
      <w:r>
        <w:rPr>
          <w:rFonts w:hint="eastAsia"/>
          <w:lang w:val="en-GB"/>
        </w:rPr>
        <w:t>这一插入将采取新的第</w:t>
      </w:r>
      <w:r>
        <w:rPr>
          <w:lang w:val="en-GB"/>
        </w:rPr>
        <w:t>689-13</w:t>
      </w:r>
      <w:r>
        <w:rPr>
          <w:rFonts w:hint="eastAsia"/>
          <w:lang w:val="en-GB"/>
        </w:rPr>
        <w:t>条的形式，行文如下：“第</w:t>
      </w:r>
      <w:r>
        <w:rPr>
          <w:lang w:val="en-GB"/>
        </w:rPr>
        <w:t>689-13</w:t>
      </w:r>
      <w:r>
        <w:rPr>
          <w:rFonts w:hint="eastAsia"/>
          <w:lang w:val="en-GB"/>
        </w:rPr>
        <w:t>条</w:t>
      </w:r>
      <w:r>
        <w:rPr>
          <w:rFonts w:hint="eastAsia"/>
          <w:spacing w:val="-60"/>
          <w:lang w:val="en-GB"/>
        </w:rPr>
        <w:t>―</w:t>
      </w:r>
      <w:r>
        <w:rPr>
          <w:rFonts w:hint="eastAsia"/>
          <w:spacing w:val="10"/>
          <w:lang w:val="en-GB"/>
        </w:rPr>
        <w:t>―</w:t>
      </w:r>
      <w:r>
        <w:rPr>
          <w:rFonts w:hint="eastAsia"/>
          <w:lang w:val="en-GB"/>
        </w:rPr>
        <w:t>为了执行</w:t>
      </w:r>
      <w:r>
        <w:rPr>
          <w:rFonts w:hint="eastAsia"/>
          <w:lang w:val="en-GB"/>
        </w:rPr>
        <w:t>2006</w:t>
      </w:r>
      <w:r>
        <w:rPr>
          <w:rFonts w:hint="eastAsia"/>
          <w:lang w:val="en-GB"/>
        </w:rPr>
        <w:t>年</w:t>
      </w:r>
      <w:r>
        <w:rPr>
          <w:rFonts w:hint="eastAsia"/>
          <w:lang w:val="en-GB"/>
        </w:rPr>
        <w:t>12</w:t>
      </w:r>
      <w:r>
        <w:rPr>
          <w:rFonts w:hint="eastAsia"/>
          <w:lang w:val="en-GB"/>
        </w:rPr>
        <w:t>月</w:t>
      </w:r>
      <w:r>
        <w:rPr>
          <w:rFonts w:hint="eastAsia"/>
          <w:lang w:val="en-GB"/>
        </w:rPr>
        <w:t>20</w:t>
      </w:r>
      <w:r>
        <w:rPr>
          <w:rFonts w:hint="eastAsia"/>
          <w:lang w:val="en-GB"/>
        </w:rPr>
        <w:t>日在纽约通过的</w:t>
      </w:r>
      <w:r>
        <w:rPr>
          <w:lang w:val="en-GB"/>
        </w:rPr>
        <w:t>《保护所有人免遭强迫失踪国际公约》</w:t>
      </w:r>
      <w:r>
        <w:rPr>
          <w:rFonts w:hint="eastAsia"/>
          <w:lang w:val="en-GB"/>
        </w:rPr>
        <w:t>，在第</w:t>
      </w:r>
      <w:r>
        <w:rPr>
          <w:lang w:val="en-GB"/>
        </w:rPr>
        <w:t>689-1</w:t>
      </w:r>
      <w:r>
        <w:rPr>
          <w:rFonts w:hint="eastAsia"/>
          <w:lang w:val="en-GB"/>
        </w:rPr>
        <w:t>条规定的条件下可以起诉和审判《刑法典》第</w:t>
      </w:r>
      <w:r>
        <w:rPr>
          <w:lang w:val="en-GB"/>
        </w:rPr>
        <w:t>212-1</w:t>
      </w:r>
      <w:r>
        <w:rPr>
          <w:rFonts w:hint="eastAsia"/>
          <w:lang w:val="en-GB"/>
        </w:rPr>
        <w:t>条第</w:t>
      </w:r>
      <w:r>
        <w:rPr>
          <w:rFonts w:hint="eastAsia"/>
          <w:lang w:val="en-GB"/>
        </w:rPr>
        <w:t>9</w:t>
      </w:r>
      <w:r>
        <w:rPr>
          <w:rFonts w:hint="eastAsia"/>
          <w:lang w:val="en-GB"/>
        </w:rPr>
        <w:t>款或第</w:t>
      </w:r>
      <w:r>
        <w:rPr>
          <w:lang w:val="en-GB"/>
        </w:rPr>
        <w:t>221-12</w:t>
      </w:r>
      <w:r>
        <w:rPr>
          <w:rFonts w:hint="eastAsia"/>
          <w:lang w:val="en-GB"/>
        </w:rPr>
        <w:t>条所定义的罪行的犯罪者或同谋者，如果这一犯罪行为构成该公约第二条意义上的强迫失踪的话”。</w:t>
      </w:r>
    </w:p>
    <w:p w:rsidR="00B4256E" w:rsidRDefault="00B4256E">
      <w:pPr>
        <w:pStyle w:val="H1GC"/>
        <w:rPr>
          <w:lang w:val="en-GB"/>
        </w:rPr>
      </w:pPr>
      <w:r>
        <w:rPr>
          <w:rFonts w:hint="eastAsia"/>
          <w:lang w:val="en-GB"/>
        </w:rPr>
        <w:tab/>
      </w:r>
      <w:r>
        <w:rPr>
          <w:rFonts w:hint="eastAsia"/>
          <w:lang w:val="en-GB"/>
        </w:rPr>
        <w:tab/>
      </w:r>
      <w:r>
        <w:rPr>
          <w:rFonts w:hint="eastAsia"/>
          <w:lang w:val="en-GB"/>
        </w:rPr>
        <w:t>第十条</w:t>
      </w:r>
      <w:r>
        <w:rPr>
          <w:rFonts w:hint="eastAsia"/>
          <w:lang w:val="en-GB"/>
        </w:rPr>
        <w:br/>
      </w:r>
      <w:r>
        <w:rPr>
          <w:rFonts w:hint="eastAsia"/>
          <w:lang w:val="en-GB"/>
        </w:rPr>
        <w:t>临时拘留</w:t>
      </w:r>
    </w:p>
    <w:p w:rsidR="00B4256E" w:rsidRDefault="00B4256E">
      <w:pPr>
        <w:pStyle w:val="SingleTxtGC"/>
        <w:rPr>
          <w:lang w:val="en-GB"/>
        </w:rPr>
      </w:pPr>
      <w:r>
        <w:rPr>
          <w:sz w:val="20"/>
          <w:lang w:val="en-GB"/>
        </w:rPr>
        <w:t xml:space="preserve">61.  </w:t>
      </w:r>
      <w:r>
        <w:rPr>
          <w:rFonts w:hint="eastAsia"/>
          <w:lang w:val="en-GB"/>
        </w:rPr>
        <w:t>在法国，可以在国内程序的框架内或者在交付或引渡程序的框架内，对一个因一个或多个犯罪事实而受到审查的人实施临时拘留，同时在主管司法当局作出决定后要遵守现行法律。</w:t>
      </w:r>
    </w:p>
    <w:p w:rsidR="00B4256E" w:rsidRDefault="00B4256E">
      <w:pPr>
        <w:pStyle w:val="SingleTxtGC"/>
        <w:rPr>
          <w:lang w:val="en-GB"/>
        </w:rPr>
      </w:pPr>
      <w:r>
        <w:rPr>
          <w:sz w:val="20"/>
          <w:lang w:val="en-GB"/>
        </w:rPr>
        <w:t xml:space="preserve">62.  </w:t>
      </w:r>
      <w:r>
        <w:rPr>
          <w:rFonts w:hint="eastAsia"/>
          <w:lang w:val="en-GB"/>
        </w:rPr>
        <w:t>只有在预审框架下才能下令实施刑事方面的临时拘留，并且必须责成一名预审法官对其进行调查。</w:t>
      </w:r>
    </w:p>
    <w:p w:rsidR="00B4256E" w:rsidRDefault="00B4256E">
      <w:pPr>
        <w:pStyle w:val="SingleTxtGC"/>
        <w:rPr>
          <w:lang w:val="en-GB"/>
        </w:rPr>
      </w:pPr>
      <w:r>
        <w:rPr>
          <w:sz w:val="20"/>
          <w:lang w:val="en-GB"/>
        </w:rPr>
        <w:t xml:space="preserve">63.  </w:t>
      </w:r>
      <w:r>
        <w:rPr>
          <w:rFonts w:hint="eastAsia"/>
          <w:lang w:val="en-GB"/>
        </w:rPr>
        <w:t>如果是在交付</w:t>
      </w:r>
      <w:r>
        <w:rPr>
          <w:rFonts w:hint="eastAsia"/>
          <w:lang w:val="en-GB"/>
        </w:rPr>
        <w:t>(</w:t>
      </w:r>
      <w:r>
        <w:rPr>
          <w:rFonts w:hint="eastAsia"/>
          <w:lang w:val="en-GB"/>
        </w:rPr>
        <w:t>欧洲逮捕令或国际法院交付申请</w:t>
      </w:r>
      <w:r>
        <w:rPr>
          <w:rFonts w:hint="eastAsia"/>
          <w:lang w:val="en-GB"/>
        </w:rPr>
        <w:t>)</w:t>
      </w:r>
      <w:r>
        <w:rPr>
          <w:rFonts w:hint="eastAsia"/>
          <w:lang w:val="en-GB"/>
        </w:rPr>
        <w:t>或引渡程序框架内下令实施临时拘留，不由法国当局来进行初步调查或搜查。</w:t>
      </w:r>
    </w:p>
    <w:p w:rsidR="00B4256E" w:rsidRDefault="00B4256E">
      <w:pPr>
        <w:pStyle w:val="SingleTxtGC"/>
        <w:rPr>
          <w:lang w:val="en-GB"/>
        </w:rPr>
      </w:pPr>
      <w:r>
        <w:rPr>
          <w:sz w:val="20"/>
          <w:lang w:val="en-GB"/>
        </w:rPr>
        <w:t xml:space="preserve">64.  </w:t>
      </w:r>
      <w:r>
        <w:rPr>
          <w:rFonts w:hint="eastAsia"/>
          <w:lang w:val="en-GB"/>
        </w:rPr>
        <w:t>任何遭到临时拘留的人都有权得到</w:t>
      </w:r>
      <w:r>
        <w:rPr>
          <w:rFonts w:hint="eastAsia"/>
          <w:lang w:val="en-GB"/>
        </w:rPr>
        <w:t>1963</w:t>
      </w:r>
      <w:r>
        <w:rPr>
          <w:rFonts w:hint="eastAsia"/>
          <w:lang w:val="en-GB"/>
        </w:rPr>
        <w:t>年</w:t>
      </w:r>
      <w:r>
        <w:rPr>
          <w:rFonts w:hint="eastAsia"/>
          <w:lang w:val="en-GB"/>
        </w:rPr>
        <w:t>4</w:t>
      </w:r>
      <w:r>
        <w:rPr>
          <w:rFonts w:hint="eastAsia"/>
          <w:lang w:val="en-GB"/>
        </w:rPr>
        <w:t>月</w:t>
      </w:r>
      <w:r>
        <w:rPr>
          <w:rFonts w:hint="eastAsia"/>
          <w:lang w:val="en-GB"/>
        </w:rPr>
        <w:t>24</w:t>
      </w:r>
      <w:r>
        <w:rPr>
          <w:rFonts w:hint="eastAsia"/>
          <w:lang w:val="en-GB"/>
        </w:rPr>
        <w:t>日《维也纳领事关系公约》第</w:t>
      </w:r>
      <w:r>
        <w:rPr>
          <w:rFonts w:hint="eastAsia"/>
          <w:lang w:val="en-GB"/>
        </w:rPr>
        <w:t>36</w:t>
      </w:r>
      <w:r>
        <w:rPr>
          <w:rFonts w:hint="eastAsia"/>
          <w:lang w:val="en-GB"/>
        </w:rPr>
        <w:t>条所保障的领事保护，其条件在</w:t>
      </w:r>
      <w:r>
        <w:rPr>
          <w:rFonts w:hint="eastAsia"/>
          <w:lang w:val="en-GB"/>
        </w:rPr>
        <w:t>2007</w:t>
      </w:r>
      <w:r>
        <w:rPr>
          <w:rFonts w:hint="eastAsia"/>
          <w:lang w:val="en-GB"/>
        </w:rPr>
        <w:t>年</w:t>
      </w:r>
      <w:r>
        <w:rPr>
          <w:rFonts w:hint="eastAsia"/>
          <w:lang w:val="en-GB"/>
        </w:rPr>
        <w:t>9</w:t>
      </w:r>
      <w:r>
        <w:rPr>
          <w:rFonts w:hint="eastAsia"/>
          <w:lang w:val="en-GB"/>
        </w:rPr>
        <w:t>月</w:t>
      </w:r>
      <w:r>
        <w:rPr>
          <w:rFonts w:hint="eastAsia"/>
          <w:lang w:val="en-GB"/>
        </w:rPr>
        <w:t>18</w:t>
      </w:r>
      <w:r>
        <w:rPr>
          <w:rFonts w:hint="eastAsia"/>
          <w:lang w:val="en-GB"/>
        </w:rPr>
        <w:t>日司法部长的一份通告中得到了重申和明确。</w:t>
      </w:r>
    </w:p>
    <w:p w:rsidR="00B4256E" w:rsidRDefault="00B4256E">
      <w:pPr>
        <w:pStyle w:val="SingleTxtGC"/>
        <w:rPr>
          <w:lang w:val="en-GB"/>
        </w:rPr>
      </w:pPr>
      <w:r>
        <w:rPr>
          <w:sz w:val="20"/>
          <w:lang w:val="en-GB"/>
        </w:rPr>
        <w:t xml:space="preserve">65.  </w:t>
      </w:r>
      <w:r>
        <w:rPr>
          <w:rFonts w:hint="eastAsia"/>
          <w:lang w:val="en-GB"/>
        </w:rPr>
        <w:t>最后，法国法律还规定可以采取其他措施来替代临时拘留，即司法监督和在电子监视下软禁。</w:t>
      </w:r>
    </w:p>
    <w:p w:rsidR="00B4256E" w:rsidRDefault="00B4256E">
      <w:pPr>
        <w:pStyle w:val="SingleTxtGC"/>
        <w:rPr>
          <w:lang w:val="en-GB"/>
        </w:rPr>
      </w:pPr>
      <w:r>
        <w:rPr>
          <w:sz w:val="20"/>
          <w:lang w:val="en-GB"/>
        </w:rPr>
        <w:t xml:space="preserve">66.  </w:t>
      </w:r>
      <w:r>
        <w:rPr>
          <w:rFonts w:hint="eastAsia"/>
          <w:lang w:val="en-GB"/>
        </w:rPr>
        <w:t>《刑事诉讼法典》第</w:t>
      </w:r>
      <w:r>
        <w:rPr>
          <w:rFonts w:hint="eastAsia"/>
          <w:lang w:val="en-GB"/>
        </w:rPr>
        <w:t>138</w:t>
      </w:r>
      <w:r>
        <w:rPr>
          <w:rFonts w:hint="eastAsia"/>
          <w:lang w:val="en-GB"/>
        </w:rPr>
        <w:t>条将司法监督措施定义为：自一个人被指控犯下应处以徒刑的犯罪行为起在等待对其作出判决期间对其施加一项或多项义务的约束措施。另外</w:t>
      </w:r>
      <w:r>
        <w:rPr>
          <w:rFonts w:hint="eastAsia"/>
          <w:lang w:val="en-GB"/>
        </w:rPr>
        <w:t>2009</w:t>
      </w:r>
      <w:r>
        <w:rPr>
          <w:rFonts w:hint="eastAsia"/>
          <w:lang w:val="en-GB"/>
        </w:rPr>
        <w:t>年</w:t>
      </w:r>
      <w:r>
        <w:rPr>
          <w:rFonts w:hint="eastAsia"/>
          <w:lang w:val="en-GB"/>
        </w:rPr>
        <w:t>11</w:t>
      </w:r>
      <w:r>
        <w:rPr>
          <w:rFonts w:hint="eastAsia"/>
          <w:lang w:val="en-GB"/>
        </w:rPr>
        <w:t>月</w:t>
      </w:r>
      <w:r>
        <w:rPr>
          <w:rFonts w:hint="eastAsia"/>
          <w:lang w:val="en-GB"/>
        </w:rPr>
        <w:t>24</w:t>
      </w:r>
      <w:r>
        <w:rPr>
          <w:rFonts w:hint="eastAsia"/>
          <w:lang w:val="en-GB"/>
        </w:rPr>
        <w:t>日的法律还将</w:t>
      </w:r>
      <w:r>
        <w:rPr>
          <w:lang w:val="en-GB"/>
        </w:rPr>
        <w:t>在</w:t>
      </w:r>
      <w:r>
        <w:rPr>
          <w:rFonts w:hint="eastAsia"/>
          <w:lang w:val="en-GB"/>
        </w:rPr>
        <w:t>固定或移动</w:t>
      </w:r>
      <w:r>
        <w:rPr>
          <w:lang w:val="en-GB"/>
        </w:rPr>
        <w:t>电子监视下软禁</w:t>
      </w:r>
      <w:r>
        <w:rPr>
          <w:rFonts w:hint="eastAsia"/>
          <w:lang w:val="en-GB"/>
        </w:rPr>
        <w:t>的可能性引入了《刑事诉讼法典》第</w:t>
      </w:r>
      <w:r>
        <w:rPr>
          <w:lang w:val="en-GB"/>
        </w:rPr>
        <w:t>142-5</w:t>
      </w:r>
      <w:r>
        <w:rPr>
          <w:rFonts w:hint="eastAsia"/>
          <w:lang w:val="en-GB"/>
        </w:rPr>
        <w:t>条。</w:t>
      </w:r>
    </w:p>
    <w:p w:rsidR="00B4256E" w:rsidRDefault="00B4256E">
      <w:pPr>
        <w:pStyle w:val="SingleTxtGC"/>
        <w:rPr>
          <w:lang w:val="en-GB"/>
        </w:rPr>
      </w:pPr>
      <w:r>
        <w:rPr>
          <w:sz w:val="20"/>
          <w:lang w:val="en-GB"/>
        </w:rPr>
        <w:t xml:space="preserve">67.  </w:t>
      </w:r>
      <w:r>
        <w:rPr>
          <w:rFonts w:hint="eastAsia"/>
          <w:lang w:val="en-GB"/>
        </w:rPr>
        <w:t>在需要时可实施这些规定，以“确保”《公约》第十条第</w:t>
      </w:r>
      <w:r>
        <w:rPr>
          <w:rFonts w:hint="eastAsia"/>
          <w:lang w:val="en-GB"/>
        </w:rPr>
        <w:t>1</w:t>
      </w:r>
      <w:r>
        <w:rPr>
          <w:rFonts w:hint="eastAsia"/>
          <w:lang w:val="en-GB"/>
        </w:rPr>
        <w:t>款意义上的强迫失踪的嫌疑人“在场”。</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第十一条</w:t>
      </w:r>
      <w:r>
        <w:rPr>
          <w:rFonts w:hint="eastAsia"/>
          <w:lang w:val="en-GB"/>
        </w:rPr>
        <w:br/>
      </w:r>
      <w:r>
        <w:rPr>
          <w:rFonts w:hint="eastAsia"/>
          <w:lang w:val="en-GB"/>
        </w:rPr>
        <w:t>不引渡即审判义务</w:t>
      </w:r>
    </w:p>
    <w:p w:rsidR="00B4256E" w:rsidRDefault="00B4256E">
      <w:pPr>
        <w:pStyle w:val="SingleTxtGC"/>
        <w:rPr>
          <w:lang w:val="en-GB"/>
        </w:rPr>
      </w:pPr>
      <w:r>
        <w:rPr>
          <w:sz w:val="20"/>
          <w:lang w:val="en-GB"/>
        </w:rPr>
        <w:t xml:space="preserve">68.  </w:t>
      </w:r>
      <w:r>
        <w:rPr>
          <w:rFonts w:hint="eastAsia"/>
          <w:lang w:val="en-GB"/>
        </w:rPr>
        <w:t>《公约》第十一条第一款宣布“不引渡即审判”义务适用于强迫失踪的情况。</w:t>
      </w:r>
    </w:p>
    <w:p w:rsidR="00B4256E" w:rsidRDefault="00B4256E">
      <w:pPr>
        <w:pStyle w:val="SingleTxtGC"/>
        <w:rPr>
          <w:lang w:val="en-GB"/>
        </w:rPr>
      </w:pPr>
      <w:r>
        <w:rPr>
          <w:sz w:val="20"/>
          <w:lang w:val="en-GB"/>
        </w:rPr>
        <w:t xml:space="preserve">69.  </w:t>
      </w:r>
      <w:r>
        <w:rPr>
          <w:rFonts w:hint="eastAsia"/>
          <w:lang w:val="en-GB"/>
        </w:rPr>
        <w:t>正如上文所述，第</w:t>
      </w:r>
      <w:r>
        <w:rPr>
          <w:rFonts w:hint="eastAsia"/>
          <w:lang w:val="en-GB"/>
        </w:rPr>
        <w:t>250</w:t>
      </w:r>
      <w:r>
        <w:rPr>
          <w:rFonts w:hint="eastAsia"/>
          <w:lang w:val="en-GB"/>
        </w:rPr>
        <w:t>号法律草案规定将强迫失踪列入法国司法机关拥有几乎普遍的管辖权的犯罪清单，根据《刑事诉讼法典》第</w:t>
      </w:r>
      <w:r>
        <w:rPr>
          <w:lang w:val="en-GB"/>
        </w:rPr>
        <w:t>689-1</w:t>
      </w:r>
      <w:r>
        <w:rPr>
          <w:rFonts w:hint="eastAsia"/>
          <w:lang w:val="en-GB"/>
        </w:rPr>
        <w:t>条，该管辖权使得法国司法机关可以起诉和审判在法国的犯罪者，如果他们在共和国领土外实施了某些受国际公约惩处的罪行的话。</w:t>
      </w:r>
    </w:p>
    <w:p w:rsidR="00B4256E" w:rsidRDefault="00B4256E">
      <w:pPr>
        <w:pStyle w:val="SingleTxtGC"/>
        <w:rPr>
          <w:lang w:val="en-GB"/>
        </w:rPr>
      </w:pPr>
      <w:r>
        <w:rPr>
          <w:sz w:val="20"/>
          <w:lang w:val="en-GB"/>
        </w:rPr>
        <w:t xml:space="preserve">70.  </w:t>
      </w:r>
      <w:r>
        <w:rPr>
          <w:rFonts w:hint="eastAsia"/>
          <w:lang w:val="en-GB"/>
        </w:rPr>
        <w:t>除了这一假设，在通过关于根据犯罪现象的演变调整司法的</w:t>
      </w:r>
      <w:r>
        <w:rPr>
          <w:rFonts w:hint="eastAsia"/>
          <w:lang w:val="en-GB"/>
        </w:rPr>
        <w:t>2004</w:t>
      </w:r>
      <w:r>
        <w:rPr>
          <w:rFonts w:hint="eastAsia"/>
          <w:lang w:val="en-GB"/>
        </w:rPr>
        <w:t>年</w:t>
      </w:r>
      <w:r>
        <w:rPr>
          <w:rFonts w:hint="eastAsia"/>
          <w:lang w:val="en-GB"/>
        </w:rPr>
        <w:t>3</w:t>
      </w:r>
      <w:r>
        <w:rPr>
          <w:rFonts w:hint="eastAsia"/>
          <w:lang w:val="en-GB"/>
        </w:rPr>
        <w:t>月</w:t>
      </w:r>
      <w:r>
        <w:rPr>
          <w:rFonts w:hint="eastAsia"/>
          <w:lang w:val="en-GB"/>
        </w:rPr>
        <w:t>9</w:t>
      </w:r>
      <w:r>
        <w:rPr>
          <w:rFonts w:hint="eastAsia"/>
          <w:lang w:val="en-GB"/>
        </w:rPr>
        <w:t>日第</w:t>
      </w:r>
      <w:r>
        <w:rPr>
          <w:lang w:val="en-GB"/>
        </w:rPr>
        <w:t>2004-204</w:t>
      </w:r>
      <w:r>
        <w:rPr>
          <w:rFonts w:hint="eastAsia"/>
          <w:lang w:val="en-GB"/>
        </w:rPr>
        <w:t>号法律时，在《刑法典》中引入了一些旨在确立“不引渡即审判”原则的特殊规定。</w:t>
      </w:r>
    </w:p>
    <w:p w:rsidR="00B4256E" w:rsidRDefault="00B4256E">
      <w:pPr>
        <w:pStyle w:val="SingleTxtGC"/>
        <w:rPr>
          <w:lang w:val="en-GB"/>
        </w:rPr>
      </w:pPr>
      <w:r>
        <w:rPr>
          <w:sz w:val="20"/>
          <w:lang w:val="en-GB"/>
        </w:rPr>
        <w:t xml:space="preserve">71.  </w:t>
      </w:r>
      <w:r>
        <w:rPr>
          <w:rFonts w:hint="eastAsia"/>
          <w:lang w:val="en-GB"/>
        </w:rPr>
        <w:t>为了能够审判被拒绝引渡的人，源于该法律的《刑法典》第</w:t>
      </w:r>
      <w:r>
        <w:rPr>
          <w:lang w:val="en-GB"/>
        </w:rPr>
        <w:t>113-8-1</w:t>
      </w:r>
      <w:r>
        <w:rPr>
          <w:rFonts w:hint="eastAsia"/>
          <w:lang w:val="en-GB"/>
        </w:rPr>
        <w:t>条规定：</w:t>
      </w:r>
    </w:p>
    <w:p w:rsidR="00B4256E" w:rsidRDefault="00B4256E">
      <w:pPr>
        <w:pStyle w:val="Bullet1GC"/>
        <w:rPr>
          <w:lang w:val="en-GB"/>
        </w:rPr>
      </w:pPr>
      <w:r>
        <w:rPr>
          <w:rFonts w:hint="eastAsia"/>
          <w:lang w:val="en-GB"/>
        </w:rPr>
        <w:t>在不影响适用第</w:t>
      </w:r>
      <w:r>
        <w:rPr>
          <w:lang w:val="en-GB"/>
        </w:rPr>
        <w:t>113-6</w:t>
      </w:r>
      <w:r>
        <w:rPr>
          <w:rFonts w:hint="eastAsia"/>
          <w:lang w:val="en-GB"/>
        </w:rPr>
        <w:t>至</w:t>
      </w:r>
      <w:r>
        <w:rPr>
          <w:lang w:val="en-GB"/>
        </w:rPr>
        <w:t>113-8</w:t>
      </w:r>
      <w:r>
        <w:rPr>
          <w:rFonts w:hint="eastAsia"/>
          <w:lang w:val="en-GB"/>
        </w:rPr>
        <w:t>条的条件下，法国刑法还适用于被法国当局拒绝引渡回申请国的外国人在共和国领土范围外实施的应处以至少</w:t>
      </w:r>
      <w:r>
        <w:rPr>
          <w:rFonts w:hint="eastAsia"/>
          <w:lang w:val="en-GB"/>
        </w:rPr>
        <w:t>5</w:t>
      </w:r>
      <w:r>
        <w:rPr>
          <w:rFonts w:hint="eastAsia"/>
          <w:lang w:val="en-GB"/>
        </w:rPr>
        <w:t>年徒刑的任何犯罪和不法行为，拒绝引渡的理由是据以提出引渡申请的行为所要受到的处罚或安全措施与法国公共秩序不符，或者被要求引渡的人在该国将受到一个不提供基本的程序保障和辩护权保护的法庭的审判，或者有关行为具有政治犯罪的性质。</w:t>
      </w:r>
    </w:p>
    <w:p w:rsidR="00B4256E" w:rsidRDefault="00B4256E">
      <w:pPr>
        <w:pStyle w:val="Bullet1GC"/>
        <w:rPr>
          <w:lang w:val="en-GB"/>
        </w:rPr>
      </w:pPr>
      <w:r>
        <w:rPr>
          <w:rFonts w:hint="eastAsia"/>
          <w:lang w:val="en-GB"/>
        </w:rPr>
        <w:t>只有根据检察官的要求才能起诉第一款所述违法行为。在起诉之前要有由司法部长转交的提出引渡申请的犯罪行为发生国当局的正式放弃通知。</w:t>
      </w:r>
    </w:p>
    <w:p w:rsidR="00B4256E" w:rsidRDefault="00B4256E">
      <w:pPr>
        <w:pStyle w:val="SingleTxtGC"/>
        <w:rPr>
          <w:lang w:val="en-GB"/>
        </w:rPr>
      </w:pPr>
      <w:r>
        <w:rPr>
          <w:sz w:val="20"/>
          <w:lang w:val="en-GB"/>
        </w:rPr>
        <w:t xml:space="preserve">72.  </w:t>
      </w:r>
      <w:r>
        <w:rPr>
          <w:rFonts w:hint="eastAsia"/>
          <w:lang w:val="en-GB"/>
        </w:rPr>
        <w:t>正在考虑修订这一条，以便与打击强迫失踪公约的新条款完全一致，考虑的是：</w:t>
      </w:r>
    </w:p>
    <w:p w:rsidR="00B4256E" w:rsidRDefault="00B4256E">
      <w:pPr>
        <w:pStyle w:val="Bullet1GC"/>
        <w:rPr>
          <w:lang w:val="en-GB"/>
        </w:rPr>
      </w:pPr>
      <w:r>
        <w:rPr>
          <w:rFonts w:hint="eastAsia"/>
          <w:lang w:val="en-GB"/>
        </w:rPr>
        <w:t>首先，可以出于第</w:t>
      </w:r>
      <w:r>
        <w:rPr>
          <w:lang w:val="en-GB"/>
        </w:rPr>
        <w:t>113-8-1</w:t>
      </w:r>
      <w:r>
        <w:rPr>
          <w:rFonts w:hint="eastAsia"/>
          <w:lang w:val="en-GB"/>
        </w:rPr>
        <w:t>条所述理由之外的其他理由拒绝引渡</w:t>
      </w:r>
      <w:r>
        <w:rPr>
          <w:rFonts w:hint="eastAsia"/>
          <w:lang w:val="en-GB"/>
        </w:rPr>
        <w:t>(</w:t>
      </w:r>
      <w:r>
        <w:rPr>
          <w:rFonts w:hint="eastAsia"/>
          <w:lang w:val="en-GB"/>
        </w:rPr>
        <w:t>尤其是以被追捕的人的年龄和健康状况或者违反《欧洲人权公约》第</w:t>
      </w:r>
      <w:r>
        <w:rPr>
          <w:rFonts w:hint="eastAsia"/>
          <w:lang w:val="en-GB"/>
        </w:rPr>
        <w:t>2</w:t>
      </w:r>
      <w:r>
        <w:rPr>
          <w:rFonts w:hint="eastAsia"/>
          <w:lang w:val="en-GB"/>
        </w:rPr>
        <w:t>、</w:t>
      </w:r>
      <w:r>
        <w:rPr>
          <w:rFonts w:hint="eastAsia"/>
          <w:lang w:val="en-GB"/>
        </w:rPr>
        <w:t>3</w:t>
      </w:r>
      <w:r>
        <w:rPr>
          <w:rFonts w:hint="eastAsia"/>
          <w:lang w:val="en-GB"/>
        </w:rPr>
        <w:t>或</w:t>
      </w:r>
      <w:r>
        <w:rPr>
          <w:rFonts w:hint="eastAsia"/>
          <w:lang w:val="en-GB"/>
        </w:rPr>
        <w:t>6</w:t>
      </w:r>
      <w:r>
        <w:rPr>
          <w:rFonts w:hint="eastAsia"/>
          <w:lang w:val="en-GB"/>
        </w:rPr>
        <w:t>条的风险为由</w:t>
      </w:r>
      <w:r>
        <w:rPr>
          <w:rFonts w:hint="eastAsia"/>
          <w:lang w:val="en-GB"/>
        </w:rPr>
        <w:t>)</w:t>
      </w:r>
      <w:r>
        <w:rPr>
          <w:rFonts w:hint="eastAsia"/>
          <w:lang w:val="en-GB"/>
        </w:rPr>
        <w:t>，因此取消对拒绝引渡的理由的任何提及似乎是可取的做法。</w:t>
      </w:r>
    </w:p>
    <w:p w:rsidR="00B4256E" w:rsidRDefault="00B4256E">
      <w:pPr>
        <w:pStyle w:val="Bullet1GC"/>
        <w:rPr>
          <w:lang w:val="en-GB"/>
        </w:rPr>
      </w:pPr>
      <w:r>
        <w:rPr>
          <w:rFonts w:hint="eastAsia"/>
          <w:lang w:val="en-GB"/>
        </w:rPr>
        <w:t>其次，将犯罪行为发生国当局事先发出放弃通知作为起诉的条件，这有可能阻碍起诉，尤其是涉及像强迫失踪那样在国家授权或同意下实施的犯罪，因此有可能永远不会发出这样的正式通知时。</w:t>
      </w:r>
    </w:p>
    <w:p w:rsidR="00B4256E" w:rsidRDefault="00B4256E">
      <w:pPr>
        <w:pStyle w:val="SingleTxtGC"/>
        <w:rPr>
          <w:lang w:val="en-GB"/>
        </w:rPr>
      </w:pPr>
      <w:r>
        <w:rPr>
          <w:sz w:val="20"/>
          <w:lang w:val="en-GB"/>
        </w:rPr>
        <w:t xml:space="preserve">73.  </w:t>
      </w:r>
      <w:r>
        <w:rPr>
          <w:rFonts w:hint="eastAsia"/>
          <w:lang w:val="en-GB"/>
        </w:rPr>
        <w:t>在不影响可能对第</w:t>
      </w:r>
      <w:r>
        <w:rPr>
          <w:lang w:val="en-GB"/>
        </w:rPr>
        <w:t>113-8-1</w:t>
      </w:r>
      <w:r>
        <w:rPr>
          <w:rFonts w:hint="eastAsia"/>
          <w:lang w:val="en-GB"/>
        </w:rPr>
        <w:t>条进行的修订的情况下，还应该强调的是以这一条为依据进行起诉要符合普通法规定的条件，不适用任何特殊规定或例外规定，这符合第十一条第</w:t>
      </w:r>
      <w:r>
        <w:rPr>
          <w:rFonts w:hint="eastAsia"/>
          <w:lang w:val="en-GB"/>
        </w:rPr>
        <w:t>2</w:t>
      </w:r>
      <w:r>
        <w:rPr>
          <w:rFonts w:hint="eastAsia"/>
          <w:lang w:val="en-GB"/>
        </w:rPr>
        <w:t>款规定的条件。</w:t>
      </w:r>
    </w:p>
    <w:p w:rsidR="00B4256E" w:rsidRDefault="00B4256E">
      <w:pPr>
        <w:pStyle w:val="SingleTxtGC"/>
        <w:rPr>
          <w:lang w:val="en-GB"/>
        </w:rPr>
      </w:pPr>
      <w:r>
        <w:rPr>
          <w:sz w:val="20"/>
          <w:lang w:val="en-GB"/>
        </w:rPr>
        <w:t xml:space="preserve">74.  </w:t>
      </w:r>
      <w:r>
        <w:rPr>
          <w:rFonts w:hint="eastAsia"/>
          <w:lang w:val="en-GB"/>
        </w:rPr>
        <w:t>最后，因一项罪行或不法行为受到起诉的人享有在程序的所有阶段得到公平对待的保障，同样，在法国受审的人享有在一个依法设立的独立和公正的主管法院或法庭的公平诉讼权。应由国家司法机关以及欧洲人权法院来确保《欧洲人权公约》第六条第</w:t>
      </w:r>
      <w:r>
        <w:rPr>
          <w:rFonts w:hint="eastAsia"/>
          <w:lang w:val="en-GB"/>
        </w:rPr>
        <w:t>1</w:t>
      </w:r>
      <w:r>
        <w:rPr>
          <w:rFonts w:hint="eastAsia"/>
          <w:lang w:val="en-GB"/>
        </w:rPr>
        <w:t>款所述这一权利得到完全尊重，该条款的措辞与《公约》第十二条第三款相同。</w:t>
      </w:r>
    </w:p>
    <w:p w:rsidR="00B4256E" w:rsidRDefault="00B4256E">
      <w:pPr>
        <w:pStyle w:val="H1GC"/>
        <w:rPr>
          <w:lang w:val="en-GB"/>
        </w:rPr>
      </w:pPr>
      <w:r>
        <w:rPr>
          <w:rFonts w:hint="eastAsia"/>
          <w:lang w:val="en-GB"/>
        </w:rPr>
        <w:tab/>
      </w:r>
      <w:r>
        <w:rPr>
          <w:rFonts w:hint="eastAsia"/>
          <w:lang w:val="en-GB"/>
        </w:rPr>
        <w:tab/>
      </w:r>
      <w:r>
        <w:rPr>
          <w:rFonts w:hint="eastAsia"/>
          <w:lang w:val="en-GB"/>
        </w:rPr>
        <w:t>第十二条</w:t>
      </w:r>
      <w:r>
        <w:rPr>
          <w:rFonts w:hint="eastAsia"/>
          <w:lang w:val="en-GB"/>
        </w:rPr>
        <w:br/>
      </w:r>
      <w:r>
        <w:rPr>
          <w:rFonts w:hint="eastAsia"/>
          <w:lang w:val="en-GB"/>
        </w:rPr>
        <w:t>揭发和调查</w:t>
      </w:r>
    </w:p>
    <w:p w:rsidR="00B4256E" w:rsidRDefault="00B4256E">
      <w:pPr>
        <w:pStyle w:val="SingleTxtGC"/>
        <w:rPr>
          <w:lang w:val="en-GB"/>
        </w:rPr>
      </w:pPr>
      <w:r>
        <w:rPr>
          <w:sz w:val="20"/>
          <w:lang w:val="en-GB"/>
        </w:rPr>
        <w:t xml:space="preserve">75.  </w:t>
      </w:r>
      <w:r>
        <w:rPr>
          <w:rFonts w:hint="eastAsia"/>
          <w:lang w:val="en-GB"/>
        </w:rPr>
        <w:t>法国法律保障任何人有权向司法警察部门提出申诉，警察部门有义务受理申诉并转交给相关部门。事实上，《刑事诉讼法典》第</w:t>
      </w:r>
      <w:r>
        <w:rPr>
          <w:lang w:val="en-GB"/>
        </w:rPr>
        <w:t>15-3</w:t>
      </w:r>
      <w:r>
        <w:rPr>
          <w:rFonts w:hint="eastAsia"/>
          <w:lang w:val="en-GB"/>
        </w:rPr>
        <w:t>条规定：“司法警察有义务受理违反刑法行为的受害人提出的申诉，并在必要时转交给管辖地的司法警察部门或单位。对所有提交的申诉状都要做记录，并立即向受害人签发收据。如果受害人要求，则应立即向其提交记录副本”。</w:t>
      </w:r>
    </w:p>
    <w:p w:rsidR="00B4256E" w:rsidRDefault="00B4256E">
      <w:pPr>
        <w:pStyle w:val="SingleTxtGC"/>
        <w:rPr>
          <w:lang w:val="en-GB"/>
        </w:rPr>
      </w:pPr>
      <w:r>
        <w:rPr>
          <w:sz w:val="20"/>
          <w:lang w:val="en-GB"/>
        </w:rPr>
        <w:t xml:space="preserve">76.  </w:t>
      </w:r>
      <w:r>
        <w:rPr>
          <w:rFonts w:hint="eastAsia"/>
          <w:lang w:val="en-GB"/>
        </w:rPr>
        <w:t>此外，在刑事方面，任何人都可以不受任何限制或条件约束地提出申诉并成为要求损害赔偿的原告，并且通过这一途径引起预审法官、独立法官的提诉，这符合《刑事诉讼法典》第</w:t>
      </w:r>
      <w:r>
        <w:rPr>
          <w:rFonts w:hint="eastAsia"/>
          <w:lang w:val="en-GB"/>
        </w:rPr>
        <w:t>85</w:t>
      </w:r>
      <w:r>
        <w:rPr>
          <w:rFonts w:hint="eastAsia"/>
          <w:lang w:val="en-GB"/>
        </w:rPr>
        <w:t>条之规定，该条规定“任何声称自己受到犯罪行为侵害的人可以根据第</w:t>
      </w:r>
      <w:r>
        <w:rPr>
          <w:lang w:val="en-GB"/>
        </w:rPr>
        <w:t>52</w:t>
      </w:r>
      <w:r>
        <w:rPr>
          <w:rFonts w:hint="eastAsia"/>
          <w:lang w:val="en-GB"/>
        </w:rPr>
        <w:t>条、第</w:t>
      </w:r>
      <w:r>
        <w:rPr>
          <w:lang w:val="en-GB"/>
        </w:rPr>
        <w:t>52-1</w:t>
      </w:r>
      <w:r>
        <w:rPr>
          <w:rFonts w:hint="eastAsia"/>
          <w:lang w:val="en-GB"/>
        </w:rPr>
        <w:t>条和第</w:t>
      </w:r>
      <w:r>
        <w:rPr>
          <w:lang w:val="en-GB"/>
        </w:rPr>
        <w:t>706-42</w:t>
      </w:r>
      <w:r>
        <w:rPr>
          <w:rFonts w:hint="eastAsia"/>
          <w:lang w:val="en-GB"/>
        </w:rPr>
        <w:t>条之规定向主管预审机构提出申诉并成为</w:t>
      </w:r>
      <w:r>
        <w:rPr>
          <w:lang w:val="en-GB"/>
        </w:rPr>
        <w:t>要求损害赔偿的原告</w:t>
      </w:r>
      <w:r>
        <w:rPr>
          <w:rFonts w:hint="eastAsia"/>
          <w:lang w:val="en-GB"/>
        </w:rPr>
        <w:t>”。</w:t>
      </w:r>
    </w:p>
    <w:p w:rsidR="00B4256E" w:rsidRDefault="00B4256E">
      <w:pPr>
        <w:pStyle w:val="SingleTxtGC"/>
        <w:rPr>
          <w:lang w:val="en-GB"/>
        </w:rPr>
      </w:pPr>
      <w:r>
        <w:rPr>
          <w:sz w:val="20"/>
          <w:lang w:val="en-GB"/>
        </w:rPr>
        <w:t xml:space="preserve">77.  </w:t>
      </w:r>
      <w:r>
        <w:rPr>
          <w:rFonts w:hint="eastAsia"/>
          <w:lang w:val="en-GB"/>
        </w:rPr>
        <w:t>除了《刑事诉讼法典》中这些让符合第十二条第</w:t>
      </w:r>
      <w:r>
        <w:rPr>
          <w:rFonts w:hint="eastAsia"/>
          <w:lang w:val="en-GB"/>
        </w:rPr>
        <w:t>1</w:t>
      </w:r>
      <w:r>
        <w:rPr>
          <w:rFonts w:hint="eastAsia"/>
          <w:lang w:val="en-GB"/>
        </w:rPr>
        <w:t>款的时效规定的公诉发挥极大作用的条款外，还有旨在确保让受害人得到其处境所必需的关照的实际措施和指示。例如，</w:t>
      </w:r>
      <w:r>
        <w:rPr>
          <w:rFonts w:hint="eastAsia"/>
          <w:lang w:val="en-GB"/>
        </w:rPr>
        <w:t>2002</w:t>
      </w:r>
      <w:r>
        <w:rPr>
          <w:rFonts w:hint="eastAsia"/>
          <w:lang w:val="en-GB"/>
        </w:rPr>
        <w:t>年</w:t>
      </w:r>
      <w:r>
        <w:rPr>
          <w:rFonts w:hint="eastAsia"/>
          <w:lang w:val="en-GB"/>
        </w:rPr>
        <w:t>8</w:t>
      </w:r>
      <w:r>
        <w:rPr>
          <w:rFonts w:hint="eastAsia"/>
          <w:lang w:val="en-GB"/>
        </w:rPr>
        <w:t>月</w:t>
      </w:r>
      <w:r>
        <w:rPr>
          <w:rFonts w:hint="eastAsia"/>
          <w:lang w:val="en-GB"/>
        </w:rPr>
        <w:t>29</w:t>
      </w:r>
      <w:r>
        <w:rPr>
          <w:rFonts w:hint="eastAsia"/>
          <w:lang w:val="en-GB"/>
        </w:rPr>
        <w:t>日的国家安全指导和规划法指出“接待、提供信息和帮助受害人对国家安全部门来说是一个优先事项，并明确了警察局和宪兵队在什么条件下应履行受理违反刑法行为受害人的申诉的义务，无论违法行为的实施地是哪里或者受害人的住址是哪里，还明确了受害人有权向其所选择的警察局或宪兵队提出申诉。在所有警察局和宪兵队张贴的《公众接待和受害人援助宪章》也重申了这一权利，《宪章》第</w:t>
      </w:r>
      <w:r>
        <w:rPr>
          <w:rFonts w:hint="eastAsia"/>
          <w:lang w:val="en-GB"/>
        </w:rPr>
        <w:t>6</w:t>
      </w:r>
      <w:r>
        <w:rPr>
          <w:rFonts w:hint="eastAsia"/>
          <w:lang w:val="en-GB"/>
        </w:rPr>
        <w:t>条特别规定“一切人员失踪的迹象都应得到特别关注和立即处理”。</w:t>
      </w:r>
    </w:p>
    <w:p w:rsidR="00B4256E" w:rsidRDefault="00B4256E">
      <w:pPr>
        <w:pStyle w:val="SingleTxtGC"/>
        <w:rPr>
          <w:lang w:val="en-GB"/>
        </w:rPr>
      </w:pPr>
      <w:r>
        <w:rPr>
          <w:sz w:val="20"/>
          <w:lang w:val="en-GB"/>
        </w:rPr>
        <w:t xml:space="preserve">78.  </w:t>
      </w:r>
      <w:r>
        <w:rPr>
          <w:rFonts w:hint="eastAsia"/>
          <w:lang w:val="en-GB"/>
        </w:rPr>
        <w:t>在每个部级的公共安全局都有一名部级通讯员“援助受害者”，负责发展与各个协会的关系，改善接待工作和收集有用的信息。另外全国还有</w:t>
      </w:r>
      <w:r>
        <w:rPr>
          <w:rFonts w:hint="eastAsia"/>
          <w:lang w:val="en-GB"/>
        </w:rPr>
        <w:t>125</w:t>
      </w:r>
      <w:r>
        <w:rPr>
          <w:rFonts w:hint="eastAsia"/>
          <w:lang w:val="en-GB"/>
        </w:rPr>
        <w:t>个警察局和宪兵大队所属的社会调解岗亭在行动，并且在警察分局配备了</w:t>
      </w:r>
      <w:r>
        <w:rPr>
          <w:rFonts w:hint="eastAsia"/>
          <w:lang w:val="en-GB"/>
        </w:rPr>
        <w:t>37</w:t>
      </w:r>
      <w:r>
        <w:rPr>
          <w:rFonts w:hint="eastAsia"/>
          <w:lang w:val="en-GB"/>
        </w:rPr>
        <w:t>名心理医生，对暴力受害人和施暴者进行干预</w:t>
      </w:r>
      <w:r>
        <w:rPr>
          <w:rFonts w:hint="eastAsia"/>
          <w:lang w:val="en-GB"/>
        </w:rPr>
        <w:t>(2010</w:t>
      </w:r>
      <w:r>
        <w:rPr>
          <w:rFonts w:hint="eastAsia"/>
          <w:lang w:val="en-GB"/>
        </w:rPr>
        <w:t>年的数字</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79.  </w:t>
      </w:r>
      <w:r>
        <w:rPr>
          <w:rFonts w:hint="eastAsia"/>
          <w:lang w:val="en-GB"/>
        </w:rPr>
        <w:t>在与包括全国帮助受害人和调解协会在内的各重要协会网络签订的协议框架内，通过在各治安部队中设置的</w:t>
      </w:r>
      <w:r>
        <w:rPr>
          <w:rFonts w:hint="eastAsia"/>
          <w:lang w:val="en-GB"/>
        </w:rPr>
        <w:t>150</w:t>
      </w:r>
      <w:r>
        <w:rPr>
          <w:rFonts w:hint="eastAsia"/>
          <w:lang w:val="en-GB"/>
        </w:rPr>
        <w:t>个接待帮助受害人协会的值班处和岗亭的存在，切实保障对受害人的接待和照料。除了帮助受害人这一主要任务外，协会代表们还参与负责接待和帮助犯罪行为受害人的警察和宪兵的初始培训和继续培训。不管怎样，每名刑事违法行为的受害人在提出申诉后都会得到一个帮助受害人协会的地址，虽然在所有警察分局都有专门用于帮助受害人的电子邮箱。</w:t>
      </w:r>
    </w:p>
    <w:p w:rsidR="00B4256E" w:rsidRDefault="00B4256E">
      <w:pPr>
        <w:pStyle w:val="SingleTxtGC"/>
        <w:rPr>
          <w:lang w:val="en-GB"/>
        </w:rPr>
      </w:pPr>
      <w:r>
        <w:rPr>
          <w:sz w:val="20"/>
          <w:lang w:val="en-GB"/>
        </w:rPr>
        <w:t xml:space="preserve">80.  </w:t>
      </w:r>
      <w:r>
        <w:rPr>
          <w:rFonts w:hint="eastAsia"/>
          <w:lang w:val="en-GB"/>
        </w:rPr>
        <w:t>此外，为确保在必要时保护证人也做出了规定。这些规定源于《刑事诉讼法典》的下述条款：</w:t>
      </w:r>
    </w:p>
    <w:p w:rsidR="00B4256E" w:rsidRDefault="00B4256E">
      <w:pPr>
        <w:pStyle w:val="Bullet1GC"/>
        <w:rPr>
          <w:lang w:val="en-GB"/>
        </w:rPr>
      </w:pPr>
      <w:r>
        <w:rPr>
          <w:rFonts w:hint="eastAsia"/>
          <w:lang w:val="en-GB"/>
        </w:rPr>
        <w:t>第</w:t>
      </w:r>
      <w:r>
        <w:rPr>
          <w:lang w:val="en-GB"/>
        </w:rPr>
        <w:t>706-57</w:t>
      </w:r>
      <w:r>
        <w:rPr>
          <w:rFonts w:hint="eastAsia"/>
          <w:lang w:val="en-GB"/>
        </w:rPr>
        <w:t>条：“没有任何说得过去的理由被怀疑实施了或试图实施一项犯罪行为并且可能提供与诉讼有关的证据的人，经共和国检察官或预审法官授权，可将警察分局或宪兵大队的地址作为住址申报。”</w:t>
      </w:r>
    </w:p>
    <w:p w:rsidR="00B4256E" w:rsidRDefault="00B4256E">
      <w:pPr>
        <w:pStyle w:val="Bullet1GC"/>
        <w:rPr>
          <w:lang w:val="en-GB"/>
        </w:rPr>
      </w:pPr>
      <w:r>
        <w:rPr>
          <w:rFonts w:hint="eastAsia"/>
          <w:lang w:val="en-GB"/>
        </w:rPr>
        <w:t>《刑事诉讼法典》第</w:t>
      </w:r>
      <w:r>
        <w:rPr>
          <w:lang w:val="en-GB"/>
        </w:rPr>
        <w:t>706-58</w:t>
      </w:r>
      <w:r>
        <w:rPr>
          <w:rFonts w:hint="eastAsia"/>
          <w:lang w:val="en-GB"/>
        </w:rPr>
        <w:t>条：“在关于一项应处以至少</w:t>
      </w:r>
      <w:r>
        <w:rPr>
          <w:rFonts w:hint="eastAsia"/>
          <w:lang w:val="en-GB"/>
        </w:rPr>
        <w:t>3</w:t>
      </w:r>
      <w:r>
        <w:rPr>
          <w:rFonts w:hint="eastAsia"/>
          <w:lang w:val="en-GB"/>
        </w:rPr>
        <w:t>年徒刑的犯罪或不法行为的诉讼中，如果对第</w:t>
      </w:r>
      <w:r>
        <w:rPr>
          <w:lang w:val="en-GB"/>
        </w:rPr>
        <w:t>706-57</w:t>
      </w:r>
      <w:r>
        <w:rPr>
          <w:rFonts w:hint="eastAsia"/>
          <w:lang w:val="en-GB"/>
        </w:rPr>
        <w:t>条所述的人的讯问可能严重危及此人、其家庭成员或亲属的生命或身体健康，自由和拘留法官在收到共和国检察官或预审法官提出的申请后，可以做出决定，授权收集此人的陈述而不在诉讼案卷中显示其身份。对该决定不可提出上诉，除非符合第</w:t>
      </w:r>
      <w:r>
        <w:rPr>
          <w:lang w:val="en-GB"/>
        </w:rPr>
        <w:t>706-60</w:t>
      </w:r>
      <w:r>
        <w:rPr>
          <w:rFonts w:hint="eastAsia"/>
          <w:lang w:val="en-GB"/>
        </w:rPr>
        <w:t>条第</w:t>
      </w:r>
      <w:r>
        <w:rPr>
          <w:rFonts w:hint="eastAsia"/>
          <w:lang w:val="en-GB"/>
        </w:rPr>
        <w:t>2</w:t>
      </w:r>
      <w:r>
        <w:rPr>
          <w:rFonts w:hint="eastAsia"/>
          <w:lang w:val="en-GB"/>
        </w:rPr>
        <w:t>款的规定。自由和拘留法官可以决定亲自对证人进行讯问。</w:t>
      </w:r>
    </w:p>
    <w:p w:rsidR="00B4256E" w:rsidRDefault="00B4256E">
      <w:pPr>
        <w:pStyle w:val="Bullet1GC"/>
        <w:rPr>
          <w:lang w:val="en-GB"/>
        </w:rPr>
      </w:pPr>
      <w:r>
        <w:rPr>
          <w:rFonts w:hint="eastAsia"/>
          <w:lang w:val="en-GB"/>
        </w:rPr>
        <w:t>自由和拘留法官关于不显示当事人身份的决定要放入证人讯问笔录中，笔录中没有当事人的签名。当事人的身份和地址记载在由当事人签名的另一份笔录中，该笔录放入诉讼案卷之外的另一个案卷中，该案卷中还有前面第一款所述申请。当事人的身份和地址记载在一个有编号和名字缩写的登记簿上，大审法庭可查阅该登记簿。”</w:t>
      </w:r>
    </w:p>
    <w:p w:rsidR="00B4256E" w:rsidRDefault="00B4256E">
      <w:pPr>
        <w:pStyle w:val="SingleTxtGC"/>
        <w:rPr>
          <w:lang w:val="en-GB"/>
        </w:rPr>
      </w:pPr>
      <w:r>
        <w:rPr>
          <w:sz w:val="20"/>
          <w:lang w:val="en-GB"/>
        </w:rPr>
        <w:t xml:space="preserve">81.  </w:t>
      </w:r>
      <w:r>
        <w:rPr>
          <w:rFonts w:hint="eastAsia"/>
          <w:lang w:val="en-GB"/>
        </w:rPr>
        <w:t>法国《刑事诉讼法典》允许检察官和司法警官在其认为能够加以证实的一切证据的基础上进行调查，包括在没有提出申诉的情况下，这也完全符合《公约》第十二条第二款的规定。</w:t>
      </w:r>
    </w:p>
    <w:p w:rsidR="00B4256E" w:rsidRDefault="00B4256E">
      <w:pPr>
        <w:pStyle w:val="SingleTxtGC"/>
        <w:rPr>
          <w:lang w:val="en-GB"/>
        </w:rPr>
      </w:pPr>
      <w:r>
        <w:rPr>
          <w:sz w:val="20"/>
          <w:lang w:val="en-GB"/>
        </w:rPr>
        <w:t xml:space="preserve">82.  </w:t>
      </w:r>
      <w:r>
        <w:rPr>
          <w:rFonts w:hint="eastAsia"/>
          <w:lang w:val="en-GB"/>
        </w:rPr>
        <w:t>另外，司法当局</w:t>
      </w:r>
      <w:r>
        <w:rPr>
          <w:rFonts w:hint="eastAsia"/>
          <w:lang w:val="en-GB"/>
        </w:rPr>
        <w:t>(</w:t>
      </w:r>
      <w:r>
        <w:rPr>
          <w:rFonts w:hint="eastAsia"/>
          <w:lang w:val="en-GB"/>
        </w:rPr>
        <w:t>检察官或预审法官</w:t>
      </w:r>
      <w:r>
        <w:rPr>
          <w:rFonts w:hint="eastAsia"/>
          <w:lang w:val="en-GB"/>
        </w:rPr>
        <w:t>)</w:t>
      </w:r>
      <w:r>
        <w:rPr>
          <w:rFonts w:hint="eastAsia"/>
          <w:lang w:val="en-GB"/>
        </w:rPr>
        <w:t>得到认可的调查权很大，尤其是其可以进入有合理理由相信强迫失踪的受害人被羁押的地方。</w:t>
      </w:r>
    </w:p>
    <w:p w:rsidR="00B4256E" w:rsidRDefault="00B4256E">
      <w:pPr>
        <w:pStyle w:val="SingleTxtGC"/>
        <w:rPr>
          <w:lang w:val="en-GB"/>
        </w:rPr>
      </w:pPr>
      <w:r>
        <w:rPr>
          <w:sz w:val="20"/>
          <w:lang w:val="en-GB"/>
        </w:rPr>
        <w:t xml:space="preserve">83.  </w:t>
      </w:r>
      <w:r>
        <w:rPr>
          <w:rFonts w:hint="eastAsia"/>
          <w:lang w:val="en-GB"/>
        </w:rPr>
        <w:t>关于这一点，还可以提一下宪法法院最近作出的一项决定，根据该决定，设立国防保密场所的法律不能导致拒绝司法当局以调查权的名义进入这样的场所。事实上，宪法委员会认为，“授权将某些场所列为国防保密场所，法官为搜查之目的进入这些场所需暂时将这些场所降级，立法机关这样做是在</w:t>
      </w:r>
      <w:r>
        <w:rPr>
          <w:lang w:val="en-GB"/>
        </w:rPr>
        <w:t>[</w:t>
      </w:r>
      <w:r>
        <w:rPr>
          <w:rFonts w:hint="eastAsia"/>
          <w:lang w:val="en-GB"/>
        </w:rPr>
        <w:t>保护国防秘密所涉及的国家根本利益以及搜查犯罪者所体现的宪法价值观目标</w:t>
      </w:r>
      <w:r>
        <w:rPr>
          <w:rFonts w:hint="eastAsia"/>
          <w:lang w:val="en-GB"/>
        </w:rPr>
        <w:t>]</w:t>
      </w:r>
      <w:r>
        <w:rPr>
          <w:rFonts w:hint="eastAsia"/>
          <w:lang w:val="en-GB"/>
        </w:rPr>
        <w:t>之间进行并不平衡的折中”</w:t>
      </w:r>
      <w:r>
        <w:rPr>
          <w:rStyle w:val="FootnoteReference"/>
        </w:rPr>
        <w:footnoteReference w:id="8"/>
      </w:r>
      <w:r>
        <w:rPr>
          <w:rFonts w:hint="eastAsia"/>
          <w:lang w:val="en-GB"/>
        </w:rPr>
        <w:t>。</w:t>
      </w:r>
    </w:p>
    <w:p w:rsidR="00B4256E" w:rsidRDefault="00B4256E">
      <w:pPr>
        <w:pStyle w:val="SingleTxtGC"/>
        <w:rPr>
          <w:lang w:val="en-GB"/>
        </w:rPr>
      </w:pPr>
      <w:r>
        <w:rPr>
          <w:sz w:val="20"/>
          <w:lang w:val="en-GB"/>
        </w:rPr>
        <w:t xml:space="preserve">84.  </w:t>
      </w:r>
      <w:r>
        <w:rPr>
          <w:rFonts w:hint="eastAsia"/>
          <w:lang w:val="en-GB"/>
        </w:rPr>
        <w:t>最后，预防和惩治妨害符合《刑法典》第</w:t>
      </w:r>
      <w:r>
        <w:rPr>
          <w:lang w:val="en-GB"/>
        </w:rPr>
        <w:t>434-1</w:t>
      </w:r>
      <w:r>
        <w:rPr>
          <w:rFonts w:hint="eastAsia"/>
          <w:lang w:val="en-GB"/>
        </w:rPr>
        <w:t>条及其后各条之规定的司法行为的一切行为的刑法规定与第十二条第</w:t>
      </w:r>
      <w:r>
        <w:rPr>
          <w:rFonts w:hint="eastAsia"/>
          <w:lang w:val="en-GB"/>
        </w:rPr>
        <w:t>4</w:t>
      </w:r>
      <w:r>
        <w:rPr>
          <w:rFonts w:hint="eastAsia"/>
          <w:lang w:val="en-GB"/>
        </w:rPr>
        <w:t>款之规定相符，其中特别值得转载的是以下各条：</w:t>
      </w:r>
    </w:p>
    <w:p w:rsidR="00B4256E" w:rsidRDefault="00B4256E">
      <w:pPr>
        <w:pStyle w:val="Bullet1GC"/>
        <w:rPr>
          <w:lang w:val="en-GB"/>
        </w:rPr>
      </w:pPr>
      <w:r>
        <w:rPr>
          <w:rFonts w:hint="eastAsia"/>
          <w:lang w:val="en-GB"/>
        </w:rPr>
        <w:t>《刑法典》第</w:t>
      </w:r>
      <w:r>
        <w:rPr>
          <w:lang w:val="en-GB"/>
        </w:rPr>
        <w:t>434-4</w:t>
      </w:r>
      <w:r>
        <w:rPr>
          <w:rFonts w:hint="eastAsia"/>
          <w:lang w:val="en-GB"/>
        </w:rPr>
        <w:t>条规定：“下述行为要处以</w:t>
      </w:r>
      <w:r>
        <w:rPr>
          <w:rFonts w:hint="eastAsia"/>
          <w:lang w:val="en-GB"/>
        </w:rPr>
        <w:t>3</w:t>
      </w:r>
      <w:r>
        <w:rPr>
          <w:rFonts w:hint="eastAsia"/>
          <w:lang w:val="en-GB"/>
        </w:rPr>
        <w:t>年监禁和</w:t>
      </w:r>
      <w:r>
        <w:rPr>
          <w:lang w:val="en-GB"/>
        </w:rPr>
        <w:t>45,000</w:t>
      </w:r>
      <w:r>
        <w:rPr>
          <w:rFonts w:hint="eastAsia"/>
          <w:lang w:val="en-GB"/>
        </w:rPr>
        <w:t>欧元罚金：为阻碍揭示真相：</w:t>
      </w:r>
      <w:r>
        <w:rPr>
          <w:lang w:val="en-GB"/>
        </w:rPr>
        <w:t>1°</w:t>
      </w:r>
      <w:r>
        <w:rPr>
          <w:rFonts w:hint="eastAsia"/>
          <w:lang w:val="en-GB"/>
        </w:rPr>
        <w:t>通过添加、移动或消灭某种物品等手段，变造、伪造或消除痕迹或迹象，从而改变犯罪和不法行为实施地点的状况；</w:t>
      </w:r>
      <w:r>
        <w:rPr>
          <w:lang w:val="en-GB"/>
        </w:rPr>
        <w:t>2°</w:t>
      </w:r>
      <w:r>
        <w:rPr>
          <w:rFonts w:hint="eastAsia"/>
          <w:lang w:val="en-GB"/>
        </w:rPr>
        <w:t>摧毁、窃取、隐匿或变造一份公私文件或者有助于揭示犯罪或不法行为、搜寻证据或给罪犯定罪的物品。如果本条所述行为是由一个根据自己的职务应帮助揭示真相的人实施的，则处罚为</w:t>
      </w:r>
      <w:r>
        <w:rPr>
          <w:rFonts w:hint="eastAsia"/>
          <w:lang w:val="en-GB"/>
        </w:rPr>
        <w:t>5</w:t>
      </w:r>
      <w:r>
        <w:rPr>
          <w:rFonts w:hint="eastAsia"/>
          <w:lang w:val="en-GB"/>
        </w:rPr>
        <w:t>年监禁和</w:t>
      </w:r>
      <w:r>
        <w:rPr>
          <w:lang w:val="en-GB"/>
        </w:rPr>
        <w:t>75,000</w:t>
      </w:r>
      <w:r>
        <w:rPr>
          <w:rFonts w:hint="eastAsia"/>
          <w:lang w:val="en-GB"/>
        </w:rPr>
        <w:t>欧元罚金”；</w:t>
      </w:r>
    </w:p>
    <w:p w:rsidR="00B4256E" w:rsidRDefault="00B4256E">
      <w:pPr>
        <w:pStyle w:val="Bullet1GC"/>
        <w:rPr>
          <w:lang w:val="en-GB"/>
        </w:rPr>
      </w:pPr>
      <w:r>
        <w:rPr>
          <w:rFonts w:hint="eastAsia"/>
          <w:lang w:val="en-GB"/>
        </w:rPr>
        <w:t>该法典第</w:t>
      </w:r>
      <w:r>
        <w:rPr>
          <w:lang w:val="en-GB"/>
        </w:rPr>
        <w:t>434-5</w:t>
      </w:r>
      <w:r>
        <w:rPr>
          <w:rFonts w:hint="eastAsia"/>
          <w:lang w:val="en-GB"/>
        </w:rPr>
        <w:t>条规定：“为促使犯罪或不法行为受害人不提出控告或退缩而对任何人实施威胁或其他任何恐吓行为者，要判处</w:t>
      </w:r>
      <w:r>
        <w:rPr>
          <w:rFonts w:hint="eastAsia"/>
          <w:lang w:val="en-GB"/>
        </w:rPr>
        <w:t>3</w:t>
      </w:r>
      <w:r>
        <w:rPr>
          <w:rFonts w:hint="eastAsia"/>
          <w:lang w:val="en-GB"/>
        </w:rPr>
        <w:t>年监禁和</w:t>
      </w:r>
      <w:r>
        <w:rPr>
          <w:lang w:val="en-GB"/>
        </w:rPr>
        <w:t>45,000</w:t>
      </w:r>
      <w:r>
        <w:rPr>
          <w:rFonts w:hint="eastAsia"/>
          <w:lang w:val="en-GB"/>
        </w:rPr>
        <w:t>欧元罚金”。</w:t>
      </w:r>
    </w:p>
    <w:p w:rsidR="00B4256E" w:rsidRDefault="00B4256E">
      <w:pPr>
        <w:pStyle w:val="H1GC"/>
        <w:rPr>
          <w:lang w:val="en-GB"/>
        </w:rPr>
      </w:pPr>
      <w:r>
        <w:rPr>
          <w:lang w:val="en-GB"/>
        </w:rPr>
        <w:tab/>
      </w:r>
      <w:r>
        <w:rPr>
          <w:lang w:val="en-GB"/>
        </w:rPr>
        <w:tab/>
      </w:r>
      <w:r>
        <w:rPr>
          <w:rFonts w:hint="eastAsia"/>
          <w:lang w:val="en-GB"/>
        </w:rPr>
        <w:t>第十三条</w:t>
      </w:r>
      <w:r>
        <w:rPr>
          <w:rFonts w:hint="eastAsia"/>
          <w:lang w:val="en-GB"/>
        </w:rPr>
        <w:br/>
      </w:r>
      <w:r>
        <w:rPr>
          <w:rFonts w:hint="eastAsia"/>
          <w:lang w:val="en-GB"/>
        </w:rPr>
        <w:t>引渡</w:t>
      </w:r>
    </w:p>
    <w:p w:rsidR="00B4256E" w:rsidRDefault="00B4256E">
      <w:pPr>
        <w:pStyle w:val="SingleTxtGC"/>
        <w:rPr>
          <w:lang w:val="en-GB"/>
        </w:rPr>
      </w:pPr>
      <w:r>
        <w:rPr>
          <w:sz w:val="20"/>
          <w:lang w:val="en-GB"/>
        </w:rPr>
        <w:t xml:space="preserve">85.  </w:t>
      </w:r>
      <w:r>
        <w:rPr>
          <w:rFonts w:hint="eastAsia"/>
          <w:lang w:val="en-GB"/>
        </w:rPr>
        <w:t>根据《宪法》第</w:t>
      </w:r>
      <w:r>
        <w:rPr>
          <w:rFonts w:hint="eastAsia"/>
          <w:lang w:val="en-GB"/>
        </w:rPr>
        <w:t>55</w:t>
      </w:r>
      <w:r>
        <w:rPr>
          <w:rFonts w:hint="eastAsia"/>
          <w:lang w:val="en-GB"/>
        </w:rPr>
        <w:t>条，与引渡有关的《公约》第十三条第一款之规定作为国内法律直接适用，并且其权威性高于立法规定，行政法院和最高法院在受理对引渡措施提出的上诉时也一贯是这样裁决的。《刑事诉讼法典》第</w:t>
      </w:r>
      <w:r>
        <w:rPr>
          <w:rFonts w:hint="eastAsia"/>
          <w:lang w:val="en-GB"/>
        </w:rPr>
        <w:t>696</w:t>
      </w:r>
      <w:r>
        <w:rPr>
          <w:rFonts w:hint="eastAsia"/>
          <w:lang w:val="en-GB"/>
        </w:rPr>
        <w:t>条明确强调关于引渡的立法规定的补充性质，其规定是：“在国际公约未另作规定的情况下，引渡的条件、程序和效力由本章条款确定。这些条款也适用于国际公约未作规定的情况。”</w:t>
      </w:r>
    </w:p>
    <w:p w:rsidR="00B4256E" w:rsidRDefault="00B4256E">
      <w:pPr>
        <w:pStyle w:val="SingleTxtGC"/>
        <w:rPr>
          <w:lang w:val="en-GB"/>
        </w:rPr>
      </w:pPr>
      <w:r>
        <w:rPr>
          <w:sz w:val="20"/>
          <w:lang w:val="en-GB"/>
        </w:rPr>
        <w:t xml:space="preserve">86.  </w:t>
      </w:r>
      <w:r>
        <w:rPr>
          <w:rFonts w:hint="eastAsia"/>
          <w:lang w:val="en-GB"/>
        </w:rPr>
        <w:t>按照《公约》第十三条第三款，法国将注意在未来的引渡条约中将强迫失踪罪纳入作为引渡理由的违法犯罪之列，不过，要强调的是，在没有引渡条约的情况下，法国已经根据互惠承诺实施引渡了，正如第十三条第四款所设想的。</w:t>
      </w:r>
    </w:p>
    <w:p w:rsidR="00B4256E" w:rsidRDefault="00B4256E">
      <w:pPr>
        <w:pStyle w:val="SingleTxtGC"/>
        <w:rPr>
          <w:lang w:val="en-GB"/>
        </w:rPr>
      </w:pPr>
      <w:r>
        <w:rPr>
          <w:sz w:val="20"/>
          <w:lang w:val="en-GB"/>
        </w:rPr>
        <w:t xml:space="preserve">87.  </w:t>
      </w:r>
      <w:r>
        <w:rPr>
          <w:rFonts w:hint="eastAsia"/>
          <w:lang w:val="en-GB"/>
        </w:rPr>
        <w:t>此外，《刑事诉讼法典》第</w:t>
      </w:r>
      <w:r>
        <w:rPr>
          <w:lang w:val="en-GB"/>
        </w:rPr>
        <w:t>696</w:t>
      </w:r>
      <w:r>
        <w:rPr>
          <w:rFonts w:hint="eastAsia"/>
          <w:lang w:val="en-GB"/>
        </w:rPr>
        <w:t>条和第</w:t>
      </w:r>
      <w:r>
        <w:rPr>
          <w:lang w:val="en-GB"/>
        </w:rPr>
        <w:t>696-3</w:t>
      </w:r>
      <w:r>
        <w:rPr>
          <w:rFonts w:hint="eastAsia"/>
          <w:lang w:val="en-GB"/>
        </w:rPr>
        <w:t>条允许从现在起引渡因强迫失踪行为而被追捕的人，如果申请国对这种行为予以刑事制裁的话。事实上，《刑事诉讼法典》第</w:t>
      </w:r>
      <w:r>
        <w:rPr>
          <w:lang w:val="en-GB"/>
        </w:rPr>
        <w:t>696-3</w:t>
      </w:r>
      <w:r>
        <w:rPr>
          <w:rFonts w:hint="eastAsia"/>
          <w:lang w:val="en-GB"/>
        </w:rPr>
        <w:t>条规定：“可导致引渡</w:t>
      </w:r>
      <w:r>
        <w:rPr>
          <w:rFonts w:hint="eastAsia"/>
          <w:lang w:val="en-GB"/>
        </w:rPr>
        <w:t>(</w:t>
      </w:r>
      <w:r>
        <w:rPr>
          <w:rFonts w:hint="eastAsia"/>
          <w:lang w:val="en-GB"/>
        </w:rPr>
        <w:t>不论是请求还是准予</w:t>
      </w:r>
      <w:r>
        <w:rPr>
          <w:rFonts w:hint="eastAsia"/>
          <w:lang w:val="en-GB"/>
        </w:rPr>
        <w:t>)</w:t>
      </w:r>
      <w:r>
        <w:rPr>
          <w:rFonts w:hint="eastAsia"/>
          <w:lang w:val="en-GB"/>
        </w:rPr>
        <w:t>的行为是以下这些：</w:t>
      </w:r>
      <w:r>
        <w:rPr>
          <w:lang w:val="en-GB"/>
        </w:rPr>
        <w:t>1</w:t>
      </w:r>
      <w:r>
        <w:rPr>
          <w:rFonts w:hint="eastAsia"/>
          <w:lang w:val="en-GB"/>
        </w:rPr>
        <w:t>)</w:t>
      </w:r>
      <w:r>
        <w:rPr>
          <w:lang w:val="en-GB"/>
        </w:rPr>
        <w:t xml:space="preserve"> </w:t>
      </w:r>
      <w:r>
        <w:rPr>
          <w:rFonts w:hint="eastAsia"/>
          <w:lang w:val="en-GB"/>
        </w:rPr>
        <w:t>所有根据请求国的法律应受刑事制裁的行为；</w:t>
      </w:r>
      <w:r>
        <w:rPr>
          <w:lang w:val="en-GB"/>
        </w:rPr>
        <w:t>2</w:t>
      </w:r>
      <w:r>
        <w:rPr>
          <w:rFonts w:hint="eastAsia"/>
          <w:lang w:val="en-GB"/>
        </w:rPr>
        <w:t>)</w:t>
      </w:r>
      <w:r>
        <w:rPr>
          <w:lang w:val="en-GB"/>
        </w:rPr>
        <w:t xml:space="preserve"> </w:t>
      </w:r>
      <w:r>
        <w:rPr>
          <w:rFonts w:hint="eastAsia"/>
          <w:lang w:val="en-GB"/>
        </w:rPr>
        <w:t>根据请求国的法律应处轻罪刑的行为，但根据该法律所判处的最长徒刑等于或超过两年，或者，如果是被判刑者，申请国司法机关所宣布的刑罚等于或超过</w:t>
      </w:r>
      <w:r>
        <w:rPr>
          <w:rFonts w:hint="eastAsia"/>
          <w:lang w:val="en-GB"/>
        </w:rPr>
        <w:t>2</w:t>
      </w:r>
      <w:r>
        <w:rPr>
          <w:rFonts w:hint="eastAsia"/>
          <w:lang w:val="en-GB"/>
        </w:rPr>
        <w:t>个月的监禁……”。</w:t>
      </w:r>
    </w:p>
    <w:p w:rsidR="00B4256E" w:rsidRDefault="00B4256E">
      <w:pPr>
        <w:pStyle w:val="SingleTxtGC"/>
        <w:rPr>
          <w:lang w:val="en-GB"/>
        </w:rPr>
      </w:pPr>
      <w:r>
        <w:rPr>
          <w:sz w:val="20"/>
          <w:lang w:val="en-GB"/>
        </w:rPr>
        <w:t xml:space="preserve">88.  </w:t>
      </w:r>
      <w:r>
        <w:rPr>
          <w:rFonts w:hint="eastAsia"/>
          <w:lang w:val="en-GB"/>
        </w:rPr>
        <w:t>在读这些条款的时候应铭记，即使是在一个法律规定对强迫失踪罪处以两年以下监禁的轻罪刑的国家要求引渡被怀疑实施了强迫失踪罪的人这一不大可能的假设下，引渡仍有可能，因为《公约》规定高于第</w:t>
      </w:r>
      <w:r>
        <w:rPr>
          <w:lang w:val="en-GB"/>
        </w:rPr>
        <w:t>696-3</w:t>
      </w:r>
      <w:r>
        <w:rPr>
          <w:rFonts w:hint="eastAsia"/>
          <w:lang w:val="en-GB"/>
        </w:rPr>
        <w:t>条的立法规定，立法规定只有在“国际公约未另作规定的情况下”才有效。</w:t>
      </w:r>
    </w:p>
    <w:p w:rsidR="00B4256E" w:rsidRDefault="00B4256E">
      <w:pPr>
        <w:pStyle w:val="SingleTxtGC"/>
        <w:rPr>
          <w:lang w:val="en-GB"/>
        </w:rPr>
      </w:pPr>
      <w:r>
        <w:rPr>
          <w:sz w:val="20"/>
          <w:lang w:val="en-GB"/>
        </w:rPr>
        <w:t xml:space="preserve">89.  </w:t>
      </w:r>
      <w:r>
        <w:rPr>
          <w:rFonts w:hint="eastAsia"/>
          <w:lang w:val="en-GB"/>
        </w:rPr>
        <w:t>最后，分别负责授权和监督引渡合法性的预审法庭和行政法院努力核实提出引渡申请的原因不是“因为性别、人种、宗教、国籍、种族、政治见解或属于某个社会团体等原因而诉究和惩罚某人”，并且核准引渡申请不会导致“当事人因上述原因之一而受到伤害”，从而保障第十三条第五款之规定得到遵守。</w:t>
      </w:r>
    </w:p>
    <w:p w:rsidR="00B4256E" w:rsidRDefault="00B4256E">
      <w:pPr>
        <w:pStyle w:val="SingleTxtGC"/>
        <w:rPr>
          <w:lang w:val="en-GB"/>
        </w:rPr>
      </w:pPr>
      <w:r>
        <w:rPr>
          <w:sz w:val="20"/>
          <w:lang w:val="en-GB"/>
        </w:rPr>
        <w:t xml:space="preserve">90.  </w:t>
      </w:r>
      <w:r>
        <w:rPr>
          <w:rFonts w:hint="eastAsia"/>
          <w:lang w:val="en-GB"/>
        </w:rPr>
        <w:t>为了向委员会提供完整信息，应该指出的是，目前，法国当局没有收到过与强迫失踪案件有关的任何引渡申请。</w:t>
      </w:r>
    </w:p>
    <w:p w:rsidR="00B4256E" w:rsidRDefault="00B4256E">
      <w:pPr>
        <w:pStyle w:val="H1GC"/>
        <w:rPr>
          <w:lang w:val="en-GB"/>
        </w:rPr>
      </w:pPr>
      <w:r>
        <w:rPr>
          <w:rFonts w:hint="eastAsia"/>
          <w:lang w:val="en-GB"/>
        </w:rPr>
        <w:tab/>
      </w:r>
      <w:r>
        <w:rPr>
          <w:rFonts w:hint="eastAsia"/>
          <w:lang w:val="en-GB"/>
        </w:rPr>
        <w:tab/>
      </w:r>
      <w:r>
        <w:rPr>
          <w:rFonts w:hint="eastAsia"/>
          <w:lang w:val="en-GB"/>
        </w:rPr>
        <w:t>第十四条</w:t>
      </w:r>
      <w:r>
        <w:rPr>
          <w:rFonts w:hint="eastAsia"/>
          <w:lang w:val="en-GB"/>
        </w:rPr>
        <w:br/>
      </w:r>
      <w:r>
        <w:rPr>
          <w:lang w:val="en-GB"/>
        </w:rPr>
        <w:t>司法互助</w:t>
      </w:r>
    </w:p>
    <w:p w:rsidR="00B4256E" w:rsidRDefault="00B4256E">
      <w:pPr>
        <w:pStyle w:val="SingleTxtGC"/>
        <w:rPr>
          <w:lang w:val="en-GB"/>
        </w:rPr>
      </w:pPr>
      <w:r>
        <w:rPr>
          <w:sz w:val="20"/>
          <w:lang w:val="en-GB"/>
        </w:rPr>
        <w:t xml:space="preserve">91. </w:t>
      </w:r>
      <w:r>
        <w:rPr>
          <w:rFonts w:hint="eastAsia"/>
          <w:lang w:val="en-GB"/>
        </w:rPr>
        <w:t>名义上由双边或多边协议规范的司法互助在没有协议的情况下依据国内法律规定也是有可能的，唯一的条件是外国当局以互惠为条件在类似案件中提供服务。</w:t>
      </w:r>
    </w:p>
    <w:p w:rsidR="00B4256E" w:rsidRDefault="00B4256E">
      <w:pPr>
        <w:pStyle w:val="SingleTxtGC"/>
        <w:rPr>
          <w:lang w:val="en-GB"/>
        </w:rPr>
      </w:pPr>
      <w:r>
        <w:rPr>
          <w:sz w:val="20"/>
          <w:lang w:val="en-GB"/>
        </w:rPr>
        <w:t xml:space="preserve">92.  </w:t>
      </w:r>
      <w:r>
        <w:rPr>
          <w:rFonts w:hint="eastAsia"/>
          <w:lang w:val="en-GB"/>
        </w:rPr>
        <w:t>相反，《刑事诉讼法典》的条款允许法国的法官在没有协议的情况下向外国司法当局提出申请并提出互惠建议。</w:t>
      </w:r>
    </w:p>
    <w:p w:rsidR="00B4256E" w:rsidRDefault="00B4256E">
      <w:pPr>
        <w:pStyle w:val="SingleTxtGC"/>
        <w:rPr>
          <w:lang w:val="en-GB"/>
        </w:rPr>
      </w:pPr>
      <w:r>
        <w:rPr>
          <w:sz w:val="20"/>
          <w:lang w:val="en-GB"/>
        </w:rPr>
        <w:t xml:space="preserve">93.  </w:t>
      </w:r>
      <w:r>
        <w:rPr>
          <w:rFonts w:hint="eastAsia"/>
          <w:lang w:val="en-GB"/>
        </w:rPr>
        <w:t>在强调这方面的完美安排的同时，法国当局也指出迄今为止没有收到过任何与强迫失踪案件有关的互助申请。</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第十五条</w:t>
      </w:r>
      <w:r>
        <w:rPr>
          <w:rFonts w:hint="eastAsia"/>
          <w:lang w:val="en-GB"/>
        </w:rPr>
        <w:br/>
      </w:r>
      <w:r>
        <w:rPr>
          <w:rFonts w:hint="eastAsia"/>
          <w:lang w:val="en-GB"/>
        </w:rPr>
        <w:t>国际合作</w:t>
      </w:r>
    </w:p>
    <w:p w:rsidR="00B4256E" w:rsidRDefault="00B4256E">
      <w:pPr>
        <w:pStyle w:val="SingleTxtGC"/>
        <w:rPr>
          <w:lang w:val="en-GB"/>
        </w:rPr>
      </w:pPr>
      <w:r>
        <w:rPr>
          <w:sz w:val="20"/>
          <w:lang w:val="en-GB"/>
        </w:rPr>
        <w:t xml:space="preserve">94.  </w:t>
      </w:r>
      <w:r>
        <w:rPr>
          <w:rFonts w:hint="eastAsia"/>
          <w:lang w:val="en-GB"/>
        </w:rPr>
        <w:t>目前，法国当局没有收到过任何旨在向强迫失踪受害人提供援助或者帮助确定受害人位置或解救受害人的任何援助申请。它也没有向外国提出过类似请求。</w:t>
      </w:r>
    </w:p>
    <w:p w:rsidR="00B4256E" w:rsidRDefault="00B4256E">
      <w:pPr>
        <w:pStyle w:val="H1GC"/>
        <w:rPr>
          <w:lang w:val="en-GB"/>
        </w:rPr>
      </w:pPr>
      <w:r>
        <w:rPr>
          <w:rFonts w:hint="eastAsia"/>
          <w:lang w:val="en-GB"/>
        </w:rPr>
        <w:tab/>
      </w:r>
      <w:r>
        <w:rPr>
          <w:rFonts w:hint="eastAsia"/>
          <w:lang w:val="en-GB"/>
        </w:rPr>
        <w:tab/>
      </w:r>
      <w:r>
        <w:rPr>
          <w:rFonts w:hint="eastAsia"/>
          <w:lang w:val="en-GB"/>
        </w:rPr>
        <w:t>第十六条</w:t>
      </w:r>
      <w:r>
        <w:rPr>
          <w:rFonts w:hint="eastAsia"/>
          <w:lang w:val="en-GB"/>
        </w:rPr>
        <w:br/>
      </w:r>
      <w:r>
        <w:rPr>
          <w:rFonts w:hint="eastAsia"/>
          <w:lang w:val="en-GB"/>
        </w:rPr>
        <w:t>不驱回</w:t>
      </w:r>
    </w:p>
    <w:p w:rsidR="00B4256E" w:rsidRDefault="00B4256E">
      <w:pPr>
        <w:pStyle w:val="SingleTxtGC"/>
        <w:rPr>
          <w:lang w:val="en-GB"/>
        </w:rPr>
      </w:pPr>
      <w:r>
        <w:rPr>
          <w:sz w:val="20"/>
          <w:lang w:val="en-GB"/>
        </w:rPr>
        <w:t xml:space="preserve">95.  </w:t>
      </w:r>
      <w:r>
        <w:rPr>
          <w:lang w:val="en-GB"/>
        </w:rPr>
        <w:t>《欧洲人权公约》</w:t>
      </w:r>
      <w:r>
        <w:rPr>
          <w:rFonts w:hint="eastAsia"/>
          <w:lang w:val="en-GB"/>
        </w:rPr>
        <w:t>第</w:t>
      </w:r>
      <w:r>
        <w:rPr>
          <w:rFonts w:hint="eastAsia"/>
          <w:lang w:val="en-GB"/>
        </w:rPr>
        <w:t>3</w:t>
      </w:r>
      <w:r>
        <w:rPr>
          <w:rFonts w:hint="eastAsia"/>
          <w:lang w:val="en-GB"/>
        </w:rPr>
        <w:t>条，正如欧洲人权法院自其</w:t>
      </w:r>
      <w:r>
        <w:rPr>
          <w:rFonts w:hint="eastAsia"/>
          <w:lang w:val="en-GB"/>
        </w:rPr>
        <w:t>1989</w:t>
      </w:r>
      <w:r>
        <w:rPr>
          <w:rFonts w:hint="eastAsia"/>
          <w:lang w:val="en-GB"/>
        </w:rPr>
        <w:t>年</w:t>
      </w:r>
      <w:r>
        <w:rPr>
          <w:rFonts w:hint="eastAsia"/>
          <w:lang w:val="en-GB"/>
        </w:rPr>
        <w:t>7</w:t>
      </w:r>
      <w:r>
        <w:rPr>
          <w:rFonts w:hint="eastAsia"/>
          <w:lang w:val="en-GB"/>
        </w:rPr>
        <w:t>月</w:t>
      </w:r>
      <w:r>
        <w:rPr>
          <w:rFonts w:hint="eastAsia"/>
          <w:lang w:val="en-GB"/>
        </w:rPr>
        <w:t>7</w:t>
      </w:r>
      <w:r>
        <w:rPr>
          <w:rFonts w:hint="eastAsia"/>
          <w:lang w:val="en-GB"/>
        </w:rPr>
        <w:t>日对</w:t>
      </w:r>
      <w:r>
        <w:rPr>
          <w:lang w:val="en-GB"/>
        </w:rPr>
        <w:t>Soering</w:t>
      </w:r>
      <w:r>
        <w:rPr>
          <w:rFonts w:hint="eastAsia"/>
          <w:lang w:val="en-GB"/>
        </w:rPr>
        <w:t>诉联合王国案的判决后以及随后法国司法机关所阐释的，绝对禁止将在来源国面临酷刑或不人道或有辱人格的待遇风险的外国人驱逐回国，不论驱回的法律依据或方式是什么</w:t>
      </w:r>
      <w:r>
        <w:rPr>
          <w:lang w:val="en-GB"/>
        </w:rPr>
        <w:t>(</w:t>
      </w:r>
      <w:r>
        <w:rPr>
          <w:rFonts w:hint="eastAsia"/>
          <w:lang w:val="en-GB"/>
        </w:rPr>
        <w:t>押到边界、驱逐、引渡、交付</w:t>
      </w:r>
      <w:r>
        <w:rPr>
          <w:lang w:val="en-GB"/>
        </w:rPr>
        <w:t>)</w:t>
      </w:r>
      <w:r>
        <w:rPr>
          <w:rFonts w:hint="eastAsia"/>
          <w:lang w:val="en-GB"/>
        </w:rPr>
        <w:t>。</w:t>
      </w:r>
    </w:p>
    <w:p w:rsidR="00B4256E" w:rsidRDefault="00B4256E">
      <w:pPr>
        <w:pStyle w:val="SingleTxtGC"/>
        <w:rPr>
          <w:lang w:val="en-GB"/>
        </w:rPr>
      </w:pPr>
      <w:r>
        <w:rPr>
          <w:sz w:val="20"/>
          <w:lang w:val="en-GB"/>
        </w:rPr>
        <w:t xml:space="preserve">96.  </w:t>
      </w:r>
      <w:r>
        <w:rPr>
          <w:rFonts w:hint="eastAsia"/>
          <w:lang w:val="en-GB"/>
        </w:rPr>
        <w:t>按照法院的解释，只要有“充分和确实的理由相信当事人将面临被虐待的现实风险”，并且经证实当事人本人遭受这种风险的可能性特别大”，第</w:t>
      </w:r>
      <w:r>
        <w:rPr>
          <w:rFonts w:hint="eastAsia"/>
          <w:lang w:val="en-GB"/>
        </w:rPr>
        <w:t>3</w:t>
      </w:r>
      <w:r>
        <w:rPr>
          <w:rFonts w:hint="eastAsia"/>
          <w:lang w:val="en-GB"/>
        </w:rPr>
        <w:t>条所提供的保护就适用。</w:t>
      </w:r>
    </w:p>
    <w:p w:rsidR="00B4256E" w:rsidRDefault="00B4256E">
      <w:pPr>
        <w:pStyle w:val="SingleTxtGC"/>
        <w:rPr>
          <w:lang w:val="en-GB"/>
        </w:rPr>
      </w:pPr>
      <w:r>
        <w:rPr>
          <w:sz w:val="20"/>
          <w:lang w:val="en-GB"/>
        </w:rPr>
        <w:t xml:space="preserve">97.  </w:t>
      </w:r>
      <w:r>
        <w:rPr>
          <w:rFonts w:hint="eastAsia"/>
          <w:lang w:val="en-GB"/>
        </w:rPr>
        <w:t>无论当事人被指控的行为有多严重，都应提供该保护。在这个意义上，法院在其</w:t>
      </w:r>
      <w:r>
        <w:rPr>
          <w:rFonts w:hint="eastAsia"/>
          <w:lang w:val="en-GB"/>
        </w:rPr>
        <w:t>2008</w:t>
      </w:r>
      <w:r>
        <w:rPr>
          <w:rFonts w:hint="eastAsia"/>
          <w:lang w:val="en-GB"/>
        </w:rPr>
        <w:t>年</w:t>
      </w:r>
      <w:r>
        <w:rPr>
          <w:rFonts w:hint="eastAsia"/>
          <w:lang w:val="en-GB"/>
        </w:rPr>
        <w:t>2</w:t>
      </w:r>
      <w:r>
        <w:rPr>
          <w:rFonts w:hint="eastAsia"/>
          <w:lang w:val="en-GB"/>
        </w:rPr>
        <w:t>月</w:t>
      </w:r>
      <w:r>
        <w:rPr>
          <w:rFonts w:hint="eastAsia"/>
          <w:lang w:val="en-GB"/>
        </w:rPr>
        <w:t>28</w:t>
      </w:r>
      <w:r>
        <w:rPr>
          <w:rFonts w:hint="eastAsia"/>
          <w:lang w:val="en-GB"/>
        </w:rPr>
        <w:t>日对</w:t>
      </w:r>
      <w:r>
        <w:rPr>
          <w:lang w:val="en-GB"/>
        </w:rPr>
        <w:t>Saadi</w:t>
      </w:r>
      <w:r>
        <w:rPr>
          <w:rFonts w:hint="eastAsia"/>
          <w:lang w:val="en-GB"/>
        </w:rPr>
        <w:t>诉意大利案的判决中断然否定了权衡当事外国人所具有威胁的大小与其返回后遭受虐待的风险的大小的可能性。事实上，法院指出，第</w:t>
      </w:r>
      <w:r>
        <w:rPr>
          <w:rFonts w:hint="eastAsia"/>
          <w:lang w:val="en-GB"/>
        </w:rPr>
        <w:t>3</w:t>
      </w:r>
      <w:r>
        <w:rPr>
          <w:rFonts w:hint="eastAsia"/>
          <w:lang w:val="en-GB"/>
        </w:rPr>
        <w:t>条认可的是民主社会的基本价值观之一，它不允许做出与《欧洲人权公约》的大多数准则性条款相违背的限制，最后，它不容忍以该公约第</w:t>
      </w:r>
      <w:r>
        <w:rPr>
          <w:rFonts w:hint="eastAsia"/>
          <w:lang w:val="en-GB"/>
        </w:rPr>
        <w:t>15</w:t>
      </w:r>
      <w:r>
        <w:rPr>
          <w:rFonts w:hint="eastAsia"/>
          <w:lang w:val="en-GB"/>
        </w:rPr>
        <w:t>条为依据的任何例外，即使是在公共威胁危及国家生活的情况下。</w:t>
      </w:r>
    </w:p>
    <w:p w:rsidR="00B4256E" w:rsidRDefault="00B4256E">
      <w:pPr>
        <w:pStyle w:val="SingleTxtGC"/>
        <w:rPr>
          <w:lang w:val="en-GB"/>
        </w:rPr>
      </w:pPr>
      <w:r>
        <w:rPr>
          <w:sz w:val="20"/>
          <w:lang w:val="en-GB"/>
        </w:rPr>
        <w:t xml:space="preserve">98.  </w:t>
      </w:r>
      <w:r>
        <w:rPr>
          <w:rFonts w:hint="eastAsia"/>
          <w:lang w:val="en-GB"/>
        </w:rPr>
        <w:t>在法国法律中也有与该法律原则相同的规定《，外国人入境和居留以及避难权法典》</w:t>
      </w:r>
      <w:r>
        <w:rPr>
          <w:lang w:val="en-GB"/>
        </w:rPr>
        <w:t>(CESEDA)L.513-2</w:t>
      </w:r>
      <w:r>
        <w:rPr>
          <w:rFonts w:hint="eastAsia"/>
          <w:lang w:val="en-GB"/>
        </w:rPr>
        <w:t>条规定：“如果证实一名外国人在某国将受到对其生命或自由的威胁，或者受到与</w:t>
      </w:r>
      <w:r>
        <w:rPr>
          <w:rFonts w:hint="eastAsia"/>
          <w:lang w:val="en-GB"/>
        </w:rPr>
        <w:t>1950</w:t>
      </w:r>
      <w:r>
        <w:rPr>
          <w:rFonts w:hint="eastAsia"/>
          <w:lang w:val="en-GB"/>
        </w:rPr>
        <w:t>年</w:t>
      </w:r>
      <w:r>
        <w:rPr>
          <w:rFonts w:hint="eastAsia"/>
          <w:lang w:val="en-GB"/>
        </w:rPr>
        <w:t>11</w:t>
      </w:r>
      <w:r>
        <w:rPr>
          <w:rFonts w:hint="eastAsia"/>
          <w:lang w:val="en-GB"/>
        </w:rPr>
        <w:t>月</w:t>
      </w:r>
      <w:r>
        <w:rPr>
          <w:rFonts w:hint="eastAsia"/>
          <w:lang w:val="en-GB"/>
        </w:rPr>
        <w:t>4</w:t>
      </w:r>
      <w:r>
        <w:rPr>
          <w:rFonts w:hint="eastAsia"/>
          <w:lang w:val="en-GB"/>
        </w:rPr>
        <w:t>日《欧洲人权和基本自由公约》第</w:t>
      </w:r>
      <w:r>
        <w:rPr>
          <w:rFonts w:hint="eastAsia"/>
          <w:lang w:val="en-GB"/>
        </w:rPr>
        <w:t>3</w:t>
      </w:r>
      <w:r>
        <w:rPr>
          <w:rFonts w:hint="eastAsia"/>
          <w:lang w:val="en-GB"/>
        </w:rPr>
        <w:t>条之规定不相符的待遇，则不能将其驱逐到该国”。</w:t>
      </w:r>
    </w:p>
    <w:p w:rsidR="00B4256E" w:rsidRDefault="00B4256E">
      <w:pPr>
        <w:pStyle w:val="SingleTxtGC"/>
        <w:rPr>
          <w:lang w:val="en-GB"/>
        </w:rPr>
      </w:pPr>
      <w:r>
        <w:rPr>
          <w:sz w:val="20"/>
          <w:lang w:val="en-GB"/>
        </w:rPr>
        <w:t xml:space="preserve">99.  </w:t>
      </w:r>
      <w:r>
        <w:rPr>
          <w:rFonts w:hint="eastAsia"/>
          <w:lang w:val="en-GB"/>
        </w:rPr>
        <w:t>因此，法国当局从未在不事先对当事人的情况进行个别审查的情况下，对声称在返回后面临风险的外国人实施过任何驱逐措施。在审查中要根据所有可用的相关资料考虑有关国家的普遍情况，并且根据当事人在申请避难的框架下或在驱逐措施前的对审程序框架下提交的材料深入研究当事外国人的个人情况</w:t>
      </w:r>
      <w:r>
        <w:rPr>
          <w:rFonts w:hint="eastAsia"/>
          <w:lang w:val="en-GB"/>
        </w:rPr>
        <w:t>(</w:t>
      </w:r>
      <w:r>
        <w:rPr>
          <w:rFonts w:hint="eastAsia"/>
          <w:lang w:val="en-GB"/>
        </w:rPr>
        <w:t>其过去的活动、与其来源国当局的关系……</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100.  </w:t>
      </w:r>
      <w:r>
        <w:rPr>
          <w:rFonts w:hint="eastAsia"/>
          <w:lang w:val="en-GB"/>
        </w:rPr>
        <w:t>除了这些实质性保障措施，还有源于司法程序的保障。因此，可以就确定目的地国的行政决定向行政法院提出上诉，行政法院核查该决定是否与保护人权的文书相符，并且可以在紧急审理的框架内宣布暂停执行该行政措施。</w:t>
      </w:r>
    </w:p>
    <w:p w:rsidR="00B4256E" w:rsidRDefault="00B4256E">
      <w:pPr>
        <w:pStyle w:val="SingleTxtGC"/>
        <w:rPr>
          <w:lang w:val="en-GB"/>
        </w:rPr>
      </w:pPr>
      <w:r>
        <w:rPr>
          <w:sz w:val="20"/>
          <w:lang w:val="en-GB"/>
        </w:rPr>
        <w:t xml:space="preserve">101.  </w:t>
      </w:r>
      <w:r>
        <w:rPr>
          <w:rFonts w:hint="eastAsia"/>
          <w:lang w:val="en-GB"/>
        </w:rPr>
        <w:t>虽然还没有任何司法机关被要求就此问题发表意见，但对政府来说，一个人在被驱逐到一个特定国家的情况下遭遇强迫失踪的风险要作为第三条意义上的不人道或有辱人格的待遇来分析，这一点是毋庸置疑的。</w:t>
      </w:r>
    </w:p>
    <w:p w:rsidR="00B4256E" w:rsidRDefault="00B4256E">
      <w:pPr>
        <w:pStyle w:val="H1GC"/>
        <w:rPr>
          <w:lang w:val="en-GB"/>
        </w:rPr>
      </w:pPr>
      <w:r>
        <w:rPr>
          <w:rFonts w:hint="eastAsia"/>
          <w:lang w:val="en-GB"/>
        </w:rPr>
        <w:tab/>
      </w:r>
      <w:r>
        <w:rPr>
          <w:rFonts w:hint="eastAsia"/>
          <w:lang w:val="en-GB"/>
        </w:rPr>
        <w:tab/>
      </w:r>
      <w:r>
        <w:rPr>
          <w:rFonts w:hint="eastAsia"/>
          <w:lang w:val="en-GB"/>
        </w:rPr>
        <w:t>第十七条</w:t>
      </w:r>
      <w:r>
        <w:rPr>
          <w:rFonts w:hint="eastAsia"/>
          <w:lang w:val="en-GB"/>
        </w:rPr>
        <w:br/>
      </w:r>
      <w:r>
        <w:rPr>
          <w:rFonts w:hint="eastAsia"/>
          <w:lang w:val="en-GB"/>
        </w:rPr>
        <w:t>禁止秘密监禁</w:t>
      </w:r>
    </w:p>
    <w:p w:rsidR="00B4256E" w:rsidRDefault="00B4256E">
      <w:pPr>
        <w:pStyle w:val="SingleTxtGC"/>
        <w:rPr>
          <w:lang w:val="en-GB"/>
        </w:rPr>
      </w:pPr>
      <w:r>
        <w:rPr>
          <w:sz w:val="20"/>
          <w:lang w:val="en-GB"/>
        </w:rPr>
        <w:t xml:space="preserve">102.  </w:t>
      </w:r>
      <w:r>
        <w:rPr>
          <w:rFonts w:hint="eastAsia"/>
          <w:lang w:val="en-GB"/>
        </w:rPr>
        <w:t>在法国，没有人能被剥夺自由，除非是根据法律决定，并由法律所授权的当局按照</w:t>
      </w:r>
      <w:r>
        <w:rPr>
          <w:lang w:val="en-GB"/>
        </w:rPr>
        <w:t>《欧洲人权公约》</w:t>
      </w:r>
      <w:r>
        <w:rPr>
          <w:rFonts w:hint="eastAsia"/>
          <w:lang w:val="en-GB"/>
        </w:rPr>
        <w:t>第</w:t>
      </w:r>
      <w:r>
        <w:rPr>
          <w:rFonts w:hint="eastAsia"/>
          <w:lang w:val="en-GB"/>
        </w:rPr>
        <w:t>5</w:t>
      </w:r>
      <w:r>
        <w:rPr>
          <w:rFonts w:hint="eastAsia"/>
          <w:lang w:val="en-GB"/>
        </w:rPr>
        <w:t>条实施。</w:t>
      </w:r>
    </w:p>
    <w:p w:rsidR="00B4256E" w:rsidRDefault="00B4256E">
      <w:pPr>
        <w:pStyle w:val="SingleTxtGC"/>
        <w:rPr>
          <w:lang w:val="en-GB"/>
        </w:rPr>
      </w:pPr>
      <w:r>
        <w:rPr>
          <w:sz w:val="20"/>
          <w:lang w:val="en-GB"/>
        </w:rPr>
        <w:t xml:space="preserve">103.  </w:t>
      </w:r>
      <w:r>
        <w:rPr>
          <w:rFonts w:hint="eastAsia"/>
          <w:lang w:val="en-GB"/>
        </w:rPr>
        <w:t>法国法律没有任何条款允许秘密监禁。</w:t>
      </w:r>
    </w:p>
    <w:p w:rsidR="00B4256E" w:rsidRDefault="00B4256E">
      <w:pPr>
        <w:pStyle w:val="SingleTxtGC"/>
        <w:rPr>
          <w:lang w:val="en-GB"/>
        </w:rPr>
      </w:pPr>
      <w:r>
        <w:rPr>
          <w:sz w:val="20"/>
          <w:lang w:val="en-GB"/>
        </w:rPr>
        <w:t xml:space="preserve">104.  </w:t>
      </w:r>
      <w:r>
        <w:rPr>
          <w:rFonts w:hint="eastAsia"/>
          <w:lang w:val="en-GB"/>
        </w:rPr>
        <w:t>根据其动机，以及是由司法当局还是行政当局决定的，剥夺自由属于不同的制度，应阐述与《公约》第十七条之规定有关的这些制度的主要内容，然后再介绍不论涉及什么制度一律保障剥夺自由的合法性的共同机制。</w:t>
      </w:r>
    </w:p>
    <w:p w:rsidR="00B4256E" w:rsidRDefault="00B4256E">
      <w:pPr>
        <w:pStyle w:val="H23GC"/>
        <w:rPr>
          <w:rFonts w:hint="eastAsia"/>
          <w:lang w:val="en-GB"/>
        </w:rPr>
      </w:pPr>
      <w:r>
        <w:rPr>
          <w:lang w:val="en-GB"/>
        </w:rPr>
        <w:tab/>
      </w:r>
      <w:r>
        <w:rPr>
          <w:lang w:val="en-GB"/>
        </w:rPr>
        <w:tab/>
      </w:r>
      <w:r>
        <w:rPr>
          <w:rFonts w:hint="eastAsia"/>
          <w:lang w:val="en-GB"/>
        </w:rPr>
        <w:t>关于源于司法决定的剥夺自由：</w:t>
      </w:r>
    </w:p>
    <w:p w:rsidR="00B4256E" w:rsidRDefault="00B4256E">
      <w:pPr>
        <w:pStyle w:val="SingleTxtGC"/>
        <w:rPr>
          <w:lang w:val="en-GB"/>
        </w:rPr>
      </w:pPr>
      <w:r>
        <w:rPr>
          <w:sz w:val="20"/>
          <w:lang w:val="en-GB"/>
        </w:rPr>
        <w:t xml:space="preserve">105.  </w:t>
      </w:r>
      <w:r>
        <w:rPr>
          <w:rFonts w:hint="eastAsia"/>
          <w:lang w:val="en-GB"/>
        </w:rPr>
        <w:t>法国《宪法》第</w:t>
      </w:r>
      <w:r>
        <w:rPr>
          <w:rFonts w:hint="eastAsia"/>
          <w:lang w:val="en-GB"/>
        </w:rPr>
        <w:t>34</w:t>
      </w:r>
      <w:r>
        <w:rPr>
          <w:rFonts w:hint="eastAsia"/>
          <w:lang w:val="en-GB"/>
        </w:rPr>
        <w:t>条规定“法律确定关于……犯罪和不法行为的确定及适用刑罚</w:t>
      </w:r>
      <w:r>
        <w:rPr>
          <w:lang w:val="en-GB"/>
        </w:rPr>
        <w:t>[</w:t>
      </w:r>
      <w:r>
        <w:rPr>
          <w:rFonts w:hint="eastAsia"/>
          <w:lang w:val="en-GB"/>
        </w:rPr>
        <w:t>以及</w:t>
      </w:r>
      <w:r>
        <w:rPr>
          <w:lang w:val="en-GB"/>
        </w:rPr>
        <w:t>]</w:t>
      </w:r>
      <w:r>
        <w:rPr>
          <w:rFonts w:hint="eastAsia"/>
          <w:lang w:val="en-GB"/>
        </w:rPr>
        <w:t>刑事程序……的规则”。《宪法》第</w:t>
      </w:r>
      <w:r>
        <w:rPr>
          <w:rFonts w:hint="eastAsia"/>
          <w:lang w:val="en-GB"/>
        </w:rPr>
        <w:t>66</w:t>
      </w:r>
      <w:r>
        <w:rPr>
          <w:rFonts w:hint="eastAsia"/>
          <w:lang w:val="en-GB"/>
        </w:rPr>
        <w:t>条还宣布“任何人不得遭受任意监禁”以及“维护个人自由的司法当局确保该原则在法律规定的条件下得到遵守。”</w:t>
      </w:r>
    </w:p>
    <w:p w:rsidR="00B4256E" w:rsidRDefault="00B4256E">
      <w:pPr>
        <w:pStyle w:val="SingleTxtGC"/>
        <w:rPr>
          <w:lang w:val="en-GB"/>
        </w:rPr>
      </w:pPr>
      <w:r>
        <w:rPr>
          <w:sz w:val="20"/>
          <w:lang w:val="en-GB"/>
        </w:rPr>
        <w:t xml:space="preserve">106.  </w:t>
      </w:r>
      <w:r>
        <w:rPr>
          <w:rFonts w:hint="eastAsia"/>
          <w:lang w:val="en-GB"/>
        </w:rPr>
        <w:t>按照这些宪法规定，法律指定主管当局来下达剥夺自由的命令，并且特别规定：</w:t>
      </w:r>
    </w:p>
    <w:p w:rsidR="00B4256E" w:rsidRDefault="00B4256E">
      <w:pPr>
        <w:pStyle w:val="Bullet1GC"/>
        <w:rPr>
          <w:lang w:val="en-GB"/>
        </w:rPr>
      </w:pPr>
      <w:r>
        <w:rPr>
          <w:rFonts w:hint="eastAsia"/>
          <w:lang w:val="en-GB"/>
        </w:rPr>
        <w:t>拘留命令由司法警官在一名法官</w:t>
      </w:r>
      <w:r>
        <w:rPr>
          <w:rFonts w:hint="eastAsia"/>
          <w:lang w:val="en-GB"/>
        </w:rPr>
        <w:t>(</w:t>
      </w:r>
      <w:r>
        <w:rPr>
          <w:rFonts w:hint="eastAsia"/>
          <w:lang w:val="en-GB"/>
        </w:rPr>
        <w:t>检察官或预审法官</w:t>
      </w:r>
      <w:r>
        <w:rPr>
          <w:rFonts w:hint="eastAsia"/>
          <w:lang w:val="en-GB"/>
        </w:rPr>
        <w:t>)</w:t>
      </w:r>
      <w:r>
        <w:rPr>
          <w:rFonts w:hint="eastAsia"/>
          <w:lang w:val="en-GB"/>
        </w:rPr>
        <w:t>的监督下做出；</w:t>
      </w:r>
    </w:p>
    <w:p w:rsidR="00B4256E" w:rsidRDefault="00B4256E">
      <w:pPr>
        <w:pStyle w:val="Bullet1GC"/>
        <w:rPr>
          <w:lang w:val="en-GB"/>
        </w:rPr>
      </w:pPr>
      <w:r>
        <w:rPr>
          <w:rFonts w:hint="eastAsia"/>
          <w:lang w:val="en-GB"/>
        </w:rPr>
        <w:t>临时拘留的命令由自由和拘留法官或预审庭做出；</w:t>
      </w:r>
    </w:p>
    <w:p w:rsidR="00B4256E" w:rsidRDefault="00B4256E">
      <w:pPr>
        <w:pStyle w:val="Bullet1GC"/>
        <w:rPr>
          <w:lang w:val="en-GB"/>
        </w:rPr>
      </w:pPr>
      <w:r>
        <w:rPr>
          <w:rFonts w:hint="eastAsia"/>
          <w:lang w:val="en-GB"/>
        </w:rPr>
        <w:t>刑罚和轻罪刑决定由法院和法庭做出，由检察官执行；</w:t>
      </w:r>
    </w:p>
    <w:p w:rsidR="00B4256E" w:rsidRDefault="00B4256E">
      <w:pPr>
        <w:pStyle w:val="Bullet1GC"/>
        <w:rPr>
          <w:lang w:val="en-GB"/>
        </w:rPr>
      </w:pPr>
      <w:r>
        <w:rPr>
          <w:rFonts w:hint="eastAsia"/>
          <w:lang w:val="en-GB"/>
        </w:rPr>
        <w:t>司法限制命令由执行刑罚的法官做出。</w:t>
      </w:r>
    </w:p>
    <w:p w:rsidR="00B4256E" w:rsidRDefault="00B4256E">
      <w:pPr>
        <w:pStyle w:val="SingleTxtGC"/>
        <w:rPr>
          <w:lang w:val="en-GB"/>
        </w:rPr>
      </w:pPr>
      <w:r>
        <w:rPr>
          <w:sz w:val="20"/>
          <w:lang w:val="en-GB"/>
        </w:rPr>
        <w:t xml:space="preserve">107.  </w:t>
      </w:r>
      <w:r>
        <w:rPr>
          <w:rFonts w:hint="eastAsia"/>
          <w:lang w:val="en-GB"/>
        </w:rPr>
        <w:t>《刑事诉讼法典》第</w:t>
      </w:r>
      <w:r>
        <w:rPr>
          <w:lang w:val="en-GB"/>
        </w:rPr>
        <w:t>62-2</w:t>
      </w:r>
      <w:r>
        <w:rPr>
          <w:rFonts w:hint="eastAsia"/>
          <w:lang w:val="en-GB"/>
        </w:rPr>
        <w:t>条对拘留的定义是：“由司法警官在司法当局监督下决定的一项限制措施，通过该措施，有一项或多项令人信服的理由被怀疑实施了或企图实施一项应处监禁之刑的犯罪行为或不法行为的人被交由调查人员处</w:t>
      </w:r>
      <w:r>
        <w:rPr>
          <w:rFonts w:hint="eastAsia"/>
          <w:spacing w:val="2"/>
          <w:lang w:val="en-GB"/>
        </w:rPr>
        <w:t>置”。虽然详尽叙述其所适用的制度以及相关保障措施似乎偏离了本报告的主题</w:t>
      </w:r>
      <w:r>
        <w:rPr>
          <w:rStyle w:val="FootnoteReference"/>
        </w:rPr>
        <w:footnoteReference w:id="9"/>
      </w:r>
      <w:r>
        <w:rPr>
          <w:rFonts w:hint="eastAsia"/>
          <w:lang w:val="en-GB"/>
        </w:rPr>
        <w:t>，但应该强调的是，第</w:t>
      </w:r>
      <w:r>
        <w:rPr>
          <w:lang w:val="en-GB"/>
        </w:rPr>
        <w:t>63-1</w:t>
      </w:r>
      <w:r>
        <w:rPr>
          <w:rFonts w:hint="eastAsia"/>
          <w:lang w:val="en-GB"/>
        </w:rPr>
        <w:t>条第</w:t>
      </w:r>
      <w:r>
        <w:rPr>
          <w:rFonts w:hint="eastAsia"/>
          <w:lang w:val="en-GB"/>
        </w:rPr>
        <w:t>4</w:t>
      </w:r>
      <w:r>
        <w:rPr>
          <w:rFonts w:hint="eastAsia"/>
          <w:lang w:val="en-GB"/>
        </w:rPr>
        <w:t>和第</w:t>
      </w:r>
      <w:r>
        <w:rPr>
          <w:rFonts w:hint="eastAsia"/>
          <w:lang w:val="en-GB"/>
        </w:rPr>
        <w:t>5</w:t>
      </w:r>
      <w:r>
        <w:rPr>
          <w:rFonts w:hint="eastAsia"/>
          <w:lang w:val="en-GB"/>
        </w:rPr>
        <w:t>款明确规定被拘留的人应立即被司法警官或在司法警官的监督下被司法警员告知“其享有让人按照第</w:t>
      </w:r>
      <w:r>
        <w:rPr>
          <w:lang w:val="en-GB"/>
        </w:rPr>
        <w:t>63-2</w:t>
      </w:r>
      <w:r>
        <w:rPr>
          <w:rFonts w:hint="eastAsia"/>
          <w:lang w:val="en-GB"/>
        </w:rPr>
        <w:t>条之规定通知一名近亲属或其雇主的权利”，通知的目的只是告知第三人采取了拘留措施，除被拘留者所在的司法警察部门或单位的名称外无其他说明。还应允许被通知的人指定一名律师，允许家人申请医疗检查，如果通知是给其家庭成员的话。不过，知情权不应与被拘留者还拥有的按照《刑事诉讼法典》第</w:t>
      </w:r>
      <w:r>
        <w:rPr>
          <w:lang w:val="en-GB"/>
        </w:rPr>
        <w:t>63-4</w:t>
      </w:r>
      <w:r>
        <w:rPr>
          <w:rFonts w:hint="eastAsia"/>
          <w:lang w:val="en-GB"/>
        </w:rPr>
        <w:t>条之规定，在每隔</w:t>
      </w:r>
      <w:r>
        <w:rPr>
          <w:rFonts w:hint="eastAsia"/>
          <w:lang w:val="en-GB"/>
        </w:rPr>
        <w:t>24</w:t>
      </w:r>
      <w:r>
        <w:rPr>
          <w:rFonts w:hint="eastAsia"/>
          <w:lang w:val="en-GB"/>
        </w:rPr>
        <w:t>小时有一次每次持续时间为</w:t>
      </w:r>
      <w:r>
        <w:rPr>
          <w:rFonts w:hint="eastAsia"/>
          <w:lang w:val="en-GB"/>
        </w:rPr>
        <w:t>30</w:t>
      </w:r>
      <w:r>
        <w:rPr>
          <w:rFonts w:hint="eastAsia"/>
          <w:lang w:val="en-GB"/>
        </w:rPr>
        <w:t>分钟的谈话期间与其律师沟通以及在审讯和对质期间得到律师帮助的权利相混淆。此外，该法典第</w:t>
      </w:r>
      <w:r>
        <w:rPr>
          <w:rFonts w:hint="eastAsia"/>
          <w:lang w:val="en-GB"/>
        </w:rPr>
        <w:t>64</w:t>
      </w:r>
      <w:r>
        <w:rPr>
          <w:rFonts w:hint="eastAsia"/>
          <w:lang w:val="en-GB"/>
        </w:rPr>
        <w:t>条和</w:t>
      </w:r>
      <w:r>
        <w:rPr>
          <w:rFonts w:hint="eastAsia"/>
          <w:lang w:val="en-GB"/>
        </w:rPr>
        <w:t>65</w:t>
      </w:r>
      <w:r>
        <w:rPr>
          <w:rFonts w:hint="eastAsia"/>
          <w:lang w:val="en-GB"/>
        </w:rPr>
        <w:t>条规定与拘留有关的信息，包括释放当事人的信息都要在审讯记录以及可接收被拘留者的警察局或宪兵队为此专门设置的登记簿中记载。</w:t>
      </w:r>
    </w:p>
    <w:p w:rsidR="00B4256E" w:rsidRDefault="00B4256E">
      <w:pPr>
        <w:pStyle w:val="SingleTxtGC"/>
        <w:rPr>
          <w:lang w:val="en-GB"/>
        </w:rPr>
      </w:pPr>
      <w:r>
        <w:rPr>
          <w:sz w:val="20"/>
          <w:lang w:val="en-GB"/>
        </w:rPr>
        <w:t xml:space="preserve">108.  </w:t>
      </w:r>
      <w:r>
        <w:rPr>
          <w:rFonts w:hint="eastAsia"/>
          <w:lang w:val="en-GB"/>
        </w:rPr>
        <w:t>关于临时拘留，通信自由是规定，限制通信自由是例外。事实上，《刑事诉讼法典》第</w:t>
      </w:r>
      <w:r>
        <w:rPr>
          <w:lang w:val="en-GB"/>
        </w:rPr>
        <w:t>145-4</w:t>
      </w:r>
      <w:r>
        <w:rPr>
          <w:rFonts w:hint="eastAsia"/>
          <w:lang w:val="en-GB"/>
        </w:rPr>
        <w:t>条规定只有预审法官能规定禁止通信，最长期间为</w:t>
      </w:r>
      <w:r>
        <w:rPr>
          <w:rFonts w:hint="eastAsia"/>
          <w:lang w:val="en-GB"/>
        </w:rPr>
        <w:t>10</w:t>
      </w:r>
      <w:r>
        <w:rPr>
          <w:rFonts w:hint="eastAsia"/>
          <w:lang w:val="en-GB"/>
        </w:rPr>
        <w:t>天，可延期一次，并且无论如何都不能禁止与被审查者的律师通信。该条款原则上规定所有遭到临时拘留的人都可以经预审法官授权，在其被拘留的地方接受探视，并且自遭到临时拘留之日起一个月的期限到期后，预审法官不得拒绝向被拘留者的家庭成员发放探视许可证，除非有书面决定，并且其理由仅是出于预审的需要，而且要受预审庭庭长的监督，在上诉的情况下，庭长在</w:t>
      </w:r>
      <w:r>
        <w:rPr>
          <w:rFonts w:hint="eastAsia"/>
          <w:lang w:val="en-GB"/>
        </w:rPr>
        <w:t>5</w:t>
      </w:r>
      <w:r>
        <w:rPr>
          <w:rFonts w:hint="eastAsia"/>
          <w:lang w:val="en-GB"/>
        </w:rPr>
        <w:t>天的期限内通过理由充分的书面决定做出裁决。</w:t>
      </w:r>
    </w:p>
    <w:p w:rsidR="00B4256E" w:rsidRDefault="00B4256E">
      <w:pPr>
        <w:pStyle w:val="SingleTxtGC"/>
        <w:rPr>
          <w:lang w:val="en-GB"/>
        </w:rPr>
      </w:pPr>
      <w:r>
        <w:rPr>
          <w:sz w:val="20"/>
          <w:lang w:val="en-GB"/>
        </w:rPr>
        <w:t xml:space="preserve">109.  </w:t>
      </w:r>
      <w:r>
        <w:rPr>
          <w:rFonts w:hint="eastAsia"/>
          <w:lang w:val="en-GB"/>
        </w:rPr>
        <w:t>这种通信和探视自由也在还要更为宽松的条件下适用于根据最终的司法判决被执行剥夺自由刑罚的囚犯。</w:t>
      </w:r>
    </w:p>
    <w:p w:rsidR="00B4256E" w:rsidRDefault="00B4256E">
      <w:pPr>
        <w:pStyle w:val="SingleTxtGC"/>
        <w:rPr>
          <w:lang w:val="en-GB"/>
        </w:rPr>
      </w:pPr>
      <w:r>
        <w:rPr>
          <w:sz w:val="20"/>
          <w:lang w:val="en-GB"/>
        </w:rPr>
        <w:t xml:space="preserve">110.  </w:t>
      </w:r>
      <w:r>
        <w:rPr>
          <w:rFonts w:hint="eastAsia"/>
          <w:lang w:val="en-GB"/>
        </w:rPr>
        <w:t>在所有特定场合下适用行文如下的《刑事诉讼法典》</w:t>
      </w:r>
      <w:r>
        <w:rPr>
          <w:lang w:val="en-GB"/>
        </w:rPr>
        <w:t>D.148</w:t>
      </w:r>
      <w:r>
        <w:rPr>
          <w:rFonts w:hint="eastAsia"/>
          <w:lang w:val="en-GB"/>
        </w:rPr>
        <w:t>条和</w:t>
      </w:r>
      <w:r>
        <w:rPr>
          <w:lang w:val="en-GB"/>
        </w:rPr>
        <w:t>D.149</w:t>
      </w:r>
      <w:r>
        <w:rPr>
          <w:rFonts w:hint="eastAsia"/>
          <w:lang w:val="en-GB"/>
        </w:rPr>
        <w:t>条之规定：</w:t>
      </w:r>
    </w:p>
    <w:p w:rsidR="00B4256E" w:rsidRDefault="00B4256E">
      <w:pPr>
        <w:pStyle w:val="Bullet1GC"/>
        <w:rPr>
          <w:lang w:val="en-GB"/>
        </w:rPr>
      </w:pPr>
      <w:r>
        <w:rPr>
          <w:rFonts w:hint="eastAsia"/>
          <w:lang w:val="en-GB"/>
        </w:rPr>
        <w:t>《刑事诉讼法典》</w:t>
      </w:r>
      <w:r>
        <w:rPr>
          <w:lang w:val="en-GB"/>
        </w:rPr>
        <w:t>D.148</w:t>
      </w:r>
      <w:r>
        <w:rPr>
          <w:rFonts w:hint="eastAsia"/>
          <w:lang w:val="en-GB"/>
        </w:rPr>
        <w:t>条</w:t>
      </w:r>
      <w:r>
        <w:rPr>
          <w:lang w:val="en-GB"/>
        </w:rPr>
        <w:t>：</w:t>
      </w:r>
      <w:r>
        <w:rPr>
          <w:rFonts w:hint="eastAsia"/>
          <w:lang w:val="en-GB"/>
        </w:rPr>
        <w:t>“所有监狱机构都要设置一个犯人入狱登记簿。机构负责人，或其授权的负责文书的官员，保存该登记簿，并留意被关进监狱的人所受的监禁合法性以及释放可释放的囚犯。</w:t>
      </w:r>
      <w:r>
        <w:rPr>
          <w:lang w:val="en-GB"/>
        </w:rPr>
        <w:t>/</w:t>
      </w:r>
      <w:r>
        <w:rPr>
          <w:rFonts w:hint="eastAsia"/>
          <w:lang w:val="en-GB"/>
        </w:rPr>
        <w:t>犯人入狱登记簿由活页组成，活页上面有最初的入狱登记号和现在的入狱登记号，并放入资料柜中。</w:t>
      </w:r>
      <w:r>
        <w:rPr>
          <w:rFonts w:hint="eastAsia"/>
          <w:lang w:val="en-GB"/>
        </w:rPr>
        <w:t>/</w:t>
      </w:r>
      <w:r>
        <w:rPr>
          <w:rFonts w:hint="eastAsia"/>
          <w:lang w:val="en-GB"/>
        </w:rPr>
        <w:t>应为检查和批准之目的，向视察监狱的各司法当局以及负责监狱总监察的行政当局出示该登记簿”。</w:t>
      </w:r>
    </w:p>
    <w:p w:rsidR="00B4256E" w:rsidRDefault="00B4256E">
      <w:pPr>
        <w:pStyle w:val="Bullet1GC"/>
        <w:rPr>
          <w:lang w:val="en-GB"/>
        </w:rPr>
      </w:pPr>
      <w:r>
        <w:rPr>
          <w:rFonts w:hint="eastAsia"/>
          <w:lang w:val="en-GB"/>
        </w:rPr>
        <w:t>《刑事诉讼法典》</w:t>
      </w:r>
      <w:r>
        <w:rPr>
          <w:lang w:val="en-GB"/>
        </w:rPr>
        <w:t>D.149</w:t>
      </w:r>
      <w:r>
        <w:rPr>
          <w:rFonts w:hint="eastAsia"/>
          <w:lang w:val="en-GB"/>
        </w:rPr>
        <w:t>条</w:t>
      </w:r>
      <w:r>
        <w:rPr>
          <w:lang w:val="en-GB"/>
        </w:rPr>
        <w:t>：</w:t>
      </w:r>
      <w:r>
        <w:rPr>
          <w:rFonts w:hint="eastAsia"/>
          <w:lang w:val="en-GB"/>
        </w:rPr>
        <w:t>“在定罪判决、押票或逮捕证、应导致暂时监禁的传票或者按照法律签发的逮捕令的执行者往监狱送人时，要在</w:t>
      </w:r>
      <w:r>
        <w:rPr>
          <w:lang w:val="en-GB"/>
        </w:rPr>
        <w:t>D.148</w:t>
      </w:r>
      <w:r>
        <w:rPr>
          <w:rFonts w:hint="eastAsia"/>
          <w:lang w:val="en-GB"/>
        </w:rPr>
        <w:t>条所述登记簿上填写一张入狱登记表。监狱负责人通过该表确认人员已经转交，并注明拘留的性质和日期以及源于哪个当局。入狱登记表由监狱负责人和押送负责人签名。在主动执行刑罚的情况下，监狱负责人在入狱登记簿上注明逮捕或定罪判决的情况，定罪判决的摘要由检察长或共和国检察官向其转交。不管怎样，入狱通知由监狱负责人根据情况提交给检察长或共和国检察官……”。</w:t>
      </w:r>
    </w:p>
    <w:p w:rsidR="00B4256E" w:rsidRDefault="00B4256E">
      <w:pPr>
        <w:pStyle w:val="H23GC"/>
        <w:rPr>
          <w:lang w:val="en-GB"/>
        </w:rPr>
      </w:pPr>
      <w:r>
        <w:rPr>
          <w:lang w:val="en-GB"/>
        </w:rPr>
        <w:tab/>
      </w:r>
      <w:r>
        <w:rPr>
          <w:lang w:val="en-GB"/>
        </w:rPr>
        <w:tab/>
      </w:r>
      <w:r>
        <w:rPr>
          <w:rFonts w:hint="eastAsia"/>
          <w:lang w:val="en-GB"/>
        </w:rPr>
        <w:t>关于对非法身份的外国人的行政拘留</w:t>
      </w:r>
    </w:p>
    <w:p w:rsidR="00B4256E" w:rsidRDefault="00B4256E">
      <w:pPr>
        <w:pStyle w:val="SingleTxtGC"/>
        <w:rPr>
          <w:lang w:val="en-GB"/>
        </w:rPr>
      </w:pPr>
      <w:r>
        <w:rPr>
          <w:sz w:val="20"/>
          <w:lang w:val="en-GB"/>
        </w:rPr>
        <w:t xml:space="preserve">111.  </w:t>
      </w:r>
      <w:r>
        <w:rPr>
          <w:rFonts w:hint="eastAsia"/>
          <w:lang w:val="en-GB"/>
        </w:rPr>
        <w:t>涉及非法入境或居留的外国人的剥夺自由措施是根据情况不同关在等待区或予以行政拘留。法律对这些措施有明确规定，这些措施被写入了《外国人入境和居留以及避难权法典》</w:t>
      </w:r>
      <w:r>
        <w:rPr>
          <w:lang w:val="en-GB"/>
        </w:rPr>
        <w:t>L.221-1</w:t>
      </w:r>
      <w:r>
        <w:rPr>
          <w:rFonts w:hint="eastAsia"/>
          <w:lang w:val="en-GB"/>
        </w:rPr>
        <w:t>至</w:t>
      </w:r>
      <w:r>
        <w:rPr>
          <w:lang w:val="en-GB"/>
        </w:rPr>
        <w:t>L.551-1</w:t>
      </w:r>
      <w:r>
        <w:rPr>
          <w:rFonts w:hint="eastAsia"/>
          <w:lang w:val="en-GB"/>
        </w:rPr>
        <w:t>条。这些措施涉及在有限时间内并在符合《</w:t>
      </w:r>
      <w:r>
        <w:rPr>
          <w:lang w:val="en-GB"/>
        </w:rPr>
        <w:t>外国人入境和居留以及避难权法典</w:t>
      </w:r>
      <w:r>
        <w:rPr>
          <w:rFonts w:hint="eastAsia"/>
          <w:lang w:val="en-GB"/>
        </w:rPr>
        <w:t>》</w:t>
      </w:r>
      <w:r>
        <w:rPr>
          <w:lang w:val="en-GB"/>
        </w:rPr>
        <w:t>L.554-1</w:t>
      </w:r>
      <w:r>
        <w:rPr>
          <w:rFonts w:hint="eastAsia"/>
          <w:lang w:val="en-GB"/>
        </w:rPr>
        <w:t>条所述原则的情况下剥夺自由，根据该法典，一名外国人只能在其离境所必需的时间内被扣留在等待区或被拘留。</w:t>
      </w:r>
    </w:p>
    <w:p w:rsidR="00B4256E" w:rsidRDefault="00B4256E">
      <w:pPr>
        <w:pStyle w:val="SingleTxtGC"/>
        <w:rPr>
          <w:lang w:val="en-GB"/>
        </w:rPr>
      </w:pPr>
      <w:r>
        <w:rPr>
          <w:sz w:val="20"/>
          <w:lang w:val="en-GB"/>
        </w:rPr>
        <w:t xml:space="preserve">112.  </w:t>
      </w:r>
      <w:r>
        <w:rPr>
          <w:rFonts w:hint="eastAsia"/>
          <w:lang w:val="en-GB"/>
        </w:rPr>
        <w:t>扣留在等待区涉及被做出拒绝入境决定的外国人或者在边境提出了避难申请的外国人。通过海陆空方式来到法国并且不被允许进入法国领土或者以避难的名义申请入境的人可以在其离境所必需的时间内或者，如果其是避难申请者的话，在进行审查以确定其申请是否并非显然毫无依据的必要时间内被扣留在等待区，等待区设在有国际运输业务的火车站、港口或邻近地方，或者机场内。</w:t>
      </w:r>
    </w:p>
    <w:p w:rsidR="00B4256E" w:rsidRDefault="00B4256E">
      <w:pPr>
        <w:pStyle w:val="SingleTxtGC"/>
        <w:rPr>
          <w:lang w:val="en-GB"/>
        </w:rPr>
      </w:pPr>
      <w:r>
        <w:rPr>
          <w:sz w:val="20"/>
          <w:lang w:val="en-GB"/>
        </w:rPr>
        <w:t xml:space="preserve">113.  </w:t>
      </w:r>
      <w:r>
        <w:rPr>
          <w:rFonts w:hint="eastAsia"/>
          <w:lang w:val="en-GB"/>
        </w:rPr>
        <w:t>通过负责边境管制的国家警察署或海关署署长或者由其指定的一名官员作出的理由充分的决定宣布予以扣留，扣留期限不得超过</w:t>
      </w:r>
      <w:r>
        <w:rPr>
          <w:rFonts w:hint="eastAsia"/>
          <w:lang w:val="en-GB"/>
        </w:rPr>
        <w:t>4</w:t>
      </w:r>
      <w:r>
        <w:rPr>
          <w:rFonts w:hint="eastAsia"/>
          <w:lang w:val="en-GB"/>
        </w:rPr>
        <w:t>天。只有自由和拘留法官才能决定将扣留在等待区的时间延长到</w:t>
      </w:r>
      <w:r>
        <w:rPr>
          <w:rFonts w:hint="eastAsia"/>
          <w:lang w:val="en-GB"/>
        </w:rPr>
        <w:t>4</w:t>
      </w:r>
      <w:r>
        <w:rPr>
          <w:rFonts w:hint="eastAsia"/>
          <w:lang w:val="en-GB"/>
        </w:rPr>
        <w:t>天以上，但无论如何最多不能超过</w:t>
      </w:r>
      <w:r>
        <w:rPr>
          <w:rFonts w:hint="eastAsia"/>
          <w:lang w:val="en-GB"/>
        </w:rPr>
        <w:t>20</w:t>
      </w:r>
      <w:r>
        <w:rPr>
          <w:rFonts w:hint="eastAsia"/>
          <w:lang w:val="en-GB"/>
        </w:rPr>
        <w:t>天。</w:t>
      </w:r>
    </w:p>
    <w:p w:rsidR="00B4256E" w:rsidRDefault="00B4256E">
      <w:pPr>
        <w:pStyle w:val="SingleTxtGC"/>
        <w:rPr>
          <w:lang w:val="en-GB"/>
        </w:rPr>
      </w:pPr>
      <w:r>
        <w:rPr>
          <w:sz w:val="20"/>
          <w:lang w:val="en-GB"/>
        </w:rPr>
        <w:t xml:space="preserve">114.  </w:t>
      </w:r>
      <w:r>
        <w:rPr>
          <w:rFonts w:hint="eastAsia"/>
          <w:lang w:val="en-GB"/>
        </w:rPr>
        <w:t>等待区由省长以及在巴黎由警察局长划定。等待区由上下客人的地方延伸至进行人员检查的地方。</w:t>
      </w:r>
    </w:p>
    <w:p w:rsidR="00B4256E" w:rsidRDefault="00B4256E">
      <w:pPr>
        <w:pStyle w:val="SingleTxtGC"/>
        <w:rPr>
          <w:lang w:val="en-GB"/>
        </w:rPr>
      </w:pPr>
      <w:r>
        <w:rPr>
          <w:sz w:val="20"/>
          <w:lang w:val="en-GB"/>
        </w:rPr>
        <w:t xml:space="preserve">115.  </w:t>
      </w:r>
      <w:r>
        <w:rPr>
          <w:rFonts w:hint="eastAsia"/>
          <w:lang w:val="en-GB"/>
        </w:rPr>
        <w:t>此外，如果被扣留在等待区的外国人提出的避难申请因明显无依据遭到了驳回，可以诉请行政法官废除这一驳回决定。该上诉有完全中止的性质，上诉期间不得实施一切驱逐措施。</w:t>
      </w:r>
    </w:p>
    <w:p w:rsidR="00B4256E" w:rsidRDefault="00B4256E">
      <w:pPr>
        <w:pStyle w:val="SingleTxtGC"/>
        <w:rPr>
          <w:lang w:val="en-GB"/>
        </w:rPr>
      </w:pPr>
      <w:r>
        <w:rPr>
          <w:sz w:val="20"/>
          <w:lang w:val="en-GB"/>
        </w:rPr>
        <w:t xml:space="preserve">116.  </w:t>
      </w:r>
      <w:r>
        <w:rPr>
          <w:rFonts w:hint="eastAsia"/>
          <w:lang w:val="en-GB"/>
        </w:rPr>
        <w:t>行政拘留措施则涉及被采取了驱逐措施但因为不能立即离开法国领土可由行政当局在不属于监狱的地方拘留</w:t>
      </w:r>
      <w:r>
        <w:rPr>
          <w:rFonts w:hint="eastAsia"/>
          <w:lang w:val="en-GB"/>
        </w:rPr>
        <w:t>5</w:t>
      </w:r>
      <w:r>
        <w:rPr>
          <w:rFonts w:hint="eastAsia"/>
          <w:lang w:val="en-GB"/>
        </w:rPr>
        <w:t>天的外国人。只有在法律做出严格的限制性规定的情况下才能对外国人采取此种措施，法律规定的情况可归为三类。</w:t>
      </w:r>
    </w:p>
    <w:p w:rsidR="00B4256E" w:rsidRDefault="00B4256E">
      <w:pPr>
        <w:pStyle w:val="Bullet1GC"/>
        <w:rPr>
          <w:lang w:val="en-GB"/>
        </w:rPr>
      </w:pPr>
      <w:r>
        <w:rPr>
          <w:rFonts w:hint="eastAsia"/>
          <w:lang w:val="en-GB"/>
        </w:rPr>
        <w:t>外国人应转交给一个欧洲联盟成员国的主管当局，在执行禁止入境的司法命令中被带回边境或者在执行禁止返回的命令中按规定被带回边境；</w:t>
      </w:r>
    </w:p>
    <w:p w:rsidR="00B4256E" w:rsidRDefault="00B4256E">
      <w:pPr>
        <w:pStyle w:val="Bullet1GC"/>
        <w:rPr>
          <w:lang w:val="en-GB"/>
        </w:rPr>
      </w:pPr>
      <w:r>
        <w:rPr>
          <w:rFonts w:hint="eastAsia"/>
          <w:lang w:val="en-GB"/>
        </w:rPr>
        <w:t>外国人不到三年前被下令驱逐，被指出不得入境或者被下令执行驱离，被下令驱逐出境，或者不到一年前被要求离境，而离境期限已过或者没有给予离境期限；</w:t>
      </w:r>
    </w:p>
    <w:p w:rsidR="00B4256E" w:rsidRDefault="00B4256E">
      <w:pPr>
        <w:pStyle w:val="Bullet1GC"/>
        <w:rPr>
          <w:lang w:val="en-GB"/>
        </w:rPr>
      </w:pPr>
      <w:r>
        <w:rPr>
          <w:rFonts w:hint="eastAsia"/>
          <w:lang w:val="en-GB"/>
        </w:rPr>
        <w:t>被做出扣留决定的外国人在扣留期满后</w:t>
      </w:r>
      <w:r>
        <w:rPr>
          <w:rFonts w:hint="eastAsia"/>
          <w:lang w:val="en-GB"/>
        </w:rPr>
        <w:t>7</w:t>
      </w:r>
      <w:r>
        <w:rPr>
          <w:rFonts w:hint="eastAsia"/>
          <w:lang w:val="en-GB"/>
        </w:rPr>
        <w:t>天的期限内未遵守离境措施或者，遵守离境措施后，在该措施始终有效力的情况下又回到法国。</w:t>
      </w:r>
    </w:p>
    <w:p w:rsidR="00B4256E" w:rsidRDefault="00B4256E">
      <w:pPr>
        <w:pStyle w:val="SingleTxtGC"/>
        <w:rPr>
          <w:lang w:val="en-GB"/>
        </w:rPr>
      </w:pPr>
      <w:r>
        <w:rPr>
          <w:sz w:val="20"/>
          <w:lang w:val="en-GB"/>
        </w:rPr>
        <w:t xml:space="preserve">117.  </w:t>
      </w:r>
      <w:r>
        <w:rPr>
          <w:rFonts w:hint="eastAsia"/>
          <w:lang w:val="en-GB"/>
        </w:rPr>
        <w:t>有效期为</w:t>
      </w:r>
      <w:r>
        <w:rPr>
          <w:rFonts w:hint="eastAsia"/>
          <w:lang w:val="en-GB"/>
        </w:rPr>
        <w:t>5</w:t>
      </w:r>
      <w:r>
        <w:rPr>
          <w:rFonts w:hint="eastAsia"/>
          <w:lang w:val="en-GB"/>
        </w:rPr>
        <w:t>天的扣留决定由省长在质询过外国人后做出。该决定是书面的，且有充分理由的，自通知当事人起生效。共和国检察官应立即被告知有关情况。只有自由和拘留法官可下令将扣留时间延长至</w:t>
      </w:r>
      <w:r>
        <w:rPr>
          <w:rFonts w:hint="eastAsia"/>
          <w:lang w:val="en-GB"/>
        </w:rPr>
        <w:t>5</w:t>
      </w:r>
      <w:r>
        <w:rPr>
          <w:rFonts w:hint="eastAsia"/>
          <w:lang w:val="en-GB"/>
        </w:rPr>
        <w:t>天以上，但总期限不得超过</w:t>
      </w:r>
      <w:r>
        <w:rPr>
          <w:rFonts w:hint="eastAsia"/>
          <w:lang w:val="en-GB"/>
        </w:rPr>
        <w:t>45</w:t>
      </w:r>
      <w:r>
        <w:rPr>
          <w:rFonts w:hint="eastAsia"/>
          <w:lang w:val="en-GB"/>
        </w:rPr>
        <w:t>天。</w:t>
      </w:r>
    </w:p>
    <w:p w:rsidR="00B4256E" w:rsidRDefault="00B4256E">
      <w:pPr>
        <w:pStyle w:val="SingleTxtGC"/>
        <w:rPr>
          <w:lang w:val="en-GB"/>
        </w:rPr>
      </w:pPr>
      <w:r>
        <w:rPr>
          <w:sz w:val="20"/>
          <w:lang w:val="en-GB"/>
        </w:rPr>
        <w:t xml:space="preserve">118.  </w:t>
      </w:r>
      <w:r>
        <w:rPr>
          <w:rFonts w:hint="eastAsia"/>
          <w:lang w:val="en-GB"/>
        </w:rPr>
        <w:t>原则上，遭到拘留的外国人被拘留在全国性的行政拘留中心，拘留中心的名单通过司法部长的命令确定，并在官方公报上公布。只有在特殊情况下，如果不能立即关入拘留中心，才能将外国人关入通过省长命令设立的行政拘留所，除特殊情况外，期限不得超过</w:t>
      </w:r>
      <w:r>
        <w:rPr>
          <w:rFonts w:hint="eastAsia"/>
          <w:lang w:val="en-GB"/>
        </w:rPr>
        <w:t>48</w:t>
      </w:r>
      <w:r>
        <w:rPr>
          <w:rFonts w:hint="eastAsia"/>
          <w:lang w:val="en-GB"/>
        </w:rPr>
        <w:t>个小时。必要时，行政当局可将外国人从一个拘留地点转往另一个拘留地点，但必须告知自由和拘留法官以及共和国检察官。</w:t>
      </w:r>
    </w:p>
    <w:p w:rsidR="00B4256E" w:rsidRDefault="00B4256E">
      <w:pPr>
        <w:pStyle w:val="SingleTxtGC"/>
        <w:rPr>
          <w:lang w:val="en-GB"/>
        </w:rPr>
      </w:pPr>
      <w:r>
        <w:rPr>
          <w:sz w:val="20"/>
          <w:lang w:val="en-GB"/>
        </w:rPr>
        <w:t xml:space="preserve">119.  </w:t>
      </w:r>
      <w:r>
        <w:rPr>
          <w:rFonts w:hint="eastAsia"/>
          <w:lang w:val="en-GB"/>
        </w:rPr>
        <w:t>2005</w:t>
      </w:r>
      <w:r>
        <w:rPr>
          <w:rFonts w:hint="eastAsia"/>
          <w:lang w:val="en-GB"/>
        </w:rPr>
        <w:t>年</w:t>
      </w:r>
      <w:r>
        <w:rPr>
          <w:rFonts w:hint="eastAsia"/>
          <w:lang w:val="en-GB"/>
        </w:rPr>
        <w:t>5</w:t>
      </w:r>
      <w:r>
        <w:rPr>
          <w:rFonts w:hint="eastAsia"/>
          <w:lang w:val="en-GB"/>
        </w:rPr>
        <w:t>月</w:t>
      </w:r>
      <w:r>
        <w:rPr>
          <w:rFonts w:hint="eastAsia"/>
          <w:lang w:val="en-GB"/>
        </w:rPr>
        <w:t>30</w:t>
      </w:r>
      <w:r>
        <w:rPr>
          <w:rFonts w:hint="eastAsia"/>
          <w:lang w:val="en-GB"/>
        </w:rPr>
        <w:t>日的一项法令对拘留中心收容被拘留者的物质条件做出了规定。该文本特别规定要有免费电话。每个拘留地点都要有一个无论如何可以进出的空间，以便律师能够与被拘留的外国人私下交谈。领事馆的成员可以在约好的情况下进入拘留中心。他们可以申请在看守不在场的情况下交谈以保持谈话的私密性。至于记者，没有条例专门规定记者进入和探视的条件。因此，在普通法规定的条件下不禁止这些人提出探视要求。配备有允许医生和护士开展日常工作的地方。政府注意确保按照这些准则，持续做出翻新和新建努力。类似规定适用于等待区。</w:t>
      </w:r>
    </w:p>
    <w:p w:rsidR="00B4256E" w:rsidRDefault="00B4256E">
      <w:pPr>
        <w:pStyle w:val="SingleTxtGC"/>
        <w:rPr>
          <w:lang w:val="en-GB"/>
        </w:rPr>
      </w:pPr>
      <w:r>
        <w:rPr>
          <w:sz w:val="20"/>
          <w:lang w:val="en-GB"/>
        </w:rPr>
        <w:t xml:space="preserve">120.  </w:t>
      </w:r>
      <w:r>
        <w:rPr>
          <w:rFonts w:hint="eastAsia"/>
          <w:lang w:val="en-GB"/>
        </w:rPr>
        <w:t>在每一个拘留地点都有一个内部条例</w:t>
      </w:r>
      <w:r>
        <w:rPr>
          <w:rFonts w:hint="eastAsia"/>
          <w:spacing w:val="-60"/>
          <w:lang w:val="en-GB"/>
        </w:rPr>
        <w:t>―</w:t>
      </w:r>
      <w:r>
        <w:rPr>
          <w:rFonts w:hint="eastAsia"/>
          <w:spacing w:val="10"/>
          <w:lang w:val="en-GB"/>
        </w:rPr>
        <w:t>―</w:t>
      </w:r>
      <w:r>
        <w:rPr>
          <w:rFonts w:hint="eastAsia"/>
          <w:lang w:val="en-GB"/>
        </w:rPr>
        <w:t>2006</w:t>
      </w:r>
      <w:r>
        <w:rPr>
          <w:rFonts w:hint="eastAsia"/>
          <w:lang w:val="en-GB"/>
        </w:rPr>
        <w:t>年</w:t>
      </w:r>
      <w:r>
        <w:rPr>
          <w:rFonts w:hint="eastAsia"/>
          <w:lang w:val="en-GB"/>
        </w:rPr>
        <w:t>5</w:t>
      </w:r>
      <w:r>
        <w:rPr>
          <w:rFonts w:hint="eastAsia"/>
          <w:lang w:val="en-GB"/>
        </w:rPr>
        <w:t>月</w:t>
      </w:r>
      <w:r>
        <w:rPr>
          <w:rFonts w:hint="eastAsia"/>
          <w:lang w:val="en-GB"/>
        </w:rPr>
        <w:t>2</w:t>
      </w:r>
      <w:r>
        <w:rPr>
          <w:rFonts w:hint="eastAsia"/>
          <w:lang w:val="en-GB"/>
        </w:rPr>
        <w:t>日的一项法令确定了条例范本</w:t>
      </w:r>
      <w:r>
        <w:rPr>
          <w:rFonts w:hint="eastAsia"/>
          <w:spacing w:val="-60"/>
          <w:lang w:val="en-GB"/>
        </w:rPr>
        <w:t>―</w:t>
      </w:r>
      <w:r>
        <w:rPr>
          <w:rFonts w:hint="eastAsia"/>
          <w:spacing w:val="10"/>
          <w:lang w:val="en-GB"/>
        </w:rPr>
        <w:t>―</w:t>
      </w:r>
      <w:r>
        <w:rPr>
          <w:rFonts w:hint="eastAsia"/>
          <w:lang w:val="en-GB"/>
        </w:rPr>
        <w:t>具体说明了在尊重人格尊严和保障人员安全的条件下拘留中心的日常生活安排。根据该条例第</w:t>
      </w:r>
      <w:r>
        <w:rPr>
          <w:rFonts w:hint="eastAsia"/>
          <w:lang w:val="en-GB"/>
        </w:rPr>
        <w:t>20</w:t>
      </w:r>
      <w:r>
        <w:rPr>
          <w:rFonts w:hint="eastAsia"/>
          <w:lang w:val="en-GB"/>
        </w:rPr>
        <w:t>条之规定，“被拘留的外国人可以接受其所选择的任何人的探视……”。</w:t>
      </w:r>
      <w:r>
        <w:rPr>
          <w:rFonts w:hint="eastAsia"/>
          <w:lang w:val="en-GB"/>
        </w:rPr>
        <w:t>2009</w:t>
      </w:r>
      <w:r>
        <w:rPr>
          <w:rFonts w:hint="eastAsia"/>
          <w:lang w:val="en-GB"/>
        </w:rPr>
        <w:t>年</w:t>
      </w:r>
      <w:r>
        <w:rPr>
          <w:rFonts w:hint="eastAsia"/>
          <w:lang w:val="en-GB"/>
        </w:rPr>
        <w:t>12</w:t>
      </w:r>
      <w:r>
        <w:rPr>
          <w:rFonts w:hint="eastAsia"/>
          <w:lang w:val="en-GB"/>
        </w:rPr>
        <w:t>月</w:t>
      </w:r>
      <w:r>
        <w:rPr>
          <w:rFonts w:hint="eastAsia"/>
          <w:lang w:val="en-GB"/>
        </w:rPr>
        <w:t>1</w:t>
      </w:r>
      <w:r>
        <w:rPr>
          <w:rFonts w:hint="eastAsia"/>
          <w:lang w:val="en-GB"/>
        </w:rPr>
        <w:t>日的指示规定探视的最短期限，除必要的宗教仪式时间外，为</w:t>
      </w:r>
      <w:r>
        <w:rPr>
          <w:rFonts w:hint="eastAsia"/>
          <w:lang w:val="en-GB"/>
        </w:rPr>
        <w:t>30</w:t>
      </w:r>
      <w:r>
        <w:rPr>
          <w:rFonts w:hint="eastAsia"/>
          <w:lang w:val="en-GB"/>
        </w:rPr>
        <w:t>分钟。</w:t>
      </w:r>
    </w:p>
    <w:p w:rsidR="00B4256E" w:rsidRDefault="00B4256E">
      <w:pPr>
        <w:pStyle w:val="SingleTxtGC"/>
        <w:rPr>
          <w:lang w:val="en-GB"/>
        </w:rPr>
      </w:pPr>
      <w:r>
        <w:rPr>
          <w:sz w:val="20"/>
          <w:lang w:val="en-GB"/>
        </w:rPr>
        <w:t xml:space="preserve">121.  </w:t>
      </w:r>
      <w:r>
        <w:rPr>
          <w:rFonts w:hint="eastAsia"/>
          <w:lang w:val="en-GB"/>
        </w:rPr>
        <w:t>联合国难民事务高级专员办事处代表或其代表可以在能够保障其实际接触避难申请人的条件下进入等待区和拘留中心。不过，要得到负责避难事务的部长的同意后才能进入。</w:t>
      </w:r>
    </w:p>
    <w:p w:rsidR="00B4256E" w:rsidRDefault="00B4256E">
      <w:pPr>
        <w:pStyle w:val="SingleTxtGC"/>
        <w:rPr>
          <w:lang w:val="en-GB"/>
        </w:rPr>
      </w:pPr>
      <w:r>
        <w:rPr>
          <w:sz w:val="20"/>
          <w:lang w:val="en-GB"/>
        </w:rPr>
        <w:t xml:space="preserve">122.  </w:t>
      </w:r>
      <w:r>
        <w:rPr>
          <w:rFonts w:hint="eastAsia"/>
          <w:lang w:val="en-GB"/>
        </w:rPr>
        <w:t>最后，规定被关在拘留中心的人可以受益于接待、信息、道义支持和心理辅导行动以及为准备其离境的物质条件而提供的帮助。国家借助法国移民和融入署和维护外国人权利方面的专门协会来开展这些行动。经过招标程序后，</w:t>
      </w:r>
      <w:r>
        <w:rPr>
          <w:rFonts w:hint="eastAsia"/>
          <w:lang w:val="en-GB"/>
        </w:rPr>
        <w:t>5</w:t>
      </w:r>
      <w:r>
        <w:rPr>
          <w:rFonts w:hint="eastAsia"/>
          <w:lang w:val="en-GB"/>
        </w:rPr>
        <w:t>个协会</w:t>
      </w:r>
      <w:r>
        <w:rPr>
          <w:rFonts w:hint="eastAsia"/>
          <w:lang w:val="en-GB"/>
        </w:rPr>
        <w:t>(</w:t>
      </w:r>
      <w:r>
        <w:rPr>
          <w:lang w:val="en-GB"/>
        </w:rPr>
        <w:t>CIMADE</w:t>
      </w:r>
      <w:r>
        <w:rPr>
          <w:rFonts w:hint="eastAsia"/>
          <w:lang w:val="en-GB"/>
        </w:rPr>
        <w:t>、法国避难地、马耳他修会、</w:t>
      </w:r>
      <w:r>
        <w:rPr>
          <w:lang w:val="en-GB"/>
        </w:rPr>
        <w:t>ASSFAM</w:t>
      </w:r>
      <w:r>
        <w:rPr>
          <w:rFonts w:hint="eastAsia"/>
          <w:lang w:val="en-GB"/>
        </w:rPr>
        <w:t>和难民论坛</w:t>
      </w:r>
      <w:r>
        <w:rPr>
          <w:rFonts w:hint="eastAsia"/>
          <w:lang w:val="en-GB"/>
        </w:rPr>
        <w:t>)</w:t>
      </w:r>
      <w:r>
        <w:rPr>
          <w:rFonts w:hint="eastAsia"/>
          <w:lang w:val="en-GB"/>
        </w:rPr>
        <w:t>受托在国家与这些协会签订的协议所确定的条件下在这些拘留地点采取干预行动。</w:t>
      </w:r>
    </w:p>
    <w:p w:rsidR="00B4256E" w:rsidRDefault="00B4256E">
      <w:pPr>
        <w:pStyle w:val="SingleTxtGC"/>
        <w:rPr>
          <w:lang w:val="en-GB"/>
        </w:rPr>
      </w:pPr>
      <w:r>
        <w:rPr>
          <w:sz w:val="20"/>
          <w:lang w:val="en-GB"/>
        </w:rPr>
        <w:t xml:space="preserve">123.  </w:t>
      </w:r>
      <w:r>
        <w:rPr>
          <w:rFonts w:hint="eastAsia"/>
          <w:lang w:val="en-GB"/>
        </w:rPr>
        <w:t>除了这类协会，人道主义协会进入拘留地点的权利也得到了承认，唯一的条件是要得到负责移徙问题的部长的授权，授权方式是一项每年可修订的决定。</w:t>
      </w:r>
    </w:p>
    <w:p w:rsidR="00B4256E" w:rsidRDefault="00B4256E">
      <w:pPr>
        <w:pStyle w:val="H23GC"/>
        <w:rPr>
          <w:rFonts w:hint="eastAsia"/>
          <w:lang w:val="en-GB"/>
        </w:rPr>
      </w:pPr>
      <w:r>
        <w:rPr>
          <w:lang w:val="en-GB"/>
        </w:rPr>
        <w:tab/>
      </w:r>
      <w:r>
        <w:rPr>
          <w:lang w:val="en-GB"/>
        </w:rPr>
        <w:tab/>
      </w:r>
      <w:r>
        <w:rPr>
          <w:rFonts w:hint="eastAsia"/>
          <w:lang w:val="en-GB"/>
        </w:rPr>
        <w:t>关于精神病院收容导致的剥夺自由</w:t>
      </w:r>
    </w:p>
    <w:p w:rsidR="00B4256E" w:rsidRDefault="00B4256E">
      <w:pPr>
        <w:pStyle w:val="SingleTxtGC"/>
        <w:rPr>
          <w:lang w:val="en-GB"/>
        </w:rPr>
      </w:pPr>
      <w:r>
        <w:rPr>
          <w:sz w:val="20"/>
          <w:lang w:val="en-GB"/>
        </w:rPr>
        <w:t xml:space="preserve">124.  </w:t>
      </w:r>
      <w:r>
        <w:rPr>
          <w:rFonts w:hint="eastAsia"/>
          <w:lang w:val="en-GB"/>
        </w:rPr>
        <w:t>只有司法机关在当事人因精神疾病不负刑事责任的情况下</w:t>
      </w:r>
      <w:r>
        <w:rPr>
          <w:rFonts w:hint="eastAsia"/>
          <w:lang w:val="en-GB"/>
        </w:rPr>
        <w:t>(</w:t>
      </w:r>
      <w:r>
        <w:rPr>
          <w:rFonts w:hint="eastAsia"/>
          <w:lang w:val="en-GB"/>
        </w:rPr>
        <w:t>《刑事诉讼法典》第</w:t>
      </w:r>
      <w:r>
        <w:rPr>
          <w:lang w:val="en-GB"/>
        </w:rPr>
        <w:t>706-135</w:t>
      </w:r>
      <w:r>
        <w:rPr>
          <w:rFonts w:hint="eastAsia"/>
          <w:lang w:val="en-GB"/>
        </w:rPr>
        <w:t>条</w:t>
      </w:r>
      <w:r>
        <w:rPr>
          <w:rFonts w:hint="eastAsia"/>
          <w:lang w:val="en-GB"/>
        </w:rPr>
        <w:t>)</w:t>
      </w:r>
      <w:r>
        <w:rPr>
          <w:rFonts w:hint="eastAsia"/>
          <w:lang w:val="en-GB"/>
        </w:rPr>
        <w:t>、省长、国家代表</w:t>
      </w:r>
      <w:r>
        <w:rPr>
          <w:rFonts w:hint="eastAsia"/>
          <w:lang w:val="en-GB"/>
        </w:rPr>
        <w:t>(</w:t>
      </w:r>
      <w:r>
        <w:rPr>
          <w:rFonts w:hint="eastAsia"/>
          <w:lang w:val="en-GB"/>
        </w:rPr>
        <w:t>《公共卫生法典》</w:t>
      </w:r>
      <w:r>
        <w:rPr>
          <w:lang w:val="en-GB"/>
        </w:rPr>
        <w:t>L.3213-1</w:t>
      </w:r>
      <w:r>
        <w:rPr>
          <w:rFonts w:hint="eastAsia"/>
          <w:lang w:val="en-GB"/>
        </w:rPr>
        <w:t>条</w:t>
      </w:r>
      <w:r>
        <w:rPr>
          <w:rFonts w:hint="eastAsia"/>
          <w:lang w:val="en-GB"/>
        </w:rPr>
        <w:t>)</w:t>
      </w:r>
      <w:r>
        <w:rPr>
          <w:rFonts w:hint="eastAsia"/>
          <w:lang w:val="en-GB"/>
        </w:rPr>
        <w:t>和精神病院院长</w:t>
      </w:r>
      <w:r>
        <w:rPr>
          <w:rFonts w:hint="eastAsia"/>
          <w:lang w:val="en-GB"/>
        </w:rPr>
        <w:t>(</w:t>
      </w:r>
      <w:r>
        <w:rPr>
          <w:rFonts w:hint="eastAsia"/>
          <w:lang w:val="en-GB"/>
        </w:rPr>
        <w:t>《公共卫生法典》</w:t>
      </w:r>
      <w:r>
        <w:rPr>
          <w:lang w:val="en-GB"/>
        </w:rPr>
        <w:t>L.3212-1</w:t>
      </w:r>
      <w:r>
        <w:rPr>
          <w:rFonts w:hint="eastAsia"/>
          <w:lang w:val="en-GB"/>
        </w:rPr>
        <w:t>条</w:t>
      </w:r>
      <w:r>
        <w:rPr>
          <w:rFonts w:hint="eastAsia"/>
          <w:lang w:val="en-GB"/>
        </w:rPr>
        <w:t>)</w:t>
      </w:r>
      <w:r>
        <w:rPr>
          <w:rFonts w:hint="eastAsia"/>
          <w:lang w:val="en-GB"/>
        </w:rPr>
        <w:t>有权下令在不经当事人同意的情况下将其收入《公共卫生法典》</w:t>
      </w:r>
      <w:r>
        <w:rPr>
          <w:lang w:val="en-GB"/>
        </w:rPr>
        <w:t>L.3222-1</w:t>
      </w:r>
      <w:r>
        <w:rPr>
          <w:rFonts w:hint="eastAsia"/>
          <w:lang w:val="en-GB"/>
        </w:rPr>
        <w:t>提及的精神病院。</w:t>
      </w:r>
    </w:p>
    <w:p w:rsidR="00B4256E" w:rsidRDefault="00B4256E">
      <w:pPr>
        <w:pStyle w:val="SingleTxtGC"/>
        <w:rPr>
          <w:lang w:val="en-GB"/>
        </w:rPr>
      </w:pPr>
      <w:r>
        <w:rPr>
          <w:sz w:val="20"/>
          <w:lang w:val="en-GB"/>
        </w:rPr>
        <w:t xml:space="preserve">125.  </w:t>
      </w:r>
      <w:r>
        <w:rPr>
          <w:rFonts w:hint="eastAsia"/>
          <w:lang w:val="en-GB"/>
        </w:rPr>
        <w:t>在第一种情况下，按照《刑事诉讼法典》第</w:t>
      </w:r>
      <w:r>
        <w:rPr>
          <w:lang w:val="en-GB"/>
        </w:rPr>
        <w:t>706-135</w:t>
      </w:r>
      <w:r>
        <w:rPr>
          <w:rFonts w:hint="eastAsia"/>
          <w:lang w:val="en-GB"/>
        </w:rPr>
        <w:t>条之规定，“在预审庭或作出判决的司法机关作出因精神疾病不负刑事责任的判决时，它可以通过理由充分的决定，下令收容当事人进行精神疾病的治疗，其形式是如果诉讼案卷所载精神病鉴定意见证实当事人的精神疾病需要治疗并且危及人员安全或严重威胁公共秩序，则收入该法典</w:t>
      </w:r>
      <w:r>
        <w:rPr>
          <w:lang w:val="en-GB"/>
        </w:rPr>
        <w:t>L.3222-1</w:t>
      </w:r>
      <w:r>
        <w:rPr>
          <w:rFonts w:hint="eastAsia"/>
          <w:lang w:val="en-GB"/>
        </w:rPr>
        <w:t>条所述一家机构内进行住院治疗。省里面的国家代表或者巴黎的警察局长要立即被告知该决定。收治制度是为根据该法典</w:t>
      </w:r>
      <w:r>
        <w:rPr>
          <w:lang w:val="en-GB"/>
        </w:rPr>
        <w:t>L.3213-1</w:t>
      </w:r>
      <w:r>
        <w:rPr>
          <w:rFonts w:hint="eastAsia"/>
          <w:lang w:val="en-GB"/>
        </w:rPr>
        <w:t>条宣布收入精神病院治疗规定的制度。”</w:t>
      </w:r>
    </w:p>
    <w:p w:rsidR="00B4256E" w:rsidRDefault="00B4256E">
      <w:pPr>
        <w:pStyle w:val="SingleTxtGC"/>
        <w:rPr>
          <w:lang w:val="en-GB"/>
        </w:rPr>
      </w:pPr>
      <w:r>
        <w:rPr>
          <w:sz w:val="20"/>
          <w:lang w:val="en-GB"/>
        </w:rPr>
        <w:t xml:space="preserve">126.  </w:t>
      </w:r>
      <w:r>
        <w:rPr>
          <w:rFonts w:hint="eastAsia"/>
          <w:lang w:val="en-GB"/>
        </w:rPr>
        <w:t>除了司法当局直接宣布的收治，另外还有两项程序，即根据第三方申请进行的收治和根据国家代表的决定进行的收治。</w:t>
      </w:r>
    </w:p>
    <w:p w:rsidR="00B4256E" w:rsidRDefault="00B4256E">
      <w:pPr>
        <w:pStyle w:val="SingleTxtGC"/>
        <w:rPr>
          <w:lang w:val="en-GB"/>
        </w:rPr>
      </w:pPr>
      <w:r>
        <w:rPr>
          <w:sz w:val="20"/>
          <w:lang w:val="en-GB"/>
        </w:rPr>
        <w:t xml:space="preserve">127.  </w:t>
      </w:r>
      <w:r>
        <w:rPr>
          <w:rFonts w:hint="eastAsia"/>
          <w:lang w:val="en-GB"/>
        </w:rPr>
        <w:t>关于《公共卫生法典》</w:t>
      </w:r>
      <w:r>
        <w:rPr>
          <w:lang w:val="en-GB"/>
        </w:rPr>
        <w:t>L.3212-1</w:t>
      </w:r>
      <w:r>
        <w:rPr>
          <w:rFonts w:hint="eastAsia"/>
          <w:lang w:val="en-GB"/>
        </w:rPr>
        <w:t>条规定的根据第三方申请进行的收治，精神病院的院长可以在收到病人的家庭成员或证明在请求治疗前与病人存在关系因此有资格为其利益行事的人的收治请求时宣布收治决定，在收治病人的机构工作的护理人员提出的请求除外。</w:t>
      </w:r>
    </w:p>
    <w:p w:rsidR="00B4256E" w:rsidRDefault="00B4256E">
      <w:pPr>
        <w:pStyle w:val="SingleTxtGC"/>
        <w:rPr>
          <w:lang w:val="en-GB"/>
        </w:rPr>
      </w:pPr>
      <w:r>
        <w:rPr>
          <w:sz w:val="20"/>
          <w:lang w:val="en-GB"/>
        </w:rPr>
        <w:t xml:space="preserve">128.  </w:t>
      </w:r>
      <w:r>
        <w:rPr>
          <w:rFonts w:hint="eastAsia"/>
          <w:lang w:val="en-GB"/>
        </w:rPr>
        <w:t>只有在下述情况下，才能根据精神病院院长的决定对精神病患者进行治疗：一方面精神疾病使得当事人没有可能表示同意，另一方面，其精神状况使得必须立即进行治疗，同时进行不间断的医疗监测，因此必须入院，或者进行定期的医疗监测。</w:t>
      </w:r>
    </w:p>
    <w:p w:rsidR="00B4256E" w:rsidRDefault="00B4256E">
      <w:pPr>
        <w:pStyle w:val="SingleTxtGC"/>
        <w:rPr>
          <w:lang w:val="en-GB"/>
        </w:rPr>
      </w:pPr>
      <w:r>
        <w:rPr>
          <w:sz w:val="20"/>
          <w:lang w:val="en-GB"/>
        </w:rPr>
        <w:t xml:space="preserve">129.  </w:t>
      </w:r>
      <w:r>
        <w:rPr>
          <w:rFonts w:hint="eastAsia"/>
          <w:lang w:val="en-GB"/>
        </w:rPr>
        <w:t>满足这两个条件是必须的，并且应有两份</w:t>
      </w:r>
      <w:r>
        <w:rPr>
          <w:rFonts w:hint="eastAsia"/>
          <w:lang w:val="en-GB"/>
        </w:rPr>
        <w:t>15</w:t>
      </w:r>
      <w:r>
        <w:rPr>
          <w:rFonts w:hint="eastAsia"/>
          <w:lang w:val="en-GB"/>
        </w:rPr>
        <w:t>日内的详尽医疗证明为证。第一份医疗证明只能由不在收治该病人的医院工作的一名医生出具，并且应证实病人的精神状况，说明其疾病的特征以及接受治疗的必要性。第二名医生的证明应对此予以证实，第二名医生可以在收治病人的医院工作。两名医生之间、医生与做出收治决定的院长之间、医生与提出治疗申请的人或接受治疗的人之间不能有第四亲等之内的血缘关系或姻亲关系。</w:t>
      </w:r>
    </w:p>
    <w:p w:rsidR="00B4256E" w:rsidRDefault="00B4256E">
      <w:pPr>
        <w:pStyle w:val="SingleTxtGC"/>
        <w:rPr>
          <w:lang w:val="en-GB"/>
        </w:rPr>
      </w:pPr>
      <w:r>
        <w:rPr>
          <w:sz w:val="20"/>
          <w:lang w:val="en-GB"/>
        </w:rPr>
        <w:t xml:space="preserve">130.  </w:t>
      </w:r>
      <w:r>
        <w:rPr>
          <w:rFonts w:hint="eastAsia"/>
          <w:lang w:val="en-GB"/>
        </w:rPr>
        <w:t>在《公共卫生法典》</w:t>
      </w:r>
      <w:r>
        <w:rPr>
          <w:lang w:val="en-GB"/>
        </w:rPr>
        <w:t>L3213-1</w:t>
      </w:r>
      <w:r>
        <w:rPr>
          <w:rFonts w:hint="eastAsia"/>
          <w:lang w:val="en-GB"/>
        </w:rPr>
        <w:t>条所规定的根据国家代表的决定进行收治的程序框架内，省长可以根据详尽的医疗证明</w:t>
      </w:r>
      <w:r>
        <w:rPr>
          <w:rFonts w:hint="eastAsia"/>
          <w:lang w:val="en-GB"/>
        </w:rPr>
        <w:t>(</w:t>
      </w:r>
      <w:r>
        <w:rPr>
          <w:rFonts w:hint="eastAsia"/>
          <w:lang w:val="en-GB"/>
        </w:rPr>
        <w:t>该医疗证明不能来自在收治的医院工作的精神科医生</w:t>
      </w:r>
      <w:r>
        <w:rPr>
          <w:rFonts w:hint="eastAsia"/>
          <w:lang w:val="en-GB"/>
        </w:rPr>
        <w:t>)</w:t>
      </w:r>
      <w:r>
        <w:rPr>
          <w:rFonts w:hint="eastAsia"/>
          <w:lang w:val="en-GB"/>
        </w:rPr>
        <w:t>，通过命令，宣布将精神疾病需要得到治疗并且危及人员安全或严重威胁公共秩序的人收入精神病院进行治疗。省长的命令必须有充足的理由，并且详细说明使得有必要进行收治的情况。</w:t>
      </w:r>
    </w:p>
    <w:p w:rsidR="00B4256E" w:rsidRDefault="00B4256E">
      <w:pPr>
        <w:pStyle w:val="SingleTxtGC"/>
        <w:rPr>
          <w:lang w:val="en-GB"/>
        </w:rPr>
      </w:pPr>
      <w:r>
        <w:rPr>
          <w:sz w:val="20"/>
          <w:lang w:val="en-GB"/>
        </w:rPr>
        <w:t xml:space="preserve">131.  </w:t>
      </w:r>
      <w:r>
        <w:rPr>
          <w:rFonts w:hint="eastAsia"/>
          <w:lang w:val="en-GB"/>
        </w:rPr>
        <w:t>不管怎样，不论收治的理由是什么，就未表示同意就被实施精神病治疗或为进行精神病治疗而被带走的精神病患者而言，其对个人自由的行使只受到适当的、必要的和与其精神状况及所需治疗的实施相称的限制。无论如何，人的尊严应受到尊重，并且应努力让其重新融入社会。应尽可能征求并考虑当事人对治疗方式的意见。</w:t>
      </w:r>
    </w:p>
    <w:p w:rsidR="00B4256E" w:rsidRDefault="00B4256E">
      <w:pPr>
        <w:pStyle w:val="SingleTxtGC"/>
        <w:rPr>
          <w:lang w:val="en-GB"/>
        </w:rPr>
      </w:pPr>
      <w:r>
        <w:rPr>
          <w:sz w:val="20"/>
          <w:lang w:val="en-GB"/>
        </w:rPr>
        <w:t xml:space="preserve">132.  </w:t>
      </w:r>
      <w:r>
        <w:rPr>
          <w:rFonts w:hint="eastAsia"/>
          <w:lang w:val="en-GB"/>
        </w:rPr>
        <w:t>在做出不经同意维持精神病治疗或确定病人照料形式的每项决定之前，应酌情告知病人决定草案，并且通过适合其状况的任何方式方法使其能够发表自己的意见。</w:t>
      </w:r>
    </w:p>
    <w:p w:rsidR="00B4256E" w:rsidRDefault="00B4256E">
      <w:pPr>
        <w:pStyle w:val="SingleTxtGC"/>
        <w:rPr>
          <w:lang w:val="en-GB"/>
        </w:rPr>
      </w:pPr>
      <w:r>
        <w:rPr>
          <w:sz w:val="20"/>
          <w:lang w:val="en-GB"/>
        </w:rPr>
        <w:t xml:space="preserve">133.  </w:t>
      </w:r>
      <w:r>
        <w:rPr>
          <w:rFonts w:hint="eastAsia"/>
          <w:lang w:val="en-GB"/>
        </w:rPr>
        <w:t>此外，法律规定尽快以适合其状况的方式告知任何在未表示同意的情况下接受精神病治疗的人收治决定以及做出该决定的理由、其法律地位、其权利、可以利用的求助手段以及向其提供的保障，其中包括自由和拘留法官在宣布收治入院措施</w:t>
      </w:r>
      <w:r>
        <w:rPr>
          <w:rFonts w:hint="eastAsia"/>
          <w:lang w:val="en-GB"/>
        </w:rPr>
        <w:t>15</w:t>
      </w:r>
      <w:r>
        <w:rPr>
          <w:rFonts w:hint="eastAsia"/>
          <w:lang w:val="en-GB"/>
        </w:rPr>
        <w:t>天内系统检查这些措施。</w:t>
      </w:r>
    </w:p>
    <w:p w:rsidR="00B4256E" w:rsidRDefault="00B4256E">
      <w:pPr>
        <w:pStyle w:val="SingleTxtGC"/>
        <w:rPr>
          <w:lang w:val="en-GB"/>
        </w:rPr>
      </w:pPr>
      <w:r>
        <w:rPr>
          <w:sz w:val="20"/>
          <w:lang w:val="en-GB"/>
        </w:rPr>
        <w:t xml:space="preserve">134.  </w:t>
      </w:r>
      <w:r>
        <w:rPr>
          <w:rFonts w:hint="eastAsia"/>
          <w:lang w:val="en-GB"/>
        </w:rPr>
        <w:t>不管怎样，法律规定被执行收治入院措施的人有权：</w:t>
      </w:r>
      <w:r>
        <w:rPr>
          <w:lang w:val="en-GB"/>
        </w:rPr>
        <w:t>1</w:t>
      </w:r>
      <w:r>
        <w:rPr>
          <w:rFonts w:hint="eastAsia"/>
          <w:lang w:val="en-GB"/>
        </w:rPr>
        <w:t xml:space="preserve">) </w:t>
      </w:r>
      <w:r>
        <w:rPr>
          <w:rFonts w:hint="eastAsia"/>
          <w:lang w:val="en-GB"/>
        </w:rPr>
        <w:t>与国家代表、大审法庭庭长、共和国检察官、市长或其代表；</w:t>
      </w:r>
      <w:r>
        <w:rPr>
          <w:lang w:val="en-GB"/>
        </w:rPr>
        <w:t>2</w:t>
      </w:r>
      <w:r>
        <w:rPr>
          <w:rFonts w:hint="eastAsia"/>
          <w:lang w:val="en-GB"/>
        </w:rPr>
        <w:t xml:space="preserve">) </w:t>
      </w:r>
      <w:r>
        <w:rPr>
          <w:rFonts w:hint="eastAsia"/>
          <w:lang w:val="en-GB"/>
        </w:rPr>
        <w:t>向省精神病治疗委员会提出申诉，该委员会负责审查接受精神病治疗的人的情况，如果是住院治疗，则向用户关系和治疗质量委员会提出申诉，每个医疗卫生机构都设有该机构；</w:t>
      </w:r>
      <w:r>
        <w:rPr>
          <w:lang w:val="en-GB"/>
        </w:rPr>
        <w:t>3</w:t>
      </w:r>
      <w:r>
        <w:rPr>
          <w:rFonts w:hint="eastAsia"/>
          <w:lang w:val="en-GB"/>
        </w:rPr>
        <w:t xml:space="preserve">) </w:t>
      </w:r>
      <w:r>
        <w:rPr>
          <w:rFonts w:hint="eastAsia"/>
          <w:lang w:val="en-GB"/>
        </w:rPr>
        <w:t>听取其所选择的医生或律师的建议；</w:t>
      </w:r>
      <w:r>
        <w:rPr>
          <w:lang w:val="en-GB"/>
        </w:rPr>
        <w:t>4</w:t>
      </w:r>
      <w:r>
        <w:rPr>
          <w:rFonts w:hint="eastAsia"/>
          <w:lang w:val="en-GB"/>
        </w:rPr>
        <w:t xml:space="preserve">) </w:t>
      </w:r>
      <w:r>
        <w:rPr>
          <w:rFonts w:hint="eastAsia"/>
          <w:lang w:val="en-GB"/>
        </w:rPr>
        <w:t>向剥夺自由场所总监察报告可能属于其管辖的事实或情况；</w:t>
      </w:r>
      <w:r>
        <w:rPr>
          <w:lang w:val="en-GB"/>
        </w:rPr>
        <w:t>5</w:t>
      </w:r>
      <w:r>
        <w:rPr>
          <w:rFonts w:hint="eastAsia"/>
          <w:lang w:val="en-GB"/>
        </w:rPr>
        <w:t xml:space="preserve">) </w:t>
      </w:r>
      <w:r>
        <w:rPr>
          <w:rFonts w:hint="eastAsia"/>
          <w:lang w:val="en-GB"/>
        </w:rPr>
        <w:t>收发邮件；</w:t>
      </w:r>
      <w:r>
        <w:rPr>
          <w:lang w:val="en-GB"/>
        </w:rPr>
        <w:t>6</w:t>
      </w:r>
      <w:r>
        <w:rPr>
          <w:rFonts w:hint="eastAsia"/>
          <w:lang w:val="en-GB"/>
        </w:rPr>
        <w:t xml:space="preserve">) </w:t>
      </w:r>
      <w:r>
        <w:rPr>
          <w:rFonts w:hint="eastAsia"/>
          <w:lang w:val="en-GB"/>
        </w:rPr>
        <w:t>查阅机构内部条例并听取相关解释；</w:t>
      </w:r>
      <w:r>
        <w:rPr>
          <w:lang w:val="en-GB"/>
        </w:rPr>
        <w:t>7</w:t>
      </w:r>
      <w:r>
        <w:rPr>
          <w:rFonts w:hint="eastAsia"/>
          <w:lang w:val="en-GB"/>
        </w:rPr>
        <w:t xml:space="preserve">) </w:t>
      </w:r>
      <w:r>
        <w:rPr>
          <w:rFonts w:hint="eastAsia"/>
          <w:lang w:val="en-GB"/>
        </w:rPr>
        <w:t>行使投票权；</w:t>
      </w:r>
      <w:r>
        <w:rPr>
          <w:lang w:val="en-GB"/>
        </w:rPr>
        <w:t>8</w:t>
      </w:r>
      <w:r>
        <w:rPr>
          <w:rFonts w:hint="eastAsia"/>
          <w:lang w:val="en-GB"/>
        </w:rPr>
        <w:t xml:space="preserve">) </w:t>
      </w:r>
      <w:r>
        <w:rPr>
          <w:rFonts w:hint="eastAsia"/>
          <w:lang w:val="en-GB"/>
        </w:rPr>
        <w:t>从事其所选择的宗教活动或哲学活动。</w:t>
      </w:r>
    </w:p>
    <w:p w:rsidR="00B4256E" w:rsidRDefault="00B4256E">
      <w:pPr>
        <w:pStyle w:val="SingleTxtGC"/>
        <w:rPr>
          <w:lang w:val="en-GB"/>
        </w:rPr>
      </w:pPr>
      <w:r>
        <w:rPr>
          <w:sz w:val="20"/>
          <w:lang w:val="en-GB"/>
        </w:rPr>
        <w:t xml:space="preserve">135.  </w:t>
      </w:r>
      <w:r>
        <w:rPr>
          <w:rFonts w:hint="eastAsia"/>
          <w:lang w:val="en-GB"/>
        </w:rPr>
        <w:t>按照《公共卫生法典》</w:t>
      </w:r>
      <w:r>
        <w:rPr>
          <w:lang w:val="en-GB"/>
        </w:rPr>
        <w:t>L.3211-3</w:t>
      </w:r>
      <w:r>
        <w:rPr>
          <w:rFonts w:hint="eastAsia"/>
          <w:lang w:val="en-GB"/>
        </w:rPr>
        <w:t>条之规定，这些权利，除</w:t>
      </w:r>
      <w:r>
        <w:rPr>
          <w:lang w:val="en-GB"/>
        </w:rPr>
        <w:t>5</w:t>
      </w:r>
      <w:r>
        <w:rPr>
          <w:rFonts w:hint="eastAsia"/>
          <w:lang w:val="en-GB"/>
        </w:rPr>
        <w:t>)</w:t>
      </w:r>
      <w:r>
        <w:rPr>
          <w:rFonts w:hint="eastAsia"/>
          <w:lang w:val="en-GB"/>
        </w:rPr>
        <w:t>、</w:t>
      </w:r>
      <w:r>
        <w:rPr>
          <w:lang w:val="en-GB"/>
        </w:rPr>
        <w:t>7</w:t>
      </w:r>
      <w:r>
        <w:rPr>
          <w:rFonts w:hint="eastAsia"/>
          <w:lang w:val="en-GB"/>
        </w:rPr>
        <w:t>)</w:t>
      </w:r>
      <w:r>
        <w:rPr>
          <w:rFonts w:hint="eastAsia"/>
          <w:lang w:val="en-GB"/>
        </w:rPr>
        <w:t>和</w:t>
      </w:r>
      <w:r>
        <w:rPr>
          <w:lang w:val="en-GB"/>
        </w:rPr>
        <w:t>8</w:t>
      </w:r>
      <w:r>
        <w:rPr>
          <w:rFonts w:hint="eastAsia"/>
          <w:lang w:val="en-GB"/>
        </w:rPr>
        <w:t>)</w:t>
      </w:r>
      <w:r>
        <w:rPr>
          <w:rFonts w:hint="eastAsia"/>
          <w:lang w:val="en-GB"/>
        </w:rPr>
        <w:t>中提到的权利外，可以由可代表病人利益行事的亲属或其他人根据其请求代其行使。</w:t>
      </w:r>
    </w:p>
    <w:p w:rsidR="00B4256E" w:rsidRDefault="00B4256E">
      <w:pPr>
        <w:pStyle w:val="SingleTxtGC"/>
        <w:rPr>
          <w:lang w:val="en-GB"/>
        </w:rPr>
      </w:pPr>
      <w:r>
        <w:rPr>
          <w:sz w:val="20"/>
          <w:lang w:val="en-GB"/>
        </w:rPr>
        <w:t xml:space="preserve">136.  </w:t>
      </w:r>
      <w:r>
        <w:rPr>
          <w:rFonts w:hint="eastAsia"/>
          <w:lang w:val="en-GB"/>
        </w:rPr>
        <w:t>另外，任何不经当事人同意的收治入院措施都可能受到自由和拘留法官的审查，可以选择向该法官提出申诉，该法官也可以按照法律的规定定期核实剥夺自由的必要性和合法性。</w:t>
      </w:r>
    </w:p>
    <w:p w:rsidR="00B4256E" w:rsidRDefault="00B4256E">
      <w:pPr>
        <w:pStyle w:val="SingleTxtGC"/>
        <w:rPr>
          <w:lang w:val="en-GB"/>
        </w:rPr>
      </w:pPr>
      <w:r>
        <w:rPr>
          <w:sz w:val="20"/>
          <w:lang w:val="en-GB"/>
        </w:rPr>
        <w:t xml:space="preserve">137.  </w:t>
      </w:r>
      <w:r>
        <w:rPr>
          <w:rFonts w:hint="eastAsia"/>
          <w:lang w:val="en-GB"/>
        </w:rPr>
        <w:t>《公共卫生法典》第</w:t>
      </w:r>
      <w:r>
        <w:rPr>
          <w:lang w:val="en-GB"/>
        </w:rPr>
        <w:t>3211-12</w:t>
      </w:r>
      <w:r>
        <w:rPr>
          <w:rFonts w:hint="eastAsia"/>
          <w:lang w:val="en-GB"/>
        </w:rPr>
        <w:t>条规定的自行决定的申诉使得可以随时向接收病人的精神病院所在地的自由和拘留法官提出申诉，让法官下令立即解除精神病治疗措施。可以提出申诉的人不但有接受治疗的人而且还有未成年人的父母或监护人、负责保护病人的监护人、配偶、伴侣或与之有民事连带关系协议的人、提出治疗申请的人、亲属或可为接受治疗者的利益行事的人，以及共和国检察官。</w:t>
      </w:r>
    </w:p>
    <w:p w:rsidR="00B4256E" w:rsidRDefault="00B4256E">
      <w:pPr>
        <w:pStyle w:val="SingleTxtGC"/>
        <w:rPr>
          <w:lang w:val="en-GB"/>
        </w:rPr>
      </w:pPr>
      <w:r>
        <w:rPr>
          <w:sz w:val="20"/>
          <w:lang w:val="en-GB"/>
        </w:rPr>
        <w:t xml:space="preserve">138.  </w:t>
      </w:r>
      <w:r>
        <w:rPr>
          <w:rFonts w:hint="eastAsia"/>
          <w:lang w:val="en-GB"/>
        </w:rPr>
        <w:t>自由和拘留法官还可以按规定随时采取行动。为此，任何相关人员都可以向其报告他认为与被采取此种措施的人的情况有关的有用信息。</w:t>
      </w:r>
    </w:p>
    <w:p w:rsidR="00B4256E" w:rsidRDefault="00B4256E">
      <w:pPr>
        <w:pStyle w:val="SingleTxtGC"/>
        <w:rPr>
          <w:lang w:val="en-GB"/>
        </w:rPr>
      </w:pPr>
      <w:r>
        <w:rPr>
          <w:sz w:val="20"/>
          <w:lang w:val="en-GB"/>
        </w:rPr>
        <w:t xml:space="preserve">139.  </w:t>
      </w:r>
      <w:r>
        <w:rPr>
          <w:rFonts w:hint="eastAsia"/>
          <w:lang w:val="en-GB"/>
        </w:rPr>
        <w:t>除了这一可自行决定的申诉可能性外，《公共卫生法典》</w:t>
      </w:r>
      <w:r>
        <w:rPr>
          <w:lang w:val="en-GB"/>
        </w:rPr>
        <w:t>L.3211-12-1</w:t>
      </w:r>
      <w:r>
        <w:rPr>
          <w:rFonts w:hint="eastAsia"/>
          <w:lang w:val="en-GB"/>
        </w:rPr>
        <w:t>条还规定了系统监督，根据该规定，不得继续让一个病人住院，除非自由和拘留法官自宣布该措施起</w:t>
      </w:r>
      <w:r>
        <w:rPr>
          <w:rFonts w:hint="eastAsia"/>
          <w:lang w:val="en-GB"/>
        </w:rPr>
        <w:t>15</w:t>
      </w:r>
      <w:r>
        <w:rPr>
          <w:rFonts w:hint="eastAsia"/>
          <w:lang w:val="en-GB"/>
        </w:rPr>
        <w:t>日内就该措施作出裁决，然后在</w:t>
      </w:r>
      <w:r>
        <w:rPr>
          <w:rFonts w:hint="eastAsia"/>
          <w:lang w:val="en-GB"/>
        </w:rPr>
        <w:t>6</w:t>
      </w:r>
      <w:r>
        <w:rPr>
          <w:rFonts w:hint="eastAsia"/>
          <w:lang w:val="en-GB"/>
        </w:rPr>
        <w:t>个月内再次作出裁决。</w:t>
      </w:r>
    </w:p>
    <w:p w:rsidR="00B4256E" w:rsidRDefault="00B4256E">
      <w:pPr>
        <w:pStyle w:val="SingleTxtGC"/>
        <w:rPr>
          <w:lang w:val="en-GB"/>
        </w:rPr>
      </w:pPr>
      <w:r>
        <w:rPr>
          <w:sz w:val="20"/>
          <w:lang w:val="en-GB"/>
        </w:rPr>
        <w:t xml:space="preserve">140.  </w:t>
      </w:r>
      <w:r>
        <w:rPr>
          <w:rFonts w:hint="eastAsia"/>
          <w:lang w:val="en-GB"/>
        </w:rPr>
        <w:t>法律还规定在每个有权不经当事人同意收治精神病人的医院都必须设置一个登记簿，在</w:t>
      </w:r>
      <w:r>
        <w:rPr>
          <w:rFonts w:hint="eastAsia"/>
          <w:lang w:val="en-GB"/>
        </w:rPr>
        <w:t>24</w:t>
      </w:r>
      <w:r>
        <w:rPr>
          <w:rFonts w:hint="eastAsia"/>
          <w:lang w:val="en-GB"/>
        </w:rPr>
        <w:t>小时内在上面记载或转载根据本章规定接受治疗的人的姓名、职业、年龄和住址；收治入院的日期、申请治疗的人的姓名、职业和住址、应向病人提供的信息的提供日期、关于监护或司法保护的决定</w:t>
      </w:r>
      <w:r>
        <w:rPr>
          <w:rFonts w:hint="eastAsia"/>
          <w:lang w:val="en-GB"/>
        </w:rPr>
        <w:t>(</w:t>
      </w:r>
      <w:r>
        <w:rPr>
          <w:rFonts w:hint="eastAsia"/>
          <w:lang w:val="en-GB"/>
        </w:rPr>
        <w:t>如有的话</w:t>
      </w:r>
      <w:r>
        <w:rPr>
          <w:rFonts w:hint="eastAsia"/>
          <w:lang w:val="en-GB"/>
        </w:rPr>
        <w:t>)</w:t>
      </w:r>
      <w:r>
        <w:rPr>
          <w:rFonts w:hint="eastAsia"/>
          <w:lang w:val="en-GB"/>
        </w:rPr>
        <w:t>、医学证明以及凭据、自由和拘留法官做出的决定的日期和主文、取消精神病治疗措施以及，最后，最终死亡的情况。</w:t>
      </w:r>
    </w:p>
    <w:p w:rsidR="00B4256E" w:rsidRDefault="00B4256E">
      <w:pPr>
        <w:pStyle w:val="SingleTxtGC"/>
        <w:rPr>
          <w:lang w:val="en-GB"/>
        </w:rPr>
      </w:pPr>
      <w:r>
        <w:rPr>
          <w:sz w:val="20"/>
          <w:lang w:val="en-GB"/>
        </w:rPr>
        <w:t xml:space="preserve">141.  </w:t>
      </w:r>
      <w:r>
        <w:rPr>
          <w:rFonts w:hint="eastAsia"/>
          <w:lang w:val="en-GB"/>
        </w:rPr>
        <w:t>该登记簿可提供给视察医院的人</w:t>
      </w:r>
      <w:r>
        <w:rPr>
          <w:rFonts w:hint="eastAsia"/>
          <w:lang w:val="en-GB"/>
        </w:rPr>
        <w:t>(</w:t>
      </w:r>
      <w:r>
        <w:rPr>
          <w:rFonts w:hint="eastAsia"/>
          <w:lang w:val="en-GB"/>
        </w:rPr>
        <w:t>省里的国家代表或其代表、大审法庭庭长或其代表、医院所在地的共和国检察官以及市长或其代表</w:t>
      </w:r>
      <w:r>
        <w:rPr>
          <w:rFonts w:hint="eastAsia"/>
          <w:lang w:val="en-GB"/>
        </w:rPr>
        <w:t>)</w:t>
      </w:r>
      <w:r>
        <w:rPr>
          <w:rFonts w:hint="eastAsia"/>
          <w:lang w:val="en-GB"/>
        </w:rPr>
        <w:t>；这些人在视察结束后要在上面盖章、签名并且，如有必要，留下自己的意见。</w:t>
      </w:r>
    </w:p>
    <w:p w:rsidR="00B4256E" w:rsidRDefault="00B4256E">
      <w:pPr>
        <w:pStyle w:val="H23GC"/>
        <w:rPr>
          <w:rFonts w:hint="eastAsia"/>
          <w:lang w:val="en-GB"/>
        </w:rPr>
      </w:pPr>
      <w:r>
        <w:rPr>
          <w:lang w:val="en-GB"/>
        </w:rPr>
        <w:tab/>
      </w:r>
      <w:r>
        <w:rPr>
          <w:lang w:val="en-GB"/>
        </w:rPr>
        <w:tab/>
      </w:r>
      <w:r>
        <w:rPr>
          <w:rFonts w:hint="eastAsia"/>
          <w:lang w:val="en-GB"/>
        </w:rPr>
        <w:t>关于冲突背景下的剥夺自由</w:t>
      </w:r>
      <w:r>
        <w:rPr>
          <w:rFonts w:hint="eastAsia"/>
          <w:lang w:val="en-GB"/>
        </w:rPr>
        <w:t>(</w:t>
      </w:r>
      <w:r>
        <w:rPr>
          <w:rFonts w:hint="eastAsia"/>
          <w:lang w:val="en-GB"/>
        </w:rPr>
        <w:t>敌军士兵、被俘军人、外国平民、民兵、游击队员、间谍</w:t>
      </w:r>
      <w:r>
        <w:rPr>
          <w:rFonts w:hint="eastAsia"/>
          <w:lang w:val="en-GB"/>
        </w:rPr>
        <w:t>)</w:t>
      </w:r>
    </w:p>
    <w:p w:rsidR="00B4256E" w:rsidRDefault="00B4256E">
      <w:pPr>
        <w:pStyle w:val="SingleTxtGC"/>
        <w:rPr>
          <w:lang w:val="en-GB"/>
        </w:rPr>
      </w:pPr>
      <w:r>
        <w:rPr>
          <w:sz w:val="20"/>
          <w:lang w:val="en-GB"/>
        </w:rPr>
        <w:t xml:space="preserve">142.  </w:t>
      </w:r>
      <w:r>
        <w:rPr>
          <w:rFonts w:hint="eastAsia"/>
          <w:lang w:val="en-GB"/>
        </w:rPr>
        <w:t>国防部将源于国际文书</w:t>
      </w:r>
      <w:r>
        <w:rPr>
          <w:rFonts w:hint="eastAsia"/>
          <w:lang w:val="en-GB"/>
        </w:rPr>
        <w:t>(</w:t>
      </w:r>
      <w:r>
        <w:rPr>
          <w:rFonts w:hint="eastAsia"/>
          <w:lang w:val="en-GB"/>
        </w:rPr>
        <w:t>其中最重要的是《日内瓦公约》及其《附加议定书》</w:t>
      </w:r>
      <w:r>
        <w:rPr>
          <w:rFonts w:hint="eastAsia"/>
          <w:lang w:val="en-GB"/>
        </w:rPr>
        <w:t>)</w:t>
      </w:r>
      <w:r>
        <w:rPr>
          <w:rFonts w:hint="eastAsia"/>
          <w:lang w:val="en-GB"/>
        </w:rPr>
        <w:t>的义务纳入了给参与对外行动的法国部队的指示中。</w:t>
      </w:r>
    </w:p>
    <w:p w:rsidR="00B4256E" w:rsidRDefault="00B4256E">
      <w:pPr>
        <w:pStyle w:val="SingleTxtGC"/>
        <w:rPr>
          <w:lang w:val="en-GB"/>
        </w:rPr>
      </w:pPr>
      <w:r>
        <w:rPr>
          <w:sz w:val="20"/>
          <w:lang w:val="en-GB"/>
        </w:rPr>
        <w:t xml:space="preserve">143.  </w:t>
      </w:r>
      <w:r>
        <w:rPr>
          <w:rFonts w:hint="eastAsia"/>
          <w:lang w:val="en-GB"/>
        </w:rPr>
        <w:t>法国部队在军事行动中的任何俘虏或扣留情况都要向上级机关做详细汇报。向外部机构尤其是红十字国际委员会</w:t>
      </w:r>
      <w:r>
        <w:rPr>
          <w:rFonts w:hint="eastAsia"/>
          <w:lang w:val="en-GB"/>
        </w:rPr>
        <w:t>(</w:t>
      </w:r>
      <w:r>
        <w:rPr>
          <w:rFonts w:hint="eastAsia"/>
          <w:lang w:val="en-GB"/>
        </w:rPr>
        <w:t>红十字委员会</w:t>
      </w:r>
      <w:r>
        <w:rPr>
          <w:rFonts w:hint="eastAsia"/>
          <w:lang w:val="en-GB"/>
        </w:rPr>
        <w:t>)</w:t>
      </w:r>
      <w:r>
        <w:rPr>
          <w:rFonts w:hint="eastAsia"/>
          <w:lang w:val="en-GB"/>
        </w:rPr>
        <w:t>提供的信息中专门提到了与被扣留的人的待遇有关的程序。在国际武装冲突的情况下，一个国家战俘信息办公室将发挥作用，其主要目的是向红十字委员会提供有关被俘人员的情况。</w:t>
      </w:r>
    </w:p>
    <w:p w:rsidR="00B4256E" w:rsidRDefault="00B4256E">
      <w:pPr>
        <w:pStyle w:val="SingleTxtGC"/>
        <w:rPr>
          <w:lang w:val="en-GB"/>
        </w:rPr>
      </w:pPr>
      <w:r>
        <w:rPr>
          <w:sz w:val="20"/>
          <w:lang w:val="en-GB"/>
        </w:rPr>
        <w:t xml:space="preserve">144.  </w:t>
      </w:r>
      <w:r>
        <w:rPr>
          <w:rFonts w:hint="eastAsia"/>
          <w:lang w:val="en-GB"/>
        </w:rPr>
        <w:t>尽可能地在军事负责人身边安置一些法律顾问。他们能提请指挥官注意与国际法和国内法准则相违背的任何行为或任何程序。</w:t>
      </w:r>
    </w:p>
    <w:p w:rsidR="00B4256E" w:rsidRDefault="00B4256E">
      <w:pPr>
        <w:pStyle w:val="SingleTxtGC"/>
        <w:rPr>
          <w:lang w:val="en-GB"/>
        </w:rPr>
      </w:pPr>
      <w:r>
        <w:rPr>
          <w:sz w:val="20"/>
          <w:lang w:val="en-GB"/>
        </w:rPr>
        <w:t xml:space="preserve">145.  </w:t>
      </w:r>
      <w:r>
        <w:rPr>
          <w:rFonts w:hint="eastAsia"/>
          <w:lang w:val="en-GB"/>
        </w:rPr>
        <w:t>在对外行动中，有可能因技术原因或安全原因，与被扣留的人有关的信息无法在最短期限内</w:t>
      </w:r>
      <w:r>
        <w:rPr>
          <w:rFonts w:hint="eastAsia"/>
          <w:lang w:val="en-GB"/>
        </w:rPr>
        <w:t>(</w:t>
      </w:r>
      <w:r>
        <w:rPr>
          <w:rFonts w:hint="eastAsia"/>
          <w:lang w:val="en-GB"/>
        </w:rPr>
        <w:t>人被扣留在船上或被一个孤立的单位扣留</w:t>
      </w:r>
      <w:r>
        <w:rPr>
          <w:rFonts w:hint="eastAsia"/>
          <w:lang w:val="en-GB"/>
        </w:rPr>
        <w:t>)</w:t>
      </w:r>
      <w:r>
        <w:rPr>
          <w:rFonts w:hint="eastAsia"/>
          <w:lang w:val="en-GB"/>
        </w:rPr>
        <w:t>被转交的情况。不过，现行程序一般要求想方设法尽可能缩短俘获与转交信息之间的这一期限。</w:t>
      </w:r>
    </w:p>
    <w:p w:rsidR="00B4256E" w:rsidRDefault="00B4256E">
      <w:pPr>
        <w:pStyle w:val="H23GC"/>
        <w:rPr>
          <w:lang w:val="en-GB"/>
        </w:rPr>
      </w:pPr>
      <w:r>
        <w:rPr>
          <w:rFonts w:hint="eastAsia"/>
          <w:lang w:val="en-GB"/>
        </w:rPr>
        <w:tab/>
      </w:r>
      <w:r>
        <w:rPr>
          <w:rFonts w:hint="eastAsia"/>
          <w:lang w:val="en-GB"/>
        </w:rPr>
        <w:tab/>
      </w:r>
      <w:r>
        <w:rPr>
          <w:rFonts w:hint="eastAsia"/>
          <w:lang w:val="en-GB"/>
        </w:rPr>
        <w:t>所有剥夺自由形式的共同保障措施</w:t>
      </w:r>
    </w:p>
    <w:p w:rsidR="00B4256E" w:rsidRDefault="00B4256E">
      <w:pPr>
        <w:pStyle w:val="SingleTxtGC"/>
        <w:rPr>
          <w:lang w:val="en-GB"/>
        </w:rPr>
      </w:pPr>
      <w:r>
        <w:rPr>
          <w:sz w:val="20"/>
          <w:lang w:val="en-GB"/>
        </w:rPr>
        <w:t xml:space="preserve">146.  </w:t>
      </w:r>
      <w:r>
        <w:rPr>
          <w:rFonts w:hint="eastAsia"/>
          <w:lang w:val="en-GB"/>
        </w:rPr>
        <w:t>除了司法部、内政部、卫生部和国防部特有的内部监察机制，法国法律以及几项国际文书还规定了一些对剥夺自由场所的外部监察机制。</w:t>
      </w:r>
    </w:p>
    <w:p w:rsidR="00B4256E" w:rsidRDefault="00B4256E">
      <w:pPr>
        <w:pStyle w:val="SingleTxtGC"/>
        <w:rPr>
          <w:lang w:val="en-GB"/>
        </w:rPr>
      </w:pPr>
      <w:r>
        <w:rPr>
          <w:sz w:val="20"/>
          <w:lang w:val="en-GB"/>
        </w:rPr>
        <w:t xml:space="preserve">147.  </w:t>
      </w:r>
      <w:r>
        <w:rPr>
          <w:rFonts w:hint="eastAsia"/>
          <w:lang w:val="en-GB"/>
        </w:rPr>
        <w:t>《刑事诉讼法典》第</w:t>
      </w:r>
      <w:r>
        <w:rPr>
          <w:rFonts w:hint="eastAsia"/>
          <w:lang w:val="en-GB"/>
        </w:rPr>
        <w:t>719</w:t>
      </w:r>
      <w:r>
        <w:rPr>
          <w:rFonts w:hint="eastAsia"/>
          <w:lang w:val="en-GB"/>
        </w:rPr>
        <w:t>条首先授予了议员对剥夺自由场所的视察权，规定“众议员和参议员以及法国选入欧洲议会的代表有权在任何时候视察拘留场所、拘留中心、等待区和监狱”。</w:t>
      </w:r>
    </w:p>
    <w:p w:rsidR="00B4256E" w:rsidRDefault="00B4256E">
      <w:pPr>
        <w:pStyle w:val="SingleTxtGC"/>
        <w:rPr>
          <w:lang w:val="en-GB"/>
        </w:rPr>
      </w:pPr>
      <w:r>
        <w:rPr>
          <w:sz w:val="20"/>
          <w:lang w:val="en-GB"/>
        </w:rPr>
        <w:t xml:space="preserve">148.  </w:t>
      </w:r>
      <w:r>
        <w:rPr>
          <w:rFonts w:hint="eastAsia"/>
          <w:lang w:val="en-GB"/>
        </w:rPr>
        <w:t>此外检查和视察剥夺自由场所的任务被赋予了作为个人自由的维护者的司法当局。这一任务体现为由一些《刑事诉讼法典》具体指定的法官负责履行的义务：</w:t>
      </w:r>
    </w:p>
    <w:p w:rsidR="00B4256E" w:rsidRDefault="00B4256E">
      <w:pPr>
        <w:pStyle w:val="Bullet1GC"/>
        <w:rPr>
          <w:lang w:val="en-GB"/>
        </w:rPr>
      </w:pPr>
      <w:r>
        <w:rPr>
          <w:rFonts w:hint="eastAsia"/>
          <w:lang w:val="en-GB"/>
        </w:rPr>
        <w:t>该法典第</w:t>
      </w:r>
      <w:r>
        <w:rPr>
          <w:rFonts w:hint="eastAsia"/>
          <w:lang w:val="en-GB"/>
        </w:rPr>
        <w:t>727</w:t>
      </w:r>
      <w:r>
        <w:rPr>
          <w:rFonts w:hint="eastAsia"/>
          <w:lang w:val="en-GB"/>
        </w:rPr>
        <w:t>条笼统地规定“执行刑罚的法官、预审法官、重罪庭庭长以及第</w:t>
      </w:r>
      <w:r>
        <w:rPr>
          <w:rFonts w:hint="eastAsia"/>
          <w:lang w:val="en-GB"/>
        </w:rPr>
        <w:t>222</w:t>
      </w:r>
      <w:r>
        <w:rPr>
          <w:rFonts w:hint="eastAsia"/>
          <w:lang w:val="en-GB"/>
        </w:rPr>
        <w:t>条所述共和国检察官和检察长应视察监狱”；</w:t>
      </w:r>
    </w:p>
    <w:p w:rsidR="00B4256E" w:rsidRDefault="00B4256E">
      <w:pPr>
        <w:pStyle w:val="Bullet1GC"/>
        <w:rPr>
          <w:lang w:val="en-GB"/>
        </w:rPr>
      </w:pPr>
      <w:r>
        <w:rPr>
          <w:lang w:val="en-GB"/>
        </w:rPr>
        <w:t>D.178</w:t>
      </w:r>
      <w:r>
        <w:rPr>
          <w:rFonts w:hint="eastAsia"/>
          <w:lang w:val="en-GB"/>
        </w:rPr>
        <w:t>条规定共和国检察官和检察长应视察监狱，检察官应每个季度到各个监狱去一次，必要的话应去得更勤，主要是为了听取囚犯提出的要求，而检察长应每年至少视察一次上诉法院所属各监狱；</w:t>
      </w:r>
    </w:p>
    <w:p w:rsidR="00B4256E" w:rsidRDefault="00B4256E">
      <w:pPr>
        <w:pStyle w:val="Bullet1GC"/>
        <w:rPr>
          <w:lang w:val="en-GB"/>
        </w:rPr>
      </w:pPr>
      <w:r>
        <w:rPr>
          <w:lang w:val="en-GB"/>
        </w:rPr>
        <w:t>D.176</w:t>
      </w:r>
      <w:r>
        <w:rPr>
          <w:rFonts w:hint="eastAsia"/>
          <w:lang w:val="en-GB"/>
        </w:rPr>
        <w:t>条规定执行刑罚的法官应每月至少视察一次监狱，以核查被判刑者服刑的监狱的条件，并向主管当局报告其观察结果，以便采取后续行动；</w:t>
      </w:r>
    </w:p>
    <w:p w:rsidR="00B4256E" w:rsidRDefault="00B4256E">
      <w:pPr>
        <w:pStyle w:val="Bullet1GC"/>
        <w:rPr>
          <w:lang w:val="en-GB"/>
        </w:rPr>
      </w:pPr>
      <w:r>
        <w:rPr>
          <w:rFonts w:hint="eastAsia"/>
          <w:lang w:val="en-GB"/>
        </w:rPr>
        <w:t>第</w:t>
      </w:r>
      <w:r>
        <w:rPr>
          <w:lang w:val="en-GB"/>
        </w:rPr>
        <w:t>222</w:t>
      </w:r>
      <w:r>
        <w:rPr>
          <w:rFonts w:hint="eastAsia"/>
          <w:lang w:val="en-GB"/>
        </w:rPr>
        <w:t>条规定预审庭庭长应视需要并且每个季度至少一次视察上诉法院所属拘留所，核实那里面被暂时拘留审查的人的情况；</w:t>
      </w:r>
    </w:p>
    <w:p w:rsidR="00B4256E" w:rsidRDefault="00B4256E">
      <w:pPr>
        <w:pStyle w:val="Bullet1GC"/>
        <w:rPr>
          <w:lang w:val="en-GB"/>
        </w:rPr>
      </w:pPr>
      <w:r>
        <w:rPr>
          <w:lang w:val="en-GB"/>
        </w:rPr>
        <w:t>D.177</w:t>
      </w:r>
      <w:r>
        <w:rPr>
          <w:rFonts w:hint="eastAsia"/>
          <w:lang w:val="en-GB"/>
        </w:rPr>
        <w:t>条规定预审法官也可视察拘留所，在认为必要的时候探视里面的刑事被告，儿童法官也一样，儿童法官每年应至少视察一次拘留所，核实那里面拘留未成年人的条件。</w:t>
      </w:r>
    </w:p>
    <w:p w:rsidR="00B4256E" w:rsidRDefault="00B4256E">
      <w:pPr>
        <w:pStyle w:val="SingleTxtGC"/>
        <w:rPr>
          <w:lang w:val="en-GB"/>
        </w:rPr>
      </w:pPr>
      <w:r>
        <w:rPr>
          <w:sz w:val="20"/>
          <w:lang w:val="en-GB"/>
        </w:rPr>
        <w:t xml:space="preserve">149.  </w:t>
      </w:r>
      <w:r>
        <w:rPr>
          <w:rFonts w:hint="eastAsia"/>
          <w:lang w:val="en-GB"/>
        </w:rPr>
        <w:t>相同的条款适用于等待区和行政拘留场所</w:t>
      </w:r>
      <w:r>
        <w:rPr>
          <w:lang w:val="en-GB"/>
        </w:rPr>
        <w:t>(</w:t>
      </w:r>
      <w:r>
        <w:rPr>
          <w:rFonts w:hint="eastAsia"/>
          <w:lang w:val="en-GB"/>
        </w:rPr>
        <w:t>《</w:t>
      </w:r>
      <w:r>
        <w:rPr>
          <w:lang w:val="en-GB"/>
        </w:rPr>
        <w:t>外国人入境和居留以及避难权法典</w:t>
      </w:r>
      <w:r>
        <w:rPr>
          <w:rFonts w:hint="eastAsia"/>
          <w:lang w:val="en-GB"/>
        </w:rPr>
        <w:t>》</w:t>
      </w:r>
      <w:r>
        <w:rPr>
          <w:lang w:val="en-GB"/>
        </w:rPr>
        <w:t>L.553-3</w:t>
      </w:r>
      <w:r>
        <w:rPr>
          <w:rFonts w:hint="eastAsia"/>
          <w:lang w:val="en-GB"/>
        </w:rPr>
        <w:t>条</w:t>
      </w:r>
      <w:r>
        <w:rPr>
          <w:lang w:val="en-GB"/>
        </w:rPr>
        <w:t>)</w:t>
      </w:r>
      <w:r>
        <w:rPr>
          <w:rFonts w:hint="eastAsia"/>
          <w:lang w:val="en-GB"/>
        </w:rPr>
        <w:t>以及精神病院</w:t>
      </w:r>
      <w:r>
        <w:rPr>
          <w:lang w:val="en-GB"/>
        </w:rPr>
        <w:t>(</w:t>
      </w:r>
      <w:r>
        <w:rPr>
          <w:rFonts w:hint="eastAsia"/>
          <w:lang w:val="en-GB"/>
        </w:rPr>
        <w:t>《公共卫生法典》</w:t>
      </w:r>
      <w:r>
        <w:rPr>
          <w:lang w:val="en-GB"/>
        </w:rPr>
        <w:t>L.322-4</w:t>
      </w:r>
      <w:r>
        <w:rPr>
          <w:rFonts w:hint="eastAsia"/>
          <w:lang w:val="en-GB"/>
        </w:rPr>
        <w:t>条</w:t>
      </w:r>
      <w:r>
        <w:rPr>
          <w:lang w:val="en-GB"/>
        </w:rPr>
        <w:t>)</w:t>
      </w:r>
      <w:r>
        <w:rPr>
          <w:rFonts w:hint="eastAsia"/>
          <w:lang w:val="en-GB"/>
        </w:rPr>
        <w:t>。</w:t>
      </w:r>
    </w:p>
    <w:p w:rsidR="00B4256E" w:rsidRDefault="00B4256E">
      <w:pPr>
        <w:pStyle w:val="SingleTxtGC"/>
        <w:rPr>
          <w:lang w:val="en-GB"/>
        </w:rPr>
      </w:pPr>
      <w:r>
        <w:rPr>
          <w:sz w:val="20"/>
          <w:lang w:val="en-GB"/>
        </w:rPr>
        <w:t xml:space="preserve">150.  </w:t>
      </w:r>
      <w:r>
        <w:rPr>
          <w:rFonts w:hint="eastAsia"/>
          <w:lang w:val="en-GB"/>
        </w:rPr>
        <w:t>除了司法当局应担负这一监察任务外，一些旨在保护基本权利尤其是在剥夺自由情况下的基本权利的国家和国际机构的监督权也得到了承认。</w:t>
      </w:r>
    </w:p>
    <w:p w:rsidR="00B4256E" w:rsidRDefault="00B4256E">
      <w:pPr>
        <w:pStyle w:val="SingleTxtGC"/>
        <w:rPr>
          <w:lang w:val="en-GB"/>
        </w:rPr>
      </w:pPr>
      <w:r>
        <w:rPr>
          <w:sz w:val="20"/>
          <w:lang w:val="en-GB"/>
        </w:rPr>
        <w:t xml:space="preserve">151.  </w:t>
      </w:r>
      <w:r>
        <w:rPr>
          <w:rFonts w:hint="eastAsia"/>
          <w:lang w:val="en-GB"/>
        </w:rPr>
        <w:t>权限特别大的机构</w:t>
      </w:r>
      <w:r>
        <w:rPr>
          <w:rFonts w:hint="eastAsia"/>
          <w:spacing w:val="-60"/>
          <w:lang w:val="en-GB"/>
        </w:rPr>
        <w:t>―</w:t>
      </w:r>
      <w:r>
        <w:rPr>
          <w:rFonts w:hint="eastAsia"/>
          <w:spacing w:val="10"/>
          <w:lang w:val="en-GB"/>
        </w:rPr>
        <w:t>―</w:t>
      </w:r>
      <w:r>
        <w:rPr>
          <w:rFonts w:hint="eastAsia"/>
          <w:lang w:val="en-GB"/>
        </w:rPr>
        <w:t>人权保护官是一个符合《宪法》的独立的权力机关，以前被赋予共和国调解人、儿童保护官、打击歧视和争取平等高级权力机关以及国家安全伦理委员会的任务都归其所有。尤其是，以最后一个机构的名义，人权保护官可以受理自认为是治安力量虐待或报复行为受害人或见证人的人的申诉，这里的治安部队是广义的</w:t>
      </w:r>
      <w:r>
        <w:rPr>
          <w:rFonts w:hint="eastAsia"/>
          <w:lang w:val="en-GB"/>
        </w:rPr>
        <w:t>(</w:t>
      </w:r>
      <w:r>
        <w:rPr>
          <w:rFonts w:hint="eastAsia"/>
          <w:lang w:val="en-GB"/>
        </w:rPr>
        <w:t>警察、宪兵、监狱行政人员、治安人员等等</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152.  </w:t>
      </w:r>
      <w:r>
        <w:rPr>
          <w:rFonts w:hint="eastAsia"/>
          <w:lang w:val="en-GB"/>
        </w:rPr>
        <w:t>在区域一级发挥类似作用的欧洲人权委员会在</w:t>
      </w:r>
      <w:r>
        <w:rPr>
          <w:rFonts w:hint="eastAsia"/>
          <w:lang w:val="en-GB"/>
        </w:rPr>
        <w:t>1999</w:t>
      </w:r>
      <w:r>
        <w:rPr>
          <w:rFonts w:hint="eastAsia"/>
          <w:lang w:val="en-GB"/>
        </w:rPr>
        <w:t>年由欧洲委员会作为一个独立和公正的非司法机构设立，其任务是在欧洲委员会</w:t>
      </w:r>
      <w:r>
        <w:rPr>
          <w:rFonts w:hint="eastAsia"/>
          <w:lang w:val="en-GB"/>
        </w:rPr>
        <w:t>47</w:t>
      </w:r>
      <w:r>
        <w:rPr>
          <w:rFonts w:hint="eastAsia"/>
          <w:lang w:val="en-GB"/>
        </w:rPr>
        <w:t>个成员国促进人权意识的提高和对人权的尊重。在执行其任务中，他可以视察可能出现与人权有关的问题的机构</w:t>
      </w:r>
      <w:r>
        <w:rPr>
          <w:rFonts w:hint="eastAsia"/>
          <w:lang w:val="en-GB"/>
        </w:rPr>
        <w:t>(</w:t>
      </w:r>
      <w:r>
        <w:rPr>
          <w:rFonts w:hint="eastAsia"/>
          <w:lang w:val="en-GB"/>
        </w:rPr>
        <w:t>监狱、精神病院、家庭暴力受害者之家、难民营、行政拘留中心……</w:t>
      </w:r>
      <w:r>
        <w:rPr>
          <w:rFonts w:hint="eastAsia"/>
          <w:lang w:val="en-GB"/>
        </w:rPr>
        <w:t>)</w:t>
      </w:r>
      <w:r>
        <w:rPr>
          <w:rFonts w:hint="eastAsia"/>
          <w:lang w:val="en-GB"/>
        </w:rPr>
        <w:t>。被视察的成员国保证为其行动和接触提供便利，并向其提供所要求的一切信息。</w:t>
      </w:r>
    </w:p>
    <w:p w:rsidR="00B4256E" w:rsidRDefault="00B4256E">
      <w:pPr>
        <w:pStyle w:val="SingleTxtGC"/>
        <w:rPr>
          <w:lang w:val="en-GB"/>
        </w:rPr>
      </w:pPr>
      <w:r>
        <w:rPr>
          <w:sz w:val="20"/>
          <w:lang w:val="en-GB"/>
        </w:rPr>
        <w:t xml:space="preserve">153. </w:t>
      </w:r>
      <w:r>
        <w:rPr>
          <w:rFonts w:hint="eastAsia"/>
          <w:sz w:val="20"/>
          <w:lang w:val="en-GB"/>
        </w:rPr>
        <w:t xml:space="preserve"> </w:t>
      </w:r>
      <w:r>
        <w:rPr>
          <w:rFonts w:hint="eastAsia"/>
          <w:lang w:val="en-GB"/>
        </w:rPr>
        <w:t>至于被剥夺自由者，根据</w:t>
      </w:r>
      <w:r>
        <w:rPr>
          <w:rFonts w:hint="eastAsia"/>
          <w:lang w:val="en-GB"/>
        </w:rPr>
        <w:t>2007</w:t>
      </w:r>
      <w:r>
        <w:rPr>
          <w:rFonts w:hint="eastAsia"/>
          <w:lang w:val="en-GB"/>
        </w:rPr>
        <w:t>年</w:t>
      </w:r>
      <w:r>
        <w:rPr>
          <w:rFonts w:hint="eastAsia"/>
          <w:lang w:val="en-GB"/>
        </w:rPr>
        <w:t>10</w:t>
      </w:r>
      <w:r>
        <w:rPr>
          <w:rFonts w:hint="eastAsia"/>
          <w:lang w:val="en-GB"/>
        </w:rPr>
        <w:t>月</w:t>
      </w:r>
      <w:r>
        <w:rPr>
          <w:rFonts w:hint="eastAsia"/>
          <w:lang w:val="en-GB"/>
        </w:rPr>
        <w:t>30</w:t>
      </w:r>
      <w:r>
        <w:rPr>
          <w:rFonts w:hint="eastAsia"/>
          <w:lang w:val="en-GB"/>
        </w:rPr>
        <w:t>日的法律设立了剥夺自由场所总监察，作为《禁止酷刑和其他残忍、不人道或有辱人格的待遇或处罚公约任择议定书》第</w:t>
      </w:r>
      <w:r>
        <w:rPr>
          <w:rFonts w:hint="eastAsia"/>
          <w:lang w:val="en-GB"/>
        </w:rPr>
        <w:t>17</w:t>
      </w:r>
      <w:r>
        <w:rPr>
          <w:rFonts w:hint="eastAsia"/>
          <w:lang w:val="en-GB"/>
        </w:rPr>
        <w:t>条意义上的法国“预防酷刑国家机制”。剥夺自由场所总监察负责监督对待和转移被剥夺自由者的条件，以确保其基本权利受到尊重。他有权在任何时候视察任何剥夺自由场所并与他认为有必要听取其陈述的人私下交谈。任何自然人以及任何以尊重基本权利为宗旨的法人</w:t>
      </w:r>
      <w:r>
        <w:rPr>
          <w:rFonts w:hint="eastAsia"/>
          <w:lang w:val="en-GB"/>
        </w:rPr>
        <w:t>(</w:t>
      </w:r>
      <w:r>
        <w:rPr>
          <w:rFonts w:hint="eastAsia"/>
          <w:lang w:val="en-GB"/>
        </w:rPr>
        <w:t>协会、非政府组织等</w:t>
      </w:r>
      <w:r>
        <w:rPr>
          <w:rFonts w:hint="eastAsia"/>
          <w:lang w:val="en-GB"/>
        </w:rPr>
        <w:t>)</w:t>
      </w:r>
      <w:r>
        <w:rPr>
          <w:rFonts w:hint="eastAsia"/>
          <w:lang w:val="en-GB"/>
        </w:rPr>
        <w:t>都可以向总监察报告侵犯被拘留者基本权利的事实或情况。经过调查后，总监察将自己的意见告知主管当局，主管当局应在规定期限内做出回应。他应该向共和国检察官报告向他指出的刑事犯罪，还可以向主管惩戒当局报告。他可以提出意见和建议并提出立法或条例建议。</w:t>
      </w:r>
    </w:p>
    <w:p w:rsidR="00B4256E" w:rsidRDefault="00B4256E">
      <w:pPr>
        <w:pStyle w:val="SingleTxtGC"/>
        <w:rPr>
          <w:lang w:val="en-GB"/>
        </w:rPr>
      </w:pPr>
      <w:r>
        <w:rPr>
          <w:sz w:val="20"/>
          <w:lang w:val="en-GB"/>
        </w:rPr>
        <w:t xml:space="preserve">154.  </w:t>
      </w:r>
      <w:r>
        <w:rPr>
          <w:rFonts w:hint="eastAsia"/>
          <w:lang w:val="en-GB"/>
        </w:rPr>
        <w:t>另外两个预防酷刑的机制也有相同的特权和权限，这两个机制是：全球级别的防范酷刑小组委员会和欧洲委员会级别的欧洲防止酷刑委员会，欧洲防止酷刑委员会自设立以来对法国进行了</w:t>
      </w:r>
      <w:r>
        <w:rPr>
          <w:rFonts w:hint="eastAsia"/>
          <w:lang w:val="en-GB"/>
        </w:rPr>
        <w:t>11</w:t>
      </w:r>
      <w:r>
        <w:rPr>
          <w:rFonts w:hint="eastAsia"/>
          <w:lang w:val="en-GB"/>
        </w:rPr>
        <w:t>次访问。</w:t>
      </w:r>
    </w:p>
    <w:p w:rsidR="00B4256E" w:rsidRDefault="00B4256E">
      <w:pPr>
        <w:pStyle w:val="H23GC"/>
        <w:rPr>
          <w:lang w:val="en-GB"/>
        </w:rPr>
      </w:pPr>
      <w:r>
        <w:rPr>
          <w:rFonts w:hint="eastAsia"/>
          <w:lang w:val="en-GB"/>
        </w:rPr>
        <w:tab/>
      </w:r>
      <w:r>
        <w:rPr>
          <w:rFonts w:hint="eastAsia"/>
          <w:lang w:val="en-GB"/>
        </w:rPr>
        <w:tab/>
      </w:r>
      <w:r>
        <w:rPr>
          <w:rFonts w:hint="eastAsia"/>
          <w:lang w:val="en-GB"/>
        </w:rPr>
        <w:t>关于第十七条第二款第</w:t>
      </w:r>
      <w:r>
        <w:rPr>
          <w:rFonts w:hint="eastAsia"/>
          <w:lang w:val="en-GB"/>
        </w:rPr>
        <w:t>(</w:t>
      </w:r>
      <w:r>
        <w:rPr>
          <w:rFonts w:hint="eastAsia"/>
          <w:lang w:val="en-GB"/>
        </w:rPr>
        <w:t>六</w:t>
      </w:r>
      <w:r>
        <w:rPr>
          <w:rFonts w:hint="eastAsia"/>
          <w:lang w:val="en-GB"/>
        </w:rPr>
        <w:t>)</w:t>
      </w:r>
      <w:r>
        <w:rPr>
          <w:rFonts w:hint="eastAsia"/>
          <w:lang w:val="en-GB"/>
        </w:rPr>
        <w:t>项规定的申诉</w:t>
      </w:r>
    </w:p>
    <w:p w:rsidR="00B4256E" w:rsidRDefault="00B4256E">
      <w:pPr>
        <w:pStyle w:val="SingleTxtGC"/>
        <w:rPr>
          <w:lang w:val="en-GB"/>
        </w:rPr>
      </w:pPr>
      <w:r>
        <w:rPr>
          <w:sz w:val="20"/>
          <w:lang w:val="en-GB"/>
        </w:rPr>
        <w:t xml:space="preserve">155.  </w:t>
      </w:r>
      <w:r>
        <w:rPr>
          <w:rFonts w:hint="eastAsia"/>
          <w:lang w:val="en-GB"/>
        </w:rPr>
        <w:t>除了被剥夺自由者可以根据法律决定提出申诉外，第十七条第二款第</w:t>
      </w:r>
      <w:r>
        <w:rPr>
          <w:rFonts w:hint="eastAsia"/>
          <w:lang w:val="en-GB"/>
        </w:rPr>
        <w:t>(</w:t>
      </w:r>
      <w:r>
        <w:rPr>
          <w:rFonts w:hint="eastAsia"/>
          <w:lang w:val="en-GB"/>
        </w:rPr>
        <w:t>六</w:t>
      </w:r>
      <w:r>
        <w:rPr>
          <w:rFonts w:hint="eastAsia"/>
          <w:lang w:val="en-GB"/>
        </w:rPr>
        <w:t>)</w:t>
      </w:r>
      <w:r>
        <w:rPr>
          <w:rFonts w:hint="eastAsia"/>
          <w:lang w:val="en-GB"/>
        </w:rPr>
        <w:t>项规定，在遭受强迫失踪的人无法得到法律保护，因此无法行使法律规定的这项权利的情况下，有合法利益的第三人可以提起诉讼。</w:t>
      </w:r>
    </w:p>
    <w:p w:rsidR="00B4256E" w:rsidRDefault="00B4256E">
      <w:pPr>
        <w:pStyle w:val="SingleTxtGC"/>
        <w:rPr>
          <w:lang w:val="en-GB"/>
        </w:rPr>
      </w:pPr>
      <w:r>
        <w:rPr>
          <w:sz w:val="20"/>
          <w:lang w:val="en-GB"/>
        </w:rPr>
        <w:t xml:space="preserve">156.  </w:t>
      </w:r>
      <w:r>
        <w:rPr>
          <w:rFonts w:hint="eastAsia"/>
          <w:lang w:val="en-GB"/>
        </w:rPr>
        <w:t>按照推测，只有在非法剥夺自由的情况下才能行使这一起诉权。因此，其目的必然不是指出相关的剥夺自由行为是否合法</w:t>
      </w:r>
      <w:r>
        <w:rPr>
          <w:rFonts w:hint="eastAsia"/>
          <w:spacing w:val="-60"/>
          <w:lang w:val="en-GB"/>
        </w:rPr>
        <w:t>―</w:t>
      </w:r>
      <w:r>
        <w:rPr>
          <w:rFonts w:hint="eastAsia"/>
          <w:spacing w:val="10"/>
          <w:lang w:val="en-GB"/>
        </w:rPr>
        <w:t>―</w:t>
      </w:r>
      <w:r>
        <w:rPr>
          <w:rFonts w:hint="eastAsia"/>
          <w:lang w:val="en-GB"/>
        </w:rPr>
        <w:t>不可能合法</w:t>
      </w:r>
      <w:r>
        <w:rPr>
          <w:rFonts w:hint="eastAsia"/>
          <w:spacing w:val="-60"/>
          <w:lang w:val="en-GB"/>
        </w:rPr>
        <w:t>―</w:t>
      </w:r>
      <w:r>
        <w:rPr>
          <w:rFonts w:hint="eastAsia"/>
          <w:spacing w:val="10"/>
          <w:lang w:val="en-GB"/>
        </w:rPr>
        <w:t>―</w:t>
      </w:r>
      <w:r>
        <w:rPr>
          <w:rFonts w:hint="eastAsia"/>
          <w:lang w:val="en-GB"/>
        </w:rPr>
        <w:t>，而是，更明确地确认行为的非法性，以便通过一切方式快速查明和逮捕作案者，使受害人摆脱其控制。</w:t>
      </w:r>
    </w:p>
    <w:p w:rsidR="00B4256E" w:rsidRDefault="00B4256E">
      <w:pPr>
        <w:pStyle w:val="SingleTxtGC"/>
        <w:rPr>
          <w:lang w:val="en-GB"/>
        </w:rPr>
      </w:pPr>
      <w:r>
        <w:rPr>
          <w:sz w:val="20"/>
          <w:lang w:val="en-GB"/>
        </w:rPr>
        <w:t xml:space="preserve">157.  </w:t>
      </w:r>
      <w:r>
        <w:rPr>
          <w:rFonts w:hint="eastAsia"/>
          <w:lang w:val="en-GB"/>
        </w:rPr>
        <w:t>这样设计的这一求助手段在法国国内法中也有同样的规定：任何人如果拥有让人怀疑发生了强迫失踪案件的证据，都可以向共和国检察官提出起诉，或者向预审法官提出附带民事损害赔偿要求的起诉，以便展开司法调查，在司法调查中司法当局拥有广泛的权利，正如上文与《公约》第十二条有关的评论中所阐述的。</w:t>
      </w:r>
    </w:p>
    <w:p w:rsidR="00B4256E" w:rsidRDefault="00B4256E">
      <w:pPr>
        <w:pStyle w:val="H1GC"/>
        <w:rPr>
          <w:lang w:val="en-GB"/>
        </w:rPr>
      </w:pPr>
      <w:r>
        <w:rPr>
          <w:rFonts w:hint="eastAsia"/>
          <w:lang w:val="en-GB"/>
        </w:rPr>
        <w:tab/>
      </w:r>
      <w:r>
        <w:rPr>
          <w:rFonts w:hint="eastAsia"/>
          <w:lang w:val="en-GB"/>
        </w:rPr>
        <w:tab/>
      </w:r>
      <w:r>
        <w:rPr>
          <w:rFonts w:hint="eastAsia"/>
          <w:lang w:val="en-GB"/>
        </w:rPr>
        <w:t>第十八条</w:t>
      </w:r>
      <w:r>
        <w:rPr>
          <w:rFonts w:hint="eastAsia"/>
          <w:lang w:val="en-GB"/>
        </w:rPr>
        <w:br/>
      </w:r>
      <w:r>
        <w:rPr>
          <w:rFonts w:hint="eastAsia"/>
          <w:lang w:val="en-GB"/>
        </w:rPr>
        <w:t>关于被拘留者的信息</w:t>
      </w:r>
    </w:p>
    <w:p w:rsidR="00B4256E" w:rsidRDefault="00B4256E">
      <w:pPr>
        <w:pStyle w:val="SingleTxtGC"/>
        <w:rPr>
          <w:lang w:val="en-GB"/>
        </w:rPr>
      </w:pPr>
      <w:r>
        <w:rPr>
          <w:sz w:val="20"/>
          <w:lang w:val="en-GB"/>
        </w:rPr>
        <w:t xml:space="preserve">158.  </w:t>
      </w:r>
      <w:r>
        <w:rPr>
          <w:rFonts w:hint="eastAsia"/>
          <w:lang w:val="en-GB"/>
        </w:rPr>
        <w:t>正如上文在关于《公约》第十七条的评论中所指出的，任何被拘留的人都应被告知按照《刑事诉讼法典》第</w:t>
      </w:r>
      <w:r>
        <w:rPr>
          <w:lang w:val="en-GB"/>
        </w:rPr>
        <w:t>63-2</w:t>
      </w:r>
      <w:r>
        <w:rPr>
          <w:rFonts w:hint="eastAsia"/>
          <w:lang w:val="en-GB"/>
        </w:rPr>
        <w:t>条之规定，他尤其享有让人通知他的一名近亲以及雇主的权利。</w:t>
      </w:r>
    </w:p>
    <w:p w:rsidR="00B4256E" w:rsidRDefault="00B4256E">
      <w:pPr>
        <w:pStyle w:val="SingleTxtGC"/>
        <w:rPr>
          <w:lang w:val="en-GB"/>
        </w:rPr>
      </w:pPr>
      <w:r>
        <w:rPr>
          <w:sz w:val="20"/>
          <w:lang w:val="en-GB"/>
        </w:rPr>
        <w:t xml:space="preserve">159.  </w:t>
      </w:r>
      <w:r>
        <w:rPr>
          <w:rFonts w:hint="eastAsia"/>
          <w:lang w:val="en-GB"/>
        </w:rPr>
        <w:t>同样，遭到临时拘留的人可以在某些条件下接受探视，并且在一个月后法官无论如何不能拒绝签发至少一张探视许可证，除非是通过有充分理由的决定，对这样的决定可以提出上诉。</w:t>
      </w:r>
    </w:p>
    <w:p w:rsidR="00B4256E" w:rsidRDefault="00B4256E">
      <w:pPr>
        <w:pStyle w:val="SingleTxtGC"/>
        <w:rPr>
          <w:lang w:val="en-GB"/>
        </w:rPr>
      </w:pPr>
      <w:r>
        <w:rPr>
          <w:sz w:val="20"/>
          <w:lang w:val="en-GB"/>
        </w:rPr>
        <w:t xml:space="preserve">160.  </w:t>
      </w:r>
      <w:r>
        <w:rPr>
          <w:rFonts w:hint="eastAsia"/>
          <w:lang w:val="en-GB"/>
        </w:rPr>
        <w:t>此外，被扣留在等待区的人，遭到行政拘留的人或者被精神病院收治的人得到承认的通信权不受任何限制。</w:t>
      </w:r>
    </w:p>
    <w:p w:rsidR="00B4256E" w:rsidRDefault="00B4256E">
      <w:pPr>
        <w:pStyle w:val="SingleTxtGC"/>
        <w:rPr>
          <w:lang w:val="en-GB"/>
        </w:rPr>
      </w:pPr>
      <w:r>
        <w:rPr>
          <w:sz w:val="20"/>
          <w:lang w:val="en-GB"/>
        </w:rPr>
        <w:t xml:space="preserve">161.  </w:t>
      </w:r>
      <w:r>
        <w:rPr>
          <w:rFonts w:hint="eastAsia"/>
          <w:lang w:val="en-GB"/>
        </w:rPr>
        <w:t>在这些条件下，法国法律无论如何都保障被剥夺自由的人的近亲属的知情权，但这些权利的实施由被剥夺自由的人决定，事实上，还应保障尊重私生活的权利。</w:t>
      </w:r>
    </w:p>
    <w:p w:rsidR="00B4256E" w:rsidRDefault="00B4256E">
      <w:pPr>
        <w:pStyle w:val="SingleTxtGC"/>
        <w:rPr>
          <w:lang w:val="en-GB"/>
        </w:rPr>
      </w:pPr>
      <w:r>
        <w:rPr>
          <w:sz w:val="20"/>
          <w:lang w:val="en-GB"/>
        </w:rPr>
        <w:t xml:space="preserve">162.  </w:t>
      </w:r>
      <w:r>
        <w:rPr>
          <w:rFonts w:hint="eastAsia"/>
          <w:lang w:val="en-GB"/>
        </w:rPr>
        <w:t>这样在知情权与私生活受到尊重的权利之间实现的折中让人想起</w:t>
      </w:r>
      <w:r>
        <w:rPr>
          <w:rFonts w:hint="eastAsia"/>
          <w:lang w:val="en-GB"/>
        </w:rPr>
        <w:t>1963</w:t>
      </w:r>
      <w:r>
        <w:rPr>
          <w:rFonts w:hint="eastAsia"/>
          <w:lang w:val="en-GB"/>
        </w:rPr>
        <w:t>年</w:t>
      </w:r>
      <w:r>
        <w:rPr>
          <w:rFonts w:hint="eastAsia"/>
          <w:lang w:val="en-GB"/>
        </w:rPr>
        <w:t>4</w:t>
      </w:r>
      <w:r>
        <w:rPr>
          <w:rFonts w:hint="eastAsia"/>
          <w:lang w:val="en-GB"/>
        </w:rPr>
        <w:t>月</w:t>
      </w:r>
      <w:r>
        <w:rPr>
          <w:rFonts w:hint="eastAsia"/>
          <w:lang w:val="en-GB"/>
        </w:rPr>
        <w:t>24</w:t>
      </w:r>
      <w:r>
        <w:rPr>
          <w:rFonts w:hint="eastAsia"/>
          <w:lang w:val="en-GB"/>
        </w:rPr>
        <w:t>日的《维也纳公约》在领事保护方面也是这么做的，该公约第</w:t>
      </w:r>
      <w:r>
        <w:rPr>
          <w:rFonts w:hint="eastAsia"/>
          <w:lang w:val="en-GB"/>
        </w:rPr>
        <w:t>36</w:t>
      </w:r>
      <w:r>
        <w:rPr>
          <w:rFonts w:hint="eastAsia"/>
          <w:lang w:val="en-GB"/>
        </w:rPr>
        <w:t>条规定在被剥夺自由的人明确提出要求的情况下才有义务通知领事机关。</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第十九条</w:t>
      </w:r>
      <w:r>
        <w:rPr>
          <w:rFonts w:hint="eastAsia"/>
          <w:lang w:val="en-GB"/>
        </w:rPr>
        <w:br/>
      </w:r>
      <w:r>
        <w:rPr>
          <w:rFonts w:hint="eastAsia"/>
          <w:lang w:val="en-GB"/>
        </w:rPr>
        <w:t>保护个人资料</w:t>
      </w:r>
    </w:p>
    <w:p w:rsidR="00B4256E" w:rsidRDefault="00B4256E">
      <w:pPr>
        <w:pStyle w:val="SingleTxtGC"/>
        <w:rPr>
          <w:lang w:val="en-GB"/>
        </w:rPr>
      </w:pPr>
      <w:r>
        <w:rPr>
          <w:sz w:val="20"/>
          <w:lang w:val="en-GB"/>
        </w:rPr>
        <w:t xml:space="preserve">163.  </w:t>
      </w:r>
      <w:r>
        <w:rPr>
          <w:rFonts w:hint="eastAsia"/>
          <w:lang w:val="en-GB"/>
        </w:rPr>
        <w:t>法国当局采取了许多措施，以保障在为搜寻失踪人员而收集、保存和使用个人资料中尊重人权、基本自由和人格尊严。</w:t>
      </w:r>
    </w:p>
    <w:p w:rsidR="00B4256E" w:rsidRDefault="00B4256E">
      <w:pPr>
        <w:pStyle w:val="SingleTxtGC"/>
        <w:rPr>
          <w:lang w:val="en-GB"/>
        </w:rPr>
      </w:pPr>
      <w:r>
        <w:rPr>
          <w:sz w:val="20"/>
          <w:lang w:val="en-GB"/>
        </w:rPr>
        <w:t xml:space="preserve">164.  </w:t>
      </w:r>
      <w:r>
        <w:rPr>
          <w:rFonts w:hint="eastAsia"/>
          <w:lang w:val="en-GB"/>
        </w:rPr>
        <w:t>在搜寻失踪人员方面，法国当局借助于两个档案，这两个档案的使用有着严格的规定。</w:t>
      </w:r>
    </w:p>
    <w:p w:rsidR="00B4256E" w:rsidRDefault="00B4256E">
      <w:pPr>
        <w:pStyle w:val="SingleTxtGC"/>
        <w:rPr>
          <w:lang w:val="en-GB"/>
        </w:rPr>
      </w:pPr>
      <w:r>
        <w:rPr>
          <w:sz w:val="20"/>
          <w:lang w:val="en-GB"/>
        </w:rPr>
        <w:t xml:space="preserve">165.  </w:t>
      </w:r>
      <w:r>
        <w:rPr>
          <w:rFonts w:hint="eastAsia"/>
          <w:lang w:val="en-GB"/>
        </w:rPr>
        <w:t>国家基因标记自动化档案主要是为了方便借助直系卑亲属和直系尊亲属来鉴定和搜寻失踪人员。该档案由内政部负责，由一名保障个人自由的法官监督，一个由司法部长任命的三人委员会提供协助。这名法官有权经常查阅该档案并进入该档案所在的地方，特别是可以下令删除非法记录。此外，在考虑到档案的目的保存似乎不再必要的情况下，可以按规定或根据当事人的请求修订或提前删除这些资料</w:t>
      </w:r>
      <w:r>
        <w:rPr>
          <w:rFonts w:hint="eastAsia"/>
          <w:lang w:val="en-GB"/>
        </w:rPr>
        <w:t>(</w:t>
      </w:r>
      <w:r>
        <w:rPr>
          <w:rFonts w:hint="eastAsia"/>
          <w:lang w:val="en-GB"/>
        </w:rPr>
        <w:t>《刑事诉讼法典》第</w:t>
      </w:r>
      <w:r>
        <w:rPr>
          <w:lang w:val="en-GB"/>
        </w:rPr>
        <w:t>706-54</w:t>
      </w:r>
      <w:r>
        <w:rPr>
          <w:rFonts w:hint="eastAsia"/>
          <w:lang w:val="en-GB"/>
        </w:rPr>
        <w:t>条</w:t>
      </w:r>
      <w:r>
        <w:rPr>
          <w:rFonts w:hint="eastAsia"/>
          <w:lang w:val="en-GB"/>
        </w:rPr>
        <w:t>)</w:t>
      </w:r>
      <w:r>
        <w:rPr>
          <w:rFonts w:hint="eastAsia"/>
          <w:lang w:val="en-GB"/>
        </w:rPr>
        <w:t>。在拒绝这样做的情况下，当事人可以诉诸于自由和拘留法官，对该法官做出的决定可以上诉至预审庭庭长。宪法委员会曾裁定国家基因标记自动化档案符合《宪法》所保障的权利和自由</w:t>
      </w:r>
      <w:r>
        <w:rPr>
          <w:rFonts w:hint="eastAsia"/>
          <w:lang w:val="en-GB"/>
        </w:rPr>
        <w:t>(2010</w:t>
      </w:r>
      <w:r>
        <w:rPr>
          <w:rFonts w:hint="eastAsia"/>
          <w:lang w:val="en-GB"/>
        </w:rPr>
        <w:t>年</w:t>
      </w:r>
      <w:r>
        <w:rPr>
          <w:rFonts w:hint="eastAsia"/>
          <w:lang w:val="en-GB"/>
        </w:rPr>
        <w:t>9</w:t>
      </w:r>
      <w:r>
        <w:rPr>
          <w:rFonts w:hint="eastAsia"/>
          <w:lang w:val="en-GB"/>
        </w:rPr>
        <w:t>月</w:t>
      </w:r>
      <w:r>
        <w:rPr>
          <w:rFonts w:hint="eastAsia"/>
          <w:lang w:val="en-GB"/>
        </w:rPr>
        <w:t>16</w:t>
      </w:r>
      <w:r>
        <w:rPr>
          <w:rFonts w:hint="eastAsia"/>
          <w:lang w:val="en-GB"/>
        </w:rPr>
        <w:t>日第</w:t>
      </w:r>
      <w:r>
        <w:rPr>
          <w:lang w:val="en-GB"/>
        </w:rPr>
        <w:t>2010-25 QPC</w:t>
      </w:r>
      <w:r>
        <w:rPr>
          <w:rFonts w:hint="eastAsia"/>
          <w:lang w:val="en-GB"/>
        </w:rPr>
        <w:t>号裁决</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166.  </w:t>
      </w:r>
      <w:r>
        <w:rPr>
          <w:rFonts w:hint="eastAsia"/>
          <w:lang w:val="en-GB"/>
        </w:rPr>
        <w:t>被搜寻人员档案登记的是全国范围内所有被司法当局、警察局和宪兵队、行政机关或军事当局在其法律权限范围内搜寻的人。所记录的人员资料包括身份、别名、性别、国籍、体貌特征</w:t>
      </w:r>
      <w:r>
        <w:rPr>
          <w:rFonts w:hint="eastAsia"/>
          <w:lang w:val="en-GB"/>
        </w:rPr>
        <w:t>(</w:t>
      </w:r>
      <w:r>
        <w:rPr>
          <w:rFonts w:hint="eastAsia"/>
          <w:lang w:val="en-GB"/>
        </w:rPr>
        <w:t>可能附有照片</w:t>
      </w:r>
      <w:r>
        <w:rPr>
          <w:rFonts w:hint="eastAsia"/>
          <w:lang w:val="en-GB"/>
        </w:rPr>
        <w:t>)</w:t>
      </w:r>
      <w:r>
        <w:rPr>
          <w:rFonts w:hint="eastAsia"/>
          <w:lang w:val="en-GB"/>
        </w:rPr>
        <w:t>以及搜寻原因。被搜寻人员档案的目的是方便警察局和宪兵队根据司法、军事或行政当局的要求进行搜寻。该档案由内政部负责。在完成搜寻工作或登记的理由消失的情况下应立即删除资料。对关系到国家安全、国防或公共安全的信息修订了行使查阅和更正权的方式。查阅通过国家信息和自由委员会进行，该委员会指定一名法官来进行调查，并在必要时作必要修订。该程序的目的是保持这些处理的合目的性，同时不剥夺当事人的权利。在登记的目的涉及根据家庭成员的请求进行搜寻的失踪人员时，直接查阅程序适用，也就是说有关人员应直接去找负责处理的机构，即内政部。</w:t>
      </w:r>
    </w:p>
    <w:p w:rsidR="00B4256E" w:rsidRDefault="00B4256E">
      <w:pPr>
        <w:pStyle w:val="SingleTxtGC"/>
        <w:rPr>
          <w:lang w:val="en-GB"/>
        </w:rPr>
      </w:pPr>
      <w:r>
        <w:rPr>
          <w:sz w:val="20"/>
          <w:lang w:val="en-GB"/>
        </w:rPr>
        <w:t xml:space="preserve">167.  </w:t>
      </w:r>
      <w:r>
        <w:rPr>
          <w:rFonts w:hint="eastAsia"/>
          <w:lang w:val="en-GB"/>
        </w:rPr>
        <w:t>指纹自动化档案可以记录在为寻找《刑事诉讼法典》第</w:t>
      </w:r>
      <w:r>
        <w:rPr>
          <w:lang w:val="en-GB"/>
        </w:rPr>
        <w:t>74-1</w:t>
      </w:r>
      <w:r>
        <w:rPr>
          <w:rFonts w:hint="eastAsia"/>
          <w:lang w:val="en-GB"/>
        </w:rPr>
        <w:t>条和第</w:t>
      </w:r>
      <w:r>
        <w:rPr>
          <w:lang w:val="en-GB"/>
        </w:rPr>
        <w:t>80-4</w:t>
      </w:r>
      <w:r>
        <w:rPr>
          <w:rFonts w:hint="eastAsia"/>
          <w:lang w:val="en-GB"/>
        </w:rPr>
        <w:t>条所述令人担忧的失踪或可疑失踪的原因而进行的调查或预审过程中发现的线索。所记录的信息的最长保留期限是</w:t>
      </w:r>
      <w:r>
        <w:rPr>
          <w:rFonts w:hint="eastAsia"/>
          <w:lang w:val="en-GB"/>
        </w:rPr>
        <w:t>25</w:t>
      </w:r>
      <w:r>
        <w:rPr>
          <w:rFonts w:hint="eastAsia"/>
          <w:lang w:val="en-GB"/>
        </w:rPr>
        <w:t>年，除非提前进行删除，尤其是在负责处理信息的人被告知人员已经死亡或被发现时。</w:t>
      </w:r>
    </w:p>
    <w:p w:rsidR="00B4256E" w:rsidRDefault="00B4256E">
      <w:pPr>
        <w:pStyle w:val="SingleTxtGC"/>
        <w:rPr>
          <w:lang w:val="en-GB"/>
        </w:rPr>
      </w:pPr>
      <w:r>
        <w:rPr>
          <w:sz w:val="20"/>
          <w:lang w:val="en-GB"/>
        </w:rPr>
        <w:t xml:space="preserve">168.  </w:t>
      </w:r>
      <w:r>
        <w:rPr>
          <w:rFonts w:hint="eastAsia"/>
          <w:lang w:val="en-GB"/>
        </w:rPr>
        <w:t>上述</w:t>
      </w:r>
      <w:r>
        <w:rPr>
          <w:rFonts w:hint="eastAsia"/>
          <w:lang w:val="en-GB"/>
        </w:rPr>
        <w:t>1978</w:t>
      </w:r>
      <w:r>
        <w:rPr>
          <w:rFonts w:hint="eastAsia"/>
          <w:lang w:val="en-GB"/>
        </w:rPr>
        <w:t>年</w:t>
      </w:r>
      <w:r>
        <w:rPr>
          <w:rFonts w:hint="eastAsia"/>
          <w:lang w:val="en-GB"/>
        </w:rPr>
        <w:t>1</w:t>
      </w:r>
      <w:r>
        <w:rPr>
          <w:rFonts w:hint="eastAsia"/>
          <w:lang w:val="en-GB"/>
        </w:rPr>
        <w:t>月</w:t>
      </w:r>
      <w:r>
        <w:rPr>
          <w:rFonts w:hint="eastAsia"/>
          <w:lang w:val="en-GB"/>
        </w:rPr>
        <w:t>6</w:t>
      </w:r>
      <w:r>
        <w:rPr>
          <w:rFonts w:hint="eastAsia"/>
          <w:lang w:val="en-GB"/>
        </w:rPr>
        <w:t>日的法律对这些档案的使用权做了规定。该法律严格规定了设立和使用此种档案的条件，这使得所有基本权利和自由得到了保障。因此，只有得到授权的人员才可以在其合法权限内使用这些档案，并且只是出于完成赋予其的任务的需要。此外，在内政部和省政府中指定了“信息和自由顾问”，以确保相关工作人员在使用档案中遵守规定。此外，对咨询要做记录，这样就可以查明提供咨询意见的顾问以及咨询的日期、时间和目的。数据的保存不得超过实现收集和处理数据的目的所需的期限。就国家基因标记自动化档案而言，失踪人员资料的保存期限是</w:t>
      </w:r>
      <w:r>
        <w:rPr>
          <w:rFonts w:hint="eastAsia"/>
          <w:lang w:val="en-GB"/>
        </w:rPr>
        <w:t>40</w:t>
      </w:r>
      <w:r>
        <w:rPr>
          <w:rFonts w:hint="eastAsia"/>
          <w:lang w:val="en-GB"/>
        </w:rPr>
        <w:t>年，就被搜寻人员档案而言，登记的理由不同，期限也不同。</w:t>
      </w:r>
    </w:p>
    <w:p w:rsidR="00B4256E" w:rsidRDefault="00B4256E">
      <w:pPr>
        <w:pStyle w:val="SingleTxtGC"/>
        <w:rPr>
          <w:lang w:val="en-GB"/>
        </w:rPr>
      </w:pPr>
      <w:r>
        <w:rPr>
          <w:sz w:val="20"/>
          <w:lang w:val="en-GB"/>
        </w:rPr>
        <w:t xml:space="preserve">169.  </w:t>
      </w:r>
      <w:r>
        <w:rPr>
          <w:rFonts w:hint="eastAsia"/>
          <w:lang w:val="en-GB"/>
        </w:rPr>
        <w:t>1978</w:t>
      </w:r>
      <w:r>
        <w:rPr>
          <w:rFonts w:hint="eastAsia"/>
          <w:lang w:val="en-GB"/>
        </w:rPr>
        <w:t>年</w:t>
      </w:r>
      <w:r>
        <w:rPr>
          <w:rFonts w:hint="eastAsia"/>
          <w:lang w:val="en-GB"/>
        </w:rPr>
        <w:t>1</w:t>
      </w:r>
      <w:r>
        <w:rPr>
          <w:rFonts w:hint="eastAsia"/>
          <w:lang w:val="en-GB"/>
        </w:rPr>
        <w:t>月</w:t>
      </w:r>
      <w:r>
        <w:rPr>
          <w:rFonts w:hint="eastAsia"/>
          <w:lang w:val="en-GB"/>
        </w:rPr>
        <w:t>6</w:t>
      </w:r>
      <w:r>
        <w:rPr>
          <w:rFonts w:hint="eastAsia"/>
          <w:lang w:val="en-GB"/>
        </w:rPr>
        <w:t>日的法律还设立了国家信息和自由委员会，主要负责确保在使用和保存个人资料中尊重基本权利和自由。其独立行政当局的地位赋予了其合法性以及权力，使得其可以保护公民，确保公民在与其有关的数据处理中有效查阅数据。该委员会监督信息系统的安全性，确保采取一切预防措施，防止数据被篡改或被传输给未经授权的人。此外，在不遵守法律规定的情况下，该委员会有惩处权。在严重和直接侵犯权利和自由的情况下，国家信息和自由委员会主席可以紧急请求法官下令采取一切可维护这些权利和自由的措施。</w:t>
      </w:r>
    </w:p>
    <w:p w:rsidR="00B4256E" w:rsidRDefault="00B4256E">
      <w:pPr>
        <w:pStyle w:val="H1GC"/>
        <w:rPr>
          <w:lang w:val="en-GB"/>
        </w:rPr>
      </w:pPr>
      <w:r>
        <w:rPr>
          <w:rFonts w:hint="eastAsia"/>
          <w:lang w:val="en-GB"/>
        </w:rPr>
        <w:tab/>
      </w:r>
      <w:r>
        <w:rPr>
          <w:rFonts w:hint="eastAsia"/>
          <w:lang w:val="en-GB"/>
        </w:rPr>
        <w:tab/>
      </w:r>
      <w:r>
        <w:rPr>
          <w:rFonts w:hint="eastAsia"/>
          <w:lang w:val="en-GB"/>
        </w:rPr>
        <w:t>第二十条</w:t>
      </w:r>
      <w:r>
        <w:rPr>
          <w:rFonts w:hint="eastAsia"/>
          <w:lang w:val="en-GB"/>
        </w:rPr>
        <w:br/>
      </w:r>
      <w:r>
        <w:rPr>
          <w:rFonts w:hint="eastAsia"/>
          <w:lang w:val="en-GB"/>
        </w:rPr>
        <w:t>对知情权的限制</w:t>
      </w:r>
    </w:p>
    <w:p w:rsidR="00B4256E" w:rsidRDefault="00B4256E">
      <w:pPr>
        <w:pStyle w:val="SingleTxtGC"/>
        <w:rPr>
          <w:lang w:val="en-GB"/>
        </w:rPr>
      </w:pPr>
      <w:r>
        <w:rPr>
          <w:sz w:val="20"/>
          <w:lang w:val="en-GB"/>
        </w:rPr>
        <w:t xml:space="preserve">170.  </w:t>
      </w:r>
      <w:r>
        <w:rPr>
          <w:rFonts w:hint="eastAsia"/>
          <w:lang w:val="en-GB"/>
        </w:rPr>
        <w:t>关于第二十条第一款的规定可参见上文就《公约》第十八条作出的评论。</w:t>
      </w:r>
    </w:p>
    <w:p w:rsidR="00B4256E" w:rsidRDefault="00B4256E">
      <w:pPr>
        <w:pStyle w:val="SingleTxtGC"/>
        <w:rPr>
          <w:lang w:val="en-GB"/>
        </w:rPr>
      </w:pPr>
      <w:r>
        <w:rPr>
          <w:sz w:val="20"/>
          <w:lang w:val="en-GB"/>
        </w:rPr>
        <w:t xml:space="preserve">171.  </w:t>
      </w:r>
      <w:r>
        <w:rPr>
          <w:rFonts w:hint="eastAsia"/>
          <w:lang w:val="en-GB"/>
        </w:rPr>
        <w:t>此外，该条第二款规定的起诉在法国法律中被认为在内容和目的上与《公约》第十七条第二款第</w:t>
      </w:r>
      <w:r>
        <w:rPr>
          <w:rFonts w:hint="eastAsia"/>
          <w:lang w:val="en-GB"/>
        </w:rPr>
        <w:t>(</w:t>
      </w:r>
      <w:r>
        <w:rPr>
          <w:rFonts w:hint="eastAsia"/>
          <w:lang w:val="en-GB"/>
        </w:rPr>
        <w:t>六</w:t>
      </w:r>
      <w:r>
        <w:rPr>
          <w:rFonts w:hint="eastAsia"/>
          <w:lang w:val="en-GB"/>
        </w:rPr>
        <w:t>)</w:t>
      </w:r>
      <w:r>
        <w:rPr>
          <w:rFonts w:hint="eastAsia"/>
          <w:lang w:val="en-GB"/>
        </w:rPr>
        <w:t>项规定的起诉基本相同。因此，可参考关于这一条的评论。</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第二十一条</w:t>
      </w:r>
      <w:r>
        <w:rPr>
          <w:rFonts w:hint="eastAsia"/>
          <w:lang w:val="en-GB"/>
        </w:rPr>
        <w:br/>
      </w:r>
      <w:r>
        <w:rPr>
          <w:rFonts w:hint="eastAsia"/>
          <w:lang w:val="en-GB"/>
        </w:rPr>
        <w:t>释放</w:t>
      </w:r>
    </w:p>
    <w:p w:rsidR="00B4256E" w:rsidRDefault="00B4256E">
      <w:pPr>
        <w:pStyle w:val="SingleTxtGC"/>
        <w:rPr>
          <w:lang w:val="en-GB"/>
        </w:rPr>
      </w:pPr>
      <w:r>
        <w:rPr>
          <w:sz w:val="20"/>
          <w:lang w:val="en-GB"/>
        </w:rPr>
        <w:t xml:space="preserve">172.  </w:t>
      </w:r>
      <w:r>
        <w:rPr>
          <w:rFonts w:hint="eastAsia"/>
          <w:lang w:val="en-GB"/>
        </w:rPr>
        <w:t>关于被关押在监狱里的情况，《刑事诉讼法典》</w:t>
      </w:r>
      <w:r>
        <w:rPr>
          <w:lang w:val="en-GB"/>
        </w:rPr>
        <w:t>D.149</w:t>
      </w:r>
      <w:r>
        <w:rPr>
          <w:rFonts w:hint="eastAsia"/>
          <w:lang w:val="en-GB"/>
        </w:rPr>
        <w:t>条第</w:t>
      </w:r>
      <w:r>
        <w:rPr>
          <w:rFonts w:hint="eastAsia"/>
          <w:lang w:val="en-GB"/>
        </w:rPr>
        <w:t>4</w:t>
      </w:r>
      <w:r>
        <w:rPr>
          <w:rFonts w:hint="eastAsia"/>
          <w:lang w:val="en-GB"/>
        </w:rPr>
        <w:t>款明确规定“囚犯出狱的日期以及，如必要，作为释放理由的决定或法律文本，也应在入狱登记表上注明”，按照该法典</w:t>
      </w:r>
      <w:r>
        <w:rPr>
          <w:lang w:val="en-GB"/>
        </w:rPr>
        <w:t>D.148</w:t>
      </w:r>
      <w:r>
        <w:rPr>
          <w:rFonts w:hint="eastAsia"/>
          <w:lang w:val="en-GB"/>
        </w:rPr>
        <w:t>条之规定，各监狱的入狱登记簿应提交各司法当局以及对监狱进行总体监察的行政当局，以便进行监督和检查。</w:t>
      </w:r>
    </w:p>
    <w:p w:rsidR="00B4256E" w:rsidRDefault="00B4256E">
      <w:pPr>
        <w:pStyle w:val="SingleTxtGC"/>
        <w:rPr>
          <w:lang w:val="en-GB"/>
        </w:rPr>
      </w:pPr>
      <w:r>
        <w:rPr>
          <w:sz w:val="20"/>
          <w:lang w:val="en-GB"/>
        </w:rPr>
        <w:t xml:space="preserve">173.  </w:t>
      </w:r>
      <w:r>
        <w:rPr>
          <w:rFonts w:hint="eastAsia"/>
          <w:lang w:val="en-GB"/>
        </w:rPr>
        <w:t>在采取拘留措施的情况下，释放被采取此种措施的人必须在一个专门的登记簿上注明，关于该登记簿，《刑事诉讼法典》第</w:t>
      </w:r>
      <w:r>
        <w:rPr>
          <w:rFonts w:hint="eastAsia"/>
          <w:lang w:val="en-GB"/>
        </w:rPr>
        <w:t>65</w:t>
      </w:r>
      <w:r>
        <w:rPr>
          <w:rFonts w:hint="eastAsia"/>
          <w:lang w:val="en-GB"/>
        </w:rPr>
        <w:t>条规定，“第</w:t>
      </w:r>
      <w:r>
        <w:rPr>
          <w:rFonts w:hint="eastAsia"/>
          <w:lang w:val="en-GB"/>
        </w:rPr>
        <w:t>64</w:t>
      </w:r>
      <w:r>
        <w:rPr>
          <w:rFonts w:hint="eastAsia"/>
          <w:lang w:val="en-GB"/>
        </w:rPr>
        <w:t>条第</w:t>
      </w:r>
      <w:r>
        <w:rPr>
          <w:rFonts w:hint="eastAsia"/>
          <w:lang w:val="en-GB"/>
        </w:rPr>
        <w:t>1</w:t>
      </w:r>
      <w:r>
        <w:rPr>
          <w:rFonts w:hint="eastAsia"/>
          <w:lang w:val="en-GB"/>
        </w:rPr>
        <w:t>款所述关于拘留开始和结束的日期和时间、审讯期限以及审讯中间的休息情况的记载事项和签名也应登记在一个所有可接收被拘留者的警察局或宪兵队为此设置的一个专门的登记簿上”。</w:t>
      </w:r>
    </w:p>
    <w:p w:rsidR="00B4256E" w:rsidRDefault="00B4256E">
      <w:pPr>
        <w:pStyle w:val="SingleTxtGC"/>
        <w:rPr>
          <w:lang w:val="en-GB"/>
        </w:rPr>
      </w:pPr>
      <w:r>
        <w:rPr>
          <w:sz w:val="20"/>
          <w:lang w:val="en-GB"/>
        </w:rPr>
        <w:t xml:space="preserve">174.  </w:t>
      </w:r>
      <w:r>
        <w:rPr>
          <w:rFonts w:hint="eastAsia"/>
          <w:lang w:val="en-GB"/>
        </w:rPr>
        <w:t>在采取不经同意收治入院措施的情况下，一旦主治医生提出要求，省里的国家代表可解除精神病治疗措施，并且一旦有两名精神科医生提出解除要求，就必须这么做。在解除不经同意进行精神病治疗的措施后</w:t>
      </w:r>
      <w:r>
        <w:rPr>
          <w:rFonts w:hint="eastAsia"/>
          <w:lang w:val="en-GB"/>
        </w:rPr>
        <w:t>24</w:t>
      </w:r>
      <w:r>
        <w:rPr>
          <w:rFonts w:hint="eastAsia"/>
          <w:lang w:val="en-GB"/>
        </w:rPr>
        <w:t>小时内应通知接收该病人的医院所在地区的大审法庭的共和国检察官、病人定居或居留地的大审法庭的共和国检察官、医院所在市的市长以及病人定居或居留地的市长、省精神病治疗委员会、接受治疗的人的家人以及，必要时，负责向当事人提供司法保护的人。</w:t>
      </w:r>
    </w:p>
    <w:p w:rsidR="00B4256E" w:rsidRDefault="00B4256E">
      <w:pPr>
        <w:pStyle w:val="SingleTxtGC"/>
        <w:rPr>
          <w:lang w:val="en-GB"/>
        </w:rPr>
      </w:pPr>
      <w:r>
        <w:rPr>
          <w:sz w:val="20"/>
          <w:lang w:val="en-GB"/>
        </w:rPr>
        <w:t xml:space="preserve">175.  </w:t>
      </w:r>
      <w:r>
        <w:rPr>
          <w:rFonts w:hint="eastAsia"/>
          <w:lang w:val="en-GB"/>
        </w:rPr>
        <w:t>如果是由医院负责人下令解除精神病治疗措施的，该负责人应在</w:t>
      </w:r>
      <w:r>
        <w:rPr>
          <w:rFonts w:hint="eastAsia"/>
          <w:lang w:val="en-GB"/>
        </w:rPr>
        <w:t>24</w:t>
      </w:r>
      <w:r>
        <w:rPr>
          <w:rFonts w:hint="eastAsia"/>
          <w:lang w:val="en-GB"/>
        </w:rPr>
        <w:t>小时内将该情况通知省里的国家代表、省精神病治疗委员会、共和国检察官和提出治疗申请的人。</w:t>
      </w:r>
    </w:p>
    <w:p w:rsidR="00B4256E" w:rsidRDefault="00B4256E">
      <w:pPr>
        <w:pStyle w:val="H1GC"/>
        <w:rPr>
          <w:lang w:val="en-GB"/>
        </w:rPr>
      </w:pPr>
      <w:r>
        <w:rPr>
          <w:rFonts w:hint="eastAsia"/>
          <w:lang w:val="en-GB"/>
        </w:rPr>
        <w:tab/>
      </w:r>
      <w:r>
        <w:rPr>
          <w:rFonts w:hint="eastAsia"/>
          <w:lang w:val="en-GB"/>
        </w:rPr>
        <w:tab/>
      </w:r>
      <w:r>
        <w:rPr>
          <w:rFonts w:hint="eastAsia"/>
          <w:lang w:val="en-GB"/>
        </w:rPr>
        <w:t>第二十二条</w:t>
      </w:r>
      <w:r>
        <w:rPr>
          <w:rFonts w:hint="eastAsia"/>
          <w:lang w:val="en-GB"/>
        </w:rPr>
        <w:br/>
      </w:r>
      <w:r>
        <w:rPr>
          <w:rFonts w:hint="eastAsia"/>
          <w:lang w:val="en-GB"/>
        </w:rPr>
        <w:t>对阻碍和不履行告知义务的惩处</w:t>
      </w:r>
    </w:p>
    <w:p w:rsidR="00B4256E" w:rsidRDefault="00B4256E">
      <w:pPr>
        <w:pStyle w:val="SingleTxtGC"/>
        <w:rPr>
          <w:lang w:val="en-GB"/>
        </w:rPr>
      </w:pPr>
      <w:r>
        <w:rPr>
          <w:sz w:val="20"/>
          <w:lang w:val="en-GB"/>
        </w:rPr>
        <w:t xml:space="preserve">176.  </w:t>
      </w:r>
      <w:r>
        <w:rPr>
          <w:rFonts w:hint="eastAsia"/>
          <w:lang w:val="en-GB"/>
        </w:rPr>
        <w:t>正如上文关于执行《公约》第十二条规定的阐述中所指出的，任何旨在妨碍司法运行的企图都要受到刑事制裁。</w:t>
      </w:r>
    </w:p>
    <w:p w:rsidR="00B4256E" w:rsidRDefault="00B4256E">
      <w:pPr>
        <w:pStyle w:val="SingleTxtGC"/>
        <w:rPr>
          <w:lang w:val="en-GB"/>
        </w:rPr>
      </w:pPr>
      <w:r>
        <w:rPr>
          <w:sz w:val="20"/>
          <w:lang w:val="en-GB"/>
        </w:rPr>
        <w:t xml:space="preserve">177.  </w:t>
      </w:r>
      <w:r>
        <w:rPr>
          <w:rFonts w:hint="eastAsia"/>
          <w:lang w:val="en-GB"/>
        </w:rPr>
        <w:t>此外，如果不正确设置剥夺自由情况登记簿或者拒绝提供有关被剥夺自由者的情况，根据不作为或拒绝的理由，可予以刑事制裁、纪律处罚，甚至除有关人员要承担责任外，国家也要承担责任。</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第二十三条</w:t>
      </w:r>
      <w:r>
        <w:rPr>
          <w:rFonts w:hint="eastAsia"/>
          <w:lang w:val="en-GB"/>
        </w:rPr>
        <w:br/>
      </w:r>
      <w:r>
        <w:rPr>
          <w:rFonts w:hint="eastAsia"/>
          <w:lang w:val="en-GB"/>
        </w:rPr>
        <w:t>培训</w:t>
      </w:r>
    </w:p>
    <w:p w:rsidR="00B4256E" w:rsidRDefault="00B4256E">
      <w:pPr>
        <w:pStyle w:val="SingleTxtGC"/>
        <w:rPr>
          <w:lang w:val="en-GB"/>
        </w:rPr>
      </w:pPr>
      <w:r>
        <w:rPr>
          <w:sz w:val="20"/>
          <w:lang w:val="en-GB"/>
        </w:rPr>
        <w:t xml:space="preserve">178.  </w:t>
      </w:r>
      <w:r>
        <w:rPr>
          <w:rFonts w:hint="eastAsia"/>
          <w:lang w:val="en-GB"/>
        </w:rPr>
        <w:t>法国致力于推动治安力量的人权培训，以避免发生侵犯被讯问或拘留的人的权利的情况。</w:t>
      </w:r>
    </w:p>
    <w:p w:rsidR="00B4256E" w:rsidRDefault="00B4256E">
      <w:pPr>
        <w:pStyle w:val="SingleTxtGC"/>
        <w:rPr>
          <w:lang w:val="en-GB"/>
        </w:rPr>
      </w:pPr>
      <w:r>
        <w:rPr>
          <w:sz w:val="20"/>
          <w:lang w:val="en-GB"/>
        </w:rPr>
        <w:t xml:space="preserve">179.  </w:t>
      </w:r>
      <w:r>
        <w:rPr>
          <w:rFonts w:hint="eastAsia"/>
          <w:lang w:val="en-GB"/>
        </w:rPr>
        <w:t>所有警察局和宪兵队的工作人员，不论属于哪个队伍或级别，都要参加培训。例如，对治安警察学员的初始培训在与职业道德、公众自由和基本权利有关的教学框架内涉及人权。与接待公众和身份检查有关的实际演练强调警员基于其所面对的对象类别</w:t>
      </w:r>
      <w:r>
        <w:rPr>
          <w:rFonts w:hint="eastAsia"/>
          <w:lang w:val="en-GB"/>
        </w:rPr>
        <w:t>(</w:t>
      </w:r>
      <w:r>
        <w:rPr>
          <w:rFonts w:hint="eastAsia"/>
          <w:lang w:val="en-GB"/>
        </w:rPr>
        <w:t>受害者、证人、犯罪者</w:t>
      </w:r>
      <w:r>
        <w:rPr>
          <w:rFonts w:hint="eastAsia"/>
          <w:lang w:val="en-GB"/>
        </w:rPr>
        <w:t>)</w:t>
      </w:r>
      <w:r>
        <w:rPr>
          <w:rFonts w:hint="eastAsia"/>
          <w:lang w:val="en-GB"/>
        </w:rPr>
        <w:t>的行为和态度。警察总监要参加两个单元的学习，其题目分别是“伦理、辨别力、职业道德、心理学”和“公众自由和基本权利”。对警察分局局长的培训包括学习</w:t>
      </w:r>
      <w:r>
        <w:rPr>
          <w:lang w:val="en-GB"/>
        </w:rPr>
        <w:t>《欧洲防止酷刑和不人道或有辱人格待遇或处罚公约》</w:t>
      </w:r>
      <w:r>
        <w:rPr>
          <w:rFonts w:hint="eastAsia"/>
          <w:lang w:val="en-GB"/>
        </w:rPr>
        <w:t>以及基本人权。宪兵队全体人员都要参加伦理和职业道德培训，重点是维护和尊重人权。</w:t>
      </w:r>
    </w:p>
    <w:p w:rsidR="00B4256E" w:rsidRDefault="00B4256E">
      <w:pPr>
        <w:pStyle w:val="SingleTxtGC"/>
        <w:rPr>
          <w:lang w:val="en-GB"/>
        </w:rPr>
      </w:pPr>
      <w:r>
        <w:rPr>
          <w:sz w:val="20"/>
          <w:lang w:val="en-GB"/>
        </w:rPr>
        <w:t xml:space="preserve">180.  </w:t>
      </w:r>
      <w:r>
        <w:rPr>
          <w:rFonts w:hint="eastAsia"/>
          <w:lang w:val="en-GB"/>
        </w:rPr>
        <w:t>行政拘留中心负责人参加专门针对有关讯问非法身份的外国人的条例和相关司法及行政程序以及尊重被拘留者的基本权利的培训。</w:t>
      </w:r>
    </w:p>
    <w:p w:rsidR="00B4256E" w:rsidRDefault="00B4256E">
      <w:pPr>
        <w:pStyle w:val="SingleTxtGC"/>
        <w:rPr>
          <w:lang w:val="en-GB"/>
        </w:rPr>
      </w:pPr>
      <w:r>
        <w:rPr>
          <w:sz w:val="20"/>
          <w:lang w:val="en-GB"/>
        </w:rPr>
        <w:t xml:space="preserve">181.  </w:t>
      </w:r>
      <w:r>
        <w:rPr>
          <w:rFonts w:hint="eastAsia"/>
          <w:lang w:val="en-GB"/>
        </w:rPr>
        <w:t>剥夺自由场所总监察参加关于被剥夺自由者的基本权利的职业培训，每年他都会去公务员培训学校</w:t>
      </w:r>
      <w:r>
        <w:rPr>
          <w:rFonts w:hint="eastAsia"/>
          <w:lang w:val="en-GB"/>
        </w:rPr>
        <w:t>(</w:t>
      </w:r>
      <w:r>
        <w:rPr>
          <w:rFonts w:hint="eastAsia"/>
          <w:lang w:val="en-GB"/>
        </w:rPr>
        <w:t>国立监狱行政学院、国立行政学院、国立法官学校、国立高等警察学校、国家宪兵队军官学校</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182.  </w:t>
      </w:r>
      <w:r>
        <w:rPr>
          <w:rFonts w:hint="eastAsia"/>
          <w:lang w:val="en-GB"/>
        </w:rPr>
        <w:t>《公约》的条款自然属于作为公务员培训内容的基本规则之列，同时培训要进行更新，以纳入最近通过的规则。</w:t>
      </w:r>
    </w:p>
    <w:p w:rsidR="00B4256E" w:rsidRDefault="00B4256E">
      <w:pPr>
        <w:pStyle w:val="SingleTxtGC"/>
        <w:rPr>
          <w:lang w:val="en-GB"/>
        </w:rPr>
      </w:pPr>
      <w:r>
        <w:rPr>
          <w:sz w:val="20"/>
          <w:lang w:val="en-GB"/>
        </w:rPr>
        <w:t xml:space="preserve">183.  </w:t>
      </w:r>
      <w:r>
        <w:rPr>
          <w:rFonts w:hint="eastAsia"/>
          <w:lang w:val="en-GB"/>
        </w:rPr>
        <w:t>另外还定期组织活动，例如</w:t>
      </w:r>
      <w:r>
        <w:rPr>
          <w:rFonts w:hint="eastAsia"/>
          <w:lang w:val="en-GB"/>
        </w:rPr>
        <w:t>2012</w:t>
      </w:r>
      <w:r>
        <w:rPr>
          <w:rFonts w:hint="eastAsia"/>
          <w:lang w:val="en-GB"/>
        </w:rPr>
        <w:t>年</w:t>
      </w:r>
      <w:r>
        <w:rPr>
          <w:rFonts w:hint="eastAsia"/>
          <w:lang w:val="en-GB"/>
        </w:rPr>
        <w:t>5</w:t>
      </w:r>
      <w:r>
        <w:rPr>
          <w:rFonts w:hint="eastAsia"/>
          <w:lang w:val="en-GB"/>
        </w:rPr>
        <w:t>月在巴黎举行的关于普遍和有效实施</w:t>
      </w:r>
      <w:r>
        <w:rPr>
          <w:lang w:val="en-GB"/>
        </w:rPr>
        <w:t>《保护所有人免遭强迫失踪国际公约》</w:t>
      </w:r>
      <w:r>
        <w:rPr>
          <w:rFonts w:hint="eastAsia"/>
          <w:lang w:val="en-GB"/>
        </w:rPr>
        <w:t>的重要性的国际会议、</w:t>
      </w:r>
      <w:r>
        <w:rPr>
          <w:rFonts w:hint="eastAsia"/>
          <w:lang w:val="en-GB"/>
        </w:rPr>
        <w:t>2011</w:t>
      </w:r>
      <w:r>
        <w:rPr>
          <w:rFonts w:hint="eastAsia"/>
          <w:lang w:val="en-GB"/>
        </w:rPr>
        <w:t>年</w:t>
      </w:r>
      <w:r>
        <w:rPr>
          <w:rFonts w:hint="eastAsia"/>
          <w:lang w:val="en-GB"/>
        </w:rPr>
        <w:t>5</w:t>
      </w:r>
      <w:r>
        <w:rPr>
          <w:rFonts w:hint="eastAsia"/>
          <w:lang w:val="en-GB"/>
        </w:rPr>
        <w:t>月在马尼拉举行的题为“签署和批准保护所有人免遭强迫失踪国际公约：当务之急”的论坛，以及</w:t>
      </w:r>
      <w:r>
        <w:rPr>
          <w:rFonts w:hint="eastAsia"/>
          <w:lang w:val="en-GB"/>
        </w:rPr>
        <w:t>2010</w:t>
      </w:r>
      <w:r>
        <w:rPr>
          <w:rFonts w:hint="eastAsia"/>
          <w:lang w:val="en-GB"/>
        </w:rPr>
        <w:t>年</w:t>
      </w:r>
      <w:r>
        <w:rPr>
          <w:rFonts w:hint="eastAsia"/>
          <w:lang w:val="en-GB"/>
        </w:rPr>
        <w:t>10</w:t>
      </w:r>
      <w:r>
        <w:rPr>
          <w:rFonts w:hint="eastAsia"/>
          <w:lang w:val="en-GB"/>
        </w:rPr>
        <w:t>月在巴黎组织的致力于开展游说行动、提高意识活动以及建立相关行为人的网络的“强迫失踪研讨会”，这些都有助于尽可能广泛地宣传《公约》。</w:t>
      </w:r>
    </w:p>
    <w:p w:rsidR="00B4256E" w:rsidRDefault="00B4256E">
      <w:pPr>
        <w:pStyle w:val="H1GC"/>
        <w:rPr>
          <w:rFonts w:hint="eastAsia"/>
          <w:lang w:val="en-GB"/>
        </w:rPr>
      </w:pPr>
      <w:r>
        <w:rPr>
          <w:rFonts w:hint="eastAsia"/>
          <w:lang w:val="en-GB"/>
        </w:rPr>
        <w:tab/>
      </w:r>
      <w:r>
        <w:rPr>
          <w:rFonts w:hint="eastAsia"/>
          <w:lang w:val="en-GB"/>
        </w:rPr>
        <w:tab/>
      </w:r>
      <w:r>
        <w:rPr>
          <w:rFonts w:hint="eastAsia"/>
          <w:lang w:val="en-GB"/>
        </w:rPr>
        <w:t>第二十四条</w:t>
      </w:r>
      <w:r>
        <w:rPr>
          <w:rFonts w:hint="eastAsia"/>
          <w:lang w:val="en-GB"/>
        </w:rPr>
        <w:br/>
      </w:r>
      <w:r>
        <w:rPr>
          <w:rFonts w:hint="eastAsia"/>
          <w:lang w:val="en-GB"/>
        </w:rPr>
        <w:t>受害者的权利</w:t>
      </w:r>
    </w:p>
    <w:p w:rsidR="00B4256E" w:rsidRDefault="00B4256E">
      <w:pPr>
        <w:pStyle w:val="SingleTxtGC"/>
        <w:rPr>
          <w:lang w:val="en-GB"/>
        </w:rPr>
      </w:pPr>
      <w:r>
        <w:rPr>
          <w:sz w:val="20"/>
          <w:lang w:val="en-GB"/>
        </w:rPr>
        <w:t xml:space="preserve">184.  </w:t>
      </w:r>
      <w:r>
        <w:rPr>
          <w:rFonts w:hint="eastAsia"/>
          <w:lang w:val="en-GB"/>
        </w:rPr>
        <w:t>不论是《公约》第二十四条意义上的“受害者”定义还是该条款承认受害者所拥有的权利都得到了法国法律的充分保障，没有必要通过引入特殊条款来进行修订。</w:t>
      </w:r>
    </w:p>
    <w:p w:rsidR="00B4256E" w:rsidRDefault="00B4256E">
      <w:pPr>
        <w:pStyle w:val="SingleTxtGC"/>
        <w:rPr>
          <w:lang w:val="en-GB"/>
        </w:rPr>
      </w:pPr>
      <w:r>
        <w:rPr>
          <w:sz w:val="20"/>
          <w:lang w:val="en-GB"/>
        </w:rPr>
        <w:t xml:space="preserve">185.  </w:t>
      </w:r>
      <w:r>
        <w:rPr>
          <w:rFonts w:hint="eastAsia"/>
          <w:lang w:val="en-GB"/>
        </w:rPr>
        <w:t>事实上，《刑事诉讼法典》第</w:t>
      </w:r>
      <w:r>
        <w:rPr>
          <w:rFonts w:hint="eastAsia"/>
          <w:lang w:val="en-GB"/>
        </w:rPr>
        <w:t>2</w:t>
      </w:r>
      <w:r>
        <w:rPr>
          <w:rFonts w:hint="eastAsia"/>
          <w:lang w:val="en-GB"/>
        </w:rPr>
        <w:t>条规定：“所有受到犯罪行为所导致的直接损害的人都可就犯罪行为、不法行为或违法行为导致的损害提起民事诉讼，要求赔偿”，明确指出法国刑事诉讼程序允许</w:t>
      </w:r>
      <w:r>
        <w:rPr>
          <w:lang w:val="en-GB"/>
        </w:rPr>
        <w:t>要求损害赔偿的原告</w:t>
      </w:r>
      <w:r>
        <w:rPr>
          <w:rFonts w:hint="eastAsia"/>
          <w:lang w:val="en-GB"/>
        </w:rPr>
        <w:t>在某些条件下参加刑事诉讼，从而使得</w:t>
      </w:r>
      <w:r>
        <w:rPr>
          <w:lang w:val="en-GB"/>
        </w:rPr>
        <w:t>要求损害赔偿的原告</w:t>
      </w:r>
      <w:r>
        <w:rPr>
          <w:rFonts w:hint="eastAsia"/>
          <w:lang w:val="en-GB"/>
        </w:rPr>
        <w:t>可以了解刑事审判机构将要了解的强迫失踪事件的真相。此外，《刑事诉讼法典》的预备性条款还规定“司法当局需留意任何刑事诉讼期间对受害者权利的告知和保障”。</w:t>
      </w:r>
    </w:p>
    <w:p w:rsidR="00B4256E" w:rsidRDefault="00B4256E">
      <w:pPr>
        <w:pStyle w:val="SingleTxtGC"/>
        <w:rPr>
          <w:lang w:val="en-GB"/>
        </w:rPr>
      </w:pPr>
      <w:r>
        <w:rPr>
          <w:sz w:val="20"/>
          <w:lang w:val="en-GB"/>
        </w:rPr>
        <w:t xml:space="preserve">186.  </w:t>
      </w:r>
      <w:r>
        <w:rPr>
          <w:rFonts w:hint="eastAsia"/>
          <w:lang w:val="en-GB"/>
        </w:rPr>
        <w:t>另外，受害者获得赔偿的权利有双重保障，一方面，任何受害者都可在刑事诉讼中要求获得赔偿，另一方面，受害者可以以“公务员或者国家授权、支持或默许的人或组织”实施的不法行为为由，向行政司法机关要求国家承担责任，这里转载了《公约》第二条的定义。</w:t>
      </w:r>
    </w:p>
    <w:p w:rsidR="00B4256E" w:rsidRDefault="00B4256E">
      <w:pPr>
        <w:pStyle w:val="SingleTxtGC"/>
        <w:rPr>
          <w:lang w:val="en-GB"/>
        </w:rPr>
      </w:pPr>
      <w:r>
        <w:rPr>
          <w:sz w:val="20"/>
          <w:lang w:val="en-GB"/>
        </w:rPr>
        <w:t xml:space="preserve">187.  </w:t>
      </w:r>
      <w:r>
        <w:rPr>
          <w:rFonts w:hint="eastAsia"/>
          <w:lang w:val="en-GB"/>
        </w:rPr>
        <w:t>不过，迄今为止，由于没有任何法国司法法庭或行政法庭接到过强迫失踪案件，这些规定并未实施过。</w:t>
      </w:r>
    </w:p>
    <w:p w:rsidR="00B4256E" w:rsidRDefault="00B4256E">
      <w:pPr>
        <w:pStyle w:val="H1GC"/>
        <w:rPr>
          <w:lang w:val="en-GB"/>
        </w:rPr>
      </w:pPr>
      <w:r>
        <w:rPr>
          <w:rFonts w:hint="eastAsia"/>
          <w:lang w:val="en-GB"/>
        </w:rPr>
        <w:tab/>
      </w:r>
      <w:r>
        <w:rPr>
          <w:rFonts w:hint="eastAsia"/>
          <w:lang w:val="en-GB"/>
        </w:rPr>
        <w:tab/>
      </w:r>
      <w:r>
        <w:rPr>
          <w:rFonts w:hint="eastAsia"/>
          <w:lang w:val="en-GB"/>
        </w:rPr>
        <w:t>第二十五条</w:t>
      </w:r>
      <w:r>
        <w:rPr>
          <w:rFonts w:hint="eastAsia"/>
          <w:lang w:val="en-GB"/>
        </w:rPr>
        <w:br/>
      </w:r>
      <w:r>
        <w:rPr>
          <w:rFonts w:hint="eastAsia"/>
          <w:lang w:val="en-GB"/>
        </w:rPr>
        <w:t>儿童</w:t>
      </w:r>
    </w:p>
    <w:p w:rsidR="00B4256E" w:rsidRDefault="00B4256E">
      <w:pPr>
        <w:pStyle w:val="SingleTxtGC"/>
        <w:rPr>
          <w:lang w:val="en-GB"/>
        </w:rPr>
      </w:pPr>
      <w:r>
        <w:rPr>
          <w:sz w:val="20"/>
          <w:lang w:val="en-GB"/>
        </w:rPr>
        <w:t xml:space="preserve">188.  </w:t>
      </w:r>
      <w:r>
        <w:rPr>
          <w:rFonts w:hint="eastAsia"/>
          <w:lang w:val="en-GB"/>
        </w:rPr>
        <w:t>按照《刑法典》第</w:t>
      </w:r>
      <w:r>
        <w:rPr>
          <w:lang w:val="en-GB"/>
        </w:rPr>
        <w:t>224-1</w:t>
      </w:r>
      <w:r>
        <w:rPr>
          <w:rFonts w:hint="eastAsia"/>
          <w:lang w:val="en-GB"/>
        </w:rPr>
        <w:t>条至</w:t>
      </w:r>
      <w:r>
        <w:rPr>
          <w:lang w:val="en-GB"/>
        </w:rPr>
        <w:t>224-4</w:t>
      </w:r>
      <w:r>
        <w:rPr>
          <w:rFonts w:hint="eastAsia"/>
          <w:lang w:val="en-GB"/>
        </w:rPr>
        <w:t>条，逮捕、绑架、拘押或监禁儿童无论如何要受到惩处。如果是</w:t>
      </w:r>
      <w:r>
        <w:rPr>
          <w:rFonts w:hint="eastAsia"/>
          <w:lang w:val="en-GB"/>
        </w:rPr>
        <w:t>15</w:t>
      </w:r>
      <w:r>
        <w:rPr>
          <w:rFonts w:hint="eastAsia"/>
          <w:lang w:val="en-GB"/>
        </w:rPr>
        <w:t>岁以下的儿童则要加重处罚，该法典第</w:t>
      </w:r>
      <w:r>
        <w:rPr>
          <w:lang w:val="en-GB"/>
        </w:rPr>
        <w:t>224-5</w:t>
      </w:r>
      <w:r>
        <w:rPr>
          <w:rFonts w:hint="eastAsia"/>
          <w:lang w:val="en-GB"/>
        </w:rPr>
        <w:t>条规定，如果犯罪行为应处以</w:t>
      </w:r>
      <w:r>
        <w:rPr>
          <w:rFonts w:hint="eastAsia"/>
          <w:lang w:val="en-GB"/>
        </w:rPr>
        <w:t>30</w:t>
      </w:r>
      <w:r>
        <w:rPr>
          <w:rFonts w:hint="eastAsia"/>
          <w:lang w:val="en-GB"/>
        </w:rPr>
        <w:t>年有期徒刑的话，则加重至无期徒刑，如果应处以</w:t>
      </w:r>
      <w:r>
        <w:rPr>
          <w:rFonts w:hint="eastAsia"/>
          <w:lang w:val="en-GB"/>
        </w:rPr>
        <w:t>20</w:t>
      </w:r>
      <w:r>
        <w:rPr>
          <w:rFonts w:hint="eastAsia"/>
          <w:lang w:val="en-GB"/>
        </w:rPr>
        <w:t>年有期徒刑的话，则加重至</w:t>
      </w:r>
      <w:r>
        <w:rPr>
          <w:rFonts w:hint="eastAsia"/>
          <w:lang w:val="en-GB"/>
        </w:rPr>
        <w:t>30</w:t>
      </w:r>
      <w:r>
        <w:rPr>
          <w:rFonts w:hint="eastAsia"/>
          <w:lang w:val="en-GB"/>
        </w:rPr>
        <w:t>年有期徒刑。</w:t>
      </w:r>
    </w:p>
    <w:p w:rsidR="00B4256E" w:rsidRDefault="00B4256E">
      <w:pPr>
        <w:pStyle w:val="SingleTxtGC"/>
        <w:rPr>
          <w:lang w:val="en-GB"/>
        </w:rPr>
      </w:pPr>
      <w:r>
        <w:rPr>
          <w:sz w:val="20"/>
          <w:lang w:val="en-GB"/>
        </w:rPr>
        <w:t xml:space="preserve">189.  </w:t>
      </w:r>
      <w:r>
        <w:rPr>
          <w:rFonts w:hint="eastAsia"/>
          <w:lang w:val="en-GB"/>
        </w:rPr>
        <w:t>因此，实施《公约》第二十五条第一款第</w:t>
      </w:r>
      <w:r>
        <w:rPr>
          <w:rFonts w:hint="eastAsia"/>
          <w:lang w:val="en-GB"/>
        </w:rPr>
        <w:t>(</w:t>
      </w:r>
      <w:r>
        <w:rPr>
          <w:rFonts w:hint="eastAsia"/>
          <w:lang w:val="en-GB"/>
        </w:rPr>
        <w:t>一</w:t>
      </w:r>
      <w:r>
        <w:rPr>
          <w:rFonts w:hint="eastAsia"/>
          <w:lang w:val="en-GB"/>
        </w:rPr>
        <w:t>)</w:t>
      </w:r>
      <w:r>
        <w:rPr>
          <w:rFonts w:hint="eastAsia"/>
          <w:lang w:val="en-GB"/>
        </w:rPr>
        <w:t>项似乎不需要修订现行刑法规定。</w:t>
      </w:r>
    </w:p>
    <w:p w:rsidR="00B4256E" w:rsidRDefault="00B4256E">
      <w:pPr>
        <w:pStyle w:val="SingleTxtGC"/>
        <w:rPr>
          <w:lang w:val="en-GB"/>
        </w:rPr>
      </w:pPr>
      <w:r>
        <w:rPr>
          <w:sz w:val="20"/>
          <w:lang w:val="en-GB"/>
        </w:rPr>
        <w:t xml:space="preserve">190.  </w:t>
      </w:r>
      <w:r>
        <w:rPr>
          <w:rFonts w:hint="eastAsia"/>
          <w:lang w:val="en-GB"/>
        </w:rPr>
        <w:t>伪造、藏匿或销毁证明第二十五条第一款第㈠项中所指儿童真实身份的证件也一样，根据《刑法典》第</w:t>
      </w:r>
      <w:r>
        <w:rPr>
          <w:lang w:val="en-GB"/>
        </w:rPr>
        <w:t>441-1</w:t>
      </w:r>
      <w:r>
        <w:rPr>
          <w:rFonts w:hint="eastAsia"/>
          <w:lang w:val="en-GB"/>
        </w:rPr>
        <w:t>条和第</w:t>
      </w:r>
      <w:r>
        <w:rPr>
          <w:lang w:val="en-GB"/>
        </w:rPr>
        <w:t>441-2</w:t>
      </w:r>
      <w:r>
        <w:rPr>
          <w:rFonts w:hint="eastAsia"/>
          <w:lang w:val="en-GB"/>
        </w:rPr>
        <w:t>条之规定，此种行为要受到惩处：</w:t>
      </w:r>
    </w:p>
    <w:p w:rsidR="00B4256E" w:rsidRDefault="00B4256E">
      <w:pPr>
        <w:pStyle w:val="SingleTxtGC"/>
        <w:rPr>
          <w:lang w:val="en-GB"/>
        </w:rPr>
      </w:pPr>
      <w:r>
        <w:rPr>
          <w:sz w:val="20"/>
          <w:lang w:val="en-GB"/>
        </w:rPr>
        <w:t xml:space="preserve">191.  </w:t>
      </w:r>
      <w:r>
        <w:rPr>
          <w:sz w:val="20"/>
          <w:lang w:val="en-GB"/>
        </w:rPr>
        <w:t>第</w:t>
      </w:r>
      <w:r>
        <w:rPr>
          <w:lang w:val="en-GB"/>
        </w:rPr>
        <w:t>441-1</w:t>
      </w:r>
      <w:r>
        <w:rPr>
          <w:rFonts w:hint="eastAsia"/>
          <w:lang w:val="en-GB"/>
        </w:rPr>
        <w:t>条</w:t>
      </w:r>
      <w:r>
        <w:rPr>
          <w:lang w:val="en-GB"/>
        </w:rPr>
        <w:t>：</w:t>
      </w:r>
      <w:r>
        <w:rPr>
          <w:rFonts w:hint="eastAsia"/>
          <w:lang w:val="en-GB"/>
        </w:rPr>
        <w:t>“不论通过什么手段对旨在或能够证明一项权利或有法律后果的事实的书面材料或任何其他表达思想的载体进行可造成损害的对事实的篡改，这构成一种伪造行为。伪造和使用伪造文书要处以</w:t>
      </w:r>
      <w:r>
        <w:rPr>
          <w:rFonts w:hint="eastAsia"/>
          <w:lang w:val="en-GB"/>
        </w:rPr>
        <w:t>3</w:t>
      </w:r>
      <w:r>
        <w:rPr>
          <w:rFonts w:hint="eastAsia"/>
          <w:lang w:val="en-GB"/>
        </w:rPr>
        <w:t>年监禁和</w:t>
      </w:r>
      <w:r>
        <w:rPr>
          <w:lang w:val="en-GB"/>
        </w:rPr>
        <w:t>45,000</w:t>
      </w:r>
      <w:r>
        <w:rPr>
          <w:rFonts w:hint="eastAsia"/>
          <w:lang w:val="en-GB"/>
        </w:rPr>
        <w:t>欧元的罚金”。</w:t>
      </w:r>
    </w:p>
    <w:p w:rsidR="00B4256E" w:rsidRDefault="00B4256E">
      <w:pPr>
        <w:pStyle w:val="SingleTxtGC"/>
        <w:rPr>
          <w:lang w:val="en-GB"/>
        </w:rPr>
      </w:pPr>
      <w:r>
        <w:rPr>
          <w:sz w:val="20"/>
          <w:lang w:val="en-GB"/>
        </w:rPr>
        <w:t xml:space="preserve">192.  </w:t>
      </w:r>
      <w:r>
        <w:rPr>
          <w:rFonts w:hint="eastAsia"/>
          <w:lang w:val="en-GB"/>
        </w:rPr>
        <w:t>《刑法典》第</w:t>
      </w:r>
      <w:r>
        <w:rPr>
          <w:lang w:val="en-GB"/>
        </w:rPr>
        <w:t>441-2</w:t>
      </w:r>
      <w:r>
        <w:rPr>
          <w:rFonts w:hint="eastAsia"/>
          <w:lang w:val="en-GB"/>
        </w:rPr>
        <w:t>条</w:t>
      </w:r>
      <w:r>
        <w:rPr>
          <w:lang w:val="en-GB"/>
        </w:rPr>
        <w:t>：</w:t>
      </w:r>
      <w:r>
        <w:rPr>
          <w:rFonts w:hint="eastAsia"/>
          <w:lang w:val="en-GB"/>
        </w:rPr>
        <w:t>“在政府为确认权利、身份或资格而签发的文件或授权文件上进行伪造要处以</w:t>
      </w:r>
      <w:r>
        <w:rPr>
          <w:rFonts w:hint="eastAsia"/>
          <w:lang w:val="en-GB"/>
        </w:rPr>
        <w:t>5</w:t>
      </w:r>
      <w:r>
        <w:rPr>
          <w:rFonts w:hint="eastAsia"/>
          <w:lang w:val="en-GB"/>
        </w:rPr>
        <w:t>年监禁和</w:t>
      </w:r>
      <w:r>
        <w:rPr>
          <w:lang w:val="en-GB"/>
        </w:rPr>
        <w:t>75,000</w:t>
      </w:r>
      <w:r>
        <w:rPr>
          <w:rFonts w:hint="eastAsia"/>
          <w:lang w:val="en-GB"/>
        </w:rPr>
        <w:t>欧元罚金。使用上款中提到的伪造文书要处以同样的刑罚。</w:t>
      </w:r>
      <w:r>
        <w:rPr>
          <w:lang w:val="en-GB"/>
        </w:rPr>
        <w:t>/</w:t>
      </w:r>
      <w:r>
        <w:rPr>
          <w:rFonts w:hint="eastAsia"/>
          <w:lang w:val="en-GB"/>
        </w:rPr>
        <w:t>在下述情况下实施伪造行为和使用伪造文书的话，刑罚要加重为</w:t>
      </w:r>
      <w:r>
        <w:rPr>
          <w:rFonts w:hint="eastAsia"/>
          <w:lang w:val="en-GB"/>
        </w:rPr>
        <w:t>7</w:t>
      </w:r>
      <w:r>
        <w:rPr>
          <w:rFonts w:hint="eastAsia"/>
          <w:lang w:val="en-GB"/>
        </w:rPr>
        <w:t>年监禁和</w:t>
      </w:r>
      <w:r>
        <w:rPr>
          <w:lang w:val="en-GB"/>
        </w:rPr>
        <w:t>100,000</w:t>
      </w:r>
      <w:r>
        <w:rPr>
          <w:rFonts w:hint="eastAsia"/>
          <w:lang w:val="en-GB"/>
        </w:rPr>
        <w:t>欧元罚金：</w:t>
      </w:r>
      <w:r>
        <w:rPr>
          <w:lang w:val="en-GB"/>
        </w:rPr>
        <w:t xml:space="preserve">1° </w:t>
      </w:r>
      <w:r>
        <w:rPr>
          <w:rFonts w:hint="eastAsia"/>
          <w:lang w:val="en-GB"/>
        </w:rPr>
        <w:t>是拥有公权力的人或者负责在履行职务中提供公共服务的人实施的；</w:t>
      </w:r>
      <w:r>
        <w:rPr>
          <w:lang w:val="en-GB"/>
        </w:rPr>
        <w:t xml:space="preserve">2° </w:t>
      </w:r>
      <w:r>
        <w:rPr>
          <w:rFonts w:hint="eastAsia"/>
          <w:lang w:val="en-GB"/>
        </w:rPr>
        <w:t>长期实施；</w:t>
      </w:r>
      <w:r>
        <w:rPr>
          <w:lang w:val="en-GB"/>
        </w:rPr>
        <w:t>3°</w:t>
      </w:r>
      <w:r>
        <w:rPr>
          <w:rFonts w:hint="eastAsia"/>
          <w:lang w:val="en-GB"/>
        </w:rPr>
        <w:t>意图为实施犯罪或使犯罪者逍遥法外提供便利”。</w:t>
      </w:r>
    </w:p>
    <w:p w:rsidR="00B4256E" w:rsidRDefault="00B4256E">
      <w:pPr>
        <w:pStyle w:val="SingleTxtGC"/>
        <w:rPr>
          <w:lang w:val="en-GB"/>
        </w:rPr>
      </w:pPr>
      <w:r>
        <w:rPr>
          <w:sz w:val="20"/>
          <w:lang w:val="en-GB"/>
        </w:rPr>
        <w:t xml:space="preserve">193.  </w:t>
      </w:r>
      <w:r>
        <w:rPr>
          <w:rFonts w:hint="eastAsia"/>
          <w:lang w:val="en-GB"/>
        </w:rPr>
        <w:t>还应强调的是，法国的收养法提供了强有力的保障，这回应了《公约》第二十五条第</w:t>
      </w:r>
      <w:r>
        <w:rPr>
          <w:rFonts w:hint="eastAsia"/>
          <w:lang w:val="en-GB"/>
        </w:rPr>
        <w:t>2</w:t>
      </w:r>
      <w:r>
        <w:rPr>
          <w:rFonts w:hint="eastAsia"/>
          <w:lang w:val="en-GB"/>
        </w:rPr>
        <w:t>款和第</w:t>
      </w:r>
      <w:r>
        <w:rPr>
          <w:rFonts w:hint="eastAsia"/>
          <w:lang w:val="en-GB"/>
        </w:rPr>
        <w:t>4</w:t>
      </w:r>
      <w:r>
        <w:rPr>
          <w:rFonts w:hint="eastAsia"/>
          <w:lang w:val="en-GB"/>
        </w:rPr>
        <w:t>款的规定。尽管不见得是特地这么做的。</w:t>
      </w:r>
    </w:p>
    <w:p w:rsidR="00B4256E" w:rsidRDefault="00B4256E">
      <w:pPr>
        <w:pStyle w:val="SingleTxtGC"/>
        <w:rPr>
          <w:lang w:val="en-GB"/>
        </w:rPr>
      </w:pPr>
      <w:r>
        <w:rPr>
          <w:sz w:val="20"/>
          <w:lang w:val="en-GB"/>
        </w:rPr>
        <w:t xml:space="preserve">194.  </w:t>
      </w:r>
      <w:r>
        <w:rPr>
          <w:rFonts w:hint="eastAsia"/>
          <w:lang w:val="en-GB"/>
        </w:rPr>
        <w:t>法国法律规定了两种收养形式：单纯收养，即维持被收养者与其原生家庭之间的亲子关系，并且如果理由充分的话可撤销</w:t>
      </w:r>
      <w:r>
        <w:rPr>
          <w:rFonts w:hint="eastAsia"/>
          <w:lang w:val="en-GB"/>
        </w:rPr>
        <w:t>(</w:t>
      </w:r>
      <w:r>
        <w:rPr>
          <w:rFonts w:hint="eastAsia"/>
          <w:lang w:val="en-GB"/>
        </w:rPr>
        <w:t>《民法典》第</w:t>
      </w:r>
      <w:r>
        <w:rPr>
          <w:rFonts w:hint="eastAsia"/>
          <w:lang w:val="en-GB"/>
        </w:rPr>
        <w:t>370</w:t>
      </w:r>
      <w:r>
        <w:rPr>
          <w:rFonts w:hint="eastAsia"/>
          <w:lang w:val="en-GB"/>
        </w:rPr>
        <w:t>条</w:t>
      </w:r>
      <w:r>
        <w:rPr>
          <w:rFonts w:hint="eastAsia"/>
          <w:lang w:val="en-GB"/>
        </w:rPr>
        <w:t>)</w:t>
      </w:r>
      <w:r>
        <w:rPr>
          <w:rFonts w:hint="eastAsia"/>
          <w:lang w:val="en-GB"/>
        </w:rPr>
        <w:t>，以及完全收养，即断绝与原生家庭的一切亲子关系，并且不可撤销</w:t>
      </w:r>
      <w:r>
        <w:rPr>
          <w:rFonts w:hint="eastAsia"/>
          <w:lang w:val="en-GB"/>
        </w:rPr>
        <w:t>(</w:t>
      </w:r>
      <w:r>
        <w:rPr>
          <w:rFonts w:hint="eastAsia"/>
          <w:lang w:val="en-GB"/>
        </w:rPr>
        <w:t>该法典第</w:t>
      </w:r>
      <w:r>
        <w:rPr>
          <w:rFonts w:hint="eastAsia"/>
          <w:lang w:val="en-GB"/>
        </w:rPr>
        <w:t>359</w:t>
      </w:r>
      <w:r>
        <w:rPr>
          <w:rFonts w:hint="eastAsia"/>
          <w:lang w:val="en-GB"/>
        </w:rPr>
        <w:t>条</w:t>
      </w:r>
      <w:r>
        <w:rPr>
          <w:rFonts w:hint="eastAsia"/>
          <w:lang w:val="en-GB"/>
        </w:rPr>
        <w:t>)</w:t>
      </w:r>
      <w:r>
        <w:rPr>
          <w:rFonts w:hint="eastAsia"/>
          <w:lang w:val="en-GB"/>
        </w:rPr>
        <w:t>。</w:t>
      </w:r>
    </w:p>
    <w:p w:rsidR="00B4256E" w:rsidRDefault="00B4256E">
      <w:pPr>
        <w:pStyle w:val="SingleTxtGC"/>
        <w:rPr>
          <w:lang w:val="en-GB"/>
        </w:rPr>
      </w:pPr>
      <w:r>
        <w:rPr>
          <w:sz w:val="20"/>
          <w:lang w:val="en-GB"/>
        </w:rPr>
        <w:t xml:space="preserve">195.  </w:t>
      </w:r>
      <w:r>
        <w:rPr>
          <w:rFonts w:hint="eastAsia"/>
          <w:lang w:val="en-GB"/>
        </w:rPr>
        <w:t>不论是什么收养性质，是简单收养还是完全收养，新的《民事诉讼法典》第</w:t>
      </w:r>
      <w:r>
        <w:rPr>
          <w:rFonts w:hint="eastAsia"/>
          <w:lang w:val="en-GB"/>
        </w:rPr>
        <w:t>593</w:t>
      </w:r>
      <w:r>
        <w:rPr>
          <w:rFonts w:hint="eastAsia"/>
          <w:lang w:val="en-GB"/>
        </w:rPr>
        <w:t>条及随后的条款允许在法官的善意遭到欺骗的特殊情况下，可以对收养判决提出复审上诉，以便根据事实和法律重新做出裁决。</w:t>
      </w:r>
    </w:p>
    <w:p w:rsidR="00B4256E" w:rsidRDefault="00B4256E">
      <w:pPr>
        <w:pStyle w:val="SingleTxtGC"/>
        <w:rPr>
          <w:lang w:val="en-GB"/>
        </w:rPr>
      </w:pPr>
      <w:r>
        <w:rPr>
          <w:sz w:val="20"/>
          <w:lang w:val="en-GB"/>
        </w:rPr>
        <w:t xml:space="preserve">196.  </w:t>
      </w:r>
      <w:r>
        <w:rPr>
          <w:rFonts w:hint="eastAsia"/>
          <w:lang w:val="en-GB"/>
        </w:rPr>
        <w:t>判决当事人或当事人的代理人，包括检察官都可以提出上诉，但只有基于有限的理由才能提出上诉，并且要在援引这些理由的当事人得知这些理由后的两个月内提出上诉，而且还要满足一个条件，就是当事人在判决时无法提出这些理由。新的《刑事诉讼法典》第</w:t>
      </w:r>
      <w:r>
        <w:rPr>
          <w:rFonts w:hint="eastAsia"/>
          <w:lang w:val="en-GB"/>
        </w:rPr>
        <w:t>595</w:t>
      </w:r>
      <w:r>
        <w:rPr>
          <w:rFonts w:hint="eastAsia"/>
          <w:lang w:val="en-GB"/>
        </w:rPr>
        <w:t>条列举了这些理由，一共有四个：</w:t>
      </w:r>
    </w:p>
    <w:p w:rsidR="00B4256E" w:rsidRDefault="00B4256E">
      <w:pPr>
        <w:pStyle w:val="Bullet1GC"/>
        <w:rPr>
          <w:lang w:val="en-GB"/>
        </w:rPr>
      </w:pPr>
      <w:r>
        <w:rPr>
          <w:rFonts w:hint="eastAsia"/>
          <w:lang w:val="en-GB"/>
        </w:rPr>
        <w:t>在判决后，发现是由于判决有利的一方的欺诈导致做出了这样的决定；</w:t>
      </w:r>
    </w:p>
    <w:p w:rsidR="00B4256E" w:rsidRDefault="00B4256E">
      <w:pPr>
        <w:pStyle w:val="Bullet1GC"/>
        <w:rPr>
          <w:lang w:val="en-GB"/>
        </w:rPr>
      </w:pPr>
      <w:r>
        <w:rPr>
          <w:rFonts w:hint="eastAsia"/>
          <w:lang w:val="en-GB"/>
        </w:rPr>
        <w:t>如果，判决后，收回了另一方所持有的决定性证据；</w:t>
      </w:r>
    </w:p>
    <w:p w:rsidR="00B4256E" w:rsidRDefault="00B4256E">
      <w:pPr>
        <w:pStyle w:val="Bullet1GC"/>
        <w:rPr>
          <w:lang w:val="en-GB"/>
        </w:rPr>
      </w:pPr>
      <w:r>
        <w:rPr>
          <w:rFonts w:hint="eastAsia"/>
          <w:lang w:val="en-GB"/>
        </w:rPr>
        <w:t>是依据判决后被承认或被司法机关宣布为虚假的证据做出的判决；</w:t>
      </w:r>
    </w:p>
    <w:p w:rsidR="00B4256E" w:rsidRDefault="00B4256E">
      <w:pPr>
        <w:pStyle w:val="Bullet1GC"/>
        <w:rPr>
          <w:lang w:val="en-GB"/>
        </w:rPr>
      </w:pPr>
      <w:r>
        <w:rPr>
          <w:rFonts w:hint="eastAsia"/>
          <w:lang w:val="en-GB"/>
        </w:rPr>
        <w:t>是依据判决后被司法机关宣布为虚假的证明、证词或誓言做出的判决。</w:t>
      </w:r>
    </w:p>
    <w:p w:rsidR="00B4256E" w:rsidRDefault="00B4256E">
      <w:pPr>
        <w:pStyle w:val="SingleTxtGC"/>
        <w:rPr>
          <w:lang w:val="en-GB"/>
        </w:rPr>
      </w:pPr>
      <w:r>
        <w:rPr>
          <w:sz w:val="20"/>
          <w:lang w:val="en-GB"/>
        </w:rPr>
        <w:t xml:space="preserve">197.  </w:t>
      </w:r>
      <w:r>
        <w:rPr>
          <w:rFonts w:hint="eastAsia"/>
          <w:lang w:val="en-GB"/>
        </w:rPr>
        <w:t>此外，不言而喻，如果法国当局收到另一国对查明遭受强迫失踪的父母的被拐子女的身份和下落提出的援助请求，法国当局一定会尽职尽责地做出回应。</w:t>
      </w:r>
    </w:p>
    <w:p w:rsidR="00B4256E" w:rsidRDefault="00B4256E">
      <w:pPr>
        <w:pStyle w:val="SingleTxtGC"/>
        <w:rPr>
          <w:lang w:val="en-GB"/>
        </w:rPr>
      </w:pPr>
      <w:r>
        <w:rPr>
          <w:sz w:val="20"/>
          <w:lang w:val="en-GB"/>
        </w:rPr>
        <w:t xml:space="preserve">198.  </w:t>
      </w:r>
      <w:r>
        <w:rPr>
          <w:rFonts w:hint="eastAsia"/>
          <w:lang w:val="en-GB"/>
        </w:rPr>
        <w:t>最后，一般说来，儿童的最高利益，以及需要时考虑儿童所表达的意见，这些得到了法国法律的充分保障，这与法国作为缔约国的</w:t>
      </w:r>
      <w:r>
        <w:rPr>
          <w:rFonts w:hint="eastAsia"/>
          <w:lang w:val="en-GB"/>
        </w:rPr>
        <w:t>1989</w:t>
      </w:r>
      <w:r>
        <w:rPr>
          <w:rFonts w:hint="eastAsia"/>
          <w:lang w:val="en-GB"/>
        </w:rPr>
        <w:t>年</w:t>
      </w:r>
      <w:r>
        <w:rPr>
          <w:rFonts w:hint="eastAsia"/>
          <w:lang w:val="en-GB"/>
        </w:rPr>
        <w:t>11</w:t>
      </w:r>
      <w:r>
        <w:rPr>
          <w:rFonts w:hint="eastAsia"/>
          <w:lang w:val="en-GB"/>
        </w:rPr>
        <w:t>月</w:t>
      </w:r>
      <w:r>
        <w:rPr>
          <w:rFonts w:hint="eastAsia"/>
          <w:lang w:val="en-GB"/>
        </w:rPr>
        <w:t>20</w:t>
      </w:r>
      <w:r>
        <w:rPr>
          <w:rFonts w:hint="eastAsia"/>
          <w:lang w:val="en-GB"/>
        </w:rPr>
        <w:t>日《儿童权利公约》相一致。</w:t>
      </w:r>
    </w:p>
    <w:p w:rsidR="00B4256E" w:rsidRDefault="00B4256E">
      <w:pPr>
        <w:pStyle w:val="SingleTxtGC"/>
        <w:rPr>
          <w:rFonts w:hint="eastAsia"/>
        </w:rPr>
      </w:pPr>
    </w:p>
    <w:p w:rsidR="00B4256E" w:rsidRDefault="00B4256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4256E" w:rsidRDefault="00B4256E">
      <w:pPr>
        <w:pStyle w:val="SingleTxtGC"/>
        <w:rPr>
          <w:rFonts w:hint="eastAsia"/>
        </w:rPr>
      </w:pPr>
    </w:p>
    <w:sectPr w:rsidR="00B4256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56E" w:rsidRDefault="00B4256E">
      <w:pPr>
        <w:pStyle w:val="Footer"/>
        <w:spacing w:after="240"/>
        <w:ind w:left="907"/>
        <w:rPr>
          <w:rFonts w:eastAsia="SimSun" w:hint="eastAsia"/>
          <w:lang w:eastAsia="zh-CN"/>
        </w:rPr>
      </w:pPr>
      <w:r>
        <w:rPr>
          <w:rFonts w:eastAsia="SimSun" w:hint="eastAsia"/>
          <w:lang w:eastAsia="zh-CN"/>
        </w:rPr>
        <w:t>注</w:t>
      </w:r>
    </w:p>
  </w:endnote>
  <w:endnote w:type="continuationSeparator" w:id="0">
    <w:p w:rsidR="00B4256E" w:rsidRDefault="00B4256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CF" w:rsidRDefault="004061CF">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r>
      <w:rPr>
        <w:rStyle w:val="PageNumber"/>
        <w:rFonts w:eastAsia="SimSun" w:hint="eastAsia"/>
        <w:lang w:eastAsia="zh-CN"/>
      </w:rPr>
      <w:tab/>
    </w:r>
    <w:r>
      <w:rPr>
        <w:rFonts w:eastAsia="SimSun"/>
      </w:rPr>
      <w:t>GE.13-40761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CF" w:rsidRDefault="004061CF">
    <w:pPr>
      <w:pStyle w:val="Footer"/>
      <w:tabs>
        <w:tab w:val="right" w:pos="9639"/>
      </w:tabs>
    </w:pPr>
    <w:r>
      <w:rPr>
        <w:rFonts w:eastAsia="SimSun"/>
      </w:rPr>
      <w:t>GE.13-40761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CF" w:rsidRDefault="004061C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40761</w:t>
    </w:r>
    <w:r>
      <w:rPr>
        <w:rFonts w:eastAsia="SimSun"/>
        <w:sz w:val="20"/>
        <w:lang w:eastAsia="zh-CN"/>
      </w:rPr>
      <w:t xml:space="preserve"> (</w:t>
    </w:r>
    <w:r>
      <w:rPr>
        <w:rFonts w:eastAsia="SimSun" w:hint="eastAsia"/>
        <w:sz w:val="20"/>
        <w:lang w:eastAsia="zh-CN"/>
      </w:rPr>
      <w:t>EXT</w:t>
    </w:r>
    <w:r>
      <w:rPr>
        <w:rFonts w:eastAsia="SimSun"/>
        <w:sz w:val="20"/>
        <w:lang w:eastAsia="zh-CN"/>
      </w:rPr>
      <w:t>)</w:t>
    </w:r>
    <w:r>
      <w:rPr>
        <w:rFonts w:eastAsia="SimSun"/>
        <w:sz w:val="20"/>
        <w:lang w:eastAsia="zh-CN"/>
      </w:rPr>
      <w:tab/>
    </w:r>
    <w:r>
      <w:rPr>
        <w:rFonts w:eastAsia="SimSun"/>
        <w:sz w:val="20"/>
        <w:lang w:eastAsia="zh-CN"/>
      </w:rPr>
      <w:tab/>
    </w:r>
    <w:r>
      <w:rPr>
        <w:rFonts w:eastAsia="SimSun" w:hint="eastAsia"/>
        <w:b/>
        <w:sz w:val="21"/>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56E" w:rsidRDefault="00B4256E">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4256E" w:rsidRDefault="00B4256E">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061CF" w:rsidRDefault="004061CF">
      <w:pPr>
        <w:pStyle w:val="FootnoteText"/>
      </w:pPr>
      <w:r>
        <w:tab/>
      </w:r>
      <w:r>
        <w:rPr>
          <w:rStyle w:val="FootnoteReference"/>
          <w:vertAlign w:val="baseline"/>
        </w:rPr>
        <w:t>*</w:t>
      </w:r>
      <w:r>
        <w:rPr>
          <w:rStyle w:val="FootnoteReference"/>
          <w:vertAlign w:val="baseline"/>
        </w:rPr>
        <w:tab/>
      </w:r>
      <w:r>
        <w:rPr>
          <w:rFonts w:hint="eastAsia"/>
          <w:szCs w:val="18"/>
          <w:lang w:val="zh-CN"/>
        </w:rPr>
        <w:t>按照已通知各缔约国的报告处理办法，本文件在送交联合国翻译部门前未经正式编辑。</w:t>
      </w:r>
    </w:p>
  </w:footnote>
  <w:footnote w:id="2">
    <w:p w:rsidR="004061CF" w:rsidRDefault="004061CF">
      <w:pPr>
        <w:pStyle w:val="FootnoteText"/>
        <w:rPr>
          <w:rFonts w:hint="eastAsia"/>
          <w:lang w:val="en-GB"/>
        </w:rPr>
      </w:pPr>
      <w:r>
        <w:rPr>
          <w:rStyle w:val="FootnoteReference"/>
          <w:vertAlign w:val="baseline"/>
        </w:rPr>
        <w:tab/>
      </w:r>
      <w:r>
        <w:rPr>
          <w:rStyle w:val="FootnoteReference"/>
        </w:rPr>
        <w:footnoteRef/>
      </w:r>
      <w:r>
        <w:rPr>
          <w:rStyle w:val="FootnoteReference"/>
          <w:vertAlign w:val="baseline"/>
        </w:rPr>
        <w:tab/>
      </w:r>
      <w:r>
        <w:rPr>
          <w:lang w:val="en-GB"/>
        </w:rPr>
        <w:t>CED/C/2</w:t>
      </w:r>
      <w:r>
        <w:rPr>
          <w:rFonts w:hint="eastAsia"/>
          <w:lang w:val="en-GB"/>
        </w:rPr>
        <w:t>。</w:t>
      </w:r>
    </w:p>
  </w:footnote>
  <w:footnote w:id="3">
    <w:p w:rsidR="004061CF" w:rsidRDefault="004061CF">
      <w:pPr>
        <w:pStyle w:val="FootnoteText"/>
        <w:rPr>
          <w:rFonts w:hint="eastAsia"/>
          <w:lang w:val="en-GB"/>
        </w:rPr>
      </w:pPr>
      <w:r>
        <w:rPr>
          <w:rStyle w:val="FootnoteReference"/>
          <w:vertAlign w:val="baseline"/>
        </w:rPr>
        <w:tab/>
      </w:r>
      <w:r>
        <w:rPr>
          <w:rStyle w:val="FootnoteReference"/>
        </w:rPr>
        <w:footnoteRef/>
      </w:r>
      <w:r>
        <w:rPr>
          <w:rStyle w:val="FootnoteReference"/>
          <w:vertAlign w:val="baseline"/>
        </w:rPr>
        <w:tab/>
      </w:r>
      <w:r>
        <w:rPr>
          <w:lang w:val="en-GB"/>
        </w:rPr>
        <w:t>HRI/GEN/2/Rev.6</w:t>
      </w:r>
      <w:r>
        <w:rPr>
          <w:rFonts w:hint="eastAsia"/>
          <w:lang w:val="en-GB"/>
        </w:rPr>
        <w:t>。</w:t>
      </w:r>
    </w:p>
  </w:footnote>
  <w:footnote w:id="4">
    <w:p w:rsidR="004061CF" w:rsidRDefault="004061CF">
      <w:pPr>
        <w:pStyle w:val="FootnoteText"/>
        <w:rPr>
          <w:lang w:val="en-GB"/>
        </w:rPr>
      </w:pPr>
      <w:r>
        <w:rPr>
          <w:rStyle w:val="FootnoteReference"/>
          <w:vertAlign w:val="baseline"/>
        </w:rPr>
        <w:tab/>
      </w:r>
      <w:r>
        <w:rPr>
          <w:rStyle w:val="FootnoteReference"/>
        </w:rPr>
        <w:footnoteRef/>
      </w:r>
      <w:r>
        <w:rPr>
          <w:rStyle w:val="FootnoteReference"/>
          <w:vertAlign w:val="baseline"/>
        </w:rPr>
        <w:tab/>
      </w:r>
      <w:r>
        <w:rPr>
          <w:lang w:val="en-GB"/>
        </w:rPr>
        <w:t>Varnava</w:t>
      </w:r>
      <w:r>
        <w:rPr>
          <w:rFonts w:eastAsia="KaiTi_GB2312" w:hint="eastAsia"/>
          <w:lang w:val="fr-FR"/>
        </w:rPr>
        <w:t>等人诉土耳其</w:t>
      </w:r>
      <w:r>
        <w:rPr>
          <w:rFonts w:hint="eastAsia"/>
          <w:lang w:val="fr-FR"/>
        </w:rPr>
        <w:t>案</w:t>
      </w:r>
      <w:r>
        <w:rPr>
          <w:rFonts w:hint="eastAsia"/>
          <w:i/>
          <w:lang w:val="en-GB"/>
        </w:rPr>
        <w:t>，</w:t>
      </w:r>
      <w:r>
        <w:rPr>
          <w:rFonts w:hint="eastAsia"/>
          <w:lang w:val="en-GB"/>
        </w:rPr>
        <w:t>2009</w:t>
      </w:r>
      <w:r>
        <w:rPr>
          <w:rFonts w:hint="eastAsia"/>
          <w:lang w:val="fr-FR"/>
        </w:rPr>
        <w:t>年</w:t>
      </w:r>
      <w:r>
        <w:rPr>
          <w:rFonts w:hint="eastAsia"/>
          <w:lang w:val="fr-FR"/>
        </w:rPr>
        <w:t>9</w:t>
      </w:r>
      <w:r>
        <w:rPr>
          <w:rFonts w:hint="eastAsia"/>
          <w:lang w:val="fr-FR"/>
        </w:rPr>
        <w:t>月</w:t>
      </w:r>
      <w:r>
        <w:rPr>
          <w:rFonts w:hint="eastAsia"/>
          <w:lang w:val="fr-FR"/>
        </w:rPr>
        <w:t>18</w:t>
      </w:r>
      <w:r>
        <w:rPr>
          <w:rFonts w:hint="eastAsia"/>
          <w:lang w:val="fr-FR"/>
        </w:rPr>
        <w:t>日</w:t>
      </w:r>
      <w:r>
        <w:rPr>
          <w:rFonts w:hint="eastAsia"/>
          <w:iCs/>
          <w:lang w:val="en-GB"/>
        </w:rPr>
        <w:t>大法庭的命令。</w:t>
      </w:r>
    </w:p>
  </w:footnote>
  <w:footnote w:id="5">
    <w:p w:rsidR="004061CF" w:rsidRDefault="004061CF">
      <w:pPr>
        <w:pStyle w:val="FootnoteText"/>
        <w:rPr>
          <w:rFonts w:hint="eastAsia"/>
          <w:lang w:val="en-GB"/>
        </w:rPr>
      </w:pPr>
      <w:r>
        <w:rPr>
          <w:rStyle w:val="FootnoteReference"/>
          <w:vertAlign w:val="baseline"/>
        </w:rPr>
        <w:tab/>
      </w:r>
      <w:r>
        <w:rPr>
          <w:rStyle w:val="FootnoteReference"/>
        </w:rPr>
        <w:footnoteRef/>
      </w:r>
      <w:r>
        <w:rPr>
          <w:rStyle w:val="FootnoteReference"/>
          <w:vertAlign w:val="baseline"/>
        </w:rPr>
        <w:tab/>
      </w:r>
      <w:r>
        <w:rPr>
          <w:rFonts w:hint="eastAsia"/>
          <w:lang w:val="en-GB"/>
        </w:rPr>
        <w:t>联合国大会最近的决议</w:t>
      </w:r>
      <w:r>
        <w:rPr>
          <w:rFonts w:hint="eastAsia"/>
          <w:lang w:val="en-GB"/>
        </w:rPr>
        <w:t>(</w:t>
      </w:r>
      <w:r>
        <w:rPr>
          <w:lang w:val="en-GB"/>
        </w:rPr>
        <w:t>65/209</w:t>
      </w:r>
      <w:r>
        <w:rPr>
          <w:rFonts w:hint="eastAsia"/>
          <w:lang w:val="en-GB"/>
        </w:rPr>
        <w:t>、</w:t>
      </w:r>
      <w:r>
        <w:rPr>
          <w:lang w:val="en-GB"/>
        </w:rPr>
        <w:t>64/167</w:t>
      </w:r>
      <w:r>
        <w:rPr>
          <w:rFonts w:hint="eastAsia"/>
          <w:lang w:val="en-GB"/>
        </w:rPr>
        <w:t>、</w:t>
      </w:r>
      <w:r>
        <w:rPr>
          <w:lang w:val="en-GB"/>
        </w:rPr>
        <w:t>63/186</w:t>
      </w:r>
      <w:r>
        <w:rPr>
          <w:rFonts w:hint="eastAsia"/>
          <w:lang w:val="en-GB"/>
        </w:rPr>
        <w:t>和</w:t>
      </w:r>
      <w:r>
        <w:rPr>
          <w:lang w:val="en-GB"/>
        </w:rPr>
        <w:t>61/177</w:t>
      </w:r>
      <w:r>
        <w:rPr>
          <w:rFonts w:hint="eastAsia"/>
          <w:lang w:val="en-GB"/>
        </w:rPr>
        <w:t>)</w:t>
      </w:r>
      <w:r>
        <w:rPr>
          <w:rFonts w:hint="eastAsia"/>
          <w:lang w:val="en-GB"/>
        </w:rPr>
        <w:t>。</w:t>
      </w:r>
    </w:p>
  </w:footnote>
  <w:footnote w:id="6">
    <w:p w:rsidR="004061CF" w:rsidRDefault="004061CF">
      <w:pPr>
        <w:pStyle w:val="FootnoteText"/>
        <w:rPr>
          <w:lang w:val="fr-FR"/>
        </w:rPr>
      </w:pPr>
      <w:r>
        <w:rPr>
          <w:rStyle w:val="FootnoteReference"/>
          <w:vertAlign w:val="baseline"/>
        </w:rPr>
        <w:tab/>
      </w:r>
      <w:r>
        <w:rPr>
          <w:rStyle w:val="FootnoteReference"/>
        </w:rPr>
        <w:footnoteRef/>
      </w:r>
      <w:r>
        <w:rPr>
          <w:rStyle w:val="FootnoteReference"/>
          <w:vertAlign w:val="baseline"/>
        </w:rPr>
        <w:tab/>
      </w:r>
      <w:r>
        <w:rPr>
          <w:rFonts w:hint="eastAsia"/>
          <w:lang w:val="en-GB"/>
        </w:rPr>
        <w:t>人权理事会第</w:t>
      </w:r>
      <w:r>
        <w:rPr>
          <w:lang w:val="fr-FR"/>
        </w:rPr>
        <w:t>21/4</w:t>
      </w:r>
      <w:r>
        <w:rPr>
          <w:rFonts w:hint="eastAsia"/>
          <w:lang w:val="fr-FR"/>
        </w:rPr>
        <w:t>号决议、第</w:t>
      </w:r>
      <w:r>
        <w:rPr>
          <w:lang w:val="fr-FR"/>
        </w:rPr>
        <w:t>10/10</w:t>
      </w:r>
      <w:r>
        <w:rPr>
          <w:rFonts w:hint="eastAsia"/>
          <w:lang w:val="fr-FR"/>
        </w:rPr>
        <w:t>号决议和第</w:t>
      </w:r>
      <w:r>
        <w:rPr>
          <w:lang w:val="fr-FR"/>
        </w:rPr>
        <w:t>7/12</w:t>
      </w:r>
      <w:r>
        <w:rPr>
          <w:rFonts w:hint="eastAsia"/>
          <w:lang w:val="fr-FR"/>
        </w:rPr>
        <w:t>号决议。</w:t>
      </w:r>
    </w:p>
  </w:footnote>
  <w:footnote w:id="7">
    <w:p w:rsidR="004061CF" w:rsidRDefault="004061CF">
      <w:pPr>
        <w:pStyle w:val="FootnoteText"/>
        <w:rPr>
          <w:rFonts w:hint="eastAsia"/>
          <w:lang w:val="fr-FR"/>
        </w:rPr>
      </w:pPr>
      <w:r>
        <w:rPr>
          <w:rStyle w:val="FootnoteReference"/>
          <w:vertAlign w:val="baseline"/>
        </w:rPr>
        <w:tab/>
      </w:r>
      <w:r>
        <w:rPr>
          <w:rStyle w:val="FootnoteReference"/>
        </w:rPr>
        <w:footnoteRef/>
      </w:r>
      <w:r>
        <w:rPr>
          <w:rStyle w:val="FootnoteReference"/>
          <w:vertAlign w:val="baseline"/>
        </w:rPr>
        <w:tab/>
      </w:r>
      <w:r>
        <w:rPr>
          <w:rFonts w:hint="eastAsia"/>
          <w:lang w:val="fr-FR"/>
        </w:rPr>
        <w:t>《宪法》第</w:t>
      </w:r>
      <w:r>
        <w:rPr>
          <w:rFonts w:hint="eastAsia"/>
          <w:lang w:val="fr-FR"/>
        </w:rPr>
        <w:t>36</w:t>
      </w:r>
      <w:r>
        <w:rPr>
          <w:rFonts w:hint="eastAsia"/>
          <w:lang w:val="fr-FR"/>
        </w:rPr>
        <w:t>条以及</w:t>
      </w:r>
      <w:r>
        <w:rPr>
          <w:rFonts w:hint="eastAsia"/>
          <w:lang w:val="fr-FR"/>
        </w:rPr>
        <w:t>1949</w:t>
      </w:r>
      <w:r>
        <w:rPr>
          <w:rFonts w:hint="eastAsia"/>
          <w:lang w:val="fr-FR"/>
        </w:rPr>
        <w:t>年</w:t>
      </w:r>
      <w:r>
        <w:rPr>
          <w:rFonts w:hint="eastAsia"/>
          <w:lang w:val="fr-FR"/>
        </w:rPr>
        <w:t>8</w:t>
      </w:r>
      <w:r>
        <w:rPr>
          <w:rFonts w:hint="eastAsia"/>
          <w:lang w:val="fr-FR"/>
        </w:rPr>
        <w:t>月</w:t>
      </w:r>
      <w:r>
        <w:rPr>
          <w:rFonts w:hint="eastAsia"/>
          <w:lang w:val="fr-FR"/>
        </w:rPr>
        <w:t>9</w:t>
      </w:r>
      <w:r>
        <w:rPr>
          <w:rFonts w:hint="eastAsia"/>
          <w:lang w:val="fr-FR"/>
        </w:rPr>
        <w:t>日的法律和</w:t>
      </w:r>
      <w:r>
        <w:rPr>
          <w:rFonts w:hint="eastAsia"/>
          <w:lang w:val="fr-FR"/>
        </w:rPr>
        <w:t>1878</w:t>
      </w:r>
      <w:r>
        <w:rPr>
          <w:rFonts w:hint="eastAsia"/>
          <w:lang w:val="fr-FR"/>
        </w:rPr>
        <w:t>年</w:t>
      </w:r>
      <w:r>
        <w:rPr>
          <w:rFonts w:hint="eastAsia"/>
          <w:lang w:val="fr-FR"/>
        </w:rPr>
        <w:t>4</w:t>
      </w:r>
      <w:r>
        <w:rPr>
          <w:rFonts w:hint="eastAsia"/>
          <w:lang w:val="fr-FR"/>
        </w:rPr>
        <w:t>月</w:t>
      </w:r>
      <w:r>
        <w:rPr>
          <w:rFonts w:hint="eastAsia"/>
          <w:lang w:val="fr-FR"/>
        </w:rPr>
        <w:t>3</w:t>
      </w:r>
      <w:r>
        <w:rPr>
          <w:rFonts w:hint="eastAsia"/>
          <w:lang w:val="fr-FR"/>
        </w:rPr>
        <w:t>日的法律所规定的戒严只有在同外国的战争或者武装叛乱所导致的明显危险的情况下才能宣布。在</w:t>
      </w:r>
      <w:r>
        <w:rPr>
          <w:rFonts w:hint="eastAsia"/>
          <w:lang w:val="fr-FR"/>
        </w:rPr>
        <w:t>20</w:t>
      </w:r>
      <w:r>
        <w:rPr>
          <w:rFonts w:hint="eastAsia"/>
          <w:lang w:val="fr-FR"/>
        </w:rPr>
        <w:t>世纪只宣布过两次戒严，一次是在第一次世界大战期间，另一次较短，是在</w:t>
      </w:r>
      <w:r>
        <w:rPr>
          <w:rFonts w:hint="eastAsia"/>
          <w:lang w:val="fr-FR"/>
        </w:rPr>
        <w:t>1939</w:t>
      </w:r>
      <w:r>
        <w:rPr>
          <w:rFonts w:hint="eastAsia"/>
          <w:lang w:val="fr-FR"/>
        </w:rPr>
        <w:t>年。“特权”则是《宪法》第</w:t>
      </w:r>
      <w:r>
        <w:rPr>
          <w:rFonts w:hint="eastAsia"/>
          <w:lang w:val="fr-FR"/>
        </w:rPr>
        <w:t>16</w:t>
      </w:r>
      <w:r>
        <w:rPr>
          <w:rFonts w:hint="eastAsia"/>
          <w:lang w:val="fr-FR"/>
        </w:rPr>
        <w:t>条所规定的权力，是在共和国体制、国家独立、领土完整或履行其国际承诺受到严重和直接威胁并且合乎宪法的当局的正常运转中断时行使的。在行使这些权力时采取的一切措施应出于重建宪法秩序的愿望，并且应告知宪法委员会，宪法委员会在</w:t>
      </w:r>
      <w:r>
        <w:rPr>
          <w:rFonts w:hint="eastAsia"/>
          <w:lang w:val="fr-FR"/>
        </w:rPr>
        <w:t>30</w:t>
      </w:r>
      <w:r>
        <w:rPr>
          <w:rFonts w:hint="eastAsia"/>
          <w:lang w:val="fr-FR"/>
        </w:rPr>
        <w:t>日的期限后应就保留这些权力与否发表意见。只有一次执行过第</w:t>
      </w:r>
      <w:r>
        <w:rPr>
          <w:rFonts w:hint="eastAsia"/>
          <w:lang w:val="fr-FR"/>
        </w:rPr>
        <w:t>16</w:t>
      </w:r>
      <w:r>
        <w:rPr>
          <w:rFonts w:hint="eastAsia"/>
          <w:lang w:val="fr-FR"/>
        </w:rPr>
        <w:t>条，是在</w:t>
      </w:r>
      <w:r>
        <w:rPr>
          <w:rFonts w:hint="eastAsia"/>
          <w:lang w:val="fr-FR"/>
        </w:rPr>
        <w:t>1961</w:t>
      </w:r>
      <w:r>
        <w:rPr>
          <w:rFonts w:hint="eastAsia"/>
          <w:lang w:val="fr-FR"/>
        </w:rPr>
        <w:t>年。</w:t>
      </w:r>
    </w:p>
  </w:footnote>
  <w:footnote w:id="8">
    <w:p w:rsidR="004061CF" w:rsidRDefault="004061CF">
      <w:pPr>
        <w:pStyle w:val="FootnoteText"/>
        <w:rPr>
          <w:rFonts w:hint="eastAsia"/>
          <w:lang w:val="fr-FR"/>
        </w:rPr>
      </w:pPr>
      <w:r>
        <w:rPr>
          <w:rStyle w:val="FootnoteReference"/>
          <w:vertAlign w:val="baseline"/>
        </w:rPr>
        <w:tab/>
      </w:r>
      <w:r>
        <w:rPr>
          <w:rStyle w:val="FootnoteReference"/>
        </w:rPr>
        <w:footnoteRef/>
      </w:r>
      <w:r>
        <w:rPr>
          <w:rStyle w:val="FootnoteReference"/>
          <w:vertAlign w:val="baseline"/>
        </w:rPr>
        <w:tab/>
      </w:r>
      <w:r>
        <w:rPr>
          <w:rFonts w:hint="eastAsia"/>
          <w:lang w:val="fr-FR"/>
        </w:rPr>
        <w:t>宪法委员会，</w:t>
      </w:r>
      <w:r>
        <w:rPr>
          <w:rFonts w:hint="eastAsia"/>
          <w:lang w:val="fr-FR"/>
        </w:rPr>
        <w:t>2011</w:t>
      </w:r>
      <w:r>
        <w:rPr>
          <w:rFonts w:hint="eastAsia"/>
          <w:lang w:val="fr-FR"/>
        </w:rPr>
        <w:t>年</w:t>
      </w:r>
      <w:r>
        <w:rPr>
          <w:rFonts w:hint="eastAsia"/>
          <w:lang w:val="fr-FR"/>
        </w:rPr>
        <w:t>11</w:t>
      </w:r>
      <w:r>
        <w:rPr>
          <w:rFonts w:hint="eastAsia"/>
          <w:lang w:val="fr-FR"/>
        </w:rPr>
        <w:t>月</w:t>
      </w:r>
      <w:r>
        <w:rPr>
          <w:rFonts w:hint="eastAsia"/>
          <w:lang w:val="fr-FR"/>
        </w:rPr>
        <w:t>10</w:t>
      </w:r>
      <w:r>
        <w:rPr>
          <w:rFonts w:hint="eastAsia"/>
          <w:lang w:val="fr-FR"/>
        </w:rPr>
        <w:t>日第</w:t>
      </w:r>
      <w:r>
        <w:rPr>
          <w:lang w:val="fr-FR"/>
        </w:rPr>
        <w:t>2011-192 QPC</w:t>
      </w:r>
      <w:r>
        <w:rPr>
          <w:rFonts w:hint="eastAsia"/>
          <w:lang w:val="fr-FR"/>
        </w:rPr>
        <w:t>号决定，第</w:t>
      </w:r>
      <w:r>
        <w:rPr>
          <w:lang w:val="fr-FR"/>
        </w:rPr>
        <w:t>37</w:t>
      </w:r>
      <w:r>
        <w:rPr>
          <w:rFonts w:hint="eastAsia"/>
          <w:lang w:val="fr-FR"/>
        </w:rPr>
        <w:t>项。</w:t>
      </w:r>
    </w:p>
  </w:footnote>
  <w:footnote w:id="9">
    <w:p w:rsidR="004061CF" w:rsidRDefault="004061CF">
      <w:pPr>
        <w:pStyle w:val="FootnoteText"/>
        <w:rPr>
          <w:rFonts w:hint="eastAsia"/>
          <w:lang w:val="fr-FR"/>
        </w:rPr>
      </w:pPr>
      <w:r>
        <w:rPr>
          <w:rStyle w:val="FootnoteReference"/>
          <w:vertAlign w:val="baseline"/>
        </w:rPr>
        <w:tab/>
      </w:r>
      <w:r>
        <w:rPr>
          <w:rStyle w:val="FootnoteReference"/>
        </w:rPr>
        <w:footnoteRef/>
      </w:r>
      <w:r>
        <w:rPr>
          <w:rStyle w:val="FootnoteReference"/>
          <w:vertAlign w:val="baseline"/>
        </w:rPr>
        <w:tab/>
      </w:r>
      <w:r>
        <w:rPr>
          <w:rFonts w:hint="eastAsia"/>
          <w:lang w:val="fr-FR"/>
        </w:rPr>
        <w:t>委员会如为了解更多信息而需要，可参考所附的关于执行</w:t>
      </w:r>
      <w:r>
        <w:rPr>
          <w:rFonts w:hint="eastAsia"/>
          <w:lang w:val="fr-FR"/>
        </w:rPr>
        <w:t>2011</w:t>
      </w:r>
      <w:r>
        <w:rPr>
          <w:rFonts w:hint="eastAsia"/>
          <w:lang w:val="fr-FR"/>
        </w:rPr>
        <w:t>年</w:t>
      </w:r>
      <w:r>
        <w:rPr>
          <w:rFonts w:hint="eastAsia"/>
          <w:lang w:val="fr-FR"/>
        </w:rPr>
        <w:t>4</w:t>
      </w:r>
      <w:r>
        <w:rPr>
          <w:rFonts w:hint="eastAsia"/>
          <w:lang w:val="fr-FR"/>
        </w:rPr>
        <w:t>月</w:t>
      </w:r>
      <w:r>
        <w:rPr>
          <w:rFonts w:hint="eastAsia"/>
          <w:lang w:val="fr-FR"/>
        </w:rPr>
        <w:t>14</w:t>
      </w:r>
      <w:r>
        <w:rPr>
          <w:rFonts w:hint="eastAsia"/>
          <w:lang w:val="fr-FR"/>
        </w:rPr>
        <w:t>日关于拘留的第</w:t>
      </w:r>
      <w:r>
        <w:rPr>
          <w:lang w:val="fr-FR"/>
        </w:rPr>
        <w:t>2011-392</w:t>
      </w:r>
      <w:r>
        <w:rPr>
          <w:rFonts w:hint="eastAsia"/>
          <w:lang w:val="fr-FR"/>
        </w:rPr>
        <w:t>号法律中与拘留有关的规定的</w:t>
      </w:r>
      <w:r>
        <w:rPr>
          <w:rFonts w:hint="eastAsia"/>
          <w:lang w:val="fr-FR"/>
        </w:rPr>
        <w:t>2011</w:t>
      </w:r>
      <w:r>
        <w:rPr>
          <w:rFonts w:hint="eastAsia"/>
          <w:lang w:val="fr-FR"/>
        </w:rPr>
        <w:t>年</w:t>
      </w:r>
      <w:r>
        <w:rPr>
          <w:rFonts w:hint="eastAsia"/>
          <w:lang w:val="fr-FR"/>
        </w:rPr>
        <w:t>5</w:t>
      </w:r>
      <w:r>
        <w:rPr>
          <w:rFonts w:hint="eastAsia"/>
          <w:lang w:val="fr-FR"/>
        </w:rPr>
        <w:t>月</w:t>
      </w:r>
      <w:r>
        <w:rPr>
          <w:rFonts w:hint="eastAsia"/>
          <w:lang w:val="fr-FR"/>
        </w:rPr>
        <w:t>23</w:t>
      </w:r>
      <w:r>
        <w:rPr>
          <w:rFonts w:hint="eastAsia"/>
          <w:lang w:val="fr-FR"/>
        </w:rPr>
        <w:t>日</w:t>
      </w:r>
      <w:r>
        <w:rPr>
          <w:lang w:val="fr-FR"/>
        </w:rPr>
        <w:t>NOR JUSD1113979C</w:t>
      </w:r>
      <w:r>
        <w:rPr>
          <w:rFonts w:hint="eastAsia"/>
          <w:lang w:val="fr-FR"/>
        </w:rPr>
        <w:t>号通函。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CF" w:rsidRDefault="004061CF">
    <w:pPr>
      <w:pStyle w:val="Header"/>
    </w:pPr>
    <w:r>
      <w:t>CED/C/FRA/1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1CF" w:rsidRDefault="004061CF">
    <w:pPr>
      <w:pStyle w:val="Header"/>
      <w:jc w:val="right"/>
      <w:rPr>
        <w:rFonts w:hint="eastAsia"/>
        <w:lang w:eastAsia="zh-CN"/>
      </w:rPr>
    </w:pPr>
    <w:r>
      <w:rPr>
        <w:lang w:eastAsia="zh-CN"/>
      </w:rPr>
      <w:t>CED/C/FRA/1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5CDA"/>
    <w:multiLevelType w:val="hybridMultilevel"/>
    <w:tmpl w:val="D4C079B2"/>
    <w:lvl w:ilvl="0" w:tplc="FB94E7AA">
      <w:start w:val="33"/>
      <w:numFmt w:val="decimal"/>
      <w:lvlText w:val="%1."/>
      <w:lvlJc w:val="left"/>
      <w:pPr>
        <w:tabs>
          <w:tab w:val="num" w:pos="3402"/>
        </w:tabs>
        <w:ind w:left="3402"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3EBE8688">
      <w:start w:val="22"/>
      <w:numFmt w:val="decimal"/>
      <w:lvlText w:val="%3."/>
      <w:lvlJc w:val="left"/>
      <w:pPr>
        <w:tabs>
          <w:tab w:val="num" w:pos="1418"/>
        </w:tabs>
        <w:ind w:left="1418" w:firstLine="0"/>
      </w:pPr>
      <w:rPr>
        <w:rFonts w:ascii="Times New Roman" w:hAnsi="Times New Roman" w:hint="default"/>
        <w:b w:val="0"/>
        <w:i w:val="0"/>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4F53B12"/>
    <w:multiLevelType w:val="hybridMultilevel"/>
    <w:tmpl w:val="D6ECB932"/>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E81032E"/>
    <w:multiLevelType w:val="hybridMultilevel"/>
    <w:tmpl w:val="3D3C90BA"/>
    <w:lvl w:ilvl="0" w:tplc="D9AAD568">
      <w:start w:val="1"/>
      <w:numFmt w:val="bullet"/>
      <w:lvlText w:val=""/>
      <w:lvlJc w:val="left"/>
      <w:pPr>
        <w:ind w:left="2126" w:hanging="420"/>
      </w:pPr>
      <w:rPr>
        <w:rFonts w:ascii="Wingdings" w:hAnsi="Wingdings" w:hint="default"/>
      </w:rPr>
    </w:lvl>
    <w:lvl w:ilvl="1" w:tplc="04090003" w:tentative="1">
      <w:start w:val="1"/>
      <w:numFmt w:val="bullet"/>
      <w:lvlText w:val=""/>
      <w:lvlJc w:val="left"/>
      <w:pPr>
        <w:ind w:left="2546" w:hanging="420"/>
      </w:pPr>
      <w:rPr>
        <w:rFonts w:ascii="Wingdings" w:hAnsi="Wingdings" w:hint="default"/>
      </w:rPr>
    </w:lvl>
    <w:lvl w:ilvl="2" w:tplc="04090005" w:tentative="1">
      <w:start w:val="1"/>
      <w:numFmt w:val="bullet"/>
      <w:lvlText w:val=""/>
      <w:lvlJc w:val="left"/>
      <w:pPr>
        <w:ind w:left="2966" w:hanging="420"/>
      </w:pPr>
      <w:rPr>
        <w:rFonts w:ascii="Wingdings" w:hAnsi="Wingdings" w:hint="default"/>
      </w:rPr>
    </w:lvl>
    <w:lvl w:ilvl="3" w:tplc="04090001" w:tentative="1">
      <w:start w:val="1"/>
      <w:numFmt w:val="bullet"/>
      <w:lvlText w:val=""/>
      <w:lvlJc w:val="left"/>
      <w:pPr>
        <w:ind w:left="3386" w:hanging="420"/>
      </w:pPr>
      <w:rPr>
        <w:rFonts w:ascii="Wingdings" w:hAnsi="Wingdings" w:hint="default"/>
      </w:rPr>
    </w:lvl>
    <w:lvl w:ilvl="4" w:tplc="04090003" w:tentative="1">
      <w:start w:val="1"/>
      <w:numFmt w:val="bullet"/>
      <w:lvlText w:val=""/>
      <w:lvlJc w:val="left"/>
      <w:pPr>
        <w:ind w:left="3806" w:hanging="420"/>
      </w:pPr>
      <w:rPr>
        <w:rFonts w:ascii="Wingdings" w:hAnsi="Wingdings" w:hint="default"/>
      </w:rPr>
    </w:lvl>
    <w:lvl w:ilvl="5" w:tplc="04090005" w:tentative="1">
      <w:start w:val="1"/>
      <w:numFmt w:val="bullet"/>
      <w:lvlText w:val=""/>
      <w:lvlJc w:val="left"/>
      <w:pPr>
        <w:ind w:left="4226" w:hanging="420"/>
      </w:pPr>
      <w:rPr>
        <w:rFonts w:ascii="Wingdings" w:hAnsi="Wingdings" w:hint="default"/>
      </w:rPr>
    </w:lvl>
    <w:lvl w:ilvl="6" w:tplc="04090001" w:tentative="1">
      <w:start w:val="1"/>
      <w:numFmt w:val="bullet"/>
      <w:lvlText w:val=""/>
      <w:lvlJc w:val="left"/>
      <w:pPr>
        <w:ind w:left="4646" w:hanging="420"/>
      </w:pPr>
      <w:rPr>
        <w:rFonts w:ascii="Wingdings" w:hAnsi="Wingdings" w:hint="default"/>
      </w:rPr>
    </w:lvl>
    <w:lvl w:ilvl="7" w:tplc="04090003" w:tentative="1">
      <w:start w:val="1"/>
      <w:numFmt w:val="bullet"/>
      <w:lvlText w:val=""/>
      <w:lvlJc w:val="left"/>
      <w:pPr>
        <w:ind w:left="5066" w:hanging="420"/>
      </w:pPr>
      <w:rPr>
        <w:rFonts w:ascii="Wingdings" w:hAnsi="Wingdings" w:hint="default"/>
      </w:rPr>
    </w:lvl>
    <w:lvl w:ilvl="8" w:tplc="04090005" w:tentative="1">
      <w:start w:val="1"/>
      <w:numFmt w:val="bullet"/>
      <w:lvlText w:val=""/>
      <w:lvlJc w:val="left"/>
      <w:pPr>
        <w:ind w:left="5486" w:hanging="420"/>
      </w:pPr>
      <w:rPr>
        <w:rFonts w:ascii="Wingdings" w:hAnsi="Wingdings" w:hint="default"/>
      </w:rPr>
    </w:lvl>
  </w:abstractNum>
  <w:abstractNum w:abstractNumId="6">
    <w:nsid w:val="1ED33F30"/>
    <w:multiLevelType w:val="hybridMultilevel"/>
    <w:tmpl w:val="8CCC1248"/>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7">
    <w:nsid w:val="2372157C"/>
    <w:multiLevelType w:val="hybridMultilevel"/>
    <w:tmpl w:val="C128921C"/>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8">
    <w:nsid w:val="250900E8"/>
    <w:multiLevelType w:val="hybridMultilevel"/>
    <w:tmpl w:val="00701DCE"/>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9">
    <w:nsid w:val="30D93A82"/>
    <w:multiLevelType w:val="hybridMultilevel"/>
    <w:tmpl w:val="752A6A2E"/>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10">
    <w:nsid w:val="384E4DCD"/>
    <w:multiLevelType w:val="hybridMultilevel"/>
    <w:tmpl w:val="D6F4E3B6"/>
    <w:lvl w:ilvl="0" w:tplc="D9AAD568">
      <w:start w:val="1"/>
      <w:numFmt w:val="bullet"/>
      <w:lvlText w:val=""/>
      <w:lvlJc w:val="left"/>
      <w:pPr>
        <w:ind w:left="2112" w:hanging="420"/>
      </w:pPr>
      <w:rPr>
        <w:rFonts w:ascii="Wingdings" w:hAnsi="Wingdings" w:hint="default"/>
      </w:rPr>
    </w:lvl>
    <w:lvl w:ilvl="1" w:tplc="04090003" w:tentative="1">
      <w:start w:val="1"/>
      <w:numFmt w:val="bullet"/>
      <w:lvlText w:val=""/>
      <w:lvlJc w:val="left"/>
      <w:pPr>
        <w:ind w:left="2532" w:hanging="420"/>
      </w:pPr>
      <w:rPr>
        <w:rFonts w:ascii="Wingdings" w:hAnsi="Wingdings" w:hint="default"/>
      </w:rPr>
    </w:lvl>
    <w:lvl w:ilvl="2" w:tplc="04090005" w:tentative="1">
      <w:start w:val="1"/>
      <w:numFmt w:val="bullet"/>
      <w:lvlText w:val=""/>
      <w:lvlJc w:val="left"/>
      <w:pPr>
        <w:ind w:left="2952" w:hanging="420"/>
      </w:pPr>
      <w:rPr>
        <w:rFonts w:ascii="Wingdings" w:hAnsi="Wingdings" w:hint="default"/>
      </w:rPr>
    </w:lvl>
    <w:lvl w:ilvl="3" w:tplc="04090001" w:tentative="1">
      <w:start w:val="1"/>
      <w:numFmt w:val="bullet"/>
      <w:lvlText w:val=""/>
      <w:lvlJc w:val="left"/>
      <w:pPr>
        <w:ind w:left="3372" w:hanging="420"/>
      </w:pPr>
      <w:rPr>
        <w:rFonts w:ascii="Wingdings" w:hAnsi="Wingdings" w:hint="default"/>
      </w:rPr>
    </w:lvl>
    <w:lvl w:ilvl="4" w:tplc="04090003" w:tentative="1">
      <w:start w:val="1"/>
      <w:numFmt w:val="bullet"/>
      <w:lvlText w:val=""/>
      <w:lvlJc w:val="left"/>
      <w:pPr>
        <w:ind w:left="3792" w:hanging="420"/>
      </w:pPr>
      <w:rPr>
        <w:rFonts w:ascii="Wingdings" w:hAnsi="Wingdings" w:hint="default"/>
      </w:rPr>
    </w:lvl>
    <w:lvl w:ilvl="5" w:tplc="04090005" w:tentative="1">
      <w:start w:val="1"/>
      <w:numFmt w:val="bullet"/>
      <w:lvlText w:val=""/>
      <w:lvlJc w:val="left"/>
      <w:pPr>
        <w:ind w:left="4212" w:hanging="420"/>
      </w:pPr>
      <w:rPr>
        <w:rFonts w:ascii="Wingdings" w:hAnsi="Wingdings" w:hint="default"/>
      </w:rPr>
    </w:lvl>
    <w:lvl w:ilvl="6" w:tplc="04090001" w:tentative="1">
      <w:start w:val="1"/>
      <w:numFmt w:val="bullet"/>
      <w:lvlText w:val=""/>
      <w:lvlJc w:val="left"/>
      <w:pPr>
        <w:ind w:left="4632" w:hanging="420"/>
      </w:pPr>
      <w:rPr>
        <w:rFonts w:ascii="Wingdings" w:hAnsi="Wingdings" w:hint="default"/>
      </w:rPr>
    </w:lvl>
    <w:lvl w:ilvl="7" w:tplc="04090003" w:tentative="1">
      <w:start w:val="1"/>
      <w:numFmt w:val="bullet"/>
      <w:lvlText w:val=""/>
      <w:lvlJc w:val="left"/>
      <w:pPr>
        <w:ind w:left="5052" w:hanging="420"/>
      </w:pPr>
      <w:rPr>
        <w:rFonts w:ascii="Wingdings" w:hAnsi="Wingdings" w:hint="default"/>
      </w:rPr>
    </w:lvl>
    <w:lvl w:ilvl="8" w:tplc="04090005" w:tentative="1">
      <w:start w:val="1"/>
      <w:numFmt w:val="bullet"/>
      <w:lvlText w:val=""/>
      <w:lvlJc w:val="left"/>
      <w:pPr>
        <w:ind w:left="5472" w:hanging="420"/>
      </w:pPr>
      <w:rPr>
        <w:rFonts w:ascii="Wingdings" w:hAnsi="Wingdings" w:hint="default"/>
      </w:rPr>
    </w:lvl>
  </w:abstractNum>
  <w:abstractNum w:abstractNumId="11">
    <w:nsid w:val="3A910F86"/>
    <w:multiLevelType w:val="hybridMultilevel"/>
    <w:tmpl w:val="7CD2E4C0"/>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12">
    <w:nsid w:val="3E516FBE"/>
    <w:multiLevelType w:val="hybridMultilevel"/>
    <w:tmpl w:val="1DCEC036"/>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13">
    <w:nsid w:val="3FFA16ED"/>
    <w:multiLevelType w:val="hybridMultilevel"/>
    <w:tmpl w:val="4CE2DDA8"/>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14">
    <w:nsid w:val="507F644E"/>
    <w:multiLevelType w:val="hybridMultilevel"/>
    <w:tmpl w:val="954AC466"/>
    <w:lvl w:ilvl="0" w:tplc="D9AAD568">
      <w:start w:val="1"/>
      <w:numFmt w:val="bullet"/>
      <w:lvlText w:val=""/>
      <w:lvlJc w:val="left"/>
      <w:pPr>
        <w:ind w:left="2112" w:hanging="420"/>
      </w:pPr>
      <w:rPr>
        <w:rFonts w:ascii="Wingdings" w:hAnsi="Wingdings" w:hint="default"/>
      </w:rPr>
    </w:lvl>
    <w:lvl w:ilvl="1" w:tplc="04090003" w:tentative="1">
      <w:start w:val="1"/>
      <w:numFmt w:val="bullet"/>
      <w:lvlText w:val=""/>
      <w:lvlJc w:val="left"/>
      <w:pPr>
        <w:ind w:left="2532" w:hanging="420"/>
      </w:pPr>
      <w:rPr>
        <w:rFonts w:ascii="Wingdings" w:hAnsi="Wingdings" w:hint="default"/>
      </w:rPr>
    </w:lvl>
    <w:lvl w:ilvl="2" w:tplc="04090005" w:tentative="1">
      <w:start w:val="1"/>
      <w:numFmt w:val="bullet"/>
      <w:lvlText w:val=""/>
      <w:lvlJc w:val="left"/>
      <w:pPr>
        <w:ind w:left="2952" w:hanging="420"/>
      </w:pPr>
      <w:rPr>
        <w:rFonts w:ascii="Wingdings" w:hAnsi="Wingdings" w:hint="default"/>
      </w:rPr>
    </w:lvl>
    <w:lvl w:ilvl="3" w:tplc="04090001" w:tentative="1">
      <w:start w:val="1"/>
      <w:numFmt w:val="bullet"/>
      <w:lvlText w:val=""/>
      <w:lvlJc w:val="left"/>
      <w:pPr>
        <w:ind w:left="3372" w:hanging="420"/>
      </w:pPr>
      <w:rPr>
        <w:rFonts w:ascii="Wingdings" w:hAnsi="Wingdings" w:hint="default"/>
      </w:rPr>
    </w:lvl>
    <w:lvl w:ilvl="4" w:tplc="04090003" w:tentative="1">
      <w:start w:val="1"/>
      <w:numFmt w:val="bullet"/>
      <w:lvlText w:val=""/>
      <w:lvlJc w:val="left"/>
      <w:pPr>
        <w:ind w:left="3792" w:hanging="420"/>
      </w:pPr>
      <w:rPr>
        <w:rFonts w:ascii="Wingdings" w:hAnsi="Wingdings" w:hint="default"/>
      </w:rPr>
    </w:lvl>
    <w:lvl w:ilvl="5" w:tplc="04090005" w:tentative="1">
      <w:start w:val="1"/>
      <w:numFmt w:val="bullet"/>
      <w:lvlText w:val=""/>
      <w:lvlJc w:val="left"/>
      <w:pPr>
        <w:ind w:left="4212" w:hanging="420"/>
      </w:pPr>
      <w:rPr>
        <w:rFonts w:ascii="Wingdings" w:hAnsi="Wingdings" w:hint="default"/>
      </w:rPr>
    </w:lvl>
    <w:lvl w:ilvl="6" w:tplc="04090001" w:tentative="1">
      <w:start w:val="1"/>
      <w:numFmt w:val="bullet"/>
      <w:lvlText w:val=""/>
      <w:lvlJc w:val="left"/>
      <w:pPr>
        <w:ind w:left="4632" w:hanging="420"/>
      </w:pPr>
      <w:rPr>
        <w:rFonts w:ascii="Wingdings" w:hAnsi="Wingdings" w:hint="default"/>
      </w:rPr>
    </w:lvl>
    <w:lvl w:ilvl="7" w:tplc="04090003" w:tentative="1">
      <w:start w:val="1"/>
      <w:numFmt w:val="bullet"/>
      <w:lvlText w:val=""/>
      <w:lvlJc w:val="left"/>
      <w:pPr>
        <w:ind w:left="5052" w:hanging="420"/>
      </w:pPr>
      <w:rPr>
        <w:rFonts w:ascii="Wingdings" w:hAnsi="Wingdings" w:hint="default"/>
      </w:rPr>
    </w:lvl>
    <w:lvl w:ilvl="8" w:tplc="04090005" w:tentative="1">
      <w:start w:val="1"/>
      <w:numFmt w:val="bullet"/>
      <w:lvlText w:val=""/>
      <w:lvlJc w:val="left"/>
      <w:pPr>
        <w:ind w:left="5472" w:hanging="420"/>
      </w:pPr>
      <w:rPr>
        <w:rFonts w:ascii="Wingdings" w:hAnsi="Wingdings" w:hint="default"/>
      </w:rPr>
    </w:lvl>
  </w:abstractNum>
  <w:abstractNum w:abstractNumId="15">
    <w:nsid w:val="5EFD5254"/>
    <w:multiLevelType w:val="hybridMultilevel"/>
    <w:tmpl w:val="440C10BE"/>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16">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7586A2C"/>
    <w:multiLevelType w:val="hybridMultilevel"/>
    <w:tmpl w:val="B03A2F1A"/>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18">
    <w:nsid w:val="740B0D87"/>
    <w:multiLevelType w:val="hybridMultilevel"/>
    <w:tmpl w:val="31586836"/>
    <w:lvl w:ilvl="0" w:tplc="D9AAD568">
      <w:start w:val="1"/>
      <w:numFmt w:val="bullet"/>
      <w:lvlText w:val=""/>
      <w:lvlJc w:val="left"/>
      <w:pPr>
        <w:ind w:left="2545" w:hanging="420"/>
      </w:pPr>
      <w:rPr>
        <w:rFonts w:ascii="Wingdings" w:hAnsi="Wingdings" w:hint="default"/>
      </w:rPr>
    </w:lvl>
    <w:lvl w:ilvl="1" w:tplc="04090003" w:tentative="1">
      <w:start w:val="1"/>
      <w:numFmt w:val="bullet"/>
      <w:lvlText w:val=""/>
      <w:lvlJc w:val="left"/>
      <w:pPr>
        <w:ind w:left="2965" w:hanging="420"/>
      </w:pPr>
      <w:rPr>
        <w:rFonts w:ascii="Wingdings" w:hAnsi="Wingdings" w:hint="default"/>
      </w:rPr>
    </w:lvl>
    <w:lvl w:ilvl="2" w:tplc="04090005" w:tentative="1">
      <w:start w:val="1"/>
      <w:numFmt w:val="bullet"/>
      <w:lvlText w:val=""/>
      <w:lvlJc w:val="left"/>
      <w:pPr>
        <w:ind w:left="3385" w:hanging="420"/>
      </w:pPr>
      <w:rPr>
        <w:rFonts w:ascii="Wingdings" w:hAnsi="Wingdings" w:hint="default"/>
      </w:rPr>
    </w:lvl>
    <w:lvl w:ilvl="3" w:tplc="04090001" w:tentative="1">
      <w:start w:val="1"/>
      <w:numFmt w:val="bullet"/>
      <w:lvlText w:val=""/>
      <w:lvlJc w:val="left"/>
      <w:pPr>
        <w:ind w:left="3805" w:hanging="420"/>
      </w:pPr>
      <w:rPr>
        <w:rFonts w:ascii="Wingdings" w:hAnsi="Wingdings" w:hint="default"/>
      </w:rPr>
    </w:lvl>
    <w:lvl w:ilvl="4" w:tplc="04090003" w:tentative="1">
      <w:start w:val="1"/>
      <w:numFmt w:val="bullet"/>
      <w:lvlText w:val=""/>
      <w:lvlJc w:val="left"/>
      <w:pPr>
        <w:ind w:left="4225" w:hanging="420"/>
      </w:pPr>
      <w:rPr>
        <w:rFonts w:ascii="Wingdings" w:hAnsi="Wingdings" w:hint="default"/>
      </w:rPr>
    </w:lvl>
    <w:lvl w:ilvl="5" w:tplc="04090005" w:tentative="1">
      <w:start w:val="1"/>
      <w:numFmt w:val="bullet"/>
      <w:lvlText w:val=""/>
      <w:lvlJc w:val="left"/>
      <w:pPr>
        <w:ind w:left="4645" w:hanging="420"/>
      </w:pPr>
      <w:rPr>
        <w:rFonts w:ascii="Wingdings" w:hAnsi="Wingdings" w:hint="default"/>
      </w:rPr>
    </w:lvl>
    <w:lvl w:ilvl="6" w:tplc="04090001" w:tentative="1">
      <w:start w:val="1"/>
      <w:numFmt w:val="bullet"/>
      <w:lvlText w:val=""/>
      <w:lvlJc w:val="left"/>
      <w:pPr>
        <w:ind w:left="5065" w:hanging="420"/>
      </w:pPr>
      <w:rPr>
        <w:rFonts w:ascii="Wingdings" w:hAnsi="Wingdings" w:hint="default"/>
      </w:rPr>
    </w:lvl>
    <w:lvl w:ilvl="7" w:tplc="04090003" w:tentative="1">
      <w:start w:val="1"/>
      <w:numFmt w:val="bullet"/>
      <w:lvlText w:val=""/>
      <w:lvlJc w:val="left"/>
      <w:pPr>
        <w:ind w:left="5485" w:hanging="420"/>
      </w:pPr>
      <w:rPr>
        <w:rFonts w:ascii="Wingdings" w:hAnsi="Wingdings" w:hint="default"/>
      </w:rPr>
    </w:lvl>
    <w:lvl w:ilvl="8" w:tplc="04090005" w:tentative="1">
      <w:start w:val="1"/>
      <w:numFmt w:val="bullet"/>
      <w:lvlText w:val=""/>
      <w:lvlJc w:val="left"/>
      <w:pPr>
        <w:ind w:left="5905" w:hanging="420"/>
      </w:pPr>
      <w:rPr>
        <w:rFonts w:ascii="Wingdings" w:hAnsi="Wingdings" w:hint="default"/>
      </w:rPr>
    </w:lvl>
  </w:abstractNum>
  <w:abstractNum w:abstractNumId="19">
    <w:nsid w:val="75452C2D"/>
    <w:multiLevelType w:val="hybridMultilevel"/>
    <w:tmpl w:val="DA3A6A52"/>
    <w:lvl w:ilvl="0" w:tplc="D9AAD568">
      <w:start w:val="1"/>
      <w:numFmt w:val="bullet"/>
      <w:lvlText w:val=""/>
      <w:lvlJc w:val="left"/>
      <w:pPr>
        <w:ind w:left="2121" w:hanging="420"/>
      </w:pPr>
      <w:rPr>
        <w:rFonts w:ascii="Wingdings" w:hAnsi="Wingdings"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num w:numId="1">
    <w:abstractNumId w:val="2"/>
  </w:num>
  <w:num w:numId="2">
    <w:abstractNumId w:val="16"/>
  </w:num>
  <w:num w:numId="3">
    <w:abstractNumId w:val="4"/>
  </w:num>
  <w:num w:numId="4">
    <w:abstractNumId w:val="1"/>
  </w:num>
  <w:num w:numId="5">
    <w:abstractNumId w:val="0"/>
  </w:num>
  <w:num w:numId="6">
    <w:abstractNumId w:val="14"/>
  </w:num>
  <w:num w:numId="7">
    <w:abstractNumId w:val="10"/>
  </w:num>
  <w:num w:numId="8">
    <w:abstractNumId w:val="12"/>
  </w:num>
  <w:num w:numId="9">
    <w:abstractNumId w:val="11"/>
  </w:num>
  <w:num w:numId="10">
    <w:abstractNumId w:val="18"/>
  </w:num>
  <w:num w:numId="11">
    <w:abstractNumId w:val="5"/>
  </w:num>
  <w:num w:numId="12">
    <w:abstractNumId w:val="3"/>
  </w:num>
  <w:num w:numId="13">
    <w:abstractNumId w:val="9"/>
  </w:num>
  <w:num w:numId="14">
    <w:abstractNumId w:val="19"/>
  </w:num>
  <w:num w:numId="15">
    <w:abstractNumId w:val="13"/>
  </w:num>
  <w:num w:numId="16">
    <w:abstractNumId w:val="8"/>
  </w:num>
  <w:num w:numId="17">
    <w:abstractNumId w:val="17"/>
  </w:num>
  <w:num w:numId="18">
    <w:abstractNumId w:val="6"/>
  </w:num>
  <w:num w:numId="19">
    <w:abstractNumId w:val="15"/>
  </w:num>
  <w:num w:numId="2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0A2"/>
    <w:rsid w:val="0012756B"/>
    <w:rsid w:val="004061CF"/>
    <w:rsid w:val="004620A2"/>
    <w:rsid w:val="00A67EFF"/>
    <w:rsid w:val="00B4256E"/>
    <w:rsid w:val="00DA3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pPr>
      <w:ind w:left="1565"/>
    </w:pPr>
  </w:style>
  <w:style w:type="paragraph" w:styleId="EndnoteText">
    <w:name w:val="endnote text"/>
    <w:basedOn w:val="FootnoteText"/>
    <w:pPr>
      <w:keepLines w:val="0"/>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link w:val="FootnoteText"/>
    <w:locked/>
    <w:rPr>
      <w:rFonts w:eastAsia="SimSun"/>
      <w:snapToGrid w:val="0"/>
      <w:sz w:val="18"/>
      <w:lang w:val="en-US" w:eastAsia="zh-CN" w:bidi="ar-SA"/>
    </w:rPr>
  </w:style>
  <w:style w:type="character" w:customStyle="1" w:styleId="H1GCar">
    <w:name w:val="_ H_1_G Car"/>
    <w:link w:val="H1G"/>
    <w:rPr>
      <w:rFonts w:eastAsia="SimSun"/>
      <w:b/>
      <w:sz w:val="24"/>
      <w:lang w:val="en-GB" w:eastAsia="en-US"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Bullet1G">
    <w:name w:val="_Bullet 1_G"/>
    <w:basedOn w:val="Normal"/>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SingleTxtGChar">
    <w:name w:val="_ Single Txt_G Char"/>
    <w:link w:val="SingleTxtG"/>
    <w:rPr>
      <w:rFonts w:eastAsia="SimSun"/>
      <w:lang w:val="en-GB" w:eastAsia="en-US" w:bidi="ar-SA"/>
    </w:rPr>
  </w:style>
  <w:style w:type="character" w:customStyle="1" w:styleId="SingleTxtGCChar">
    <w:name w:val="_ Single Txt_GC Char"/>
    <w:link w:val="SingleTxtGC"/>
    <w:rPr>
      <w:rFonts w:eastAsia="SimSun"/>
      <w:snapToGrid w:val="0"/>
      <w:sz w:val="21"/>
      <w:lang w:val="en-US" w:eastAsia="zh-CN" w:bidi="ar-SA"/>
    </w:rPr>
  </w:style>
  <w:style w:type="paragraph" w:customStyle="1" w:styleId="222222222222222">
    <w:name w:val="222222222222222"/>
    <w:basedOn w:val="Normal"/>
    <w:qFormat/>
    <w:pPr>
      <w:keepNext/>
      <w:keepLines/>
      <w:tabs>
        <w:tab w:val="clear" w:pos="431"/>
        <w:tab w:val="right" w:pos="851"/>
        <w:tab w:val="left" w:pos="1560"/>
      </w:tabs>
      <w:suppressAutoHyphens/>
      <w:overflowPunct/>
      <w:adjustRightInd/>
      <w:snapToGrid/>
      <w:spacing w:before="360" w:after="240"/>
      <w:ind w:left="1134" w:right="1134" w:hanging="1134"/>
      <w:jc w:val="left"/>
    </w:pPr>
    <w:rPr>
      <w:rFonts w:eastAsia="SimHei"/>
      <w:snapToGrid/>
      <w:sz w:val="24"/>
      <w:lang w:val="en-GB"/>
    </w:rPr>
  </w:style>
  <w:style w:type="paragraph" w:customStyle="1" w:styleId="1111111111111111111">
    <w:name w:val="1111111111111111111"/>
    <w:basedOn w:val="Normal"/>
    <w:qFormat/>
    <w:pPr>
      <w:keepNext/>
      <w:keepLines/>
      <w:tabs>
        <w:tab w:val="clear" w:pos="431"/>
        <w:tab w:val="right" w:pos="851"/>
        <w:tab w:val="left" w:pos="1560"/>
      </w:tabs>
      <w:suppressAutoHyphens/>
      <w:overflowPunct/>
      <w:adjustRightInd/>
      <w:snapToGrid/>
      <w:spacing w:before="360" w:after="240" w:line="400" w:lineRule="exact"/>
      <w:ind w:left="1134" w:right="1134" w:hanging="1134"/>
      <w:jc w:val="left"/>
    </w:pPr>
    <w:rPr>
      <w:rFonts w:eastAsia="SimHei"/>
      <w:snapToGrid/>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9</TotalTime>
  <Pages>1</Pages>
  <Words>4323</Words>
  <Characters>24644</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28910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6</cp:revision>
  <cp:lastPrinted>2013-05-28T10:44:00Z</cp:lastPrinted>
  <dcterms:created xsi:type="dcterms:W3CDTF">2013-05-28T10:37:00Z</dcterms:created>
  <dcterms:modified xsi:type="dcterms:W3CDTF">2013-05-28T10:45:00Z</dcterms:modified>
</cp:coreProperties>
</file>